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Default Extension="odttf" ContentType="application/vnd.openxmlformats-officedocument.obfuscatedFont"/>
  <Override PartName="/docProps/core.xml" ContentType="application/vnd.openxmlformats-package.core-properties+xml"/>
  <Override PartName="/word/header19.xml" ContentType="application/vnd.openxmlformats-officedocument.wordprocessingml.header+xml"/>
  <Default Extension="png" ContentType="image/png"/>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Default Extension="emf" ContentType="image/x-emf"/>
  <Override PartName="/word/footer27.xml" ContentType="application/vnd.openxmlformats-officedocument.wordprocessingml.footer+xml"/>
  <Override PartName="/word/header3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580E" w:rsidRPr="0088668E" w:rsidRDefault="001F580E" w:rsidP="001F580E">
      <w:pPr>
        <w:pStyle w:val="HIPNormal"/>
        <w:jc w:val="center"/>
        <w:rPr>
          <w:rFonts w:ascii="Zurich BdXCn BT" w:hAnsi="Zurich BdXCn BT"/>
          <w:sz w:val="36"/>
          <w:szCs w:val="40"/>
          <w:lang w:val="en-US"/>
        </w:rPr>
      </w:pPr>
      <w:r w:rsidRPr="0088668E">
        <w:rPr>
          <w:rFonts w:ascii="Zurich BdXCn BT" w:hAnsi="Zurich BdXCn BT"/>
          <w:sz w:val="36"/>
          <w:szCs w:val="40"/>
          <w:lang w:val="en-US"/>
        </w:rPr>
        <w:t xml:space="preserve">Establishment of Harmonized </w:t>
      </w:r>
      <w:r w:rsidRPr="0088668E">
        <w:rPr>
          <w:rFonts w:ascii="Zurich BdXCn BT" w:hAnsi="Zurich BdXCn BT"/>
          <w:sz w:val="36"/>
          <w:szCs w:val="40"/>
          <w:lang w:val="en-GB"/>
        </w:rPr>
        <w:t>Policies</w:t>
      </w:r>
      <w:r w:rsidRPr="0088668E">
        <w:rPr>
          <w:rFonts w:ascii="Zurich BdXCn BT" w:hAnsi="Zurich BdXCn BT"/>
          <w:sz w:val="36"/>
          <w:szCs w:val="40"/>
          <w:lang w:val="en-US"/>
        </w:rPr>
        <w:t xml:space="preserve"> for the ICT Market in the ACP </w:t>
      </w:r>
    </w:p>
    <w:p w:rsidR="001F580E" w:rsidRDefault="001F580E" w:rsidP="001F580E">
      <w:pPr>
        <w:pStyle w:val="HIPNormal"/>
        <w:rPr>
          <w:lang w:val="en-US"/>
        </w:rPr>
      </w:pPr>
    </w:p>
    <w:p w:rsidR="001F580E" w:rsidRDefault="001F580E" w:rsidP="001F580E">
      <w:pPr>
        <w:pStyle w:val="HIPNormal"/>
        <w:rPr>
          <w:lang w:val="en-US"/>
        </w:rPr>
      </w:pPr>
    </w:p>
    <w:p w:rsidR="001F580E" w:rsidRPr="0088668E" w:rsidRDefault="001F580E" w:rsidP="0088668E">
      <w:pPr>
        <w:pStyle w:val="HIPProjectTitle"/>
        <w:jc w:val="right"/>
        <w:rPr>
          <w:rFonts w:ascii="Zurich BdXCn BT" w:hAnsi="Zurich BdXCn BT"/>
          <w:b w:val="0"/>
          <w:bCs w:val="0"/>
          <w:iCs w:val="0"/>
          <w:sz w:val="52"/>
          <w:szCs w:val="44"/>
          <w:lang w:val="en-US"/>
        </w:rPr>
      </w:pPr>
      <w:bookmarkStart w:id="0" w:name="_Toc282174729"/>
      <w:bookmarkStart w:id="1" w:name="_Toc284319105"/>
      <w:bookmarkStart w:id="2" w:name="_Toc284595180"/>
      <w:bookmarkStart w:id="3" w:name="_Toc284595386"/>
      <w:bookmarkStart w:id="4" w:name="_Toc286144779"/>
      <w:bookmarkStart w:id="5" w:name="_Toc286144937"/>
      <w:r w:rsidRPr="0088668E">
        <w:rPr>
          <w:rFonts w:ascii="Zurich BdXCn BT" w:hAnsi="Zurich BdXCn BT"/>
          <w:b w:val="0"/>
          <w:bCs w:val="0"/>
          <w:iCs w:val="0"/>
          <w:sz w:val="52"/>
          <w:szCs w:val="44"/>
          <w:lang w:val="en-US"/>
        </w:rPr>
        <w:t xml:space="preserve">SADC Toolkit on </w:t>
      </w:r>
      <w:r w:rsidR="0088668E" w:rsidRPr="0088668E">
        <w:rPr>
          <w:rFonts w:ascii="Zurich BdXCn BT" w:hAnsi="Zurich BdXCn BT"/>
          <w:b w:val="0"/>
          <w:bCs w:val="0"/>
          <w:iCs w:val="0"/>
          <w:sz w:val="52"/>
          <w:szCs w:val="44"/>
          <w:lang w:val="en-US"/>
        </w:rPr>
        <w:br/>
      </w:r>
      <w:r w:rsidRPr="0088668E">
        <w:rPr>
          <w:rFonts w:ascii="Zurich BdXCn BT" w:hAnsi="Zurich BdXCn BT"/>
          <w:b w:val="0"/>
          <w:bCs w:val="0"/>
          <w:iCs w:val="0"/>
          <w:sz w:val="52"/>
          <w:szCs w:val="44"/>
          <w:lang w:val="en-US"/>
        </w:rPr>
        <w:t xml:space="preserve">Universal Access Funding </w:t>
      </w:r>
      <w:r w:rsidR="0088668E" w:rsidRPr="0088668E">
        <w:rPr>
          <w:rFonts w:ascii="Zurich BdXCn BT" w:hAnsi="Zurich BdXCn BT"/>
          <w:b w:val="0"/>
          <w:bCs w:val="0"/>
          <w:iCs w:val="0"/>
          <w:sz w:val="52"/>
          <w:szCs w:val="44"/>
          <w:lang w:val="en-US"/>
        </w:rPr>
        <w:br/>
      </w:r>
      <w:r w:rsidRPr="0088668E">
        <w:rPr>
          <w:rFonts w:ascii="Zurich BdXCn BT" w:hAnsi="Zurich BdXCn BT"/>
          <w:b w:val="0"/>
          <w:bCs w:val="0"/>
          <w:iCs w:val="0"/>
          <w:sz w:val="52"/>
          <w:szCs w:val="44"/>
          <w:lang w:val="en-US"/>
        </w:rPr>
        <w:t xml:space="preserve">and Universal Service </w:t>
      </w:r>
      <w:r w:rsidR="0088668E" w:rsidRPr="0088668E">
        <w:rPr>
          <w:rFonts w:ascii="Zurich BdXCn BT" w:hAnsi="Zurich BdXCn BT"/>
          <w:b w:val="0"/>
          <w:bCs w:val="0"/>
          <w:iCs w:val="0"/>
          <w:sz w:val="52"/>
          <w:szCs w:val="44"/>
          <w:lang w:val="en-US"/>
        </w:rPr>
        <w:br/>
      </w:r>
      <w:r w:rsidRPr="0088668E">
        <w:rPr>
          <w:rFonts w:ascii="Zurich BdXCn BT" w:hAnsi="Zurich BdXCn BT"/>
          <w:b w:val="0"/>
          <w:bCs w:val="0"/>
          <w:iCs w:val="0"/>
          <w:sz w:val="52"/>
          <w:szCs w:val="44"/>
          <w:lang w:val="en-US"/>
        </w:rPr>
        <w:t>Fund Implementation</w:t>
      </w:r>
      <w:bookmarkEnd w:id="0"/>
      <w:bookmarkEnd w:id="1"/>
      <w:bookmarkEnd w:id="2"/>
      <w:bookmarkEnd w:id="3"/>
      <w:bookmarkEnd w:id="4"/>
      <w:bookmarkEnd w:id="5"/>
    </w:p>
    <w:p w:rsidR="001F580E" w:rsidRPr="0088668E" w:rsidRDefault="001F580E" w:rsidP="001F580E">
      <w:pPr>
        <w:pStyle w:val="HIPPartTitle"/>
        <w:jc w:val="center"/>
        <w:rPr>
          <w:iCs w:val="0"/>
          <w:sz w:val="44"/>
          <w:szCs w:val="36"/>
          <w:lang w:val="en-US"/>
        </w:rPr>
      </w:pPr>
      <w:bookmarkStart w:id="6" w:name="_Toc273087436"/>
    </w:p>
    <w:p w:rsidR="001F580E" w:rsidRDefault="001F580E" w:rsidP="001F580E">
      <w:pPr>
        <w:pStyle w:val="HIPPartTitle"/>
        <w:spacing w:before="0"/>
        <w:jc w:val="center"/>
        <w:rPr>
          <w:sz w:val="44"/>
          <w:szCs w:val="36"/>
          <w:lang w:val="en-US"/>
        </w:rPr>
      </w:pPr>
    </w:p>
    <w:p w:rsidR="001F580E" w:rsidRPr="00526074" w:rsidRDefault="001F580E" w:rsidP="001F580E">
      <w:pPr>
        <w:pStyle w:val="HIPPartTitle"/>
        <w:jc w:val="center"/>
        <w:rPr>
          <w:sz w:val="44"/>
          <w:szCs w:val="36"/>
          <w:lang w:val="en-US"/>
        </w:rPr>
      </w:pPr>
      <w:r>
        <w:rPr>
          <w:sz w:val="44"/>
          <w:szCs w:val="36"/>
          <w:lang w:val="en-US"/>
        </w:rPr>
        <w:br/>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1"/>
        <w:gridCol w:w="4111"/>
      </w:tblGrid>
      <w:tr w:rsidR="001F580E" w:rsidRPr="00A3379B" w:rsidTr="00274BD8">
        <w:tc>
          <w:tcPr>
            <w:tcW w:w="5211" w:type="dxa"/>
            <w:vAlign w:val="center"/>
          </w:tcPr>
          <w:p w:rsidR="001F580E" w:rsidRPr="002A4D9A" w:rsidRDefault="001F580E" w:rsidP="00274BD8">
            <w:pPr>
              <w:pStyle w:val="HIPPartTitle"/>
              <w:spacing w:before="0"/>
              <w:ind w:left="2127" w:hanging="2127"/>
              <w:jc w:val="center"/>
              <w:rPr>
                <w:rFonts w:ascii="Zurich BdXCn BT" w:hAnsi="Zurich BdXCn BT"/>
                <w:b w:val="0"/>
                <w:bCs w:val="0"/>
                <w:color w:val="92D050"/>
                <w:sz w:val="120"/>
                <w:szCs w:val="120"/>
                <w:lang w:val="en-GB"/>
              </w:rPr>
            </w:pPr>
            <w:bookmarkStart w:id="7" w:name="_Toc282174731"/>
            <w:bookmarkStart w:id="8" w:name="_Toc284319107"/>
            <w:bookmarkStart w:id="9" w:name="_Toc284595182"/>
            <w:bookmarkStart w:id="10" w:name="_Toc284595388"/>
            <w:bookmarkStart w:id="11" w:name="_Toc286144780"/>
            <w:bookmarkStart w:id="12" w:name="_Toc286144938"/>
            <w:bookmarkEnd w:id="6"/>
            <w:r w:rsidRPr="002A4D9A">
              <w:rPr>
                <w:rFonts w:ascii="Zurich BdXCn BT" w:hAnsi="Zurich BdXCn BT"/>
                <w:b w:val="0"/>
                <w:bCs w:val="0"/>
                <w:color w:val="92D050"/>
                <w:sz w:val="160"/>
                <w:szCs w:val="160"/>
                <w:lang w:val="en-US"/>
              </w:rPr>
              <w:t>HIPSSA</w:t>
            </w:r>
            <w:bookmarkEnd w:id="7"/>
            <w:bookmarkEnd w:id="8"/>
            <w:bookmarkEnd w:id="9"/>
            <w:bookmarkEnd w:id="10"/>
            <w:bookmarkEnd w:id="11"/>
            <w:bookmarkEnd w:id="12"/>
          </w:p>
        </w:tc>
        <w:tc>
          <w:tcPr>
            <w:tcW w:w="4111" w:type="dxa"/>
            <w:vAlign w:val="center"/>
          </w:tcPr>
          <w:p w:rsidR="0088668E" w:rsidRPr="002A4D9A" w:rsidRDefault="007829FC" w:rsidP="007829FC">
            <w:pPr>
              <w:pStyle w:val="HIPPartTitle"/>
              <w:spacing w:before="120"/>
              <w:ind w:left="34" w:firstLine="0"/>
              <w:rPr>
                <w:rFonts w:ascii="Zurich BT" w:hAnsi="Zurich BT"/>
                <w:color w:val="92D050"/>
                <w:spacing w:val="20"/>
                <w:lang w:val="en-US"/>
              </w:rPr>
            </w:pPr>
            <w:bookmarkStart w:id="13" w:name="_Toc286144781"/>
            <w:bookmarkStart w:id="14" w:name="_Toc286144939"/>
            <w:bookmarkStart w:id="15" w:name="_Toc284319108"/>
            <w:bookmarkStart w:id="16" w:name="_Toc284595183"/>
            <w:bookmarkStart w:id="17" w:name="_Toc284595389"/>
            <w:r>
              <w:rPr>
                <w:rFonts w:ascii="Zurich BT" w:hAnsi="Zurich BT"/>
                <w:color w:val="92D050"/>
                <w:spacing w:val="20"/>
                <w:lang w:val="en-US"/>
              </w:rPr>
              <w:t>Harmoniza</w:t>
            </w:r>
            <w:r w:rsidR="001F580E" w:rsidRPr="002A4D9A">
              <w:rPr>
                <w:rFonts w:ascii="Zurich BT" w:hAnsi="Zurich BT"/>
                <w:color w:val="92D050"/>
                <w:spacing w:val="20"/>
                <w:lang w:val="en-US"/>
              </w:rPr>
              <w:t>tion of</w:t>
            </w:r>
            <w:bookmarkEnd w:id="13"/>
            <w:bookmarkEnd w:id="14"/>
            <w:r w:rsidR="001F580E" w:rsidRPr="002A4D9A">
              <w:rPr>
                <w:rFonts w:ascii="Zurich BT" w:hAnsi="Zurich BT"/>
                <w:color w:val="92D050"/>
                <w:spacing w:val="20"/>
                <w:lang w:val="en-US"/>
              </w:rPr>
              <w:t xml:space="preserve"> </w:t>
            </w:r>
          </w:p>
          <w:p w:rsidR="0088668E" w:rsidRPr="002A4D9A" w:rsidRDefault="001F580E" w:rsidP="007829FC">
            <w:pPr>
              <w:pStyle w:val="HIPPartTitle"/>
              <w:spacing w:before="120"/>
              <w:ind w:left="34" w:firstLine="0"/>
              <w:rPr>
                <w:rFonts w:ascii="Zurich BT" w:hAnsi="Zurich BT"/>
                <w:color w:val="92D050"/>
                <w:spacing w:val="20"/>
                <w:lang w:val="en-US"/>
              </w:rPr>
            </w:pPr>
            <w:bookmarkStart w:id="18" w:name="_Toc286144782"/>
            <w:bookmarkStart w:id="19" w:name="_Toc286144940"/>
            <w:r w:rsidRPr="002A4D9A">
              <w:rPr>
                <w:rFonts w:ascii="Zurich BT" w:hAnsi="Zurich BT"/>
                <w:color w:val="92D050"/>
                <w:spacing w:val="20"/>
                <w:lang w:val="en-US"/>
              </w:rPr>
              <w:t>ICT Policies</w:t>
            </w:r>
            <w:bookmarkEnd w:id="15"/>
            <w:r w:rsidRPr="002A4D9A">
              <w:rPr>
                <w:rFonts w:ascii="Zurich BT" w:hAnsi="Zurich BT"/>
                <w:color w:val="92D050"/>
                <w:spacing w:val="20"/>
                <w:lang w:val="en-US"/>
              </w:rPr>
              <w:t xml:space="preserve"> in</w:t>
            </w:r>
            <w:bookmarkEnd w:id="18"/>
            <w:bookmarkEnd w:id="19"/>
            <w:r w:rsidRPr="002A4D9A">
              <w:rPr>
                <w:rFonts w:ascii="Zurich BT" w:hAnsi="Zurich BT"/>
                <w:color w:val="92D050"/>
                <w:spacing w:val="20"/>
                <w:lang w:val="en-US"/>
              </w:rPr>
              <w:t xml:space="preserve"> </w:t>
            </w:r>
          </w:p>
          <w:p w:rsidR="001F580E" w:rsidRPr="002A4D9A" w:rsidRDefault="001F580E" w:rsidP="007829FC">
            <w:pPr>
              <w:pStyle w:val="HIPPartTitle"/>
              <w:spacing w:before="120"/>
              <w:ind w:left="34" w:firstLine="0"/>
              <w:rPr>
                <w:rFonts w:ascii="Zurich BT" w:hAnsi="Zurich BT"/>
                <w:color w:val="92D050"/>
                <w:spacing w:val="20"/>
                <w:sz w:val="28"/>
                <w:szCs w:val="22"/>
                <w:lang w:val="en-US"/>
              </w:rPr>
            </w:pPr>
            <w:bookmarkStart w:id="20" w:name="_Toc286144783"/>
            <w:bookmarkStart w:id="21" w:name="_Toc286144941"/>
            <w:r w:rsidRPr="002A4D9A">
              <w:rPr>
                <w:rFonts w:ascii="Zurich BT" w:hAnsi="Zurich BT"/>
                <w:color w:val="92D050"/>
                <w:spacing w:val="20"/>
                <w:lang w:val="en-US"/>
              </w:rPr>
              <w:t>Sub-Sahara Africa</w:t>
            </w:r>
            <w:bookmarkEnd w:id="16"/>
            <w:bookmarkEnd w:id="17"/>
            <w:bookmarkEnd w:id="20"/>
            <w:bookmarkEnd w:id="21"/>
          </w:p>
        </w:tc>
      </w:tr>
    </w:tbl>
    <w:p w:rsidR="001F580E" w:rsidRDefault="001F580E" w:rsidP="001F580E">
      <w:pPr>
        <w:pStyle w:val="HIPNormal"/>
        <w:rPr>
          <w:lang w:val="en-US"/>
        </w:rPr>
      </w:pPr>
    </w:p>
    <w:p w:rsidR="001F580E" w:rsidRPr="00ED0C71" w:rsidRDefault="001F580E" w:rsidP="007829FC">
      <w:pPr>
        <w:pStyle w:val="HIPNormal"/>
        <w:rPr>
          <w:sz w:val="24"/>
          <w:szCs w:val="28"/>
          <w:lang w:val="en-US"/>
        </w:rPr>
      </w:pPr>
    </w:p>
    <w:p w:rsidR="00ED0C71" w:rsidRDefault="00ED0C71" w:rsidP="006A6170">
      <w:pPr>
        <w:pStyle w:val="HIPNormal"/>
        <w:rPr>
          <w:lang w:val="en-US"/>
        </w:rPr>
      </w:pPr>
    </w:p>
    <w:p w:rsidR="008978A2" w:rsidRPr="006F77C0" w:rsidRDefault="008978A2" w:rsidP="006A6170">
      <w:pPr>
        <w:pStyle w:val="HIPNormal"/>
        <w:rPr>
          <w:lang w:val="en-GB"/>
        </w:rPr>
      </w:pPr>
    </w:p>
    <w:p w:rsidR="00A11AC1" w:rsidRDefault="002A4D9A" w:rsidP="006A6170">
      <w:pPr>
        <w:pStyle w:val="HIPNormal"/>
        <w:rPr>
          <w:lang w:val="en-US"/>
        </w:rPr>
      </w:pPr>
      <w:r>
        <w:rPr>
          <w:noProof/>
          <w:lang w:val="en-US" w:eastAsia="zh-CN"/>
        </w:rPr>
        <w:drawing>
          <wp:anchor distT="0" distB="0" distL="114300" distR="114300" simplePos="0" relativeHeight="251659264" behindDoc="0" locked="0" layoutInCell="1" allowOverlap="1">
            <wp:simplePos x="923925" y="1076325"/>
            <wp:positionH relativeFrom="margin">
              <wp:align>center</wp:align>
            </wp:positionH>
            <wp:positionV relativeFrom="margin">
              <wp:align>bottom</wp:align>
            </wp:positionV>
            <wp:extent cx="5762625" cy="723900"/>
            <wp:effectExtent l="19050" t="0" r="9525" b="0"/>
            <wp:wrapSquare wrapText="bothSides"/>
            <wp:docPr id="2" name="Picture 1" descr="logos_cad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_cadre.jpg"/>
                    <pic:cNvPicPr/>
                  </pic:nvPicPr>
                  <pic:blipFill>
                    <a:blip r:embed="rId8" cstate="print"/>
                    <a:stretch>
                      <a:fillRect/>
                    </a:stretch>
                  </pic:blipFill>
                  <pic:spPr>
                    <a:xfrm>
                      <a:off x="0" y="0"/>
                      <a:ext cx="5762625" cy="723900"/>
                    </a:xfrm>
                    <a:prstGeom prst="rect">
                      <a:avLst/>
                    </a:prstGeom>
                  </pic:spPr>
                </pic:pic>
              </a:graphicData>
            </a:graphic>
          </wp:anchor>
        </w:drawing>
      </w:r>
      <w:r w:rsidR="0088668E">
        <w:rPr>
          <w:noProof/>
          <w:lang w:val="en-US" w:eastAsia="zh-CN"/>
        </w:rPr>
        <w:drawing>
          <wp:anchor distT="0" distB="0" distL="114300" distR="114300" simplePos="0" relativeHeight="251658240" behindDoc="0" locked="0" layoutInCell="1" allowOverlap="1">
            <wp:simplePos x="923925" y="8486775"/>
            <wp:positionH relativeFrom="margin">
              <wp:align>center</wp:align>
            </wp:positionH>
            <wp:positionV relativeFrom="margin">
              <wp:align>bottom</wp:align>
            </wp:positionV>
            <wp:extent cx="5762625" cy="666750"/>
            <wp:effectExtent l="19050" t="0" r="9525" b="0"/>
            <wp:wrapSquare wrapText="bothSides"/>
            <wp:docPr id="10" name="Picture 9" descr="logos_cad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_cadre.jpg"/>
                    <pic:cNvPicPr/>
                  </pic:nvPicPr>
                  <pic:blipFill>
                    <a:blip r:embed="rId9" cstate="print"/>
                    <a:stretch>
                      <a:fillRect/>
                    </a:stretch>
                  </pic:blipFill>
                  <pic:spPr>
                    <a:xfrm>
                      <a:off x="0" y="0"/>
                      <a:ext cx="5762625" cy="666750"/>
                    </a:xfrm>
                    <a:prstGeom prst="rect">
                      <a:avLst/>
                    </a:prstGeom>
                  </pic:spPr>
                </pic:pic>
              </a:graphicData>
            </a:graphic>
          </wp:anchor>
        </w:drawing>
      </w:r>
    </w:p>
    <w:p w:rsidR="0037334A" w:rsidRPr="00A11AC1" w:rsidRDefault="0037334A" w:rsidP="0037334A">
      <w:pPr>
        <w:pStyle w:val="HIPNormal"/>
        <w:rPr>
          <w:lang w:val="en-US"/>
        </w:rPr>
      </w:pPr>
      <w:r w:rsidRPr="00A11AC1">
        <w:rPr>
          <w:lang w:val="en-US"/>
        </w:rPr>
        <w:lastRenderedPageBreak/>
        <w:br w:type="page"/>
      </w:r>
    </w:p>
    <w:p w:rsidR="0037334A" w:rsidRPr="00262366" w:rsidRDefault="0037334A" w:rsidP="0088668E">
      <w:pPr>
        <w:pStyle w:val="HIPBoxNormal"/>
        <w:rPr>
          <w:rStyle w:val="HIPcharacterhighlight"/>
        </w:rPr>
      </w:pPr>
      <w:r w:rsidRPr="00262366">
        <w:rPr>
          <w:rStyle w:val="HIPcharacterhighlight"/>
        </w:rPr>
        <w:lastRenderedPageBreak/>
        <w:t>Disclaimer</w:t>
      </w:r>
    </w:p>
    <w:p w:rsidR="002A4D9A" w:rsidRPr="002A4D9A" w:rsidRDefault="002A4D9A" w:rsidP="002A4D9A">
      <w:pPr>
        <w:pStyle w:val="HIPBoxNormal"/>
      </w:pPr>
      <w:r w:rsidRPr="002A4D9A">
        <w:t>This document has been produced with the financial assistance of the European Union. The views expressed herein can in no way be taken to reflect the official opinion of the European Union.</w:t>
      </w:r>
    </w:p>
    <w:p w:rsidR="0037334A" w:rsidRPr="002A4D9A" w:rsidRDefault="002A4D9A" w:rsidP="002A4D9A">
      <w:pPr>
        <w:pStyle w:val="HIPBoxNormal"/>
      </w:pPr>
      <w:r w:rsidRPr="002A4D9A">
        <w:rPr>
          <w:iCs/>
        </w:rPr>
        <w:t>The designations employed and the presentation of material, including maps, do not imply the expression of any opinion whatsoever on the part of ITU concerning the legal status of any country, territory, city or area, or concerning the delimitations of its frontiers or boundaries. The mention of specific companies or of certain products does not imply that they are endorsed or recommended by ITU in preference to others of a similar nature that are not mentioned.</w:t>
      </w:r>
    </w:p>
    <w:p w:rsidR="00011AAB" w:rsidRPr="00011AAB" w:rsidRDefault="00011AAB" w:rsidP="0088668E">
      <w:pPr>
        <w:pStyle w:val="HIPBoxNormal"/>
      </w:pPr>
    </w:p>
    <w:p w:rsidR="0037334A" w:rsidRPr="00A11AC1" w:rsidRDefault="0037334A" w:rsidP="0037334A">
      <w:pPr>
        <w:pStyle w:val="HIPNormal"/>
        <w:rPr>
          <w:lang w:val="en-US"/>
        </w:rPr>
      </w:pPr>
    </w:p>
    <w:p w:rsidR="0037334A" w:rsidRDefault="0037334A" w:rsidP="0037334A">
      <w:pPr>
        <w:pStyle w:val="HIPNormal"/>
        <w:rPr>
          <w:lang w:val="en-US"/>
        </w:rPr>
      </w:pPr>
    </w:p>
    <w:p w:rsidR="008978A2" w:rsidRDefault="008978A2" w:rsidP="0037334A">
      <w:pPr>
        <w:pStyle w:val="HIPNormal"/>
        <w:rPr>
          <w:lang w:val="en-US"/>
        </w:rPr>
      </w:pPr>
    </w:p>
    <w:p w:rsidR="008978A2" w:rsidRDefault="008978A2" w:rsidP="0037334A">
      <w:pPr>
        <w:pStyle w:val="HIPNormal"/>
        <w:rPr>
          <w:lang w:val="en-US"/>
        </w:rPr>
      </w:pPr>
    </w:p>
    <w:p w:rsidR="008978A2" w:rsidRDefault="008978A2" w:rsidP="0037334A">
      <w:pPr>
        <w:pStyle w:val="HIPNormal"/>
        <w:rPr>
          <w:lang w:val="en-US"/>
        </w:rPr>
      </w:pPr>
    </w:p>
    <w:p w:rsidR="0088668E" w:rsidRDefault="0088668E" w:rsidP="0037334A">
      <w:pPr>
        <w:pStyle w:val="HIPNormal"/>
        <w:rPr>
          <w:lang w:val="en-US"/>
        </w:rPr>
      </w:pPr>
    </w:p>
    <w:p w:rsidR="0088668E" w:rsidRDefault="0088668E" w:rsidP="0037334A">
      <w:pPr>
        <w:pStyle w:val="HIPNormal"/>
        <w:rPr>
          <w:lang w:val="en-US"/>
        </w:rPr>
      </w:pPr>
    </w:p>
    <w:p w:rsidR="0088668E" w:rsidRDefault="0088668E" w:rsidP="0037334A">
      <w:pPr>
        <w:pStyle w:val="HIPNormal"/>
        <w:rPr>
          <w:lang w:val="en-US"/>
        </w:rPr>
      </w:pPr>
    </w:p>
    <w:p w:rsidR="0088668E" w:rsidRDefault="0088668E" w:rsidP="0037334A">
      <w:pPr>
        <w:pStyle w:val="HIPNormal"/>
        <w:rPr>
          <w:lang w:val="en-US"/>
        </w:rPr>
      </w:pPr>
    </w:p>
    <w:p w:rsidR="008978A2" w:rsidRDefault="008978A2" w:rsidP="0037334A">
      <w:pPr>
        <w:pStyle w:val="HIPNormal"/>
        <w:rPr>
          <w:lang w:val="en-US"/>
        </w:rPr>
      </w:pPr>
    </w:p>
    <w:p w:rsidR="008978A2" w:rsidRDefault="008978A2" w:rsidP="0037334A">
      <w:pPr>
        <w:pStyle w:val="HIPNormal"/>
        <w:rPr>
          <w:lang w:val="en-US"/>
        </w:rPr>
      </w:pPr>
    </w:p>
    <w:p w:rsidR="008978A2" w:rsidRDefault="008978A2" w:rsidP="0037334A">
      <w:pPr>
        <w:pStyle w:val="HIPNormal"/>
        <w:rPr>
          <w:lang w:val="en-US"/>
        </w:rPr>
      </w:pPr>
    </w:p>
    <w:p w:rsidR="008978A2" w:rsidRDefault="008978A2" w:rsidP="0037334A">
      <w:pPr>
        <w:pStyle w:val="HIPNormal"/>
        <w:rPr>
          <w:lang w:val="en-US"/>
        </w:rPr>
      </w:pPr>
    </w:p>
    <w:p w:rsidR="008978A2" w:rsidRDefault="008978A2" w:rsidP="0037334A">
      <w:pPr>
        <w:pStyle w:val="HIPNormal"/>
        <w:rPr>
          <w:lang w:val="en-US"/>
        </w:rPr>
      </w:pPr>
    </w:p>
    <w:p w:rsidR="008978A2" w:rsidRDefault="008978A2" w:rsidP="0037334A">
      <w:pPr>
        <w:pStyle w:val="HIPNormal"/>
        <w:rPr>
          <w:lang w:val="en-US"/>
        </w:rPr>
      </w:pPr>
    </w:p>
    <w:p w:rsidR="008978A2" w:rsidRDefault="008978A2" w:rsidP="0037334A">
      <w:pPr>
        <w:pStyle w:val="HIPNormal"/>
        <w:rPr>
          <w:lang w:val="en-US"/>
        </w:rPr>
      </w:pPr>
    </w:p>
    <w:p w:rsidR="008978A2" w:rsidRDefault="008978A2" w:rsidP="0037334A">
      <w:pPr>
        <w:pStyle w:val="HIPNormal"/>
        <w:rPr>
          <w:lang w:val="en-US"/>
        </w:rPr>
      </w:pPr>
    </w:p>
    <w:p w:rsidR="008978A2" w:rsidRDefault="008978A2" w:rsidP="0037334A">
      <w:pPr>
        <w:pStyle w:val="HIPNormal"/>
        <w:rPr>
          <w:lang w:val="en-US"/>
        </w:rPr>
      </w:pPr>
    </w:p>
    <w:p w:rsidR="008978A2" w:rsidRDefault="00D71821" w:rsidP="0037334A">
      <w:pPr>
        <w:pStyle w:val="HIPNormal"/>
        <w:rPr>
          <w:lang w:val="en-US"/>
        </w:rPr>
      </w:pPr>
      <w:r>
        <w:rPr>
          <w:lang w:val="en-US"/>
        </w:rPr>
        <w:br/>
      </w:r>
    </w:p>
    <w:p w:rsidR="002A4D9A" w:rsidRDefault="002A4D9A" w:rsidP="0037334A">
      <w:pPr>
        <w:pStyle w:val="HIPNormal"/>
        <w:rPr>
          <w:lang w:val="en-US"/>
        </w:rPr>
      </w:pPr>
    </w:p>
    <w:p w:rsidR="008978A2" w:rsidRPr="00023929" w:rsidRDefault="008978A2" w:rsidP="008978A2">
      <w:pPr>
        <w:spacing w:before="360"/>
        <w:ind w:left="1060" w:right="848"/>
        <w:jc w:val="center"/>
        <w:rPr>
          <w:rFonts w:asciiTheme="minorHAnsi" w:hAnsiTheme="minorHAnsi"/>
          <w:lang w:val="en-US"/>
        </w:rPr>
      </w:pPr>
      <w:r>
        <w:rPr>
          <w:rFonts w:ascii="Symbol" w:hAnsi="Symbol"/>
        </w:rPr>
        <w:t></w:t>
      </w:r>
      <w:r w:rsidRPr="00023929">
        <w:rPr>
          <w:lang w:val="en-US"/>
        </w:rPr>
        <w:t xml:space="preserve"> </w:t>
      </w:r>
      <w:r w:rsidR="00011AAB">
        <w:rPr>
          <w:rFonts w:asciiTheme="minorHAnsi" w:hAnsiTheme="minorHAnsi"/>
          <w:lang w:val="en-US"/>
        </w:rPr>
        <w:t>ITU 2011</w:t>
      </w:r>
    </w:p>
    <w:p w:rsidR="0037334A" w:rsidRPr="00A11AC1" w:rsidRDefault="008978A2" w:rsidP="008978A2">
      <w:pPr>
        <w:pStyle w:val="HIPNormal"/>
        <w:rPr>
          <w:lang w:val="en-US"/>
        </w:rPr>
      </w:pPr>
      <w:r w:rsidRPr="008978A2">
        <w:rPr>
          <w:lang w:val="en-US"/>
        </w:rPr>
        <w:t>All rights reserved. No part of this publication may be reproduced, by any means whatsoever, without the prior written permission of ITU.</w:t>
      </w:r>
    </w:p>
    <w:p w:rsidR="009006C7" w:rsidRDefault="009006C7" w:rsidP="009006C7">
      <w:pPr>
        <w:pStyle w:val="HIPChaptReportTitle"/>
        <w:numPr>
          <w:ilvl w:val="0"/>
          <w:numId w:val="0"/>
        </w:numPr>
        <w:rPr>
          <w:lang w:val="en-US"/>
        </w:rPr>
        <w:sectPr w:rsidR="009006C7" w:rsidSect="00185CE5">
          <w:footerReference w:type="even" r:id="rId10"/>
          <w:type w:val="oddPage"/>
          <w:pgSz w:w="11907" w:h="16840" w:code="9"/>
          <w:pgMar w:top="1701" w:right="1418" w:bottom="1418" w:left="1418" w:header="709" w:footer="709" w:gutter="0"/>
          <w:cols w:space="720"/>
          <w:titlePg/>
        </w:sectPr>
      </w:pPr>
    </w:p>
    <w:p w:rsidR="0088668E" w:rsidRDefault="0088668E" w:rsidP="0088668E">
      <w:pPr>
        <w:pStyle w:val="HIPChaptReportTitle"/>
        <w:numPr>
          <w:ilvl w:val="0"/>
          <w:numId w:val="0"/>
        </w:numPr>
        <w:rPr>
          <w:lang w:val="en-US"/>
        </w:rPr>
      </w:pPr>
      <w:bookmarkStart w:id="22" w:name="_Toc284319109"/>
      <w:bookmarkStart w:id="23" w:name="_Toc284595184"/>
      <w:bookmarkStart w:id="24" w:name="_Toc284595390"/>
      <w:bookmarkStart w:id="25" w:name="_Toc286144942"/>
      <w:bookmarkStart w:id="26" w:name="_Toc263923678"/>
      <w:bookmarkStart w:id="27" w:name="_Toc263927305"/>
      <w:bookmarkStart w:id="28" w:name="_Toc263930281"/>
      <w:r w:rsidRPr="0088668E">
        <w:rPr>
          <w:lang w:val="en-US"/>
        </w:rPr>
        <w:lastRenderedPageBreak/>
        <w:t>Acknowledgements</w:t>
      </w:r>
      <w:bookmarkEnd w:id="22"/>
      <w:bookmarkEnd w:id="23"/>
      <w:bookmarkEnd w:id="24"/>
      <w:bookmarkEnd w:id="25"/>
    </w:p>
    <w:p w:rsidR="0088668E" w:rsidRDefault="0088668E" w:rsidP="0088668E">
      <w:pPr>
        <w:pStyle w:val="HIPNormal"/>
        <w:rPr>
          <w:lang w:val="en-GB"/>
        </w:rPr>
      </w:pPr>
    </w:p>
    <w:p w:rsidR="0088668E" w:rsidRPr="00A2413D" w:rsidRDefault="0088668E" w:rsidP="0088668E">
      <w:pPr>
        <w:pStyle w:val="HIPNormal"/>
        <w:rPr>
          <w:lang w:val="en-GB"/>
        </w:rPr>
      </w:pPr>
      <w:r w:rsidRPr="00A2413D">
        <w:rPr>
          <w:lang w:val="en-GB"/>
        </w:rPr>
        <w:t xml:space="preserve">The present document represents an achievement of </w:t>
      </w:r>
      <w:r>
        <w:rPr>
          <w:lang w:val="en-GB"/>
        </w:rPr>
        <w:t>a regional activitie</w:t>
      </w:r>
      <w:r w:rsidRPr="00A2413D">
        <w:rPr>
          <w:lang w:val="en-GB"/>
        </w:rPr>
        <w:t xml:space="preserve"> carried out under the </w:t>
      </w:r>
      <w:r>
        <w:rPr>
          <w:lang w:val="en-GB"/>
        </w:rPr>
        <w:t xml:space="preserve">HIPSSA </w:t>
      </w:r>
      <w:r w:rsidRPr="00A2413D">
        <w:rPr>
          <w:lang w:val="en-GB"/>
        </w:rPr>
        <w:t xml:space="preserve">project </w:t>
      </w:r>
      <w:r>
        <w:rPr>
          <w:lang w:val="en-GB"/>
        </w:rPr>
        <w:t>(</w:t>
      </w:r>
      <w:r w:rsidRPr="00A2413D">
        <w:rPr>
          <w:lang w:val="en-GB"/>
        </w:rPr>
        <w:t>“</w:t>
      </w:r>
      <w:r>
        <w:rPr>
          <w:lang w:val="en-GB"/>
        </w:rPr>
        <w:t>Support to the Harminisation of ICT Policies in Sub-Sahara Africa”)</w:t>
      </w:r>
      <w:r w:rsidRPr="00A2413D">
        <w:rPr>
          <w:lang w:val="en-GB"/>
        </w:rPr>
        <w:t xml:space="preserve"> officially launched in </w:t>
      </w:r>
      <w:r>
        <w:rPr>
          <w:lang w:val="en-GB"/>
        </w:rPr>
        <w:t xml:space="preserve">Addis Ababa </w:t>
      </w:r>
      <w:r w:rsidRPr="00A2413D">
        <w:rPr>
          <w:lang w:val="en-GB"/>
        </w:rPr>
        <w:t>in December 2008.</w:t>
      </w:r>
    </w:p>
    <w:p w:rsidR="0088668E" w:rsidRPr="00A2413D" w:rsidRDefault="0088668E" w:rsidP="0088668E">
      <w:pPr>
        <w:pStyle w:val="HIPNormal"/>
        <w:rPr>
          <w:lang w:val="en-GB"/>
        </w:rPr>
      </w:pPr>
      <w:r w:rsidRPr="00A2413D">
        <w:rPr>
          <w:lang w:val="en-GB"/>
        </w:rPr>
        <w:t>In response to both the challenges and the opportunities of information and communication technologies’ (ICTs) contribution to political, social, economic and environmental development, the International Telecommunication Union (ITU) and the European Commission (EC) joined forces and signed an agreement aimed at providing “Support for the Establishment of Harmonized Policies for the ICT market in the ACP”, as a component of the Programme “ACP-Information and Communication Technologies (@ACP)” within the framework of the 9</w:t>
      </w:r>
      <w:r w:rsidRPr="00A2413D">
        <w:rPr>
          <w:vertAlign w:val="superscript"/>
          <w:lang w:val="en-GB"/>
        </w:rPr>
        <w:t>th</w:t>
      </w:r>
      <w:r>
        <w:rPr>
          <w:lang w:val="en-GB"/>
        </w:rPr>
        <w:t xml:space="preserve"> </w:t>
      </w:r>
      <w:r w:rsidRPr="00A2413D">
        <w:rPr>
          <w:lang w:val="en-GB"/>
        </w:rPr>
        <w:t>European Development Fund (EDF).</w:t>
      </w:r>
    </w:p>
    <w:p w:rsidR="0088668E" w:rsidRPr="00A2413D" w:rsidRDefault="0088668E" w:rsidP="0088668E">
      <w:pPr>
        <w:pStyle w:val="HIPNormal"/>
        <w:rPr>
          <w:lang w:val="en-GB"/>
        </w:rPr>
      </w:pPr>
      <w:r w:rsidRPr="00A2413D">
        <w:rPr>
          <w:lang w:val="en-GB"/>
        </w:rPr>
        <w:t>This agreement is being implemented with funding of the European Union through three separate sub-projects customized to the specific needs of each r</w:t>
      </w:r>
      <w:r>
        <w:rPr>
          <w:lang w:val="en-GB"/>
        </w:rPr>
        <w:t>egion: the Caribbean (HIPCAR), S</w:t>
      </w:r>
      <w:r w:rsidRPr="00A2413D">
        <w:rPr>
          <w:lang w:val="en-GB"/>
        </w:rPr>
        <w:t xml:space="preserve">ub-Saharan Africa (HIPSSA) and the Pacific Islands Countries (ICB4PAC). </w:t>
      </w:r>
    </w:p>
    <w:p w:rsidR="0088668E" w:rsidRPr="00A2413D" w:rsidRDefault="0088668E" w:rsidP="0088668E">
      <w:pPr>
        <w:pStyle w:val="HIPNormal"/>
        <w:rPr>
          <w:lang w:val="en-GB"/>
        </w:rPr>
      </w:pPr>
      <w:r>
        <w:rPr>
          <w:lang w:val="en-GB"/>
        </w:rPr>
        <w:t xml:space="preserve">As mebers of the </w:t>
      </w:r>
      <w:r w:rsidRPr="00A2413D">
        <w:rPr>
          <w:lang w:val="en-GB"/>
        </w:rPr>
        <w:t>HIP</w:t>
      </w:r>
      <w:r>
        <w:rPr>
          <w:lang w:val="en-GB"/>
        </w:rPr>
        <w:t xml:space="preserve">SSA </w:t>
      </w:r>
      <w:r w:rsidRPr="00A2413D">
        <w:rPr>
          <w:lang w:val="en-GB"/>
        </w:rPr>
        <w:t xml:space="preserve">Steering Committee </w:t>
      </w:r>
      <w:r>
        <w:rPr>
          <w:lang w:val="en-GB"/>
        </w:rPr>
        <w:t>co-</w:t>
      </w:r>
      <w:r w:rsidRPr="00A2413D">
        <w:rPr>
          <w:lang w:val="en-GB"/>
        </w:rPr>
        <w:t xml:space="preserve">chaired by the </w:t>
      </w:r>
      <w:r>
        <w:rPr>
          <w:lang w:val="en-GB"/>
        </w:rPr>
        <w:t xml:space="preserve">African </w:t>
      </w:r>
      <w:r w:rsidRPr="00A2413D">
        <w:rPr>
          <w:lang w:val="en-GB"/>
        </w:rPr>
        <w:t>Union</w:t>
      </w:r>
      <w:r>
        <w:rPr>
          <w:lang w:val="en-GB"/>
        </w:rPr>
        <w:t>’s Commission (A</w:t>
      </w:r>
      <w:r w:rsidRPr="00A2413D">
        <w:rPr>
          <w:lang w:val="en-GB"/>
        </w:rPr>
        <w:t>U</w:t>
      </w:r>
      <w:r>
        <w:rPr>
          <w:lang w:val="en-GB"/>
        </w:rPr>
        <w:t>C</w:t>
      </w:r>
      <w:r w:rsidRPr="00A2413D">
        <w:rPr>
          <w:lang w:val="en-GB"/>
        </w:rPr>
        <w:t>)</w:t>
      </w:r>
      <w:r>
        <w:rPr>
          <w:lang w:val="en-GB"/>
        </w:rPr>
        <w:t xml:space="preserve"> and the ITU, the Southern African Development Commuity (SADC) Secretariat and Communication Regulators’ Association of Southern Africa (CRASA)</w:t>
      </w:r>
      <w:r w:rsidRPr="00A2413D">
        <w:rPr>
          <w:lang w:val="en-GB"/>
        </w:rPr>
        <w:t xml:space="preserve"> </w:t>
      </w:r>
      <w:r>
        <w:rPr>
          <w:lang w:val="en-GB"/>
        </w:rPr>
        <w:t xml:space="preserve">Secretariat </w:t>
      </w:r>
      <w:r w:rsidRPr="00A2413D">
        <w:rPr>
          <w:lang w:val="en-GB"/>
        </w:rPr>
        <w:t>provided guidance and s</w:t>
      </w:r>
      <w:r>
        <w:rPr>
          <w:lang w:val="en-GB"/>
        </w:rPr>
        <w:t>upport to the consultants</w:t>
      </w:r>
      <w:r w:rsidRPr="00A2413D">
        <w:rPr>
          <w:lang w:val="en-GB"/>
        </w:rPr>
        <w:t xml:space="preserve"> </w:t>
      </w:r>
      <w:r>
        <w:rPr>
          <w:lang w:val="en-US"/>
        </w:rPr>
        <w:t>Ms. Leona Mentz and Ms. Mandla M</w:t>
      </w:r>
      <w:r w:rsidRPr="00572CED">
        <w:rPr>
          <w:lang w:val="en-US"/>
        </w:rPr>
        <w:t>s</w:t>
      </w:r>
      <w:r>
        <w:rPr>
          <w:lang w:val="en-US"/>
        </w:rPr>
        <w:t>i</w:t>
      </w:r>
      <w:r w:rsidRPr="00572CED">
        <w:rPr>
          <w:lang w:val="en-US"/>
        </w:rPr>
        <w:t xml:space="preserve">mang </w:t>
      </w:r>
      <w:r>
        <w:rPr>
          <w:lang w:val="en-US"/>
        </w:rPr>
        <w:t>of Pygma Con</w:t>
      </w:r>
      <w:r w:rsidRPr="00572CED">
        <w:rPr>
          <w:lang w:val="en-US"/>
        </w:rPr>
        <w:t>s</w:t>
      </w:r>
      <w:r>
        <w:rPr>
          <w:lang w:val="en-US"/>
        </w:rPr>
        <w:t>u</w:t>
      </w:r>
      <w:r w:rsidRPr="00572CED">
        <w:rPr>
          <w:lang w:val="en-US"/>
        </w:rPr>
        <w:t>lting</w:t>
      </w:r>
      <w:r>
        <w:rPr>
          <w:lang w:val="en-US"/>
        </w:rPr>
        <w:t xml:space="preserve"> who prepared the </w:t>
      </w:r>
      <w:r w:rsidRPr="00A2413D">
        <w:rPr>
          <w:lang w:val="en-GB"/>
        </w:rPr>
        <w:t>draft document</w:t>
      </w:r>
      <w:r>
        <w:rPr>
          <w:lang w:val="en-GB"/>
        </w:rPr>
        <w:t>. This</w:t>
      </w:r>
      <w:r w:rsidRPr="00A2413D">
        <w:rPr>
          <w:lang w:val="en-GB"/>
        </w:rPr>
        <w:t xml:space="preserve"> draft document </w:t>
      </w:r>
      <w:r>
        <w:rPr>
          <w:lang w:val="en-GB"/>
        </w:rPr>
        <w:t xml:space="preserve">is to be </w:t>
      </w:r>
      <w:r w:rsidRPr="00A2413D">
        <w:rPr>
          <w:lang w:val="en-GB"/>
        </w:rPr>
        <w:t xml:space="preserve">reviewed, discussed and </w:t>
      </w:r>
      <w:r>
        <w:rPr>
          <w:lang w:val="en-GB"/>
        </w:rPr>
        <w:t xml:space="preserve">validated </w:t>
      </w:r>
      <w:r w:rsidRPr="00A2413D">
        <w:rPr>
          <w:lang w:val="en-GB"/>
        </w:rPr>
        <w:t xml:space="preserve">by broad consensus by participants </w:t>
      </w:r>
      <w:r>
        <w:rPr>
          <w:lang w:val="en-GB"/>
        </w:rPr>
        <w:t>of the workshop</w:t>
      </w:r>
      <w:r w:rsidRPr="00A2413D">
        <w:rPr>
          <w:lang w:val="en-GB"/>
        </w:rPr>
        <w:t xml:space="preserve"> </w:t>
      </w:r>
      <w:r>
        <w:rPr>
          <w:lang w:val="en-GB"/>
        </w:rPr>
        <w:t>organised in collaboration with CRASA and SADC Secretariats</w:t>
      </w:r>
      <w:r w:rsidRPr="00A2413D">
        <w:rPr>
          <w:lang w:val="en-GB"/>
        </w:rPr>
        <w:t xml:space="preserve"> </w:t>
      </w:r>
      <w:r>
        <w:rPr>
          <w:lang w:val="en-GB"/>
        </w:rPr>
        <w:t xml:space="preserve">to be </w:t>
      </w:r>
      <w:r w:rsidRPr="00A2413D">
        <w:rPr>
          <w:lang w:val="en-GB"/>
        </w:rPr>
        <w:t xml:space="preserve">held in </w:t>
      </w:r>
      <w:r>
        <w:rPr>
          <w:lang w:val="en-GB"/>
        </w:rPr>
        <w:t>Windhoek, Namibia on 14</w:t>
      </w:r>
      <w:r>
        <w:rPr>
          <w:lang w:val="en-GB"/>
        </w:rPr>
        <w:noBreakHyphen/>
        <w:t>17 March 2011.</w:t>
      </w:r>
    </w:p>
    <w:p w:rsidR="0088668E" w:rsidRPr="00A2413D" w:rsidRDefault="0088668E" w:rsidP="0088668E">
      <w:pPr>
        <w:pStyle w:val="HIPNormal"/>
        <w:rPr>
          <w:lang w:val="en-GB"/>
        </w:rPr>
      </w:pPr>
      <w:r w:rsidRPr="00A2413D">
        <w:rPr>
          <w:lang w:val="en-GB"/>
        </w:rPr>
        <w:t xml:space="preserve">ITU would like to thank </w:t>
      </w:r>
      <w:r>
        <w:rPr>
          <w:lang w:val="en-GB"/>
        </w:rPr>
        <w:t xml:space="preserve">in advance </w:t>
      </w:r>
      <w:r w:rsidRPr="00A2413D">
        <w:rPr>
          <w:lang w:val="en-GB"/>
        </w:rPr>
        <w:t xml:space="preserve">the workshop delegates from the </w:t>
      </w:r>
      <w:r>
        <w:rPr>
          <w:lang w:val="en-GB"/>
        </w:rPr>
        <w:t xml:space="preserve">SADC </w:t>
      </w:r>
      <w:r w:rsidRPr="00A2413D">
        <w:rPr>
          <w:lang w:val="en-GB"/>
        </w:rPr>
        <w:t xml:space="preserve">information and communication technologies (ICT) and telecommunications ministries, </w:t>
      </w:r>
      <w:r>
        <w:rPr>
          <w:lang w:val="en-GB"/>
        </w:rPr>
        <w:t xml:space="preserve">CRASA </w:t>
      </w:r>
      <w:r w:rsidRPr="00A2413D">
        <w:rPr>
          <w:lang w:val="en-GB"/>
        </w:rPr>
        <w:t>regulators, aca</w:t>
      </w:r>
      <w:r>
        <w:rPr>
          <w:lang w:val="en-GB"/>
        </w:rPr>
        <w:t>demia, civil society, operators and regional organizations</w:t>
      </w:r>
      <w:r w:rsidRPr="00A2413D">
        <w:rPr>
          <w:lang w:val="en-GB"/>
        </w:rPr>
        <w:t xml:space="preserve"> for their hard work and commitment i</w:t>
      </w:r>
      <w:r>
        <w:rPr>
          <w:lang w:val="en-GB"/>
        </w:rPr>
        <w:t>n producing the contents of the final</w:t>
      </w:r>
      <w:r w:rsidRPr="00A2413D">
        <w:rPr>
          <w:lang w:val="en-GB"/>
        </w:rPr>
        <w:t xml:space="preserve"> report. The contributions from the </w:t>
      </w:r>
      <w:r>
        <w:rPr>
          <w:lang w:val="en-GB"/>
        </w:rPr>
        <w:t xml:space="preserve">SADC and CRASA </w:t>
      </w:r>
      <w:r w:rsidRPr="00A2413D">
        <w:rPr>
          <w:lang w:val="en-GB"/>
        </w:rPr>
        <w:t>Secretariat</w:t>
      </w:r>
      <w:r>
        <w:rPr>
          <w:lang w:val="en-GB"/>
        </w:rPr>
        <w:t>s</w:t>
      </w:r>
      <w:r w:rsidRPr="00A2413D">
        <w:rPr>
          <w:lang w:val="en-GB"/>
        </w:rPr>
        <w:t xml:space="preserve"> are gratefully acknowledged. </w:t>
      </w:r>
    </w:p>
    <w:p w:rsidR="0088668E" w:rsidRPr="00A2413D" w:rsidRDefault="0088668E" w:rsidP="0088668E">
      <w:pPr>
        <w:pStyle w:val="HIPNormal"/>
        <w:rPr>
          <w:lang w:val="en-GB"/>
        </w:rPr>
      </w:pPr>
      <w:r w:rsidRPr="00A2413D">
        <w:rPr>
          <w:lang w:val="en-GB"/>
        </w:rPr>
        <w:t xml:space="preserve">Without the active involvement of all of these stakeholders, it would </w:t>
      </w:r>
      <w:r>
        <w:rPr>
          <w:lang w:val="en-GB"/>
        </w:rPr>
        <w:t>not be</w:t>
      </w:r>
      <w:r w:rsidRPr="00A2413D">
        <w:rPr>
          <w:lang w:val="en-GB"/>
        </w:rPr>
        <w:t xml:space="preserve"> impossible to produce </w:t>
      </w:r>
      <w:r>
        <w:rPr>
          <w:lang w:val="en-GB"/>
        </w:rPr>
        <w:t>a document such as this</w:t>
      </w:r>
      <w:r w:rsidRPr="00A2413D">
        <w:rPr>
          <w:lang w:val="en-GB"/>
        </w:rPr>
        <w:t xml:space="preserve">, reflecting the overall requirements and conditions of the </w:t>
      </w:r>
      <w:r>
        <w:rPr>
          <w:lang w:val="en-GB"/>
        </w:rPr>
        <w:t xml:space="preserve">SADC </w:t>
      </w:r>
      <w:r w:rsidRPr="00A2413D">
        <w:rPr>
          <w:lang w:val="en-GB"/>
        </w:rPr>
        <w:t>region while also representi</w:t>
      </w:r>
      <w:r>
        <w:rPr>
          <w:lang w:val="en-GB"/>
        </w:rPr>
        <w:t>ng international best practice.</w:t>
      </w:r>
    </w:p>
    <w:p w:rsidR="0088668E" w:rsidRDefault="0088668E" w:rsidP="0088668E">
      <w:pPr>
        <w:pStyle w:val="HIPNormal"/>
        <w:rPr>
          <w:lang w:val="en-US"/>
        </w:rPr>
      </w:pPr>
      <w:r w:rsidRPr="00A2413D">
        <w:rPr>
          <w:lang w:val="en-GB"/>
        </w:rPr>
        <w:t xml:space="preserve">Production of the documents in this report was carried out under the direction of </w:t>
      </w:r>
      <w:r>
        <w:rPr>
          <w:lang w:val="en-GB"/>
        </w:rPr>
        <w:t>Mr. Jean-François Le Bihan</w:t>
      </w:r>
      <w:r w:rsidRPr="00A2413D">
        <w:rPr>
          <w:lang w:val="en-GB"/>
        </w:rPr>
        <w:t>, HIP</w:t>
      </w:r>
      <w:r>
        <w:rPr>
          <w:lang w:val="en-GB"/>
        </w:rPr>
        <w:t>SSA</w:t>
      </w:r>
      <w:r w:rsidRPr="00A2413D">
        <w:rPr>
          <w:lang w:val="en-GB"/>
        </w:rPr>
        <w:t xml:space="preserve"> </w:t>
      </w:r>
      <w:r>
        <w:rPr>
          <w:lang w:val="en-GB"/>
        </w:rPr>
        <w:t>Senior Project Coordinator</w:t>
      </w:r>
      <w:r w:rsidRPr="00A2413D">
        <w:rPr>
          <w:lang w:val="en-GB"/>
        </w:rPr>
        <w:t xml:space="preserve"> and </w:t>
      </w:r>
      <w:r>
        <w:rPr>
          <w:lang w:val="en-GB"/>
        </w:rPr>
        <w:t xml:space="preserve">Mr. </w:t>
      </w:r>
      <w:r w:rsidRPr="00A2413D">
        <w:rPr>
          <w:lang w:val="en-GB"/>
        </w:rPr>
        <w:t>Sandro Bazzanella</w:t>
      </w:r>
      <w:r>
        <w:rPr>
          <w:lang w:val="en-GB"/>
        </w:rPr>
        <w:t xml:space="preserve">, </w:t>
      </w:r>
      <w:r w:rsidRPr="00A2413D">
        <w:rPr>
          <w:lang w:val="en-GB"/>
        </w:rPr>
        <w:t xml:space="preserve">Project Manager of </w:t>
      </w:r>
      <w:r>
        <w:rPr>
          <w:lang w:val="en-GB"/>
        </w:rPr>
        <w:t xml:space="preserve">the </w:t>
      </w:r>
      <w:r w:rsidRPr="00A2413D">
        <w:rPr>
          <w:lang w:val="en-GB"/>
        </w:rPr>
        <w:t>ITU</w:t>
      </w:r>
      <w:r>
        <w:rPr>
          <w:lang w:val="en-GB"/>
        </w:rPr>
        <w:t>-EC P</w:t>
      </w:r>
      <w:r w:rsidRPr="00A2413D">
        <w:rPr>
          <w:lang w:val="en-GB"/>
        </w:rPr>
        <w:t xml:space="preserve">roject. The document has further benefited from comments of the ITU Telecommunication Development Bureau’s </w:t>
      </w:r>
      <w:r>
        <w:rPr>
          <w:lang w:val="en-GB"/>
        </w:rPr>
        <w:t>Regulatory and Market Environment (RME) and Special Initatives and Strategies (SIS) Divisions</w:t>
      </w:r>
      <w:r w:rsidRPr="00A2413D">
        <w:rPr>
          <w:lang w:val="en-GB"/>
        </w:rPr>
        <w:t xml:space="preserve">. Support was provided by </w:t>
      </w:r>
      <w:r>
        <w:rPr>
          <w:lang w:val="en-GB"/>
        </w:rPr>
        <w:t>Mr. Mar</w:t>
      </w:r>
      <w:r w:rsidR="00A3379B">
        <w:rPr>
          <w:lang w:val="en-GB"/>
        </w:rPr>
        <w:t>c</w:t>
      </w:r>
      <w:r>
        <w:rPr>
          <w:lang w:val="en-GB"/>
        </w:rPr>
        <w:t xml:space="preserve">elino Tayob, Senior Advisor at </w:t>
      </w:r>
      <w:r w:rsidRPr="00A2413D">
        <w:rPr>
          <w:lang w:val="en-GB"/>
        </w:rPr>
        <w:t xml:space="preserve">the ITU </w:t>
      </w:r>
      <w:r>
        <w:rPr>
          <w:lang w:val="en-GB"/>
        </w:rPr>
        <w:t xml:space="preserve">Regional </w:t>
      </w:r>
      <w:r w:rsidRPr="00A2413D">
        <w:rPr>
          <w:lang w:val="en-GB"/>
        </w:rPr>
        <w:t xml:space="preserve">Office for </w:t>
      </w:r>
      <w:r>
        <w:rPr>
          <w:lang w:val="en-GB"/>
        </w:rPr>
        <w:t>Africa</w:t>
      </w:r>
      <w:r w:rsidRPr="00A2413D">
        <w:rPr>
          <w:lang w:val="en-GB"/>
        </w:rPr>
        <w:t xml:space="preserve"> and administrative support was given by </w:t>
      </w:r>
      <w:r>
        <w:rPr>
          <w:lang w:val="en-GB"/>
        </w:rPr>
        <w:t xml:space="preserve">Ms. Hiwot Mulugeta </w:t>
      </w:r>
      <w:r w:rsidRPr="00A2413D">
        <w:rPr>
          <w:lang w:val="en-GB"/>
        </w:rPr>
        <w:t xml:space="preserve">and </w:t>
      </w:r>
      <w:r>
        <w:rPr>
          <w:lang w:val="en-GB"/>
        </w:rPr>
        <w:t xml:space="preserve">Ms. </w:t>
      </w:r>
      <w:r w:rsidRPr="00A2413D">
        <w:rPr>
          <w:lang w:val="en-GB"/>
        </w:rPr>
        <w:t>Sylvia Villar. The team at ITU’s Publication Composition Service was responsible for its publication in hardcopy and online.</w:t>
      </w:r>
    </w:p>
    <w:p w:rsidR="0088668E" w:rsidRDefault="0088668E" w:rsidP="0088668E">
      <w:pPr>
        <w:pStyle w:val="HIPNormal"/>
        <w:rPr>
          <w:lang w:val="en-US"/>
        </w:rPr>
      </w:pPr>
    </w:p>
    <w:p w:rsidR="0088668E" w:rsidRDefault="0088668E" w:rsidP="0088668E">
      <w:pPr>
        <w:pStyle w:val="HIPNormal"/>
        <w:rPr>
          <w:lang w:val="en-US"/>
        </w:rPr>
      </w:pPr>
    </w:p>
    <w:p w:rsidR="0088668E" w:rsidRPr="0088668E" w:rsidRDefault="0088668E" w:rsidP="0088668E">
      <w:pPr>
        <w:pStyle w:val="HIPNormal"/>
        <w:rPr>
          <w:lang w:val="en-US"/>
        </w:rPr>
        <w:sectPr w:rsidR="0088668E" w:rsidRPr="0088668E" w:rsidSect="009006C7">
          <w:headerReference w:type="even" r:id="rId11"/>
          <w:headerReference w:type="default" r:id="rId12"/>
          <w:footerReference w:type="even" r:id="rId13"/>
          <w:footerReference w:type="default" r:id="rId14"/>
          <w:headerReference w:type="first" r:id="rId15"/>
          <w:footerReference w:type="first" r:id="rId16"/>
          <w:type w:val="oddPage"/>
          <w:pgSz w:w="11907" w:h="16840" w:code="9"/>
          <w:pgMar w:top="1701" w:right="1418" w:bottom="1418" w:left="1418" w:header="709" w:footer="709" w:gutter="0"/>
          <w:pgNumType w:fmt="lowerRoman"/>
          <w:cols w:space="720"/>
          <w:titlePg/>
        </w:sectPr>
      </w:pPr>
    </w:p>
    <w:p w:rsidR="009006C7" w:rsidRPr="002F09C9" w:rsidRDefault="009006C7" w:rsidP="009006C7">
      <w:pPr>
        <w:pStyle w:val="HIPChaptReportTitle"/>
        <w:numPr>
          <w:ilvl w:val="0"/>
          <w:numId w:val="0"/>
        </w:numPr>
        <w:rPr>
          <w:lang w:val="en-US"/>
        </w:rPr>
      </w:pPr>
      <w:bookmarkStart w:id="29" w:name="_Toc286144943"/>
      <w:r w:rsidRPr="002F09C9">
        <w:rPr>
          <w:lang w:val="en-US"/>
        </w:rPr>
        <w:lastRenderedPageBreak/>
        <w:t>Summary</w:t>
      </w:r>
      <w:bookmarkEnd w:id="26"/>
      <w:bookmarkEnd w:id="27"/>
      <w:bookmarkEnd w:id="28"/>
      <w:bookmarkEnd w:id="29"/>
    </w:p>
    <w:p w:rsidR="002F09C9" w:rsidRPr="002F09C9" w:rsidRDefault="00011AAB" w:rsidP="00DC5333">
      <w:pPr>
        <w:pStyle w:val="HIPHeading1"/>
      </w:pPr>
      <w:bookmarkStart w:id="30" w:name="_Toc284597934"/>
      <w:bookmarkStart w:id="31" w:name="_Toc286144944"/>
      <w:r w:rsidRPr="00011AAB">
        <w:t>Executive summary</w:t>
      </w:r>
      <w:bookmarkEnd w:id="30"/>
      <w:bookmarkEnd w:id="31"/>
    </w:p>
    <w:p w:rsidR="00011AAB" w:rsidRPr="00011AAB" w:rsidRDefault="00011AAB" w:rsidP="00011AAB">
      <w:pPr>
        <w:pStyle w:val="HIPNormal"/>
        <w:rPr>
          <w:lang w:val="en-US"/>
        </w:rPr>
      </w:pPr>
      <w:r w:rsidRPr="00011AAB">
        <w:rPr>
          <w:lang w:val="en-US"/>
        </w:rPr>
        <w:t xml:space="preserve">The 14 countries in the Southern Africa Development Community (“SADC”) , like those in the rest of the continent, have over the last decade experienced the social and economic impacts of the “mobile miracle.” Mobile technology has enabled countries in the region to take significant steps to increase penetration and improve universal service and access. This has been enabled by the technology itself coupled with sound regulatory frameworks which have facilitated private sector investment in the deployment of networks and services. </w:t>
      </w:r>
    </w:p>
    <w:p w:rsidR="00011AAB" w:rsidRPr="00011AAB" w:rsidRDefault="00011AAB" w:rsidP="00011AAB">
      <w:pPr>
        <w:pStyle w:val="HIPNormal"/>
        <w:rPr>
          <w:lang w:val="en-US"/>
        </w:rPr>
      </w:pPr>
      <w:r w:rsidRPr="00011AAB">
        <w:rPr>
          <w:lang w:val="en-US"/>
        </w:rPr>
        <w:t>Despite this, and despite penetration rates (for mobile voice) nearing 50 percent in most countries, universal access has not yet been achieved in many countries where rural and high cost areas remain underserved.</w:t>
      </w:r>
      <w:r w:rsidR="005E5682">
        <w:rPr>
          <w:lang w:val="en-US"/>
        </w:rPr>
        <w:t xml:space="preserve"> </w:t>
      </w:r>
      <w:r w:rsidRPr="00011AAB">
        <w:rPr>
          <w:lang w:val="en-US"/>
        </w:rPr>
        <w:t xml:space="preserve">While the </w:t>
      </w:r>
      <w:r w:rsidRPr="00011AAB">
        <w:rPr>
          <w:rFonts w:hint="eastAsia"/>
          <w:lang w:val="en-US"/>
        </w:rPr>
        <w:t>“</w:t>
      </w:r>
      <w:r w:rsidRPr="00011AAB">
        <w:rPr>
          <w:lang w:val="en-US"/>
        </w:rPr>
        <w:t>mobile miracle</w:t>
      </w:r>
      <w:r w:rsidRPr="00011AAB">
        <w:rPr>
          <w:rFonts w:hint="eastAsia"/>
          <w:lang w:val="en-US"/>
        </w:rPr>
        <w:t>”</w:t>
      </w:r>
      <w:r w:rsidRPr="00011AAB">
        <w:rPr>
          <w:lang w:val="en-US"/>
        </w:rPr>
        <w:t xml:space="preserve"> went a long way to addressing the </w:t>
      </w:r>
      <w:r w:rsidRPr="00011AAB">
        <w:rPr>
          <w:rFonts w:hint="eastAsia"/>
          <w:lang w:val="en-US"/>
        </w:rPr>
        <w:t>availability</w:t>
      </w:r>
      <w:r w:rsidRPr="00011AAB">
        <w:rPr>
          <w:lang w:val="en-US"/>
        </w:rPr>
        <w:t xml:space="preserve"> and accessibility of voice telephony, wireless is </w:t>
      </w:r>
      <w:r w:rsidRPr="00011AAB">
        <w:rPr>
          <w:rFonts w:hint="eastAsia"/>
          <w:lang w:val="en-US"/>
        </w:rPr>
        <w:t>unlikely</w:t>
      </w:r>
      <w:r w:rsidRPr="00011AAB">
        <w:rPr>
          <w:lang w:val="en-US"/>
        </w:rPr>
        <w:t xml:space="preserve"> to be a sustainable solution for rural broadband access in the SADC region. The advent of broadband technology and the </w:t>
      </w:r>
      <w:r w:rsidRPr="00011AAB">
        <w:rPr>
          <w:rFonts w:hint="eastAsia"/>
          <w:lang w:val="en-US"/>
        </w:rPr>
        <w:t>deployment</w:t>
      </w:r>
      <w:r w:rsidRPr="00011AAB">
        <w:rPr>
          <w:lang w:val="en-US"/>
        </w:rPr>
        <w:t xml:space="preserve"> of Next Generation Networks presents opportunities for developed and developing countries alike to deliver more efficient voice and data solutions. Lack of private sector funding available to implement broadband rollouts threatens to perpetuate the divide, and may necessitate </w:t>
      </w:r>
      <w:r w:rsidRPr="00011AAB">
        <w:rPr>
          <w:rFonts w:hint="eastAsia"/>
          <w:lang w:val="en-US"/>
        </w:rPr>
        <w:t>consideration</w:t>
      </w:r>
      <w:r w:rsidRPr="00011AAB">
        <w:rPr>
          <w:lang w:val="en-US"/>
        </w:rPr>
        <w:t xml:space="preserve"> of the use of public funds for facilitating universal access to broadband.</w:t>
      </w:r>
      <w:r w:rsidRPr="00011AAB" w:rsidDel="00C77018">
        <w:rPr>
          <w:lang w:val="en-US"/>
        </w:rPr>
        <w:t xml:space="preserve"> </w:t>
      </w:r>
    </w:p>
    <w:p w:rsidR="00011AAB" w:rsidRPr="00011AAB" w:rsidRDefault="00011AAB" w:rsidP="00011AAB">
      <w:pPr>
        <w:pStyle w:val="HIPNormal"/>
        <w:rPr>
          <w:lang w:val="en-US"/>
        </w:rPr>
      </w:pPr>
      <w:r w:rsidRPr="00011AAB">
        <w:rPr>
          <w:lang w:val="en-US"/>
        </w:rPr>
        <w:t xml:space="preserve">The Toolkit </w:t>
      </w:r>
      <w:r w:rsidRPr="00011AAB">
        <w:rPr>
          <w:rFonts w:hint="eastAsia"/>
          <w:lang w:val="en-US"/>
        </w:rPr>
        <w:t>recognizes</w:t>
      </w:r>
      <w:r w:rsidRPr="00011AAB">
        <w:rPr>
          <w:lang w:val="en-US"/>
        </w:rPr>
        <w:t xml:space="preserve"> that many SADC Member States are in the process of establishing their Funds and require </w:t>
      </w:r>
      <w:r w:rsidRPr="00011AAB">
        <w:rPr>
          <w:rFonts w:hint="eastAsia"/>
          <w:lang w:val="en-US"/>
        </w:rPr>
        <w:t>guidance</w:t>
      </w:r>
      <w:r w:rsidRPr="00011AAB">
        <w:rPr>
          <w:lang w:val="en-US"/>
        </w:rPr>
        <w:t xml:space="preserve"> in that regard (Part 2); however it also recognises </w:t>
      </w:r>
      <w:r w:rsidRPr="00011AAB">
        <w:rPr>
          <w:rFonts w:hint="eastAsia"/>
          <w:lang w:val="en-US"/>
        </w:rPr>
        <w:t>that</w:t>
      </w:r>
      <w:r w:rsidRPr="00011AAB">
        <w:rPr>
          <w:lang w:val="en-US"/>
        </w:rPr>
        <w:t xml:space="preserve"> as we enter the next decade of the 21</w:t>
      </w:r>
      <w:r w:rsidRPr="00011AAB">
        <w:rPr>
          <w:vertAlign w:val="superscript"/>
          <w:lang w:val="en-US"/>
        </w:rPr>
        <w:t>st</w:t>
      </w:r>
      <w:r w:rsidRPr="00011AAB">
        <w:rPr>
          <w:lang w:val="en-US"/>
        </w:rPr>
        <w:t xml:space="preserve"> century, consideration is being given to new approaches to financing universal access, sometimes coupled with traditional Fund approaches, to address the deployment of broadband and Next Generation Networks and services. As more countries in the region adopt converged regimes, and accordingly increase the scope of their Universal Service and Access Funds, increasingly they will be forced to move past projects that focus on providing access to shared services/public access such as telecentres and payphones, and those that seek to extend network reach, and in addition turn their attention to broadband Internet and ICT services, including applications, usage and capacity development in addition to pure access. The Toolkit thus provides </w:t>
      </w:r>
      <w:r w:rsidRPr="00011AAB">
        <w:rPr>
          <w:rFonts w:hint="eastAsia"/>
          <w:lang w:val="en-US"/>
        </w:rPr>
        <w:t>guidance</w:t>
      </w:r>
      <w:r w:rsidRPr="00011AAB">
        <w:rPr>
          <w:lang w:val="en-US"/>
        </w:rPr>
        <w:t xml:space="preserve"> on how to approach these alternative and often complementary funding mechanisms, with relevant references, samples and examples. The roles and responsibilities for access to advanced ICT services include a wider range of players and financiers, and will require that the institutional framework, governance, and capacity of Universal Service and Access Funds are up to the new challenges, and that other financing mechnanisms are able to play a role in funding universal access whilst upholding the tenets of </w:t>
      </w:r>
      <w:r w:rsidRPr="00011AAB">
        <w:rPr>
          <w:rFonts w:hint="eastAsia"/>
          <w:lang w:val="en-US"/>
        </w:rPr>
        <w:t>liberalization</w:t>
      </w:r>
      <w:r w:rsidRPr="00011AAB">
        <w:rPr>
          <w:lang w:val="en-US"/>
        </w:rPr>
        <w:t xml:space="preserve"> and respecting the principles of competitive markets. </w:t>
      </w:r>
    </w:p>
    <w:p w:rsidR="00011AAB" w:rsidRPr="00011AAB" w:rsidRDefault="00011AAB" w:rsidP="00011AAB">
      <w:pPr>
        <w:pStyle w:val="HIPNormal"/>
        <w:rPr>
          <w:lang w:val="en-US"/>
        </w:rPr>
      </w:pPr>
      <w:r w:rsidRPr="00011AAB">
        <w:rPr>
          <w:lang w:val="en-US"/>
        </w:rPr>
        <w:t xml:space="preserve">Part 1 of the Toolkit looks at where the SADC region is at this point in time with respect to the implementation of ICT sector </w:t>
      </w:r>
      <w:r w:rsidRPr="00011AAB">
        <w:rPr>
          <w:rFonts w:hint="eastAsia"/>
          <w:lang w:val="en-US"/>
        </w:rPr>
        <w:t>legislation</w:t>
      </w:r>
      <w:r w:rsidRPr="00011AAB">
        <w:rPr>
          <w:lang w:val="en-US"/>
        </w:rPr>
        <w:t xml:space="preserve"> which overwhelmingly includes the establishment of a Fund. It provides </w:t>
      </w:r>
      <w:r w:rsidRPr="00011AAB">
        <w:rPr>
          <w:rFonts w:hint="eastAsia"/>
          <w:lang w:val="en-US"/>
        </w:rPr>
        <w:t>background</w:t>
      </w:r>
      <w:r w:rsidRPr="00011AAB">
        <w:rPr>
          <w:lang w:val="en-US"/>
        </w:rPr>
        <w:t xml:space="preserve"> on Funds and the rationale for establishing them, and disusses how they relate to other funding mechanisms. It is noted that trend towards establishing Funds that exists in</w:t>
      </w:r>
      <w:r w:rsidR="005E5682">
        <w:rPr>
          <w:lang w:val="en-US"/>
        </w:rPr>
        <w:t xml:space="preserve"> </w:t>
      </w:r>
      <w:r w:rsidRPr="00011AAB">
        <w:rPr>
          <w:lang w:val="en-US"/>
        </w:rPr>
        <w:t xml:space="preserve">the SADC region is </w:t>
      </w:r>
      <w:r w:rsidRPr="00011AAB">
        <w:rPr>
          <w:rFonts w:hint="eastAsia"/>
          <w:lang w:val="en-US"/>
        </w:rPr>
        <w:t>consistent</w:t>
      </w:r>
      <w:r w:rsidRPr="00011AAB">
        <w:rPr>
          <w:lang w:val="en-US"/>
        </w:rPr>
        <w:t xml:space="preserve"> with the trend globally, where there are Funds or plans to establish Funds in over 66 countries.</w:t>
      </w:r>
      <w:r w:rsidR="005E5682">
        <w:rPr>
          <w:lang w:val="en-US"/>
        </w:rPr>
        <w:t xml:space="preserve"> </w:t>
      </w:r>
    </w:p>
    <w:p w:rsidR="00011AAB" w:rsidRPr="00011AAB" w:rsidRDefault="00011AAB" w:rsidP="00011AAB">
      <w:pPr>
        <w:pStyle w:val="HIPNormal"/>
        <w:rPr>
          <w:lang w:val="en-US"/>
        </w:rPr>
      </w:pPr>
      <w:r w:rsidRPr="00011AAB">
        <w:rPr>
          <w:lang w:val="en-US"/>
        </w:rPr>
        <w:t>Funds are more prevanlent in developing countries; only 9 Funds are operational in Europe and the Americas.</w:t>
      </w:r>
      <w:r w:rsidRPr="00011AAB">
        <w:rPr>
          <w:vertAlign w:val="superscript"/>
        </w:rPr>
        <w:footnoteReference w:id="1"/>
      </w:r>
      <w:r w:rsidR="005E5682">
        <w:rPr>
          <w:lang w:val="en-US"/>
        </w:rPr>
        <w:t xml:space="preserve"> </w:t>
      </w:r>
      <w:r w:rsidRPr="00011AAB">
        <w:rPr>
          <w:lang w:val="en-US"/>
        </w:rPr>
        <w:t xml:space="preserve">In fact, the first USAFs were established in South America in the mid 1990’s; in the SADC region, the first Fund was established (in law) in 1997 in South Africa. Today, 9 countries in the SADC region have established Funds in law. Eight have money in the Fund received through either seed funding </w:t>
      </w:r>
      <w:r w:rsidRPr="00011AAB">
        <w:rPr>
          <w:lang w:val="en-US"/>
        </w:rPr>
        <w:lastRenderedPageBreak/>
        <w:t>from donors or government, levies from operators, or surplus Funds from regulator. Of these 6 have undergone processes (competitive bidding, tender processes, or other means) to identify projects and disburse monies to assist in the implementation of such projects.</w:t>
      </w:r>
      <w:r w:rsidR="005E5682">
        <w:rPr>
          <w:lang w:val="en-US"/>
        </w:rPr>
        <w:t xml:space="preserve"> </w:t>
      </w:r>
    </w:p>
    <w:p w:rsidR="00011AAB" w:rsidRPr="00011AAB" w:rsidRDefault="00011AAB" w:rsidP="00011AAB">
      <w:pPr>
        <w:pStyle w:val="HIPNormal"/>
        <w:rPr>
          <w:lang w:val="en-US"/>
        </w:rPr>
      </w:pPr>
      <w:r w:rsidRPr="00011AAB">
        <w:rPr>
          <w:lang w:val="en-US"/>
        </w:rPr>
        <w:t xml:space="preserve">After discussing the principles of universal access funding in Part 1 of the Toolkit, Part 2 provides a practical guide on the establishment of Funds. It is noted that SADC countries have </w:t>
      </w:r>
      <w:r w:rsidRPr="00011AAB">
        <w:rPr>
          <w:rFonts w:hint="eastAsia"/>
          <w:lang w:val="en-US"/>
        </w:rPr>
        <w:t>legislated</w:t>
      </w:r>
      <w:r w:rsidRPr="00011AAB">
        <w:rPr>
          <w:lang w:val="en-US"/>
        </w:rPr>
        <w:t xml:space="preserve"> the institutional </w:t>
      </w:r>
      <w:r w:rsidRPr="00011AAB">
        <w:rPr>
          <w:rFonts w:hint="eastAsia"/>
          <w:lang w:val="en-US"/>
        </w:rPr>
        <w:t>framework</w:t>
      </w:r>
      <w:r w:rsidRPr="00011AAB">
        <w:rPr>
          <w:lang w:val="en-US"/>
        </w:rPr>
        <w:t xml:space="preserve"> for Funds, but not necessarily implemented it; this later affects their credibility, capacity and ability to </w:t>
      </w:r>
      <w:r w:rsidRPr="00011AAB">
        <w:rPr>
          <w:rFonts w:hint="eastAsia"/>
          <w:lang w:val="en-US"/>
        </w:rPr>
        <w:t>achieve</w:t>
      </w:r>
      <w:r w:rsidRPr="00011AAB">
        <w:rPr>
          <w:lang w:val="en-US"/>
        </w:rPr>
        <w:t xml:space="preserve"> ther </w:t>
      </w:r>
      <w:r w:rsidRPr="00011AAB">
        <w:rPr>
          <w:rFonts w:hint="eastAsia"/>
          <w:lang w:val="en-US"/>
        </w:rPr>
        <w:t>mandates</w:t>
      </w:r>
      <w:r w:rsidRPr="00011AAB">
        <w:rPr>
          <w:lang w:val="en-US"/>
        </w:rPr>
        <w:t xml:space="preserve">, including </w:t>
      </w:r>
      <w:r w:rsidRPr="00011AAB">
        <w:rPr>
          <w:rFonts w:hint="eastAsia"/>
          <w:lang w:val="en-US"/>
        </w:rPr>
        <w:t>through</w:t>
      </w:r>
      <w:r w:rsidRPr="00011AAB">
        <w:rPr>
          <w:lang w:val="en-US"/>
        </w:rPr>
        <w:t xml:space="preserve"> disbursement of Funds. </w:t>
      </w:r>
    </w:p>
    <w:p w:rsidR="00011AAB" w:rsidRPr="00011AAB" w:rsidRDefault="00011AAB" w:rsidP="00011AAB">
      <w:pPr>
        <w:pStyle w:val="HIPNormal"/>
        <w:rPr>
          <w:lang w:val="en-US"/>
        </w:rPr>
      </w:pPr>
      <w:r w:rsidRPr="00011AAB">
        <w:rPr>
          <w:lang w:val="en-US"/>
        </w:rPr>
        <w:t>Following the establishment and implementation of legal and institutional frameworks for Funds, the major challenge with respect to universal service funds in the region relates to the financing of projects. This conclusion is made against the backdrop of the fact that very few of the funds in the region are fully functional.</w:t>
      </w:r>
      <w:r w:rsidR="005E5682">
        <w:rPr>
          <w:lang w:val="en-US"/>
        </w:rPr>
        <w:t xml:space="preserve"> </w:t>
      </w:r>
      <w:r w:rsidRPr="00011AAB">
        <w:rPr>
          <w:lang w:val="en-US"/>
        </w:rPr>
        <w:t>Part 3 addresses the financing of universal access projects – it deals with issues such as programme design, project development and project costing. In addition it discusses bidding processes, and provides a guide on how to issue least cost tenders.</w:t>
      </w:r>
    </w:p>
    <w:p w:rsidR="00011AAB" w:rsidRPr="00011AAB" w:rsidRDefault="00011AAB" w:rsidP="00011AAB">
      <w:pPr>
        <w:pStyle w:val="HIPNormal"/>
        <w:rPr>
          <w:lang w:val="en-US"/>
        </w:rPr>
      </w:pPr>
      <w:r w:rsidRPr="00011AAB">
        <w:rPr>
          <w:lang w:val="en-US"/>
        </w:rPr>
        <w:t>Part 4 addresses Monitoring and Evaluation – a key input to the sustainability of UA/S projects. It provides checklists and templates for monitoring compliance with terms and conditions set out in licenses, contracts and service level agreements to successful bidders. It also discusses key factors such as data collection and analysis.</w:t>
      </w:r>
    </w:p>
    <w:p w:rsidR="00011AAB" w:rsidRPr="00011AAB" w:rsidRDefault="00011AAB" w:rsidP="00011AAB">
      <w:pPr>
        <w:pStyle w:val="HIPNormal"/>
        <w:rPr>
          <w:lang w:val="en-US"/>
        </w:rPr>
      </w:pPr>
      <w:r w:rsidRPr="00011AAB">
        <w:rPr>
          <w:lang w:val="en-US"/>
        </w:rPr>
        <w:t xml:space="preserve">Finally, Part 5 considers the regional </w:t>
      </w:r>
      <w:r w:rsidRPr="00011AAB">
        <w:rPr>
          <w:rFonts w:hint="eastAsia"/>
          <w:lang w:val="en-US"/>
        </w:rPr>
        <w:t>framework</w:t>
      </w:r>
      <w:r w:rsidRPr="00011AAB">
        <w:rPr>
          <w:lang w:val="en-US"/>
        </w:rPr>
        <w:t xml:space="preserve"> and the role of CRASA in </w:t>
      </w:r>
      <w:r w:rsidRPr="00011AAB">
        <w:rPr>
          <w:rFonts w:hint="eastAsia"/>
          <w:lang w:val="en-US"/>
        </w:rPr>
        <w:t>coordinating</w:t>
      </w:r>
      <w:r w:rsidRPr="00011AAB">
        <w:rPr>
          <w:lang w:val="en-US"/>
        </w:rPr>
        <w:t xml:space="preserve"> efforts at a regional level on issues related to </w:t>
      </w:r>
      <w:r w:rsidRPr="00011AAB">
        <w:rPr>
          <w:rFonts w:hint="eastAsia"/>
          <w:lang w:val="en-US"/>
        </w:rPr>
        <w:t>universal</w:t>
      </w:r>
      <w:r w:rsidRPr="00011AAB">
        <w:rPr>
          <w:lang w:val="en-US"/>
        </w:rPr>
        <w:t xml:space="preserve"> access funding.</w:t>
      </w:r>
    </w:p>
    <w:p w:rsidR="002F09C9" w:rsidRPr="002F09C9" w:rsidRDefault="00011AAB" w:rsidP="00011AAB">
      <w:pPr>
        <w:pStyle w:val="HIPNormal"/>
        <w:rPr>
          <w:lang w:val="en-GB"/>
        </w:rPr>
      </w:pPr>
      <w:r w:rsidRPr="00011AAB">
        <w:rPr>
          <w:lang w:val="en-US"/>
        </w:rPr>
        <w:t>This Universal Access Funding and Universal Service Fund Implementation Toolkit provides a “how to” guide on best practice for universal access funding, Fund management and project implementation. It also provides information on progress that has been made in the 14 SADC countries to date with respect to the establishment of Funds and the financing of</w:t>
      </w:r>
      <w:r w:rsidR="005E5682">
        <w:rPr>
          <w:lang w:val="en-US"/>
        </w:rPr>
        <w:t xml:space="preserve"> </w:t>
      </w:r>
      <w:r w:rsidRPr="00011AAB">
        <w:rPr>
          <w:lang w:val="en-US"/>
        </w:rPr>
        <w:t>universal access projects by the Funds.</w:t>
      </w:r>
      <w:r w:rsidR="005E5682">
        <w:rPr>
          <w:lang w:val="en-US"/>
        </w:rPr>
        <w:t xml:space="preserve"> </w:t>
      </w:r>
      <w:r w:rsidRPr="00011AAB">
        <w:rPr>
          <w:lang w:val="en-US"/>
        </w:rPr>
        <w:t>The Toolkit will help Fund Administrators</w:t>
      </w:r>
      <w:r w:rsidRPr="00011AAB">
        <w:rPr>
          <w:vertAlign w:val="superscript"/>
        </w:rPr>
        <w:footnoteReference w:id="2"/>
      </w:r>
      <w:r w:rsidRPr="00011AAB">
        <w:rPr>
          <w:lang w:val="en-US"/>
        </w:rPr>
        <w:t xml:space="preserve"> as well as other funders and project partners including NGOs, donors and municipal and local government agencies, finance universal service and access projects by:</w:t>
      </w:r>
    </w:p>
    <w:p w:rsidR="00011AAB" w:rsidRPr="00440BA2" w:rsidRDefault="00011AAB" w:rsidP="00011AAB">
      <w:pPr>
        <w:pStyle w:val="HIPEnumlev1"/>
      </w:pPr>
      <w:r w:rsidRPr="00440BA2">
        <w:t>Identifying potential projects, which includes undertaking demand study/financial analysis of specific project(s) to be subsidized, and determining outputs such as types of services &amp; infrastructure requirements</w:t>
      </w:r>
      <w:r>
        <w:t>;</w:t>
      </w:r>
    </w:p>
    <w:p w:rsidR="00011AAB" w:rsidRPr="00440BA2" w:rsidRDefault="00011AAB" w:rsidP="00011AAB">
      <w:pPr>
        <w:pStyle w:val="HIPEnumlev1"/>
      </w:pPr>
      <w:r w:rsidRPr="00440BA2">
        <w:t>Deciding the process design and thereafter preparing auction or comparative</w:t>
      </w:r>
      <w:r>
        <w:t>/open tender</w:t>
      </w:r>
      <w:r w:rsidRPr="00440BA2">
        <w:t xml:space="preserve"> analysis process documents</w:t>
      </w:r>
      <w:r>
        <w:t>;</w:t>
      </w:r>
    </w:p>
    <w:p w:rsidR="00011AAB" w:rsidRPr="00440BA2" w:rsidRDefault="00011AAB" w:rsidP="00011AAB">
      <w:pPr>
        <w:pStyle w:val="HIPEnumlev1"/>
      </w:pPr>
      <w:r w:rsidRPr="00440BA2">
        <w:t xml:space="preserve">Identifying possible </w:t>
      </w:r>
      <w:r>
        <w:t>bidders</w:t>
      </w:r>
      <w:r w:rsidRPr="00440BA2">
        <w:t>, issuing Requests for Proposals and evaluating proposals received</w:t>
      </w:r>
      <w:r>
        <w:t>;</w:t>
      </w:r>
    </w:p>
    <w:p w:rsidR="00011AAB" w:rsidRDefault="00011AAB" w:rsidP="00011AAB">
      <w:pPr>
        <w:pStyle w:val="HIPEnumlev1"/>
      </w:pPr>
      <w:r>
        <w:t>In the case of Private Public Partnerships, identifying potential partners;</w:t>
      </w:r>
    </w:p>
    <w:p w:rsidR="00011AAB" w:rsidRPr="00440BA2" w:rsidRDefault="00011AAB" w:rsidP="00011AAB">
      <w:pPr>
        <w:pStyle w:val="HIPEnumlev1"/>
      </w:pPr>
      <w:r w:rsidRPr="00440BA2">
        <w:t>Executing Contracts, Service Agreements and where necessary issuing Licence/s to the successful bidder</w:t>
      </w:r>
      <w:r>
        <w:t>;</w:t>
      </w:r>
    </w:p>
    <w:p w:rsidR="00011AAB" w:rsidRPr="00440BA2" w:rsidRDefault="00011AAB" w:rsidP="00011AAB">
      <w:pPr>
        <w:pStyle w:val="HIPEnumlev1"/>
      </w:pPr>
      <w:r w:rsidRPr="00440BA2">
        <w:t xml:space="preserve">Evaluating compliance with the </w:t>
      </w:r>
      <w:r>
        <w:t xml:space="preserve">financing or </w:t>
      </w:r>
      <w:r w:rsidRPr="00440BA2">
        <w:t>subsidy requirements (e.g. meeting defined targets and service rollout milestones) and making periodic subsidy payments</w:t>
      </w:r>
      <w:r>
        <w:t>;</w:t>
      </w:r>
    </w:p>
    <w:p w:rsidR="002F09C9" w:rsidRPr="002F09C9" w:rsidRDefault="00011AAB" w:rsidP="00011AAB">
      <w:pPr>
        <w:pStyle w:val="HIPEnumlev1"/>
      </w:pPr>
      <w:r w:rsidRPr="00440BA2">
        <w:t>Designing ongoing monitoring and reporting requirements and implementing them.</w:t>
      </w:r>
    </w:p>
    <w:p w:rsidR="00011AAB" w:rsidRDefault="00011AAB" w:rsidP="00011AAB">
      <w:pPr>
        <w:pStyle w:val="HIPNormal"/>
        <w:rPr>
          <w:lang w:val="en-US"/>
        </w:rPr>
      </w:pPr>
      <w:r w:rsidRPr="00047936">
        <w:rPr>
          <w:lang w:val="en-US"/>
        </w:rPr>
        <w:t>The Toolkit st</w:t>
      </w:r>
      <w:r>
        <w:rPr>
          <w:lang w:val="en-US"/>
        </w:rPr>
        <w:t>resses the need for awarding funding</w:t>
      </w:r>
      <w:r w:rsidRPr="00047936">
        <w:rPr>
          <w:lang w:val="en-US"/>
        </w:rPr>
        <w:t xml:space="preserve"> through public tenders, </w:t>
      </w:r>
      <w:r>
        <w:rPr>
          <w:lang w:val="en-US"/>
        </w:rPr>
        <w:t xml:space="preserve">making financed infrastructure </w:t>
      </w:r>
      <w:r>
        <w:rPr>
          <w:rFonts w:hint="eastAsia"/>
          <w:lang w:val="en-US"/>
        </w:rPr>
        <w:t>available</w:t>
      </w:r>
      <w:r>
        <w:rPr>
          <w:lang w:val="en-US"/>
        </w:rPr>
        <w:t xml:space="preserve"> to</w:t>
      </w:r>
      <w:r w:rsidRPr="00047936">
        <w:rPr>
          <w:lang w:val="en-US"/>
        </w:rPr>
        <w:t xml:space="preserve"> all operators on a technologically neutral basis</w:t>
      </w:r>
      <w:r>
        <w:rPr>
          <w:lang w:val="en-US"/>
        </w:rPr>
        <w:t>,</w:t>
      </w:r>
      <w:r w:rsidRPr="00047936">
        <w:rPr>
          <w:lang w:val="en-US"/>
        </w:rPr>
        <w:t xml:space="preserve"> and minimising distortions of competition through consultation with existing operators</w:t>
      </w:r>
      <w:r>
        <w:rPr>
          <w:lang w:val="en-US"/>
        </w:rPr>
        <w:t xml:space="preserve"> at all key steps of the process, and through the use of market research.</w:t>
      </w:r>
      <w:r w:rsidR="005E5682">
        <w:rPr>
          <w:lang w:val="en-US"/>
        </w:rPr>
        <w:t xml:space="preserve"> </w:t>
      </w:r>
      <w:r>
        <w:rPr>
          <w:lang w:val="en-US"/>
        </w:rPr>
        <w:t xml:space="preserve">The Toolkit also stresses the need to consider supply side subsidies through </w:t>
      </w:r>
      <w:r>
        <w:rPr>
          <w:lang w:val="en-US"/>
        </w:rPr>
        <w:lastRenderedPageBreak/>
        <w:t xml:space="preserve">diversifyingthe types of projects that are funded and turning some attention to funding ICT access by institutions such as schools, clinic and hospitals, and </w:t>
      </w:r>
      <w:r>
        <w:rPr>
          <w:rFonts w:hint="eastAsia"/>
          <w:lang w:val="en-US"/>
        </w:rPr>
        <w:t>telecentres</w:t>
      </w:r>
      <w:r>
        <w:rPr>
          <w:lang w:val="en-US"/>
        </w:rPr>
        <w:t>.</w:t>
      </w:r>
      <w:r w:rsidR="005E5682">
        <w:rPr>
          <w:lang w:val="en-US"/>
        </w:rPr>
        <w:t xml:space="preserve"> </w:t>
      </w:r>
    </w:p>
    <w:p w:rsidR="002F09C9" w:rsidRPr="002F09C9" w:rsidRDefault="00011AAB" w:rsidP="00011AAB">
      <w:pPr>
        <w:pStyle w:val="HIPNormal"/>
        <w:rPr>
          <w:lang w:val="en-GB"/>
        </w:rPr>
      </w:pPr>
      <w:r>
        <w:rPr>
          <w:lang w:val="en-US"/>
        </w:rPr>
        <w:t xml:space="preserve">The Toolkit takes a practical approach </w:t>
      </w:r>
      <w:r w:rsidRPr="00440BA2">
        <w:rPr>
          <w:lang w:val="en-US"/>
        </w:rPr>
        <w:t xml:space="preserve">and provides regional experience, international experience and guidelines that demonstrate best practice. </w:t>
      </w:r>
      <w:r>
        <w:rPr>
          <w:lang w:val="en-US"/>
        </w:rPr>
        <w:t xml:space="preserve">It </w:t>
      </w:r>
      <w:r w:rsidRPr="00440BA2">
        <w:rPr>
          <w:lang w:val="en-US"/>
        </w:rPr>
        <w:t>additionally provides Sample/ Reference material tha</w:t>
      </w:r>
      <w:r>
        <w:rPr>
          <w:lang w:val="en-US"/>
        </w:rPr>
        <w:t xml:space="preserve">t can be used as a model, where </w:t>
      </w:r>
      <w:r w:rsidRPr="00440BA2">
        <w:rPr>
          <w:lang w:val="en-US"/>
        </w:rPr>
        <w:t>appropriate</w:t>
      </w:r>
      <w:r>
        <w:rPr>
          <w:lang w:val="en-US"/>
        </w:rPr>
        <w:t>.</w:t>
      </w:r>
    </w:p>
    <w:p w:rsidR="009006C7" w:rsidRDefault="00011AAB" w:rsidP="00DC5333">
      <w:pPr>
        <w:pStyle w:val="HIPHeading1"/>
      </w:pPr>
      <w:bookmarkStart w:id="32" w:name="_Toc284597935"/>
      <w:bookmarkStart w:id="33" w:name="_Toc286144945"/>
      <w:r w:rsidRPr="00011AAB">
        <w:t>Report background</w:t>
      </w:r>
      <w:bookmarkEnd w:id="32"/>
      <w:bookmarkEnd w:id="33"/>
    </w:p>
    <w:p w:rsidR="00011AAB" w:rsidRPr="00011AAB" w:rsidRDefault="00011AAB" w:rsidP="00011AAB">
      <w:pPr>
        <w:pStyle w:val="HIPNormal"/>
        <w:rPr>
          <w:lang w:val="en-US"/>
        </w:rPr>
      </w:pPr>
      <w:r w:rsidRPr="00011AAB">
        <w:rPr>
          <w:lang w:val="en-US"/>
        </w:rPr>
        <w:t>The “Harmonisation of Information and Communication Technologies (“ICT”) Policies in Sub-Sahara Africa” (“HIPSSA”) is a joint project launched by the European Commission (“EC”) and the International Telecommunications Union (“ITU”). HIPSSA builds on the experience gained with an ITU-EC funded pilot project that led to the adoption of Additional Acts for telecommunications to the ECOWAS Treaty. The HIPSSA project aims to develop and promote harmonized policies and regulatory guidelines for the ICT market as well as build human and institutional capacity in the field of ICT through a range of targeted training, education and knowledge sharing measures. This project will ultimately result in the creation of harmonized regional and national policy, legal and regulatory frameworks conducive to promoting investment in infrastructure and services, and enabling socio-economic development in the ICT sector across the region.</w:t>
      </w:r>
    </w:p>
    <w:p w:rsidR="00011AAB" w:rsidRPr="00011AAB" w:rsidRDefault="00011AAB" w:rsidP="00011AAB">
      <w:pPr>
        <w:pStyle w:val="HIPNormal"/>
        <w:rPr>
          <w:lang w:val="en-US"/>
        </w:rPr>
      </w:pPr>
      <w:r w:rsidRPr="00011AAB">
        <w:rPr>
          <w:lang w:val="en-US"/>
        </w:rPr>
        <w:t>The focus of this particular document, the Toolkit on Best Practice Financing Universal Access and using Universal Access and Service Funds (“the Toolkit”), is to provide a regional guide for Southern African Development Community (“SADC”) Member States</w:t>
      </w:r>
      <w:r w:rsidRPr="00011AAB">
        <w:rPr>
          <w:vertAlign w:val="superscript"/>
        </w:rPr>
        <w:footnoteReference w:id="3"/>
      </w:r>
      <w:r w:rsidRPr="00011AAB">
        <w:rPr>
          <w:lang w:val="en-US"/>
        </w:rPr>
        <w:t xml:space="preserve"> to use as a Sample/Reference when managing universal service funds, and when funding universal service and access projects and providers. Accordingly the Toolkit builds upon the foundation established through the SADC Protocol on Transport, Communications and Meteorology (“the Protocol”) and the SADC Communications Policies and Model Legislation which provide guidance on the harmonization of policy approaches in the region broadly, but which also specifically address issues relating to universal service and access and the establishment of universal service funds (“USAF” or “Funds”). It furthermore supports the draft documents prepared under the HIPPSA project namely the new SADC ICT Convergence Policy</w:t>
      </w:r>
      <w:r w:rsidRPr="00011AAB">
        <w:rPr>
          <w:vertAlign w:val="superscript"/>
          <w:lang w:val="en-US"/>
        </w:rPr>
        <w:footnoteReference w:id="4"/>
      </w:r>
      <w:r w:rsidRPr="00011AAB">
        <w:rPr>
          <w:lang w:val="en-US"/>
        </w:rPr>
        <w:t>, the revised SADC Regional ICT Policy, and the revised SACT ICT Model Bill</w:t>
      </w:r>
      <w:r w:rsidRPr="00011AAB">
        <w:rPr>
          <w:vertAlign w:val="superscript"/>
          <w:lang w:val="en-US"/>
        </w:rPr>
        <w:footnoteReference w:id="5"/>
      </w:r>
      <w:r w:rsidRPr="00011AAB">
        <w:rPr>
          <w:lang w:val="en-US"/>
        </w:rPr>
        <w:t>.</w:t>
      </w:r>
      <w:r w:rsidR="005E5682">
        <w:rPr>
          <w:lang w:val="en-US"/>
        </w:rPr>
        <w:t xml:space="preserve"> </w:t>
      </w:r>
    </w:p>
    <w:p w:rsidR="00011AAB" w:rsidRPr="00011AAB" w:rsidRDefault="00011AAB" w:rsidP="00011AAB">
      <w:pPr>
        <w:pStyle w:val="HIPNormal"/>
        <w:rPr>
          <w:lang w:val="en-US"/>
        </w:rPr>
      </w:pPr>
      <w:r w:rsidRPr="00011AAB">
        <w:rPr>
          <w:lang w:val="en-US"/>
        </w:rPr>
        <w:t>The Toolkit is a “how to” guide and seeks to provide a pragmatic and practical approach for the management of Universal Service Funds, as well as to consider of other financing mechanisms to enable the implementation of universal access policies, legislation, regulation and strategies, as applicable, in the Member States. A key issue that has been identified at national and regional level with respect to the implementation of universal access and service objectives is that the major challenge relates to implementation. While most countries in the region have set up USAFs – far fewer have started collecting monies, and of those that are collecting monies only 6 have implemented projects and thus disbursed the funds. As such, this Toolkit seeks to address the challenges and provide an overview of best practice with respect to Fund establishment, governance and management (Part 2).</w:t>
      </w:r>
    </w:p>
    <w:p w:rsidR="00011AAB" w:rsidRDefault="00011AAB" w:rsidP="00DC5333">
      <w:pPr>
        <w:pStyle w:val="HIPNormal"/>
        <w:rPr>
          <w:lang w:val="en-US"/>
        </w:rPr>
      </w:pPr>
      <w:r w:rsidRPr="00011AAB">
        <w:rPr>
          <w:lang w:val="en-US"/>
        </w:rPr>
        <w:t xml:space="preserve">The Toolkit deals with all types of funding, however, in guiding the discussion, it refers to the various stages in the ‘life’ of a Fund which are true of any universal access financing model, and are well set out in </w:t>
      </w:r>
      <w:r w:rsidR="00DC5333">
        <w:rPr>
          <w:lang w:val="en-US"/>
        </w:rPr>
        <w:t>Figure 0.1 below</w:t>
      </w:r>
      <w:r w:rsidRPr="00011AAB">
        <w:rPr>
          <w:lang w:val="en-US"/>
        </w:rPr>
        <w:t>. These stages start from the sourcing of funds to project implementation and eventually to project closure following effective monitoring and evaluation.</w:t>
      </w:r>
    </w:p>
    <w:p w:rsidR="00011AAB" w:rsidRDefault="0088668E" w:rsidP="0088668E">
      <w:pPr>
        <w:pStyle w:val="HIPFiguretitle"/>
      </w:pPr>
      <w:bookmarkStart w:id="34" w:name="_Toc286145947"/>
      <w:r w:rsidRPr="0088668E">
        <w:lastRenderedPageBreak/>
        <w:t xml:space="preserve">Figure </w:t>
      </w:r>
      <w:r>
        <w:t>0.</w:t>
      </w:r>
      <w:r w:rsidRPr="0088668E">
        <w:rPr>
          <w:noProof/>
        </w:rPr>
        <w:t>1</w:t>
      </w:r>
      <w:r w:rsidR="00011AAB" w:rsidRPr="00011AAB">
        <w:t>: Universal Acces Project Funding, using Uganda example</w:t>
      </w:r>
      <w:r w:rsidR="00011AAB" w:rsidRPr="00011AAB">
        <w:rPr>
          <w:vertAlign w:val="superscript"/>
          <w:lang w:val="fr-FR"/>
        </w:rPr>
        <w:footnoteReference w:id="6"/>
      </w:r>
      <w:bookmarkEnd w:id="34"/>
    </w:p>
    <w:p w:rsidR="00011AAB" w:rsidRPr="008978A2" w:rsidRDefault="00011AAB" w:rsidP="0088668E">
      <w:pPr>
        <w:pStyle w:val="HIPFigure"/>
      </w:pPr>
      <w:r>
        <w:rPr>
          <w:noProof/>
          <w:lang w:eastAsia="zh-CN"/>
        </w:rPr>
        <w:drawing>
          <wp:inline distT="0" distB="0" distL="0" distR="0">
            <wp:extent cx="3079750" cy="4959985"/>
            <wp:effectExtent l="19050" t="0" r="6350" b="0"/>
            <wp:docPr id="3" name="Picture 1" descr="http://www.ucc.co.ug/rcdf/rcdfProjectsImplementation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cc.co.ug/rcdf/rcdfProjectsImplementationProcess.JPG"/>
                    <pic:cNvPicPr>
                      <a:picLocks noChangeAspect="1" noChangeArrowheads="1"/>
                    </pic:cNvPicPr>
                  </pic:nvPicPr>
                  <pic:blipFill>
                    <a:blip r:embed="rId17" cstate="print">
                      <a:duotone>
                        <a:prstClr val="black"/>
                        <a:schemeClr val="accent3">
                          <a:lumMod val="20000"/>
                          <a:lumOff val="80000"/>
                          <a:tint val="45000"/>
                          <a:satMod val="400000"/>
                        </a:schemeClr>
                      </a:duotone>
                    </a:blip>
                    <a:srcRect/>
                    <a:stretch>
                      <a:fillRect/>
                    </a:stretch>
                  </pic:blipFill>
                  <pic:spPr bwMode="auto">
                    <a:xfrm>
                      <a:off x="0" y="0"/>
                      <a:ext cx="3079750" cy="4959985"/>
                    </a:xfrm>
                    <a:prstGeom prst="rect">
                      <a:avLst/>
                    </a:prstGeom>
                    <a:noFill/>
                    <a:ln w="9525">
                      <a:noFill/>
                      <a:miter lim="800000"/>
                      <a:headEnd/>
                      <a:tailEnd/>
                    </a:ln>
                  </pic:spPr>
                </pic:pic>
              </a:graphicData>
            </a:graphic>
          </wp:inline>
        </w:drawing>
      </w:r>
    </w:p>
    <w:p w:rsidR="00011AAB" w:rsidRPr="008978A2" w:rsidRDefault="00011AAB" w:rsidP="0088668E">
      <w:pPr>
        <w:pStyle w:val="HIPfiguresource"/>
      </w:pPr>
    </w:p>
    <w:p w:rsidR="00011AAB" w:rsidRDefault="00011AAB" w:rsidP="00011AAB">
      <w:pPr>
        <w:pStyle w:val="HIPNormal"/>
        <w:rPr>
          <w:lang w:val="en-US"/>
        </w:rPr>
      </w:pPr>
    </w:p>
    <w:p w:rsidR="00011AAB" w:rsidRPr="00011AAB" w:rsidRDefault="00011AAB" w:rsidP="00011AAB">
      <w:pPr>
        <w:pStyle w:val="HIPNormal"/>
        <w:rPr>
          <w:lang w:val="en-US"/>
        </w:rPr>
      </w:pPr>
      <w:r w:rsidRPr="00011AAB">
        <w:rPr>
          <w:lang w:val="en-US"/>
        </w:rPr>
        <w:t>The Toolkit is designed to consolidate an account of experiences, best practices, checklists and Sample/References for the planning, financing and implementation of Funds and projects.</w:t>
      </w:r>
      <w:r w:rsidR="005E5682">
        <w:rPr>
          <w:lang w:val="en-US"/>
        </w:rPr>
        <w:t xml:space="preserve"> </w:t>
      </w:r>
      <w:r w:rsidRPr="00011AAB">
        <w:rPr>
          <w:lang w:val="en-US"/>
        </w:rPr>
        <w:t>It is addressed in the main to policy makers, regulators and fund administrators in the SADC region, as well as other interested parties including the private sector, who wish to ensure the effective use of Universal Service Funds and implementation of universal access strategies. In addition to encouraging use of Funds in an appropriate manner, the Toolkit has amongst its aims the harmonization of approaches across the region. This will ensure that a best practice approach is taken in each country, promote similar approaches across the region, and may even encou</w:t>
      </w:r>
      <w:r>
        <w:rPr>
          <w:lang w:val="en-US"/>
        </w:rPr>
        <w:t xml:space="preserve">rage cross border initiatives. </w:t>
      </w:r>
    </w:p>
    <w:p w:rsidR="00011AAB" w:rsidRDefault="00011AAB" w:rsidP="00011AAB">
      <w:pPr>
        <w:pStyle w:val="HIPNormal"/>
        <w:rPr>
          <w:lang w:val="en-US"/>
        </w:rPr>
      </w:pPr>
    </w:p>
    <w:p w:rsidR="00011AAB" w:rsidRDefault="00011AAB" w:rsidP="009006C7">
      <w:pPr>
        <w:pStyle w:val="HIPNormal"/>
        <w:rPr>
          <w:lang w:val="en-US"/>
        </w:rPr>
      </w:pPr>
    </w:p>
    <w:p w:rsidR="00ED0C71" w:rsidRDefault="00ED0C71">
      <w:pPr>
        <w:rPr>
          <w:lang w:val="en-US"/>
        </w:rPr>
        <w:sectPr w:rsidR="00ED0C71" w:rsidSect="009006C7">
          <w:headerReference w:type="first" r:id="rId18"/>
          <w:footerReference w:type="first" r:id="rId19"/>
          <w:type w:val="oddPage"/>
          <w:pgSz w:w="11907" w:h="16840" w:code="9"/>
          <w:pgMar w:top="1701" w:right="1418" w:bottom="1418" w:left="1418" w:header="709" w:footer="709" w:gutter="0"/>
          <w:pgNumType w:fmt="lowerRoman"/>
          <w:cols w:space="720"/>
          <w:titlePg/>
        </w:sectPr>
      </w:pPr>
    </w:p>
    <w:p w:rsidR="00ED0C71" w:rsidRPr="003000B4" w:rsidRDefault="00ED0C71" w:rsidP="00BC1EC4">
      <w:pPr>
        <w:pStyle w:val="HIPChaptReportTitle"/>
        <w:numPr>
          <w:ilvl w:val="0"/>
          <w:numId w:val="0"/>
        </w:numPr>
        <w:rPr>
          <w:lang w:val="en-US"/>
        </w:rPr>
      </w:pPr>
      <w:bookmarkStart w:id="35" w:name="_Toc263930331"/>
      <w:bookmarkStart w:id="36" w:name="_Toc286144946"/>
      <w:r w:rsidRPr="003000B4">
        <w:rPr>
          <w:lang w:val="en-US"/>
        </w:rPr>
        <w:lastRenderedPageBreak/>
        <w:t>Glossary</w:t>
      </w:r>
      <w:bookmarkEnd w:id="35"/>
      <w:bookmarkEnd w:id="36"/>
    </w:p>
    <w:p w:rsidR="00ED0C71" w:rsidRDefault="00ED0C71" w:rsidP="00ED0C71">
      <w:pPr>
        <w:pStyle w:val="HIPNormal"/>
        <w:rPr>
          <w:lang w:val="en-US"/>
        </w:rPr>
      </w:pPr>
    </w:p>
    <w:p w:rsidR="00054A3F" w:rsidRPr="008E340F" w:rsidRDefault="00054A3F" w:rsidP="00054A3F">
      <w:pPr>
        <w:pStyle w:val="HIPNormal"/>
        <w:rPr>
          <w:lang w:val="en-US"/>
        </w:rPr>
      </w:pPr>
      <w:r w:rsidRPr="008E340F">
        <w:rPr>
          <w:b/>
          <w:bCs/>
          <w:lang w:val="en-US"/>
        </w:rPr>
        <w:t>ACA</w:t>
      </w:r>
      <w:r w:rsidRPr="008E340F">
        <w:rPr>
          <w:lang w:val="en-US"/>
        </w:rPr>
        <w:tab/>
      </w:r>
      <w:r w:rsidRPr="008E340F">
        <w:rPr>
          <w:lang w:val="en-US"/>
        </w:rPr>
        <w:tab/>
        <w:t>Australian Communications Authority</w:t>
      </w:r>
    </w:p>
    <w:p w:rsidR="00054A3F" w:rsidRPr="008E340F" w:rsidRDefault="00054A3F" w:rsidP="00FF6919">
      <w:pPr>
        <w:pStyle w:val="HIPNormal"/>
        <w:spacing w:before="120"/>
        <w:rPr>
          <w:lang w:val="en-US"/>
        </w:rPr>
      </w:pPr>
      <w:r w:rsidRPr="008E340F">
        <w:rPr>
          <w:b/>
          <w:bCs/>
          <w:lang w:val="en-US"/>
        </w:rPr>
        <w:t>ACMA</w:t>
      </w:r>
      <w:r w:rsidRPr="008E340F">
        <w:rPr>
          <w:lang w:val="en-US"/>
        </w:rPr>
        <w:t xml:space="preserve"> </w:t>
      </w:r>
      <w:r w:rsidRPr="008E340F">
        <w:rPr>
          <w:lang w:val="en-US"/>
        </w:rPr>
        <w:tab/>
      </w:r>
      <w:r w:rsidRPr="008E340F">
        <w:rPr>
          <w:lang w:val="en-US"/>
        </w:rPr>
        <w:tab/>
        <w:t>Australian Communications and Media Authority</w:t>
      </w:r>
    </w:p>
    <w:p w:rsidR="00054A3F" w:rsidRPr="00054A3F" w:rsidRDefault="00054A3F" w:rsidP="00FF6919">
      <w:pPr>
        <w:pStyle w:val="HIPNormal"/>
        <w:spacing w:before="120"/>
      </w:pPr>
      <w:r w:rsidRPr="00054A3F">
        <w:rPr>
          <w:b/>
          <w:bCs/>
        </w:rPr>
        <w:t>AISI</w:t>
      </w:r>
      <w:r w:rsidRPr="00054A3F">
        <w:t xml:space="preserve"> </w:t>
      </w:r>
      <w:r>
        <w:tab/>
      </w:r>
      <w:r>
        <w:tab/>
      </w:r>
      <w:r w:rsidRPr="00054A3F">
        <w:t>African Information Society Initiative</w:t>
      </w:r>
    </w:p>
    <w:p w:rsidR="00054A3F" w:rsidRPr="00054A3F" w:rsidRDefault="00054A3F" w:rsidP="00FF6919">
      <w:pPr>
        <w:pStyle w:val="HIPNormal"/>
        <w:spacing w:before="120"/>
      </w:pPr>
      <w:r w:rsidRPr="00054A3F">
        <w:rPr>
          <w:b/>
          <w:bCs/>
        </w:rPr>
        <w:t>ANRT</w:t>
      </w:r>
      <w:r w:rsidRPr="00054A3F">
        <w:t xml:space="preserve"> </w:t>
      </w:r>
      <w:r>
        <w:tab/>
      </w:r>
      <w:r>
        <w:tab/>
      </w:r>
      <w:r w:rsidRPr="00054A3F">
        <w:t>L'Association nationale de la recherche et de la technologie</w:t>
      </w:r>
    </w:p>
    <w:p w:rsidR="00054A3F" w:rsidRPr="00054A3F" w:rsidRDefault="00054A3F" w:rsidP="00FF6919">
      <w:pPr>
        <w:pStyle w:val="HIPNormal"/>
        <w:spacing w:before="120"/>
      </w:pPr>
      <w:r w:rsidRPr="00054A3F">
        <w:rPr>
          <w:b/>
          <w:bCs/>
        </w:rPr>
        <w:t>ARPTC</w:t>
      </w:r>
      <w:r w:rsidRPr="00054A3F">
        <w:t xml:space="preserve"> </w:t>
      </w:r>
      <w:r>
        <w:tab/>
      </w:r>
      <w:r>
        <w:tab/>
      </w:r>
      <w:r w:rsidRPr="00054A3F">
        <w:t>Autorite de Regulation de la Poste et des Telecommunications du Congo</w:t>
      </w:r>
    </w:p>
    <w:p w:rsidR="00054A3F" w:rsidRPr="00054A3F" w:rsidRDefault="00054A3F" w:rsidP="00FF6919">
      <w:pPr>
        <w:pStyle w:val="HIPNormal"/>
        <w:spacing w:before="120"/>
        <w:rPr>
          <w:lang w:val="en-GB"/>
        </w:rPr>
      </w:pPr>
      <w:r w:rsidRPr="00054A3F">
        <w:rPr>
          <w:b/>
          <w:bCs/>
          <w:lang w:val="en-US"/>
        </w:rPr>
        <w:t>AUSAF</w:t>
      </w:r>
      <w:r w:rsidRPr="00054A3F">
        <w:rPr>
          <w:b/>
          <w:bCs/>
          <w:lang w:val="en-GB"/>
        </w:rPr>
        <w:t>A</w:t>
      </w:r>
      <w:r>
        <w:rPr>
          <w:lang w:val="en-GB"/>
        </w:rPr>
        <w:tab/>
      </w:r>
      <w:r w:rsidRPr="00054A3F">
        <w:rPr>
          <w:lang w:val="en-GB"/>
        </w:rPr>
        <w:t xml:space="preserve">African Universal Service and Access Fund Association </w:t>
      </w:r>
    </w:p>
    <w:p w:rsidR="00054A3F" w:rsidRPr="00054A3F" w:rsidRDefault="00054A3F" w:rsidP="00FF6919">
      <w:pPr>
        <w:pStyle w:val="HIPNormal"/>
        <w:spacing w:before="120"/>
        <w:rPr>
          <w:lang w:val="en-GB"/>
        </w:rPr>
      </w:pPr>
      <w:r w:rsidRPr="00054A3F">
        <w:rPr>
          <w:b/>
          <w:bCs/>
          <w:lang w:val="en-GB"/>
        </w:rPr>
        <w:t>BEREC</w:t>
      </w:r>
      <w:r>
        <w:rPr>
          <w:lang w:val="en-GB"/>
        </w:rPr>
        <w:t xml:space="preserve"> </w:t>
      </w:r>
      <w:r>
        <w:rPr>
          <w:lang w:val="en-GB"/>
        </w:rPr>
        <w:tab/>
      </w:r>
      <w:r>
        <w:rPr>
          <w:lang w:val="en-GB"/>
        </w:rPr>
        <w:tab/>
      </w:r>
      <w:r w:rsidRPr="00054A3F">
        <w:rPr>
          <w:lang w:val="en-US"/>
        </w:rPr>
        <w:t>Body of European Regulators for Electronic Communications</w:t>
      </w:r>
    </w:p>
    <w:p w:rsidR="00054A3F" w:rsidRPr="00054A3F" w:rsidRDefault="00054A3F" w:rsidP="00FF6919">
      <w:pPr>
        <w:pStyle w:val="HIPNormal"/>
        <w:spacing w:before="120"/>
        <w:rPr>
          <w:lang w:val="en-GB"/>
        </w:rPr>
      </w:pPr>
      <w:r w:rsidRPr="00054A3F">
        <w:rPr>
          <w:b/>
          <w:bCs/>
          <w:lang w:val="en-GB"/>
        </w:rPr>
        <w:t>BIP</w:t>
      </w:r>
      <w:r>
        <w:rPr>
          <w:lang w:val="en-GB"/>
        </w:rPr>
        <w:tab/>
      </w:r>
      <w:r>
        <w:rPr>
          <w:lang w:val="en-GB"/>
        </w:rPr>
        <w:tab/>
      </w:r>
      <w:r w:rsidRPr="00054A3F">
        <w:rPr>
          <w:lang w:val="en-GB"/>
        </w:rPr>
        <w:t>Broadband Initiatives Program</w:t>
      </w:r>
    </w:p>
    <w:p w:rsidR="00054A3F" w:rsidRPr="00054A3F" w:rsidRDefault="00054A3F" w:rsidP="0088668E">
      <w:pPr>
        <w:pStyle w:val="HIPNormal"/>
        <w:spacing w:before="120"/>
        <w:rPr>
          <w:lang w:val="en-GB"/>
        </w:rPr>
      </w:pPr>
      <w:r w:rsidRPr="00054A3F">
        <w:rPr>
          <w:b/>
          <w:bCs/>
          <w:lang w:val="en-GB"/>
        </w:rPr>
        <w:t>BTOP</w:t>
      </w:r>
      <w:r w:rsidR="00D71821">
        <w:rPr>
          <w:lang w:val="en-GB"/>
        </w:rPr>
        <w:t xml:space="preserve"> </w:t>
      </w:r>
      <w:r>
        <w:rPr>
          <w:lang w:val="en-GB"/>
        </w:rPr>
        <w:tab/>
      </w:r>
      <w:r>
        <w:rPr>
          <w:lang w:val="en-GB"/>
        </w:rPr>
        <w:tab/>
      </w:r>
      <w:r w:rsidRPr="00054A3F">
        <w:rPr>
          <w:lang w:val="en-GB"/>
        </w:rPr>
        <w:t>Broadband Technology Opportunities Program</w:t>
      </w:r>
    </w:p>
    <w:p w:rsidR="00054A3F" w:rsidRPr="00054A3F" w:rsidRDefault="00054A3F" w:rsidP="00FF6919">
      <w:pPr>
        <w:pStyle w:val="HIPNormal"/>
        <w:spacing w:before="120"/>
        <w:rPr>
          <w:lang w:val="en-GB"/>
        </w:rPr>
      </w:pPr>
      <w:r w:rsidRPr="00054A3F">
        <w:rPr>
          <w:b/>
          <w:bCs/>
          <w:lang w:val="en-GB"/>
        </w:rPr>
        <w:t>BOT</w:t>
      </w:r>
      <w:r w:rsidR="00D71821">
        <w:rPr>
          <w:lang w:val="en-GB"/>
        </w:rPr>
        <w:t xml:space="preserve"> </w:t>
      </w:r>
      <w:r>
        <w:rPr>
          <w:lang w:val="en-GB"/>
        </w:rPr>
        <w:tab/>
      </w:r>
      <w:r>
        <w:rPr>
          <w:lang w:val="en-GB"/>
        </w:rPr>
        <w:tab/>
      </w:r>
      <w:r w:rsidRPr="00054A3F">
        <w:rPr>
          <w:lang w:val="en-GB"/>
        </w:rPr>
        <w:t>build, operate and transfer</w:t>
      </w:r>
    </w:p>
    <w:p w:rsidR="00054A3F" w:rsidRPr="00054A3F" w:rsidRDefault="00054A3F" w:rsidP="0088668E">
      <w:pPr>
        <w:pStyle w:val="HIPNormal"/>
        <w:spacing w:before="120"/>
        <w:rPr>
          <w:lang w:val="en-GB"/>
        </w:rPr>
      </w:pPr>
      <w:r w:rsidRPr="00054A3F">
        <w:rPr>
          <w:b/>
          <w:bCs/>
          <w:lang w:val="en-GB"/>
        </w:rPr>
        <w:t>BTA</w:t>
      </w:r>
      <w:r w:rsidR="00D71821">
        <w:rPr>
          <w:b/>
          <w:bCs/>
          <w:lang w:val="en-GB"/>
        </w:rPr>
        <w:t xml:space="preserve"> </w:t>
      </w:r>
      <w:r>
        <w:rPr>
          <w:lang w:val="en-GB"/>
        </w:rPr>
        <w:tab/>
      </w:r>
      <w:r>
        <w:rPr>
          <w:lang w:val="en-GB"/>
        </w:rPr>
        <w:tab/>
      </w:r>
      <w:smartTag w:uri="urn:schemas-microsoft-com:office:smarttags" w:element="place">
        <w:smartTag w:uri="urn:schemas-microsoft-com:office:smarttags" w:element="country-region">
          <w:r w:rsidRPr="00054A3F">
            <w:rPr>
              <w:iCs/>
              <w:lang w:val="en-GB"/>
            </w:rPr>
            <w:t>Botswana</w:t>
          </w:r>
        </w:smartTag>
      </w:smartTag>
      <w:r w:rsidRPr="00054A3F">
        <w:rPr>
          <w:lang w:val="en-GB"/>
        </w:rPr>
        <w:t xml:space="preserve"> Telecommunications Authority</w:t>
      </w:r>
    </w:p>
    <w:p w:rsidR="00054A3F" w:rsidRPr="00054A3F" w:rsidRDefault="00054A3F" w:rsidP="0088668E">
      <w:pPr>
        <w:pStyle w:val="HIPNormal"/>
        <w:spacing w:before="120"/>
        <w:rPr>
          <w:lang w:val="en-GB"/>
        </w:rPr>
      </w:pPr>
      <w:r w:rsidRPr="00054A3F">
        <w:rPr>
          <w:b/>
          <w:bCs/>
          <w:lang w:val="en-GB"/>
        </w:rPr>
        <w:t>BTO</w:t>
      </w:r>
      <w:r w:rsidR="00D71821">
        <w:rPr>
          <w:b/>
          <w:bCs/>
          <w:lang w:val="en-GB"/>
        </w:rPr>
        <w:t xml:space="preserve"> </w:t>
      </w:r>
      <w:r>
        <w:rPr>
          <w:lang w:val="en-GB"/>
        </w:rPr>
        <w:tab/>
      </w:r>
      <w:r>
        <w:rPr>
          <w:lang w:val="en-GB"/>
        </w:rPr>
        <w:tab/>
      </w:r>
      <w:r w:rsidRPr="00054A3F">
        <w:rPr>
          <w:lang w:val="en-GB"/>
        </w:rPr>
        <w:t>build, transfer and operate</w:t>
      </w:r>
    </w:p>
    <w:p w:rsidR="00054A3F" w:rsidRPr="00054A3F" w:rsidRDefault="00054A3F" w:rsidP="00FF6919">
      <w:pPr>
        <w:pStyle w:val="HIPNormal"/>
        <w:spacing w:before="120"/>
        <w:rPr>
          <w:lang w:val="en-GB"/>
        </w:rPr>
      </w:pPr>
      <w:r w:rsidRPr="00054A3F">
        <w:rPr>
          <w:b/>
          <w:bCs/>
          <w:lang w:val="en-GB"/>
        </w:rPr>
        <w:t>BTOP</w:t>
      </w:r>
      <w:r>
        <w:rPr>
          <w:lang w:val="en-GB"/>
        </w:rPr>
        <w:tab/>
      </w:r>
      <w:r>
        <w:rPr>
          <w:lang w:val="en-GB"/>
        </w:rPr>
        <w:tab/>
      </w:r>
      <w:r w:rsidRPr="00054A3F">
        <w:rPr>
          <w:lang w:val="en-US"/>
        </w:rPr>
        <w:t>Broadband Technology Opportunities Program</w:t>
      </w:r>
    </w:p>
    <w:p w:rsidR="00054A3F" w:rsidRPr="00054A3F" w:rsidRDefault="00054A3F" w:rsidP="00FF6919">
      <w:pPr>
        <w:pStyle w:val="HIPNormal"/>
        <w:spacing w:before="120"/>
        <w:rPr>
          <w:lang w:val="en-GB"/>
        </w:rPr>
      </w:pPr>
      <w:r w:rsidRPr="00054A3F">
        <w:rPr>
          <w:b/>
          <w:bCs/>
          <w:lang w:val="en-GB"/>
        </w:rPr>
        <w:t>BTRC</w:t>
      </w:r>
      <w:r w:rsidRPr="00054A3F">
        <w:rPr>
          <w:lang w:val="en-GB"/>
        </w:rPr>
        <w:t xml:space="preserve"> </w:t>
      </w:r>
      <w:r>
        <w:rPr>
          <w:lang w:val="en-GB"/>
        </w:rPr>
        <w:tab/>
      </w:r>
      <w:r>
        <w:rPr>
          <w:lang w:val="en-GB"/>
        </w:rPr>
        <w:tab/>
      </w:r>
      <w:r w:rsidRPr="00054A3F">
        <w:rPr>
          <w:bCs/>
          <w:iCs/>
          <w:lang w:val="en-GB"/>
        </w:rPr>
        <w:t>Bangladesh Telecommunications Regulatory Commission</w:t>
      </w:r>
    </w:p>
    <w:p w:rsidR="00054A3F" w:rsidRPr="00054A3F" w:rsidRDefault="00054A3F" w:rsidP="00FF6919">
      <w:pPr>
        <w:pStyle w:val="HIPNormal"/>
        <w:spacing w:before="120"/>
        <w:rPr>
          <w:bCs/>
          <w:iCs/>
          <w:lang w:val="en-US"/>
        </w:rPr>
      </w:pPr>
      <w:r w:rsidRPr="00054A3F">
        <w:rPr>
          <w:b/>
          <w:iCs/>
          <w:lang w:val="en-US"/>
        </w:rPr>
        <w:t>CAPEX</w:t>
      </w:r>
      <w:r>
        <w:rPr>
          <w:bCs/>
          <w:iCs/>
          <w:lang w:val="en-US"/>
        </w:rPr>
        <w:tab/>
      </w:r>
      <w:r>
        <w:rPr>
          <w:bCs/>
          <w:iCs/>
          <w:lang w:val="en-US"/>
        </w:rPr>
        <w:tab/>
      </w:r>
      <w:r w:rsidRPr="00054A3F">
        <w:rPr>
          <w:bCs/>
          <w:iCs/>
          <w:lang w:val="en-US"/>
        </w:rPr>
        <w:t>Capital expenditures</w:t>
      </w:r>
    </w:p>
    <w:p w:rsidR="00054A3F" w:rsidRPr="00054A3F" w:rsidRDefault="00054A3F" w:rsidP="00FF6919">
      <w:pPr>
        <w:pStyle w:val="HIPNormal"/>
        <w:spacing w:before="120"/>
        <w:rPr>
          <w:lang w:val="fr-CH"/>
        </w:rPr>
      </w:pPr>
      <w:r w:rsidRPr="00054A3F">
        <w:rPr>
          <w:b/>
          <w:bCs/>
          <w:lang w:val="fr-CH"/>
        </w:rPr>
        <w:t>CDMA</w:t>
      </w:r>
      <w:r>
        <w:rPr>
          <w:lang w:val="fr-CH"/>
        </w:rPr>
        <w:tab/>
      </w:r>
      <w:r w:rsidRPr="00054A3F">
        <w:rPr>
          <w:lang w:val="fr-CH"/>
        </w:rPr>
        <w:tab/>
        <w:t>Code Division Multiple Access</w:t>
      </w:r>
    </w:p>
    <w:p w:rsidR="00054A3F" w:rsidRPr="00054A3F" w:rsidRDefault="00054A3F" w:rsidP="00FF6919">
      <w:pPr>
        <w:pStyle w:val="HIPNormal"/>
        <w:spacing w:before="120"/>
      </w:pPr>
      <w:r w:rsidRPr="00054A3F">
        <w:rPr>
          <w:b/>
          <w:bCs/>
          <w:lang w:val="fr-CH"/>
        </w:rPr>
        <w:t>CG</w:t>
      </w:r>
      <w:r w:rsidRPr="00054A3F">
        <w:rPr>
          <w:b/>
          <w:bCs/>
        </w:rPr>
        <w:t>SUT</w:t>
      </w:r>
      <w:r>
        <w:tab/>
      </w:r>
      <w:r>
        <w:tab/>
      </w:r>
      <w:r w:rsidRPr="00054A3F">
        <w:t>Comité de Gestion du Service Universel de Télécommunications</w:t>
      </w:r>
    </w:p>
    <w:p w:rsidR="00054A3F" w:rsidRPr="00054A3F" w:rsidRDefault="00054A3F" w:rsidP="00FF6919">
      <w:pPr>
        <w:pStyle w:val="HIPNormal"/>
        <w:spacing w:before="120"/>
        <w:rPr>
          <w:lang w:val="en-US"/>
        </w:rPr>
      </w:pPr>
      <w:r w:rsidRPr="00054A3F">
        <w:rPr>
          <w:b/>
          <w:bCs/>
          <w:lang w:val="en-US"/>
        </w:rPr>
        <w:t>COMESA</w:t>
      </w:r>
      <w:r w:rsidRPr="00054A3F">
        <w:rPr>
          <w:lang w:val="en-US"/>
        </w:rPr>
        <w:tab/>
        <w:t>Common Market for Eastern and Southern Africa</w:t>
      </w:r>
    </w:p>
    <w:p w:rsidR="00054A3F" w:rsidRPr="00054A3F" w:rsidRDefault="00054A3F" w:rsidP="00FF6919">
      <w:pPr>
        <w:pStyle w:val="HIPNormal"/>
        <w:spacing w:before="120"/>
        <w:rPr>
          <w:lang w:val="es-ES_tradnl"/>
        </w:rPr>
      </w:pPr>
      <w:r w:rsidRPr="00054A3F">
        <w:rPr>
          <w:b/>
          <w:bCs/>
          <w:lang w:val="es-ES_tradnl"/>
        </w:rPr>
        <w:t>CONATEL</w:t>
      </w:r>
      <w:r w:rsidRPr="00054A3F">
        <w:rPr>
          <w:lang w:val="es-ES_tradnl"/>
        </w:rPr>
        <w:tab/>
      </w:r>
      <w:r w:rsidRPr="00054A3F">
        <w:rPr>
          <w:i/>
          <w:iCs/>
          <w:lang w:val="es-ES_tradnl"/>
        </w:rPr>
        <w:t>Commission Nacional de Telecomunicaciones Ecuador</w:t>
      </w:r>
    </w:p>
    <w:p w:rsidR="00054A3F" w:rsidRPr="00054A3F" w:rsidRDefault="00054A3F" w:rsidP="00FF6919">
      <w:pPr>
        <w:pStyle w:val="HIPNormal"/>
        <w:spacing w:before="120"/>
        <w:rPr>
          <w:lang w:val="en-GB"/>
        </w:rPr>
      </w:pPr>
      <w:r w:rsidRPr="00054A3F">
        <w:rPr>
          <w:b/>
          <w:bCs/>
          <w:lang w:val="en-US"/>
        </w:rPr>
        <w:t>CPE</w:t>
      </w:r>
      <w:r w:rsidRPr="00054A3F">
        <w:rPr>
          <w:lang w:val="en-US"/>
        </w:rPr>
        <w:t xml:space="preserve"> </w:t>
      </w:r>
      <w:r w:rsidRPr="00054A3F">
        <w:rPr>
          <w:lang w:val="en-US"/>
        </w:rPr>
        <w:tab/>
      </w:r>
      <w:r w:rsidRPr="00054A3F">
        <w:rPr>
          <w:lang w:val="en-US"/>
        </w:rPr>
        <w:tab/>
        <w:t>Custo</w:t>
      </w:r>
      <w:r w:rsidRPr="00054A3F">
        <w:rPr>
          <w:lang w:val="en-GB"/>
        </w:rPr>
        <w:t>mer Premises Equipment</w:t>
      </w:r>
    </w:p>
    <w:p w:rsidR="00054A3F" w:rsidRPr="00054A3F" w:rsidRDefault="00054A3F" w:rsidP="00FF6919">
      <w:pPr>
        <w:pStyle w:val="HIPNormal"/>
        <w:spacing w:before="120"/>
        <w:rPr>
          <w:lang w:val="en-GB"/>
        </w:rPr>
      </w:pPr>
      <w:r w:rsidRPr="00054A3F">
        <w:rPr>
          <w:b/>
          <w:bCs/>
          <w:lang w:val="en-GB"/>
        </w:rPr>
        <w:t>CRASA</w:t>
      </w:r>
      <w:r w:rsidRPr="00054A3F">
        <w:rPr>
          <w:lang w:val="en-GB"/>
        </w:rPr>
        <w:t xml:space="preserve"> </w:t>
      </w:r>
      <w:r>
        <w:rPr>
          <w:lang w:val="en-GB"/>
        </w:rPr>
        <w:tab/>
      </w:r>
      <w:r>
        <w:rPr>
          <w:lang w:val="en-GB"/>
        </w:rPr>
        <w:tab/>
      </w:r>
      <w:r w:rsidRPr="00054A3F">
        <w:rPr>
          <w:lang w:val="en-GB"/>
        </w:rPr>
        <w:t xml:space="preserve">Communications Regulatory Association of </w:t>
      </w:r>
      <w:smartTag w:uri="urn:schemas-microsoft-com:office:smarttags" w:element="place">
        <w:r w:rsidRPr="00054A3F">
          <w:rPr>
            <w:lang w:val="en-GB"/>
          </w:rPr>
          <w:t>Southern Africa</w:t>
        </w:r>
      </w:smartTag>
      <w:r w:rsidRPr="00054A3F">
        <w:rPr>
          <w:lang w:val="en-GB"/>
        </w:rPr>
        <w:t xml:space="preserve"> </w:t>
      </w:r>
    </w:p>
    <w:p w:rsidR="00054A3F" w:rsidRPr="00054A3F" w:rsidRDefault="00054A3F" w:rsidP="00FF6919">
      <w:pPr>
        <w:pStyle w:val="HIPNormal"/>
        <w:spacing w:before="120"/>
        <w:rPr>
          <w:lang w:val="en-GB"/>
        </w:rPr>
      </w:pPr>
      <w:r w:rsidRPr="00054A3F">
        <w:rPr>
          <w:b/>
          <w:bCs/>
          <w:lang w:val="en-GB"/>
        </w:rPr>
        <w:t>CRAN</w:t>
      </w:r>
      <w:r>
        <w:rPr>
          <w:lang w:val="en-GB"/>
        </w:rPr>
        <w:tab/>
      </w:r>
      <w:r>
        <w:rPr>
          <w:lang w:val="en-GB"/>
        </w:rPr>
        <w:tab/>
      </w:r>
      <w:r w:rsidRPr="00054A3F">
        <w:rPr>
          <w:lang w:val="en-GB"/>
        </w:rPr>
        <w:t xml:space="preserve">Communications Regulatory Communications Regulatory Authority of </w:t>
      </w:r>
      <w:smartTag w:uri="urn:schemas-microsoft-com:office:smarttags" w:element="place">
        <w:smartTag w:uri="urn:schemas-microsoft-com:office:smarttags" w:element="country-region">
          <w:r w:rsidRPr="00054A3F">
            <w:rPr>
              <w:lang w:val="en-GB"/>
            </w:rPr>
            <w:t>Namibia</w:t>
          </w:r>
        </w:smartTag>
      </w:smartTag>
    </w:p>
    <w:p w:rsidR="00054A3F" w:rsidRPr="00054A3F" w:rsidRDefault="00054A3F" w:rsidP="00FF6919">
      <w:pPr>
        <w:pStyle w:val="HIPNormal"/>
        <w:spacing w:before="120"/>
        <w:rPr>
          <w:lang w:val="en-GB"/>
        </w:rPr>
      </w:pPr>
      <w:r w:rsidRPr="00054A3F">
        <w:rPr>
          <w:b/>
          <w:bCs/>
          <w:lang w:val="en-GB"/>
        </w:rPr>
        <w:t>DDSO</w:t>
      </w:r>
      <w:r>
        <w:rPr>
          <w:lang w:val="en-GB"/>
        </w:rPr>
        <w:tab/>
      </w:r>
      <w:r>
        <w:rPr>
          <w:lang w:val="en-GB"/>
        </w:rPr>
        <w:tab/>
      </w:r>
      <w:r w:rsidRPr="00054A3F">
        <w:rPr>
          <w:lang w:val="en-GB"/>
        </w:rPr>
        <w:t>Digital data service obligation</w:t>
      </w:r>
    </w:p>
    <w:p w:rsidR="00054A3F" w:rsidRPr="00054A3F" w:rsidRDefault="00054A3F" w:rsidP="00FF6919">
      <w:pPr>
        <w:pStyle w:val="HIPNormal"/>
        <w:spacing w:before="120"/>
        <w:rPr>
          <w:lang w:val="en-GB"/>
        </w:rPr>
      </w:pPr>
      <w:r w:rsidRPr="00054A3F">
        <w:rPr>
          <w:b/>
          <w:bCs/>
          <w:lang w:val="en-GB"/>
        </w:rPr>
        <w:t>DSL</w:t>
      </w:r>
      <w:r>
        <w:rPr>
          <w:lang w:val="en-GB"/>
        </w:rPr>
        <w:tab/>
      </w:r>
      <w:r>
        <w:rPr>
          <w:lang w:val="en-GB"/>
        </w:rPr>
        <w:tab/>
      </w:r>
      <w:r w:rsidRPr="00054A3F">
        <w:rPr>
          <w:lang w:val="en-GB"/>
        </w:rPr>
        <w:t>Digital subscriber line</w:t>
      </w:r>
    </w:p>
    <w:p w:rsidR="00054A3F" w:rsidRPr="00054A3F" w:rsidRDefault="00054A3F" w:rsidP="00FF6919">
      <w:pPr>
        <w:pStyle w:val="HIPNormal"/>
        <w:spacing w:before="120"/>
        <w:rPr>
          <w:lang w:val="en-GB"/>
        </w:rPr>
      </w:pPr>
      <w:r w:rsidRPr="00054A3F">
        <w:rPr>
          <w:b/>
          <w:bCs/>
          <w:lang w:val="en-GB"/>
        </w:rPr>
        <w:t>DRC</w:t>
      </w:r>
      <w:r>
        <w:rPr>
          <w:lang w:val="en-GB"/>
        </w:rPr>
        <w:tab/>
      </w:r>
      <w:r>
        <w:rPr>
          <w:lang w:val="en-GB"/>
        </w:rPr>
        <w:tab/>
      </w:r>
      <w:r w:rsidRPr="00054A3F">
        <w:rPr>
          <w:lang w:val="en-GB"/>
        </w:rPr>
        <w:t xml:space="preserve">Democratic Republic of the Congo </w:t>
      </w:r>
    </w:p>
    <w:p w:rsidR="00054A3F" w:rsidRPr="00054A3F" w:rsidRDefault="00054A3F" w:rsidP="00FF6919">
      <w:pPr>
        <w:pStyle w:val="HIPNormal"/>
        <w:spacing w:before="120"/>
        <w:rPr>
          <w:lang w:val="en-GB"/>
        </w:rPr>
      </w:pPr>
      <w:r w:rsidRPr="00054A3F">
        <w:rPr>
          <w:b/>
          <w:bCs/>
          <w:lang w:val="en-GB"/>
        </w:rPr>
        <w:t>EASSSy</w:t>
      </w:r>
      <w:r>
        <w:rPr>
          <w:lang w:val="en-GB"/>
        </w:rPr>
        <w:tab/>
      </w:r>
      <w:r>
        <w:rPr>
          <w:lang w:val="en-GB"/>
        </w:rPr>
        <w:tab/>
      </w:r>
      <w:r w:rsidRPr="00054A3F">
        <w:rPr>
          <w:lang w:val="en-GB"/>
        </w:rPr>
        <w:t>Eastern Africa Submarine Cable System</w:t>
      </w:r>
    </w:p>
    <w:p w:rsidR="00054A3F" w:rsidRPr="00054A3F" w:rsidRDefault="00054A3F" w:rsidP="00FF6919">
      <w:pPr>
        <w:pStyle w:val="HIPNormal"/>
        <w:spacing w:before="120"/>
        <w:rPr>
          <w:lang w:val="en-GB"/>
        </w:rPr>
      </w:pPr>
      <w:r w:rsidRPr="00054A3F">
        <w:rPr>
          <w:b/>
          <w:bCs/>
          <w:lang w:val="en-GB"/>
        </w:rPr>
        <w:t>EC</w:t>
      </w:r>
      <w:r>
        <w:rPr>
          <w:lang w:val="en-GB"/>
        </w:rPr>
        <w:tab/>
      </w:r>
      <w:r>
        <w:rPr>
          <w:lang w:val="en-GB"/>
        </w:rPr>
        <w:tab/>
      </w:r>
      <w:r w:rsidRPr="00054A3F">
        <w:rPr>
          <w:lang w:val="en-GB"/>
        </w:rPr>
        <w:t>European Commission</w:t>
      </w:r>
    </w:p>
    <w:p w:rsidR="00054A3F" w:rsidRPr="00054A3F" w:rsidRDefault="00054A3F" w:rsidP="00FF6919">
      <w:pPr>
        <w:pStyle w:val="HIPNormal"/>
        <w:spacing w:before="120"/>
        <w:rPr>
          <w:lang w:val="en-GB"/>
        </w:rPr>
      </w:pPr>
      <w:r w:rsidRPr="00054A3F">
        <w:rPr>
          <w:b/>
          <w:bCs/>
          <w:lang w:val="en-GB"/>
        </w:rPr>
        <w:t>ECJ</w:t>
      </w:r>
      <w:r>
        <w:rPr>
          <w:lang w:val="en-GB"/>
        </w:rPr>
        <w:tab/>
      </w:r>
      <w:r>
        <w:rPr>
          <w:lang w:val="en-GB"/>
        </w:rPr>
        <w:tab/>
      </w:r>
      <w:r w:rsidRPr="00054A3F">
        <w:rPr>
          <w:lang w:val="en-GB"/>
        </w:rPr>
        <w:t>European Court of Justice</w:t>
      </w:r>
    </w:p>
    <w:p w:rsidR="00054A3F" w:rsidRPr="00054A3F" w:rsidRDefault="00054A3F" w:rsidP="00FF6919">
      <w:pPr>
        <w:pStyle w:val="HIPNormal"/>
        <w:spacing w:before="120"/>
        <w:rPr>
          <w:lang w:val="en-GB"/>
        </w:rPr>
      </w:pPr>
      <w:r w:rsidRPr="00054A3F">
        <w:rPr>
          <w:b/>
          <w:bCs/>
          <w:lang w:val="en-GB"/>
        </w:rPr>
        <w:t>ECOWAS</w:t>
      </w:r>
      <w:r>
        <w:rPr>
          <w:lang w:val="en-GB"/>
        </w:rPr>
        <w:tab/>
      </w:r>
      <w:r w:rsidRPr="00054A3F">
        <w:rPr>
          <w:i/>
          <w:iCs/>
          <w:lang w:val="en-US"/>
        </w:rPr>
        <w:t>Economic Community Of West African States</w:t>
      </w:r>
    </w:p>
    <w:p w:rsidR="00054A3F" w:rsidRPr="00054A3F" w:rsidRDefault="00054A3F" w:rsidP="00FF6919">
      <w:pPr>
        <w:pStyle w:val="HIPNormal"/>
        <w:spacing w:before="120"/>
        <w:rPr>
          <w:i/>
          <w:iCs/>
          <w:lang w:val="en-US"/>
        </w:rPr>
      </w:pPr>
      <w:r w:rsidRPr="00054A3F">
        <w:rPr>
          <w:b/>
          <w:bCs/>
          <w:i/>
          <w:iCs/>
          <w:lang w:val="en-US"/>
        </w:rPr>
        <w:t>ECTEL</w:t>
      </w:r>
      <w:r>
        <w:rPr>
          <w:i/>
          <w:iCs/>
          <w:lang w:val="en-US"/>
        </w:rPr>
        <w:tab/>
      </w:r>
      <w:r>
        <w:rPr>
          <w:i/>
          <w:iCs/>
          <w:lang w:val="en-US"/>
        </w:rPr>
        <w:tab/>
      </w:r>
      <w:r w:rsidRPr="00054A3F">
        <w:rPr>
          <w:i/>
          <w:iCs/>
          <w:lang w:val="en-US"/>
        </w:rPr>
        <w:t>Eastern Caribbean Telecommunications Authority</w:t>
      </w:r>
    </w:p>
    <w:p w:rsidR="00054A3F" w:rsidRPr="00054A3F" w:rsidRDefault="00054A3F" w:rsidP="00FF6919">
      <w:pPr>
        <w:pStyle w:val="HIPNormal"/>
        <w:spacing w:before="120"/>
        <w:rPr>
          <w:lang w:val="en-GB"/>
        </w:rPr>
      </w:pPr>
      <w:r w:rsidRPr="00054A3F">
        <w:rPr>
          <w:b/>
          <w:bCs/>
          <w:lang w:val="en-GB"/>
        </w:rPr>
        <w:t>EIB</w:t>
      </w:r>
      <w:r>
        <w:rPr>
          <w:lang w:val="en-GB"/>
        </w:rPr>
        <w:tab/>
      </w:r>
      <w:r>
        <w:rPr>
          <w:lang w:val="en-GB"/>
        </w:rPr>
        <w:tab/>
      </w:r>
      <w:r w:rsidRPr="00054A3F">
        <w:rPr>
          <w:lang w:val="en-GB"/>
        </w:rPr>
        <w:t>European Investment Bank</w:t>
      </w:r>
    </w:p>
    <w:p w:rsidR="00054A3F" w:rsidRPr="00054A3F" w:rsidRDefault="00054A3F" w:rsidP="00FF6919">
      <w:pPr>
        <w:pStyle w:val="HIPNormal"/>
        <w:spacing w:before="120"/>
        <w:rPr>
          <w:lang w:val="en-GB"/>
        </w:rPr>
      </w:pPr>
      <w:r w:rsidRPr="00054A3F">
        <w:rPr>
          <w:b/>
          <w:bCs/>
          <w:lang w:val="en-GB"/>
        </w:rPr>
        <w:t>EIRP</w:t>
      </w:r>
      <w:r>
        <w:rPr>
          <w:lang w:val="en-GB"/>
        </w:rPr>
        <w:tab/>
      </w:r>
      <w:r>
        <w:rPr>
          <w:lang w:val="en-GB"/>
        </w:rPr>
        <w:tab/>
      </w:r>
      <w:r w:rsidRPr="00054A3F">
        <w:rPr>
          <w:lang w:val="en-GB"/>
        </w:rPr>
        <w:t>Equivalent isotropically radiated power</w:t>
      </w:r>
    </w:p>
    <w:p w:rsidR="00054A3F" w:rsidRPr="00054A3F" w:rsidRDefault="00054A3F" w:rsidP="00FF6919">
      <w:pPr>
        <w:pStyle w:val="HIPNormal"/>
        <w:spacing w:before="120"/>
        <w:rPr>
          <w:lang w:val="en-GB"/>
        </w:rPr>
      </w:pPr>
      <w:r w:rsidRPr="00054A3F">
        <w:rPr>
          <w:b/>
          <w:bCs/>
          <w:lang w:val="en-GB"/>
        </w:rPr>
        <w:t>ENTEL</w:t>
      </w:r>
      <w:r>
        <w:rPr>
          <w:lang w:val="en-GB"/>
        </w:rPr>
        <w:tab/>
      </w:r>
      <w:r>
        <w:rPr>
          <w:lang w:val="en-GB"/>
        </w:rPr>
        <w:tab/>
      </w:r>
      <w:r w:rsidRPr="00054A3F">
        <w:rPr>
          <w:lang w:val="en-GB"/>
        </w:rPr>
        <w:t xml:space="preserve">National Telecommunications </w:t>
      </w:r>
      <w:smartTag w:uri="urn:schemas-microsoft-com:office:smarttags" w:element="place">
        <w:smartTag w:uri="urn:schemas-microsoft-com:office:smarttags" w:element="City">
          <w:r w:rsidRPr="00054A3F">
            <w:rPr>
              <w:lang w:val="en-GB"/>
            </w:rPr>
            <w:t>Enterprise</w:t>
          </w:r>
        </w:smartTag>
      </w:smartTag>
    </w:p>
    <w:p w:rsidR="00054A3F" w:rsidRPr="00054A3F" w:rsidRDefault="00054A3F" w:rsidP="00FF6919">
      <w:pPr>
        <w:pStyle w:val="HIPNormal"/>
        <w:spacing w:before="120"/>
        <w:rPr>
          <w:lang w:val="en-GB"/>
        </w:rPr>
      </w:pPr>
      <w:r w:rsidRPr="00054A3F">
        <w:rPr>
          <w:b/>
          <w:bCs/>
          <w:lang w:val="en-GB"/>
        </w:rPr>
        <w:lastRenderedPageBreak/>
        <w:t>ETSI</w:t>
      </w:r>
      <w:r>
        <w:rPr>
          <w:lang w:val="en-GB"/>
        </w:rPr>
        <w:tab/>
      </w:r>
      <w:r>
        <w:rPr>
          <w:lang w:val="en-GB"/>
        </w:rPr>
        <w:tab/>
      </w:r>
      <w:r w:rsidRPr="00054A3F">
        <w:rPr>
          <w:lang w:val="en-GB"/>
        </w:rPr>
        <w:t>European Telecommunications Standards Institute</w:t>
      </w:r>
    </w:p>
    <w:p w:rsidR="00054A3F" w:rsidRPr="00054A3F" w:rsidRDefault="00054A3F" w:rsidP="00FF6919">
      <w:pPr>
        <w:pStyle w:val="HIPNormal"/>
        <w:spacing w:before="120"/>
        <w:rPr>
          <w:lang w:val="en-GB"/>
        </w:rPr>
      </w:pPr>
      <w:r w:rsidRPr="00054A3F">
        <w:rPr>
          <w:b/>
          <w:bCs/>
          <w:lang w:val="en-GB"/>
        </w:rPr>
        <w:t>EU</w:t>
      </w:r>
      <w:r>
        <w:rPr>
          <w:lang w:val="en-GB"/>
        </w:rPr>
        <w:tab/>
      </w:r>
      <w:r>
        <w:rPr>
          <w:lang w:val="en-GB"/>
        </w:rPr>
        <w:tab/>
      </w:r>
      <w:r w:rsidRPr="00054A3F">
        <w:rPr>
          <w:lang w:val="en-GB"/>
        </w:rPr>
        <w:t>European Union</w:t>
      </w:r>
    </w:p>
    <w:p w:rsidR="00054A3F" w:rsidRPr="00054A3F" w:rsidRDefault="00054A3F" w:rsidP="00FF6919">
      <w:pPr>
        <w:pStyle w:val="HIPNormal"/>
        <w:spacing w:before="120"/>
        <w:rPr>
          <w:lang w:val="en-GB"/>
        </w:rPr>
      </w:pPr>
      <w:r w:rsidRPr="00054A3F">
        <w:rPr>
          <w:b/>
          <w:bCs/>
          <w:lang w:val="en-GB"/>
        </w:rPr>
        <w:t>FCC</w:t>
      </w:r>
      <w:r>
        <w:rPr>
          <w:lang w:val="en-GB"/>
        </w:rPr>
        <w:tab/>
      </w:r>
      <w:r>
        <w:rPr>
          <w:lang w:val="en-GB"/>
        </w:rPr>
        <w:tab/>
      </w:r>
      <w:r w:rsidRPr="00054A3F">
        <w:rPr>
          <w:lang w:val="en-GB"/>
        </w:rPr>
        <w:t>Federal Communications Commission</w:t>
      </w:r>
    </w:p>
    <w:p w:rsidR="00054A3F" w:rsidRPr="00054A3F" w:rsidRDefault="00054A3F" w:rsidP="00FF6919">
      <w:pPr>
        <w:pStyle w:val="HIPNormal"/>
        <w:spacing w:before="120"/>
        <w:rPr>
          <w:lang w:val="en-GB"/>
        </w:rPr>
      </w:pPr>
      <w:r w:rsidRPr="00054A3F">
        <w:rPr>
          <w:b/>
          <w:bCs/>
          <w:lang w:val="en-GB"/>
        </w:rPr>
        <w:t>FITEL</w:t>
      </w:r>
      <w:r>
        <w:rPr>
          <w:lang w:val="en-GB"/>
        </w:rPr>
        <w:tab/>
      </w:r>
      <w:r>
        <w:rPr>
          <w:lang w:val="en-GB"/>
        </w:rPr>
        <w:tab/>
      </w:r>
      <w:r w:rsidRPr="00054A3F">
        <w:rPr>
          <w:lang w:val="en-GB"/>
        </w:rPr>
        <w:t xml:space="preserve">Service </w:t>
      </w:r>
      <w:r w:rsidRPr="00054A3F" w:rsidDel="00995CCD">
        <w:rPr>
          <w:lang w:val="en-GB"/>
        </w:rPr>
        <w:t xml:space="preserve">Investment </w:t>
      </w:r>
      <w:r w:rsidRPr="00054A3F">
        <w:rPr>
          <w:lang w:val="en-GB"/>
        </w:rPr>
        <w:t>Fund</w:t>
      </w:r>
      <w:r w:rsidRPr="00054A3F" w:rsidDel="00995CCD">
        <w:rPr>
          <w:lang w:val="en-GB"/>
        </w:rPr>
        <w:t xml:space="preserve"> in Telecommunications</w:t>
      </w:r>
    </w:p>
    <w:p w:rsidR="00054A3F" w:rsidRPr="008E340F" w:rsidRDefault="00054A3F" w:rsidP="00FF6919">
      <w:pPr>
        <w:pStyle w:val="HIPNormal"/>
        <w:spacing w:before="120"/>
        <w:rPr>
          <w:lang w:val="en-GB"/>
        </w:rPr>
      </w:pPr>
      <w:r w:rsidRPr="008E340F">
        <w:rPr>
          <w:b/>
          <w:bCs/>
          <w:lang w:val="en-GB"/>
        </w:rPr>
        <w:t>FONCODES</w:t>
      </w:r>
      <w:r w:rsidRPr="008E340F">
        <w:rPr>
          <w:lang w:val="en-GB"/>
        </w:rPr>
        <w:tab/>
        <w:t>Social Development Cooperation Fund</w:t>
      </w:r>
    </w:p>
    <w:p w:rsidR="00054A3F" w:rsidRPr="00054A3F" w:rsidRDefault="00054A3F" w:rsidP="00FF6919">
      <w:pPr>
        <w:pStyle w:val="HIPNormal"/>
        <w:spacing w:before="120"/>
      </w:pPr>
      <w:r w:rsidRPr="00054A3F">
        <w:rPr>
          <w:b/>
          <w:bCs/>
        </w:rPr>
        <w:t>FSUT</w:t>
      </w:r>
      <w:r>
        <w:tab/>
      </w:r>
      <w:r>
        <w:tab/>
      </w:r>
      <w:r w:rsidRPr="00054A3F">
        <w:t>Fonds du service universel des télécommunications</w:t>
      </w:r>
    </w:p>
    <w:p w:rsidR="00054A3F" w:rsidRPr="00054A3F" w:rsidRDefault="00054A3F" w:rsidP="00FF6919">
      <w:pPr>
        <w:pStyle w:val="HIPNormal"/>
        <w:spacing w:before="120"/>
        <w:rPr>
          <w:lang w:val="en-GB"/>
        </w:rPr>
      </w:pPr>
      <w:r w:rsidRPr="00054A3F">
        <w:rPr>
          <w:b/>
          <w:bCs/>
          <w:lang w:val="en-GB"/>
        </w:rPr>
        <w:t>FTRA</w:t>
      </w:r>
      <w:r>
        <w:rPr>
          <w:lang w:val="en-GB"/>
        </w:rPr>
        <w:tab/>
      </w:r>
      <w:r>
        <w:rPr>
          <w:lang w:val="en-GB"/>
        </w:rPr>
        <w:tab/>
      </w:r>
      <w:r w:rsidRPr="00054A3F">
        <w:rPr>
          <w:lang w:val="en-GB"/>
        </w:rPr>
        <w:t>Future Technology Research Association International</w:t>
      </w:r>
    </w:p>
    <w:p w:rsidR="00054A3F" w:rsidRPr="00054A3F" w:rsidRDefault="00054A3F" w:rsidP="00FF6919">
      <w:pPr>
        <w:pStyle w:val="HIPNormal"/>
        <w:spacing w:before="120"/>
        <w:rPr>
          <w:lang w:val="en-GB"/>
        </w:rPr>
      </w:pPr>
      <w:r w:rsidRPr="00054A3F">
        <w:rPr>
          <w:b/>
          <w:bCs/>
          <w:lang w:val="en-GB"/>
        </w:rPr>
        <w:t>FTTH</w:t>
      </w:r>
      <w:r>
        <w:rPr>
          <w:lang w:val="en-GB"/>
        </w:rPr>
        <w:tab/>
      </w:r>
      <w:r>
        <w:rPr>
          <w:lang w:val="en-GB"/>
        </w:rPr>
        <w:tab/>
      </w:r>
      <w:r w:rsidRPr="00054A3F">
        <w:rPr>
          <w:lang w:val="en-GB"/>
        </w:rPr>
        <w:t xml:space="preserve"> fibre to the home </w:t>
      </w:r>
    </w:p>
    <w:p w:rsidR="00054A3F" w:rsidRPr="00054A3F" w:rsidRDefault="00054A3F" w:rsidP="00FF6919">
      <w:pPr>
        <w:pStyle w:val="HIPNormal"/>
        <w:spacing w:before="120"/>
        <w:rPr>
          <w:lang w:val="en-GB"/>
        </w:rPr>
      </w:pPr>
      <w:r w:rsidRPr="00054A3F">
        <w:rPr>
          <w:b/>
          <w:bCs/>
          <w:lang w:val="en-GB"/>
        </w:rPr>
        <w:t>GMPCS</w:t>
      </w:r>
      <w:r>
        <w:rPr>
          <w:lang w:val="en-GB"/>
        </w:rPr>
        <w:tab/>
      </w:r>
      <w:r>
        <w:rPr>
          <w:lang w:val="en-GB"/>
        </w:rPr>
        <w:tab/>
      </w:r>
      <w:r w:rsidRPr="00054A3F">
        <w:rPr>
          <w:lang w:val="en-GB"/>
        </w:rPr>
        <w:t>Global Mobile Personal Communications by Satellite</w:t>
      </w:r>
    </w:p>
    <w:p w:rsidR="00054A3F" w:rsidRPr="00054A3F" w:rsidRDefault="00054A3F" w:rsidP="00FF6919">
      <w:pPr>
        <w:pStyle w:val="HIPNormal"/>
        <w:spacing w:before="120"/>
        <w:rPr>
          <w:lang w:val="en-GB"/>
        </w:rPr>
      </w:pPr>
      <w:r w:rsidRPr="00054A3F">
        <w:rPr>
          <w:b/>
          <w:bCs/>
          <w:lang w:val="en-GB"/>
        </w:rPr>
        <w:t>GSM</w:t>
      </w:r>
      <w:r>
        <w:rPr>
          <w:lang w:val="en-GB"/>
        </w:rPr>
        <w:tab/>
      </w:r>
      <w:r>
        <w:rPr>
          <w:lang w:val="en-GB"/>
        </w:rPr>
        <w:tab/>
      </w:r>
      <w:r w:rsidRPr="00054A3F">
        <w:rPr>
          <w:lang w:val="en-US"/>
        </w:rPr>
        <w:t>Global System for Mobile Communications</w:t>
      </w:r>
    </w:p>
    <w:p w:rsidR="00054A3F" w:rsidRPr="00054A3F" w:rsidRDefault="00054A3F" w:rsidP="00FF6919">
      <w:pPr>
        <w:pStyle w:val="HIPNormal"/>
        <w:spacing w:before="120"/>
        <w:rPr>
          <w:lang w:val="en-GB"/>
        </w:rPr>
      </w:pPr>
      <w:r w:rsidRPr="00054A3F">
        <w:rPr>
          <w:b/>
          <w:bCs/>
          <w:lang w:val="en-GB"/>
        </w:rPr>
        <w:t>HIPSSA</w:t>
      </w:r>
      <w:r>
        <w:rPr>
          <w:lang w:val="en-GB"/>
        </w:rPr>
        <w:tab/>
      </w:r>
      <w:r>
        <w:rPr>
          <w:lang w:val="en-GB"/>
        </w:rPr>
        <w:tab/>
      </w:r>
      <w:r w:rsidRPr="00054A3F">
        <w:rPr>
          <w:lang w:val="en-US"/>
        </w:rPr>
        <w:t>Harmonization of ICT Policies in Sub-Sahara Africa</w:t>
      </w:r>
    </w:p>
    <w:p w:rsidR="00054A3F" w:rsidRPr="00054A3F" w:rsidRDefault="00054A3F" w:rsidP="00FF6919">
      <w:pPr>
        <w:pStyle w:val="HIPNormal"/>
        <w:spacing w:before="120"/>
        <w:rPr>
          <w:lang w:val="en-GB"/>
        </w:rPr>
      </w:pPr>
      <w:r w:rsidRPr="00054A3F">
        <w:rPr>
          <w:b/>
          <w:bCs/>
          <w:lang w:val="en-GB"/>
        </w:rPr>
        <w:t>IAP</w:t>
      </w:r>
      <w:r>
        <w:rPr>
          <w:lang w:val="en-GB"/>
        </w:rPr>
        <w:tab/>
      </w:r>
      <w:r>
        <w:rPr>
          <w:lang w:val="en-GB"/>
        </w:rPr>
        <w:tab/>
      </w:r>
      <w:r w:rsidRPr="00054A3F">
        <w:rPr>
          <w:lang w:val="en-GB"/>
        </w:rPr>
        <w:t xml:space="preserve">Information Access Point </w:t>
      </w:r>
    </w:p>
    <w:p w:rsidR="00054A3F" w:rsidRPr="00054A3F" w:rsidRDefault="00054A3F" w:rsidP="00FF6919">
      <w:pPr>
        <w:pStyle w:val="HIPNormal"/>
        <w:spacing w:before="120"/>
        <w:rPr>
          <w:lang w:val="en-GB"/>
        </w:rPr>
      </w:pPr>
      <w:r w:rsidRPr="00054A3F">
        <w:rPr>
          <w:b/>
          <w:bCs/>
          <w:lang w:val="en-GB"/>
        </w:rPr>
        <w:t>ICTs</w:t>
      </w:r>
      <w:r>
        <w:rPr>
          <w:lang w:val="en-GB"/>
        </w:rPr>
        <w:tab/>
      </w:r>
      <w:r>
        <w:rPr>
          <w:lang w:val="en-GB"/>
        </w:rPr>
        <w:tab/>
      </w:r>
      <w:r w:rsidRPr="00054A3F">
        <w:rPr>
          <w:lang w:val="en-GB"/>
        </w:rPr>
        <w:t>Information and Communications Technologies</w:t>
      </w:r>
    </w:p>
    <w:p w:rsidR="00054A3F" w:rsidRPr="00054A3F" w:rsidRDefault="00054A3F" w:rsidP="00FF6919">
      <w:pPr>
        <w:pStyle w:val="HIPNormal"/>
        <w:spacing w:before="120"/>
        <w:rPr>
          <w:lang w:val="en-GB"/>
        </w:rPr>
      </w:pPr>
      <w:r w:rsidRPr="00054A3F">
        <w:rPr>
          <w:b/>
          <w:bCs/>
          <w:lang w:val="en-GB"/>
        </w:rPr>
        <w:t>ICT4D</w:t>
      </w:r>
      <w:r>
        <w:rPr>
          <w:lang w:val="en-GB"/>
        </w:rPr>
        <w:tab/>
      </w:r>
      <w:r>
        <w:rPr>
          <w:lang w:val="en-GB"/>
        </w:rPr>
        <w:tab/>
      </w:r>
      <w:r w:rsidRPr="00054A3F">
        <w:rPr>
          <w:lang w:val="en-GB"/>
        </w:rPr>
        <w:t>ICT for development</w:t>
      </w:r>
    </w:p>
    <w:p w:rsidR="00054A3F" w:rsidRPr="00054A3F" w:rsidRDefault="00054A3F" w:rsidP="00FF6919">
      <w:pPr>
        <w:pStyle w:val="HIPNormal"/>
        <w:spacing w:before="120"/>
        <w:rPr>
          <w:lang w:val="en-GB"/>
        </w:rPr>
      </w:pPr>
      <w:r w:rsidRPr="00054A3F">
        <w:rPr>
          <w:b/>
          <w:bCs/>
          <w:lang w:val="en-GB"/>
        </w:rPr>
        <w:t>ICT4E</w:t>
      </w:r>
      <w:r>
        <w:rPr>
          <w:lang w:val="en-GB"/>
        </w:rPr>
        <w:tab/>
      </w:r>
      <w:r>
        <w:rPr>
          <w:lang w:val="en-GB"/>
        </w:rPr>
        <w:tab/>
      </w:r>
      <w:r w:rsidRPr="00054A3F">
        <w:rPr>
          <w:lang w:val="en-GB"/>
        </w:rPr>
        <w:t>ICT for education</w:t>
      </w:r>
    </w:p>
    <w:p w:rsidR="00054A3F" w:rsidRPr="00054A3F" w:rsidRDefault="00054A3F" w:rsidP="00FF6919">
      <w:pPr>
        <w:pStyle w:val="HIPNormal"/>
        <w:spacing w:before="120"/>
        <w:rPr>
          <w:lang w:val="en-GB"/>
        </w:rPr>
      </w:pPr>
      <w:r w:rsidRPr="00054A3F">
        <w:rPr>
          <w:b/>
          <w:bCs/>
          <w:lang w:val="en-GB"/>
        </w:rPr>
        <w:t>ICTA</w:t>
      </w:r>
      <w:r>
        <w:rPr>
          <w:lang w:val="en-GB"/>
        </w:rPr>
        <w:tab/>
      </w:r>
      <w:r>
        <w:rPr>
          <w:lang w:val="en-GB"/>
        </w:rPr>
        <w:tab/>
      </w:r>
      <w:r w:rsidRPr="00054A3F">
        <w:rPr>
          <w:lang w:val="en-GB"/>
        </w:rPr>
        <w:t xml:space="preserve">Information and Communication Technologies Authority of </w:t>
      </w:r>
      <w:smartTag w:uri="urn:schemas-microsoft-com:office:smarttags" w:element="place">
        <w:smartTag w:uri="urn:schemas-microsoft-com:office:smarttags" w:element="country-region">
          <w:r w:rsidRPr="00054A3F">
            <w:rPr>
              <w:lang w:val="en-GB"/>
            </w:rPr>
            <w:t>Mauritius</w:t>
          </w:r>
        </w:smartTag>
      </w:smartTag>
    </w:p>
    <w:p w:rsidR="00054A3F" w:rsidRPr="00054A3F" w:rsidRDefault="00054A3F" w:rsidP="00FF6919">
      <w:pPr>
        <w:pStyle w:val="HIPNormal"/>
        <w:spacing w:before="120"/>
        <w:rPr>
          <w:lang w:val="en-GB"/>
        </w:rPr>
      </w:pPr>
      <w:r w:rsidRPr="00054A3F">
        <w:rPr>
          <w:b/>
          <w:bCs/>
          <w:lang w:val="en-GB"/>
        </w:rPr>
        <w:t>IFC</w:t>
      </w:r>
      <w:r>
        <w:rPr>
          <w:lang w:val="en-GB"/>
        </w:rPr>
        <w:tab/>
      </w:r>
      <w:r>
        <w:rPr>
          <w:lang w:val="en-GB"/>
        </w:rPr>
        <w:tab/>
      </w:r>
      <w:r w:rsidRPr="00054A3F">
        <w:rPr>
          <w:lang w:val="en-GB"/>
        </w:rPr>
        <w:t>International Finance Corporation</w:t>
      </w:r>
    </w:p>
    <w:p w:rsidR="00054A3F" w:rsidRPr="00054A3F" w:rsidRDefault="00054A3F" w:rsidP="00FF6919">
      <w:pPr>
        <w:pStyle w:val="HIPNormal"/>
        <w:spacing w:before="120"/>
        <w:rPr>
          <w:lang w:val="en-GB"/>
        </w:rPr>
      </w:pPr>
      <w:r w:rsidRPr="00054A3F">
        <w:rPr>
          <w:b/>
          <w:bCs/>
          <w:lang w:val="en-GB"/>
        </w:rPr>
        <w:t>IMT-2000</w:t>
      </w:r>
      <w:r>
        <w:rPr>
          <w:lang w:val="en-GB"/>
        </w:rPr>
        <w:tab/>
      </w:r>
      <w:r w:rsidRPr="00054A3F">
        <w:rPr>
          <w:lang w:val="en-GB"/>
        </w:rPr>
        <w:t>International Mobile Telecommunications for the year 2000</w:t>
      </w:r>
    </w:p>
    <w:p w:rsidR="00054A3F" w:rsidRPr="00054A3F" w:rsidRDefault="00054A3F" w:rsidP="00FF6919">
      <w:pPr>
        <w:pStyle w:val="HIPNormal"/>
        <w:spacing w:before="120"/>
        <w:rPr>
          <w:lang w:val="es-ES_tradnl"/>
        </w:rPr>
      </w:pPr>
      <w:r w:rsidRPr="00054A3F">
        <w:rPr>
          <w:b/>
          <w:bCs/>
          <w:lang w:val="es-ES_tradnl"/>
        </w:rPr>
        <w:t>INACOM</w:t>
      </w:r>
      <w:r>
        <w:rPr>
          <w:lang w:val="es-ES_tradnl"/>
        </w:rPr>
        <w:tab/>
      </w:r>
      <w:r w:rsidRPr="00054A3F">
        <w:rPr>
          <w:lang w:val="es-ES_tradnl"/>
        </w:rPr>
        <w:t>Instituto Angolano das Communicacoes</w:t>
      </w:r>
    </w:p>
    <w:p w:rsidR="00054A3F" w:rsidRPr="00054A3F" w:rsidRDefault="00054A3F" w:rsidP="00FF6919">
      <w:pPr>
        <w:pStyle w:val="HIPNormal"/>
        <w:spacing w:before="120"/>
        <w:rPr>
          <w:lang w:val="es-ES_tradnl"/>
        </w:rPr>
      </w:pPr>
      <w:r w:rsidRPr="00054A3F">
        <w:rPr>
          <w:b/>
          <w:bCs/>
          <w:lang w:val="es-ES_tradnl"/>
        </w:rPr>
        <w:t>INCM</w:t>
      </w:r>
      <w:r>
        <w:rPr>
          <w:lang w:val="es-ES_tradnl"/>
        </w:rPr>
        <w:tab/>
      </w:r>
      <w:r>
        <w:rPr>
          <w:lang w:val="es-ES_tradnl"/>
        </w:rPr>
        <w:tab/>
      </w:r>
      <w:r w:rsidRPr="00054A3F">
        <w:rPr>
          <w:lang w:val="es-ES_tradnl"/>
        </w:rPr>
        <w:t>Instituto Nacional das Communicacoes de Mocambique</w:t>
      </w:r>
    </w:p>
    <w:p w:rsidR="00054A3F" w:rsidRPr="00054A3F" w:rsidRDefault="00054A3F" w:rsidP="00FF6919">
      <w:pPr>
        <w:pStyle w:val="HIPNormal"/>
        <w:spacing w:before="120"/>
        <w:rPr>
          <w:lang w:val="en-GB"/>
        </w:rPr>
      </w:pPr>
      <w:r w:rsidRPr="00054A3F">
        <w:rPr>
          <w:b/>
          <w:bCs/>
          <w:lang w:val="en-GB"/>
        </w:rPr>
        <w:t>IAP</w:t>
      </w:r>
      <w:r>
        <w:rPr>
          <w:lang w:val="en-GB"/>
        </w:rPr>
        <w:tab/>
      </w:r>
      <w:r>
        <w:rPr>
          <w:lang w:val="en-GB"/>
        </w:rPr>
        <w:tab/>
      </w:r>
      <w:r w:rsidRPr="00054A3F">
        <w:rPr>
          <w:lang w:val="en-GB"/>
        </w:rPr>
        <w:t>Internet Access Point</w:t>
      </w:r>
    </w:p>
    <w:p w:rsidR="00054A3F" w:rsidRPr="00054A3F" w:rsidRDefault="00054A3F" w:rsidP="00FF6919">
      <w:pPr>
        <w:pStyle w:val="HIPNormal"/>
        <w:spacing w:before="120"/>
        <w:rPr>
          <w:lang w:val="en-GB"/>
        </w:rPr>
      </w:pPr>
      <w:r w:rsidRPr="00054A3F">
        <w:rPr>
          <w:b/>
          <w:bCs/>
          <w:lang w:val="en-GB"/>
        </w:rPr>
        <w:t>IP</w:t>
      </w:r>
      <w:r>
        <w:rPr>
          <w:lang w:val="en-GB"/>
        </w:rPr>
        <w:tab/>
      </w:r>
      <w:r>
        <w:rPr>
          <w:lang w:val="en-GB"/>
        </w:rPr>
        <w:tab/>
      </w:r>
      <w:r w:rsidRPr="00054A3F">
        <w:rPr>
          <w:lang w:val="en-GB"/>
        </w:rPr>
        <w:t>Internet protocol</w:t>
      </w:r>
    </w:p>
    <w:p w:rsidR="00054A3F" w:rsidRPr="00054A3F" w:rsidRDefault="00054A3F" w:rsidP="00FF6919">
      <w:pPr>
        <w:pStyle w:val="HIPNormal"/>
        <w:spacing w:before="120"/>
        <w:rPr>
          <w:lang w:val="en-GB"/>
        </w:rPr>
      </w:pPr>
      <w:r w:rsidRPr="00054A3F">
        <w:rPr>
          <w:b/>
          <w:bCs/>
          <w:lang w:val="en-GB"/>
        </w:rPr>
        <w:t>ISP</w:t>
      </w:r>
      <w:r>
        <w:rPr>
          <w:lang w:val="en-GB"/>
        </w:rPr>
        <w:tab/>
      </w:r>
      <w:r>
        <w:rPr>
          <w:lang w:val="en-GB"/>
        </w:rPr>
        <w:tab/>
      </w:r>
      <w:r w:rsidRPr="00054A3F">
        <w:rPr>
          <w:lang w:val="en-GB"/>
        </w:rPr>
        <w:t>Internet Service Provider</w:t>
      </w:r>
    </w:p>
    <w:p w:rsidR="00054A3F" w:rsidRPr="00054A3F" w:rsidRDefault="00054A3F" w:rsidP="00FF6919">
      <w:pPr>
        <w:pStyle w:val="HIPNormal"/>
        <w:spacing w:before="120"/>
        <w:rPr>
          <w:lang w:val="en-GB"/>
        </w:rPr>
      </w:pPr>
      <w:r w:rsidRPr="00054A3F">
        <w:rPr>
          <w:b/>
          <w:bCs/>
          <w:lang w:val="en-GB"/>
        </w:rPr>
        <w:t>ISDN</w:t>
      </w:r>
      <w:r>
        <w:rPr>
          <w:lang w:val="en-GB"/>
        </w:rPr>
        <w:tab/>
      </w:r>
      <w:r>
        <w:rPr>
          <w:lang w:val="en-GB"/>
        </w:rPr>
        <w:tab/>
      </w:r>
      <w:r w:rsidRPr="00054A3F">
        <w:rPr>
          <w:lang w:val="en-GB"/>
        </w:rPr>
        <w:t>Integrated Services Digital Network</w:t>
      </w:r>
    </w:p>
    <w:p w:rsidR="00054A3F" w:rsidRPr="00054A3F" w:rsidRDefault="00054A3F" w:rsidP="00FF6919">
      <w:pPr>
        <w:pStyle w:val="HIPNormal"/>
        <w:spacing w:before="120"/>
        <w:rPr>
          <w:lang w:val="en-GB"/>
        </w:rPr>
      </w:pPr>
      <w:r w:rsidRPr="00054A3F">
        <w:rPr>
          <w:b/>
          <w:bCs/>
          <w:lang w:val="en-GB"/>
        </w:rPr>
        <w:t>ITA</w:t>
      </w:r>
      <w:r>
        <w:rPr>
          <w:lang w:val="en-GB"/>
        </w:rPr>
        <w:tab/>
      </w:r>
      <w:r>
        <w:rPr>
          <w:lang w:val="en-GB"/>
        </w:rPr>
        <w:tab/>
      </w:r>
      <w:r w:rsidRPr="00054A3F">
        <w:rPr>
          <w:lang w:val="en-GB"/>
        </w:rPr>
        <w:t>Invitation to Apply</w:t>
      </w:r>
    </w:p>
    <w:p w:rsidR="00054A3F" w:rsidRPr="00054A3F" w:rsidRDefault="00054A3F" w:rsidP="00FF6919">
      <w:pPr>
        <w:pStyle w:val="HIPNormal"/>
        <w:spacing w:before="120"/>
        <w:rPr>
          <w:lang w:val="en-GB"/>
        </w:rPr>
      </w:pPr>
      <w:r w:rsidRPr="00054A3F">
        <w:rPr>
          <w:b/>
          <w:bCs/>
          <w:lang w:val="en-GB"/>
        </w:rPr>
        <w:t>ITU</w:t>
      </w:r>
      <w:r>
        <w:rPr>
          <w:lang w:val="en-GB"/>
        </w:rPr>
        <w:tab/>
      </w:r>
      <w:r>
        <w:rPr>
          <w:lang w:val="en-GB"/>
        </w:rPr>
        <w:tab/>
      </w:r>
      <w:r w:rsidRPr="00054A3F">
        <w:rPr>
          <w:lang w:val="en-GB"/>
        </w:rPr>
        <w:t>International Telecommunication Union</w:t>
      </w:r>
    </w:p>
    <w:p w:rsidR="00054A3F" w:rsidRPr="00054A3F" w:rsidRDefault="00054A3F" w:rsidP="00FF6919">
      <w:pPr>
        <w:pStyle w:val="HIPNormal"/>
        <w:spacing w:before="120"/>
        <w:rPr>
          <w:lang w:val="en-GB"/>
        </w:rPr>
      </w:pPr>
      <w:r w:rsidRPr="00054A3F">
        <w:rPr>
          <w:b/>
          <w:bCs/>
          <w:lang w:val="en-GB"/>
        </w:rPr>
        <w:t>IXP</w:t>
      </w:r>
      <w:r>
        <w:rPr>
          <w:lang w:val="en-GB"/>
        </w:rPr>
        <w:tab/>
      </w:r>
      <w:r>
        <w:rPr>
          <w:lang w:val="en-GB"/>
        </w:rPr>
        <w:tab/>
      </w:r>
      <w:r w:rsidRPr="00054A3F">
        <w:rPr>
          <w:lang w:val="en-GB"/>
        </w:rPr>
        <w:t>Internet exchange point</w:t>
      </w:r>
    </w:p>
    <w:p w:rsidR="00054A3F" w:rsidRPr="00054A3F" w:rsidRDefault="00054A3F" w:rsidP="00FF6919">
      <w:pPr>
        <w:pStyle w:val="HIPNormal"/>
        <w:spacing w:before="120"/>
        <w:rPr>
          <w:lang w:val="en-GB"/>
        </w:rPr>
      </w:pPr>
      <w:r w:rsidRPr="00054A3F">
        <w:rPr>
          <w:b/>
          <w:bCs/>
          <w:lang w:val="en-GB"/>
        </w:rPr>
        <w:t>KPIs</w:t>
      </w:r>
      <w:r>
        <w:rPr>
          <w:lang w:val="en-GB"/>
        </w:rPr>
        <w:tab/>
      </w:r>
      <w:r>
        <w:rPr>
          <w:lang w:val="en-GB"/>
        </w:rPr>
        <w:tab/>
      </w:r>
      <w:r w:rsidRPr="00054A3F">
        <w:rPr>
          <w:lang w:val="en-GB"/>
        </w:rPr>
        <w:t>Key Performance Indicators</w:t>
      </w:r>
    </w:p>
    <w:p w:rsidR="00054A3F" w:rsidRPr="00054A3F" w:rsidRDefault="00054A3F" w:rsidP="00FF6919">
      <w:pPr>
        <w:pStyle w:val="HIPNormal"/>
        <w:spacing w:before="120"/>
        <w:rPr>
          <w:lang w:val="en-GB"/>
        </w:rPr>
      </w:pPr>
      <w:r w:rsidRPr="00054A3F">
        <w:rPr>
          <w:b/>
          <w:bCs/>
          <w:lang w:val="en-GB"/>
        </w:rPr>
        <w:t>LCA</w:t>
      </w:r>
      <w:r>
        <w:rPr>
          <w:lang w:val="en-GB"/>
        </w:rPr>
        <w:tab/>
      </w:r>
      <w:r>
        <w:rPr>
          <w:lang w:val="en-GB"/>
        </w:rPr>
        <w:tab/>
      </w:r>
      <w:r w:rsidRPr="00054A3F">
        <w:rPr>
          <w:lang w:val="en-US"/>
        </w:rPr>
        <w:t>Lesotho Communications Authority</w:t>
      </w:r>
    </w:p>
    <w:p w:rsidR="00054A3F" w:rsidRPr="00054A3F" w:rsidRDefault="00054A3F" w:rsidP="00FF6919">
      <w:pPr>
        <w:pStyle w:val="HIPNormal"/>
        <w:spacing w:before="120"/>
        <w:rPr>
          <w:lang w:val="en-GB"/>
        </w:rPr>
      </w:pPr>
      <w:r w:rsidRPr="00054A3F">
        <w:rPr>
          <w:b/>
          <w:bCs/>
          <w:lang w:val="en-GB"/>
        </w:rPr>
        <w:t>LLU</w:t>
      </w:r>
      <w:r>
        <w:rPr>
          <w:lang w:val="en-GB"/>
        </w:rPr>
        <w:tab/>
      </w:r>
      <w:r>
        <w:rPr>
          <w:lang w:val="en-GB"/>
        </w:rPr>
        <w:tab/>
      </w:r>
      <w:r w:rsidRPr="00054A3F">
        <w:rPr>
          <w:lang w:val="en-GB"/>
        </w:rPr>
        <w:t xml:space="preserve">Local loop unbundling </w:t>
      </w:r>
    </w:p>
    <w:p w:rsidR="00054A3F" w:rsidRPr="00054A3F" w:rsidRDefault="00054A3F" w:rsidP="00FF6919">
      <w:pPr>
        <w:pStyle w:val="HIPNormal"/>
        <w:spacing w:before="120"/>
        <w:rPr>
          <w:lang w:val="en-GB"/>
        </w:rPr>
      </w:pPr>
      <w:r w:rsidRPr="00054A3F">
        <w:rPr>
          <w:b/>
          <w:bCs/>
          <w:lang w:val="en-GB"/>
        </w:rPr>
        <w:t>LSM</w:t>
      </w:r>
      <w:r>
        <w:rPr>
          <w:lang w:val="en-GB"/>
        </w:rPr>
        <w:tab/>
      </w:r>
      <w:r>
        <w:rPr>
          <w:lang w:val="en-GB"/>
        </w:rPr>
        <w:tab/>
      </w:r>
      <w:r w:rsidRPr="00054A3F">
        <w:rPr>
          <w:lang w:val="en-GB"/>
        </w:rPr>
        <w:t xml:space="preserve">Living Standard Measure </w:t>
      </w:r>
    </w:p>
    <w:p w:rsidR="00054A3F" w:rsidRPr="00054A3F" w:rsidRDefault="00054A3F" w:rsidP="00FF6919">
      <w:pPr>
        <w:pStyle w:val="HIPNormal"/>
        <w:spacing w:before="120"/>
        <w:rPr>
          <w:lang w:val="en-GB"/>
        </w:rPr>
      </w:pPr>
      <w:r w:rsidRPr="00054A3F">
        <w:rPr>
          <w:b/>
          <w:bCs/>
          <w:lang w:val="en-GB"/>
        </w:rPr>
        <w:t>LTE</w:t>
      </w:r>
      <w:r>
        <w:rPr>
          <w:lang w:val="en-GB"/>
        </w:rPr>
        <w:tab/>
      </w:r>
      <w:r>
        <w:rPr>
          <w:lang w:val="en-GB"/>
        </w:rPr>
        <w:tab/>
      </w:r>
      <w:r w:rsidRPr="00054A3F">
        <w:rPr>
          <w:lang w:val="en-GB"/>
        </w:rPr>
        <w:t>Long Term Evolution</w:t>
      </w:r>
    </w:p>
    <w:p w:rsidR="00054A3F" w:rsidRPr="00054A3F" w:rsidRDefault="00054A3F" w:rsidP="00FF6919">
      <w:pPr>
        <w:pStyle w:val="HIPNormal"/>
        <w:spacing w:before="120"/>
        <w:rPr>
          <w:lang w:val="en-GB"/>
        </w:rPr>
      </w:pPr>
      <w:r w:rsidRPr="00054A3F">
        <w:rPr>
          <w:b/>
          <w:bCs/>
          <w:lang w:val="en-GB"/>
        </w:rPr>
        <w:t>MACRA</w:t>
      </w:r>
      <w:r>
        <w:rPr>
          <w:lang w:val="en-GB"/>
        </w:rPr>
        <w:tab/>
      </w:r>
      <w:r>
        <w:rPr>
          <w:lang w:val="en-GB"/>
        </w:rPr>
        <w:tab/>
      </w:r>
      <w:r w:rsidRPr="00054A3F">
        <w:rPr>
          <w:lang w:val="en-US"/>
        </w:rPr>
        <w:t>Malawi Communications Regulatory Authority</w:t>
      </w:r>
    </w:p>
    <w:p w:rsidR="00054A3F" w:rsidRPr="00054A3F" w:rsidRDefault="00054A3F" w:rsidP="00FF6919">
      <w:pPr>
        <w:pStyle w:val="HIPNormal"/>
        <w:spacing w:before="120"/>
        <w:rPr>
          <w:lang w:val="en-GB"/>
        </w:rPr>
      </w:pPr>
      <w:r w:rsidRPr="00054A3F">
        <w:rPr>
          <w:b/>
          <w:bCs/>
          <w:lang w:val="en-GB"/>
        </w:rPr>
        <w:t>MAP</w:t>
      </w:r>
      <w:r>
        <w:rPr>
          <w:lang w:val="en-GB"/>
        </w:rPr>
        <w:tab/>
      </w:r>
      <w:r>
        <w:rPr>
          <w:lang w:val="en-GB"/>
        </w:rPr>
        <w:tab/>
      </w:r>
      <w:r w:rsidRPr="00054A3F">
        <w:rPr>
          <w:lang w:val="en-GB"/>
        </w:rPr>
        <w:t>Madagascar Action Plan</w:t>
      </w:r>
    </w:p>
    <w:p w:rsidR="00054A3F" w:rsidRPr="00054A3F" w:rsidRDefault="00054A3F" w:rsidP="00FF6919">
      <w:pPr>
        <w:pStyle w:val="HIPNormal"/>
        <w:spacing w:before="120"/>
        <w:rPr>
          <w:lang w:val="en-GB"/>
        </w:rPr>
      </w:pPr>
      <w:r w:rsidRPr="00054A3F">
        <w:rPr>
          <w:b/>
          <w:bCs/>
          <w:lang w:val="en-GB"/>
        </w:rPr>
        <w:t>MAP</w:t>
      </w:r>
      <w:r>
        <w:rPr>
          <w:lang w:val="en-GB"/>
        </w:rPr>
        <w:tab/>
      </w:r>
      <w:r>
        <w:rPr>
          <w:lang w:val="en-GB"/>
        </w:rPr>
        <w:tab/>
      </w:r>
      <w:r w:rsidRPr="00054A3F">
        <w:rPr>
          <w:lang w:val="en-GB"/>
        </w:rPr>
        <w:t xml:space="preserve">Millennium Action Plan </w:t>
      </w:r>
    </w:p>
    <w:p w:rsidR="00054A3F" w:rsidRPr="00054A3F" w:rsidRDefault="00054A3F" w:rsidP="00FF6919">
      <w:pPr>
        <w:pStyle w:val="HIPNormal"/>
        <w:spacing w:before="120"/>
        <w:rPr>
          <w:lang w:val="en-GB"/>
        </w:rPr>
      </w:pPr>
      <w:r w:rsidRPr="00054A3F">
        <w:rPr>
          <w:b/>
          <w:bCs/>
          <w:lang w:val="en-GB"/>
        </w:rPr>
        <w:t>MDDA</w:t>
      </w:r>
      <w:r>
        <w:rPr>
          <w:lang w:val="en-GB"/>
        </w:rPr>
        <w:tab/>
      </w:r>
      <w:r>
        <w:rPr>
          <w:lang w:val="en-GB"/>
        </w:rPr>
        <w:tab/>
      </w:r>
      <w:r w:rsidRPr="00054A3F">
        <w:rPr>
          <w:lang w:val="en-US"/>
        </w:rPr>
        <w:t>Media Development and Diversity Fund</w:t>
      </w:r>
    </w:p>
    <w:p w:rsidR="00054A3F" w:rsidRPr="00054A3F" w:rsidRDefault="00054A3F" w:rsidP="00FF6919">
      <w:pPr>
        <w:pStyle w:val="HIPNormal"/>
        <w:spacing w:before="120"/>
        <w:rPr>
          <w:lang w:val="en-GB"/>
        </w:rPr>
      </w:pPr>
      <w:r w:rsidRPr="00054A3F">
        <w:rPr>
          <w:b/>
          <w:bCs/>
          <w:lang w:val="en-GB"/>
        </w:rPr>
        <w:lastRenderedPageBreak/>
        <w:t>MDGs</w:t>
      </w:r>
      <w:r>
        <w:rPr>
          <w:lang w:val="en-GB"/>
        </w:rPr>
        <w:tab/>
      </w:r>
      <w:r>
        <w:rPr>
          <w:lang w:val="en-GB"/>
        </w:rPr>
        <w:tab/>
      </w:r>
      <w:r w:rsidRPr="00054A3F">
        <w:rPr>
          <w:lang w:val="en-GB"/>
        </w:rPr>
        <w:t xml:space="preserve">Millennium Development Goals </w:t>
      </w:r>
    </w:p>
    <w:p w:rsidR="00054A3F" w:rsidRPr="00054A3F" w:rsidRDefault="00054A3F" w:rsidP="00FF6919">
      <w:pPr>
        <w:pStyle w:val="HIPNormal"/>
        <w:spacing w:before="120"/>
        <w:rPr>
          <w:lang w:val="en-GB"/>
        </w:rPr>
      </w:pPr>
      <w:r w:rsidRPr="00054A3F">
        <w:rPr>
          <w:b/>
          <w:bCs/>
          <w:lang w:val="en-GB"/>
        </w:rPr>
        <w:t>MoU</w:t>
      </w:r>
      <w:r>
        <w:rPr>
          <w:lang w:val="en-GB"/>
        </w:rPr>
        <w:tab/>
      </w:r>
      <w:r>
        <w:rPr>
          <w:lang w:val="en-GB"/>
        </w:rPr>
        <w:tab/>
      </w:r>
      <w:r w:rsidRPr="00054A3F">
        <w:rPr>
          <w:lang w:val="en-GB"/>
        </w:rPr>
        <w:t>Memorandum of Understanding</w:t>
      </w:r>
    </w:p>
    <w:p w:rsidR="00054A3F" w:rsidRPr="00054A3F" w:rsidRDefault="00054A3F" w:rsidP="00FF6919">
      <w:pPr>
        <w:pStyle w:val="HIPNormal"/>
        <w:spacing w:before="120"/>
        <w:rPr>
          <w:lang w:val="en-GB"/>
        </w:rPr>
      </w:pPr>
      <w:r w:rsidRPr="00054A3F">
        <w:rPr>
          <w:b/>
          <w:bCs/>
          <w:lang w:val="en-GB"/>
        </w:rPr>
        <w:t>MPCC</w:t>
      </w:r>
      <w:r>
        <w:rPr>
          <w:lang w:val="en-GB"/>
        </w:rPr>
        <w:tab/>
      </w:r>
      <w:r>
        <w:rPr>
          <w:lang w:val="en-GB"/>
        </w:rPr>
        <w:tab/>
      </w:r>
      <w:r w:rsidRPr="00054A3F">
        <w:rPr>
          <w:lang w:val="en-GB"/>
        </w:rPr>
        <w:t>multi-purpose community centre</w:t>
      </w:r>
    </w:p>
    <w:p w:rsidR="00054A3F" w:rsidRPr="00054A3F" w:rsidRDefault="00054A3F" w:rsidP="00FF6919">
      <w:pPr>
        <w:pStyle w:val="HIPNormal"/>
        <w:spacing w:before="120"/>
        <w:rPr>
          <w:lang w:val="en-GB"/>
        </w:rPr>
      </w:pPr>
      <w:r w:rsidRPr="00054A3F">
        <w:rPr>
          <w:b/>
          <w:bCs/>
          <w:lang w:val="en-GB"/>
        </w:rPr>
        <w:t>MT</w:t>
      </w:r>
      <w:r>
        <w:rPr>
          <w:lang w:val="en-GB"/>
        </w:rPr>
        <w:tab/>
      </w:r>
      <w:r>
        <w:rPr>
          <w:lang w:val="en-GB"/>
        </w:rPr>
        <w:tab/>
      </w:r>
      <w:r w:rsidRPr="00054A3F">
        <w:rPr>
          <w:lang w:val="en-GB"/>
        </w:rPr>
        <w:t>Mauritius Telecom</w:t>
      </w:r>
    </w:p>
    <w:p w:rsidR="00054A3F" w:rsidRPr="00054A3F" w:rsidRDefault="00054A3F" w:rsidP="00FF6919">
      <w:pPr>
        <w:pStyle w:val="HIPNormal"/>
        <w:spacing w:before="120"/>
        <w:rPr>
          <w:lang w:val="en-GB"/>
        </w:rPr>
      </w:pPr>
      <w:r w:rsidRPr="00054A3F">
        <w:rPr>
          <w:b/>
          <w:bCs/>
          <w:lang w:val="en-GB"/>
        </w:rPr>
        <w:t>MTN</w:t>
      </w:r>
      <w:r>
        <w:rPr>
          <w:lang w:val="en-GB"/>
        </w:rPr>
        <w:tab/>
      </w:r>
      <w:r>
        <w:rPr>
          <w:lang w:val="en-GB"/>
        </w:rPr>
        <w:tab/>
      </w:r>
      <w:r w:rsidRPr="00054A3F">
        <w:rPr>
          <w:lang w:val="en-GB"/>
        </w:rPr>
        <w:t>Mobile Telephone Networks</w:t>
      </w:r>
    </w:p>
    <w:p w:rsidR="00054A3F" w:rsidRPr="00A3379B" w:rsidRDefault="00054A3F" w:rsidP="00FF6919">
      <w:pPr>
        <w:pStyle w:val="HIPNormal"/>
        <w:spacing w:before="120"/>
        <w:rPr>
          <w:lang w:val="fr-CH"/>
        </w:rPr>
      </w:pPr>
      <w:r w:rsidRPr="00A3379B">
        <w:rPr>
          <w:b/>
          <w:bCs/>
          <w:lang w:val="fr-CH"/>
        </w:rPr>
        <w:t>NCC</w:t>
      </w:r>
      <w:r w:rsidRPr="00A3379B">
        <w:rPr>
          <w:lang w:val="fr-CH"/>
        </w:rPr>
        <w:tab/>
      </w:r>
      <w:r w:rsidRPr="00A3379B">
        <w:rPr>
          <w:lang w:val="fr-CH"/>
        </w:rPr>
        <w:tab/>
        <w:t>Namibia Communications Commission</w:t>
      </w:r>
    </w:p>
    <w:p w:rsidR="00054A3F" w:rsidRPr="00A3379B" w:rsidRDefault="00054A3F" w:rsidP="00FF6919">
      <w:pPr>
        <w:pStyle w:val="HIPNormal"/>
        <w:spacing w:before="120"/>
        <w:rPr>
          <w:lang w:val="fr-CH"/>
        </w:rPr>
      </w:pPr>
      <w:r w:rsidRPr="00A3379B">
        <w:rPr>
          <w:b/>
          <w:bCs/>
          <w:lang w:val="fr-CH"/>
        </w:rPr>
        <w:t>NCC</w:t>
      </w:r>
      <w:r w:rsidRPr="00A3379B">
        <w:rPr>
          <w:lang w:val="fr-CH"/>
        </w:rPr>
        <w:tab/>
      </w:r>
      <w:r w:rsidRPr="00A3379B">
        <w:rPr>
          <w:lang w:val="fr-CH"/>
        </w:rPr>
        <w:tab/>
        <w:t xml:space="preserve">Nigerian Communications Commission </w:t>
      </w:r>
    </w:p>
    <w:p w:rsidR="00054A3F" w:rsidRPr="00054A3F" w:rsidRDefault="00054A3F" w:rsidP="00FF6919">
      <w:pPr>
        <w:pStyle w:val="HIPNormal"/>
        <w:spacing w:before="120"/>
        <w:rPr>
          <w:lang w:val="en-GB"/>
        </w:rPr>
      </w:pPr>
      <w:r w:rsidRPr="00054A3F">
        <w:rPr>
          <w:b/>
          <w:bCs/>
          <w:lang w:val="en-GB"/>
        </w:rPr>
        <w:t>NDD</w:t>
      </w:r>
      <w:r>
        <w:rPr>
          <w:lang w:val="en-GB"/>
        </w:rPr>
        <w:tab/>
      </w:r>
      <w:r>
        <w:rPr>
          <w:lang w:val="en-GB"/>
        </w:rPr>
        <w:tab/>
      </w:r>
      <w:r w:rsidRPr="00054A3F">
        <w:rPr>
          <w:lang w:val="en-GB"/>
        </w:rPr>
        <w:t>Network Design Document</w:t>
      </w:r>
    </w:p>
    <w:p w:rsidR="00054A3F" w:rsidRPr="00054A3F" w:rsidRDefault="00054A3F" w:rsidP="00FF6919">
      <w:pPr>
        <w:pStyle w:val="HIPNormal"/>
        <w:spacing w:before="120"/>
        <w:rPr>
          <w:lang w:val="en-GB"/>
        </w:rPr>
      </w:pPr>
      <w:r w:rsidRPr="00054A3F">
        <w:rPr>
          <w:b/>
          <w:bCs/>
          <w:lang w:val="en-GB"/>
        </w:rPr>
        <w:t>NRA</w:t>
      </w:r>
      <w:r>
        <w:rPr>
          <w:lang w:val="en-GB"/>
        </w:rPr>
        <w:tab/>
      </w:r>
      <w:r>
        <w:rPr>
          <w:lang w:val="en-GB"/>
        </w:rPr>
        <w:tab/>
      </w:r>
      <w:r w:rsidRPr="00054A3F">
        <w:rPr>
          <w:lang w:val="en-GB"/>
        </w:rPr>
        <w:t>National Regulatory Authorities</w:t>
      </w:r>
    </w:p>
    <w:p w:rsidR="00054A3F" w:rsidRPr="00054A3F" w:rsidRDefault="00054A3F" w:rsidP="00FF6919">
      <w:pPr>
        <w:pStyle w:val="HIPNormal"/>
        <w:spacing w:before="120"/>
        <w:rPr>
          <w:lang w:val="en-GB"/>
        </w:rPr>
      </w:pPr>
      <w:r w:rsidRPr="00054A3F">
        <w:rPr>
          <w:b/>
          <w:bCs/>
          <w:lang w:val="en-GB"/>
        </w:rPr>
        <w:t>NEPAD</w:t>
      </w:r>
      <w:r>
        <w:rPr>
          <w:lang w:val="en-GB"/>
        </w:rPr>
        <w:tab/>
      </w:r>
      <w:r>
        <w:rPr>
          <w:lang w:val="en-GB"/>
        </w:rPr>
        <w:tab/>
      </w:r>
      <w:r w:rsidRPr="00054A3F">
        <w:rPr>
          <w:lang w:val="en-GB"/>
        </w:rPr>
        <w:t>New Partnership for Africa's Development</w:t>
      </w:r>
    </w:p>
    <w:p w:rsidR="00054A3F" w:rsidRPr="00054A3F" w:rsidRDefault="00054A3F" w:rsidP="00FF6919">
      <w:pPr>
        <w:pStyle w:val="HIPNormal"/>
        <w:spacing w:before="120"/>
      </w:pPr>
      <w:r w:rsidRPr="00054A3F">
        <w:rPr>
          <w:b/>
          <w:bCs/>
        </w:rPr>
        <w:t>NICI</w:t>
      </w:r>
      <w:r>
        <w:tab/>
      </w:r>
      <w:r>
        <w:tab/>
      </w:r>
      <w:r w:rsidRPr="00054A3F">
        <w:t>National Information and Communication Infrastructure</w:t>
      </w:r>
    </w:p>
    <w:p w:rsidR="00054A3F" w:rsidRPr="00054A3F" w:rsidRDefault="00054A3F" w:rsidP="00FF6919">
      <w:pPr>
        <w:pStyle w:val="HIPNormal"/>
        <w:spacing w:before="120"/>
        <w:rPr>
          <w:lang w:val="en-GB"/>
        </w:rPr>
      </w:pPr>
      <w:r w:rsidRPr="00054A3F">
        <w:rPr>
          <w:b/>
          <w:bCs/>
          <w:lang w:val="en-GB"/>
        </w:rPr>
        <w:t>NRA</w:t>
      </w:r>
      <w:r>
        <w:rPr>
          <w:lang w:val="en-GB"/>
        </w:rPr>
        <w:tab/>
      </w:r>
      <w:r>
        <w:rPr>
          <w:lang w:val="en-GB"/>
        </w:rPr>
        <w:tab/>
      </w:r>
      <w:r w:rsidRPr="00054A3F">
        <w:rPr>
          <w:lang w:val="en-GB"/>
        </w:rPr>
        <w:t>National Regulatory Authority</w:t>
      </w:r>
    </w:p>
    <w:p w:rsidR="00054A3F" w:rsidRPr="00054A3F" w:rsidRDefault="00054A3F" w:rsidP="00FF6919">
      <w:pPr>
        <w:pStyle w:val="HIPNormal"/>
        <w:spacing w:before="120"/>
        <w:rPr>
          <w:lang w:val="en-GB"/>
        </w:rPr>
      </w:pPr>
      <w:r w:rsidRPr="00054A3F">
        <w:rPr>
          <w:b/>
          <w:bCs/>
          <w:lang w:val="en-GB"/>
        </w:rPr>
        <w:t>NGN</w:t>
      </w:r>
      <w:r>
        <w:rPr>
          <w:lang w:val="en-GB"/>
        </w:rPr>
        <w:tab/>
      </w:r>
      <w:r>
        <w:rPr>
          <w:lang w:val="en-GB"/>
        </w:rPr>
        <w:tab/>
      </w:r>
      <w:r w:rsidRPr="00054A3F">
        <w:rPr>
          <w:lang w:val="en-GB"/>
        </w:rPr>
        <w:t>Next-generation Network(s)</w:t>
      </w:r>
    </w:p>
    <w:p w:rsidR="00054A3F" w:rsidRPr="00054A3F" w:rsidRDefault="00054A3F" w:rsidP="00FF6919">
      <w:pPr>
        <w:pStyle w:val="HIPNormal"/>
        <w:spacing w:before="120"/>
        <w:rPr>
          <w:lang w:val="en-GB"/>
        </w:rPr>
      </w:pPr>
      <w:r w:rsidRPr="00054A3F">
        <w:rPr>
          <w:b/>
          <w:bCs/>
          <w:lang w:val="en-GB"/>
        </w:rPr>
        <w:t>NGO</w:t>
      </w:r>
      <w:r>
        <w:rPr>
          <w:lang w:val="en-GB"/>
        </w:rPr>
        <w:tab/>
      </w:r>
      <w:r>
        <w:rPr>
          <w:lang w:val="en-GB"/>
        </w:rPr>
        <w:tab/>
      </w:r>
      <w:r w:rsidRPr="00054A3F">
        <w:rPr>
          <w:lang w:val="en-GB"/>
        </w:rPr>
        <w:t>Non-governmental organisation</w:t>
      </w:r>
    </w:p>
    <w:p w:rsidR="00054A3F" w:rsidRPr="00054A3F" w:rsidRDefault="00054A3F" w:rsidP="00FF6919">
      <w:pPr>
        <w:pStyle w:val="HIPNormal"/>
        <w:spacing w:before="120"/>
        <w:rPr>
          <w:lang w:val="en-GB"/>
        </w:rPr>
      </w:pPr>
      <w:r w:rsidRPr="00054A3F">
        <w:rPr>
          <w:b/>
          <w:bCs/>
          <w:lang w:val="en-GB"/>
        </w:rPr>
        <w:t>NTIA</w:t>
      </w:r>
      <w:r>
        <w:rPr>
          <w:lang w:val="en-GB"/>
        </w:rPr>
        <w:tab/>
      </w:r>
      <w:r>
        <w:rPr>
          <w:lang w:val="en-GB"/>
        </w:rPr>
        <w:tab/>
      </w:r>
      <w:r w:rsidRPr="00054A3F">
        <w:rPr>
          <w:lang w:val="en-GB"/>
        </w:rPr>
        <w:t>National Telecommunications Information Administration</w:t>
      </w:r>
    </w:p>
    <w:p w:rsidR="00054A3F" w:rsidRPr="00054A3F" w:rsidRDefault="00054A3F" w:rsidP="00FF6919">
      <w:pPr>
        <w:pStyle w:val="HIPNormal"/>
        <w:spacing w:before="120"/>
        <w:rPr>
          <w:lang w:val="en-GB"/>
        </w:rPr>
      </w:pPr>
      <w:r w:rsidRPr="00054A3F">
        <w:rPr>
          <w:b/>
          <w:bCs/>
          <w:lang w:val="en-GB"/>
        </w:rPr>
        <w:t>OBA</w:t>
      </w:r>
      <w:r>
        <w:rPr>
          <w:lang w:val="en-GB"/>
        </w:rPr>
        <w:tab/>
      </w:r>
      <w:r>
        <w:rPr>
          <w:lang w:val="en-GB"/>
        </w:rPr>
        <w:tab/>
      </w:r>
      <w:r w:rsidRPr="00054A3F">
        <w:rPr>
          <w:lang w:val="en-US"/>
        </w:rPr>
        <w:t>Output Based Aid</w:t>
      </w:r>
    </w:p>
    <w:p w:rsidR="00054A3F" w:rsidRPr="00054A3F" w:rsidRDefault="00054A3F" w:rsidP="00FF6919">
      <w:pPr>
        <w:pStyle w:val="HIPNormal"/>
        <w:spacing w:before="120"/>
        <w:rPr>
          <w:lang w:val="en-GB"/>
        </w:rPr>
      </w:pPr>
      <w:r w:rsidRPr="00054A3F">
        <w:rPr>
          <w:b/>
          <w:bCs/>
          <w:lang w:val="en-GB"/>
        </w:rPr>
        <w:t>OCPT</w:t>
      </w:r>
      <w:r>
        <w:rPr>
          <w:lang w:val="en-GB"/>
        </w:rPr>
        <w:tab/>
      </w:r>
      <w:r>
        <w:rPr>
          <w:lang w:val="en-GB"/>
        </w:rPr>
        <w:tab/>
      </w:r>
      <w:r w:rsidRPr="00054A3F">
        <w:rPr>
          <w:lang w:val="en-GB"/>
        </w:rPr>
        <w:t>Congolese Postal and Telecommunications Office</w:t>
      </w:r>
    </w:p>
    <w:p w:rsidR="00054A3F" w:rsidRPr="00054A3F" w:rsidRDefault="00054A3F" w:rsidP="00FF6919">
      <w:pPr>
        <w:pStyle w:val="HIPNormal"/>
        <w:spacing w:before="120"/>
      </w:pPr>
      <w:r w:rsidRPr="00054A3F">
        <w:rPr>
          <w:b/>
          <w:bCs/>
        </w:rPr>
        <w:t>OMERT</w:t>
      </w:r>
      <w:r>
        <w:tab/>
      </w:r>
      <w:r>
        <w:tab/>
      </w:r>
      <w:r w:rsidRPr="00054A3F">
        <w:t>Office Malagasy d’Etudes et de Régulation des Télécommunication</w:t>
      </w:r>
    </w:p>
    <w:p w:rsidR="00054A3F" w:rsidRPr="00054A3F" w:rsidRDefault="00054A3F" w:rsidP="00FF6919">
      <w:pPr>
        <w:pStyle w:val="HIPNormal"/>
        <w:spacing w:before="120"/>
        <w:rPr>
          <w:lang w:val="es-ES_tradnl"/>
        </w:rPr>
      </w:pPr>
      <w:r w:rsidRPr="00054A3F">
        <w:rPr>
          <w:b/>
          <w:bCs/>
          <w:lang w:val="es-ES_tradnl"/>
        </w:rPr>
        <w:t>OPEX</w:t>
      </w:r>
      <w:r>
        <w:rPr>
          <w:lang w:val="es-ES_tradnl"/>
        </w:rPr>
        <w:tab/>
      </w:r>
      <w:r>
        <w:rPr>
          <w:lang w:val="es-ES_tradnl"/>
        </w:rPr>
        <w:tab/>
      </w:r>
      <w:r w:rsidRPr="00054A3F">
        <w:rPr>
          <w:lang w:val="es-ES_tradnl"/>
        </w:rPr>
        <w:t>Operational expenditure</w:t>
      </w:r>
    </w:p>
    <w:p w:rsidR="00054A3F" w:rsidRPr="00054A3F" w:rsidRDefault="00054A3F" w:rsidP="00FF6919">
      <w:pPr>
        <w:pStyle w:val="HIPNormal"/>
        <w:spacing w:before="120"/>
        <w:rPr>
          <w:lang w:val="es-ES_tradnl"/>
        </w:rPr>
      </w:pPr>
      <w:r w:rsidRPr="00054A3F">
        <w:rPr>
          <w:b/>
          <w:bCs/>
          <w:lang w:val="es-ES_tradnl"/>
        </w:rPr>
        <w:t>OSIPTEL</w:t>
      </w:r>
      <w:r>
        <w:rPr>
          <w:lang w:val="es-ES_tradnl"/>
        </w:rPr>
        <w:tab/>
      </w:r>
      <w:r>
        <w:rPr>
          <w:lang w:val="es-ES_tradnl"/>
        </w:rPr>
        <w:tab/>
      </w:r>
      <w:r w:rsidRPr="00054A3F">
        <w:rPr>
          <w:lang w:val="es-ES_tradnl"/>
        </w:rPr>
        <w:t>Organismo Supervisor de Inversión Privada en Telecomunicaciones</w:t>
      </w:r>
    </w:p>
    <w:p w:rsidR="00054A3F" w:rsidRPr="00054A3F" w:rsidRDefault="00054A3F" w:rsidP="00FF6919">
      <w:pPr>
        <w:pStyle w:val="HIPNormal"/>
        <w:spacing w:before="120"/>
        <w:rPr>
          <w:lang w:val="en-GB"/>
        </w:rPr>
      </w:pPr>
      <w:r w:rsidRPr="00054A3F">
        <w:rPr>
          <w:b/>
          <w:bCs/>
          <w:lang w:val="en-GB"/>
        </w:rPr>
        <w:t>PARPA</w:t>
      </w:r>
      <w:r>
        <w:rPr>
          <w:lang w:val="en-GB"/>
        </w:rPr>
        <w:tab/>
      </w:r>
      <w:r>
        <w:rPr>
          <w:lang w:val="en-GB"/>
        </w:rPr>
        <w:tab/>
      </w:r>
      <w:r w:rsidRPr="00054A3F">
        <w:rPr>
          <w:lang w:val="en-GB"/>
        </w:rPr>
        <w:t>Action Plan for the Reduction of Absolute Poverty</w:t>
      </w:r>
    </w:p>
    <w:p w:rsidR="00054A3F" w:rsidRPr="00054A3F" w:rsidRDefault="00054A3F" w:rsidP="00FF6919">
      <w:pPr>
        <w:pStyle w:val="HIPNormal"/>
        <w:spacing w:before="120"/>
        <w:rPr>
          <w:lang w:val="en-GB"/>
        </w:rPr>
      </w:pPr>
      <w:r w:rsidRPr="00054A3F">
        <w:rPr>
          <w:b/>
          <w:bCs/>
          <w:lang w:val="en-GB"/>
        </w:rPr>
        <w:t>PIAP</w:t>
      </w:r>
      <w:r>
        <w:rPr>
          <w:lang w:val="en-GB"/>
        </w:rPr>
        <w:tab/>
      </w:r>
      <w:r>
        <w:rPr>
          <w:lang w:val="en-GB"/>
        </w:rPr>
        <w:tab/>
      </w:r>
      <w:r w:rsidRPr="00054A3F">
        <w:rPr>
          <w:lang w:val="en-GB"/>
        </w:rPr>
        <w:t>Public Internet Access Point</w:t>
      </w:r>
    </w:p>
    <w:p w:rsidR="00054A3F" w:rsidRPr="00054A3F" w:rsidRDefault="00054A3F" w:rsidP="00FF6919">
      <w:pPr>
        <w:pStyle w:val="HIPNormal"/>
        <w:spacing w:before="120"/>
        <w:rPr>
          <w:lang w:val="en-GB"/>
        </w:rPr>
      </w:pPr>
      <w:r w:rsidRPr="00054A3F">
        <w:rPr>
          <w:b/>
          <w:bCs/>
          <w:lang w:val="en-GB"/>
        </w:rPr>
        <w:t>PNTIC</w:t>
      </w:r>
      <w:r>
        <w:rPr>
          <w:lang w:val="en-GB"/>
        </w:rPr>
        <w:tab/>
      </w:r>
      <w:r>
        <w:rPr>
          <w:lang w:val="en-GB"/>
        </w:rPr>
        <w:tab/>
      </w:r>
      <w:r w:rsidRPr="00054A3F">
        <w:rPr>
          <w:lang w:val="en-GB"/>
        </w:rPr>
        <w:t>Politique National TIC</w:t>
      </w:r>
    </w:p>
    <w:p w:rsidR="00054A3F" w:rsidRPr="00054A3F" w:rsidRDefault="00054A3F" w:rsidP="00FF6919">
      <w:pPr>
        <w:pStyle w:val="HIPNormal"/>
        <w:spacing w:before="120"/>
        <w:rPr>
          <w:lang w:val="en-GB"/>
        </w:rPr>
      </w:pPr>
      <w:r w:rsidRPr="00054A3F">
        <w:rPr>
          <w:b/>
          <w:bCs/>
          <w:lang w:val="en-GB"/>
        </w:rPr>
        <w:t>PoP</w:t>
      </w:r>
      <w:r>
        <w:rPr>
          <w:lang w:val="en-GB"/>
        </w:rPr>
        <w:tab/>
      </w:r>
      <w:r>
        <w:rPr>
          <w:lang w:val="en-GB"/>
        </w:rPr>
        <w:tab/>
      </w:r>
      <w:r w:rsidRPr="00054A3F">
        <w:rPr>
          <w:lang w:val="en-GB"/>
        </w:rPr>
        <w:t>Point of Presence</w:t>
      </w:r>
    </w:p>
    <w:p w:rsidR="00054A3F" w:rsidRPr="00054A3F" w:rsidRDefault="00054A3F" w:rsidP="00FF6919">
      <w:pPr>
        <w:pStyle w:val="HIPNormal"/>
        <w:spacing w:before="120"/>
        <w:rPr>
          <w:lang w:val="en-GB"/>
        </w:rPr>
      </w:pPr>
      <w:r w:rsidRPr="00054A3F">
        <w:rPr>
          <w:b/>
          <w:bCs/>
          <w:lang w:val="en-GB"/>
        </w:rPr>
        <w:t>POTRAZ</w:t>
      </w:r>
      <w:r>
        <w:rPr>
          <w:lang w:val="en-GB"/>
        </w:rPr>
        <w:tab/>
      </w:r>
      <w:r>
        <w:rPr>
          <w:lang w:val="en-GB"/>
        </w:rPr>
        <w:tab/>
      </w:r>
      <w:r w:rsidRPr="00054A3F">
        <w:rPr>
          <w:lang w:val="en-US"/>
        </w:rPr>
        <w:t>Postal and Telecommunications Regulatory Authority of Zimbabwe</w:t>
      </w:r>
    </w:p>
    <w:p w:rsidR="00054A3F" w:rsidRPr="00054A3F" w:rsidRDefault="00054A3F" w:rsidP="00FF6919">
      <w:pPr>
        <w:pStyle w:val="HIPNormal"/>
        <w:spacing w:before="120"/>
        <w:rPr>
          <w:lang w:val="en-GB"/>
        </w:rPr>
      </w:pPr>
      <w:r w:rsidRPr="00054A3F">
        <w:rPr>
          <w:b/>
          <w:bCs/>
          <w:lang w:val="en-GB"/>
        </w:rPr>
        <w:t>PPP</w:t>
      </w:r>
      <w:r>
        <w:rPr>
          <w:lang w:val="en-GB"/>
        </w:rPr>
        <w:tab/>
      </w:r>
      <w:r>
        <w:rPr>
          <w:lang w:val="en-GB"/>
        </w:rPr>
        <w:tab/>
      </w:r>
      <w:r w:rsidRPr="00054A3F">
        <w:rPr>
          <w:lang w:val="en-GB"/>
        </w:rPr>
        <w:t>public-private-partnership</w:t>
      </w:r>
    </w:p>
    <w:p w:rsidR="00054A3F" w:rsidRPr="00054A3F" w:rsidRDefault="00054A3F" w:rsidP="00FF6919">
      <w:pPr>
        <w:pStyle w:val="HIPNormal"/>
        <w:spacing w:before="120"/>
        <w:rPr>
          <w:lang w:val="en-GB"/>
        </w:rPr>
      </w:pPr>
      <w:r w:rsidRPr="00054A3F">
        <w:rPr>
          <w:b/>
          <w:bCs/>
          <w:lang w:val="en-GB"/>
        </w:rPr>
        <w:t>QoS</w:t>
      </w:r>
      <w:r>
        <w:rPr>
          <w:lang w:val="en-GB"/>
        </w:rPr>
        <w:tab/>
      </w:r>
      <w:r>
        <w:rPr>
          <w:lang w:val="en-GB"/>
        </w:rPr>
        <w:tab/>
      </w:r>
      <w:r w:rsidRPr="00054A3F">
        <w:rPr>
          <w:lang w:val="en-GB"/>
        </w:rPr>
        <w:t xml:space="preserve">Quality of service </w:t>
      </w:r>
    </w:p>
    <w:p w:rsidR="00054A3F" w:rsidRPr="00054A3F" w:rsidRDefault="00054A3F" w:rsidP="00FF6919">
      <w:pPr>
        <w:pStyle w:val="HIPNormal"/>
        <w:spacing w:before="120"/>
        <w:rPr>
          <w:lang w:val="en-GB"/>
        </w:rPr>
      </w:pPr>
      <w:r w:rsidRPr="00054A3F">
        <w:rPr>
          <w:b/>
          <w:bCs/>
          <w:lang w:val="en-GB"/>
        </w:rPr>
        <w:t>RAPID</w:t>
      </w:r>
      <w:r>
        <w:rPr>
          <w:lang w:val="en-GB"/>
        </w:rPr>
        <w:tab/>
      </w:r>
      <w:r>
        <w:rPr>
          <w:lang w:val="en-GB"/>
        </w:rPr>
        <w:tab/>
      </w:r>
      <w:r w:rsidRPr="00054A3F">
        <w:rPr>
          <w:lang w:val="en-GB"/>
        </w:rPr>
        <w:t>Regional Activity to Promote Integration through Dialogue and Policy Implementation</w:t>
      </w:r>
    </w:p>
    <w:p w:rsidR="00054A3F" w:rsidRPr="00054A3F" w:rsidRDefault="00054A3F" w:rsidP="00FF6919">
      <w:pPr>
        <w:pStyle w:val="HIPNormal"/>
        <w:spacing w:before="120"/>
        <w:rPr>
          <w:lang w:val="en-GB"/>
        </w:rPr>
      </w:pPr>
      <w:r w:rsidRPr="00054A3F">
        <w:rPr>
          <w:b/>
          <w:bCs/>
          <w:lang w:val="en-GB"/>
        </w:rPr>
        <w:t>RCDF</w:t>
      </w:r>
      <w:r>
        <w:rPr>
          <w:lang w:val="en-GB"/>
        </w:rPr>
        <w:tab/>
      </w:r>
      <w:r>
        <w:rPr>
          <w:lang w:val="en-GB"/>
        </w:rPr>
        <w:tab/>
      </w:r>
      <w:r w:rsidRPr="00054A3F">
        <w:rPr>
          <w:lang w:val="en-GB"/>
        </w:rPr>
        <w:t>Rural Communications Development Fund</w:t>
      </w:r>
    </w:p>
    <w:p w:rsidR="00054A3F" w:rsidRPr="00054A3F" w:rsidRDefault="00054A3F" w:rsidP="00FF6919">
      <w:pPr>
        <w:pStyle w:val="HIPNormal"/>
        <w:spacing w:before="120"/>
        <w:rPr>
          <w:lang w:val="en-GB"/>
        </w:rPr>
      </w:pPr>
      <w:r w:rsidRPr="00054A3F">
        <w:rPr>
          <w:b/>
          <w:bCs/>
          <w:lang w:val="en-GB"/>
        </w:rPr>
        <w:t>RFP</w:t>
      </w:r>
      <w:r>
        <w:rPr>
          <w:lang w:val="en-GB"/>
        </w:rPr>
        <w:tab/>
      </w:r>
      <w:r>
        <w:rPr>
          <w:lang w:val="en-GB"/>
        </w:rPr>
        <w:tab/>
      </w:r>
      <w:r w:rsidRPr="00054A3F">
        <w:rPr>
          <w:lang w:val="en-GB"/>
        </w:rPr>
        <w:t>Request for Proposal</w:t>
      </w:r>
    </w:p>
    <w:p w:rsidR="00054A3F" w:rsidRPr="00054A3F" w:rsidRDefault="00054A3F" w:rsidP="00FF6919">
      <w:pPr>
        <w:pStyle w:val="HIPNormal"/>
        <w:spacing w:before="120"/>
        <w:rPr>
          <w:lang w:val="en-GB"/>
        </w:rPr>
      </w:pPr>
      <w:r w:rsidRPr="00054A3F">
        <w:rPr>
          <w:b/>
          <w:bCs/>
          <w:lang w:val="en-GB"/>
        </w:rPr>
        <w:t>SADC</w:t>
      </w:r>
      <w:r>
        <w:rPr>
          <w:lang w:val="en-GB"/>
        </w:rPr>
        <w:tab/>
      </w:r>
      <w:r>
        <w:rPr>
          <w:lang w:val="en-GB"/>
        </w:rPr>
        <w:tab/>
      </w:r>
      <w:r w:rsidRPr="00054A3F">
        <w:rPr>
          <w:lang w:val="en-GB"/>
        </w:rPr>
        <w:t>Southern Africa Development Community</w:t>
      </w:r>
    </w:p>
    <w:p w:rsidR="00054A3F" w:rsidRPr="00054A3F" w:rsidRDefault="00054A3F" w:rsidP="00FF6919">
      <w:pPr>
        <w:pStyle w:val="HIPNormal"/>
        <w:spacing w:before="120"/>
        <w:rPr>
          <w:lang w:val="en-GB"/>
        </w:rPr>
      </w:pPr>
      <w:r w:rsidRPr="00054A3F">
        <w:rPr>
          <w:b/>
          <w:bCs/>
          <w:lang w:val="en-GB"/>
        </w:rPr>
        <w:t>SAFE</w:t>
      </w:r>
      <w:r>
        <w:rPr>
          <w:lang w:val="en-GB"/>
        </w:rPr>
        <w:tab/>
      </w:r>
      <w:r>
        <w:rPr>
          <w:lang w:val="en-GB"/>
        </w:rPr>
        <w:tab/>
      </w:r>
      <w:r w:rsidRPr="00054A3F">
        <w:rPr>
          <w:lang w:val="en-GB"/>
        </w:rPr>
        <w:t xml:space="preserve">South Africa Far East undersea cable </w:t>
      </w:r>
    </w:p>
    <w:p w:rsidR="00054A3F" w:rsidRPr="00054A3F" w:rsidRDefault="00054A3F" w:rsidP="00FF6919">
      <w:pPr>
        <w:pStyle w:val="HIPNormal"/>
        <w:spacing w:before="120"/>
        <w:rPr>
          <w:lang w:val="en-GB"/>
        </w:rPr>
      </w:pPr>
      <w:r w:rsidRPr="00054A3F">
        <w:rPr>
          <w:b/>
          <w:bCs/>
          <w:lang w:val="en-GB"/>
        </w:rPr>
        <w:t>SMEs</w:t>
      </w:r>
      <w:r>
        <w:rPr>
          <w:lang w:val="en-GB"/>
        </w:rPr>
        <w:tab/>
      </w:r>
      <w:r>
        <w:rPr>
          <w:lang w:val="en-GB"/>
        </w:rPr>
        <w:tab/>
      </w:r>
      <w:r w:rsidRPr="00054A3F">
        <w:rPr>
          <w:lang w:val="en-GB"/>
        </w:rPr>
        <w:t>Small and Medium Enterprises</w:t>
      </w:r>
    </w:p>
    <w:p w:rsidR="00054A3F" w:rsidRPr="00054A3F" w:rsidRDefault="00054A3F" w:rsidP="00FF6919">
      <w:pPr>
        <w:pStyle w:val="HIPNormal"/>
        <w:spacing w:before="120"/>
        <w:rPr>
          <w:lang w:val="en-GB"/>
        </w:rPr>
      </w:pPr>
      <w:r w:rsidRPr="00054A3F">
        <w:rPr>
          <w:b/>
          <w:bCs/>
          <w:lang w:val="en-GB"/>
        </w:rPr>
        <w:t>SMMEs</w:t>
      </w:r>
      <w:r>
        <w:rPr>
          <w:lang w:val="en-GB"/>
        </w:rPr>
        <w:tab/>
      </w:r>
      <w:r>
        <w:rPr>
          <w:lang w:val="en-GB"/>
        </w:rPr>
        <w:tab/>
      </w:r>
      <w:r w:rsidRPr="00054A3F">
        <w:rPr>
          <w:lang w:val="en-GB"/>
        </w:rPr>
        <w:t>Small Medium and Micro Enterprises</w:t>
      </w:r>
    </w:p>
    <w:p w:rsidR="00054A3F" w:rsidRPr="00054A3F" w:rsidRDefault="00054A3F" w:rsidP="00FF6919">
      <w:pPr>
        <w:pStyle w:val="HIPNormal"/>
        <w:spacing w:before="120"/>
        <w:rPr>
          <w:lang w:val="es-ES_tradnl"/>
        </w:rPr>
      </w:pPr>
      <w:r w:rsidRPr="00054A3F">
        <w:rPr>
          <w:b/>
          <w:bCs/>
          <w:lang w:val="es-ES_tradnl"/>
        </w:rPr>
        <w:t>SUBTEL</w:t>
      </w:r>
      <w:r>
        <w:rPr>
          <w:lang w:val="es-ES_tradnl"/>
        </w:rPr>
        <w:tab/>
      </w:r>
      <w:r>
        <w:rPr>
          <w:lang w:val="es-ES_tradnl"/>
        </w:rPr>
        <w:tab/>
      </w:r>
      <w:r w:rsidRPr="00054A3F">
        <w:rPr>
          <w:lang w:val="es-ES_tradnl"/>
        </w:rPr>
        <w:t>Subsecreteria de Telecomunicaciones Gobierno de Chile</w:t>
      </w:r>
    </w:p>
    <w:p w:rsidR="00054A3F" w:rsidRPr="00054A3F" w:rsidRDefault="00054A3F" w:rsidP="00FF6919">
      <w:pPr>
        <w:pStyle w:val="HIPNormal"/>
        <w:spacing w:before="120"/>
        <w:rPr>
          <w:lang w:val="en-GB"/>
        </w:rPr>
      </w:pPr>
      <w:r w:rsidRPr="00054A3F">
        <w:rPr>
          <w:b/>
          <w:bCs/>
          <w:lang w:val="en-GB"/>
        </w:rPr>
        <w:t>TCM</w:t>
      </w:r>
      <w:r>
        <w:rPr>
          <w:lang w:val="en-GB"/>
        </w:rPr>
        <w:tab/>
      </w:r>
      <w:r>
        <w:rPr>
          <w:lang w:val="en-GB"/>
        </w:rPr>
        <w:tab/>
      </w:r>
      <w:r w:rsidRPr="00054A3F">
        <w:rPr>
          <w:lang w:val="en-GB"/>
        </w:rPr>
        <w:t>Total Cost Management</w:t>
      </w:r>
    </w:p>
    <w:p w:rsidR="00054A3F" w:rsidRPr="00054A3F" w:rsidRDefault="00054A3F" w:rsidP="00FF6919">
      <w:pPr>
        <w:pStyle w:val="HIPNormal"/>
        <w:spacing w:before="120"/>
        <w:rPr>
          <w:lang w:val="en-GB"/>
        </w:rPr>
      </w:pPr>
      <w:r w:rsidRPr="00054A3F">
        <w:rPr>
          <w:b/>
          <w:bCs/>
          <w:lang w:val="en-US"/>
        </w:rPr>
        <w:lastRenderedPageBreak/>
        <w:t>TCO</w:t>
      </w:r>
      <w:r>
        <w:rPr>
          <w:lang w:val="en-US"/>
        </w:rPr>
        <w:tab/>
      </w:r>
      <w:r>
        <w:rPr>
          <w:lang w:val="en-US"/>
        </w:rPr>
        <w:tab/>
      </w:r>
      <w:r w:rsidRPr="00054A3F">
        <w:rPr>
          <w:lang w:val="en-US"/>
        </w:rPr>
        <w:t>Total Cost of Ownership</w:t>
      </w:r>
    </w:p>
    <w:p w:rsidR="00054A3F" w:rsidRPr="00054A3F" w:rsidRDefault="00054A3F" w:rsidP="00FF6919">
      <w:pPr>
        <w:pStyle w:val="HIPNormal"/>
        <w:spacing w:before="120"/>
        <w:rPr>
          <w:lang w:val="en-GB"/>
        </w:rPr>
      </w:pPr>
      <w:r w:rsidRPr="00054A3F">
        <w:rPr>
          <w:b/>
          <w:bCs/>
          <w:lang w:val="en-GB"/>
        </w:rPr>
        <w:t>TCRA</w:t>
      </w:r>
      <w:r>
        <w:rPr>
          <w:lang w:val="en-GB"/>
        </w:rPr>
        <w:tab/>
      </w:r>
      <w:r>
        <w:rPr>
          <w:lang w:val="en-GB"/>
        </w:rPr>
        <w:tab/>
      </w:r>
      <w:r w:rsidRPr="00054A3F">
        <w:rPr>
          <w:lang w:val="en-GB"/>
        </w:rPr>
        <w:t>Tanzania Communications Regulatory Authority</w:t>
      </w:r>
    </w:p>
    <w:p w:rsidR="00054A3F" w:rsidRPr="00054A3F" w:rsidRDefault="00054A3F" w:rsidP="00FF6919">
      <w:pPr>
        <w:pStyle w:val="HIPNormal"/>
        <w:spacing w:before="120"/>
        <w:rPr>
          <w:lang w:val="en-GB"/>
        </w:rPr>
      </w:pPr>
      <w:r w:rsidRPr="00054A3F">
        <w:rPr>
          <w:b/>
          <w:bCs/>
          <w:lang w:val="en-GB"/>
        </w:rPr>
        <w:t>TIO</w:t>
      </w:r>
      <w:r>
        <w:rPr>
          <w:lang w:val="en-GB"/>
        </w:rPr>
        <w:tab/>
      </w:r>
      <w:r>
        <w:rPr>
          <w:lang w:val="en-GB"/>
        </w:rPr>
        <w:tab/>
      </w:r>
      <w:r w:rsidRPr="00054A3F">
        <w:rPr>
          <w:lang w:val="en-GB"/>
        </w:rPr>
        <w:t>Telecommunications Industry Ombudsman</w:t>
      </w:r>
    </w:p>
    <w:p w:rsidR="00054A3F" w:rsidRPr="00054A3F" w:rsidRDefault="00054A3F" w:rsidP="00FF6919">
      <w:pPr>
        <w:pStyle w:val="HIPNormal"/>
        <w:spacing w:before="120"/>
        <w:rPr>
          <w:lang w:val="en-GB"/>
        </w:rPr>
      </w:pPr>
      <w:r w:rsidRPr="00054A3F">
        <w:rPr>
          <w:b/>
          <w:bCs/>
          <w:lang w:val="en-US"/>
        </w:rPr>
        <w:t>TRAI</w:t>
      </w:r>
      <w:r>
        <w:rPr>
          <w:lang w:val="en-US"/>
        </w:rPr>
        <w:tab/>
      </w:r>
      <w:r>
        <w:rPr>
          <w:lang w:val="en-US"/>
        </w:rPr>
        <w:tab/>
      </w:r>
      <w:r w:rsidRPr="00054A3F">
        <w:rPr>
          <w:lang w:val="en-GB"/>
        </w:rPr>
        <w:t>Telecom Regulatory Authority of India</w:t>
      </w:r>
    </w:p>
    <w:p w:rsidR="00054A3F" w:rsidRPr="00054A3F" w:rsidRDefault="00054A3F" w:rsidP="00FF6919">
      <w:pPr>
        <w:pStyle w:val="HIPNormal"/>
        <w:spacing w:before="120"/>
        <w:rPr>
          <w:lang w:val="en-GB"/>
        </w:rPr>
      </w:pPr>
      <w:r w:rsidRPr="00054A3F">
        <w:rPr>
          <w:b/>
          <w:bCs/>
          <w:lang w:val="en-GB"/>
        </w:rPr>
        <w:t>TRASA</w:t>
      </w:r>
      <w:r>
        <w:rPr>
          <w:lang w:val="en-GB"/>
        </w:rPr>
        <w:tab/>
      </w:r>
      <w:r>
        <w:rPr>
          <w:lang w:val="en-GB"/>
        </w:rPr>
        <w:tab/>
      </w:r>
      <w:r w:rsidRPr="00054A3F">
        <w:rPr>
          <w:lang w:val="en-GB"/>
        </w:rPr>
        <w:t>Telecommunications Regulatory Association of Southern Africa</w:t>
      </w:r>
    </w:p>
    <w:p w:rsidR="00054A3F" w:rsidRPr="00054A3F" w:rsidRDefault="00054A3F" w:rsidP="00FF6919">
      <w:pPr>
        <w:pStyle w:val="HIPNormal"/>
        <w:spacing w:before="120"/>
        <w:rPr>
          <w:lang w:val="en-GB"/>
        </w:rPr>
      </w:pPr>
      <w:r w:rsidRPr="00054A3F">
        <w:rPr>
          <w:b/>
          <w:bCs/>
          <w:lang w:val="en-GB"/>
        </w:rPr>
        <w:t>TTCL</w:t>
      </w:r>
      <w:r>
        <w:rPr>
          <w:lang w:val="en-GB"/>
        </w:rPr>
        <w:tab/>
      </w:r>
      <w:r>
        <w:rPr>
          <w:lang w:val="en-GB"/>
        </w:rPr>
        <w:tab/>
      </w:r>
      <w:r w:rsidRPr="00054A3F">
        <w:rPr>
          <w:lang w:val="en-GB"/>
        </w:rPr>
        <w:t>Tanzania Telecommunications Company Limited</w:t>
      </w:r>
    </w:p>
    <w:p w:rsidR="00054A3F" w:rsidRPr="00054A3F" w:rsidRDefault="00054A3F" w:rsidP="00FF6919">
      <w:pPr>
        <w:pStyle w:val="HIPNormal"/>
        <w:spacing w:before="120"/>
        <w:rPr>
          <w:lang w:val="en-GB"/>
        </w:rPr>
      </w:pPr>
      <w:r w:rsidRPr="00054A3F">
        <w:rPr>
          <w:b/>
          <w:bCs/>
          <w:lang w:val="en-GB"/>
        </w:rPr>
        <w:t>UCC</w:t>
      </w:r>
      <w:r>
        <w:rPr>
          <w:lang w:val="en-GB"/>
        </w:rPr>
        <w:tab/>
      </w:r>
      <w:r>
        <w:rPr>
          <w:lang w:val="en-GB"/>
        </w:rPr>
        <w:tab/>
      </w:r>
      <w:r w:rsidRPr="00054A3F">
        <w:rPr>
          <w:lang w:val="en-GB"/>
        </w:rPr>
        <w:t>Uganda Communications Commission</w:t>
      </w:r>
    </w:p>
    <w:p w:rsidR="00054A3F" w:rsidRPr="00054A3F" w:rsidRDefault="00054A3F" w:rsidP="00FF6919">
      <w:pPr>
        <w:pStyle w:val="HIPNormal"/>
        <w:spacing w:before="120"/>
        <w:rPr>
          <w:lang w:val="en-GB"/>
        </w:rPr>
      </w:pPr>
      <w:r w:rsidRPr="00054A3F">
        <w:rPr>
          <w:b/>
          <w:bCs/>
          <w:lang w:val="en-GB"/>
        </w:rPr>
        <w:t>UA</w:t>
      </w:r>
      <w:r>
        <w:rPr>
          <w:lang w:val="en-GB"/>
        </w:rPr>
        <w:tab/>
      </w:r>
      <w:r>
        <w:rPr>
          <w:lang w:val="en-GB"/>
        </w:rPr>
        <w:tab/>
      </w:r>
      <w:r w:rsidRPr="00054A3F">
        <w:rPr>
          <w:lang w:val="en-GB"/>
        </w:rPr>
        <w:t xml:space="preserve">Universal access </w:t>
      </w:r>
    </w:p>
    <w:p w:rsidR="00054A3F" w:rsidRPr="00054A3F" w:rsidRDefault="00054A3F" w:rsidP="00FF6919">
      <w:pPr>
        <w:pStyle w:val="HIPNormal"/>
        <w:spacing w:before="120"/>
        <w:rPr>
          <w:lang w:val="en-GB"/>
        </w:rPr>
      </w:pPr>
      <w:r w:rsidRPr="00054A3F">
        <w:rPr>
          <w:b/>
          <w:bCs/>
          <w:lang w:val="en-GB"/>
        </w:rPr>
        <w:t>UAS</w:t>
      </w:r>
      <w:r>
        <w:rPr>
          <w:lang w:val="en-GB"/>
        </w:rPr>
        <w:tab/>
      </w:r>
      <w:r>
        <w:rPr>
          <w:lang w:val="en-GB"/>
        </w:rPr>
        <w:tab/>
      </w:r>
      <w:r w:rsidRPr="00054A3F">
        <w:rPr>
          <w:lang w:val="en-GB"/>
        </w:rPr>
        <w:t>Universal access and service</w:t>
      </w:r>
    </w:p>
    <w:p w:rsidR="00054A3F" w:rsidRPr="00054A3F" w:rsidRDefault="00054A3F" w:rsidP="00FF6919">
      <w:pPr>
        <w:pStyle w:val="HIPNormal"/>
        <w:spacing w:before="120"/>
        <w:rPr>
          <w:lang w:val="en-GB"/>
        </w:rPr>
      </w:pPr>
      <w:r w:rsidRPr="00054A3F">
        <w:rPr>
          <w:b/>
          <w:bCs/>
          <w:lang w:val="en-GB"/>
        </w:rPr>
        <w:t>UASF</w:t>
      </w:r>
      <w:r>
        <w:rPr>
          <w:lang w:val="en-GB"/>
        </w:rPr>
        <w:tab/>
      </w:r>
      <w:r>
        <w:rPr>
          <w:lang w:val="en-GB"/>
        </w:rPr>
        <w:tab/>
      </w:r>
      <w:r w:rsidRPr="00054A3F">
        <w:rPr>
          <w:lang w:val="en-GB"/>
        </w:rPr>
        <w:t xml:space="preserve">Universal Access and Service Fund </w:t>
      </w:r>
    </w:p>
    <w:p w:rsidR="00054A3F" w:rsidRPr="00054A3F" w:rsidRDefault="00054A3F" w:rsidP="00FF6919">
      <w:pPr>
        <w:pStyle w:val="HIPNormal"/>
        <w:spacing w:before="120"/>
        <w:rPr>
          <w:lang w:val="en-GB"/>
        </w:rPr>
      </w:pPr>
      <w:r w:rsidRPr="00054A3F">
        <w:rPr>
          <w:b/>
          <w:bCs/>
          <w:lang w:val="en-GB"/>
        </w:rPr>
        <w:t>UCAF</w:t>
      </w:r>
      <w:r>
        <w:rPr>
          <w:lang w:val="en-GB"/>
        </w:rPr>
        <w:tab/>
      </w:r>
      <w:r>
        <w:rPr>
          <w:lang w:val="en-GB"/>
        </w:rPr>
        <w:tab/>
      </w:r>
      <w:r w:rsidRPr="00054A3F">
        <w:rPr>
          <w:lang w:val="en-GB"/>
        </w:rPr>
        <w:t>Universal Communications Access Fund (Tanzania)</w:t>
      </w:r>
    </w:p>
    <w:p w:rsidR="00054A3F" w:rsidRPr="00054A3F" w:rsidRDefault="00054A3F" w:rsidP="00FF6919">
      <w:pPr>
        <w:pStyle w:val="HIPNormal"/>
        <w:spacing w:before="120"/>
        <w:rPr>
          <w:lang w:val="en-GB"/>
        </w:rPr>
      </w:pPr>
      <w:r w:rsidRPr="00054A3F">
        <w:rPr>
          <w:b/>
          <w:bCs/>
          <w:lang w:val="en-GB"/>
        </w:rPr>
        <w:t>UNDP</w:t>
      </w:r>
      <w:r>
        <w:rPr>
          <w:lang w:val="en-GB"/>
        </w:rPr>
        <w:tab/>
      </w:r>
      <w:r>
        <w:rPr>
          <w:lang w:val="en-GB"/>
        </w:rPr>
        <w:tab/>
      </w:r>
      <w:r w:rsidRPr="00054A3F">
        <w:rPr>
          <w:i/>
          <w:iCs/>
          <w:lang w:val="en-US"/>
        </w:rPr>
        <w:t>United Nations Development Programme</w:t>
      </w:r>
    </w:p>
    <w:p w:rsidR="00054A3F" w:rsidRPr="00054A3F" w:rsidRDefault="00054A3F" w:rsidP="00FF6919">
      <w:pPr>
        <w:pStyle w:val="HIPNormal"/>
        <w:spacing w:before="120"/>
        <w:rPr>
          <w:lang w:val="en-GB"/>
        </w:rPr>
      </w:pPr>
      <w:r w:rsidRPr="00054A3F">
        <w:rPr>
          <w:b/>
          <w:bCs/>
          <w:lang w:val="en-GB"/>
        </w:rPr>
        <w:t>US</w:t>
      </w:r>
      <w:r>
        <w:rPr>
          <w:lang w:val="en-GB"/>
        </w:rPr>
        <w:tab/>
      </w:r>
      <w:r>
        <w:rPr>
          <w:lang w:val="en-GB"/>
        </w:rPr>
        <w:tab/>
      </w:r>
      <w:r w:rsidRPr="00054A3F">
        <w:rPr>
          <w:lang w:val="en-GB"/>
        </w:rPr>
        <w:t>Universal service</w:t>
      </w:r>
    </w:p>
    <w:p w:rsidR="00054A3F" w:rsidRPr="008E340F" w:rsidRDefault="00054A3F" w:rsidP="00FF6919">
      <w:pPr>
        <w:pStyle w:val="HIPNormal"/>
        <w:spacing w:before="120"/>
        <w:rPr>
          <w:lang w:val="en-US"/>
        </w:rPr>
      </w:pPr>
      <w:r w:rsidRPr="008E340F">
        <w:rPr>
          <w:b/>
          <w:bCs/>
          <w:lang w:val="en-US"/>
        </w:rPr>
        <w:t>USA</w:t>
      </w:r>
      <w:r w:rsidRPr="008E340F">
        <w:rPr>
          <w:lang w:val="en-US"/>
        </w:rPr>
        <w:tab/>
      </w:r>
      <w:r w:rsidRPr="008E340F">
        <w:rPr>
          <w:lang w:val="en-US"/>
        </w:rPr>
        <w:tab/>
        <w:t xml:space="preserve">Universal Service Agency (USA) </w:t>
      </w:r>
    </w:p>
    <w:p w:rsidR="00054A3F" w:rsidRPr="00054A3F" w:rsidRDefault="00054A3F" w:rsidP="00FF6919">
      <w:pPr>
        <w:pStyle w:val="HIPNormal"/>
        <w:spacing w:before="120"/>
        <w:rPr>
          <w:lang w:val="en-GB"/>
        </w:rPr>
      </w:pPr>
      <w:r w:rsidRPr="00054A3F">
        <w:rPr>
          <w:b/>
          <w:bCs/>
          <w:lang w:val="en-GB"/>
        </w:rPr>
        <w:t>USAASA</w:t>
      </w:r>
      <w:r>
        <w:rPr>
          <w:lang w:val="en-GB"/>
        </w:rPr>
        <w:tab/>
      </w:r>
      <w:r w:rsidRPr="00054A3F">
        <w:rPr>
          <w:lang w:val="en-GB"/>
        </w:rPr>
        <w:t>Universal Service and Access Agency of South Africa</w:t>
      </w:r>
    </w:p>
    <w:p w:rsidR="00054A3F" w:rsidRPr="00054A3F" w:rsidRDefault="00054A3F" w:rsidP="00FF6919">
      <w:pPr>
        <w:pStyle w:val="HIPNormal"/>
        <w:spacing w:before="120"/>
        <w:rPr>
          <w:lang w:val="en-GB"/>
        </w:rPr>
      </w:pPr>
      <w:r w:rsidRPr="00054A3F">
        <w:rPr>
          <w:b/>
          <w:bCs/>
          <w:lang w:val="en-GB"/>
        </w:rPr>
        <w:t>USF</w:t>
      </w:r>
      <w:r>
        <w:rPr>
          <w:lang w:val="en-GB"/>
        </w:rPr>
        <w:tab/>
      </w:r>
      <w:r>
        <w:rPr>
          <w:lang w:val="en-GB"/>
        </w:rPr>
        <w:tab/>
      </w:r>
      <w:r w:rsidRPr="00054A3F">
        <w:rPr>
          <w:lang w:val="en-GB"/>
        </w:rPr>
        <w:t>Universal Service Fund</w:t>
      </w:r>
    </w:p>
    <w:p w:rsidR="00054A3F" w:rsidRPr="00054A3F" w:rsidRDefault="00054A3F" w:rsidP="00FF6919">
      <w:pPr>
        <w:pStyle w:val="HIPNormal"/>
        <w:spacing w:before="120"/>
        <w:rPr>
          <w:lang w:val="en-GB"/>
        </w:rPr>
      </w:pPr>
      <w:r w:rsidRPr="00054A3F">
        <w:rPr>
          <w:b/>
          <w:bCs/>
          <w:lang w:val="en-GB"/>
        </w:rPr>
        <w:t>USO(s)</w:t>
      </w:r>
      <w:r>
        <w:rPr>
          <w:lang w:val="en-GB"/>
        </w:rPr>
        <w:tab/>
      </w:r>
      <w:r>
        <w:rPr>
          <w:lang w:val="en-GB"/>
        </w:rPr>
        <w:tab/>
      </w:r>
      <w:r w:rsidRPr="00054A3F">
        <w:rPr>
          <w:lang w:val="en-GB"/>
        </w:rPr>
        <w:t>Universal service obligation(s)</w:t>
      </w:r>
    </w:p>
    <w:p w:rsidR="00054A3F" w:rsidRPr="00054A3F" w:rsidRDefault="00054A3F" w:rsidP="00FF6919">
      <w:pPr>
        <w:pStyle w:val="HIPNormal"/>
        <w:spacing w:before="120"/>
        <w:rPr>
          <w:lang w:val="en-GB"/>
        </w:rPr>
      </w:pPr>
      <w:r w:rsidRPr="00054A3F">
        <w:rPr>
          <w:b/>
          <w:bCs/>
          <w:lang w:val="en-GB"/>
        </w:rPr>
        <w:t>USOF</w:t>
      </w:r>
      <w:r>
        <w:rPr>
          <w:lang w:val="en-GB"/>
        </w:rPr>
        <w:tab/>
      </w:r>
      <w:r>
        <w:rPr>
          <w:lang w:val="en-GB"/>
        </w:rPr>
        <w:tab/>
      </w:r>
      <w:r w:rsidRPr="00054A3F">
        <w:rPr>
          <w:lang w:val="en-US"/>
        </w:rPr>
        <w:t>Universal Service Obligation Fund (India)</w:t>
      </w:r>
    </w:p>
    <w:p w:rsidR="00054A3F" w:rsidRPr="00054A3F" w:rsidRDefault="00054A3F" w:rsidP="00FF6919">
      <w:pPr>
        <w:pStyle w:val="HIPNormal"/>
        <w:spacing w:before="120"/>
        <w:rPr>
          <w:lang w:val="en-GB"/>
        </w:rPr>
      </w:pPr>
      <w:r w:rsidRPr="00054A3F">
        <w:rPr>
          <w:b/>
          <w:bCs/>
          <w:lang w:val="en-GB"/>
        </w:rPr>
        <w:t>USPF</w:t>
      </w:r>
      <w:r>
        <w:rPr>
          <w:lang w:val="en-GB"/>
        </w:rPr>
        <w:tab/>
      </w:r>
      <w:r>
        <w:rPr>
          <w:lang w:val="en-GB"/>
        </w:rPr>
        <w:tab/>
      </w:r>
      <w:r w:rsidRPr="00054A3F">
        <w:rPr>
          <w:lang w:val="en-GB"/>
        </w:rPr>
        <w:t>Universal Service Provision Fund (Nigeria)</w:t>
      </w:r>
    </w:p>
    <w:p w:rsidR="00054A3F" w:rsidRPr="00054A3F" w:rsidRDefault="00054A3F" w:rsidP="00FF6919">
      <w:pPr>
        <w:pStyle w:val="HIPNormal"/>
        <w:spacing w:before="120"/>
        <w:rPr>
          <w:lang w:val="en-GB"/>
        </w:rPr>
      </w:pPr>
      <w:r w:rsidRPr="00054A3F">
        <w:rPr>
          <w:b/>
          <w:bCs/>
          <w:lang w:val="en-GB"/>
        </w:rPr>
        <w:t>UPTC</w:t>
      </w:r>
      <w:r>
        <w:rPr>
          <w:lang w:val="en-GB"/>
        </w:rPr>
        <w:tab/>
      </w:r>
      <w:r>
        <w:rPr>
          <w:lang w:val="en-GB"/>
        </w:rPr>
        <w:tab/>
      </w:r>
      <w:r w:rsidRPr="00054A3F">
        <w:rPr>
          <w:lang w:val="en-GB"/>
        </w:rPr>
        <w:t>Uganda Posts and Telecommunications Corporation</w:t>
      </w:r>
    </w:p>
    <w:p w:rsidR="00054A3F" w:rsidRPr="00054A3F" w:rsidRDefault="00054A3F" w:rsidP="00FF6919">
      <w:pPr>
        <w:pStyle w:val="HIPNormal"/>
        <w:spacing w:before="120"/>
        <w:rPr>
          <w:lang w:val="es-ES_tradnl"/>
        </w:rPr>
      </w:pPr>
      <w:r w:rsidRPr="00054A3F">
        <w:rPr>
          <w:b/>
          <w:bCs/>
          <w:lang w:val="es-ES_tradnl"/>
        </w:rPr>
        <w:t>USP</w:t>
      </w:r>
      <w:r>
        <w:rPr>
          <w:lang w:val="es-ES_tradnl"/>
        </w:rPr>
        <w:tab/>
      </w:r>
      <w:r>
        <w:rPr>
          <w:lang w:val="es-ES_tradnl"/>
        </w:rPr>
        <w:tab/>
      </w:r>
      <w:r w:rsidRPr="00054A3F">
        <w:rPr>
          <w:lang w:val="es-ES_tradnl"/>
        </w:rPr>
        <w:t>universal service provider</w:t>
      </w:r>
    </w:p>
    <w:p w:rsidR="00054A3F" w:rsidRPr="00054A3F" w:rsidRDefault="00054A3F" w:rsidP="00FF6919">
      <w:pPr>
        <w:pStyle w:val="HIPNormal"/>
        <w:spacing w:before="120"/>
        <w:rPr>
          <w:lang w:val="es-ES_tradnl"/>
        </w:rPr>
      </w:pPr>
      <w:r w:rsidRPr="00054A3F">
        <w:rPr>
          <w:b/>
          <w:bCs/>
          <w:lang w:val="es-ES_tradnl"/>
        </w:rPr>
        <w:t>UTICT</w:t>
      </w:r>
      <w:r>
        <w:rPr>
          <w:lang w:val="es-ES_tradnl"/>
        </w:rPr>
        <w:tab/>
      </w:r>
      <w:r>
        <w:rPr>
          <w:lang w:val="es-ES_tradnl"/>
        </w:rPr>
        <w:tab/>
      </w:r>
      <w:r w:rsidRPr="00054A3F">
        <w:rPr>
          <w:lang w:val="es-ES_tradnl"/>
        </w:rPr>
        <w:t>Unidade Technica de Implementacão da Politica de Informatica</w:t>
      </w:r>
    </w:p>
    <w:p w:rsidR="00054A3F" w:rsidRPr="00054A3F" w:rsidRDefault="00054A3F" w:rsidP="00FF6919">
      <w:pPr>
        <w:pStyle w:val="HIPNormal"/>
        <w:spacing w:before="120"/>
        <w:rPr>
          <w:lang w:val="en-GB"/>
        </w:rPr>
      </w:pPr>
      <w:r w:rsidRPr="00054A3F">
        <w:rPr>
          <w:b/>
          <w:bCs/>
          <w:lang w:val="en-GB"/>
        </w:rPr>
        <w:t>UTL</w:t>
      </w:r>
      <w:r>
        <w:rPr>
          <w:lang w:val="en-GB"/>
        </w:rPr>
        <w:tab/>
      </w:r>
      <w:r>
        <w:rPr>
          <w:lang w:val="en-GB"/>
        </w:rPr>
        <w:tab/>
      </w:r>
      <w:r w:rsidRPr="00054A3F">
        <w:rPr>
          <w:lang w:val="en-GB"/>
        </w:rPr>
        <w:t>Uganda Posts and Telecommunications Corporation</w:t>
      </w:r>
    </w:p>
    <w:p w:rsidR="00054A3F" w:rsidRPr="00054A3F" w:rsidRDefault="00054A3F" w:rsidP="00FF6919">
      <w:pPr>
        <w:pStyle w:val="HIPNormal"/>
        <w:spacing w:before="120"/>
        <w:rPr>
          <w:lang w:val="en-GB"/>
        </w:rPr>
      </w:pPr>
      <w:r w:rsidRPr="00054A3F">
        <w:rPr>
          <w:b/>
          <w:bCs/>
          <w:lang w:val="en-GB"/>
        </w:rPr>
        <w:t>VANS</w:t>
      </w:r>
      <w:r>
        <w:rPr>
          <w:lang w:val="en-GB"/>
        </w:rPr>
        <w:tab/>
      </w:r>
      <w:r>
        <w:rPr>
          <w:lang w:val="en-GB"/>
        </w:rPr>
        <w:tab/>
      </w:r>
      <w:r w:rsidRPr="00054A3F">
        <w:rPr>
          <w:lang w:val="en-GB"/>
        </w:rPr>
        <w:t>Value-added network services</w:t>
      </w:r>
    </w:p>
    <w:p w:rsidR="00054A3F" w:rsidRPr="00054A3F" w:rsidRDefault="00054A3F" w:rsidP="00FF6919">
      <w:pPr>
        <w:pStyle w:val="HIPNormal"/>
        <w:spacing w:before="120"/>
        <w:rPr>
          <w:bCs/>
          <w:iCs/>
          <w:lang w:val="en-GB"/>
        </w:rPr>
      </w:pPr>
      <w:r w:rsidRPr="00054A3F">
        <w:rPr>
          <w:b/>
          <w:bCs/>
          <w:lang w:val="en-GB"/>
        </w:rPr>
        <w:t>VoIP</w:t>
      </w:r>
      <w:r>
        <w:rPr>
          <w:lang w:val="en-GB"/>
        </w:rPr>
        <w:tab/>
      </w:r>
      <w:r>
        <w:rPr>
          <w:lang w:val="en-GB"/>
        </w:rPr>
        <w:tab/>
      </w:r>
      <w:r w:rsidRPr="00054A3F">
        <w:rPr>
          <w:bCs/>
          <w:iCs/>
          <w:lang w:val="en-GB"/>
        </w:rPr>
        <w:t>Voice over Internet Protocol</w:t>
      </w:r>
    </w:p>
    <w:p w:rsidR="00054A3F" w:rsidRPr="00054A3F" w:rsidRDefault="00054A3F" w:rsidP="00FF6919">
      <w:pPr>
        <w:pStyle w:val="HIPNormal"/>
        <w:spacing w:before="120"/>
        <w:rPr>
          <w:lang w:val="en-GB"/>
        </w:rPr>
      </w:pPr>
      <w:r w:rsidRPr="00054A3F">
        <w:rPr>
          <w:b/>
          <w:iCs/>
          <w:lang w:val="en-GB"/>
        </w:rPr>
        <w:t>VSAT</w:t>
      </w:r>
      <w:r>
        <w:rPr>
          <w:bCs/>
          <w:iCs/>
          <w:lang w:val="en-GB"/>
        </w:rPr>
        <w:tab/>
      </w:r>
      <w:r>
        <w:rPr>
          <w:bCs/>
          <w:iCs/>
          <w:lang w:val="en-GB"/>
        </w:rPr>
        <w:tab/>
      </w:r>
      <w:r w:rsidRPr="00054A3F">
        <w:rPr>
          <w:bCs/>
          <w:iCs/>
          <w:lang w:val="en-GB"/>
        </w:rPr>
        <w:t>very small aperture terminal</w:t>
      </w:r>
    </w:p>
    <w:p w:rsidR="00054A3F" w:rsidRPr="00054A3F" w:rsidRDefault="00054A3F" w:rsidP="00FF6919">
      <w:pPr>
        <w:pStyle w:val="HIPNormal"/>
        <w:spacing w:before="120"/>
        <w:rPr>
          <w:lang w:val="en-GB"/>
        </w:rPr>
      </w:pPr>
      <w:r w:rsidRPr="00054A3F">
        <w:rPr>
          <w:b/>
          <w:bCs/>
          <w:lang w:val="en-GB"/>
        </w:rPr>
        <w:t>WACS</w:t>
      </w:r>
      <w:r>
        <w:rPr>
          <w:lang w:val="en-GB"/>
        </w:rPr>
        <w:tab/>
      </w:r>
      <w:r>
        <w:rPr>
          <w:lang w:val="en-GB"/>
        </w:rPr>
        <w:tab/>
      </w:r>
      <w:r w:rsidRPr="00054A3F">
        <w:rPr>
          <w:lang w:val="en-GB"/>
        </w:rPr>
        <w:t>West Africa Cable System</w:t>
      </w:r>
    </w:p>
    <w:p w:rsidR="00054A3F" w:rsidRPr="00054A3F" w:rsidRDefault="00054A3F" w:rsidP="00FF6919">
      <w:pPr>
        <w:pStyle w:val="HIPNormal"/>
        <w:spacing w:before="120"/>
        <w:rPr>
          <w:lang w:val="en-GB"/>
        </w:rPr>
      </w:pPr>
      <w:r w:rsidRPr="00054A3F">
        <w:rPr>
          <w:b/>
          <w:bCs/>
          <w:lang w:val="en-GB"/>
        </w:rPr>
        <w:t>WASC</w:t>
      </w:r>
      <w:r>
        <w:rPr>
          <w:lang w:val="en-GB"/>
        </w:rPr>
        <w:tab/>
      </w:r>
      <w:r>
        <w:rPr>
          <w:lang w:val="en-GB"/>
        </w:rPr>
        <w:tab/>
      </w:r>
      <w:r w:rsidRPr="00054A3F">
        <w:rPr>
          <w:lang w:val="en-US"/>
        </w:rPr>
        <w:t>West Africa Submarine Cable</w:t>
      </w:r>
    </w:p>
    <w:p w:rsidR="00054A3F" w:rsidRPr="00054A3F" w:rsidRDefault="00054A3F" w:rsidP="00FF6919">
      <w:pPr>
        <w:pStyle w:val="HIPNormal"/>
        <w:spacing w:before="120"/>
        <w:rPr>
          <w:lang w:val="en-GB"/>
        </w:rPr>
      </w:pPr>
      <w:r w:rsidRPr="00054A3F">
        <w:rPr>
          <w:b/>
          <w:bCs/>
          <w:lang w:val="en-GB"/>
        </w:rPr>
        <w:t>WATRA</w:t>
      </w:r>
      <w:r>
        <w:rPr>
          <w:lang w:val="en-GB"/>
        </w:rPr>
        <w:tab/>
      </w:r>
      <w:r>
        <w:rPr>
          <w:lang w:val="en-GB"/>
        </w:rPr>
        <w:tab/>
      </w:r>
      <w:r w:rsidRPr="00054A3F">
        <w:rPr>
          <w:lang w:val="en-GB"/>
        </w:rPr>
        <w:t>West African Telecommunications Regulators Association</w:t>
      </w:r>
    </w:p>
    <w:p w:rsidR="00054A3F" w:rsidRPr="00054A3F" w:rsidRDefault="00054A3F" w:rsidP="00FF6919">
      <w:pPr>
        <w:pStyle w:val="HIPNormal"/>
        <w:spacing w:before="120"/>
        <w:rPr>
          <w:lang w:val="en-GB"/>
        </w:rPr>
      </w:pPr>
      <w:r w:rsidRPr="00054A3F">
        <w:rPr>
          <w:b/>
          <w:bCs/>
          <w:lang w:val="en-GB"/>
        </w:rPr>
        <w:t>WCDMA</w:t>
      </w:r>
      <w:r>
        <w:rPr>
          <w:lang w:val="en-GB"/>
        </w:rPr>
        <w:tab/>
      </w:r>
      <w:r w:rsidRPr="00054A3F">
        <w:rPr>
          <w:i/>
          <w:iCs/>
          <w:lang w:val="en-US"/>
        </w:rPr>
        <w:t>Wideband Code Division Multiple Access</w:t>
      </w:r>
    </w:p>
    <w:p w:rsidR="00054A3F" w:rsidRPr="00054A3F" w:rsidRDefault="00054A3F" w:rsidP="00FF6919">
      <w:pPr>
        <w:pStyle w:val="HIPNormal"/>
        <w:spacing w:before="120"/>
        <w:rPr>
          <w:lang w:val="en-GB"/>
        </w:rPr>
      </w:pPr>
      <w:r w:rsidRPr="00054A3F">
        <w:rPr>
          <w:b/>
          <w:bCs/>
          <w:lang w:val="en-GB"/>
        </w:rPr>
        <w:t>WiMAX</w:t>
      </w:r>
      <w:r>
        <w:rPr>
          <w:lang w:val="en-GB"/>
        </w:rPr>
        <w:tab/>
      </w:r>
      <w:r>
        <w:rPr>
          <w:lang w:val="en-GB"/>
        </w:rPr>
        <w:tab/>
      </w:r>
      <w:r w:rsidRPr="00054A3F">
        <w:rPr>
          <w:lang w:val="en-GB"/>
        </w:rPr>
        <w:t>Worldwide Interoperability for Microwave Access</w:t>
      </w:r>
    </w:p>
    <w:p w:rsidR="00054A3F" w:rsidRPr="00054A3F" w:rsidRDefault="00054A3F" w:rsidP="00FF6919">
      <w:pPr>
        <w:pStyle w:val="HIPNormal"/>
        <w:spacing w:before="120"/>
        <w:rPr>
          <w:lang w:val="en-GB"/>
        </w:rPr>
      </w:pPr>
      <w:r w:rsidRPr="00054A3F">
        <w:rPr>
          <w:b/>
          <w:bCs/>
          <w:lang w:val="en-GB"/>
        </w:rPr>
        <w:t>WSIS</w:t>
      </w:r>
      <w:r>
        <w:rPr>
          <w:lang w:val="en-GB"/>
        </w:rPr>
        <w:tab/>
      </w:r>
      <w:r>
        <w:rPr>
          <w:lang w:val="en-GB"/>
        </w:rPr>
        <w:tab/>
      </w:r>
      <w:r w:rsidRPr="00054A3F">
        <w:rPr>
          <w:lang w:val="en-GB"/>
        </w:rPr>
        <w:t xml:space="preserve">World </w:t>
      </w:r>
      <w:smartTag w:uri="urn:schemas-microsoft-com:office:smarttags" w:element="country-region">
        <w:r w:rsidRPr="00054A3F">
          <w:rPr>
            <w:lang w:val="en-GB"/>
          </w:rPr>
          <w:t>Summit</w:t>
        </w:r>
      </w:smartTag>
      <w:r w:rsidRPr="00054A3F">
        <w:rPr>
          <w:lang w:val="en-GB"/>
        </w:rPr>
        <w:t xml:space="preserve"> on the Information Society</w:t>
      </w:r>
    </w:p>
    <w:p w:rsidR="00054A3F" w:rsidRPr="00054A3F" w:rsidRDefault="00054A3F" w:rsidP="00FF6919">
      <w:pPr>
        <w:pStyle w:val="HIPNormal"/>
        <w:spacing w:before="120"/>
        <w:rPr>
          <w:lang w:val="en-GB"/>
        </w:rPr>
      </w:pPr>
      <w:r w:rsidRPr="00054A3F">
        <w:rPr>
          <w:b/>
          <w:bCs/>
          <w:lang w:val="en-GB"/>
        </w:rPr>
        <w:t>WTO</w:t>
      </w:r>
      <w:r>
        <w:rPr>
          <w:lang w:val="en-GB"/>
        </w:rPr>
        <w:tab/>
      </w:r>
      <w:r>
        <w:rPr>
          <w:lang w:val="en-GB"/>
        </w:rPr>
        <w:tab/>
      </w:r>
      <w:r w:rsidRPr="00054A3F">
        <w:rPr>
          <w:lang w:val="en-GB"/>
        </w:rPr>
        <w:t>World Trade Organisation</w:t>
      </w:r>
    </w:p>
    <w:p w:rsidR="00BC1EC4" w:rsidRPr="00BC1EC4" w:rsidRDefault="00054A3F" w:rsidP="00FF6919">
      <w:pPr>
        <w:pStyle w:val="HIPNormal"/>
        <w:spacing w:before="120"/>
        <w:rPr>
          <w:lang w:val="en-GB"/>
        </w:rPr>
      </w:pPr>
      <w:r w:rsidRPr="00054A3F">
        <w:rPr>
          <w:b/>
          <w:bCs/>
          <w:lang w:val="en-GB"/>
        </w:rPr>
        <w:t>ZICTA</w:t>
      </w:r>
      <w:r>
        <w:rPr>
          <w:lang w:val="en-GB"/>
        </w:rPr>
        <w:tab/>
      </w:r>
      <w:r>
        <w:rPr>
          <w:lang w:val="en-GB"/>
        </w:rPr>
        <w:tab/>
      </w:r>
      <w:r w:rsidRPr="00054A3F">
        <w:rPr>
          <w:lang w:val="en-US"/>
        </w:rPr>
        <w:t>Zambia Information and Communications Technology Authority</w:t>
      </w:r>
    </w:p>
    <w:p w:rsidR="00ED0C71" w:rsidRPr="00BC1EC4" w:rsidRDefault="00ED0C71" w:rsidP="00BC1EC4">
      <w:pPr>
        <w:pStyle w:val="HIPNormal"/>
        <w:spacing w:before="120"/>
        <w:rPr>
          <w:lang w:val="en-GB"/>
        </w:rPr>
      </w:pPr>
    </w:p>
    <w:p w:rsidR="009006C7" w:rsidRPr="00A401B5" w:rsidRDefault="009006C7" w:rsidP="009006C7">
      <w:pPr>
        <w:pStyle w:val="HIPNormal"/>
        <w:rPr>
          <w:lang w:val="en-US"/>
        </w:rPr>
      </w:pPr>
    </w:p>
    <w:p w:rsidR="009006C7" w:rsidRPr="00A401B5" w:rsidRDefault="009006C7" w:rsidP="009006C7">
      <w:pPr>
        <w:rPr>
          <w:lang w:val="en-US"/>
        </w:rPr>
        <w:sectPr w:rsidR="009006C7" w:rsidRPr="00A401B5" w:rsidSect="0088668E">
          <w:headerReference w:type="even" r:id="rId20"/>
          <w:headerReference w:type="default" r:id="rId21"/>
          <w:footerReference w:type="even" r:id="rId22"/>
          <w:footerReference w:type="default" r:id="rId23"/>
          <w:headerReference w:type="first" r:id="rId24"/>
          <w:footerReference w:type="first" r:id="rId25"/>
          <w:pgSz w:w="11907" w:h="16840" w:code="9"/>
          <w:pgMar w:top="1701" w:right="1418" w:bottom="1418" w:left="1418" w:header="709" w:footer="709" w:gutter="0"/>
          <w:pgNumType w:fmt="lowerRoman"/>
          <w:cols w:space="720"/>
          <w:titlePg/>
        </w:sectPr>
      </w:pPr>
    </w:p>
    <w:p w:rsidR="009006C7" w:rsidRPr="00A401B5" w:rsidRDefault="009006C7" w:rsidP="009006C7">
      <w:pPr>
        <w:rPr>
          <w:lang w:val="en-US"/>
        </w:rPr>
      </w:pPr>
    </w:p>
    <w:p w:rsidR="009006C7" w:rsidRPr="00A401B5" w:rsidRDefault="009006C7" w:rsidP="009006C7">
      <w:pPr>
        <w:pStyle w:val="HIPChaptReportTitle"/>
        <w:numPr>
          <w:ilvl w:val="0"/>
          <w:numId w:val="0"/>
        </w:numPr>
        <w:rPr>
          <w:lang w:val="en-US"/>
        </w:rPr>
      </w:pPr>
      <w:bookmarkStart w:id="37" w:name="_Toc263923679"/>
      <w:bookmarkStart w:id="38" w:name="_Toc263927306"/>
      <w:bookmarkStart w:id="39" w:name="_Toc263930282"/>
      <w:bookmarkStart w:id="40" w:name="_Toc273080875"/>
      <w:bookmarkStart w:id="41" w:name="_Toc285542407"/>
      <w:bookmarkStart w:id="42" w:name="_Toc286144947"/>
      <w:r w:rsidRPr="00A401B5">
        <w:rPr>
          <w:lang w:val="en-US"/>
        </w:rPr>
        <w:t>Table of contents</w:t>
      </w:r>
      <w:bookmarkEnd w:id="37"/>
      <w:bookmarkEnd w:id="38"/>
      <w:bookmarkEnd w:id="39"/>
      <w:bookmarkEnd w:id="40"/>
      <w:bookmarkEnd w:id="41"/>
      <w:bookmarkEnd w:id="42"/>
      <w:r w:rsidRPr="00A401B5">
        <w:rPr>
          <w:lang w:val="en-US"/>
        </w:rPr>
        <w:t xml:space="preserve"> </w:t>
      </w:r>
    </w:p>
    <w:p w:rsidR="009006C7" w:rsidRPr="00A401B5" w:rsidRDefault="009006C7" w:rsidP="009006C7">
      <w:pPr>
        <w:pStyle w:val="HIPNormal"/>
        <w:rPr>
          <w:highlight w:val="yellow"/>
          <w:lang w:val="en-US"/>
        </w:rPr>
      </w:pPr>
    </w:p>
    <w:p w:rsidR="009006C7" w:rsidRPr="00805791" w:rsidRDefault="00805791" w:rsidP="00805791">
      <w:pPr>
        <w:pStyle w:val="HIPTOC0"/>
      </w:pPr>
      <w:r w:rsidRPr="00805791">
        <w:tab/>
        <w:t>Page</w:t>
      </w:r>
    </w:p>
    <w:p w:rsidR="00DC5333" w:rsidRDefault="000816B7" w:rsidP="00DC5333">
      <w:pPr>
        <w:pStyle w:val="HIPTOC1"/>
        <w:rPr>
          <w:rFonts w:asciiTheme="minorHAnsi" w:eastAsiaTheme="minorEastAsia" w:hAnsiTheme="minorHAnsi" w:cstheme="minorBidi"/>
          <w:lang w:eastAsia="zh-CN"/>
        </w:rPr>
      </w:pPr>
      <w:r>
        <w:rPr>
          <w:rStyle w:val="Hyperlink"/>
          <w:rFonts w:ascii="Helvetica 55 Roman" w:hAnsi="Helvetica 55 Roman" w:cs="Times New Roman"/>
          <w:caps/>
          <w:noProof w:val="0"/>
          <w:color w:val="auto"/>
          <w:sz w:val="22"/>
          <w:szCs w:val="22"/>
          <w:u w:val="none"/>
          <w:lang w:val="fr-FR"/>
        </w:rPr>
        <w:fldChar w:fldCharType="begin"/>
      </w:r>
      <w:r w:rsidR="00DC5333">
        <w:rPr>
          <w:rStyle w:val="Hyperlink"/>
          <w:rFonts w:ascii="Helvetica 55 Roman" w:hAnsi="Helvetica 55 Roman" w:cs="Times New Roman"/>
          <w:caps/>
          <w:noProof w:val="0"/>
          <w:color w:val="auto"/>
          <w:sz w:val="22"/>
          <w:szCs w:val="22"/>
          <w:u w:val="none"/>
          <w:lang w:val="fr-FR"/>
        </w:rPr>
        <w:instrText xml:space="preserve"> TOC \h \z \t "HIP Part Title,2,HIP Chapt/Report Title,1,HIP Project Title,2,HIP Heading 1,1,HIP Heading 2,2,HIP Summary/Report Title,1,HIP heading 3,3" </w:instrText>
      </w:r>
      <w:r>
        <w:rPr>
          <w:rStyle w:val="Hyperlink"/>
          <w:rFonts w:ascii="Helvetica 55 Roman" w:hAnsi="Helvetica 55 Roman" w:cs="Times New Roman"/>
          <w:caps/>
          <w:noProof w:val="0"/>
          <w:color w:val="auto"/>
          <w:sz w:val="22"/>
          <w:szCs w:val="22"/>
          <w:u w:val="none"/>
          <w:lang w:val="fr-FR"/>
        </w:rPr>
        <w:fldChar w:fldCharType="separate"/>
      </w:r>
      <w:hyperlink w:anchor="_Toc286144942" w:history="1">
        <w:r w:rsidR="00DC5333" w:rsidRPr="003C431A">
          <w:rPr>
            <w:rStyle w:val="Hyperlink"/>
          </w:rPr>
          <w:t>Acknowledgements</w:t>
        </w:r>
        <w:r w:rsidR="00DC5333">
          <w:rPr>
            <w:webHidden/>
          </w:rPr>
          <w:tab/>
        </w:r>
        <w:r w:rsidR="00DC5333">
          <w:rPr>
            <w:webHidden/>
          </w:rPr>
          <w:tab/>
        </w:r>
        <w:r>
          <w:rPr>
            <w:webHidden/>
          </w:rPr>
          <w:fldChar w:fldCharType="begin"/>
        </w:r>
        <w:r w:rsidR="00DC5333">
          <w:rPr>
            <w:webHidden/>
          </w:rPr>
          <w:instrText xml:space="preserve"> PAGEREF _Toc286144942 \h </w:instrText>
        </w:r>
        <w:r>
          <w:rPr>
            <w:webHidden/>
          </w:rPr>
        </w:r>
        <w:r>
          <w:rPr>
            <w:webHidden/>
          </w:rPr>
          <w:fldChar w:fldCharType="separate"/>
        </w:r>
        <w:r w:rsidR="007829FC">
          <w:rPr>
            <w:webHidden/>
          </w:rPr>
          <w:t>v</w:t>
        </w:r>
        <w:r>
          <w:rPr>
            <w:webHidden/>
          </w:rPr>
          <w:fldChar w:fldCharType="end"/>
        </w:r>
      </w:hyperlink>
    </w:p>
    <w:p w:rsidR="00DC5333" w:rsidRDefault="000816B7" w:rsidP="00DC5333">
      <w:pPr>
        <w:pStyle w:val="HIPTOC1"/>
        <w:rPr>
          <w:rFonts w:asciiTheme="minorHAnsi" w:eastAsiaTheme="minorEastAsia" w:hAnsiTheme="minorHAnsi" w:cstheme="minorBidi"/>
          <w:lang w:eastAsia="zh-CN"/>
        </w:rPr>
      </w:pPr>
      <w:hyperlink w:anchor="_Toc286144943" w:history="1">
        <w:r w:rsidR="00DC5333" w:rsidRPr="003C431A">
          <w:rPr>
            <w:rStyle w:val="Hyperlink"/>
          </w:rPr>
          <w:t>Summary</w:t>
        </w:r>
        <w:r w:rsidR="00DC5333">
          <w:rPr>
            <w:rStyle w:val="Hyperlink"/>
          </w:rPr>
          <w:tab/>
        </w:r>
        <w:r w:rsidR="00DC5333">
          <w:rPr>
            <w:webHidden/>
          </w:rPr>
          <w:tab/>
        </w:r>
        <w:r>
          <w:rPr>
            <w:webHidden/>
          </w:rPr>
          <w:fldChar w:fldCharType="begin"/>
        </w:r>
        <w:r w:rsidR="00DC5333">
          <w:rPr>
            <w:webHidden/>
          </w:rPr>
          <w:instrText xml:space="preserve"> PAGEREF _Toc286144943 \h </w:instrText>
        </w:r>
        <w:r>
          <w:rPr>
            <w:webHidden/>
          </w:rPr>
        </w:r>
        <w:r>
          <w:rPr>
            <w:webHidden/>
          </w:rPr>
          <w:fldChar w:fldCharType="separate"/>
        </w:r>
        <w:r w:rsidR="007829FC">
          <w:rPr>
            <w:webHidden/>
          </w:rPr>
          <w:t>vii</w:t>
        </w:r>
        <w:r>
          <w:rPr>
            <w:webHidden/>
          </w:rPr>
          <w:fldChar w:fldCharType="end"/>
        </w:r>
      </w:hyperlink>
    </w:p>
    <w:p w:rsidR="00DC5333" w:rsidRDefault="000816B7" w:rsidP="00DC5333">
      <w:pPr>
        <w:pStyle w:val="HIPTOC2"/>
        <w:rPr>
          <w:rFonts w:asciiTheme="minorHAnsi" w:eastAsiaTheme="minorEastAsia" w:hAnsiTheme="minorHAnsi" w:cstheme="minorBidi"/>
          <w:lang w:eastAsia="zh-CN"/>
        </w:rPr>
      </w:pPr>
      <w:hyperlink w:anchor="_Toc286144944" w:history="1">
        <w:r w:rsidR="00DC5333" w:rsidRPr="003C431A">
          <w:rPr>
            <w:rStyle w:val="Hyperlink"/>
          </w:rPr>
          <w:t>Executive summary</w:t>
        </w:r>
        <w:r w:rsidR="00DC5333">
          <w:rPr>
            <w:webHidden/>
          </w:rPr>
          <w:tab/>
        </w:r>
        <w:r w:rsidR="00DC5333">
          <w:rPr>
            <w:webHidden/>
          </w:rPr>
          <w:tab/>
        </w:r>
        <w:r>
          <w:rPr>
            <w:webHidden/>
          </w:rPr>
          <w:fldChar w:fldCharType="begin"/>
        </w:r>
        <w:r w:rsidR="00DC5333">
          <w:rPr>
            <w:webHidden/>
          </w:rPr>
          <w:instrText xml:space="preserve"> PAGEREF _Toc286144944 \h </w:instrText>
        </w:r>
        <w:r>
          <w:rPr>
            <w:webHidden/>
          </w:rPr>
        </w:r>
        <w:r>
          <w:rPr>
            <w:webHidden/>
          </w:rPr>
          <w:fldChar w:fldCharType="separate"/>
        </w:r>
        <w:r w:rsidR="007829FC">
          <w:rPr>
            <w:webHidden/>
          </w:rPr>
          <w:t>vii</w:t>
        </w:r>
        <w:r>
          <w:rPr>
            <w:webHidden/>
          </w:rPr>
          <w:fldChar w:fldCharType="end"/>
        </w:r>
      </w:hyperlink>
    </w:p>
    <w:p w:rsidR="00DC5333" w:rsidRDefault="000816B7" w:rsidP="00DC5333">
      <w:pPr>
        <w:pStyle w:val="HIPTOC2"/>
        <w:rPr>
          <w:rFonts w:asciiTheme="minorHAnsi" w:eastAsiaTheme="minorEastAsia" w:hAnsiTheme="minorHAnsi" w:cstheme="minorBidi"/>
          <w:lang w:eastAsia="zh-CN"/>
        </w:rPr>
      </w:pPr>
      <w:hyperlink w:anchor="_Toc286144945" w:history="1">
        <w:r w:rsidR="00DC5333" w:rsidRPr="003C431A">
          <w:rPr>
            <w:rStyle w:val="Hyperlink"/>
          </w:rPr>
          <w:t>Report background</w:t>
        </w:r>
        <w:r w:rsidR="00DC5333">
          <w:rPr>
            <w:webHidden/>
          </w:rPr>
          <w:tab/>
        </w:r>
        <w:r w:rsidR="00DC5333">
          <w:rPr>
            <w:webHidden/>
          </w:rPr>
          <w:tab/>
        </w:r>
        <w:r>
          <w:rPr>
            <w:webHidden/>
          </w:rPr>
          <w:fldChar w:fldCharType="begin"/>
        </w:r>
        <w:r w:rsidR="00DC5333">
          <w:rPr>
            <w:webHidden/>
          </w:rPr>
          <w:instrText xml:space="preserve"> PAGEREF _Toc286144945 \h </w:instrText>
        </w:r>
        <w:r>
          <w:rPr>
            <w:webHidden/>
          </w:rPr>
        </w:r>
        <w:r>
          <w:rPr>
            <w:webHidden/>
          </w:rPr>
          <w:fldChar w:fldCharType="separate"/>
        </w:r>
        <w:r w:rsidR="007829FC">
          <w:rPr>
            <w:webHidden/>
          </w:rPr>
          <w:t>ix</w:t>
        </w:r>
        <w:r>
          <w:rPr>
            <w:webHidden/>
          </w:rPr>
          <w:fldChar w:fldCharType="end"/>
        </w:r>
      </w:hyperlink>
    </w:p>
    <w:p w:rsidR="00DC5333" w:rsidRDefault="000816B7" w:rsidP="00DC5333">
      <w:pPr>
        <w:pStyle w:val="HIPTOC1"/>
        <w:rPr>
          <w:rFonts w:asciiTheme="minorHAnsi" w:eastAsiaTheme="minorEastAsia" w:hAnsiTheme="minorHAnsi" w:cstheme="minorBidi"/>
          <w:lang w:eastAsia="zh-CN"/>
        </w:rPr>
      </w:pPr>
      <w:hyperlink w:anchor="_Toc286144946" w:history="1">
        <w:r w:rsidR="00DC5333" w:rsidRPr="003C431A">
          <w:rPr>
            <w:rStyle w:val="Hyperlink"/>
          </w:rPr>
          <w:t>Glossary</w:t>
        </w:r>
        <w:r w:rsidR="00DC5333">
          <w:rPr>
            <w:webHidden/>
          </w:rPr>
          <w:tab/>
        </w:r>
        <w:r w:rsidR="00DC5333">
          <w:rPr>
            <w:webHidden/>
          </w:rPr>
          <w:tab/>
        </w:r>
        <w:r>
          <w:rPr>
            <w:webHidden/>
          </w:rPr>
          <w:fldChar w:fldCharType="begin"/>
        </w:r>
        <w:r w:rsidR="00DC5333">
          <w:rPr>
            <w:webHidden/>
          </w:rPr>
          <w:instrText xml:space="preserve"> PAGEREF _Toc286144946 \h </w:instrText>
        </w:r>
        <w:r>
          <w:rPr>
            <w:webHidden/>
          </w:rPr>
        </w:r>
        <w:r>
          <w:rPr>
            <w:webHidden/>
          </w:rPr>
          <w:fldChar w:fldCharType="separate"/>
        </w:r>
        <w:r w:rsidR="007829FC">
          <w:rPr>
            <w:webHidden/>
          </w:rPr>
          <w:t>xi</w:t>
        </w:r>
        <w:r>
          <w:rPr>
            <w:webHidden/>
          </w:rPr>
          <w:fldChar w:fldCharType="end"/>
        </w:r>
      </w:hyperlink>
    </w:p>
    <w:p w:rsidR="00DC5333" w:rsidRDefault="000816B7" w:rsidP="00DC5333">
      <w:pPr>
        <w:pStyle w:val="HIPTOC1"/>
        <w:rPr>
          <w:rFonts w:asciiTheme="minorHAnsi" w:eastAsiaTheme="minorEastAsia" w:hAnsiTheme="minorHAnsi" w:cstheme="minorBidi"/>
          <w:lang w:eastAsia="zh-CN"/>
        </w:rPr>
      </w:pPr>
      <w:hyperlink w:anchor="_Toc286144949" w:history="1">
        <w:r w:rsidR="00DC5333">
          <w:rPr>
            <w:rStyle w:val="Hyperlink"/>
          </w:rPr>
          <w:t>Part 1 – U</w:t>
        </w:r>
        <w:r w:rsidR="00DC5333" w:rsidRPr="003C431A">
          <w:rPr>
            <w:rStyle w:val="Hyperlink"/>
          </w:rPr>
          <w:t>NDERSTANDING FUNDS AND</w:t>
        </w:r>
        <w:r w:rsidR="00D71821">
          <w:rPr>
            <w:rStyle w:val="Hyperlink"/>
          </w:rPr>
          <w:t xml:space="preserve"> </w:t>
        </w:r>
        <w:r w:rsidR="00DC5333" w:rsidRPr="003C431A">
          <w:rPr>
            <w:rStyle w:val="Hyperlink"/>
          </w:rPr>
          <w:t>UNIVERSAL ACCESS FINANCING</w:t>
        </w:r>
        <w:r w:rsidR="00DC5333">
          <w:rPr>
            <w:rStyle w:val="Hyperlink"/>
          </w:rPr>
          <w:tab/>
        </w:r>
        <w:r w:rsidR="00DC5333">
          <w:rPr>
            <w:webHidden/>
          </w:rPr>
          <w:tab/>
        </w:r>
        <w:r>
          <w:rPr>
            <w:webHidden/>
          </w:rPr>
          <w:fldChar w:fldCharType="begin"/>
        </w:r>
        <w:r w:rsidR="00DC5333">
          <w:rPr>
            <w:webHidden/>
          </w:rPr>
          <w:instrText xml:space="preserve"> PAGEREF _Toc286144949 \h </w:instrText>
        </w:r>
        <w:r>
          <w:rPr>
            <w:webHidden/>
          </w:rPr>
        </w:r>
        <w:r>
          <w:rPr>
            <w:webHidden/>
          </w:rPr>
          <w:fldChar w:fldCharType="separate"/>
        </w:r>
        <w:r w:rsidR="007829FC">
          <w:rPr>
            <w:webHidden/>
          </w:rPr>
          <w:t>1</w:t>
        </w:r>
        <w:r>
          <w:rPr>
            <w:webHidden/>
          </w:rPr>
          <w:fldChar w:fldCharType="end"/>
        </w:r>
      </w:hyperlink>
    </w:p>
    <w:p w:rsidR="00DC5333" w:rsidRDefault="000816B7" w:rsidP="00DC5333">
      <w:pPr>
        <w:pStyle w:val="HIPTOC2"/>
        <w:rPr>
          <w:rFonts w:asciiTheme="minorHAnsi" w:eastAsiaTheme="minorEastAsia" w:hAnsiTheme="minorHAnsi" w:cstheme="minorBidi"/>
          <w:lang w:eastAsia="zh-CN"/>
        </w:rPr>
      </w:pPr>
      <w:hyperlink w:anchor="_Toc286144950" w:history="1">
        <w:r w:rsidR="00DC5333" w:rsidRPr="003C431A">
          <w:rPr>
            <w:rStyle w:val="Hyperlink"/>
          </w:rPr>
          <w:t>1.1</w:t>
        </w:r>
        <w:r w:rsidR="00DC5333">
          <w:rPr>
            <w:rStyle w:val="Hyperlink"/>
          </w:rPr>
          <w:t xml:space="preserve"> </w:t>
        </w:r>
        <w:r w:rsidR="00DC5333" w:rsidRPr="003C431A">
          <w:rPr>
            <w:rStyle w:val="Hyperlink"/>
          </w:rPr>
          <w:t>FUNDING APPROACHES</w:t>
        </w:r>
        <w:r w:rsidR="00DC5333">
          <w:rPr>
            <w:webHidden/>
          </w:rPr>
          <w:tab/>
        </w:r>
        <w:r w:rsidR="00DC5333">
          <w:rPr>
            <w:webHidden/>
          </w:rPr>
          <w:tab/>
        </w:r>
        <w:r>
          <w:rPr>
            <w:webHidden/>
          </w:rPr>
          <w:fldChar w:fldCharType="begin"/>
        </w:r>
        <w:r w:rsidR="00DC5333">
          <w:rPr>
            <w:webHidden/>
          </w:rPr>
          <w:instrText xml:space="preserve"> PAGEREF _Toc286144950 \h </w:instrText>
        </w:r>
        <w:r>
          <w:rPr>
            <w:webHidden/>
          </w:rPr>
        </w:r>
        <w:r>
          <w:rPr>
            <w:webHidden/>
          </w:rPr>
          <w:fldChar w:fldCharType="separate"/>
        </w:r>
        <w:r w:rsidR="007829FC">
          <w:rPr>
            <w:webHidden/>
          </w:rPr>
          <w:t>3</w:t>
        </w:r>
        <w:r>
          <w:rPr>
            <w:webHidden/>
          </w:rPr>
          <w:fldChar w:fldCharType="end"/>
        </w:r>
      </w:hyperlink>
    </w:p>
    <w:p w:rsidR="00DC5333" w:rsidRDefault="000816B7" w:rsidP="00DC5333">
      <w:pPr>
        <w:pStyle w:val="HIPTOC3"/>
        <w:rPr>
          <w:rFonts w:asciiTheme="minorHAnsi" w:eastAsiaTheme="minorEastAsia" w:hAnsiTheme="minorHAnsi" w:cstheme="minorBidi"/>
          <w:lang w:val="en-US" w:eastAsia="zh-CN"/>
        </w:rPr>
      </w:pPr>
      <w:hyperlink w:anchor="_Toc286144951" w:history="1">
        <w:r w:rsidR="00DC5333" w:rsidRPr="003C431A">
          <w:rPr>
            <w:rStyle w:val="Hyperlink"/>
          </w:rPr>
          <w:t>1.1.1</w:t>
        </w:r>
        <w:r w:rsidR="00DC5333">
          <w:rPr>
            <w:rStyle w:val="Hyperlink"/>
          </w:rPr>
          <w:t xml:space="preserve"> </w:t>
        </w:r>
        <w:r w:rsidR="00DC5333" w:rsidRPr="003C431A">
          <w:rPr>
            <w:rStyle w:val="Hyperlink"/>
          </w:rPr>
          <w:t>Casting the Net Wide – Exploring all funding options</w:t>
        </w:r>
        <w:r w:rsidR="00DC5333">
          <w:rPr>
            <w:webHidden/>
          </w:rPr>
          <w:tab/>
        </w:r>
        <w:r w:rsidR="00DC5333">
          <w:rPr>
            <w:webHidden/>
          </w:rPr>
          <w:tab/>
        </w:r>
        <w:r>
          <w:rPr>
            <w:webHidden/>
          </w:rPr>
          <w:fldChar w:fldCharType="begin"/>
        </w:r>
        <w:r w:rsidR="00DC5333">
          <w:rPr>
            <w:webHidden/>
          </w:rPr>
          <w:instrText xml:space="preserve"> PAGEREF _Toc286144951 \h </w:instrText>
        </w:r>
        <w:r>
          <w:rPr>
            <w:webHidden/>
          </w:rPr>
        </w:r>
        <w:r>
          <w:rPr>
            <w:webHidden/>
          </w:rPr>
          <w:fldChar w:fldCharType="separate"/>
        </w:r>
        <w:r w:rsidR="007829FC">
          <w:rPr>
            <w:webHidden/>
          </w:rPr>
          <w:t>3</w:t>
        </w:r>
        <w:r>
          <w:rPr>
            <w:webHidden/>
          </w:rPr>
          <w:fldChar w:fldCharType="end"/>
        </w:r>
      </w:hyperlink>
    </w:p>
    <w:p w:rsidR="00DC5333" w:rsidRDefault="000816B7" w:rsidP="00DC5333">
      <w:pPr>
        <w:pStyle w:val="HIPTOC3"/>
        <w:rPr>
          <w:rFonts w:asciiTheme="minorHAnsi" w:eastAsiaTheme="minorEastAsia" w:hAnsiTheme="minorHAnsi" w:cstheme="minorBidi"/>
          <w:lang w:val="en-US" w:eastAsia="zh-CN"/>
        </w:rPr>
      </w:pPr>
      <w:hyperlink w:anchor="_Toc286144952" w:history="1">
        <w:r w:rsidR="00DC5333" w:rsidRPr="003C431A">
          <w:rPr>
            <w:rStyle w:val="Hyperlink"/>
          </w:rPr>
          <w:t>1.1.2</w:t>
        </w:r>
        <w:r w:rsidR="00DC5333">
          <w:rPr>
            <w:rStyle w:val="Hyperlink"/>
          </w:rPr>
          <w:t xml:space="preserve"> </w:t>
        </w:r>
        <w:r w:rsidR="00DC5333" w:rsidRPr="003C431A">
          <w:rPr>
            <w:rStyle w:val="Hyperlink"/>
          </w:rPr>
          <w:t>Universal Service and Access Funds</w:t>
        </w:r>
        <w:r w:rsidR="00DC5333">
          <w:rPr>
            <w:webHidden/>
          </w:rPr>
          <w:tab/>
        </w:r>
        <w:r w:rsidR="00DC5333">
          <w:rPr>
            <w:webHidden/>
          </w:rPr>
          <w:tab/>
        </w:r>
        <w:r>
          <w:rPr>
            <w:webHidden/>
          </w:rPr>
          <w:fldChar w:fldCharType="begin"/>
        </w:r>
        <w:r w:rsidR="00DC5333">
          <w:rPr>
            <w:webHidden/>
          </w:rPr>
          <w:instrText xml:space="preserve"> PAGEREF _Toc286144952 \h </w:instrText>
        </w:r>
        <w:r>
          <w:rPr>
            <w:webHidden/>
          </w:rPr>
        </w:r>
        <w:r>
          <w:rPr>
            <w:webHidden/>
          </w:rPr>
          <w:fldChar w:fldCharType="separate"/>
        </w:r>
        <w:r w:rsidR="007829FC">
          <w:rPr>
            <w:webHidden/>
          </w:rPr>
          <w:t>6</w:t>
        </w:r>
        <w:r>
          <w:rPr>
            <w:webHidden/>
          </w:rPr>
          <w:fldChar w:fldCharType="end"/>
        </w:r>
      </w:hyperlink>
    </w:p>
    <w:p w:rsidR="00DC5333" w:rsidRDefault="000816B7" w:rsidP="00DC5333">
      <w:pPr>
        <w:pStyle w:val="HIPTOC1"/>
        <w:rPr>
          <w:rFonts w:asciiTheme="minorHAnsi" w:eastAsiaTheme="minorEastAsia" w:hAnsiTheme="minorHAnsi" w:cstheme="minorBidi"/>
          <w:lang w:eastAsia="zh-CN"/>
        </w:rPr>
      </w:pPr>
      <w:hyperlink w:anchor="_Toc286144954" w:history="1">
        <w:r w:rsidR="00DC5333">
          <w:rPr>
            <w:rStyle w:val="Hyperlink"/>
          </w:rPr>
          <w:t>Part 2 – S</w:t>
        </w:r>
        <w:r w:rsidR="00DC5333" w:rsidRPr="003C431A">
          <w:rPr>
            <w:rStyle w:val="Hyperlink"/>
          </w:rPr>
          <w:t>ETTING UP A UNIVERSAL SERVICE</w:t>
        </w:r>
        <w:r w:rsidR="00D71821">
          <w:rPr>
            <w:rStyle w:val="Hyperlink"/>
          </w:rPr>
          <w:t xml:space="preserve"> </w:t>
        </w:r>
        <w:r w:rsidR="00DC5333" w:rsidRPr="003C431A">
          <w:rPr>
            <w:rStyle w:val="Hyperlink"/>
          </w:rPr>
          <w:t>AND ACCESS FUND</w:t>
        </w:r>
        <w:r w:rsidR="00DC5333">
          <w:rPr>
            <w:webHidden/>
          </w:rPr>
          <w:tab/>
        </w:r>
        <w:r w:rsidR="00DC5333">
          <w:rPr>
            <w:webHidden/>
          </w:rPr>
          <w:tab/>
        </w:r>
        <w:r>
          <w:rPr>
            <w:webHidden/>
          </w:rPr>
          <w:fldChar w:fldCharType="begin"/>
        </w:r>
        <w:r w:rsidR="00DC5333">
          <w:rPr>
            <w:webHidden/>
          </w:rPr>
          <w:instrText xml:space="preserve"> PAGEREF _Toc286144954 \h </w:instrText>
        </w:r>
        <w:r>
          <w:rPr>
            <w:webHidden/>
          </w:rPr>
        </w:r>
        <w:r>
          <w:rPr>
            <w:webHidden/>
          </w:rPr>
          <w:fldChar w:fldCharType="separate"/>
        </w:r>
        <w:r w:rsidR="007829FC">
          <w:rPr>
            <w:webHidden/>
          </w:rPr>
          <w:t>11</w:t>
        </w:r>
        <w:r>
          <w:rPr>
            <w:webHidden/>
          </w:rPr>
          <w:fldChar w:fldCharType="end"/>
        </w:r>
      </w:hyperlink>
    </w:p>
    <w:p w:rsidR="00DC5333" w:rsidRDefault="000816B7" w:rsidP="00DC5333">
      <w:pPr>
        <w:pStyle w:val="HIPTOC2"/>
        <w:rPr>
          <w:rFonts w:asciiTheme="minorHAnsi" w:eastAsiaTheme="minorEastAsia" w:hAnsiTheme="minorHAnsi" w:cstheme="minorBidi"/>
          <w:lang w:eastAsia="zh-CN"/>
        </w:rPr>
      </w:pPr>
      <w:hyperlink w:anchor="_Toc286144955" w:history="1">
        <w:r w:rsidR="00DC5333" w:rsidRPr="003C431A">
          <w:rPr>
            <w:rStyle w:val="Hyperlink"/>
          </w:rPr>
          <w:t>2.1</w:t>
        </w:r>
        <w:r w:rsidR="00DC5333">
          <w:rPr>
            <w:rStyle w:val="Hyperlink"/>
          </w:rPr>
          <w:t xml:space="preserve"> </w:t>
        </w:r>
        <w:r w:rsidR="00DC5333" w:rsidRPr="003C431A">
          <w:rPr>
            <w:rStyle w:val="Hyperlink"/>
          </w:rPr>
          <w:t>SITUATING THE FUND IN THE MARKET REFORM CONTEXT</w:t>
        </w:r>
        <w:r w:rsidR="00DC5333">
          <w:rPr>
            <w:webHidden/>
          </w:rPr>
          <w:tab/>
        </w:r>
        <w:r w:rsidR="00DC5333">
          <w:rPr>
            <w:webHidden/>
          </w:rPr>
          <w:tab/>
        </w:r>
        <w:r>
          <w:rPr>
            <w:webHidden/>
          </w:rPr>
          <w:fldChar w:fldCharType="begin"/>
        </w:r>
        <w:r w:rsidR="00DC5333">
          <w:rPr>
            <w:webHidden/>
          </w:rPr>
          <w:instrText xml:space="preserve"> PAGEREF _Toc286144955 \h </w:instrText>
        </w:r>
        <w:r>
          <w:rPr>
            <w:webHidden/>
          </w:rPr>
        </w:r>
        <w:r>
          <w:rPr>
            <w:webHidden/>
          </w:rPr>
          <w:fldChar w:fldCharType="separate"/>
        </w:r>
        <w:r w:rsidR="007829FC">
          <w:rPr>
            <w:webHidden/>
          </w:rPr>
          <w:t>13</w:t>
        </w:r>
        <w:r>
          <w:rPr>
            <w:webHidden/>
          </w:rPr>
          <w:fldChar w:fldCharType="end"/>
        </w:r>
      </w:hyperlink>
    </w:p>
    <w:p w:rsidR="00DC5333" w:rsidRDefault="000816B7" w:rsidP="00DC5333">
      <w:pPr>
        <w:pStyle w:val="HIPTOC3"/>
        <w:rPr>
          <w:rFonts w:asciiTheme="minorHAnsi" w:eastAsiaTheme="minorEastAsia" w:hAnsiTheme="minorHAnsi" w:cstheme="minorBidi"/>
          <w:lang w:val="en-US" w:eastAsia="zh-CN"/>
        </w:rPr>
      </w:pPr>
      <w:hyperlink w:anchor="_Toc286144956" w:history="1">
        <w:r w:rsidR="00DC5333" w:rsidRPr="003C431A">
          <w:rPr>
            <w:rStyle w:val="Hyperlink"/>
            <w:rFonts w:eastAsia="Calibri"/>
          </w:rPr>
          <w:t>2.1.1</w:t>
        </w:r>
        <w:r w:rsidR="00DC5333">
          <w:rPr>
            <w:rStyle w:val="Hyperlink"/>
            <w:rFonts w:eastAsia="Calibri"/>
          </w:rPr>
          <w:t xml:space="preserve"> </w:t>
        </w:r>
        <w:r w:rsidR="00DC5333" w:rsidRPr="003C431A">
          <w:rPr>
            <w:rStyle w:val="Hyperlink"/>
            <w:rFonts w:eastAsia="Calibri"/>
          </w:rPr>
          <w:t>Global Experience and Good Practice</w:t>
        </w:r>
        <w:r w:rsidR="00DC5333">
          <w:rPr>
            <w:webHidden/>
          </w:rPr>
          <w:tab/>
        </w:r>
        <w:r w:rsidR="00DC5333">
          <w:rPr>
            <w:webHidden/>
          </w:rPr>
          <w:tab/>
        </w:r>
        <w:r>
          <w:rPr>
            <w:webHidden/>
          </w:rPr>
          <w:fldChar w:fldCharType="begin"/>
        </w:r>
        <w:r w:rsidR="00DC5333">
          <w:rPr>
            <w:webHidden/>
          </w:rPr>
          <w:instrText xml:space="preserve"> PAGEREF _Toc286144956 \h </w:instrText>
        </w:r>
        <w:r>
          <w:rPr>
            <w:webHidden/>
          </w:rPr>
        </w:r>
        <w:r>
          <w:rPr>
            <w:webHidden/>
          </w:rPr>
          <w:fldChar w:fldCharType="separate"/>
        </w:r>
        <w:r w:rsidR="007829FC">
          <w:rPr>
            <w:webHidden/>
          </w:rPr>
          <w:t>13</w:t>
        </w:r>
        <w:r>
          <w:rPr>
            <w:webHidden/>
          </w:rPr>
          <w:fldChar w:fldCharType="end"/>
        </w:r>
      </w:hyperlink>
    </w:p>
    <w:p w:rsidR="00DC5333" w:rsidRDefault="000816B7" w:rsidP="00DC5333">
      <w:pPr>
        <w:pStyle w:val="HIPTOC3"/>
        <w:rPr>
          <w:rFonts w:asciiTheme="minorHAnsi" w:eastAsiaTheme="minorEastAsia" w:hAnsiTheme="minorHAnsi" w:cstheme="minorBidi"/>
          <w:lang w:val="en-US" w:eastAsia="zh-CN"/>
        </w:rPr>
      </w:pPr>
      <w:hyperlink w:anchor="_Toc286144957" w:history="1">
        <w:r w:rsidR="00DC5333" w:rsidRPr="003C431A">
          <w:rPr>
            <w:rStyle w:val="Hyperlink"/>
          </w:rPr>
          <w:t>2.1.2</w:t>
        </w:r>
        <w:r w:rsidR="00DC5333">
          <w:rPr>
            <w:rStyle w:val="Hyperlink"/>
          </w:rPr>
          <w:t xml:space="preserve"> </w:t>
        </w:r>
        <w:r w:rsidR="00DC5333" w:rsidRPr="003C431A">
          <w:rPr>
            <w:rStyle w:val="Hyperlink"/>
          </w:rPr>
          <w:t>SADC Fund Establishment Experience and Practice</w:t>
        </w:r>
        <w:r w:rsidR="00DC5333">
          <w:rPr>
            <w:webHidden/>
          </w:rPr>
          <w:tab/>
        </w:r>
        <w:r w:rsidR="00DC5333">
          <w:rPr>
            <w:webHidden/>
          </w:rPr>
          <w:tab/>
        </w:r>
        <w:r>
          <w:rPr>
            <w:webHidden/>
          </w:rPr>
          <w:fldChar w:fldCharType="begin"/>
        </w:r>
        <w:r w:rsidR="00DC5333">
          <w:rPr>
            <w:webHidden/>
          </w:rPr>
          <w:instrText xml:space="preserve"> PAGEREF _Toc286144957 \h </w:instrText>
        </w:r>
        <w:r>
          <w:rPr>
            <w:webHidden/>
          </w:rPr>
        </w:r>
        <w:r>
          <w:rPr>
            <w:webHidden/>
          </w:rPr>
          <w:fldChar w:fldCharType="separate"/>
        </w:r>
        <w:r w:rsidR="007829FC">
          <w:rPr>
            <w:webHidden/>
          </w:rPr>
          <w:t>14</w:t>
        </w:r>
        <w:r>
          <w:rPr>
            <w:webHidden/>
          </w:rPr>
          <w:fldChar w:fldCharType="end"/>
        </w:r>
      </w:hyperlink>
    </w:p>
    <w:p w:rsidR="00DC5333" w:rsidRDefault="000816B7" w:rsidP="00DC5333">
      <w:pPr>
        <w:pStyle w:val="HIPTOC2"/>
        <w:rPr>
          <w:rFonts w:asciiTheme="minorHAnsi" w:eastAsiaTheme="minorEastAsia" w:hAnsiTheme="minorHAnsi" w:cstheme="minorBidi"/>
          <w:lang w:eastAsia="zh-CN"/>
        </w:rPr>
      </w:pPr>
      <w:hyperlink w:anchor="_Toc286144958" w:history="1">
        <w:r w:rsidR="00DC5333" w:rsidRPr="003C431A">
          <w:rPr>
            <w:rStyle w:val="Hyperlink"/>
          </w:rPr>
          <w:t>2.2</w:t>
        </w:r>
        <w:r w:rsidR="00DC5333">
          <w:rPr>
            <w:rStyle w:val="Hyperlink"/>
          </w:rPr>
          <w:t xml:space="preserve"> </w:t>
        </w:r>
        <w:r w:rsidR="00DC5333" w:rsidRPr="003C431A">
          <w:rPr>
            <w:rStyle w:val="Hyperlink"/>
          </w:rPr>
          <w:t>FUND ADMINISTRATION</w:t>
        </w:r>
        <w:r w:rsidR="00DC5333">
          <w:rPr>
            <w:webHidden/>
          </w:rPr>
          <w:tab/>
        </w:r>
        <w:r w:rsidR="00DC5333">
          <w:rPr>
            <w:webHidden/>
          </w:rPr>
          <w:tab/>
        </w:r>
        <w:r>
          <w:rPr>
            <w:webHidden/>
          </w:rPr>
          <w:fldChar w:fldCharType="begin"/>
        </w:r>
        <w:r w:rsidR="00DC5333">
          <w:rPr>
            <w:webHidden/>
          </w:rPr>
          <w:instrText xml:space="preserve"> PAGEREF _Toc286144958 \h </w:instrText>
        </w:r>
        <w:r>
          <w:rPr>
            <w:webHidden/>
          </w:rPr>
        </w:r>
        <w:r>
          <w:rPr>
            <w:webHidden/>
          </w:rPr>
          <w:fldChar w:fldCharType="separate"/>
        </w:r>
        <w:r w:rsidR="007829FC">
          <w:rPr>
            <w:webHidden/>
          </w:rPr>
          <w:t>14</w:t>
        </w:r>
        <w:r>
          <w:rPr>
            <w:webHidden/>
          </w:rPr>
          <w:fldChar w:fldCharType="end"/>
        </w:r>
      </w:hyperlink>
    </w:p>
    <w:p w:rsidR="00DC5333" w:rsidRDefault="000816B7" w:rsidP="00DC5333">
      <w:pPr>
        <w:pStyle w:val="HIPTOC3"/>
        <w:rPr>
          <w:rFonts w:asciiTheme="minorHAnsi" w:eastAsiaTheme="minorEastAsia" w:hAnsiTheme="minorHAnsi" w:cstheme="minorBidi"/>
          <w:lang w:val="en-US" w:eastAsia="zh-CN"/>
        </w:rPr>
      </w:pPr>
      <w:hyperlink w:anchor="_Toc286144959" w:history="1">
        <w:r w:rsidR="00DC5333" w:rsidRPr="003C431A">
          <w:rPr>
            <w:rStyle w:val="Hyperlink"/>
          </w:rPr>
          <w:t>2.2.1</w:t>
        </w:r>
        <w:r w:rsidR="00DC5333">
          <w:rPr>
            <w:rStyle w:val="Hyperlink"/>
          </w:rPr>
          <w:t xml:space="preserve"> </w:t>
        </w:r>
        <w:r w:rsidR="00DC5333" w:rsidRPr="003C431A">
          <w:rPr>
            <w:rStyle w:val="Hyperlink"/>
          </w:rPr>
          <w:t>Global Experience and Good Practice</w:t>
        </w:r>
        <w:r w:rsidR="00DC5333">
          <w:rPr>
            <w:webHidden/>
          </w:rPr>
          <w:tab/>
        </w:r>
        <w:r w:rsidR="00DC5333">
          <w:rPr>
            <w:webHidden/>
          </w:rPr>
          <w:tab/>
        </w:r>
        <w:r>
          <w:rPr>
            <w:webHidden/>
          </w:rPr>
          <w:fldChar w:fldCharType="begin"/>
        </w:r>
        <w:r w:rsidR="00DC5333">
          <w:rPr>
            <w:webHidden/>
          </w:rPr>
          <w:instrText xml:space="preserve"> PAGEREF _Toc286144959 \h </w:instrText>
        </w:r>
        <w:r>
          <w:rPr>
            <w:webHidden/>
          </w:rPr>
        </w:r>
        <w:r>
          <w:rPr>
            <w:webHidden/>
          </w:rPr>
          <w:fldChar w:fldCharType="separate"/>
        </w:r>
        <w:r w:rsidR="007829FC">
          <w:rPr>
            <w:webHidden/>
          </w:rPr>
          <w:t>14</w:t>
        </w:r>
        <w:r>
          <w:rPr>
            <w:webHidden/>
          </w:rPr>
          <w:fldChar w:fldCharType="end"/>
        </w:r>
      </w:hyperlink>
    </w:p>
    <w:p w:rsidR="00DC5333" w:rsidRDefault="000816B7" w:rsidP="00DC5333">
      <w:pPr>
        <w:pStyle w:val="HIPTOC3"/>
        <w:rPr>
          <w:rFonts w:asciiTheme="minorHAnsi" w:eastAsiaTheme="minorEastAsia" w:hAnsiTheme="minorHAnsi" w:cstheme="minorBidi"/>
          <w:lang w:val="en-US" w:eastAsia="zh-CN"/>
        </w:rPr>
      </w:pPr>
      <w:hyperlink w:anchor="_Toc286144960" w:history="1">
        <w:r w:rsidR="00DC5333" w:rsidRPr="003C431A">
          <w:rPr>
            <w:rStyle w:val="Hyperlink"/>
          </w:rPr>
          <w:t>2.2.2</w:t>
        </w:r>
        <w:r w:rsidR="00DC5333">
          <w:rPr>
            <w:rStyle w:val="Hyperlink"/>
          </w:rPr>
          <w:t xml:space="preserve"> </w:t>
        </w:r>
        <w:r w:rsidR="00DC5333" w:rsidRPr="003C431A">
          <w:rPr>
            <w:rStyle w:val="Hyperlink"/>
          </w:rPr>
          <w:t>SADC Experience</w:t>
        </w:r>
        <w:r w:rsidR="00DC5333">
          <w:rPr>
            <w:webHidden/>
          </w:rPr>
          <w:tab/>
        </w:r>
        <w:r w:rsidR="00DC5333">
          <w:rPr>
            <w:webHidden/>
          </w:rPr>
          <w:tab/>
        </w:r>
        <w:r>
          <w:rPr>
            <w:webHidden/>
          </w:rPr>
          <w:fldChar w:fldCharType="begin"/>
        </w:r>
        <w:r w:rsidR="00DC5333">
          <w:rPr>
            <w:webHidden/>
          </w:rPr>
          <w:instrText xml:space="preserve"> PAGEREF _Toc286144960 \h </w:instrText>
        </w:r>
        <w:r>
          <w:rPr>
            <w:webHidden/>
          </w:rPr>
        </w:r>
        <w:r>
          <w:rPr>
            <w:webHidden/>
          </w:rPr>
          <w:fldChar w:fldCharType="separate"/>
        </w:r>
        <w:r w:rsidR="007829FC">
          <w:rPr>
            <w:webHidden/>
          </w:rPr>
          <w:t>14</w:t>
        </w:r>
        <w:r>
          <w:rPr>
            <w:webHidden/>
          </w:rPr>
          <w:fldChar w:fldCharType="end"/>
        </w:r>
      </w:hyperlink>
    </w:p>
    <w:p w:rsidR="00DC5333" w:rsidRDefault="000816B7" w:rsidP="00DC5333">
      <w:pPr>
        <w:pStyle w:val="HIPTOC2"/>
        <w:rPr>
          <w:rFonts w:asciiTheme="minorHAnsi" w:eastAsiaTheme="minorEastAsia" w:hAnsiTheme="minorHAnsi" w:cstheme="minorBidi"/>
          <w:lang w:eastAsia="zh-CN"/>
        </w:rPr>
      </w:pPr>
      <w:hyperlink w:anchor="_Toc286144961" w:history="1">
        <w:r w:rsidR="00DC5333" w:rsidRPr="003C431A">
          <w:rPr>
            <w:rStyle w:val="Hyperlink"/>
          </w:rPr>
          <w:t>2.3</w:t>
        </w:r>
        <w:r w:rsidR="00DC5333">
          <w:rPr>
            <w:rStyle w:val="Hyperlink"/>
          </w:rPr>
          <w:t xml:space="preserve"> </w:t>
        </w:r>
        <w:r w:rsidR="00DC5333" w:rsidRPr="003C431A">
          <w:rPr>
            <w:rStyle w:val="Hyperlink"/>
          </w:rPr>
          <w:t>FUND MANAGEMENT PRINCIPLES</w:t>
        </w:r>
        <w:r w:rsidR="00DC5333">
          <w:rPr>
            <w:webHidden/>
          </w:rPr>
          <w:tab/>
        </w:r>
        <w:r w:rsidR="00DC5333">
          <w:rPr>
            <w:webHidden/>
          </w:rPr>
          <w:tab/>
        </w:r>
        <w:r>
          <w:rPr>
            <w:webHidden/>
          </w:rPr>
          <w:fldChar w:fldCharType="begin"/>
        </w:r>
        <w:r w:rsidR="00DC5333">
          <w:rPr>
            <w:webHidden/>
          </w:rPr>
          <w:instrText xml:space="preserve"> PAGEREF _Toc286144961 \h </w:instrText>
        </w:r>
        <w:r>
          <w:rPr>
            <w:webHidden/>
          </w:rPr>
        </w:r>
        <w:r>
          <w:rPr>
            <w:webHidden/>
          </w:rPr>
          <w:fldChar w:fldCharType="separate"/>
        </w:r>
        <w:r w:rsidR="007829FC">
          <w:rPr>
            <w:webHidden/>
          </w:rPr>
          <w:t>14</w:t>
        </w:r>
        <w:r>
          <w:rPr>
            <w:webHidden/>
          </w:rPr>
          <w:fldChar w:fldCharType="end"/>
        </w:r>
      </w:hyperlink>
    </w:p>
    <w:p w:rsidR="00DC5333" w:rsidRDefault="000816B7" w:rsidP="00DC5333">
      <w:pPr>
        <w:pStyle w:val="HIPTOC3"/>
        <w:rPr>
          <w:rFonts w:asciiTheme="minorHAnsi" w:eastAsiaTheme="minorEastAsia" w:hAnsiTheme="minorHAnsi" w:cstheme="minorBidi"/>
          <w:lang w:val="en-US" w:eastAsia="zh-CN"/>
        </w:rPr>
      </w:pPr>
      <w:hyperlink w:anchor="_Toc286144962" w:history="1">
        <w:r w:rsidR="00DC5333" w:rsidRPr="003C431A">
          <w:rPr>
            <w:rStyle w:val="Hyperlink"/>
          </w:rPr>
          <w:t>2.3.1</w:t>
        </w:r>
        <w:r w:rsidR="00DC5333">
          <w:rPr>
            <w:rStyle w:val="Hyperlink"/>
          </w:rPr>
          <w:t xml:space="preserve"> </w:t>
        </w:r>
        <w:r w:rsidR="00DC5333" w:rsidRPr="003C431A">
          <w:rPr>
            <w:rStyle w:val="Hyperlink"/>
          </w:rPr>
          <w:t>Global Experience and Good Practice</w:t>
        </w:r>
        <w:r w:rsidR="00DC5333">
          <w:rPr>
            <w:webHidden/>
          </w:rPr>
          <w:tab/>
        </w:r>
        <w:r w:rsidR="00DC5333">
          <w:rPr>
            <w:webHidden/>
          </w:rPr>
          <w:tab/>
        </w:r>
        <w:r>
          <w:rPr>
            <w:webHidden/>
          </w:rPr>
          <w:fldChar w:fldCharType="begin"/>
        </w:r>
        <w:r w:rsidR="00DC5333">
          <w:rPr>
            <w:webHidden/>
          </w:rPr>
          <w:instrText xml:space="preserve"> PAGEREF _Toc286144962 \h </w:instrText>
        </w:r>
        <w:r>
          <w:rPr>
            <w:webHidden/>
          </w:rPr>
        </w:r>
        <w:r>
          <w:rPr>
            <w:webHidden/>
          </w:rPr>
          <w:fldChar w:fldCharType="separate"/>
        </w:r>
        <w:r w:rsidR="007829FC">
          <w:rPr>
            <w:webHidden/>
          </w:rPr>
          <w:t>14</w:t>
        </w:r>
        <w:r>
          <w:rPr>
            <w:webHidden/>
          </w:rPr>
          <w:fldChar w:fldCharType="end"/>
        </w:r>
      </w:hyperlink>
    </w:p>
    <w:p w:rsidR="00DC5333" w:rsidRDefault="000816B7" w:rsidP="00DC5333">
      <w:pPr>
        <w:pStyle w:val="HIPTOC2"/>
        <w:rPr>
          <w:rFonts w:asciiTheme="minorHAnsi" w:eastAsiaTheme="minorEastAsia" w:hAnsiTheme="minorHAnsi" w:cstheme="minorBidi"/>
          <w:lang w:eastAsia="zh-CN"/>
        </w:rPr>
      </w:pPr>
      <w:hyperlink w:anchor="_Toc286144963" w:history="1">
        <w:r w:rsidR="00DC5333" w:rsidRPr="003C431A">
          <w:rPr>
            <w:rStyle w:val="Hyperlink"/>
          </w:rPr>
          <w:t>2.4</w:t>
        </w:r>
        <w:r w:rsidR="00DC5333">
          <w:rPr>
            <w:rStyle w:val="Hyperlink"/>
          </w:rPr>
          <w:t xml:space="preserve"> </w:t>
        </w:r>
        <w:r w:rsidR="00DC5333" w:rsidRPr="003C431A">
          <w:rPr>
            <w:rStyle w:val="Hyperlink"/>
          </w:rPr>
          <w:t>SOURCES OF USAF FUNDING</w:t>
        </w:r>
        <w:r w:rsidR="00DC5333">
          <w:rPr>
            <w:webHidden/>
          </w:rPr>
          <w:tab/>
        </w:r>
        <w:r w:rsidR="00DC5333">
          <w:rPr>
            <w:webHidden/>
          </w:rPr>
          <w:tab/>
        </w:r>
        <w:r>
          <w:rPr>
            <w:webHidden/>
          </w:rPr>
          <w:fldChar w:fldCharType="begin"/>
        </w:r>
        <w:r w:rsidR="00DC5333">
          <w:rPr>
            <w:webHidden/>
          </w:rPr>
          <w:instrText xml:space="preserve"> PAGEREF _Toc286144963 \h </w:instrText>
        </w:r>
        <w:r>
          <w:rPr>
            <w:webHidden/>
          </w:rPr>
        </w:r>
        <w:r>
          <w:rPr>
            <w:webHidden/>
          </w:rPr>
          <w:fldChar w:fldCharType="separate"/>
        </w:r>
        <w:r w:rsidR="007829FC">
          <w:rPr>
            <w:webHidden/>
          </w:rPr>
          <w:t>14</w:t>
        </w:r>
        <w:r>
          <w:rPr>
            <w:webHidden/>
          </w:rPr>
          <w:fldChar w:fldCharType="end"/>
        </w:r>
      </w:hyperlink>
    </w:p>
    <w:p w:rsidR="00DC5333" w:rsidRDefault="000816B7" w:rsidP="00DC5333">
      <w:pPr>
        <w:pStyle w:val="HIPTOC3"/>
        <w:rPr>
          <w:rFonts w:asciiTheme="minorHAnsi" w:eastAsiaTheme="minorEastAsia" w:hAnsiTheme="minorHAnsi" w:cstheme="minorBidi"/>
          <w:lang w:val="en-US" w:eastAsia="zh-CN"/>
        </w:rPr>
      </w:pPr>
      <w:hyperlink w:anchor="_Toc286144964" w:history="1">
        <w:r w:rsidR="00DC5333" w:rsidRPr="003C431A">
          <w:rPr>
            <w:rStyle w:val="Hyperlink"/>
          </w:rPr>
          <w:t>2.4.1</w:t>
        </w:r>
        <w:r w:rsidR="00DC5333">
          <w:rPr>
            <w:rStyle w:val="Hyperlink"/>
          </w:rPr>
          <w:t xml:space="preserve"> </w:t>
        </w:r>
        <w:r w:rsidR="00DC5333" w:rsidRPr="003C431A">
          <w:rPr>
            <w:rStyle w:val="Hyperlink"/>
          </w:rPr>
          <w:t>Global Experiences and Good Practice</w:t>
        </w:r>
        <w:r w:rsidR="00DC5333">
          <w:rPr>
            <w:webHidden/>
          </w:rPr>
          <w:tab/>
        </w:r>
        <w:r w:rsidR="00DC5333">
          <w:rPr>
            <w:webHidden/>
          </w:rPr>
          <w:tab/>
        </w:r>
        <w:r>
          <w:rPr>
            <w:webHidden/>
          </w:rPr>
          <w:fldChar w:fldCharType="begin"/>
        </w:r>
        <w:r w:rsidR="00DC5333">
          <w:rPr>
            <w:webHidden/>
          </w:rPr>
          <w:instrText xml:space="preserve"> PAGEREF _Toc286144964 \h </w:instrText>
        </w:r>
        <w:r>
          <w:rPr>
            <w:webHidden/>
          </w:rPr>
        </w:r>
        <w:r>
          <w:rPr>
            <w:webHidden/>
          </w:rPr>
          <w:fldChar w:fldCharType="separate"/>
        </w:r>
        <w:r w:rsidR="007829FC">
          <w:rPr>
            <w:webHidden/>
          </w:rPr>
          <w:t>14</w:t>
        </w:r>
        <w:r>
          <w:rPr>
            <w:webHidden/>
          </w:rPr>
          <w:fldChar w:fldCharType="end"/>
        </w:r>
      </w:hyperlink>
    </w:p>
    <w:p w:rsidR="00DC5333" w:rsidRDefault="000816B7" w:rsidP="00DC5333">
      <w:pPr>
        <w:pStyle w:val="HIPTOC3"/>
        <w:rPr>
          <w:rFonts w:asciiTheme="minorHAnsi" w:eastAsiaTheme="minorEastAsia" w:hAnsiTheme="minorHAnsi" w:cstheme="minorBidi"/>
          <w:lang w:val="en-US" w:eastAsia="zh-CN"/>
        </w:rPr>
      </w:pPr>
      <w:hyperlink w:anchor="_Toc286144965" w:history="1">
        <w:r w:rsidR="00DC5333" w:rsidRPr="003C431A">
          <w:rPr>
            <w:rStyle w:val="Hyperlink"/>
          </w:rPr>
          <w:t>2.4.2</w:t>
        </w:r>
        <w:r w:rsidR="00DC5333">
          <w:rPr>
            <w:rStyle w:val="Hyperlink"/>
          </w:rPr>
          <w:t xml:space="preserve"> </w:t>
        </w:r>
        <w:r w:rsidR="00DC5333" w:rsidRPr="003C431A">
          <w:rPr>
            <w:rStyle w:val="Hyperlink"/>
          </w:rPr>
          <w:t>SADC Experiences</w:t>
        </w:r>
        <w:r w:rsidR="00DC5333">
          <w:rPr>
            <w:webHidden/>
          </w:rPr>
          <w:tab/>
        </w:r>
        <w:r w:rsidR="00DC5333">
          <w:rPr>
            <w:webHidden/>
          </w:rPr>
          <w:tab/>
        </w:r>
        <w:r>
          <w:rPr>
            <w:webHidden/>
          </w:rPr>
          <w:fldChar w:fldCharType="begin"/>
        </w:r>
        <w:r w:rsidR="00DC5333">
          <w:rPr>
            <w:webHidden/>
          </w:rPr>
          <w:instrText xml:space="preserve"> PAGEREF _Toc286144965 \h </w:instrText>
        </w:r>
        <w:r>
          <w:rPr>
            <w:webHidden/>
          </w:rPr>
        </w:r>
        <w:r>
          <w:rPr>
            <w:webHidden/>
          </w:rPr>
          <w:fldChar w:fldCharType="separate"/>
        </w:r>
        <w:r w:rsidR="007829FC">
          <w:rPr>
            <w:webHidden/>
          </w:rPr>
          <w:t>14</w:t>
        </w:r>
        <w:r>
          <w:rPr>
            <w:webHidden/>
          </w:rPr>
          <w:fldChar w:fldCharType="end"/>
        </w:r>
      </w:hyperlink>
    </w:p>
    <w:p w:rsidR="00DC5333" w:rsidRDefault="000816B7" w:rsidP="00DC5333">
      <w:pPr>
        <w:pStyle w:val="HIPTOC2"/>
        <w:rPr>
          <w:rFonts w:asciiTheme="minorHAnsi" w:eastAsiaTheme="minorEastAsia" w:hAnsiTheme="minorHAnsi" w:cstheme="minorBidi"/>
          <w:lang w:eastAsia="zh-CN"/>
        </w:rPr>
      </w:pPr>
      <w:hyperlink w:anchor="_Toc286144966" w:history="1">
        <w:r w:rsidR="00DC5333" w:rsidRPr="003C431A">
          <w:rPr>
            <w:rStyle w:val="Hyperlink"/>
          </w:rPr>
          <w:t>2.5</w:t>
        </w:r>
        <w:r w:rsidR="00DC5333">
          <w:rPr>
            <w:rStyle w:val="Hyperlink"/>
          </w:rPr>
          <w:t xml:space="preserve"> </w:t>
        </w:r>
        <w:r w:rsidR="00DC5333" w:rsidRPr="003C431A">
          <w:rPr>
            <w:rStyle w:val="Hyperlink"/>
          </w:rPr>
          <w:t>LEVEL OF CONTRIBUTIONS TO THE USAF</w:t>
        </w:r>
        <w:r w:rsidR="00DC5333">
          <w:rPr>
            <w:webHidden/>
          </w:rPr>
          <w:tab/>
        </w:r>
        <w:r w:rsidR="00DC5333">
          <w:rPr>
            <w:webHidden/>
          </w:rPr>
          <w:tab/>
        </w:r>
        <w:r>
          <w:rPr>
            <w:webHidden/>
          </w:rPr>
          <w:fldChar w:fldCharType="begin"/>
        </w:r>
        <w:r w:rsidR="00DC5333">
          <w:rPr>
            <w:webHidden/>
          </w:rPr>
          <w:instrText xml:space="preserve"> PAGEREF _Toc286144966 \h </w:instrText>
        </w:r>
        <w:r>
          <w:rPr>
            <w:webHidden/>
          </w:rPr>
        </w:r>
        <w:r>
          <w:rPr>
            <w:webHidden/>
          </w:rPr>
          <w:fldChar w:fldCharType="separate"/>
        </w:r>
        <w:r w:rsidR="007829FC">
          <w:rPr>
            <w:webHidden/>
          </w:rPr>
          <w:t>14</w:t>
        </w:r>
        <w:r>
          <w:rPr>
            <w:webHidden/>
          </w:rPr>
          <w:fldChar w:fldCharType="end"/>
        </w:r>
      </w:hyperlink>
    </w:p>
    <w:p w:rsidR="00DC5333" w:rsidRDefault="000816B7" w:rsidP="00DC5333">
      <w:pPr>
        <w:pStyle w:val="HIPTOC3"/>
        <w:rPr>
          <w:rFonts w:asciiTheme="minorHAnsi" w:eastAsiaTheme="minorEastAsia" w:hAnsiTheme="minorHAnsi" w:cstheme="minorBidi"/>
          <w:lang w:val="en-US" w:eastAsia="zh-CN"/>
        </w:rPr>
      </w:pPr>
      <w:hyperlink w:anchor="_Toc286144967" w:history="1">
        <w:r w:rsidR="00DC5333" w:rsidRPr="003C431A">
          <w:rPr>
            <w:rStyle w:val="Hyperlink"/>
          </w:rPr>
          <w:t>2.5.1</w:t>
        </w:r>
        <w:r w:rsidR="00DC5333">
          <w:rPr>
            <w:rStyle w:val="Hyperlink"/>
          </w:rPr>
          <w:t xml:space="preserve"> </w:t>
        </w:r>
        <w:r w:rsidR="00DC5333" w:rsidRPr="003C431A">
          <w:rPr>
            <w:rStyle w:val="Hyperlink"/>
          </w:rPr>
          <w:t>Global Experience and Good Practice</w:t>
        </w:r>
        <w:r w:rsidR="00DC5333">
          <w:rPr>
            <w:webHidden/>
          </w:rPr>
          <w:tab/>
        </w:r>
        <w:r w:rsidR="00DC5333">
          <w:rPr>
            <w:webHidden/>
          </w:rPr>
          <w:tab/>
        </w:r>
        <w:r>
          <w:rPr>
            <w:webHidden/>
          </w:rPr>
          <w:fldChar w:fldCharType="begin"/>
        </w:r>
        <w:r w:rsidR="00DC5333">
          <w:rPr>
            <w:webHidden/>
          </w:rPr>
          <w:instrText xml:space="preserve"> PAGEREF _Toc286144967 \h </w:instrText>
        </w:r>
        <w:r>
          <w:rPr>
            <w:webHidden/>
          </w:rPr>
        </w:r>
        <w:r>
          <w:rPr>
            <w:webHidden/>
          </w:rPr>
          <w:fldChar w:fldCharType="separate"/>
        </w:r>
        <w:r w:rsidR="007829FC">
          <w:rPr>
            <w:webHidden/>
          </w:rPr>
          <w:t>14</w:t>
        </w:r>
        <w:r>
          <w:rPr>
            <w:webHidden/>
          </w:rPr>
          <w:fldChar w:fldCharType="end"/>
        </w:r>
      </w:hyperlink>
    </w:p>
    <w:p w:rsidR="00DC5333" w:rsidRDefault="000816B7" w:rsidP="00DC5333">
      <w:pPr>
        <w:pStyle w:val="HIPTOC3"/>
        <w:rPr>
          <w:rFonts w:asciiTheme="minorHAnsi" w:eastAsiaTheme="minorEastAsia" w:hAnsiTheme="minorHAnsi" w:cstheme="minorBidi"/>
          <w:lang w:val="en-US" w:eastAsia="zh-CN"/>
        </w:rPr>
      </w:pPr>
      <w:hyperlink w:anchor="_Toc286144968" w:history="1">
        <w:r w:rsidR="00DC5333" w:rsidRPr="003C431A">
          <w:rPr>
            <w:rStyle w:val="Hyperlink"/>
          </w:rPr>
          <w:t>2.5.2</w:t>
        </w:r>
        <w:r w:rsidR="00DC5333">
          <w:rPr>
            <w:rStyle w:val="Hyperlink"/>
          </w:rPr>
          <w:t xml:space="preserve"> </w:t>
        </w:r>
        <w:r w:rsidR="00DC5333" w:rsidRPr="003C431A">
          <w:rPr>
            <w:rStyle w:val="Hyperlink"/>
          </w:rPr>
          <w:t>SADC Experiences</w:t>
        </w:r>
        <w:r w:rsidR="00DC5333">
          <w:rPr>
            <w:webHidden/>
          </w:rPr>
          <w:tab/>
        </w:r>
        <w:r w:rsidR="00DC5333">
          <w:rPr>
            <w:webHidden/>
          </w:rPr>
          <w:tab/>
        </w:r>
        <w:r>
          <w:rPr>
            <w:webHidden/>
          </w:rPr>
          <w:fldChar w:fldCharType="begin"/>
        </w:r>
        <w:r w:rsidR="00DC5333">
          <w:rPr>
            <w:webHidden/>
          </w:rPr>
          <w:instrText xml:space="preserve"> PAGEREF _Toc286144968 \h </w:instrText>
        </w:r>
        <w:r>
          <w:rPr>
            <w:webHidden/>
          </w:rPr>
        </w:r>
        <w:r>
          <w:rPr>
            <w:webHidden/>
          </w:rPr>
          <w:fldChar w:fldCharType="separate"/>
        </w:r>
        <w:r w:rsidR="007829FC">
          <w:rPr>
            <w:webHidden/>
          </w:rPr>
          <w:t>14</w:t>
        </w:r>
        <w:r>
          <w:rPr>
            <w:webHidden/>
          </w:rPr>
          <w:fldChar w:fldCharType="end"/>
        </w:r>
      </w:hyperlink>
    </w:p>
    <w:p w:rsidR="00DC5333" w:rsidRDefault="000816B7" w:rsidP="00DC5333">
      <w:pPr>
        <w:pStyle w:val="HIPTOC2"/>
        <w:rPr>
          <w:rFonts w:asciiTheme="minorHAnsi" w:eastAsiaTheme="minorEastAsia" w:hAnsiTheme="minorHAnsi" w:cstheme="minorBidi"/>
          <w:lang w:eastAsia="zh-CN"/>
        </w:rPr>
      </w:pPr>
      <w:hyperlink w:anchor="_Toc286144969" w:history="1">
        <w:r w:rsidR="00DC5333" w:rsidRPr="003C431A">
          <w:rPr>
            <w:rStyle w:val="Hyperlink"/>
          </w:rPr>
          <w:t>2.6</w:t>
        </w:r>
        <w:r w:rsidR="00DC5333">
          <w:rPr>
            <w:rStyle w:val="Hyperlink"/>
          </w:rPr>
          <w:t xml:space="preserve"> </w:t>
        </w:r>
        <w:r w:rsidR="00DC5333" w:rsidRPr="003C431A">
          <w:rPr>
            <w:rStyle w:val="Hyperlink"/>
          </w:rPr>
          <w:t>RECAP – MAKING SURE YOUR USAF FRAMEWORK IS COMPLETE</w:t>
        </w:r>
        <w:r w:rsidR="00DC5333">
          <w:rPr>
            <w:webHidden/>
          </w:rPr>
          <w:tab/>
        </w:r>
        <w:r w:rsidR="00DC5333">
          <w:rPr>
            <w:webHidden/>
          </w:rPr>
          <w:tab/>
        </w:r>
        <w:r>
          <w:rPr>
            <w:webHidden/>
          </w:rPr>
          <w:fldChar w:fldCharType="begin"/>
        </w:r>
        <w:r w:rsidR="00DC5333">
          <w:rPr>
            <w:webHidden/>
          </w:rPr>
          <w:instrText xml:space="preserve"> PAGEREF _Toc286144969 \h </w:instrText>
        </w:r>
        <w:r>
          <w:rPr>
            <w:webHidden/>
          </w:rPr>
        </w:r>
        <w:r>
          <w:rPr>
            <w:webHidden/>
          </w:rPr>
          <w:fldChar w:fldCharType="separate"/>
        </w:r>
        <w:r w:rsidR="007829FC">
          <w:rPr>
            <w:webHidden/>
          </w:rPr>
          <w:t>14</w:t>
        </w:r>
        <w:r>
          <w:rPr>
            <w:webHidden/>
          </w:rPr>
          <w:fldChar w:fldCharType="end"/>
        </w:r>
      </w:hyperlink>
    </w:p>
    <w:p w:rsidR="00DC5333" w:rsidRDefault="000816B7" w:rsidP="00DC5333">
      <w:pPr>
        <w:pStyle w:val="HIPTOC1"/>
        <w:rPr>
          <w:rFonts w:asciiTheme="minorHAnsi" w:eastAsiaTheme="minorEastAsia" w:hAnsiTheme="minorHAnsi" w:cstheme="minorBidi"/>
          <w:lang w:eastAsia="zh-CN"/>
        </w:rPr>
      </w:pPr>
      <w:hyperlink w:anchor="_Toc286144970" w:history="1">
        <w:r w:rsidR="00DC5333" w:rsidRPr="003C431A">
          <w:rPr>
            <w:rStyle w:val="Hyperlink"/>
          </w:rPr>
          <w:t xml:space="preserve">Part </w:t>
        </w:r>
        <w:r w:rsidR="00DC5333">
          <w:rPr>
            <w:rStyle w:val="Hyperlink"/>
          </w:rPr>
          <w:t xml:space="preserve">3 – </w:t>
        </w:r>
      </w:hyperlink>
      <w:hyperlink w:anchor="_Toc286144971" w:history="1">
        <w:r w:rsidR="00DC5333" w:rsidRPr="003C431A">
          <w:rPr>
            <w:rStyle w:val="Hyperlink"/>
          </w:rPr>
          <w:t>FINANCING UNIVERSAL ACCESS PROJECTS</w:t>
        </w:r>
        <w:r w:rsidR="00DC5333">
          <w:rPr>
            <w:webHidden/>
          </w:rPr>
          <w:tab/>
        </w:r>
        <w:r w:rsidR="00DC5333">
          <w:rPr>
            <w:webHidden/>
          </w:rPr>
          <w:tab/>
        </w:r>
        <w:r>
          <w:rPr>
            <w:webHidden/>
          </w:rPr>
          <w:fldChar w:fldCharType="begin"/>
        </w:r>
        <w:r w:rsidR="00DC5333">
          <w:rPr>
            <w:webHidden/>
          </w:rPr>
          <w:instrText xml:space="preserve"> PAGEREF _Toc286144971 \h </w:instrText>
        </w:r>
        <w:r>
          <w:rPr>
            <w:webHidden/>
          </w:rPr>
        </w:r>
        <w:r>
          <w:rPr>
            <w:webHidden/>
          </w:rPr>
          <w:fldChar w:fldCharType="separate"/>
        </w:r>
        <w:r w:rsidR="007829FC">
          <w:rPr>
            <w:webHidden/>
          </w:rPr>
          <w:t>14</w:t>
        </w:r>
        <w:r>
          <w:rPr>
            <w:webHidden/>
          </w:rPr>
          <w:fldChar w:fldCharType="end"/>
        </w:r>
      </w:hyperlink>
    </w:p>
    <w:p w:rsidR="00DC5333" w:rsidRDefault="000816B7" w:rsidP="00DC5333">
      <w:pPr>
        <w:pStyle w:val="HIPTOC2"/>
        <w:rPr>
          <w:rFonts w:asciiTheme="minorHAnsi" w:eastAsiaTheme="minorEastAsia" w:hAnsiTheme="minorHAnsi" w:cstheme="minorBidi"/>
          <w:lang w:eastAsia="zh-CN"/>
        </w:rPr>
      </w:pPr>
      <w:hyperlink w:anchor="_Toc286144972" w:history="1">
        <w:r w:rsidR="00DC5333" w:rsidRPr="003C431A">
          <w:rPr>
            <w:rStyle w:val="Hyperlink"/>
          </w:rPr>
          <w:t>3.1</w:t>
        </w:r>
        <w:r w:rsidR="00DC5333">
          <w:rPr>
            <w:rStyle w:val="Hyperlink"/>
          </w:rPr>
          <w:t xml:space="preserve"> </w:t>
        </w:r>
        <w:r w:rsidR="00DC5333" w:rsidRPr="003C431A">
          <w:rPr>
            <w:rStyle w:val="Hyperlink"/>
          </w:rPr>
          <w:t>UTILIZATION OF FUNDS</w:t>
        </w:r>
        <w:r w:rsidR="00DC5333">
          <w:rPr>
            <w:webHidden/>
          </w:rPr>
          <w:tab/>
        </w:r>
        <w:r w:rsidR="00DC5333">
          <w:rPr>
            <w:webHidden/>
          </w:rPr>
          <w:tab/>
        </w:r>
        <w:r>
          <w:rPr>
            <w:webHidden/>
          </w:rPr>
          <w:fldChar w:fldCharType="begin"/>
        </w:r>
        <w:r w:rsidR="00DC5333">
          <w:rPr>
            <w:webHidden/>
          </w:rPr>
          <w:instrText xml:space="preserve"> PAGEREF _Toc286144972 \h </w:instrText>
        </w:r>
        <w:r>
          <w:rPr>
            <w:webHidden/>
          </w:rPr>
        </w:r>
        <w:r>
          <w:rPr>
            <w:webHidden/>
          </w:rPr>
          <w:fldChar w:fldCharType="separate"/>
        </w:r>
        <w:r w:rsidR="007829FC">
          <w:rPr>
            <w:webHidden/>
          </w:rPr>
          <w:t>14</w:t>
        </w:r>
        <w:r>
          <w:rPr>
            <w:webHidden/>
          </w:rPr>
          <w:fldChar w:fldCharType="end"/>
        </w:r>
      </w:hyperlink>
    </w:p>
    <w:p w:rsidR="00DC5333" w:rsidRDefault="000816B7" w:rsidP="00DC5333">
      <w:pPr>
        <w:pStyle w:val="HIPTOC3"/>
        <w:rPr>
          <w:rFonts w:asciiTheme="minorHAnsi" w:eastAsiaTheme="minorEastAsia" w:hAnsiTheme="minorHAnsi" w:cstheme="minorBidi"/>
          <w:lang w:val="en-US" w:eastAsia="zh-CN"/>
        </w:rPr>
      </w:pPr>
      <w:hyperlink w:anchor="_Toc286144973" w:history="1">
        <w:r w:rsidR="00DC5333" w:rsidRPr="003C431A">
          <w:rPr>
            <w:rStyle w:val="Hyperlink"/>
          </w:rPr>
          <w:t>3.1.1</w:t>
        </w:r>
        <w:r w:rsidR="00DC5333">
          <w:rPr>
            <w:rStyle w:val="Hyperlink"/>
          </w:rPr>
          <w:t xml:space="preserve"> </w:t>
        </w:r>
        <w:r w:rsidR="00DC5333" w:rsidRPr="003C431A">
          <w:rPr>
            <w:rStyle w:val="Hyperlink"/>
          </w:rPr>
          <w:t>Global Experience and Good Practice</w:t>
        </w:r>
        <w:r w:rsidR="00DC5333">
          <w:rPr>
            <w:webHidden/>
          </w:rPr>
          <w:tab/>
        </w:r>
        <w:r w:rsidR="00DC5333">
          <w:rPr>
            <w:webHidden/>
          </w:rPr>
          <w:tab/>
        </w:r>
        <w:r>
          <w:rPr>
            <w:webHidden/>
          </w:rPr>
          <w:fldChar w:fldCharType="begin"/>
        </w:r>
        <w:r w:rsidR="00DC5333">
          <w:rPr>
            <w:webHidden/>
          </w:rPr>
          <w:instrText xml:space="preserve"> PAGEREF _Toc286144973 \h </w:instrText>
        </w:r>
        <w:r>
          <w:rPr>
            <w:webHidden/>
          </w:rPr>
        </w:r>
        <w:r>
          <w:rPr>
            <w:webHidden/>
          </w:rPr>
          <w:fldChar w:fldCharType="separate"/>
        </w:r>
        <w:r w:rsidR="007829FC">
          <w:rPr>
            <w:webHidden/>
          </w:rPr>
          <w:t>14</w:t>
        </w:r>
        <w:r>
          <w:rPr>
            <w:webHidden/>
          </w:rPr>
          <w:fldChar w:fldCharType="end"/>
        </w:r>
      </w:hyperlink>
    </w:p>
    <w:p w:rsidR="00DC5333" w:rsidRDefault="000816B7" w:rsidP="00DC5333">
      <w:pPr>
        <w:pStyle w:val="HIPTOC3"/>
        <w:rPr>
          <w:rFonts w:asciiTheme="minorHAnsi" w:eastAsiaTheme="minorEastAsia" w:hAnsiTheme="minorHAnsi" w:cstheme="minorBidi"/>
          <w:lang w:val="en-US" w:eastAsia="zh-CN"/>
        </w:rPr>
      </w:pPr>
      <w:hyperlink w:anchor="_Toc286144974" w:history="1">
        <w:r w:rsidR="00DC5333" w:rsidRPr="003C431A">
          <w:rPr>
            <w:rStyle w:val="Hyperlink"/>
          </w:rPr>
          <w:t>3.1.2</w:t>
        </w:r>
        <w:r w:rsidR="00DC5333">
          <w:rPr>
            <w:rStyle w:val="Hyperlink"/>
          </w:rPr>
          <w:t xml:space="preserve"> </w:t>
        </w:r>
        <w:r w:rsidR="00DC5333" w:rsidRPr="003C431A">
          <w:rPr>
            <w:rStyle w:val="Hyperlink"/>
          </w:rPr>
          <w:t>SADC Experience</w:t>
        </w:r>
        <w:r w:rsidR="00DC5333">
          <w:rPr>
            <w:webHidden/>
          </w:rPr>
          <w:tab/>
        </w:r>
        <w:r w:rsidR="00DC5333">
          <w:rPr>
            <w:webHidden/>
          </w:rPr>
          <w:tab/>
        </w:r>
        <w:r>
          <w:rPr>
            <w:webHidden/>
          </w:rPr>
          <w:fldChar w:fldCharType="begin"/>
        </w:r>
        <w:r w:rsidR="00DC5333">
          <w:rPr>
            <w:webHidden/>
          </w:rPr>
          <w:instrText xml:space="preserve"> PAGEREF _Toc286144974 \h </w:instrText>
        </w:r>
        <w:r>
          <w:rPr>
            <w:webHidden/>
          </w:rPr>
        </w:r>
        <w:r>
          <w:rPr>
            <w:webHidden/>
          </w:rPr>
          <w:fldChar w:fldCharType="separate"/>
        </w:r>
        <w:r w:rsidR="007829FC">
          <w:rPr>
            <w:webHidden/>
          </w:rPr>
          <w:t>14</w:t>
        </w:r>
        <w:r>
          <w:rPr>
            <w:webHidden/>
          </w:rPr>
          <w:fldChar w:fldCharType="end"/>
        </w:r>
      </w:hyperlink>
    </w:p>
    <w:p w:rsidR="00DC5333" w:rsidRDefault="000816B7" w:rsidP="00DC5333">
      <w:pPr>
        <w:pStyle w:val="HIPTOC2"/>
        <w:rPr>
          <w:rFonts w:asciiTheme="minorHAnsi" w:eastAsiaTheme="minorEastAsia" w:hAnsiTheme="minorHAnsi" w:cstheme="minorBidi"/>
          <w:lang w:eastAsia="zh-CN"/>
        </w:rPr>
      </w:pPr>
      <w:hyperlink w:anchor="_Toc286144975" w:history="1">
        <w:r w:rsidR="00DC5333" w:rsidRPr="003C431A">
          <w:rPr>
            <w:rStyle w:val="Hyperlink"/>
          </w:rPr>
          <w:t>3.2</w:t>
        </w:r>
        <w:r w:rsidR="00DC5333">
          <w:rPr>
            <w:rStyle w:val="Hyperlink"/>
          </w:rPr>
          <w:t xml:space="preserve"> </w:t>
        </w:r>
        <w:r w:rsidR="00DC5333" w:rsidRPr="003C431A">
          <w:rPr>
            <w:rStyle w:val="Hyperlink"/>
          </w:rPr>
          <w:t>DEVELOPING PROGRAMMES AND PROJECTS</w:t>
        </w:r>
        <w:r w:rsidR="00DC5333">
          <w:rPr>
            <w:webHidden/>
          </w:rPr>
          <w:tab/>
        </w:r>
        <w:r w:rsidR="00DC5333">
          <w:rPr>
            <w:webHidden/>
          </w:rPr>
          <w:tab/>
        </w:r>
        <w:r>
          <w:rPr>
            <w:webHidden/>
          </w:rPr>
          <w:fldChar w:fldCharType="begin"/>
        </w:r>
        <w:r w:rsidR="00DC5333">
          <w:rPr>
            <w:webHidden/>
          </w:rPr>
          <w:instrText xml:space="preserve"> PAGEREF _Toc286144975 \h </w:instrText>
        </w:r>
        <w:r>
          <w:rPr>
            <w:webHidden/>
          </w:rPr>
        </w:r>
        <w:r>
          <w:rPr>
            <w:webHidden/>
          </w:rPr>
          <w:fldChar w:fldCharType="separate"/>
        </w:r>
        <w:r w:rsidR="007829FC">
          <w:rPr>
            <w:webHidden/>
          </w:rPr>
          <w:t>14</w:t>
        </w:r>
        <w:r>
          <w:rPr>
            <w:webHidden/>
          </w:rPr>
          <w:fldChar w:fldCharType="end"/>
        </w:r>
      </w:hyperlink>
    </w:p>
    <w:p w:rsidR="00DC5333" w:rsidRDefault="000816B7" w:rsidP="00DC5333">
      <w:pPr>
        <w:pStyle w:val="HIPTOC3"/>
        <w:rPr>
          <w:rFonts w:asciiTheme="minorHAnsi" w:eastAsiaTheme="minorEastAsia" w:hAnsiTheme="minorHAnsi" w:cstheme="minorBidi"/>
          <w:lang w:val="en-US" w:eastAsia="zh-CN"/>
        </w:rPr>
      </w:pPr>
      <w:hyperlink w:anchor="_Toc286144976" w:history="1">
        <w:r w:rsidR="00DC5333" w:rsidRPr="003C431A">
          <w:rPr>
            <w:rStyle w:val="Hyperlink"/>
          </w:rPr>
          <w:t>3.2.1</w:t>
        </w:r>
        <w:r w:rsidR="00DC5333">
          <w:rPr>
            <w:rStyle w:val="Hyperlink"/>
          </w:rPr>
          <w:t xml:space="preserve"> </w:t>
        </w:r>
        <w:r w:rsidR="00DC5333" w:rsidRPr="003C431A">
          <w:rPr>
            <w:rStyle w:val="Hyperlink"/>
          </w:rPr>
          <w:t>Global Experience and Good Practice</w:t>
        </w:r>
        <w:r w:rsidR="00DC5333">
          <w:rPr>
            <w:webHidden/>
          </w:rPr>
          <w:tab/>
        </w:r>
        <w:r w:rsidR="00DC5333">
          <w:rPr>
            <w:webHidden/>
          </w:rPr>
          <w:tab/>
        </w:r>
        <w:r>
          <w:rPr>
            <w:webHidden/>
          </w:rPr>
          <w:fldChar w:fldCharType="begin"/>
        </w:r>
        <w:r w:rsidR="00DC5333">
          <w:rPr>
            <w:webHidden/>
          </w:rPr>
          <w:instrText xml:space="preserve"> PAGEREF _Toc286144976 \h </w:instrText>
        </w:r>
        <w:r>
          <w:rPr>
            <w:webHidden/>
          </w:rPr>
        </w:r>
        <w:r>
          <w:rPr>
            <w:webHidden/>
          </w:rPr>
          <w:fldChar w:fldCharType="separate"/>
        </w:r>
        <w:r w:rsidR="007829FC">
          <w:rPr>
            <w:webHidden/>
          </w:rPr>
          <w:t>14</w:t>
        </w:r>
        <w:r>
          <w:rPr>
            <w:webHidden/>
          </w:rPr>
          <w:fldChar w:fldCharType="end"/>
        </w:r>
      </w:hyperlink>
    </w:p>
    <w:p w:rsidR="00DC5333" w:rsidRDefault="000816B7" w:rsidP="00DC5333">
      <w:pPr>
        <w:pStyle w:val="HIPTOC2"/>
        <w:rPr>
          <w:rFonts w:asciiTheme="minorHAnsi" w:eastAsiaTheme="minorEastAsia" w:hAnsiTheme="minorHAnsi" w:cstheme="minorBidi"/>
          <w:lang w:eastAsia="zh-CN"/>
        </w:rPr>
      </w:pPr>
      <w:hyperlink w:anchor="_Toc286144977" w:history="1">
        <w:r w:rsidR="00DC5333" w:rsidRPr="003C431A">
          <w:rPr>
            <w:rStyle w:val="Hyperlink"/>
          </w:rPr>
          <w:t>3.3</w:t>
        </w:r>
        <w:r w:rsidR="00DC5333">
          <w:rPr>
            <w:rStyle w:val="Hyperlink"/>
          </w:rPr>
          <w:t xml:space="preserve"> </w:t>
        </w:r>
        <w:r w:rsidR="00DC5333" w:rsidRPr="003C431A">
          <w:rPr>
            <w:rStyle w:val="Hyperlink"/>
          </w:rPr>
          <w:t>PROJECT DESIGN</w:t>
        </w:r>
        <w:r w:rsidR="00DC5333">
          <w:rPr>
            <w:webHidden/>
          </w:rPr>
          <w:tab/>
        </w:r>
        <w:r w:rsidR="00DC5333">
          <w:rPr>
            <w:webHidden/>
          </w:rPr>
          <w:tab/>
        </w:r>
        <w:r>
          <w:rPr>
            <w:webHidden/>
          </w:rPr>
          <w:fldChar w:fldCharType="begin"/>
        </w:r>
        <w:r w:rsidR="00DC5333">
          <w:rPr>
            <w:webHidden/>
          </w:rPr>
          <w:instrText xml:space="preserve"> PAGEREF _Toc286144977 \h </w:instrText>
        </w:r>
        <w:r>
          <w:rPr>
            <w:webHidden/>
          </w:rPr>
        </w:r>
        <w:r>
          <w:rPr>
            <w:webHidden/>
          </w:rPr>
          <w:fldChar w:fldCharType="separate"/>
        </w:r>
        <w:r w:rsidR="007829FC">
          <w:rPr>
            <w:webHidden/>
          </w:rPr>
          <w:t>14</w:t>
        </w:r>
        <w:r>
          <w:rPr>
            <w:webHidden/>
          </w:rPr>
          <w:fldChar w:fldCharType="end"/>
        </w:r>
      </w:hyperlink>
    </w:p>
    <w:p w:rsidR="00DC5333" w:rsidRDefault="000816B7" w:rsidP="00DC5333">
      <w:pPr>
        <w:pStyle w:val="HIPTOC3"/>
        <w:rPr>
          <w:rFonts w:asciiTheme="minorHAnsi" w:eastAsiaTheme="minorEastAsia" w:hAnsiTheme="minorHAnsi" w:cstheme="minorBidi"/>
          <w:lang w:eastAsia="zh-CN"/>
        </w:rPr>
      </w:pPr>
      <w:hyperlink w:anchor="_Toc286144978" w:history="1">
        <w:r w:rsidR="00DC5333" w:rsidRPr="003C431A">
          <w:rPr>
            <w:rStyle w:val="Hyperlink"/>
          </w:rPr>
          <w:t>3.3.1</w:t>
        </w:r>
        <w:r w:rsidR="00DC5333">
          <w:rPr>
            <w:rStyle w:val="Hyperlink"/>
          </w:rPr>
          <w:t xml:space="preserve"> </w:t>
        </w:r>
        <w:r w:rsidR="00DC5333" w:rsidRPr="003C431A">
          <w:rPr>
            <w:rStyle w:val="Hyperlink"/>
          </w:rPr>
          <w:t>Global Experience and Good Practice</w:t>
        </w:r>
        <w:r w:rsidR="00DC5333">
          <w:rPr>
            <w:webHidden/>
          </w:rPr>
          <w:tab/>
        </w:r>
        <w:r w:rsidR="00DC5333">
          <w:rPr>
            <w:webHidden/>
          </w:rPr>
          <w:tab/>
        </w:r>
        <w:r>
          <w:rPr>
            <w:webHidden/>
          </w:rPr>
          <w:fldChar w:fldCharType="begin"/>
        </w:r>
        <w:r w:rsidR="00DC5333">
          <w:rPr>
            <w:webHidden/>
          </w:rPr>
          <w:instrText xml:space="preserve"> PAGEREF _Toc286144978 \h </w:instrText>
        </w:r>
        <w:r>
          <w:rPr>
            <w:webHidden/>
          </w:rPr>
        </w:r>
        <w:r>
          <w:rPr>
            <w:webHidden/>
          </w:rPr>
          <w:fldChar w:fldCharType="separate"/>
        </w:r>
        <w:r w:rsidR="007829FC">
          <w:rPr>
            <w:webHidden/>
          </w:rPr>
          <w:t>14</w:t>
        </w:r>
        <w:r>
          <w:rPr>
            <w:webHidden/>
          </w:rPr>
          <w:fldChar w:fldCharType="end"/>
        </w:r>
      </w:hyperlink>
    </w:p>
    <w:p w:rsidR="00DC5333" w:rsidRPr="00805791" w:rsidRDefault="00DC5333" w:rsidP="00DC5333">
      <w:pPr>
        <w:pStyle w:val="HIPTOC0"/>
        <w:keepNext/>
      </w:pPr>
      <w:r w:rsidRPr="00805791">
        <w:lastRenderedPageBreak/>
        <w:tab/>
        <w:t>Page</w:t>
      </w:r>
    </w:p>
    <w:p w:rsidR="00DC5333" w:rsidRDefault="000816B7" w:rsidP="00DC5333">
      <w:pPr>
        <w:pStyle w:val="HIPTOC2"/>
        <w:keepNext/>
        <w:rPr>
          <w:rFonts w:asciiTheme="minorHAnsi" w:eastAsiaTheme="minorEastAsia" w:hAnsiTheme="minorHAnsi" w:cstheme="minorBidi"/>
          <w:lang w:eastAsia="zh-CN"/>
        </w:rPr>
      </w:pPr>
      <w:hyperlink w:anchor="_Toc286144979" w:history="1">
        <w:r w:rsidR="00DC5333" w:rsidRPr="003C431A">
          <w:rPr>
            <w:rStyle w:val="Hyperlink"/>
          </w:rPr>
          <w:t>3.4</w:t>
        </w:r>
        <w:r w:rsidR="00DC5333">
          <w:rPr>
            <w:rStyle w:val="Hyperlink"/>
          </w:rPr>
          <w:t xml:space="preserve"> </w:t>
        </w:r>
        <w:r w:rsidR="00DC5333" w:rsidRPr="003C431A">
          <w:rPr>
            <w:rStyle w:val="Hyperlink"/>
          </w:rPr>
          <w:t>TYPES OF PROJECTS</w:t>
        </w:r>
        <w:r w:rsidR="00DC5333">
          <w:rPr>
            <w:webHidden/>
          </w:rPr>
          <w:tab/>
        </w:r>
        <w:r w:rsidR="00DC5333">
          <w:rPr>
            <w:webHidden/>
          </w:rPr>
          <w:tab/>
        </w:r>
        <w:r>
          <w:rPr>
            <w:webHidden/>
          </w:rPr>
          <w:fldChar w:fldCharType="begin"/>
        </w:r>
        <w:r w:rsidR="00DC5333">
          <w:rPr>
            <w:webHidden/>
          </w:rPr>
          <w:instrText xml:space="preserve"> PAGEREF _Toc286144979 \h </w:instrText>
        </w:r>
        <w:r>
          <w:rPr>
            <w:webHidden/>
          </w:rPr>
        </w:r>
        <w:r>
          <w:rPr>
            <w:webHidden/>
          </w:rPr>
          <w:fldChar w:fldCharType="separate"/>
        </w:r>
        <w:r w:rsidR="007829FC">
          <w:rPr>
            <w:webHidden/>
          </w:rPr>
          <w:t>14</w:t>
        </w:r>
        <w:r>
          <w:rPr>
            <w:webHidden/>
          </w:rPr>
          <w:fldChar w:fldCharType="end"/>
        </w:r>
      </w:hyperlink>
    </w:p>
    <w:p w:rsidR="00DC5333" w:rsidRDefault="000816B7" w:rsidP="00DC5333">
      <w:pPr>
        <w:pStyle w:val="HIPTOC3"/>
        <w:rPr>
          <w:rFonts w:asciiTheme="minorHAnsi" w:eastAsiaTheme="minorEastAsia" w:hAnsiTheme="minorHAnsi" w:cstheme="minorBidi"/>
          <w:lang w:val="en-US" w:eastAsia="zh-CN"/>
        </w:rPr>
      </w:pPr>
      <w:hyperlink w:anchor="_Toc286144980" w:history="1">
        <w:r w:rsidR="00DC5333" w:rsidRPr="003C431A">
          <w:rPr>
            <w:rStyle w:val="Hyperlink"/>
          </w:rPr>
          <w:t>3.4.1</w:t>
        </w:r>
        <w:r w:rsidR="00DC5333">
          <w:rPr>
            <w:rStyle w:val="Hyperlink"/>
          </w:rPr>
          <w:t xml:space="preserve"> </w:t>
        </w:r>
        <w:r w:rsidR="00DC5333" w:rsidRPr="003C431A">
          <w:rPr>
            <w:rStyle w:val="Hyperlink"/>
          </w:rPr>
          <w:t>Infrastructure Projects</w:t>
        </w:r>
        <w:r w:rsidR="00DC5333">
          <w:rPr>
            <w:webHidden/>
          </w:rPr>
          <w:tab/>
        </w:r>
        <w:r w:rsidR="00DC5333">
          <w:rPr>
            <w:webHidden/>
          </w:rPr>
          <w:tab/>
        </w:r>
        <w:r>
          <w:rPr>
            <w:webHidden/>
          </w:rPr>
          <w:fldChar w:fldCharType="begin"/>
        </w:r>
        <w:r w:rsidR="00DC5333">
          <w:rPr>
            <w:webHidden/>
          </w:rPr>
          <w:instrText xml:space="preserve"> PAGEREF _Toc286144980 \h </w:instrText>
        </w:r>
        <w:r>
          <w:rPr>
            <w:webHidden/>
          </w:rPr>
        </w:r>
        <w:r>
          <w:rPr>
            <w:webHidden/>
          </w:rPr>
          <w:fldChar w:fldCharType="separate"/>
        </w:r>
        <w:r w:rsidR="007829FC">
          <w:rPr>
            <w:webHidden/>
          </w:rPr>
          <w:t>14</w:t>
        </w:r>
        <w:r>
          <w:rPr>
            <w:webHidden/>
          </w:rPr>
          <w:fldChar w:fldCharType="end"/>
        </w:r>
      </w:hyperlink>
    </w:p>
    <w:p w:rsidR="00DC5333" w:rsidRDefault="000816B7" w:rsidP="00DC5333">
      <w:pPr>
        <w:pStyle w:val="HIPTOC3"/>
        <w:rPr>
          <w:rFonts w:asciiTheme="minorHAnsi" w:eastAsiaTheme="minorEastAsia" w:hAnsiTheme="minorHAnsi" w:cstheme="minorBidi"/>
          <w:lang w:val="en-US" w:eastAsia="zh-CN"/>
        </w:rPr>
      </w:pPr>
      <w:hyperlink w:anchor="_Toc286144981" w:history="1">
        <w:r w:rsidR="00DC5333" w:rsidRPr="003C431A">
          <w:rPr>
            <w:rStyle w:val="Hyperlink"/>
          </w:rPr>
          <w:t>3.4.2</w:t>
        </w:r>
        <w:r w:rsidR="00DC5333">
          <w:rPr>
            <w:rStyle w:val="Hyperlink"/>
          </w:rPr>
          <w:t xml:space="preserve"> </w:t>
        </w:r>
        <w:r w:rsidR="00DC5333" w:rsidRPr="003C431A">
          <w:rPr>
            <w:rStyle w:val="Hyperlink"/>
          </w:rPr>
          <w:t>School and Library Connectivity Projects</w:t>
        </w:r>
        <w:r w:rsidR="00DC5333">
          <w:rPr>
            <w:webHidden/>
          </w:rPr>
          <w:tab/>
        </w:r>
        <w:r w:rsidR="00DC5333">
          <w:rPr>
            <w:webHidden/>
          </w:rPr>
          <w:tab/>
        </w:r>
        <w:r>
          <w:rPr>
            <w:webHidden/>
          </w:rPr>
          <w:fldChar w:fldCharType="begin"/>
        </w:r>
        <w:r w:rsidR="00DC5333">
          <w:rPr>
            <w:webHidden/>
          </w:rPr>
          <w:instrText xml:space="preserve"> PAGEREF _Toc286144981 \h </w:instrText>
        </w:r>
        <w:r>
          <w:rPr>
            <w:webHidden/>
          </w:rPr>
        </w:r>
        <w:r>
          <w:rPr>
            <w:webHidden/>
          </w:rPr>
          <w:fldChar w:fldCharType="separate"/>
        </w:r>
        <w:r w:rsidR="007829FC">
          <w:rPr>
            <w:webHidden/>
          </w:rPr>
          <w:t>14</w:t>
        </w:r>
        <w:r>
          <w:rPr>
            <w:webHidden/>
          </w:rPr>
          <w:fldChar w:fldCharType="end"/>
        </w:r>
      </w:hyperlink>
    </w:p>
    <w:p w:rsidR="00DC5333" w:rsidRDefault="000816B7" w:rsidP="00DC5333">
      <w:pPr>
        <w:pStyle w:val="HIPTOC3"/>
        <w:rPr>
          <w:rFonts w:asciiTheme="minorHAnsi" w:eastAsiaTheme="minorEastAsia" w:hAnsiTheme="minorHAnsi" w:cstheme="minorBidi"/>
          <w:lang w:val="en-US" w:eastAsia="zh-CN"/>
        </w:rPr>
      </w:pPr>
      <w:hyperlink w:anchor="_Toc286144982" w:history="1">
        <w:r w:rsidR="00DC5333" w:rsidRPr="003C431A">
          <w:rPr>
            <w:rStyle w:val="Hyperlink"/>
          </w:rPr>
          <w:t>3.4.3</w:t>
        </w:r>
        <w:r w:rsidR="00DC5333">
          <w:rPr>
            <w:rStyle w:val="Hyperlink"/>
          </w:rPr>
          <w:t xml:space="preserve"> </w:t>
        </w:r>
        <w:r w:rsidR="00DC5333" w:rsidRPr="003C431A">
          <w:rPr>
            <w:rStyle w:val="Hyperlink"/>
          </w:rPr>
          <w:t>Telecentres/Cybercafe/Information Access Points (“Community Access Projects)</w:t>
        </w:r>
        <w:r w:rsidR="00DC5333">
          <w:rPr>
            <w:webHidden/>
          </w:rPr>
          <w:tab/>
        </w:r>
        <w:r w:rsidR="00DC5333">
          <w:rPr>
            <w:webHidden/>
          </w:rPr>
          <w:tab/>
        </w:r>
        <w:r>
          <w:rPr>
            <w:webHidden/>
          </w:rPr>
          <w:fldChar w:fldCharType="begin"/>
        </w:r>
        <w:r w:rsidR="00DC5333">
          <w:rPr>
            <w:webHidden/>
          </w:rPr>
          <w:instrText xml:space="preserve"> PAGEREF _Toc286144982 \h </w:instrText>
        </w:r>
        <w:r>
          <w:rPr>
            <w:webHidden/>
          </w:rPr>
        </w:r>
        <w:r>
          <w:rPr>
            <w:webHidden/>
          </w:rPr>
          <w:fldChar w:fldCharType="separate"/>
        </w:r>
        <w:r w:rsidR="007829FC">
          <w:rPr>
            <w:webHidden/>
          </w:rPr>
          <w:t>14</w:t>
        </w:r>
        <w:r>
          <w:rPr>
            <w:webHidden/>
          </w:rPr>
          <w:fldChar w:fldCharType="end"/>
        </w:r>
      </w:hyperlink>
    </w:p>
    <w:p w:rsidR="00DC5333" w:rsidRDefault="000816B7" w:rsidP="00DC5333">
      <w:pPr>
        <w:pStyle w:val="HIPTOC3"/>
        <w:rPr>
          <w:rFonts w:asciiTheme="minorHAnsi" w:eastAsiaTheme="minorEastAsia" w:hAnsiTheme="minorHAnsi" w:cstheme="minorBidi"/>
          <w:lang w:val="en-US" w:eastAsia="zh-CN"/>
        </w:rPr>
      </w:pPr>
      <w:hyperlink w:anchor="_Toc286144983" w:history="1">
        <w:r w:rsidR="00DC5333" w:rsidRPr="003C431A">
          <w:rPr>
            <w:rStyle w:val="Hyperlink"/>
          </w:rPr>
          <w:t>3.4.4</w:t>
        </w:r>
        <w:r w:rsidR="00DC5333">
          <w:rPr>
            <w:rStyle w:val="Hyperlink"/>
          </w:rPr>
          <w:t xml:space="preserve"> </w:t>
        </w:r>
        <w:r w:rsidR="00DC5333" w:rsidRPr="003C431A">
          <w:rPr>
            <w:rStyle w:val="Hyperlink"/>
          </w:rPr>
          <w:t>Content and Applications Projects</w:t>
        </w:r>
        <w:r w:rsidR="00DC5333">
          <w:rPr>
            <w:webHidden/>
          </w:rPr>
          <w:tab/>
        </w:r>
        <w:r w:rsidR="00DC5333">
          <w:rPr>
            <w:webHidden/>
          </w:rPr>
          <w:tab/>
        </w:r>
        <w:r>
          <w:rPr>
            <w:webHidden/>
          </w:rPr>
          <w:fldChar w:fldCharType="begin"/>
        </w:r>
        <w:r w:rsidR="00DC5333">
          <w:rPr>
            <w:webHidden/>
          </w:rPr>
          <w:instrText xml:space="preserve"> PAGEREF _Toc286144983 \h </w:instrText>
        </w:r>
        <w:r>
          <w:rPr>
            <w:webHidden/>
          </w:rPr>
        </w:r>
        <w:r>
          <w:rPr>
            <w:webHidden/>
          </w:rPr>
          <w:fldChar w:fldCharType="separate"/>
        </w:r>
        <w:r w:rsidR="007829FC">
          <w:rPr>
            <w:webHidden/>
          </w:rPr>
          <w:t>14</w:t>
        </w:r>
        <w:r>
          <w:rPr>
            <w:webHidden/>
          </w:rPr>
          <w:fldChar w:fldCharType="end"/>
        </w:r>
      </w:hyperlink>
    </w:p>
    <w:p w:rsidR="00DC5333" w:rsidRDefault="000816B7" w:rsidP="00DC5333">
      <w:pPr>
        <w:pStyle w:val="HIPTOC3"/>
        <w:rPr>
          <w:rFonts w:asciiTheme="minorHAnsi" w:eastAsiaTheme="minorEastAsia" w:hAnsiTheme="minorHAnsi" w:cstheme="minorBidi"/>
          <w:lang w:val="en-US" w:eastAsia="zh-CN"/>
        </w:rPr>
      </w:pPr>
      <w:hyperlink w:anchor="_Toc286144984" w:history="1">
        <w:r w:rsidR="00DC5333" w:rsidRPr="003C431A">
          <w:rPr>
            <w:rStyle w:val="Hyperlink"/>
          </w:rPr>
          <w:t>3.4.5</w:t>
        </w:r>
        <w:r w:rsidR="00DC5333">
          <w:rPr>
            <w:rStyle w:val="Hyperlink"/>
          </w:rPr>
          <w:t xml:space="preserve"> </w:t>
        </w:r>
        <w:r w:rsidR="00DC5333" w:rsidRPr="003C431A">
          <w:rPr>
            <w:rStyle w:val="Hyperlink"/>
          </w:rPr>
          <w:t>Pilot Projects</w:t>
        </w:r>
        <w:r w:rsidR="00DC5333">
          <w:rPr>
            <w:webHidden/>
          </w:rPr>
          <w:tab/>
        </w:r>
        <w:r w:rsidR="00DC5333">
          <w:rPr>
            <w:webHidden/>
          </w:rPr>
          <w:tab/>
        </w:r>
        <w:r>
          <w:rPr>
            <w:webHidden/>
          </w:rPr>
          <w:fldChar w:fldCharType="begin"/>
        </w:r>
        <w:r w:rsidR="00DC5333">
          <w:rPr>
            <w:webHidden/>
          </w:rPr>
          <w:instrText xml:space="preserve"> PAGEREF _Toc286144984 \h </w:instrText>
        </w:r>
        <w:r>
          <w:rPr>
            <w:webHidden/>
          </w:rPr>
        </w:r>
        <w:r>
          <w:rPr>
            <w:webHidden/>
          </w:rPr>
          <w:fldChar w:fldCharType="separate"/>
        </w:r>
        <w:r w:rsidR="007829FC">
          <w:rPr>
            <w:webHidden/>
          </w:rPr>
          <w:t>14</w:t>
        </w:r>
        <w:r>
          <w:rPr>
            <w:webHidden/>
          </w:rPr>
          <w:fldChar w:fldCharType="end"/>
        </w:r>
      </w:hyperlink>
    </w:p>
    <w:p w:rsidR="00DC5333" w:rsidRDefault="000816B7" w:rsidP="00DC5333">
      <w:pPr>
        <w:pStyle w:val="HIPTOC2"/>
        <w:rPr>
          <w:rFonts w:asciiTheme="minorHAnsi" w:eastAsiaTheme="minorEastAsia" w:hAnsiTheme="minorHAnsi" w:cstheme="minorBidi"/>
          <w:lang w:eastAsia="zh-CN"/>
        </w:rPr>
      </w:pPr>
      <w:hyperlink w:anchor="_Toc286144985" w:history="1">
        <w:r w:rsidR="00DC5333" w:rsidRPr="003C431A">
          <w:rPr>
            <w:rStyle w:val="Hyperlink"/>
          </w:rPr>
          <w:t>3.5</w:t>
        </w:r>
        <w:r w:rsidR="00DC5333">
          <w:rPr>
            <w:rStyle w:val="Hyperlink"/>
          </w:rPr>
          <w:t xml:space="preserve"> </w:t>
        </w:r>
        <w:r w:rsidR="00DC5333" w:rsidRPr="003C431A">
          <w:rPr>
            <w:rStyle w:val="Hyperlink"/>
          </w:rPr>
          <w:t>CALCULATING THE COSTS OF UNIVERSAL SERVICE AND ACCESS</w:t>
        </w:r>
        <w:r w:rsidR="00DC5333">
          <w:rPr>
            <w:webHidden/>
          </w:rPr>
          <w:tab/>
        </w:r>
        <w:r w:rsidR="00DC5333">
          <w:rPr>
            <w:webHidden/>
          </w:rPr>
          <w:tab/>
        </w:r>
        <w:r>
          <w:rPr>
            <w:webHidden/>
          </w:rPr>
          <w:fldChar w:fldCharType="begin"/>
        </w:r>
        <w:r w:rsidR="00DC5333">
          <w:rPr>
            <w:webHidden/>
          </w:rPr>
          <w:instrText xml:space="preserve"> PAGEREF _Toc286144985 \h </w:instrText>
        </w:r>
        <w:r>
          <w:rPr>
            <w:webHidden/>
          </w:rPr>
        </w:r>
        <w:r>
          <w:rPr>
            <w:webHidden/>
          </w:rPr>
          <w:fldChar w:fldCharType="separate"/>
        </w:r>
        <w:r w:rsidR="007829FC">
          <w:rPr>
            <w:webHidden/>
          </w:rPr>
          <w:t>14</w:t>
        </w:r>
        <w:r>
          <w:rPr>
            <w:webHidden/>
          </w:rPr>
          <w:fldChar w:fldCharType="end"/>
        </w:r>
      </w:hyperlink>
    </w:p>
    <w:p w:rsidR="00DC5333" w:rsidRDefault="000816B7" w:rsidP="00DC5333">
      <w:pPr>
        <w:pStyle w:val="HIPTOC3"/>
        <w:rPr>
          <w:rFonts w:asciiTheme="minorHAnsi" w:eastAsiaTheme="minorEastAsia" w:hAnsiTheme="minorHAnsi" w:cstheme="minorBidi"/>
          <w:lang w:val="en-US" w:eastAsia="zh-CN"/>
        </w:rPr>
      </w:pPr>
      <w:hyperlink w:anchor="_Toc286144986" w:history="1">
        <w:r w:rsidR="00DC5333" w:rsidRPr="003C431A">
          <w:rPr>
            <w:rStyle w:val="Hyperlink"/>
          </w:rPr>
          <w:t>3.5.1</w:t>
        </w:r>
        <w:r w:rsidR="00DC5333">
          <w:rPr>
            <w:rStyle w:val="Hyperlink"/>
          </w:rPr>
          <w:t xml:space="preserve"> </w:t>
        </w:r>
        <w:r w:rsidR="00DC5333" w:rsidRPr="003C431A">
          <w:rPr>
            <w:rStyle w:val="Hyperlink"/>
          </w:rPr>
          <w:t>Cost Modeling – Global Experience and Good Practice</w:t>
        </w:r>
        <w:r w:rsidR="00DC5333">
          <w:rPr>
            <w:webHidden/>
          </w:rPr>
          <w:tab/>
        </w:r>
        <w:r w:rsidR="00DC5333">
          <w:rPr>
            <w:webHidden/>
          </w:rPr>
          <w:tab/>
        </w:r>
        <w:r>
          <w:rPr>
            <w:webHidden/>
          </w:rPr>
          <w:fldChar w:fldCharType="begin"/>
        </w:r>
        <w:r w:rsidR="00DC5333">
          <w:rPr>
            <w:webHidden/>
          </w:rPr>
          <w:instrText xml:space="preserve"> PAGEREF _Toc286144986 \h </w:instrText>
        </w:r>
        <w:r>
          <w:rPr>
            <w:webHidden/>
          </w:rPr>
        </w:r>
        <w:r>
          <w:rPr>
            <w:webHidden/>
          </w:rPr>
          <w:fldChar w:fldCharType="separate"/>
        </w:r>
        <w:r w:rsidR="007829FC">
          <w:rPr>
            <w:webHidden/>
          </w:rPr>
          <w:t>14</w:t>
        </w:r>
        <w:r>
          <w:rPr>
            <w:webHidden/>
          </w:rPr>
          <w:fldChar w:fldCharType="end"/>
        </w:r>
      </w:hyperlink>
    </w:p>
    <w:p w:rsidR="00DC5333" w:rsidRDefault="000816B7" w:rsidP="00DC5333">
      <w:pPr>
        <w:pStyle w:val="HIPTOC3"/>
        <w:rPr>
          <w:rFonts w:asciiTheme="minorHAnsi" w:eastAsiaTheme="minorEastAsia" w:hAnsiTheme="minorHAnsi" w:cstheme="minorBidi"/>
          <w:lang w:val="en-US" w:eastAsia="zh-CN"/>
        </w:rPr>
      </w:pPr>
      <w:hyperlink w:anchor="_Toc286144987" w:history="1">
        <w:r w:rsidR="00DC5333" w:rsidRPr="003C431A">
          <w:rPr>
            <w:rStyle w:val="Hyperlink"/>
          </w:rPr>
          <w:t>3.5.2</w:t>
        </w:r>
        <w:r w:rsidR="00DC5333">
          <w:rPr>
            <w:rStyle w:val="Hyperlink"/>
          </w:rPr>
          <w:t xml:space="preserve"> </w:t>
        </w:r>
        <w:r w:rsidR="00DC5333" w:rsidRPr="003C431A">
          <w:rPr>
            <w:rStyle w:val="Hyperlink"/>
          </w:rPr>
          <w:t>SADC Experience</w:t>
        </w:r>
        <w:r w:rsidR="00DC5333">
          <w:rPr>
            <w:webHidden/>
          </w:rPr>
          <w:tab/>
        </w:r>
        <w:r w:rsidR="00DC5333">
          <w:rPr>
            <w:webHidden/>
          </w:rPr>
          <w:tab/>
        </w:r>
        <w:r>
          <w:rPr>
            <w:webHidden/>
          </w:rPr>
          <w:fldChar w:fldCharType="begin"/>
        </w:r>
        <w:r w:rsidR="00DC5333">
          <w:rPr>
            <w:webHidden/>
          </w:rPr>
          <w:instrText xml:space="preserve"> PAGEREF _Toc286144987 \h </w:instrText>
        </w:r>
        <w:r>
          <w:rPr>
            <w:webHidden/>
          </w:rPr>
        </w:r>
        <w:r>
          <w:rPr>
            <w:webHidden/>
          </w:rPr>
          <w:fldChar w:fldCharType="separate"/>
        </w:r>
        <w:r w:rsidR="007829FC">
          <w:rPr>
            <w:webHidden/>
          </w:rPr>
          <w:t>14</w:t>
        </w:r>
        <w:r>
          <w:rPr>
            <w:webHidden/>
          </w:rPr>
          <w:fldChar w:fldCharType="end"/>
        </w:r>
      </w:hyperlink>
    </w:p>
    <w:p w:rsidR="00DC5333" w:rsidRDefault="000816B7" w:rsidP="00DC5333">
      <w:pPr>
        <w:pStyle w:val="HIPTOC2"/>
        <w:rPr>
          <w:rFonts w:asciiTheme="minorHAnsi" w:eastAsiaTheme="minorEastAsia" w:hAnsiTheme="minorHAnsi" w:cstheme="minorBidi"/>
          <w:lang w:eastAsia="zh-CN"/>
        </w:rPr>
      </w:pPr>
      <w:hyperlink w:anchor="_Toc286144988" w:history="1">
        <w:r w:rsidR="00DC5333" w:rsidRPr="003C431A">
          <w:rPr>
            <w:rStyle w:val="Hyperlink"/>
          </w:rPr>
          <w:t>3.6</w:t>
        </w:r>
        <w:r w:rsidR="00DC5333">
          <w:rPr>
            <w:rStyle w:val="Hyperlink"/>
          </w:rPr>
          <w:t xml:space="preserve"> </w:t>
        </w:r>
        <w:r w:rsidR="00DC5333" w:rsidRPr="003C431A">
          <w:rPr>
            <w:rStyle w:val="Hyperlink"/>
          </w:rPr>
          <w:t>ELIGIBILITY CRITERIA</w:t>
        </w:r>
        <w:r w:rsidR="00DC5333">
          <w:rPr>
            <w:webHidden/>
          </w:rPr>
          <w:tab/>
        </w:r>
        <w:r w:rsidR="00DC5333">
          <w:rPr>
            <w:webHidden/>
          </w:rPr>
          <w:tab/>
        </w:r>
        <w:r>
          <w:rPr>
            <w:webHidden/>
          </w:rPr>
          <w:fldChar w:fldCharType="begin"/>
        </w:r>
        <w:r w:rsidR="00DC5333">
          <w:rPr>
            <w:webHidden/>
          </w:rPr>
          <w:instrText xml:space="preserve"> PAGEREF _Toc286144988 \h </w:instrText>
        </w:r>
        <w:r>
          <w:rPr>
            <w:webHidden/>
          </w:rPr>
        </w:r>
        <w:r>
          <w:rPr>
            <w:webHidden/>
          </w:rPr>
          <w:fldChar w:fldCharType="separate"/>
        </w:r>
        <w:r w:rsidR="007829FC">
          <w:rPr>
            <w:webHidden/>
          </w:rPr>
          <w:t>14</w:t>
        </w:r>
        <w:r>
          <w:rPr>
            <w:webHidden/>
          </w:rPr>
          <w:fldChar w:fldCharType="end"/>
        </w:r>
      </w:hyperlink>
    </w:p>
    <w:p w:rsidR="00DC5333" w:rsidRDefault="000816B7" w:rsidP="00DC5333">
      <w:pPr>
        <w:pStyle w:val="HIPTOC3"/>
        <w:rPr>
          <w:rFonts w:asciiTheme="minorHAnsi" w:eastAsiaTheme="minorEastAsia" w:hAnsiTheme="minorHAnsi" w:cstheme="minorBidi"/>
          <w:lang w:val="en-US" w:eastAsia="zh-CN"/>
        </w:rPr>
      </w:pPr>
      <w:hyperlink w:anchor="_Toc286144989" w:history="1">
        <w:r w:rsidR="00DC5333" w:rsidRPr="003C431A">
          <w:rPr>
            <w:rStyle w:val="Hyperlink"/>
          </w:rPr>
          <w:t>3.6.1</w:t>
        </w:r>
        <w:r w:rsidR="00DC5333">
          <w:rPr>
            <w:rStyle w:val="Hyperlink"/>
          </w:rPr>
          <w:t xml:space="preserve"> </w:t>
        </w:r>
        <w:r w:rsidR="00DC5333" w:rsidRPr="003C431A">
          <w:rPr>
            <w:rStyle w:val="Hyperlink"/>
          </w:rPr>
          <w:t>Eligible Costs</w:t>
        </w:r>
        <w:r w:rsidR="00DC5333">
          <w:rPr>
            <w:webHidden/>
          </w:rPr>
          <w:tab/>
        </w:r>
        <w:r w:rsidR="00DC5333">
          <w:rPr>
            <w:webHidden/>
          </w:rPr>
          <w:tab/>
        </w:r>
        <w:r>
          <w:rPr>
            <w:webHidden/>
          </w:rPr>
          <w:fldChar w:fldCharType="begin"/>
        </w:r>
        <w:r w:rsidR="00DC5333">
          <w:rPr>
            <w:webHidden/>
          </w:rPr>
          <w:instrText xml:space="preserve"> PAGEREF _Toc286144989 \h </w:instrText>
        </w:r>
        <w:r>
          <w:rPr>
            <w:webHidden/>
          </w:rPr>
        </w:r>
        <w:r>
          <w:rPr>
            <w:webHidden/>
          </w:rPr>
          <w:fldChar w:fldCharType="separate"/>
        </w:r>
        <w:r w:rsidR="007829FC">
          <w:rPr>
            <w:webHidden/>
          </w:rPr>
          <w:t>14</w:t>
        </w:r>
        <w:r>
          <w:rPr>
            <w:webHidden/>
          </w:rPr>
          <w:fldChar w:fldCharType="end"/>
        </w:r>
      </w:hyperlink>
    </w:p>
    <w:p w:rsidR="00DC5333" w:rsidRDefault="000816B7" w:rsidP="00DC5333">
      <w:pPr>
        <w:pStyle w:val="HIPTOC3"/>
        <w:rPr>
          <w:rFonts w:asciiTheme="minorHAnsi" w:eastAsiaTheme="minorEastAsia" w:hAnsiTheme="minorHAnsi" w:cstheme="minorBidi"/>
          <w:lang w:val="en-US" w:eastAsia="zh-CN"/>
        </w:rPr>
      </w:pPr>
      <w:hyperlink w:anchor="_Toc286144990" w:history="1">
        <w:r w:rsidR="00DC5333" w:rsidRPr="003C431A">
          <w:rPr>
            <w:rStyle w:val="Hyperlink"/>
          </w:rPr>
          <w:t>3.6.2</w:t>
        </w:r>
        <w:r w:rsidR="00DC5333">
          <w:rPr>
            <w:rStyle w:val="Hyperlink"/>
          </w:rPr>
          <w:t xml:space="preserve"> </w:t>
        </w:r>
        <w:r w:rsidR="00DC5333" w:rsidRPr="003C431A">
          <w:rPr>
            <w:rStyle w:val="Hyperlink"/>
          </w:rPr>
          <w:t>Eligible bidders</w:t>
        </w:r>
        <w:r w:rsidR="00DC5333">
          <w:rPr>
            <w:webHidden/>
          </w:rPr>
          <w:tab/>
        </w:r>
        <w:r w:rsidR="00DC5333">
          <w:rPr>
            <w:webHidden/>
          </w:rPr>
          <w:tab/>
        </w:r>
        <w:r>
          <w:rPr>
            <w:webHidden/>
          </w:rPr>
          <w:fldChar w:fldCharType="begin"/>
        </w:r>
        <w:r w:rsidR="00DC5333">
          <w:rPr>
            <w:webHidden/>
          </w:rPr>
          <w:instrText xml:space="preserve"> PAGEREF _Toc286144990 \h </w:instrText>
        </w:r>
        <w:r>
          <w:rPr>
            <w:webHidden/>
          </w:rPr>
        </w:r>
        <w:r>
          <w:rPr>
            <w:webHidden/>
          </w:rPr>
          <w:fldChar w:fldCharType="separate"/>
        </w:r>
        <w:r w:rsidR="007829FC">
          <w:rPr>
            <w:webHidden/>
          </w:rPr>
          <w:t>14</w:t>
        </w:r>
        <w:r>
          <w:rPr>
            <w:webHidden/>
          </w:rPr>
          <w:fldChar w:fldCharType="end"/>
        </w:r>
      </w:hyperlink>
    </w:p>
    <w:p w:rsidR="00DC5333" w:rsidRDefault="000816B7" w:rsidP="00DC5333">
      <w:pPr>
        <w:pStyle w:val="HIPTOC3"/>
        <w:rPr>
          <w:rFonts w:asciiTheme="minorHAnsi" w:eastAsiaTheme="minorEastAsia" w:hAnsiTheme="minorHAnsi" w:cstheme="minorBidi"/>
          <w:lang w:val="en-US" w:eastAsia="zh-CN"/>
        </w:rPr>
      </w:pPr>
      <w:hyperlink w:anchor="_Toc286144991" w:history="1">
        <w:r w:rsidR="00DC5333" w:rsidRPr="003C431A">
          <w:rPr>
            <w:rStyle w:val="Hyperlink"/>
          </w:rPr>
          <w:t>3.6.3</w:t>
        </w:r>
        <w:r w:rsidR="00DC5333">
          <w:rPr>
            <w:rStyle w:val="Hyperlink"/>
          </w:rPr>
          <w:t xml:space="preserve"> </w:t>
        </w:r>
        <w:r w:rsidR="00DC5333" w:rsidRPr="003C431A">
          <w:rPr>
            <w:rStyle w:val="Hyperlink"/>
          </w:rPr>
          <w:t>Eligible Areas</w:t>
        </w:r>
        <w:r w:rsidR="00DC5333">
          <w:rPr>
            <w:webHidden/>
          </w:rPr>
          <w:tab/>
        </w:r>
        <w:r w:rsidR="00DC5333">
          <w:rPr>
            <w:webHidden/>
          </w:rPr>
          <w:tab/>
        </w:r>
        <w:r>
          <w:rPr>
            <w:webHidden/>
          </w:rPr>
          <w:fldChar w:fldCharType="begin"/>
        </w:r>
        <w:r w:rsidR="00DC5333">
          <w:rPr>
            <w:webHidden/>
          </w:rPr>
          <w:instrText xml:space="preserve"> PAGEREF _Toc286144991 \h </w:instrText>
        </w:r>
        <w:r>
          <w:rPr>
            <w:webHidden/>
          </w:rPr>
        </w:r>
        <w:r>
          <w:rPr>
            <w:webHidden/>
          </w:rPr>
          <w:fldChar w:fldCharType="separate"/>
        </w:r>
        <w:r w:rsidR="007829FC">
          <w:rPr>
            <w:webHidden/>
          </w:rPr>
          <w:t>14</w:t>
        </w:r>
        <w:r>
          <w:rPr>
            <w:webHidden/>
          </w:rPr>
          <w:fldChar w:fldCharType="end"/>
        </w:r>
      </w:hyperlink>
    </w:p>
    <w:p w:rsidR="00DC5333" w:rsidRDefault="000816B7" w:rsidP="00DC5333">
      <w:pPr>
        <w:pStyle w:val="HIPTOC3"/>
        <w:rPr>
          <w:rFonts w:asciiTheme="minorHAnsi" w:eastAsiaTheme="minorEastAsia" w:hAnsiTheme="minorHAnsi" w:cstheme="minorBidi"/>
          <w:lang w:val="en-US" w:eastAsia="zh-CN"/>
        </w:rPr>
      </w:pPr>
      <w:hyperlink w:anchor="_Toc286144992" w:history="1">
        <w:r w:rsidR="00DC5333" w:rsidRPr="003C431A">
          <w:rPr>
            <w:rStyle w:val="Hyperlink"/>
          </w:rPr>
          <w:t>3.6.4</w:t>
        </w:r>
        <w:r w:rsidR="00DC5333">
          <w:rPr>
            <w:rStyle w:val="Hyperlink"/>
          </w:rPr>
          <w:t xml:space="preserve"> </w:t>
        </w:r>
        <w:r w:rsidR="00DC5333" w:rsidRPr="003C431A">
          <w:rPr>
            <w:rStyle w:val="Hyperlink"/>
          </w:rPr>
          <w:t>SADC Experience: Eligibility Criteria</w:t>
        </w:r>
        <w:r w:rsidR="00DC5333">
          <w:rPr>
            <w:webHidden/>
          </w:rPr>
          <w:tab/>
        </w:r>
        <w:r w:rsidR="00DC5333">
          <w:rPr>
            <w:webHidden/>
          </w:rPr>
          <w:tab/>
        </w:r>
        <w:r>
          <w:rPr>
            <w:webHidden/>
          </w:rPr>
          <w:fldChar w:fldCharType="begin"/>
        </w:r>
        <w:r w:rsidR="00DC5333">
          <w:rPr>
            <w:webHidden/>
          </w:rPr>
          <w:instrText xml:space="preserve"> PAGEREF _Toc286144992 \h </w:instrText>
        </w:r>
        <w:r>
          <w:rPr>
            <w:webHidden/>
          </w:rPr>
        </w:r>
        <w:r>
          <w:rPr>
            <w:webHidden/>
          </w:rPr>
          <w:fldChar w:fldCharType="separate"/>
        </w:r>
        <w:r w:rsidR="007829FC">
          <w:rPr>
            <w:webHidden/>
          </w:rPr>
          <w:t>14</w:t>
        </w:r>
        <w:r>
          <w:rPr>
            <w:webHidden/>
          </w:rPr>
          <w:fldChar w:fldCharType="end"/>
        </w:r>
      </w:hyperlink>
    </w:p>
    <w:p w:rsidR="00DC5333" w:rsidRDefault="000816B7" w:rsidP="00DC5333">
      <w:pPr>
        <w:pStyle w:val="HIPTOC2"/>
        <w:rPr>
          <w:rFonts w:asciiTheme="minorHAnsi" w:eastAsiaTheme="minorEastAsia" w:hAnsiTheme="minorHAnsi" w:cstheme="minorBidi"/>
          <w:lang w:eastAsia="zh-CN"/>
        </w:rPr>
      </w:pPr>
      <w:hyperlink w:anchor="_Toc286144993" w:history="1">
        <w:r w:rsidR="00DC5333" w:rsidRPr="003C431A">
          <w:rPr>
            <w:rStyle w:val="Hyperlink"/>
          </w:rPr>
          <w:t>3.7</w:t>
        </w:r>
        <w:r w:rsidR="00DC5333">
          <w:rPr>
            <w:rStyle w:val="Hyperlink"/>
          </w:rPr>
          <w:t xml:space="preserve"> </w:t>
        </w:r>
        <w:r w:rsidR="00DC5333" w:rsidRPr="003C431A">
          <w:rPr>
            <w:rStyle w:val="Hyperlink"/>
          </w:rPr>
          <w:t>AWARDING SUBSIDIES</w:t>
        </w:r>
        <w:r w:rsidR="00DC5333">
          <w:rPr>
            <w:webHidden/>
          </w:rPr>
          <w:tab/>
        </w:r>
        <w:r w:rsidR="00DC5333">
          <w:rPr>
            <w:webHidden/>
          </w:rPr>
          <w:tab/>
        </w:r>
        <w:r>
          <w:rPr>
            <w:webHidden/>
          </w:rPr>
          <w:fldChar w:fldCharType="begin"/>
        </w:r>
        <w:r w:rsidR="00DC5333">
          <w:rPr>
            <w:webHidden/>
          </w:rPr>
          <w:instrText xml:space="preserve"> PAGEREF _Toc286144993 \h </w:instrText>
        </w:r>
        <w:r>
          <w:rPr>
            <w:webHidden/>
          </w:rPr>
        </w:r>
        <w:r>
          <w:rPr>
            <w:webHidden/>
          </w:rPr>
          <w:fldChar w:fldCharType="separate"/>
        </w:r>
        <w:r w:rsidR="007829FC">
          <w:rPr>
            <w:webHidden/>
          </w:rPr>
          <w:t>14</w:t>
        </w:r>
        <w:r>
          <w:rPr>
            <w:webHidden/>
          </w:rPr>
          <w:fldChar w:fldCharType="end"/>
        </w:r>
      </w:hyperlink>
    </w:p>
    <w:p w:rsidR="00DC5333" w:rsidRDefault="000816B7" w:rsidP="00DC5333">
      <w:pPr>
        <w:pStyle w:val="HIPTOC3"/>
        <w:rPr>
          <w:rFonts w:asciiTheme="minorHAnsi" w:eastAsiaTheme="minorEastAsia" w:hAnsiTheme="minorHAnsi" w:cstheme="minorBidi"/>
          <w:lang w:val="en-US" w:eastAsia="zh-CN"/>
        </w:rPr>
      </w:pPr>
      <w:hyperlink w:anchor="_Toc286144994" w:history="1">
        <w:r w:rsidR="00DC5333" w:rsidRPr="003C431A">
          <w:rPr>
            <w:rStyle w:val="Hyperlink"/>
          </w:rPr>
          <w:t>3.7.1</w:t>
        </w:r>
        <w:r w:rsidR="00DC5333">
          <w:rPr>
            <w:rStyle w:val="Hyperlink"/>
          </w:rPr>
          <w:t xml:space="preserve"> </w:t>
        </w:r>
        <w:r w:rsidR="00DC5333" w:rsidRPr="003C431A">
          <w:rPr>
            <w:rStyle w:val="Hyperlink"/>
          </w:rPr>
          <w:t>Smart Subsidies</w:t>
        </w:r>
        <w:r w:rsidR="00DC5333">
          <w:rPr>
            <w:webHidden/>
          </w:rPr>
          <w:tab/>
        </w:r>
        <w:r w:rsidR="00DC5333">
          <w:rPr>
            <w:webHidden/>
          </w:rPr>
          <w:tab/>
        </w:r>
        <w:r>
          <w:rPr>
            <w:webHidden/>
          </w:rPr>
          <w:fldChar w:fldCharType="begin"/>
        </w:r>
        <w:r w:rsidR="00DC5333">
          <w:rPr>
            <w:webHidden/>
          </w:rPr>
          <w:instrText xml:space="preserve"> PAGEREF _Toc286144994 \h </w:instrText>
        </w:r>
        <w:r>
          <w:rPr>
            <w:webHidden/>
          </w:rPr>
        </w:r>
        <w:r>
          <w:rPr>
            <w:webHidden/>
          </w:rPr>
          <w:fldChar w:fldCharType="separate"/>
        </w:r>
        <w:r w:rsidR="007829FC">
          <w:rPr>
            <w:webHidden/>
          </w:rPr>
          <w:t>14</w:t>
        </w:r>
        <w:r>
          <w:rPr>
            <w:webHidden/>
          </w:rPr>
          <w:fldChar w:fldCharType="end"/>
        </w:r>
      </w:hyperlink>
    </w:p>
    <w:p w:rsidR="00DC5333" w:rsidRDefault="000816B7" w:rsidP="00DC5333">
      <w:pPr>
        <w:pStyle w:val="HIPTOC3"/>
        <w:rPr>
          <w:rFonts w:asciiTheme="minorHAnsi" w:eastAsiaTheme="minorEastAsia" w:hAnsiTheme="minorHAnsi" w:cstheme="minorBidi"/>
          <w:lang w:val="en-US" w:eastAsia="zh-CN"/>
        </w:rPr>
      </w:pPr>
      <w:hyperlink w:anchor="_Toc286144995" w:history="1">
        <w:r w:rsidR="00DC5333" w:rsidRPr="003C431A">
          <w:rPr>
            <w:rStyle w:val="Hyperlink"/>
          </w:rPr>
          <w:t>3.7.2</w:t>
        </w:r>
        <w:r w:rsidR="00DC5333">
          <w:rPr>
            <w:rStyle w:val="Hyperlink"/>
          </w:rPr>
          <w:t xml:space="preserve"> </w:t>
        </w:r>
        <w:r w:rsidR="00DC5333" w:rsidRPr="003C431A">
          <w:rPr>
            <w:rStyle w:val="Hyperlink"/>
          </w:rPr>
          <w:t>Reverse Auctions</w:t>
        </w:r>
        <w:r w:rsidR="00DC5333">
          <w:rPr>
            <w:webHidden/>
          </w:rPr>
          <w:tab/>
        </w:r>
        <w:r w:rsidR="00DC5333">
          <w:rPr>
            <w:webHidden/>
          </w:rPr>
          <w:tab/>
        </w:r>
        <w:r>
          <w:rPr>
            <w:webHidden/>
          </w:rPr>
          <w:fldChar w:fldCharType="begin"/>
        </w:r>
        <w:r w:rsidR="00DC5333">
          <w:rPr>
            <w:webHidden/>
          </w:rPr>
          <w:instrText xml:space="preserve"> PAGEREF _Toc286144995 \h </w:instrText>
        </w:r>
        <w:r>
          <w:rPr>
            <w:webHidden/>
          </w:rPr>
        </w:r>
        <w:r>
          <w:rPr>
            <w:webHidden/>
          </w:rPr>
          <w:fldChar w:fldCharType="separate"/>
        </w:r>
        <w:r w:rsidR="007829FC">
          <w:rPr>
            <w:webHidden/>
          </w:rPr>
          <w:t>14</w:t>
        </w:r>
        <w:r>
          <w:rPr>
            <w:webHidden/>
          </w:rPr>
          <w:fldChar w:fldCharType="end"/>
        </w:r>
      </w:hyperlink>
    </w:p>
    <w:p w:rsidR="00DC5333" w:rsidRDefault="000816B7" w:rsidP="00DC5333">
      <w:pPr>
        <w:pStyle w:val="HIPTOC3"/>
        <w:rPr>
          <w:rFonts w:asciiTheme="minorHAnsi" w:eastAsiaTheme="minorEastAsia" w:hAnsiTheme="minorHAnsi" w:cstheme="minorBidi"/>
          <w:lang w:val="en-US" w:eastAsia="zh-CN"/>
        </w:rPr>
      </w:pPr>
      <w:hyperlink w:anchor="_Toc286144996" w:history="1">
        <w:r w:rsidR="00DC5333" w:rsidRPr="003C431A">
          <w:rPr>
            <w:rStyle w:val="Hyperlink"/>
          </w:rPr>
          <w:t>3.7.3</w:t>
        </w:r>
        <w:r w:rsidR="00DC5333">
          <w:rPr>
            <w:rStyle w:val="Hyperlink"/>
          </w:rPr>
          <w:t xml:space="preserve"> </w:t>
        </w:r>
        <w:r w:rsidR="00DC5333" w:rsidRPr="003C431A">
          <w:rPr>
            <w:rStyle w:val="Hyperlink"/>
          </w:rPr>
          <w:t>Fixed Subsidies</w:t>
        </w:r>
        <w:r w:rsidR="00DC5333">
          <w:rPr>
            <w:webHidden/>
          </w:rPr>
          <w:tab/>
        </w:r>
        <w:r w:rsidR="00DC5333">
          <w:rPr>
            <w:webHidden/>
          </w:rPr>
          <w:tab/>
        </w:r>
        <w:r>
          <w:rPr>
            <w:webHidden/>
          </w:rPr>
          <w:fldChar w:fldCharType="begin"/>
        </w:r>
        <w:r w:rsidR="00DC5333">
          <w:rPr>
            <w:webHidden/>
          </w:rPr>
          <w:instrText xml:space="preserve"> PAGEREF _Toc286144996 \h </w:instrText>
        </w:r>
        <w:r>
          <w:rPr>
            <w:webHidden/>
          </w:rPr>
        </w:r>
        <w:r>
          <w:rPr>
            <w:webHidden/>
          </w:rPr>
          <w:fldChar w:fldCharType="separate"/>
        </w:r>
        <w:r w:rsidR="007829FC">
          <w:rPr>
            <w:webHidden/>
          </w:rPr>
          <w:t>14</w:t>
        </w:r>
        <w:r>
          <w:rPr>
            <w:webHidden/>
          </w:rPr>
          <w:fldChar w:fldCharType="end"/>
        </w:r>
      </w:hyperlink>
    </w:p>
    <w:p w:rsidR="00DC5333" w:rsidRDefault="000816B7" w:rsidP="00DC5333">
      <w:pPr>
        <w:pStyle w:val="HIPTOC3"/>
        <w:rPr>
          <w:rFonts w:asciiTheme="minorHAnsi" w:eastAsiaTheme="minorEastAsia" w:hAnsiTheme="minorHAnsi" w:cstheme="minorBidi"/>
          <w:lang w:val="en-US" w:eastAsia="zh-CN"/>
        </w:rPr>
      </w:pPr>
      <w:hyperlink w:anchor="_Toc286144997" w:history="1">
        <w:r w:rsidR="00DC5333" w:rsidRPr="003C431A">
          <w:rPr>
            <w:rStyle w:val="Hyperlink"/>
          </w:rPr>
          <w:t>3.7.4</w:t>
        </w:r>
        <w:r w:rsidR="00DC5333">
          <w:rPr>
            <w:rStyle w:val="Hyperlink"/>
          </w:rPr>
          <w:t xml:space="preserve"> </w:t>
        </w:r>
        <w:r w:rsidR="00DC5333" w:rsidRPr="003C431A">
          <w:rPr>
            <w:rStyle w:val="Hyperlink"/>
          </w:rPr>
          <w:t>Selecting Approaches on a Project by Project Basis</w:t>
        </w:r>
        <w:r w:rsidR="00DC5333">
          <w:rPr>
            <w:webHidden/>
          </w:rPr>
          <w:tab/>
        </w:r>
        <w:r w:rsidR="00DC5333">
          <w:rPr>
            <w:webHidden/>
          </w:rPr>
          <w:tab/>
        </w:r>
        <w:r>
          <w:rPr>
            <w:webHidden/>
          </w:rPr>
          <w:fldChar w:fldCharType="begin"/>
        </w:r>
        <w:r w:rsidR="00DC5333">
          <w:rPr>
            <w:webHidden/>
          </w:rPr>
          <w:instrText xml:space="preserve"> PAGEREF _Toc286144997 \h </w:instrText>
        </w:r>
        <w:r>
          <w:rPr>
            <w:webHidden/>
          </w:rPr>
        </w:r>
        <w:r>
          <w:rPr>
            <w:webHidden/>
          </w:rPr>
          <w:fldChar w:fldCharType="separate"/>
        </w:r>
        <w:r w:rsidR="007829FC">
          <w:rPr>
            <w:webHidden/>
          </w:rPr>
          <w:t>14</w:t>
        </w:r>
        <w:r>
          <w:rPr>
            <w:webHidden/>
          </w:rPr>
          <w:fldChar w:fldCharType="end"/>
        </w:r>
      </w:hyperlink>
    </w:p>
    <w:p w:rsidR="00DC5333" w:rsidRDefault="000816B7" w:rsidP="00DC5333">
      <w:pPr>
        <w:pStyle w:val="HIPTOC3"/>
        <w:rPr>
          <w:rFonts w:asciiTheme="minorHAnsi" w:eastAsiaTheme="minorEastAsia" w:hAnsiTheme="minorHAnsi" w:cstheme="minorBidi"/>
          <w:lang w:val="en-US" w:eastAsia="zh-CN"/>
        </w:rPr>
      </w:pPr>
      <w:hyperlink w:anchor="_Toc286144998" w:history="1">
        <w:r w:rsidR="00DC5333" w:rsidRPr="003C431A">
          <w:rPr>
            <w:rStyle w:val="Hyperlink"/>
          </w:rPr>
          <w:t>3.7.5</w:t>
        </w:r>
        <w:r w:rsidR="00DC5333">
          <w:rPr>
            <w:rStyle w:val="Hyperlink"/>
          </w:rPr>
          <w:t xml:space="preserve"> </w:t>
        </w:r>
        <w:r w:rsidR="00DC5333" w:rsidRPr="003C431A">
          <w:rPr>
            <w:rStyle w:val="Hyperlink"/>
          </w:rPr>
          <w:t>SADC Experience</w:t>
        </w:r>
        <w:r w:rsidR="00DC5333">
          <w:rPr>
            <w:webHidden/>
          </w:rPr>
          <w:tab/>
        </w:r>
        <w:r w:rsidR="00DC5333">
          <w:rPr>
            <w:webHidden/>
          </w:rPr>
          <w:tab/>
        </w:r>
        <w:r>
          <w:rPr>
            <w:webHidden/>
          </w:rPr>
          <w:fldChar w:fldCharType="begin"/>
        </w:r>
        <w:r w:rsidR="00DC5333">
          <w:rPr>
            <w:webHidden/>
          </w:rPr>
          <w:instrText xml:space="preserve"> PAGEREF _Toc286144998 \h </w:instrText>
        </w:r>
        <w:r>
          <w:rPr>
            <w:webHidden/>
          </w:rPr>
        </w:r>
        <w:r>
          <w:rPr>
            <w:webHidden/>
          </w:rPr>
          <w:fldChar w:fldCharType="separate"/>
        </w:r>
        <w:r w:rsidR="007829FC">
          <w:rPr>
            <w:webHidden/>
          </w:rPr>
          <w:t>14</w:t>
        </w:r>
        <w:r>
          <w:rPr>
            <w:webHidden/>
          </w:rPr>
          <w:fldChar w:fldCharType="end"/>
        </w:r>
      </w:hyperlink>
    </w:p>
    <w:p w:rsidR="00DC5333" w:rsidRDefault="000816B7" w:rsidP="00DC5333">
      <w:pPr>
        <w:pStyle w:val="HIPTOC3"/>
        <w:rPr>
          <w:rFonts w:asciiTheme="minorHAnsi" w:eastAsiaTheme="minorEastAsia" w:hAnsiTheme="minorHAnsi" w:cstheme="minorBidi"/>
          <w:lang w:val="en-US" w:eastAsia="zh-CN"/>
        </w:rPr>
      </w:pPr>
      <w:hyperlink w:anchor="_Toc286144999" w:history="1">
        <w:r w:rsidR="00DC5333" w:rsidRPr="003C431A">
          <w:rPr>
            <w:rStyle w:val="Hyperlink"/>
          </w:rPr>
          <w:t>3.7.6</w:t>
        </w:r>
        <w:r w:rsidR="00DC5333">
          <w:rPr>
            <w:rStyle w:val="Hyperlink"/>
          </w:rPr>
          <w:t xml:space="preserve"> </w:t>
        </w:r>
        <w:r w:rsidR="00DC5333" w:rsidRPr="003C431A">
          <w:rPr>
            <w:rStyle w:val="Hyperlink"/>
          </w:rPr>
          <w:t>How To Invite Bidders – Key Bidding Documents</w:t>
        </w:r>
        <w:r w:rsidR="00DC5333">
          <w:rPr>
            <w:webHidden/>
          </w:rPr>
          <w:tab/>
        </w:r>
        <w:r w:rsidR="00DC5333">
          <w:rPr>
            <w:webHidden/>
          </w:rPr>
          <w:tab/>
        </w:r>
        <w:r>
          <w:rPr>
            <w:webHidden/>
          </w:rPr>
          <w:fldChar w:fldCharType="begin"/>
        </w:r>
        <w:r w:rsidR="00DC5333">
          <w:rPr>
            <w:webHidden/>
          </w:rPr>
          <w:instrText xml:space="preserve"> PAGEREF _Toc286144999 \h </w:instrText>
        </w:r>
        <w:r>
          <w:rPr>
            <w:webHidden/>
          </w:rPr>
        </w:r>
        <w:r>
          <w:rPr>
            <w:webHidden/>
          </w:rPr>
          <w:fldChar w:fldCharType="separate"/>
        </w:r>
        <w:r w:rsidR="007829FC">
          <w:rPr>
            <w:webHidden/>
          </w:rPr>
          <w:t>14</w:t>
        </w:r>
        <w:r>
          <w:rPr>
            <w:webHidden/>
          </w:rPr>
          <w:fldChar w:fldCharType="end"/>
        </w:r>
      </w:hyperlink>
    </w:p>
    <w:p w:rsidR="00DC5333" w:rsidRDefault="000816B7" w:rsidP="00DC5333">
      <w:pPr>
        <w:pStyle w:val="HIPTOC3"/>
        <w:rPr>
          <w:rFonts w:asciiTheme="minorHAnsi" w:eastAsiaTheme="minorEastAsia" w:hAnsiTheme="minorHAnsi" w:cstheme="minorBidi"/>
          <w:lang w:val="en-US" w:eastAsia="zh-CN"/>
        </w:rPr>
      </w:pPr>
      <w:hyperlink w:anchor="_Toc286145000" w:history="1">
        <w:r w:rsidR="00DC5333" w:rsidRPr="003C431A">
          <w:rPr>
            <w:rStyle w:val="Hyperlink"/>
          </w:rPr>
          <w:t>3.7.7</w:t>
        </w:r>
        <w:r w:rsidR="00DC5333">
          <w:rPr>
            <w:rStyle w:val="Hyperlink"/>
          </w:rPr>
          <w:t xml:space="preserve"> </w:t>
        </w:r>
        <w:r w:rsidR="00DC5333" w:rsidRPr="003C431A">
          <w:rPr>
            <w:rStyle w:val="Hyperlink"/>
          </w:rPr>
          <w:t>In Process Documents</w:t>
        </w:r>
        <w:r w:rsidR="00DC5333">
          <w:rPr>
            <w:webHidden/>
          </w:rPr>
          <w:tab/>
        </w:r>
        <w:r w:rsidR="00DC5333">
          <w:rPr>
            <w:webHidden/>
          </w:rPr>
          <w:tab/>
        </w:r>
        <w:r>
          <w:rPr>
            <w:webHidden/>
          </w:rPr>
          <w:fldChar w:fldCharType="begin"/>
        </w:r>
        <w:r w:rsidR="00DC5333">
          <w:rPr>
            <w:webHidden/>
          </w:rPr>
          <w:instrText xml:space="preserve"> PAGEREF _Toc286145000 \h </w:instrText>
        </w:r>
        <w:r>
          <w:rPr>
            <w:webHidden/>
          </w:rPr>
        </w:r>
        <w:r>
          <w:rPr>
            <w:webHidden/>
          </w:rPr>
          <w:fldChar w:fldCharType="separate"/>
        </w:r>
        <w:r w:rsidR="007829FC">
          <w:rPr>
            <w:webHidden/>
          </w:rPr>
          <w:t>14</w:t>
        </w:r>
        <w:r>
          <w:rPr>
            <w:webHidden/>
          </w:rPr>
          <w:fldChar w:fldCharType="end"/>
        </w:r>
      </w:hyperlink>
    </w:p>
    <w:p w:rsidR="00DC5333" w:rsidRDefault="000816B7" w:rsidP="00DC5333">
      <w:pPr>
        <w:pStyle w:val="HIPTOC3"/>
        <w:rPr>
          <w:rFonts w:asciiTheme="minorHAnsi" w:eastAsiaTheme="minorEastAsia" w:hAnsiTheme="minorHAnsi" w:cstheme="minorBidi"/>
          <w:lang w:val="en-US" w:eastAsia="zh-CN"/>
        </w:rPr>
      </w:pPr>
      <w:hyperlink w:anchor="_Toc286145001" w:history="1">
        <w:r w:rsidR="00DC5333" w:rsidRPr="003C431A">
          <w:rPr>
            <w:rStyle w:val="Hyperlink"/>
          </w:rPr>
          <w:t>3.7.8</w:t>
        </w:r>
        <w:r w:rsidR="00DC5333">
          <w:rPr>
            <w:rStyle w:val="Hyperlink"/>
          </w:rPr>
          <w:t xml:space="preserve"> </w:t>
        </w:r>
        <w:r w:rsidR="00DC5333" w:rsidRPr="003C431A">
          <w:rPr>
            <w:rStyle w:val="Hyperlink"/>
          </w:rPr>
          <w:t>Post Process Documents (for Project Implementation)</w:t>
        </w:r>
        <w:r w:rsidR="00DC5333">
          <w:rPr>
            <w:webHidden/>
          </w:rPr>
          <w:tab/>
        </w:r>
        <w:r w:rsidR="00DC5333">
          <w:rPr>
            <w:webHidden/>
          </w:rPr>
          <w:tab/>
        </w:r>
        <w:r>
          <w:rPr>
            <w:webHidden/>
          </w:rPr>
          <w:fldChar w:fldCharType="begin"/>
        </w:r>
        <w:r w:rsidR="00DC5333">
          <w:rPr>
            <w:webHidden/>
          </w:rPr>
          <w:instrText xml:space="preserve"> PAGEREF _Toc286145001 \h </w:instrText>
        </w:r>
        <w:r>
          <w:rPr>
            <w:webHidden/>
          </w:rPr>
        </w:r>
        <w:r>
          <w:rPr>
            <w:webHidden/>
          </w:rPr>
          <w:fldChar w:fldCharType="separate"/>
        </w:r>
        <w:r w:rsidR="007829FC">
          <w:rPr>
            <w:webHidden/>
          </w:rPr>
          <w:t>14</w:t>
        </w:r>
        <w:r>
          <w:rPr>
            <w:webHidden/>
          </w:rPr>
          <w:fldChar w:fldCharType="end"/>
        </w:r>
      </w:hyperlink>
    </w:p>
    <w:p w:rsidR="00DC5333" w:rsidRDefault="000816B7" w:rsidP="00DC5333">
      <w:pPr>
        <w:pStyle w:val="HIPTOC1"/>
        <w:rPr>
          <w:rFonts w:asciiTheme="minorHAnsi" w:eastAsiaTheme="minorEastAsia" w:hAnsiTheme="minorHAnsi" w:cstheme="minorBidi"/>
          <w:lang w:eastAsia="zh-CN"/>
        </w:rPr>
      </w:pPr>
      <w:hyperlink w:anchor="_Toc286145002" w:history="1">
        <w:r w:rsidR="00DC5333" w:rsidRPr="003C431A">
          <w:rPr>
            <w:rStyle w:val="Hyperlink"/>
          </w:rPr>
          <w:t xml:space="preserve">Part </w:t>
        </w:r>
        <w:r w:rsidR="00DC5333">
          <w:rPr>
            <w:rStyle w:val="Hyperlink"/>
          </w:rPr>
          <w:t xml:space="preserve">4 – </w:t>
        </w:r>
      </w:hyperlink>
      <w:hyperlink w:anchor="_Toc286145003" w:history="1">
        <w:r w:rsidR="00DC5333" w:rsidRPr="003C431A">
          <w:rPr>
            <w:rStyle w:val="Hyperlink"/>
          </w:rPr>
          <w:t>MONITORING AND EVALUATION</w:t>
        </w:r>
        <w:r w:rsidR="00DC5333">
          <w:rPr>
            <w:webHidden/>
          </w:rPr>
          <w:tab/>
        </w:r>
        <w:r w:rsidR="00DC5333">
          <w:rPr>
            <w:webHidden/>
          </w:rPr>
          <w:tab/>
        </w:r>
        <w:r>
          <w:rPr>
            <w:webHidden/>
          </w:rPr>
          <w:fldChar w:fldCharType="begin"/>
        </w:r>
        <w:r w:rsidR="00DC5333">
          <w:rPr>
            <w:webHidden/>
          </w:rPr>
          <w:instrText xml:space="preserve"> PAGEREF _Toc286145003 \h </w:instrText>
        </w:r>
        <w:r>
          <w:rPr>
            <w:webHidden/>
          </w:rPr>
        </w:r>
        <w:r>
          <w:rPr>
            <w:webHidden/>
          </w:rPr>
          <w:fldChar w:fldCharType="separate"/>
        </w:r>
        <w:r w:rsidR="007829FC">
          <w:rPr>
            <w:webHidden/>
          </w:rPr>
          <w:t>14</w:t>
        </w:r>
        <w:r>
          <w:rPr>
            <w:webHidden/>
          </w:rPr>
          <w:fldChar w:fldCharType="end"/>
        </w:r>
      </w:hyperlink>
    </w:p>
    <w:p w:rsidR="00DC5333" w:rsidRDefault="000816B7" w:rsidP="00DC5333">
      <w:pPr>
        <w:pStyle w:val="HIPTOC2"/>
        <w:rPr>
          <w:rFonts w:asciiTheme="minorHAnsi" w:eastAsiaTheme="minorEastAsia" w:hAnsiTheme="minorHAnsi" w:cstheme="minorBidi"/>
          <w:lang w:eastAsia="zh-CN"/>
        </w:rPr>
      </w:pPr>
      <w:hyperlink w:anchor="_Toc286145004" w:history="1">
        <w:r w:rsidR="00DC5333" w:rsidRPr="003C431A">
          <w:rPr>
            <w:rStyle w:val="Hyperlink"/>
          </w:rPr>
          <w:t>4.1</w:t>
        </w:r>
        <w:r w:rsidR="00DC5333">
          <w:rPr>
            <w:rStyle w:val="Hyperlink"/>
          </w:rPr>
          <w:t xml:space="preserve"> </w:t>
        </w:r>
        <w:r w:rsidR="00DC5333" w:rsidRPr="003C431A">
          <w:rPr>
            <w:rStyle w:val="Hyperlink"/>
          </w:rPr>
          <w:t>Objectives</w:t>
        </w:r>
        <w:r w:rsidR="00DC5333">
          <w:rPr>
            <w:webHidden/>
          </w:rPr>
          <w:tab/>
        </w:r>
        <w:r w:rsidR="00DC5333">
          <w:rPr>
            <w:webHidden/>
          </w:rPr>
          <w:tab/>
        </w:r>
        <w:r>
          <w:rPr>
            <w:webHidden/>
          </w:rPr>
          <w:fldChar w:fldCharType="begin"/>
        </w:r>
        <w:r w:rsidR="00DC5333">
          <w:rPr>
            <w:webHidden/>
          </w:rPr>
          <w:instrText xml:space="preserve"> PAGEREF _Toc286145004 \h </w:instrText>
        </w:r>
        <w:r>
          <w:rPr>
            <w:webHidden/>
          </w:rPr>
        </w:r>
        <w:r>
          <w:rPr>
            <w:webHidden/>
          </w:rPr>
          <w:fldChar w:fldCharType="separate"/>
        </w:r>
        <w:r w:rsidR="007829FC">
          <w:rPr>
            <w:webHidden/>
          </w:rPr>
          <w:t>14</w:t>
        </w:r>
        <w:r>
          <w:rPr>
            <w:webHidden/>
          </w:rPr>
          <w:fldChar w:fldCharType="end"/>
        </w:r>
      </w:hyperlink>
    </w:p>
    <w:p w:rsidR="00DC5333" w:rsidRDefault="000816B7" w:rsidP="00DC5333">
      <w:pPr>
        <w:pStyle w:val="HIPTOC2"/>
        <w:rPr>
          <w:rFonts w:asciiTheme="minorHAnsi" w:eastAsiaTheme="minorEastAsia" w:hAnsiTheme="minorHAnsi" w:cstheme="minorBidi"/>
          <w:lang w:eastAsia="zh-CN"/>
        </w:rPr>
      </w:pPr>
      <w:hyperlink w:anchor="_Toc286145005" w:history="1">
        <w:r w:rsidR="00DC5333" w:rsidRPr="003C431A">
          <w:rPr>
            <w:rStyle w:val="Hyperlink"/>
          </w:rPr>
          <w:t>4.2</w:t>
        </w:r>
        <w:r w:rsidR="00DC5333">
          <w:rPr>
            <w:rStyle w:val="Hyperlink"/>
          </w:rPr>
          <w:t xml:space="preserve"> </w:t>
        </w:r>
        <w:r w:rsidR="00DC5333" w:rsidRPr="003C431A">
          <w:rPr>
            <w:rStyle w:val="Hyperlink"/>
          </w:rPr>
          <w:t>Linking M&amp;E to Universal Access Project Design</w:t>
        </w:r>
        <w:r w:rsidR="00DC5333">
          <w:rPr>
            <w:webHidden/>
          </w:rPr>
          <w:tab/>
        </w:r>
        <w:r w:rsidR="00DC5333">
          <w:rPr>
            <w:webHidden/>
          </w:rPr>
          <w:tab/>
        </w:r>
        <w:r>
          <w:rPr>
            <w:webHidden/>
          </w:rPr>
          <w:fldChar w:fldCharType="begin"/>
        </w:r>
        <w:r w:rsidR="00DC5333">
          <w:rPr>
            <w:webHidden/>
          </w:rPr>
          <w:instrText xml:space="preserve"> PAGEREF _Toc286145005 \h </w:instrText>
        </w:r>
        <w:r>
          <w:rPr>
            <w:webHidden/>
          </w:rPr>
        </w:r>
        <w:r>
          <w:rPr>
            <w:webHidden/>
          </w:rPr>
          <w:fldChar w:fldCharType="separate"/>
        </w:r>
        <w:r w:rsidR="007829FC">
          <w:rPr>
            <w:webHidden/>
          </w:rPr>
          <w:t>14</w:t>
        </w:r>
        <w:r>
          <w:rPr>
            <w:webHidden/>
          </w:rPr>
          <w:fldChar w:fldCharType="end"/>
        </w:r>
      </w:hyperlink>
    </w:p>
    <w:p w:rsidR="00DC5333" w:rsidRDefault="000816B7" w:rsidP="00DC5333">
      <w:pPr>
        <w:pStyle w:val="HIPTOC2"/>
        <w:rPr>
          <w:rFonts w:asciiTheme="minorHAnsi" w:eastAsiaTheme="minorEastAsia" w:hAnsiTheme="minorHAnsi" w:cstheme="minorBidi"/>
          <w:lang w:eastAsia="zh-CN"/>
        </w:rPr>
      </w:pPr>
      <w:hyperlink w:anchor="_Toc286145006" w:history="1">
        <w:r w:rsidR="00DC5333" w:rsidRPr="003C431A">
          <w:rPr>
            <w:rStyle w:val="Hyperlink"/>
          </w:rPr>
          <w:t>4.3</w:t>
        </w:r>
        <w:r w:rsidR="00DC5333">
          <w:rPr>
            <w:rStyle w:val="Hyperlink"/>
          </w:rPr>
          <w:t xml:space="preserve"> </w:t>
        </w:r>
        <w:r w:rsidR="00DC5333" w:rsidRPr="003C431A">
          <w:rPr>
            <w:rStyle w:val="Hyperlink"/>
          </w:rPr>
          <w:t>Measuring the Impact – Common challenges faced</w:t>
        </w:r>
        <w:r w:rsidR="00DC5333">
          <w:rPr>
            <w:webHidden/>
          </w:rPr>
          <w:tab/>
        </w:r>
        <w:r w:rsidR="00DC5333">
          <w:rPr>
            <w:webHidden/>
          </w:rPr>
          <w:tab/>
        </w:r>
        <w:r>
          <w:rPr>
            <w:webHidden/>
          </w:rPr>
          <w:fldChar w:fldCharType="begin"/>
        </w:r>
        <w:r w:rsidR="00DC5333">
          <w:rPr>
            <w:webHidden/>
          </w:rPr>
          <w:instrText xml:space="preserve"> PAGEREF _Toc286145006 \h </w:instrText>
        </w:r>
        <w:r>
          <w:rPr>
            <w:webHidden/>
          </w:rPr>
        </w:r>
        <w:r>
          <w:rPr>
            <w:webHidden/>
          </w:rPr>
          <w:fldChar w:fldCharType="separate"/>
        </w:r>
        <w:r w:rsidR="007829FC">
          <w:rPr>
            <w:webHidden/>
          </w:rPr>
          <w:t>14</w:t>
        </w:r>
        <w:r>
          <w:rPr>
            <w:webHidden/>
          </w:rPr>
          <w:fldChar w:fldCharType="end"/>
        </w:r>
      </w:hyperlink>
    </w:p>
    <w:p w:rsidR="00DC5333" w:rsidRDefault="000816B7" w:rsidP="00DC5333">
      <w:pPr>
        <w:pStyle w:val="HIPTOC2"/>
        <w:rPr>
          <w:rFonts w:asciiTheme="minorHAnsi" w:eastAsiaTheme="minorEastAsia" w:hAnsiTheme="minorHAnsi" w:cstheme="minorBidi"/>
          <w:lang w:eastAsia="zh-CN"/>
        </w:rPr>
      </w:pPr>
      <w:hyperlink w:anchor="_Toc286145007" w:history="1">
        <w:r w:rsidR="00DC5333" w:rsidRPr="003C431A">
          <w:rPr>
            <w:rStyle w:val="Hyperlink"/>
          </w:rPr>
          <w:t>4.4</w:t>
        </w:r>
        <w:r w:rsidR="00DC5333">
          <w:rPr>
            <w:rStyle w:val="Hyperlink"/>
          </w:rPr>
          <w:t xml:space="preserve"> </w:t>
        </w:r>
        <w:r w:rsidR="00DC5333" w:rsidRPr="003C431A">
          <w:rPr>
            <w:rStyle w:val="Hyperlink"/>
          </w:rPr>
          <w:t>Using the results</w:t>
        </w:r>
        <w:r w:rsidR="00DC5333">
          <w:rPr>
            <w:webHidden/>
          </w:rPr>
          <w:tab/>
        </w:r>
        <w:r w:rsidR="00DC5333">
          <w:rPr>
            <w:webHidden/>
          </w:rPr>
          <w:tab/>
        </w:r>
        <w:r>
          <w:rPr>
            <w:webHidden/>
          </w:rPr>
          <w:fldChar w:fldCharType="begin"/>
        </w:r>
        <w:r w:rsidR="00DC5333">
          <w:rPr>
            <w:webHidden/>
          </w:rPr>
          <w:instrText xml:space="preserve"> PAGEREF _Toc286145007 \h </w:instrText>
        </w:r>
        <w:r>
          <w:rPr>
            <w:webHidden/>
          </w:rPr>
        </w:r>
        <w:r>
          <w:rPr>
            <w:webHidden/>
          </w:rPr>
          <w:fldChar w:fldCharType="separate"/>
        </w:r>
        <w:r w:rsidR="007829FC">
          <w:rPr>
            <w:webHidden/>
          </w:rPr>
          <w:t>14</w:t>
        </w:r>
        <w:r>
          <w:rPr>
            <w:webHidden/>
          </w:rPr>
          <w:fldChar w:fldCharType="end"/>
        </w:r>
      </w:hyperlink>
    </w:p>
    <w:p w:rsidR="00DC5333" w:rsidRDefault="000816B7" w:rsidP="00DC5333">
      <w:pPr>
        <w:pStyle w:val="HIPTOC2"/>
        <w:rPr>
          <w:rFonts w:asciiTheme="minorHAnsi" w:eastAsiaTheme="minorEastAsia" w:hAnsiTheme="minorHAnsi" w:cstheme="minorBidi"/>
          <w:lang w:eastAsia="zh-CN"/>
        </w:rPr>
      </w:pPr>
      <w:hyperlink w:anchor="_Toc286145008" w:history="1">
        <w:r w:rsidR="00DC5333" w:rsidRPr="003C431A">
          <w:rPr>
            <w:rStyle w:val="Hyperlink"/>
          </w:rPr>
          <w:t>4.5</w:t>
        </w:r>
        <w:r w:rsidR="00DC5333">
          <w:rPr>
            <w:rStyle w:val="Hyperlink"/>
          </w:rPr>
          <w:t xml:space="preserve"> </w:t>
        </w:r>
        <w:r w:rsidR="00DC5333" w:rsidRPr="003C431A">
          <w:rPr>
            <w:rStyle w:val="Hyperlink"/>
          </w:rPr>
          <w:t>Implementation</w:t>
        </w:r>
        <w:r w:rsidR="00DC5333">
          <w:rPr>
            <w:webHidden/>
          </w:rPr>
          <w:tab/>
        </w:r>
        <w:r w:rsidR="00DC5333">
          <w:rPr>
            <w:webHidden/>
          </w:rPr>
          <w:tab/>
        </w:r>
        <w:r>
          <w:rPr>
            <w:webHidden/>
          </w:rPr>
          <w:fldChar w:fldCharType="begin"/>
        </w:r>
        <w:r w:rsidR="00DC5333">
          <w:rPr>
            <w:webHidden/>
          </w:rPr>
          <w:instrText xml:space="preserve"> PAGEREF _Toc286145008 \h </w:instrText>
        </w:r>
        <w:r>
          <w:rPr>
            <w:webHidden/>
          </w:rPr>
        </w:r>
        <w:r>
          <w:rPr>
            <w:webHidden/>
          </w:rPr>
          <w:fldChar w:fldCharType="separate"/>
        </w:r>
        <w:r w:rsidR="007829FC">
          <w:rPr>
            <w:webHidden/>
          </w:rPr>
          <w:t>14</w:t>
        </w:r>
        <w:r>
          <w:rPr>
            <w:webHidden/>
          </w:rPr>
          <w:fldChar w:fldCharType="end"/>
        </w:r>
      </w:hyperlink>
    </w:p>
    <w:p w:rsidR="00DC5333" w:rsidRDefault="000816B7" w:rsidP="00DC5333">
      <w:pPr>
        <w:pStyle w:val="HIPTOC1"/>
        <w:rPr>
          <w:rFonts w:asciiTheme="minorHAnsi" w:eastAsiaTheme="minorEastAsia" w:hAnsiTheme="minorHAnsi" w:cstheme="minorBidi"/>
          <w:lang w:eastAsia="zh-CN"/>
        </w:rPr>
      </w:pPr>
      <w:hyperlink w:anchor="_Toc286145009" w:history="1">
        <w:r w:rsidR="00DC5333" w:rsidRPr="003C431A">
          <w:rPr>
            <w:rStyle w:val="Hyperlink"/>
          </w:rPr>
          <w:t>Part 5</w:t>
        </w:r>
        <w:r w:rsidR="00DC5333">
          <w:rPr>
            <w:rStyle w:val="Hyperlink"/>
          </w:rPr>
          <w:t xml:space="preserve"> – </w:t>
        </w:r>
      </w:hyperlink>
      <w:hyperlink w:anchor="_Toc286145010" w:history="1">
        <w:r w:rsidR="00DC5333" w:rsidRPr="003C431A">
          <w:rPr>
            <w:rStyle w:val="Hyperlink"/>
          </w:rPr>
          <w:t>REGIONAL HARMONSIATION,</w:t>
        </w:r>
        <w:r w:rsidR="00D71821">
          <w:rPr>
            <w:rStyle w:val="Hyperlink"/>
          </w:rPr>
          <w:t xml:space="preserve"> </w:t>
        </w:r>
        <w:r w:rsidR="00DC5333" w:rsidRPr="003C431A">
          <w:rPr>
            <w:rStyle w:val="Hyperlink"/>
          </w:rPr>
          <w:t>THE ROLE OF CRASA</w:t>
        </w:r>
        <w:r w:rsidR="00DC5333">
          <w:rPr>
            <w:webHidden/>
          </w:rPr>
          <w:tab/>
        </w:r>
        <w:r w:rsidR="00DC5333">
          <w:rPr>
            <w:webHidden/>
          </w:rPr>
          <w:tab/>
        </w:r>
        <w:r>
          <w:rPr>
            <w:webHidden/>
          </w:rPr>
          <w:fldChar w:fldCharType="begin"/>
        </w:r>
        <w:r w:rsidR="00DC5333">
          <w:rPr>
            <w:webHidden/>
          </w:rPr>
          <w:instrText xml:space="preserve"> PAGEREF _Toc286145010 \h </w:instrText>
        </w:r>
        <w:r>
          <w:rPr>
            <w:webHidden/>
          </w:rPr>
        </w:r>
        <w:r>
          <w:rPr>
            <w:webHidden/>
          </w:rPr>
          <w:fldChar w:fldCharType="separate"/>
        </w:r>
        <w:r w:rsidR="007829FC">
          <w:rPr>
            <w:webHidden/>
          </w:rPr>
          <w:t>14</w:t>
        </w:r>
        <w:r>
          <w:rPr>
            <w:webHidden/>
          </w:rPr>
          <w:fldChar w:fldCharType="end"/>
        </w:r>
      </w:hyperlink>
    </w:p>
    <w:p w:rsidR="00DC5333" w:rsidRDefault="000816B7" w:rsidP="00DC5333">
      <w:pPr>
        <w:pStyle w:val="HIPTOC2"/>
        <w:rPr>
          <w:rFonts w:asciiTheme="minorHAnsi" w:eastAsiaTheme="minorEastAsia" w:hAnsiTheme="minorHAnsi" w:cstheme="minorBidi"/>
          <w:lang w:eastAsia="zh-CN"/>
        </w:rPr>
      </w:pPr>
      <w:hyperlink w:anchor="_Toc286145011" w:history="1">
        <w:r w:rsidR="00DC5333" w:rsidRPr="003C431A">
          <w:rPr>
            <w:rStyle w:val="Hyperlink"/>
          </w:rPr>
          <w:t>5.1</w:t>
        </w:r>
        <w:r w:rsidR="00DC5333">
          <w:rPr>
            <w:rStyle w:val="Hyperlink"/>
          </w:rPr>
          <w:t xml:space="preserve"> </w:t>
        </w:r>
        <w:r w:rsidR="00DC5333" w:rsidRPr="003C431A">
          <w:rPr>
            <w:rStyle w:val="Hyperlink"/>
          </w:rPr>
          <w:t>Harmonisation and Regional Integrations</w:t>
        </w:r>
        <w:r w:rsidR="00DC5333">
          <w:rPr>
            <w:rStyle w:val="Hyperlink"/>
          </w:rPr>
          <w:tab/>
        </w:r>
        <w:r w:rsidR="00DC5333">
          <w:rPr>
            <w:webHidden/>
          </w:rPr>
          <w:tab/>
        </w:r>
        <w:r>
          <w:rPr>
            <w:webHidden/>
          </w:rPr>
          <w:fldChar w:fldCharType="begin"/>
        </w:r>
        <w:r w:rsidR="00DC5333">
          <w:rPr>
            <w:webHidden/>
          </w:rPr>
          <w:instrText xml:space="preserve"> PAGEREF _Toc286145011 \h </w:instrText>
        </w:r>
        <w:r>
          <w:rPr>
            <w:webHidden/>
          </w:rPr>
        </w:r>
        <w:r>
          <w:rPr>
            <w:webHidden/>
          </w:rPr>
          <w:fldChar w:fldCharType="separate"/>
        </w:r>
        <w:r w:rsidR="007829FC">
          <w:rPr>
            <w:webHidden/>
          </w:rPr>
          <w:t>14</w:t>
        </w:r>
        <w:r>
          <w:rPr>
            <w:webHidden/>
          </w:rPr>
          <w:fldChar w:fldCharType="end"/>
        </w:r>
      </w:hyperlink>
    </w:p>
    <w:p w:rsidR="00DC5333" w:rsidRDefault="000816B7" w:rsidP="00DC5333">
      <w:pPr>
        <w:pStyle w:val="HIPTOC2"/>
        <w:rPr>
          <w:rFonts w:asciiTheme="minorHAnsi" w:eastAsiaTheme="minorEastAsia" w:hAnsiTheme="minorHAnsi" w:cstheme="minorBidi"/>
          <w:lang w:eastAsia="zh-CN"/>
        </w:rPr>
      </w:pPr>
      <w:hyperlink w:anchor="_Toc286145012" w:history="1">
        <w:r w:rsidR="00DC5333" w:rsidRPr="003C431A">
          <w:rPr>
            <w:rStyle w:val="Hyperlink"/>
          </w:rPr>
          <w:t>5.2</w:t>
        </w:r>
        <w:r w:rsidR="00DC5333">
          <w:rPr>
            <w:rStyle w:val="Hyperlink"/>
          </w:rPr>
          <w:t xml:space="preserve"> </w:t>
        </w:r>
        <w:r w:rsidR="00DC5333" w:rsidRPr="003C431A">
          <w:rPr>
            <w:rStyle w:val="Hyperlink"/>
          </w:rPr>
          <w:t>Lessons for CRASA</w:t>
        </w:r>
        <w:r w:rsidR="00DC5333">
          <w:rPr>
            <w:webHidden/>
          </w:rPr>
          <w:tab/>
        </w:r>
        <w:r w:rsidR="00DC5333">
          <w:rPr>
            <w:webHidden/>
          </w:rPr>
          <w:tab/>
        </w:r>
        <w:r>
          <w:rPr>
            <w:webHidden/>
          </w:rPr>
          <w:fldChar w:fldCharType="begin"/>
        </w:r>
        <w:r w:rsidR="00DC5333">
          <w:rPr>
            <w:webHidden/>
          </w:rPr>
          <w:instrText xml:space="preserve"> PAGEREF _Toc286145012 \h </w:instrText>
        </w:r>
        <w:r>
          <w:rPr>
            <w:webHidden/>
          </w:rPr>
        </w:r>
        <w:r>
          <w:rPr>
            <w:webHidden/>
          </w:rPr>
          <w:fldChar w:fldCharType="separate"/>
        </w:r>
        <w:r w:rsidR="007829FC">
          <w:rPr>
            <w:webHidden/>
          </w:rPr>
          <w:t>14</w:t>
        </w:r>
        <w:r>
          <w:rPr>
            <w:webHidden/>
          </w:rPr>
          <w:fldChar w:fldCharType="end"/>
        </w:r>
      </w:hyperlink>
    </w:p>
    <w:p w:rsidR="00A401B5" w:rsidRPr="00023929" w:rsidRDefault="000816B7" w:rsidP="00023929">
      <w:pPr>
        <w:pStyle w:val="HIPTOC1"/>
        <w:rPr>
          <w:rFonts w:eastAsiaTheme="minorEastAsia"/>
        </w:rPr>
      </w:pPr>
      <w:r>
        <w:rPr>
          <w:rStyle w:val="Hyperlink"/>
          <w:rFonts w:ascii="Helvetica 55 Roman" w:hAnsi="Helvetica 55 Roman" w:cs="Times New Roman"/>
          <w:caps/>
          <w:noProof w:val="0"/>
          <w:color w:val="auto"/>
          <w:sz w:val="22"/>
          <w:szCs w:val="22"/>
          <w:u w:val="none"/>
          <w:lang w:val="fr-FR"/>
        </w:rPr>
        <w:fldChar w:fldCharType="end"/>
      </w:r>
    </w:p>
    <w:p w:rsidR="00DC5333" w:rsidRDefault="00DC5333">
      <w:pPr>
        <w:rPr>
          <w:rFonts w:ascii="Calibri" w:eastAsiaTheme="minorEastAsia" w:hAnsi="Calibri" w:cs="Helvetica"/>
          <w:b/>
          <w:bCs/>
          <w:noProof/>
          <w:color w:val="008000"/>
          <w:sz w:val="28"/>
          <w:szCs w:val="28"/>
          <w:lang w:val="en-US" w:eastAsia="zh-CN"/>
        </w:rPr>
      </w:pPr>
      <w:r>
        <w:rPr>
          <w:rFonts w:eastAsiaTheme="minorEastAsia"/>
          <w:noProof/>
          <w:lang w:eastAsia="zh-CN"/>
        </w:rPr>
        <w:br w:type="page"/>
      </w:r>
    </w:p>
    <w:p w:rsidR="0088668E" w:rsidRDefault="00DC5333" w:rsidP="0088668E">
      <w:pPr>
        <w:pStyle w:val="HIPHeading"/>
        <w:rPr>
          <w:rFonts w:eastAsiaTheme="minorEastAsia"/>
          <w:noProof/>
          <w:lang w:eastAsia="zh-CN"/>
        </w:rPr>
      </w:pPr>
      <w:r>
        <w:rPr>
          <w:rFonts w:eastAsiaTheme="minorEastAsia"/>
          <w:noProof/>
          <w:lang w:eastAsia="zh-CN"/>
        </w:rPr>
        <w:lastRenderedPageBreak/>
        <w:t>List</w:t>
      </w:r>
      <w:r w:rsidR="0088668E">
        <w:rPr>
          <w:rFonts w:eastAsiaTheme="minorEastAsia"/>
          <w:noProof/>
          <w:lang w:eastAsia="zh-CN"/>
        </w:rPr>
        <w:t xml:space="preserve"> of figures</w:t>
      </w:r>
    </w:p>
    <w:p w:rsidR="00DC5333" w:rsidRPr="00805791" w:rsidRDefault="00DC5333" w:rsidP="00DC5333">
      <w:pPr>
        <w:pStyle w:val="HIPTOC0"/>
        <w:keepNext/>
      </w:pPr>
      <w:r w:rsidRPr="00805791">
        <w:tab/>
        <w:t>Page</w:t>
      </w:r>
    </w:p>
    <w:p w:rsidR="00DC5333" w:rsidRDefault="000816B7" w:rsidP="00DC5333">
      <w:pPr>
        <w:pStyle w:val="HIPTOC2"/>
        <w:rPr>
          <w:rFonts w:asciiTheme="minorHAnsi" w:eastAsiaTheme="minorEastAsia" w:hAnsiTheme="minorHAnsi" w:cstheme="minorBidi"/>
          <w:lang w:eastAsia="zh-CN"/>
        </w:rPr>
      </w:pPr>
      <w:r w:rsidRPr="000816B7">
        <w:rPr>
          <w:rFonts w:ascii="Helvetica 55 Roman" w:eastAsiaTheme="minorEastAsia" w:hAnsi="Helvetica 55 Roman" w:cs="Times New Roman"/>
          <w:sz w:val="22"/>
          <w:lang w:eastAsia="zh-CN"/>
        </w:rPr>
        <w:fldChar w:fldCharType="begin"/>
      </w:r>
      <w:r w:rsidR="00DC5333">
        <w:rPr>
          <w:rFonts w:ascii="Helvetica 55 Roman" w:eastAsiaTheme="minorEastAsia" w:hAnsi="Helvetica 55 Roman" w:cs="Times New Roman"/>
          <w:sz w:val="22"/>
          <w:lang w:eastAsia="zh-CN"/>
        </w:rPr>
        <w:instrText xml:space="preserve"> TOC \h \z \t "HIP Figure title" \c </w:instrText>
      </w:r>
      <w:r w:rsidRPr="000816B7">
        <w:rPr>
          <w:rFonts w:ascii="Helvetica 55 Roman" w:eastAsiaTheme="minorEastAsia" w:hAnsi="Helvetica 55 Roman" w:cs="Times New Roman"/>
          <w:sz w:val="22"/>
          <w:lang w:eastAsia="zh-CN"/>
        </w:rPr>
        <w:fldChar w:fldCharType="separate"/>
      </w:r>
      <w:hyperlink w:anchor="_Toc286145947" w:history="1">
        <w:r w:rsidR="00DC5333" w:rsidRPr="002214B6">
          <w:rPr>
            <w:rStyle w:val="Hyperlink"/>
          </w:rPr>
          <w:t>Figure 0.1: Universal Acces Project Funding, using Uganda example</w:t>
        </w:r>
        <w:r w:rsidR="00DC5333">
          <w:rPr>
            <w:webHidden/>
          </w:rPr>
          <w:tab/>
        </w:r>
        <w:r w:rsidR="00DC5333">
          <w:rPr>
            <w:webHidden/>
          </w:rPr>
          <w:tab/>
        </w:r>
        <w:r>
          <w:rPr>
            <w:webHidden/>
          </w:rPr>
          <w:fldChar w:fldCharType="begin"/>
        </w:r>
        <w:r w:rsidR="00DC5333">
          <w:rPr>
            <w:webHidden/>
          </w:rPr>
          <w:instrText xml:space="preserve"> PAGEREF _Toc286145947 \h </w:instrText>
        </w:r>
        <w:r>
          <w:rPr>
            <w:webHidden/>
          </w:rPr>
        </w:r>
        <w:r>
          <w:rPr>
            <w:webHidden/>
          </w:rPr>
          <w:fldChar w:fldCharType="separate"/>
        </w:r>
        <w:r w:rsidR="007829FC">
          <w:rPr>
            <w:webHidden/>
          </w:rPr>
          <w:t>x</w:t>
        </w:r>
        <w:r>
          <w:rPr>
            <w:webHidden/>
          </w:rPr>
          <w:fldChar w:fldCharType="end"/>
        </w:r>
      </w:hyperlink>
    </w:p>
    <w:p w:rsidR="00DC5333" w:rsidRDefault="000816B7" w:rsidP="00DC5333">
      <w:pPr>
        <w:pStyle w:val="HIPTOC2"/>
        <w:rPr>
          <w:rFonts w:asciiTheme="minorHAnsi" w:eastAsiaTheme="minorEastAsia" w:hAnsiTheme="minorHAnsi" w:cstheme="minorBidi"/>
          <w:lang w:eastAsia="zh-CN"/>
        </w:rPr>
      </w:pPr>
      <w:hyperlink w:anchor="_Toc286145948" w:history="1">
        <w:r w:rsidR="00DC5333" w:rsidRPr="002214B6">
          <w:rPr>
            <w:rStyle w:val="Hyperlink"/>
          </w:rPr>
          <w:t>Figure 2.1: Mauritian Fund Management Structure</w:t>
        </w:r>
        <w:r w:rsidR="00DC5333">
          <w:rPr>
            <w:webHidden/>
          </w:rPr>
          <w:tab/>
        </w:r>
        <w:r w:rsidR="00DC5333">
          <w:rPr>
            <w:webHidden/>
          </w:rPr>
          <w:tab/>
        </w:r>
        <w:r>
          <w:rPr>
            <w:webHidden/>
          </w:rPr>
          <w:fldChar w:fldCharType="begin"/>
        </w:r>
        <w:r w:rsidR="00DC5333">
          <w:rPr>
            <w:webHidden/>
          </w:rPr>
          <w:instrText xml:space="preserve"> PAGEREF _Toc286145948 \h </w:instrText>
        </w:r>
        <w:r>
          <w:rPr>
            <w:webHidden/>
          </w:rPr>
        </w:r>
        <w:r>
          <w:rPr>
            <w:webHidden/>
          </w:rPr>
          <w:fldChar w:fldCharType="separate"/>
        </w:r>
        <w:r w:rsidR="007829FC">
          <w:rPr>
            <w:webHidden/>
          </w:rPr>
          <w:t>14</w:t>
        </w:r>
        <w:r>
          <w:rPr>
            <w:webHidden/>
          </w:rPr>
          <w:fldChar w:fldCharType="end"/>
        </w:r>
      </w:hyperlink>
    </w:p>
    <w:p w:rsidR="00DC5333" w:rsidRDefault="000816B7" w:rsidP="00DC5333">
      <w:pPr>
        <w:pStyle w:val="HIPTOC2"/>
        <w:rPr>
          <w:rFonts w:asciiTheme="minorHAnsi" w:eastAsiaTheme="minorEastAsia" w:hAnsiTheme="minorHAnsi" w:cstheme="minorBidi"/>
          <w:lang w:eastAsia="zh-CN"/>
        </w:rPr>
      </w:pPr>
      <w:hyperlink w:anchor="_Toc286145949" w:history="1">
        <w:r w:rsidR="00DC5333" w:rsidRPr="002214B6">
          <w:rPr>
            <w:rStyle w:val="Hyperlink"/>
          </w:rPr>
          <w:t>Figure 3.1: Approved State Aid for Broadband in the EU (2003 – 2010)</w:t>
        </w:r>
        <w:r w:rsidR="00DC5333">
          <w:rPr>
            <w:webHidden/>
          </w:rPr>
          <w:tab/>
        </w:r>
        <w:r w:rsidR="00DC5333">
          <w:rPr>
            <w:webHidden/>
          </w:rPr>
          <w:tab/>
        </w:r>
        <w:r>
          <w:rPr>
            <w:webHidden/>
          </w:rPr>
          <w:fldChar w:fldCharType="begin"/>
        </w:r>
        <w:r w:rsidR="00DC5333">
          <w:rPr>
            <w:webHidden/>
          </w:rPr>
          <w:instrText xml:space="preserve"> PAGEREF _Toc286145949 \h </w:instrText>
        </w:r>
        <w:r>
          <w:rPr>
            <w:webHidden/>
          </w:rPr>
        </w:r>
        <w:r>
          <w:rPr>
            <w:webHidden/>
          </w:rPr>
          <w:fldChar w:fldCharType="separate"/>
        </w:r>
        <w:r w:rsidR="007829FC">
          <w:rPr>
            <w:webHidden/>
          </w:rPr>
          <w:t>14</w:t>
        </w:r>
        <w:r>
          <w:rPr>
            <w:webHidden/>
          </w:rPr>
          <w:fldChar w:fldCharType="end"/>
        </w:r>
      </w:hyperlink>
    </w:p>
    <w:p w:rsidR="00DC5333" w:rsidRDefault="000816B7" w:rsidP="00DC5333">
      <w:pPr>
        <w:pStyle w:val="HIPTOC2"/>
        <w:rPr>
          <w:rFonts w:asciiTheme="minorHAnsi" w:eastAsiaTheme="minorEastAsia" w:hAnsiTheme="minorHAnsi" w:cstheme="minorBidi"/>
          <w:lang w:eastAsia="zh-CN"/>
        </w:rPr>
      </w:pPr>
      <w:hyperlink w:anchor="_Toc286145950" w:history="1">
        <w:r w:rsidR="00DC5333" w:rsidRPr="002214B6">
          <w:rPr>
            <w:rStyle w:val="Hyperlink"/>
          </w:rPr>
          <w:t>Figure 3.2: Key elements of Irish National Broadband Scheme design</w:t>
        </w:r>
        <w:r w:rsidR="00DC5333">
          <w:rPr>
            <w:webHidden/>
          </w:rPr>
          <w:tab/>
        </w:r>
        <w:r w:rsidR="00DC5333">
          <w:rPr>
            <w:webHidden/>
          </w:rPr>
          <w:tab/>
        </w:r>
        <w:r>
          <w:rPr>
            <w:webHidden/>
          </w:rPr>
          <w:fldChar w:fldCharType="begin"/>
        </w:r>
        <w:r w:rsidR="00DC5333">
          <w:rPr>
            <w:webHidden/>
          </w:rPr>
          <w:instrText xml:space="preserve"> PAGEREF _Toc286145950 \h </w:instrText>
        </w:r>
        <w:r>
          <w:rPr>
            <w:webHidden/>
          </w:rPr>
        </w:r>
        <w:r>
          <w:rPr>
            <w:webHidden/>
          </w:rPr>
          <w:fldChar w:fldCharType="separate"/>
        </w:r>
        <w:r w:rsidR="007829FC">
          <w:rPr>
            <w:webHidden/>
          </w:rPr>
          <w:t>14</w:t>
        </w:r>
        <w:r>
          <w:rPr>
            <w:webHidden/>
          </w:rPr>
          <w:fldChar w:fldCharType="end"/>
        </w:r>
      </w:hyperlink>
    </w:p>
    <w:p w:rsidR="00DC5333" w:rsidRDefault="000816B7" w:rsidP="00DC5333">
      <w:pPr>
        <w:pStyle w:val="HIPTOC2"/>
        <w:rPr>
          <w:rFonts w:asciiTheme="minorHAnsi" w:eastAsiaTheme="minorEastAsia" w:hAnsiTheme="minorHAnsi" w:cstheme="minorBidi"/>
          <w:lang w:eastAsia="zh-CN"/>
        </w:rPr>
      </w:pPr>
      <w:hyperlink w:anchor="_Toc286145951" w:history="1">
        <w:r w:rsidR="00DC5333" w:rsidRPr="002214B6">
          <w:rPr>
            <w:rStyle w:val="Hyperlink"/>
          </w:rPr>
          <w:t>Figure 4.1: 10-Step Monitoring and Evaluation Framework</w:t>
        </w:r>
        <w:r w:rsidR="00DC5333">
          <w:rPr>
            <w:webHidden/>
          </w:rPr>
          <w:tab/>
        </w:r>
        <w:r w:rsidR="00DC5333">
          <w:rPr>
            <w:webHidden/>
          </w:rPr>
          <w:tab/>
        </w:r>
        <w:r>
          <w:rPr>
            <w:webHidden/>
          </w:rPr>
          <w:fldChar w:fldCharType="begin"/>
        </w:r>
        <w:r w:rsidR="00DC5333">
          <w:rPr>
            <w:webHidden/>
          </w:rPr>
          <w:instrText xml:space="preserve"> PAGEREF _Toc286145951 \h </w:instrText>
        </w:r>
        <w:r>
          <w:rPr>
            <w:webHidden/>
          </w:rPr>
        </w:r>
        <w:r>
          <w:rPr>
            <w:webHidden/>
          </w:rPr>
          <w:fldChar w:fldCharType="separate"/>
        </w:r>
        <w:r w:rsidR="007829FC">
          <w:rPr>
            <w:webHidden/>
          </w:rPr>
          <w:t>14</w:t>
        </w:r>
        <w:r>
          <w:rPr>
            <w:webHidden/>
          </w:rPr>
          <w:fldChar w:fldCharType="end"/>
        </w:r>
      </w:hyperlink>
    </w:p>
    <w:p w:rsidR="00DC5333" w:rsidRDefault="000816B7" w:rsidP="00DC5333">
      <w:pPr>
        <w:pStyle w:val="HIPTOC2"/>
        <w:rPr>
          <w:rFonts w:asciiTheme="minorHAnsi" w:eastAsiaTheme="minorEastAsia" w:hAnsiTheme="minorHAnsi" w:cstheme="minorBidi"/>
          <w:lang w:eastAsia="zh-CN"/>
        </w:rPr>
      </w:pPr>
      <w:hyperlink w:anchor="_Toc286145952" w:history="1">
        <w:r w:rsidR="00DC5333" w:rsidRPr="002214B6">
          <w:rPr>
            <w:rStyle w:val="Hyperlink"/>
          </w:rPr>
          <w:t>Figure 4.2: Obectives of Evaluation</w:t>
        </w:r>
        <w:r w:rsidR="00DC5333">
          <w:rPr>
            <w:webHidden/>
          </w:rPr>
          <w:tab/>
        </w:r>
        <w:r w:rsidR="00DC5333">
          <w:rPr>
            <w:webHidden/>
          </w:rPr>
          <w:tab/>
        </w:r>
        <w:r>
          <w:rPr>
            <w:webHidden/>
          </w:rPr>
          <w:fldChar w:fldCharType="begin"/>
        </w:r>
        <w:r w:rsidR="00DC5333">
          <w:rPr>
            <w:webHidden/>
          </w:rPr>
          <w:instrText xml:space="preserve"> PAGEREF _Toc286145952 \h </w:instrText>
        </w:r>
        <w:r>
          <w:rPr>
            <w:webHidden/>
          </w:rPr>
        </w:r>
        <w:r>
          <w:rPr>
            <w:webHidden/>
          </w:rPr>
          <w:fldChar w:fldCharType="separate"/>
        </w:r>
        <w:r w:rsidR="007829FC">
          <w:rPr>
            <w:webHidden/>
          </w:rPr>
          <w:t>14</w:t>
        </w:r>
        <w:r>
          <w:rPr>
            <w:webHidden/>
          </w:rPr>
          <w:fldChar w:fldCharType="end"/>
        </w:r>
      </w:hyperlink>
    </w:p>
    <w:p w:rsidR="00DC5333" w:rsidRDefault="000816B7" w:rsidP="00DC5333">
      <w:pPr>
        <w:pStyle w:val="HIPTOC2"/>
        <w:rPr>
          <w:rFonts w:eastAsiaTheme="minorEastAsia"/>
          <w:lang w:eastAsia="zh-CN"/>
        </w:rPr>
      </w:pPr>
      <w:r>
        <w:rPr>
          <w:rFonts w:eastAsiaTheme="minorEastAsia"/>
          <w:lang w:eastAsia="zh-CN"/>
        </w:rPr>
        <w:fldChar w:fldCharType="end"/>
      </w:r>
    </w:p>
    <w:p w:rsidR="00F87B47" w:rsidRDefault="00F87B47" w:rsidP="00F87B47">
      <w:pPr>
        <w:pStyle w:val="HIPTOC2"/>
        <w:numPr>
          <w:ilvl w:val="0"/>
          <w:numId w:val="0"/>
        </w:numPr>
        <w:ind w:left="284"/>
        <w:rPr>
          <w:rFonts w:eastAsiaTheme="minorEastAsia"/>
          <w:lang w:eastAsia="zh-CN"/>
        </w:rPr>
      </w:pPr>
    </w:p>
    <w:p w:rsidR="00DC5333" w:rsidRDefault="00DC5333" w:rsidP="00DC5333">
      <w:pPr>
        <w:pStyle w:val="HIPHeading"/>
        <w:rPr>
          <w:rFonts w:eastAsiaTheme="minorEastAsia"/>
          <w:noProof/>
          <w:lang w:eastAsia="zh-CN"/>
        </w:rPr>
      </w:pPr>
      <w:r>
        <w:rPr>
          <w:rFonts w:eastAsiaTheme="minorEastAsia"/>
          <w:noProof/>
          <w:lang w:eastAsia="zh-CN"/>
        </w:rPr>
        <w:t>List of tables</w:t>
      </w:r>
    </w:p>
    <w:p w:rsidR="00F87B47" w:rsidRDefault="000816B7" w:rsidP="00F87B47">
      <w:pPr>
        <w:pStyle w:val="HIPTOC2"/>
        <w:rPr>
          <w:rFonts w:asciiTheme="minorHAnsi" w:eastAsiaTheme="minorEastAsia" w:hAnsiTheme="minorHAnsi" w:cstheme="minorBidi"/>
          <w:lang w:eastAsia="zh-CN"/>
        </w:rPr>
      </w:pPr>
      <w:r w:rsidRPr="000816B7">
        <w:rPr>
          <w:rFonts w:eastAsiaTheme="minorEastAsia"/>
          <w:lang w:eastAsia="zh-CN"/>
        </w:rPr>
        <w:fldChar w:fldCharType="begin"/>
      </w:r>
      <w:r w:rsidR="00DC5333">
        <w:rPr>
          <w:rFonts w:eastAsiaTheme="minorEastAsia"/>
          <w:lang w:eastAsia="zh-CN"/>
        </w:rPr>
        <w:instrText xml:space="preserve"> TOC \h \z \t "HIP Table title,1" </w:instrText>
      </w:r>
      <w:r w:rsidRPr="000816B7">
        <w:rPr>
          <w:rFonts w:eastAsiaTheme="minorEastAsia"/>
          <w:lang w:eastAsia="zh-CN"/>
        </w:rPr>
        <w:fldChar w:fldCharType="separate"/>
      </w:r>
      <w:hyperlink w:anchor="_Toc286146542" w:history="1">
        <w:r w:rsidR="00F87B47" w:rsidRPr="00AA58F1">
          <w:rPr>
            <w:rStyle w:val="Hyperlink"/>
          </w:rPr>
          <w:t>Table 1.1: Snapshot – Countries using other Financing Mechanisms for UAS</w:t>
        </w:r>
        <w:r w:rsidR="00F87B47">
          <w:rPr>
            <w:webHidden/>
          </w:rPr>
          <w:tab/>
        </w:r>
        <w:r w:rsidR="00F87B47">
          <w:rPr>
            <w:webHidden/>
          </w:rPr>
          <w:tab/>
        </w:r>
        <w:r>
          <w:rPr>
            <w:webHidden/>
          </w:rPr>
          <w:fldChar w:fldCharType="begin"/>
        </w:r>
        <w:r w:rsidR="00F87B47">
          <w:rPr>
            <w:webHidden/>
          </w:rPr>
          <w:instrText xml:space="preserve"> PAGEREF _Toc286146542 \h </w:instrText>
        </w:r>
        <w:r>
          <w:rPr>
            <w:webHidden/>
          </w:rPr>
        </w:r>
        <w:r>
          <w:rPr>
            <w:webHidden/>
          </w:rPr>
          <w:fldChar w:fldCharType="separate"/>
        </w:r>
        <w:r w:rsidR="007829FC">
          <w:rPr>
            <w:webHidden/>
          </w:rPr>
          <w:t>6</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543" w:history="1">
        <w:r w:rsidR="00F87B47" w:rsidRPr="00AA58F1">
          <w:rPr>
            <w:rStyle w:val="Hyperlink"/>
          </w:rPr>
          <w:t>Table 1.2: Output Based Aid Overview</w:t>
        </w:r>
        <w:r w:rsidR="00F87B47">
          <w:rPr>
            <w:webHidden/>
          </w:rPr>
          <w:tab/>
        </w:r>
        <w:r w:rsidR="00F87B47">
          <w:rPr>
            <w:webHidden/>
          </w:rPr>
          <w:tab/>
        </w:r>
        <w:r>
          <w:rPr>
            <w:webHidden/>
          </w:rPr>
          <w:fldChar w:fldCharType="begin"/>
        </w:r>
        <w:r w:rsidR="00F87B47">
          <w:rPr>
            <w:webHidden/>
          </w:rPr>
          <w:instrText xml:space="preserve"> PAGEREF _Toc286146543 \h </w:instrText>
        </w:r>
        <w:r>
          <w:rPr>
            <w:webHidden/>
          </w:rPr>
        </w:r>
        <w:r>
          <w:rPr>
            <w:webHidden/>
          </w:rPr>
          <w:fldChar w:fldCharType="separate"/>
        </w:r>
        <w:r w:rsidR="007829FC">
          <w:rPr>
            <w:webHidden/>
          </w:rPr>
          <w:t>7</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544" w:history="1">
        <w:r w:rsidR="00F87B47" w:rsidRPr="00AA58F1">
          <w:rPr>
            <w:rStyle w:val="Hyperlink"/>
          </w:rPr>
          <w:t>Table 1.3: Financing Cooperation and Partnerships</w:t>
        </w:r>
        <w:r w:rsidR="00F87B47">
          <w:rPr>
            <w:webHidden/>
          </w:rPr>
          <w:tab/>
        </w:r>
        <w:r w:rsidR="00F87B47">
          <w:rPr>
            <w:webHidden/>
          </w:rPr>
          <w:tab/>
        </w:r>
        <w:r>
          <w:rPr>
            <w:webHidden/>
          </w:rPr>
          <w:fldChar w:fldCharType="begin"/>
        </w:r>
        <w:r w:rsidR="00F87B47">
          <w:rPr>
            <w:webHidden/>
          </w:rPr>
          <w:instrText xml:space="preserve"> PAGEREF _Toc286146544 \h </w:instrText>
        </w:r>
        <w:r>
          <w:rPr>
            <w:webHidden/>
          </w:rPr>
        </w:r>
        <w:r>
          <w:rPr>
            <w:webHidden/>
          </w:rPr>
          <w:fldChar w:fldCharType="separate"/>
        </w:r>
        <w:r w:rsidR="007829FC">
          <w:rPr>
            <w:webHidden/>
          </w:rPr>
          <w:t>10</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545" w:history="1">
        <w:r w:rsidR="00F87B47" w:rsidRPr="00AA58F1">
          <w:rPr>
            <w:rStyle w:val="Hyperlink"/>
          </w:rPr>
          <w:t>Table 2.1: Conducive Policy Framework Checklist</w:t>
        </w:r>
        <w:r w:rsidR="00F87B47">
          <w:rPr>
            <w:webHidden/>
          </w:rPr>
          <w:tab/>
        </w:r>
        <w:r w:rsidR="00F87B47">
          <w:rPr>
            <w:webHidden/>
          </w:rPr>
          <w:tab/>
        </w:r>
        <w:r>
          <w:rPr>
            <w:webHidden/>
          </w:rPr>
          <w:fldChar w:fldCharType="begin"/>
        </w:r>
        <w:r w:rsidR="00F87B47">
          <w:rPr>
            <w:webHidden/>
          </w:rPr>
          <w:instrText xml:space="preserve"> PAGEREF _Toc286146545 \h </w:instrText>
        </w:r>
        <w:r>
          <w:rPr>
            <w:webHidden/>
          </w:rPr>
        </w:r>
        <w:r>
          <w:rPr>
            <w:webHidden/>
          </w:rPr>
          <w:fldChar w:fldCharType="separate"/>
        </w:r>
        <w:r w:rsidR="007829FC">
          <w:rPr>
            <w:webHidden/>
          </w:rPr>
          <w:t>13</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546" w:history="1">
        <w:r w:rsidR="00F87B47" w:rsidRPr="00AA58F1">
          <w:rPr>
            <w:rStyle w:val="Hyperlink"/>
          </w:rPr>
          <w:t>Table 2.2: Key Reforms to Enable Universal Access</w:t>
        </w:r>
        <w:r w:rsidR="00F87B47">
          <w:rPr>
            <w:webHidden/>
          </w:rPr>
          <w:tab/>
        </w:r>
        <w:r w:rsidR="00F87B47">
          <w:rPr>
            <w:webHidden/>
          </w:rPr>
          <w:tab/>
        </w:r>
        <w:r>
          <w:rPr>
            <w:webHidden/>
          </w:rPr>
          <w:fldChar w:fldCharType="begin"/>
        </w:r>
        <w:r w:rsidR="00F87B47">
          <w:rPr>
            <w:webHidden/>
          </w:rPr>
          <w:instrText xml:space="preserve"> PAGEREF _Toc286146546 \h </w:instrText>
        </w:r>
        <w:r>
          <w:rPr>
            <w:webHidden/>
          </w:rPr>
        </w:r>
        <w:r>
          <w:rPr>
            <w:webHidden/>
          </w:rPr>
          <w:fldChar w:fldCharType="separate"/>
        </w:r>
        <w:r w:rsidR="007829FC">
          <w:rPr>
            <w:webHidden/>
          </w:rPr>
          <w:t>14</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547" w:history="1">
        <w:r w:rsidR="00F87B47" w:rsidRPr="00AA58F1">
          <w:rPr>
            <w:rStyle w:val="Hyperlink"/>
          </w:rPr>
          <w:t>Table 2.3: Snapshot – Countries with Policy and Legislation on UAS</w:t>
        </w:r>
        <w:r w:rsidR="00F87B47">
          <w:rPr>
            <w:webHidden/>
          </w:rPr>
          <w:tab/>
        </w:r>
        <w:r w:rsidR="00F87B47">
          <w:rPr>
            <w:webHidden/>
          </w:rPr>
          <w:tab/>
        </w:r>
        <w:r>
          <w:rPr>
            <w:webHidden/>
          </w:rPr>
          <w:fldChar w:fldCharType="begin"/>
        </w:r>
        <w:r w:rsidR="00F87B47">
          <w:rPr>
            <w:webHidden/>
          </w:rPr>
          <w:instrText xml:space="preserve"> PAGEREF _Toc286146547 \h </w:instrText>
        </w:r>
        <w:r>
          <w:rPr>
            <w:webHidden/>
          </w:rPr>
        </w:r>
        <w:r>
          <w:rPr>
            <w:webHidden/>
          </w:rPr>
          <w:fldChar w:fldCharType="separate"/>
        </w:r>
        <w:r w:rsidR="007829FC">
          <w:rPr>
            <w:webHidden/>
          </w:rPr>
          <w:t>14</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548" w:history="1">
        <w:r w:rsidR="00F87B47" w:rsidRPr="00AA58F1">
          <w:rPr>
            <w:rStyle w:val="Hyperlink"/>
          </w:rPr>
          <w:t>Table 2.4: Case Study – Mandate of the Tanzanian Fund</w:t>
        </w:r>
        <w:r w:rsidR="00F87B47">
          <w:rPr>
            <w:webHidden/>
          </w:rPr>
          <w:tab/>
        </w:r>
        <w:r w:rsidR="00F87B47">
          <w:rPr>
            <w:webHidden/>
          </w:rPr>
          <w:tab/>
        </w:r>
        <w:r>
          <w:rPr>
            <w:webHidden/>
          </w:rPr>
          <w:fldChar w:fldCharType="begin"/>
        </w:r>
        <w:r w:rsidR="00F87B47">
          <w:rPr>
            <w:webHidden/>
          </w:rPr>
          <w:instrText xml:space="preserve"> PAGEREF _Toc286146548 \h </w:instrText>
        </w:r>
        <w:r>
          <w:rPr>
            <w:webHidden/>
          </w:rPr>
        </w:r>
        <w:r>
          <w:rPr>
            <w:webHidden/>
          </w:rPr>
          <w:fldChar w:fldCharType="separate"/>
        </w:r>
        <w:r w:rsidR="007829FC">
          <w:rPr>
            <w:webHidden/>
          </w:rPr>
          <w:t>14</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549" w:history="1">
        <w:r w:rsidR="00F87B47" w:rsidRPr="00AA58F1">
          <w:rPr>
            <w:rStyle w:val="Hyperlink"/>
          </w:rPr>
          <w:t>Table 2.5: Case Study, Pakistan USF Board of Directors</w:t>
        </w:r>
        <w:r w:rsidR="00F87B47">
          <w:rPr>
            <w:webHidden/>
          </w:rPr>
          <w:tab/>
        </w:r>
        <w:r w:rsidR="00F87B47">
          <w:rPr>
            <w:webHidden/>
          </w:rPr>
          <w:tab/>
        </w:r>
        <w:r>
          <w:rPr>
            <w:webHidden/>
          </w:rPr>
          <w:fldChar w:fldCharType="begin"/>
        </w:r>
        <w:r w:rsidR="00F87B47">
          <w:rPr>
            <w:webHidden/>
          </w:rPr>
          <w:instrText xml:space="preserve"> PAGEREF _Toc286146549 \h </w:instrText>
        </w:r>
        <w:r>
          <w:rPr>
            <w:webHidden/>
          </w:rPr>
        </w:r>
        <w:r>
          <w:rPr>
            <w:webHidden/>
          </w:rPr>
          <w:fldChar w:fldCharType="separate"/>
        </w:r>
        <w:r w:rsidR="007829FC">
          <w:rPr>
            <w:webHidden/>
          </w:rPr>
          <w:t>14</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550" w:history="1">
        <w:r w:rsidR="00F87B47" w:rsidRPr="00AA58F1">
          <w:rPr>
            <w:rStyle w:val="Hyperlink"/>
          </w:rPr>
          <w:t>Table 2.6: SADC USAF Institutional Frameworks and Staffing</w:t>
        </w:r>
        <w:r w:rsidR="00F87B47">
          <w:rPr>
            <w:webHidden/>
          </w:rPr>
          <w:tab/>
        </w:r>
        <w:r w:rsidR="00F87B47">
          <w:rPr>
            <w:webHidden/>
          </w:rPr>
          <w:tab/>
        </w:r>
        <w:r>
          <w:rPr>
            <w:webHidden/>
          </w:rPr>
          <w:fldChar w:fldCharType="begin"/>
        </w:r>
        <w:r w:rsidR="00F87B47">
          <w:rPr>
            <w:webHidden/>
          </w:rPr>
          <w:instrText xml:space="preserve"> PAGEREF _Toc286146550 \h </w:instrText>
        </w:r>
        <w:r>
          <w:rPr>
            <w:webHidden/>
          </w:rPr>
        </w:r>
        <w:r>
          <w:rPr>
            <w:webHidden/>
          </w:rPr>
          <w:fldChar w:fldCharType="separate"/>
        </w:r>
        <w:r w:rsidR="007829FC">
          <w:rPr>
            <w:webHidden/>
          </w:rPr>
          <w:t>14</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551" w:history="1">
        <w:r w:rsidR="00F87B47" w:rsidRPr="00AA58F1">
          <w:rPr>
            <w:rStyle w:val="Hyperlink"/>
          </w:rPr>
          <w:t>Table 2.7: Management of Funds in SADC</w:t>
        </w:r>
        <w:r w:rsidR="00F87B47">
          <w:rPr>
            <w:webHidden/>
          </w:rPr>
          <w:tab/>
        </w:r>
        <w:r w:rsidR="00F87B47">
          <w:rPr>
            <w:webHidden/>
          </w:rPr>
          <w:tab/>
        </w:r>
        <w:r>
          <w:rPr>
            <w:webHidden/>
          </w:rPr>
          <w:fldChar w:fldCharType="begin"/>
        </w:r>
        <w:r w:rsidR="00F87B47">
          <w:rPr>
            <w:webHidden/>
          </w:rPr>
          <w:instrText xml:space="preserve"> PAGEREF _Toc286146551 \h </w:instrText>
        </w:r>
        <w:r>
          <w:rPr>
            <w:webHidden/>
          </w:rPr>
        </w:r>
        <w:r>
          <w:rPr>
            <w:webHidden/>
          </w:rPr>
          <w:fldChar w:fldCharType="separate"/>
        </w:r>
        <w:r w:rsidR="007829FC">
          <w:rPr>
            <w:webHidden/>
          </w:rPr>
          <w:t>14</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552" w:history="1">
        <w:r w:rsidR="00F87B47" w:rsidRPr="00AA58F1">
          <w:rPr>
            <w:rStyle w:val="Hyperlink"/>
          </w:rPr>
          <w:t>Table 2.8:Case Study – European Union</w:t>
        </w:r>
        <w:r w:rsidR="00F87B47">
          <w:rPr>
            <w:webHidden/>
          </w:rPr>
          <w:tab/>
        </w:r>
        <w:r w:rsidR="00F87B47">
          <w:rPr>
            <w:webHidden/>
          </w:rPr>
          <w:tab/>
        </w:r>
        <w:r>
          <w:rPr>
            <w:webHidden/>
          </w:rPr>
          <w:fldChar w:fldCharType="begin"/>
        </w:r>
        <w:r w:rsidR="00F87B47">
          <w:rPr>
            <w:webHidden/>
          </w:rPr>
          <w:instrText xml:space="preserve"> PAGEREF _Toc286146552 \h </w:instrText>
        </w:r>
        <w:r>
          <w:rPr>
            <w:webHidden/>
          </w:rPr>
        </w:r>
        <w:r>
          <w:rPr>
            <w:webHidden/>
          </w:rPr>
          <w:fldChar w:fldCharType="separate"/>
        </w:r>
        <w:r w:rsidR="007829FC">
          <w:rPr>
            <w:webHidden/>
          </w:rPr>
          <w:t>14</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553" w:history="1">
        <w:r w:rsidR="00F87B47" w:rsidRPr="00AA58F1">
          <w:rPr>
            <w:rStyle w:val="Hyperlink"/>
          </w:rPr>
          <w:t>Table 2.9: South African Case Study of Fund Collection and Disbursement</w:t>
        </w:r>
        <w:r w:rsidR="00F87B47">
          <w:rPr>
            <w:webHidden/>
          </w:rPr>
          <w:tab/>
        </w:r>
        <w:r w:rsidR="00F87B47">
          <w:rPr>
            <w:webHidden/>
          </w:rPr>
          <w:tab/>
        </w:r>
        <w:r>
          <w:rPr>
            <w:webHidden/>
          </w:rPr>
          <w:fldChar w:fldCharType="begin"/>
        </w:r>
        <w:r w:rsidR="00F87B47">
          <w:rPr>
            <w:webHidden/>
          </w:rPr>
          <w:instrText xml:space="preserve"> PAGEREF _Toc286146553 \h </w:instrText>
        </w:r>
        <w:r>
          <w:rPr>
            <w:webHidden/>
          </w:rPr>
        </w:r>
        <w:r>
          <w:rPr>
            <w:webHidden/>
          </w:rPr>
          <w:fldChar w:fldCharType="separate"/>
        </w:r>
        <w:r w:rsidR="007829FC">
          <w:rPr>
            <w:webHidden/>
          </w:rPr>
          <w:t>14</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554" w:history="1">
        <w:r w:rsidR="00F87B47" w:rsidRPr="00AA58F1">
          <w:rPr>
            <w:rStyle w:val="Hyperlink"/>
          </w:rPr>
          <w:t>Table 2.10: Contributions to the USAF in SADC</w:t>
        </w:r>
        <w:r w:rsidR="00F87B47">
          <w:rPr>
            <w:webHidden/>
          </w:rPr>
          <w:tab/>
        </w:r>
        <w:r w:rsidR="00F87B47">
          <w:rPr>
            <w:webHidden/>
          </w:rPr>
          <w:tab/>
        </w:r>
        <w:r>
          <w:rPr>
            <w:webHidden/>
          </w:rPr>
          <w:fldChar w:fldCharType="begin"/>
        </w:r>
        <w:r w:rsidR="00F87B47">
          <w:rPr>
            <w:webHidden/>
          </w:rPr>
          <w:instrText xml:space="preserve"> PAGEREF _Toc286146554 \h </w:instrText>
        </w:r>
        <w:r>
          <w:rPr>
            <w:webHidden/>
          </w:rPr>
        </w:r>
        <w:r>
          <w:rPr>
            <w:webHidden/>
          </w:rPr>
          <w:fldChar w:fldCharType="separate"/>
        </w:r>
        <w:r w:rsidR="007829FC">
          <w:rPr>
            <w:webHidden/>
          </w:rPr>
          <w:t>14</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555" w:history="1">
        <w:r w:rsidR="00F87B47" w:rsidRPr="00AA58F1">
          <w:rPr>
            <w:rStyle w:val="Hyperlink"/>
          </w:rPr>
          <w:t>Table 2.11: Checklist for USAF Rules and Regulations</w:t>
        </w:r>
        <w:r w:rsidR="00F87B47">
          <w:rPr>
            <w:webHidden/>
          </w:rPr>
          <w:tab/>
        </w:r>
        <w:r w:rsidR="00F87B47">
          <w:rPr>
            <w:webHidden/>
          </w:rPr>
          <w:tab/>
        </w:r>
        <w:r>
          <w:rPr>
            <w:webHidden/>
          </w:rPr>
          <w:fldChar w:fldCharType="begin"/>
        </w:r>
        <w:r w:rsidR="00F87B47">
          <w:rPr>
            <w:webHidden/>
          </w:rPr>
          <w:instrText xml:space="preserve"> PAGEREF _Toc286146555 \h </w:instrText>
        </w:r>
        <w:r>
          <w:rPr>
            <w:webHidden/>
          </w:rPr>
        </w:r>
        <w:r>
          <w:rPr>
            <w:webHidden/>
          </w:rPr>
          <w:fldChar w:fldCharType="separate"/>
        </w:r>
        <w:r w:rsidR="007829FC">
          <w:rPr>
            <w:webHidden/>
          </w:rPr>
          <w:t>14</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556" w:history="1">
        <w:r w:rsidR="00F87B47" w:rsidRPr="00AA58F1">
          <w:rPr>
            <w:rStyle w:val="Hyperlink"/>
          </w:rPr>
          <w:t>Table 3.1: Disbursement of Mozambique USF</w:t>
        </w:r>
        <w:r w:rsidR="00F87B47">
          <w:rPr>
            <w:webHidden/>
          </w:rPr>
          <w:tab/>
        </w:r>
        <w:r w:rsidR="00F87B47">
          <w:rPr>
            <w:webHidden/>
          </w:rPr>
          <w:tab/>
        </w:r>
        <w:r>
          <w:rPr>
            <w:webHidden/>
          </w:rPr>
          <w:fldChar w:fldCharType="begin"/>
        </w:r>
        <w:r w:rsidR="00F87B47">
          <w:rPr>
            <w:webHidden/>
          </w:rPr>
          <w:instrText xml:space="preserve"> PAGEREF _Toc286146556 \h </w:instrText>
        </w:r>
        <w:r>
          <w:rPr>
            <w:webHidden/>
          </w:rPr>
        </w:r>
        <w:r>
          <w:rPr>
            <w:webHidden/>
          </w:rPr>
          <w:fldChar w:fldCharType="separate"/>
        </w:r>
        <w:r w:rsidR="007829FC">
          <w:rPr>
            <w:webHidden/>
          </w:rPr>
          <w:t>14</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557" w:history="1">
        <w:r w:rsidR="00F87B47" w:rsidRPr="00AA58F1">
          <w:rPr>
            <w:rStyle w:val="Hyperlink"/>
          </w:rPr>
          <w:t>Table 3.2: Disbursement of Lesotho USF</w:t>
        </w:r>
        <w:r w:rsidR="00F87B47">
          <w:rPr>
            <w:webHidden/>
          </w:rPr>
          <w:tab/>
        </w:r>
        <w:r w:rsidR="00F87B47">
          <w:rPr>
            <w:webHidden/>
          </w:rPr>
          <w:tab/>
        </w:r>
        <w:r>
          <w:rPr>
            <w:webHidden/>
          </w:rPr>
          <w:fldChar w:fldCharType="begin"/>
        </w:r>
        <w:r w:rsidR="00F87B47">
          <w:rPr>
            <w:webHidden/>
          </w:rPr>
          <w:instrText xml:space="preserve"> PAGEREF _Toc286146557 \h </w:instrText>
        </w:r>
        <w:r>
          <w:rPr>
            <w:webHidden/>
          </w:rPr>
        </w:r>
        <w:r>
          <w:rPr>
            <w:webHidden/>
          </w:rPr>
          <w:fldChar w:fldCharType="separate"/>
        </w:r>
        <w:r w:rsidR="007829FC">
          <w:rPr>
            <w:webHidden/>
          </w:rPr>
          <w:t>14</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558" w:history="1">
        <w:r w:rsidR="00F87B47" w:rsidRPr="00AA58F1">
          <w:rPr>
            <w:rStyle w:val="Hyperlink"/>
          </w:rPr>
          <w:t>Table 3.3: Analysis of USAF Disbursements in SADC</w:t>
        </w:r>
        <w:r w:rsidR="00F87B47">
          <w:rPr>
            <w:webHidden/>
          </w:rPr>
          <w:tab/>
        </w:r>
        <w:r w:rsidR="00F87B47">
          <w:rPr>
            <w:webHidden/>
          </w:rPr>
          <w:tab/>
        </w:r>
        <w:r>
          <w:rPr>
            <w:webHidden/>
          </w:rPr>
          <w:fldChar w:fldCharType="begin"/>
        </w:r>
        <w:r w:rsidR="00F87B47">
          <w:rPr>
            <w:webHidden/>
          </w:rPr>
          <w:instrText xml:space="preserve"> PAGEREF _Toc286146558 \h </w:instrText>
        </w:r>
        <w:r>
          <w:rPr>
            <w:webHidden/>
          </w:rPr>
        </w:r>
        <w:r>
          <w:rPr>
            <w:webHidden/>
          </w:rPr>
          <w:fldChar w:fldCharType="separate"/>
        </w:r>
        <w:r w:rsidR="007829FC">
          <w:rPr>
            <w:webHidden/>
          </w:rPr>
          <w:t>14</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559" w:history="1">
        <w:r w:rsidR="00F87B47" w:rsidRPr="00AA58F1">
          <w:rPr>
            <w:rStyle w:val="Hyperlink"/>
          </w:rPr>
          <w:t>Table 3.4: Uganda Programmes and Projects, 2010</w:t>
        </w:r>
        <w:r w:rsidR="00F87B47">
          <w:rPr>
            <w:webHidden/>
          </w:rPr>
          <w:tab/>
        </w:r>
        <w:r w:rsidR="00F87B47">
          <w:rPr>
            <w:webHidden/>
          </w:rPr>
          <w:tab/>
        </w:r>
        <w:r>
          <w:rPr>
            <w:webHidden/>
          </w:rPr>
          <w:fldChar w:fldCharType="begin"/>
        </w:r>
        <w:r w:rsidR="00F87B47">
          <w:rPr>
            <w:webHidden/>
          </w:rPr>
          <w:instrText xml:space="preserve"> PAGEREF _Toc286146559 \h </w:instrText>
        </w:r>
        <w:r>
          <w:rPr>
            <w:webHidden/>
          </w:rPr>
        </w:r>
        <w:r>
          <w:rPr>
            <w:webHidden/>
          </w:rPr>
          <w:fldChar w:fldCharType="separate"/>
        </w:r>
        <w:r w:rsidR="007829FC">
          <w:rPr>
            <w:webHidden/>
          </w:rPr>
          <w:t>14</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560" w:history="1">
        <w:r w:rsidR="00F87B47" w:rsidRPr="00AA58F1">
          <w:rPr>
            <w:rStyle w:val="Hyperlink"/>
          </w:rPr>
          <w:t>Table 3.5: Projects and Modalities for Selected Sub Saharan African Countries</w:t>
        </w:r>
        <w:r w:rsidR="00D71821">
          <w:rPr>
            <w:rStyle w:val="Hyperlink"/>
          </w:rPr>
          <w:t xml:space="preserve"> </w:t>
        </w:r>
        <w:r w:rsidR="00F87B47" w:rsidRPr="00AA58F1">
          <w:rPr>
            <w:rStyle w:val="Hyperlink"/>
          </w:rPr>
          <w:t>that have Disbursed USAFs</w:t>
        </w:r>
        <w:r w:rsidR="00F87B47">
          <w:rPr>
            <w:webHidden/>
          </w:rPr>
          <w:tab/>
        </w:r>
        <w:r w:rsidR="00F87B47">
          <w:rPr>
            <w:webHidden/>
          </w:rPr>
          <w:tab/>
        </w:r>
        <w:r>
          <w:rPr>
            <w:webHidden/>
          </w:rPr>
          <w:fldChar w:fldCharType="begin"/>
        </w:r>
        <w:r w:rsidR="00F87B47">
          <w:rPr>
            <w:webHidden/>
          </w:rPr>
          <w:instrText xml:space="preserve"> PAGEREF _Toc286146560 \h </w:instrText>
        </w:r>
        <w:r>
          <w:rPr>
            <w:webHidden/>
          </w:rPr>
        </w:r>
        <w:r>
          <w:rPr>
            <w:webHidden/>
          </w:rPr>
          <w:fldChar w:fldCharType="separate"/>
        </w:r>
        <w:r w:rsidR="007829FC">
          <w:rPr>
            <w:webHidden/>
          </w:rPr>
          <w:t>14</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561" w:history="1">
        <w:r w:rsidR="00F87B47" w:rsidRPr="00AA58F1">
          <w:rPr>
            <w:rStyle w:val="Hyperlink"/>
          </w:rPr>
          <w:t>Table 3.6: Comparison of Targeting Approaches</w:t>
        </w:r>
        <w:r w:rsidR="00F87B47">
          <w:rPr>
            <w:webHidden/>
          </w:rPr>
          <w:tab/>
        </w:r>
        <w:r w:rsidR="00F87B47">
          <w:rPr>
            <w:webHidden/>
          </w:rPr>
          <w:tab/>
        </w:r>
        <w:r>
          <w:rPr>
            <w:webHidden/>
          </w:rPr>
          <w:fldChar w:fldCharType="begin"/>
        </w:r>
        <w:r w:rsidR="00F87B47">
          <w:rPr>
            <w:webHidden/>
          </w:rPr>
          <w:instrText xml:space="preserve"> PAGEREF _Toc286146561 \h </w:instrText>
        </w:r>
        <w:r>
          <w:rPr>
            <w:webHidden/>
          </w:rPr>
        </w:r>
        <w:r>
          <w:rPr>
            <w:webHidden/>
          </w:rPr>
          <w:fldChar w:fldCharType="separate"/>
        </w:r>
        <w:r w:rsidR="007829FC">
          <w:rPr>
            <w:webHidden/>
          </w:rPr>
          <w:t>14</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562" w:history="1">
        <w:r w:rsidR="00F87B47" w:rsidRPr="00AA58F1">
          <w:rPr>
            <w:rStyle w:val="Hyperlink"/>
          </w:rPr>
          <w:t>Table 3.7: Developmental Rationale</w:t>
        </w:r>
        <w:r w:rsidR="00F87B47">
          <w:rPr>
            <w:webHidden/>
          </w:rPr>
          <w:tab/>
        </w:r>
        <w:r w:rsidR="00F87B47">
          <w:rPr>
            <w:webHidden/>
          </w:rPr>
          <w:tab/>
        </w:r>
        <w:r>
          <w:rPr>
            <w:webHidden/>
          </w:rPr>
          <w:fldChar w:fldCharType="begin"/>
        </w:r>
        <w:r w:rsidR="00F87B47">
          <w:rPr>
            <w:webHidden/>
          </w:rPr>
          <w:instrText xml:space="preserve"> PAGEREF _Toc286146562 \h </w:instrText>
        </w:r>
        <w:r>
          <w:rPr>
            <w:webHidden/>
          </w:rPr>
        </w:r>
        <w:r>
          <w:rPr>
            <w:webHidden/>
          </w:rPr>
          <w:fldChar w:fldCharType="separate"/>
        </w:r>
        <w:r w:rsidR="007829FC">
          <w:rPr>
            <w:webHidden/>
          </w:rPr>
          <w:t>14</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563" w:history="1">
        <w:r w:rsidR="00F87B47" w:rsidRPr="00AA58F1">
          <w:rPr>
            <w:rStyle w:val="Hyperlink"/>
          </w:rPr>
          <w:t>Table 3.8: Market, prices, project sustainability and regulation</w:t>
        </w:r>
        <w:r w:rsidR="00F87B47">
          <w:rPr>
            <w:webHidden/>
          </w:rPr>
          <w:tab/>
        </w:r>
        <w:r w:rsidR="00F87B47">
          <w:rPr>
            <w:webHidden/>
          </w:rPr>
          <w:tab/>
        </w:r>
        <w:r>
          <w:rPr>
            <w:webHidden/>
          </w:rPr>
          <w:fldChar w:fldCharType="begin"/>
        </w:r>
        <w:r w:rsidR="00F87B47">
          <w:rPr>
            <w:webHidden/>
          </w:rPr>
          <w:instrText xml:space="preserve"> PAGEREF _Toc286146563 \h </w:instrText>
        </w:r>
        <w:r>
          <w:rPr>
            <w:webHidden/>
          </w:rPr>
        </w:r>
        <w:r>
          <w:rPr>
            <w:webHidden/>
          </w:rPr>
          <w:fldChar w:fldCharType="separate"/>
        </w:r>
        <w:r w:rsidR="007829FC">
          <w:rPr>
            <w:webHidden/>
          </w:rPr>
          <w:t>14</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564" w:history="1">
        <w:r w:rsidR="00F87B47" w:rsidRPr="00AA58F1">
          <w:rPr>
            <w:rStyle w:val="Hyperlink"/>
          </w:rPr>
          <w:t>Table 3.9: Snapshot of Some Past SADC Universal Access Projects</w:t>
        </w:r>
        <w:r w:rsidR="00F87B47">
          <w:rPr>
            <w:webHidden/>
          </w:rPr>
          <w:tab/>
        </w:r>
        <w:r w:rsidR="00F87B47">
          <w:rPr>
            <w:webHidden/>
          </w:rPr>
          <w:tab/>
        </w:r>
        <w:r>
          <w:rPr>
            <w:webHidden/>
          </w:rPr>
          <w:fldChar w:fldCharType="begin"/>
        </w:r>
        <w:r w:rsidR="00F87B47">
          <w:rPr>
            <w:webHidden/>
          </w:rPr>
          <w:instrText xml:space="preserve"> PAGEREF _Toc286146564 \h </w:instrText>
        </w:r>
        <w:r>
          <w:rPr>
            <w:webHidden/>
          </w:rPr>
        </w:r>
        <w:r>
          <w:rPr>
            <w:webHidden/>
          </w:rPr>
          <w:fldChar w:fldCharType="separate"/>
        </w:r>
        <w:r w:rsidR="007829FC">
          <w:rPr>
            <w:webHidden/>
          </w:rPr>
          <w:t>14</w:t>
        </w:r>
        <w:r>
          <w:rPr>
            <w:webHidden/>
          </w:rPr>
          <w:fldChar w:fldCharType="end"/>
        </w:r>
      </w:hyperlink>
    </w:p>
    <w:p w:rsidR="00F87B47" w:rsidRPr="00805791" w:rsidRDefault="00F87B47" w:rsidP="00F87B47">
      <w:pPr>
        <w:pStyle w:val="HIPTOC0"/>
      </w:pPr>
      <w:r w:rsidRPr="00805791">
        <w:lastRenderedPageBreak/>
        <w:tab/>
        <w:t>Page</w:t>
      </w:r>
    </w:p>
    <w:p w:rsidR="00F87B47" w:rsidRDefault="000816B7" w:rsidP="00F87B47">
      <w:pPr>
        <w:pStyle w:val="HIPTOC2"/>
        <w:rPr>
          <w:rFonts w:asciiTheme="minorHAnsi" w:eastAsiaTheme="minorEastAsia" w:hAnsiTheme="minorHAnsi" w:cstheme="minorBidi"/>
          <w:lang w:eastAsia="zh-CN"/>
        </w:rPr>
      </w:pPr>
      <w:hyperlink w:anchor="_Toc286146565" w:history="1">
        <w:r w:rsidR="00F87B47" w:rsidRPr="00AA58F1">
          <w:rPr>
            <w:rStyle w:val="Hyperlink"/>
          </w:rPr>
          <w:t>Table 3.10: Case Study, Swedish Broadband and NGN Financing</w:t>
        </w:r>
        <w:r w:rsidR="00F87B47">
          <w:rPr>
            <w:webHidden/>
          </w:rPr>
          <w:tab/>
        </w:r>
        <w:r w:rsidR="00F87B47">
          <w:rPr>
            <w:webHidden/>
          </w:rPr>
          <w:tab/>
        </w:r>
        <w:r>
          <w:rPr>
            <w:webHidden/>
          </w:rPr>
          <w:fldChar w:fldCharType="begin"/>
        </w:r>
        <w:r w:rsidR="00F87B47">
          <w:rPr>
            <w:webHidden/>
          </w:rPr>
          <w:instrText xml:space="preserve"> PAGEREF _Toc286146565 \h </w:instrText>
        </w:r>
        <w:r>
          <w:rPr>
            <w:webHidden/>
          </w:rPr>
        </w:r>
        <w:r>
          <w:rPr>
            <w:webHidden/>
          </w:rPr>
          <w:fldChar w:fldCharType="separate"/>
        </w:r>
        <w:r w:rsidR="007829FC">
          <w:rPr>
            <w:webHidden/>
          </w:rPr>
          <w:t>14</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566" w:history="1">
        <w:r w:rsidR="00F87B47" w:rsidRPr="00AA58F1">
          <w:rPr>
            <w:rStyle w:val="Hyperlink"/>
          </w:rPr>
          <w:t>Table 3.11: Case Study, German Broadband Financing</w:t>
        </w:r>
        <w:r w:rsidR="00F87B47">
          <w:rPr>
            <w:webHidden/>
          </w:rPr>
          <w:tab/>
        </w:r>
        <w:r w:rsidR="00F87B47">
          <w:rPr>
            <w:webHidden/>
          </w:rPr>
          <w:tab/>
        </w:r>
        <w:r>
          <w:rPr>
            <w:webHidden/>
          </w:rPr>
          <w:fldChar w:fldCharType="begin"/>
        </w:r>
        <w:r w:rsidR="00F87B47">
          <w:rPr>
            <w:webHidden/>
          </w:rPr>
          <w:instrText xml:space="preserve"> PAGEREF _Toc286146566 \h </w:instrText>
        </w:r>
        <w:r>
          <w:rPr>
            <w:webHidden/>
          </w:rPr>
        </w:r>
        <w:r>
          <w:rPr>
            <w:webHidden/>
          </w:rPr>
          <w:fldChar w:fldCharType="separate"/>
        </w:r>
        <w:r w:rsidR="007829FC">
          <w:rPr>
            <w:webHidden/>
          </w:rPr>
          <w:t>14</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567" w:history="1">
        <w:r w:rsidR="00F87B47" w:rsidRPr="00AA58F1">
          <w:rPr>
            <w:rStyle w:val="Hyperlink"/>
          </w:rPr>
          <w:t>Table 3.12: SADC Pilot Projects, Mozambique case</w:t>
        </w:r>
        <w:r w:rsidR="00F87B47">
          <w:rPr>
            <w:webHidden/>
          </w:rPr>
          <w:tab/>
        </w:r>
        <w:r w:rsidR="00F87B47">
          <w:rPr>
            <w:webHidden/>
          </w:rPr>
          <w:tab/>
        </w:r>
        <w:r>
          <w:rPr>
            <w:webHidden/>
          </w:rPr>
          <w:fldChar w:fldCharType="begin"/>
        </w:r>
        <w:r w:rsidR="00F87B47">
          <w:rPr>
            <w:webHidden/>
          </w:rPr>
          <w:instrText xml:space="preserve"> PAGEREF _Toc286146567 \h </w:instrText>
        </w:r>
        <w:r>
          <w:rPr>
            <w:webHidden/>
          </w:rPr>
        </w:r>
        <w:r>
          <w:rPr>
            <w:webHidden/>
          </w:rPr>
          <w:fldChar w:fldCharType="separate"/>
        </w:r>
        <w:r w:rsidR="007829FC">
          <w:rPr>
            <w:webHidden/>
          </w:rPr>
          <w:t>14</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568" w:history="1">
        <w:r w:rsidR="00F87B47" w:rsidRPr="00AA58F1">
          <w:rPr>
            <w:rStyle w:val="Hyperlink"/>
          </w:rPr>
          <w:t>Table 3.13: Total Cost of Ownership Modelling Tool</w:t>
        </w:r>
        <w:r w:rsidR="00F87B47">
          <w:rPr>
            <w:webHidden/>
          </w:rPr>
          <w:tab/>
        </w:r>
        <w:r w:rsidR="00F87B47">
          <w:rPr>
            <w:webHidden/>
          </w:rPr>
          <w:tab/>
        </w:r>
        <w:r>
          <w:rPr>
            <w:webHidden/>
          </w:rPr>
          <w:fldChar w:fldCharType="begin"/>
        </w:r>
        <w:r w:rsidR="00F87B47">
          <w:rPr>
            <w:webHidden/>
          </w:rPr>
          <w:instrText xml:space="preserve"> PAGEREF _Toc286146568 \h </w:instrText>
        </w:r>
        <w:r>
          <w:rPr>
            <w:webHidden/>
          </w:rPr>
        </w:r>
        <w:r>
          <w:rPr>
            <w:webHidden/>
          </w:rPr>
          <w:fldChar w:fldCharType="separate"/>
        </w:r>
        <w:r w:rsidR="007829FC">
          <w:rPr>
            <w:webHidden/>
          </w:rPr>
          <w:t>14</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569" w:history="1">
        <w:r w:rsidR="00F87B47" w:rsidRPr="00AA58F1">
          <w:rPr>
            <w:rStyle w:val="Hyperlink"/>
          </w:rPr>
          <w:t>Table 3.14: USO funding and subsidies arrangements by year, Australia</w:t>
        </w:r>
        <w:r w:rsidR="00F87B47">
          <w:rPr>
            <w:webHidden/>
          </w:rPr>
          <w:tab/>
        </w:r>
        <w:r w:rsidR="00F87B47">
          <w:rPr>
            <w:webHidden/>
          </w:rPr>
          <w:tab/>
        </w:r>
        <w:r>
          <w:rPr>
            <w:webHidden/>
          </w:rPr>
          <w:fldChar w:fldCharType="begin"/>
        </w:r>
        <w:r w:rsidR="00F87B47">
          <w:rPr>
            <w:webHidden/>
          </w:rPr>
          <w:instrText xml:space="preserve"> PAGEREF _Toc286146569 \h </w:instrText>
        </w:r>
        <w:r>
          <w:rPr>
            <w:webHidden/>
          </w:rPr>
        </w:r>
        <w:r>
          <w:rPr>
            <w:webHidden/>
          </w:rPr>
          <w:fldChar w:fldCharType="separate"/>
        </w:r>
        <w:r w:rsidR="007829FC">
          <w:rPr>
            <w:webHidden/>
          </w:rPr>
          <w:t>14</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570" w:history="1">
        <w:r w:rsidR="00F87B47" w:rsidRPr="00AA58F1">
          <w:rPr>
            <w:rStyle w:val="Hyperlink"/>
          </w:rPr>
          <w:t>Table 3.15: Financing the SADC Funding Gap (Indicative Maximum Subsidy TOTAL)</w:t>
        </w:r>
        <w:r w:rsidR="00F87B47">
          <w:rPr>
            <w:webHidden/>
          </w:rPr>
          <w:tab/>
        </w:r>
        <w:r w:rsidR="00F87B47">
          <w:rPr>
            <w:webHidden/>
          </w:rPr>
          <w:tab/>
        </w:r>
        <w:r>
          <w:rPr>
            <w:webHidden/>
          </w:rPr>
          <w:fldChar w:fldCharType="begin"/>
        </w:r>
        <w:r w:rsidR="00F87B47">
          <w:rPr>
            <w:webHidden/>
          </w:rPr>
          <w:instrText xml:space="preserve"> PAGEREF _Toc286146570 \h </w:instrText>
        </w:r>
        <w:r>
          <w:rPr>
            <w:webHidden/>
          </w:rPr>
        </w:r>
        <w:r>
          <w:rPr>
            <w:webHidden/>
          </w:rPr>
          <w:fldChar w:fldCharType="separate"/>
        </w:r>
        <w:r w:rsidR="007829FC">
          <w:rPr>
            <w:webHidden/>
          </w:rPr>
          <w:t>14</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571" w:history="1">
        <w:r w:rsidR="00F87B47" w:rsidRPr="00AA58F1">
          <w:rPr>
            <w:rStyle w:val="Hyperlink"/>
          </w:rPr>
          <w:t>Table 3.16: Reverse Auction Lessons</w:t>
        </w:r>
        <w:r w:rsidR="00F87B47">
          <w:rPr>
            <w:webHidden/>
          </w:rPr>
          <w:tab/>
        </w:r>
        <w:r w:rsidR="00F87B47">
          <w:rPr>
            <w:webHidden/>
          </w:rPr>
          <w:tab/>
        </w:r>
        <w:r>
          <w:rPr>
            <w:webHidden/>
          </w:rPr>
          <w:fldChar w:fldCharType="begin"/>
        </w:r>
        <w:r w:rsidR="00F87B47">
          <w:rPr>
            <w:webHidden/>
          </w:rPr>
          <w:instrText xml:space="preserve"> PAGEREF _Toc286146571 \h </w:instrText>
        </w:r>
        <w:r>
          <w:rPr>
            <w:webHidden/>
          </w:rPr>
        </w:r>
        <w:r>
          <w:rPr>
            <w:webHidden/>
          </w:rPr>
          <w:fldChar w:fldCharType="separate"/>
        </w:r>
        <w:r w:rsidR="007829FC">
          <w:rPr>
            <w:webHidden/>
          </w:rPr>
          <w:t>14</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572" w:history="1">
        <w:r w:rsidR="00F87B47" w:rsidRPr="00AA58F1">
          <w:rPr>
            <w:rStyle w:val="Hyperlink"/>
          </w:rPr>
          <w:t>Table 3.17: Uganda Disbursement Level &amp; Process Framework</w:t>
        </w:r>
        <w:r w:rsidR="00F87B47">
          <w:rPr>
            <w:webHidden/>
          </w:rPr>
          <w:tab/>
        </w:r>
        <w:r w:rsidR="00F87B47">
          <w:rPr>
            <w:webHidden/>
          </w:rPr>
          <w:tab/>
        </w:r>
        <w:r>
          <w:rPr>
            <w:webHidden/>
          </w:rPr>
          <w:fldChar w:fldCharType="begin"/>
        </w:r>
        <w:r w:rsidR="00F87B47">
          <w:rPr>
            <w:webHidden/>
          </w:rPr>
          <w:instrText xml:space="preserve"> PAGEREF _Toc286146572 \h </w:instrText>
        </w:r>
        <w:r>
          <w:rPr>
            <w:webHidden/>
          </w:rPr>
        </w:r>
        <w:r>
          <w:rPr>
            <w:webHidden/>
          </w:rPr>
          <w:fldChar w:fldCharType="separate"/>
        </w:r>
        <w:r w:rsidR="007829FC">
          <w:rPr>
            <w:webHidden/>
          </w:rPr>
          <w:t>14</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573" w:history="1">
        <w:r w:rsidR="00F87B47" w:rsidRPr="00AA58F1">
          <w:rPr>
            <w:rStyle w:val="Hyperlink"/>
          </w:rPr>
          <w:t>Table 3.18: Preparing a Service Agreement/Contract</w:t>
        </w:r>
        <w:r w:rsidR="00F87B47">
          <w:rPr>
            <w:webHidden/>
          </w:rPr>
          <w:tab/>
        </w:r>
        <w:r w:rsidR="00F87B47">
          <w:rPr>
            <w:webHidden/>
          </w:rPr>
          <w:tab/>
        </w:r>
        <w:r>
          <w:rPr>
            <w:webHidden/>
          </w:rPr>
          <w:fldChar w:fldCharType="begin"/>
        </w:r>
        <w:r w:rsidR="00F87B47">
          <w:rPr>
            <w:webHidden/>
          </w:rPr>
          <w:instrText xml:space="preserve"> PAGEREF _Toc286146573 \h </w:instrText>
        </w:r>
        <w:r>
          <w:rPr>
            <w:webHidden/>
          </w:rPr>
        </w:r>
        <w:r>
          <w:rPr>
            <w:webHidden/>
          </w:rPr>
          <w:fldChar w:fldCharType="separate"/>
        </w:r>
        <w:r w:rsidR="007829FC">
          <w:rPr>
            <w:webHidden/>
          </w:rPr>
          <w:t>14</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574" w:history="1">
        <w:r w:rsidR="00F87B47" w:rsidRPr="00AA58F1">
          <w:rPr>
            <w:rStyle w:val="Hyperlink"/>
          </w:rPr>
          <w:t>Table 4.1: Providing Feedback</w:t>
        </w:r>
        <w:r w:rsidR="00F87B47">
          <w:rPr>
            <w:webHidden/>
          </w:rPr>
          <w:tab/>
        </w:r>
        <w:r w:rsidR="00F87B47">
          <w:rPr>
            <w:webHidden/>
          </w:rPr>
          <w:tab/>
        </w:r>
        <w:r>
          <w:rPr>
            <w:webHidden/>
          </w:rPr>
          <w:fldChar w:fldCharType="begin"/>
        </w:r>
        <w:r w:rsidR="00F87B47">
          <w:rPr>
            <w:webHidden/>
          </w:rPr>
          <w:instrText xml:space="preserve"> PAGEREF _Toc286146574 \h </w:instrText>
        </w:r>
        <w:r>
          <w:rPr>
            <w:webHidden/>
          </w:rPr>
        </w:r>
        <w:r>
          <w:rPr>
            <w:webHidden/>
          </w:rPr>
          <w:fldChar w:fldCharType="separate"/>
        </w:r>
        <w:r w:rsidR="007829FC">
          <w:rPr>
            <w:webHidden/>
          </w:rPr>
          <w:t>14</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575" w:history="1">
        <w:r w:rsidR="00F87B47" w:rsidRPr="00AA58F1">
          <w:rPr>
            <w:rStyle w:val="Hyperlink"/>
          </w:rPr>
          <w:t>Table 5.1: AUSAFA – African Funds' Association</w:t>
        </w:r>
        <w:r w:rsidR="00F87B47">
          <w:rPr>
            <w:webHidden/>
          </w:rPr>
          <w:tab/>
        </w:r>
        <w:r w:rsidR="00F87B47">
          <w:rPr>
            <w:webHidden/>
          </w:rPr>
          <w:tab/>
        </w:r>
        <w:r>
          <w:rPr>
            <w:webHidden/>
          </w:rPr>
          <w:fldChar w:fldCharType="begin"/>
        </w:r>
        <w:r w:rsidR="00F87B47">
          <w:rPr>
            <w:webHidden/>
          </w:rPr>
          <w:instrText xml:space="preserve"> PAGEREF _Toc286146575 \h </w:instrText>
        </w:r>
        <w:r>
          <w:rPr>
            <w:webHidden/>
          </w:rPr>
        </w:r>
        <w:r>
          <w:rPr>
            <w:webHidden/>
          </w:rPr>
          <w:fldChar w:fldCharType="separate"/>
        </w:r>
        <w:r w:rsidR="007829FC">
          <w:rPr>
            <w:webHidden/>
          </w:rPr>
          <w:t>14</w:t>
        </w:r>
        <w:r>
          <w:rPr>
            <w:webHidden/>
          </w:rPr>
          <w:fldChar w:fldCharType="end"/>
        </w:r>
      </w:hyperlink>
    </w:p>
    <w:p w:rsidR="00DC5333" w:rsidRDefault="000816B7" w:rsidP="0088668E">
      <w:pPr>
        <w:pStyle w:val="HIPNormal"/>
        <w:rPr>
          <w:rFonts w:eastAsiaTheme="minorEastAsia"/>
          <w:noProof/>
          <w:lang w:val="en-US" w:eastAsia="zh-CN"/>
        </w:rPr>
      </w:pPr>
      <w:r>
        <w:rPr>
          <w:rFonts w:eastAsiaTheme="minorEastAsia"/>
          <w:noProof/>
          <w:lang w:val="en-US" w:eastAsia="zh-CN"/>
        </w:rPr>
        <w:fldChar w:fldCharType="end"/>
      </w:r>
    </w:p>
    <w:p w:rsidR="00F87B47" w:rsidRDefault="00F87B47">
      <w:pPr>
        <w:rPr>
          <w:rFonts w:ascii="Calibri" w:eastAsiaTheme="minorEastAsia" w:hAnsi="Calibri" w:cs="Arial"/>
          <w:noProof/>
          <w:color w:val="000000"/>
          <w:sz w:val="21"/>
          <w:lang w:val="en-US" w:eastAsia="zh-CN"/>
        </w:rPr>
      </w:pPr>
      <w:r>
        <w:rPr>
          <w:rFonts w:eastAsiaTheme="minorEastAsia"/>
          <w:noProof/>
          <w:lang w:val="en-US" w:eastAsia="zh-CN"/>
        </w:rPr>
        <w:br w:type="page"/>
      </w:r>
    </w:p>
    <w:p w:rsidR="00F87B47" w:rsidRDefault="00F87B47" w:rsidP="00F87B47">
      <w:pPr>
        <w:pStyle w:val="HIPHeading"/>
        <w:rPr>
          <w:rFonts w:eastAsiaTheme="minorEastAsia"/>
          <w:noProof/>
          <w:lang w:eastAsia="zh-CN"/>
        </w:rPr>
      </w:pPr>
      <w:r>
        <w:rPr>
          <w:rFonts w:eastAsiaTheme="minorEastAsia"/>
          <w:noProof/>
          <w:lang w:eastAsia="zh-CN"/>
        </w:rPr>
        <w:lastRenderedPageBreak/>
        <w:t>List of boxes</w:t>
      </w:r>
    </w:p>
    <w:p w:rsidR="00F87B47" w:rsidRPr="00805791" w:rsidRDefault="00F87B47" w:rsidP="00F87B47">
      <w:pPr>
        <w:pStyle w:val="HIPTOC0"/>
      </w:pPr>
      <w:r w:rsidRPr="00805791">
        <w:tab/>
        <w:t>Page</w:t>
      </w:r>
    </w:p>
    <w:p w:rsidR="00F87B47" w:rsidRDefault="000816B7" w:rsidP="00F87B47">
      <w:pPr>
        <w:pStyle w:val="HIPTOC2"/>
        <w:rPr>
          <w:rFonts w:asciiTheme="minorHAnsi" w:eastAsiaTheme="minorEastAsia" w:hAnsiTheme="minorHAnsi" w:cstheme="minorBidi"/>
          <w:lang w:eastAsia="zh-CN"/>
        </w:rPr>
      </w:pPr>
      <w:r w:rsidRPr="000816B7">
        <w:rPr>
          <w:rFonts w:eastAsiaTheme="minorEastAsia"/>
          <w:lang w:eastAsia="zh-CN"/>
        </w:rPr>
        <w:fldChar w:fldCharType="begin"/>
      </w:r>
      <w:r w:rsidR="00F87B47">
        <w:rPr>
          <w:rFonts w:eastAsiaTheme="minorEastAsia"/>
          <w:lang w:eastAsia="zh-CN"/>
        </w:rPr>
        <w:instrText xml:space="preserve"> TOC \h \z \t "HIP Box question,1" </w:instrText>
      </w:r>
      <w:r w:rsidRPr="000816B7">
        <w:rPr>
          <w:rFonts w:eastAsiaTheme="minorEastAsia"/>
          <w:lang w:eastAsia="zh-CN"/>
        </w:rPr>
        <w:fldChar w:fldCharType="separate"/>
      </w:r>
      <w:hyperlink w:anchor="_Toc286146346" w:history="1">
        <w:r w:rsidR="00F87B47" w:rsidRPr="0074598D">
          <w:rPr>
            <w:rStyle w:val="Hyperlink"/>
          </w:rPr>
          <w:t>Box 1.1</w:t>
        </w:r>
        <w:r w:rsidR="00F87B47">
          <w:rPr>
            <w:webHidden/>
          </w:rPr>
          <w:tab/>
        </w:r>
        <w:r w:rsidR="00F87B47">
          <w:rPr>
            <w:webHidden/>
          </w:rPr>
          <w:tab/>
        </w:r>
        <w:r>
          <w:rPr>
            <w:webHidden/>
          </w:rPr>
          <w:fldChar w:fldCharType="begin"/>
        </w:r>
        <w:r w:rsidR="00F87B47">
          <w:rPr>
            <w:webHidden/>
          </w:rPr>
          <w:instrText xml:space="preserve"> PAGEREF _Toc286146346 \h </w:instrText>
        </w:r>
        <w:r>
          <w:rPr>
            <w:webHidden/>
          </w:rPr>
        </w:r>
        <w:r>
          <w:rPr>
            <w:webHidden/>
          </w:rPr>
          <w:fldChar w:fldCharType="separate"/>
        </w:r>
        <w:r w:rsidR="007829FC">
          <w:rPr>
            <w:webHidden/>
          </w:rPr>
          <w:t>8</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347" w:history="1">
        <w:r w:rsidR="00F87B47" w:rsidRPr="0074598D">
          <w:rPr>
            <w:rStyle w:val="Hyperlink"/>
          </w:rPr>
          <w:t>Box 2.1</w:t>
        </w:r>
        <w:r w:rsidR="00F87B47">
          <w:rPr>
            <w:webHidden/>
          </w:rPr>
          <w:tab/>
        </w:r>
        <w:r w:rsidR="00F87B47">
          <w:rPr>
            <w:webHidden/>
          </w:rPr>
          <w:tab/>
        </w:r>
        <w:r>
          <w:rPr>
            <w:webHidden/>
          </w:rPr>
          <w:fldChar w:fldCharType="begin"/>
        </w:r>
        <w:r w:rsidR="00F87B47">
          <w:rPr>
            <w:webHidden/>
          </w:rPr>
          <w:instrText xml:space="preserve"> PAGEREF _Toc286146347 \h </w:instrText>
        </w:r>
        <w:r>
          <w:rPr>
            <w:webHidden/>
          </w:rPr>
        </w:r>
        <w:r>
          <w:rPr>
            <w:webHidden/>
          </w:rPr>
          <w:fldChar w:fldCharType="separate"/>
        </w:r>
        <w:r w:rsidR="007829FC">
          <w:rPr>
            <w:webHidden/>
          </w:rPr>
          <w:t>14</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348" w:history="1">
        <w:r w:rsidR="00F87B47" w:rsidRPr="0074598D">
          <w:rPr>
            <w:rStyle w:val="Hyperlink"/>
          </w:rPr>
          <w:t>Box 2.2: Pakistan case study</w:t>
        </w:r>
        <w:r w:rsidR="00F87B47">
          <w:rPr>
            <w:webHidden/>
          </w:rPr>
          <w:tab/>
        </w:r>
        <w:r w:rsidR="00F87B47">
          <w:rPr>
            <w:webHidden/>
          </w:rPr>
          <w:tab/>
        </w:r>
        <w:r>
          <w:rPr>
            <w:webHidden/>
          </w:rPr>
          <w:fldChar w:fldCharType="begin"/>
        </w:r>
        <w:r w:rsidR="00F87B47">
          <w:rPr>
            <w:webHidden/>
          </w:rPr>
          <w:instrText xml:space="preserve"> PAGEREF _Toc286146348 \h </w:instrText>
        </w:r>
        <w:r>
          <w:rPr>
            <w:webHidden/>
          </w:rPr>
        </w:r>
        <w:r>
          <w:rPr>
            <w:webHidden/>
          </w:rPr>
          <w:fldChar w:fldCharType="separate"/>
        </w:r>
        <w:r w:rsidR="007829FC">
          <w:rPr>
            <w:webHidden/>
          </w:rPr>
          <w:t>14</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349" w:history="1">
        <w:r w:rsidR="00F87B47" w:rsidRPr="0074598D">
          <w:rPr>
            <w:rStyle w:val="Hyperlink"/>
          </w:rPr>
          <w:t>Box 2.3: Fund Management: Summary of Best Practices</w:t>
        </w:r>
        <w:r w:rsidR="00F87B47">
          <w:rPr>
            <w:webHidden/>
          </w:rPr>
          <w:tab/>
        </w:r>
        <w:r w:rsidR="00F87B47">
          <w:rPr>
            <w:webHidden/>
          </w:rPr>
          <w:tab/>
        </w:r>
        <w:r>
          <w:rPr>
            <w:webHidden/>
          </w:rPr>
          <w:fldChar w:fldCharType="begin"/>
        </w:r>
        <w:r w:rsidR="00F87B47">
          <w:rPr>
            <w:webHidden/>
          </w:rPr>
          <w:instrText xml:space="preserve"> PAGEREF _Toc286146349 \h </w:instrText>
        </w:r>
        <w:r>
          <w:rPr>
            <w:webHidden/>
          </w:rPr>
        </w:r>
        <w:r>
          <w:rPr>
            <w:webHidden/>
          </w:rPr>
          <w:fldChar w:fldCharType="separate"/>
        </w:r>
        <w:r w:rsidR="007829FC">
          <w:rPr>
            <w:webHidden/>
          </w:rPr>
          <w:t>14</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350" w:history="1">
        <w:r w:rsidR="00F87B47" w:rsidRPr="0074598D">
          <w:rPr>
            <w:rStyle w:val="Hyperlink"/>
          </w:rPr>
          <w:t>Box 2.4: Sample/Reference Material</w:t>
        </w:r>
        <w:r w:rsidR="00F87B47">
          <w:rPr>
            <w:webHidden/>
          </w:rPr>
          <w:tab/>
        </w:r>
        <w:r w:rsidR="00F87B47">
          <w:rPr>
            <w:webHidden/>
          </w:rPr>
          <w:tab/>
        </w:r>
        <w:r>
          <w:rPr>
            <w:webHidden/>
          </w:rPr>
          <w:fldChar w:fldCharType="begin"/>
        </w:r>
        <w:r w:rsidR="00F87B47">
          <w:rPr>
            <w:webHidden/>
          </w:rPr>
          <w:instrText xml:space="preserve"> PAGEREF _Toc286146350 \h </w:instrText>
        </w:r>
        <w:r>
          <w:rPr>
            <w:webHidden/>
          </w:rPr>
        </w:r>
        <w:r>
          <w:rPr>
            <w:webHidden/>
          </w:rPr>
          <w:fldChar w:fldCharType="separate"/>
        </w:r>
        <w:r w:rsidR="007829FC">
          <w:rPr>
            <w:webHidden/>
          </w:rPr>
          <w:t>14</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351" w:history="1">
        <w:r w:rsidR="00F87B47" w:rsidRPr="0074598D">
          <w:rPr>
            <w:rStyle w:val="Hyperlink"/>
          </w:rPr>
          <w:t>Box 2.5: Model Subsidy Recipient Handbook Table of Contents (USA)</w:t>
        </w:r>
        <w:r w:rsidR="00F87B47">
          <w:rPr>
            <w:webHidden/>
          </w:rPr>
          <w:tab/>
        </w:r>
        <w:r w:rsidR="00F87B47">
          <w:rPr>
            <w:webHidden/>
          </w:rPr>
          <w:tab/>
        </w:r>
        <w:r>
          <w:rPr>
            <w:webHidden/>
          </w:rPr>
          <w:fldChar w:fldCharType="begin"/>
        </w:r>
        <w:r w:rsidR="00F87B47">
          <w:rPr>
            <w:webHidden/>
          </w:rPr>
          <w:instrText xml:space="preserve"> PAGEREF _Toc286146351 \h </w:instrText>
        </w:r>
        <w:r>
          <w:rPr>
            <w:webHidden/>
          </w:rPr>
        </w:r>
        <w:r>
          <w:rPr>
            <w:webHidden/>
          </w:rPr>
          <w:fldChar w:fldCharType="separate"/>
        </w:r>
        <w:r w:rsidR="007829FC">
          <w:rPr>
            <w:webHidden/>
          </w:rPr>
          <w:t>14</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352" w:history="1">
        <w:r w:rsidR="00F87B47" w:rsidRPr="0074598D">
          <w:rPr>
            <w:rStyle w:val="Hyperlink"/>
          </w:rPr>
          <w:t>Box 2.6: Summary of Best Practices: Fund Management Principles</w:t>
        </w:r>
        <w:r w:rsidR="00F87B47">
          <w:rPr>
            <w:webHidden/>
          </w:rPr>
          <w:tab/>
        </w:r>
        <w:r w:rsidR="00F87B47">
          <w:rPr>
            <w:webHidden/>
          </w:rPr>
          <w:tab/>
        </w:r>
        <w:r>
          <w:rPr>
            <w:webHidden/>
          </w:rPr>
          <w:fldChar w:fldCharType="begin"/>
        </w:r>
        <w:r w:rsidR="00F87B47">
          <w:rPr>
            <w:webHidden/>
          </w:rPr>
          <w:instrText xml:space="preserve"> PAGEREF _Toc286146352 \h </w:instrText>
        </w:r>
        <w:r>
          <w:rPr>
            <w:webHidden/>
          </w:rPr>
        </w:r>
        <w:r>
          <w:rPr>
            <w:webHidden/>
          </w:rPr>
          <w:fldChar w:fldCharType="separate"/>
        </w:r>
        <w:r w:rsidR="007829FC">
          <w:rPr>
            <w:webHidden/>
          </w:rPr>
          <w:t>14</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353" w:history="1">
        <w:r w:rsidR="00F87B47" w:rsidRPr="0074598D">
          <w:rPr>
            <w:rStyle w:val="Hyperlink"/>
          </w:rPr>
          <w:t>Box 2.7: Sample/Reference Material</w:t>
        </w:r>
        <w:r w:rsidR="00F87B47">
          <w:rPr>
            <w:webHidden/>
          </w:rPr>
          <w:tab/>
        </w:r>
        <w:r w:rsidR="00F87B47">
          <w:rPr>
            <w:webHidden/>
          </w:rPr>
          <w:tab/>
        </w:r>
        <w:r>
          <w:rPr>
            <w:webHidden/>
          </w:rPr>
          <w:fldChar w:fldCharType="begin"/>
        </w:r>
        <w:r w:rsidR="00F87B47">
          <w:rPr>
            <w:webHidden/>
          </w:rPr>
          <w:instrText xml:space="preserve"> PAGEREF _Toc286146353 \h </w:instrText>
        </w:r>
        <w:r>
          <w:rPr>
            <w:webHidden/>
          </w:rPr>
        </w:r>
        <w:r>
          <w:rPr>
            <w:webHidden/>
          </w:rPr>
          <w:fldChar w:fldCharType="separate"/>
        </w:r>
        <w:r w:rsidR="007829FC">
          <w:rPr>
            <w:webHidden/>
          </w:rPr>
          <w:t>14</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354" w:history="1">
        <w:r w:rsidR="00F87B47" w:rsidRPr="0074598D">
          <w:rPr>
            <w:rStyle w:val="Hyperlink"/>
          </w:rPr>
          <w:t>Box 2.8: Summary of Best Practices: Sources of Funding</w:t>
        </w:r>
        <w:r w:rsidR="00F87B47">
          <w:rPr>
            <w:webHidden/>
          </w:rPr>
          <w:tab/>
        </w:r>
        <w:r w:rsidR="00F87B47">
          <w:rPr>
            <w:webHidden/>
          </w:rPr>
          <w:tab/>
        </w:r>
        <w:r>
          <w:rPr>
            <w:webHidden/>
          </w:rPr>
          <w:fldChar w:fldCharType="begin"/>
        </w:r>
        <w:r w:rsidR="00F87B47">
          <w:rPr>
            <w:webHidden/>
          </w:rPr>
          <w:instrText xml:space="preserve"> PAGEREF _Toc286146354 \h </w:instrText>
        </w:r>
        <w:r>
          <w:rPr>
            <w:webHidden/>
          </w:rPr>
        </w:r>
        <w:r>
          <w:rPr>
            <w:webHidden/>
          </w:rPr>
          <w:fldChar w:fldCharType="separate"/>
        </w:r>
        <w:r w:rsidR="007829FC">
          <w:rPr>
            <w:webHidden/>
          </w:rPr>
          <w:t>14</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355" w:history="1">
        <w:r w:rsidR="00F87B47" w:rsidRPr="0074598D">
          <w:rPr>
            <w:rStyle w:val="Hyperlink"/>
          </w:rPr>
          <w:t>Box 2.9: Sample/Reference Material</w:t>
        </w:r>
        <w:r w:rsidR="00F87B47">
          <w:rPr>
            <w:webHidden/>
          </w:rPr>
          <w:tab/>
        </w:r>
        <w:r w:rsidR="00F87B47">
          <w:rPr>
            <w:webHidden/>
          </w:rPr>
          <w:tab/>
        </w:r>
        <w:r>
          <w:rPr>
            <w:webHidden/>
          </w:rPr>
          <w:fldChar w:fldCharType="begin"/>
        </w:r>
        <w:r w:rsidR="00F87B47">
          <w:rPr>
            <w:webHidden/>
          </w:rPr>
          <w:instrText xml:space="preserve"> PAGEREF _Toc286146355 \h </w:instrText>
        </w:r>
        <w:r>
          <w:rPr>
            <w:webHidden/>
          </w:rPr>
        </w:r>
        <w:r>
          <w:rPr>
            <w:webHidden/>
          </w:rPr>
          <w:fldChar w:fldCharType="separate"/>
        </w:r>
        <w:r w:rsidR="007829FC">
          <w:rPr>
            <w:webHidden/>
          </w:rPr>
          <w:t>14</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356" w:history="1">
        <w:r w:rsidR="00F87B47" w:rsidRPr="0074598D">
          <w:rPr>
            <w:rStyle w:val="Hyperlink"/>
          </w:rPr>
          <w:t>Box 2.10: Summary of Best Practices: Level of Contribution</w:t>
        </w:r>
        <w:r w:rsidR="00F87B47">
          <w:rPr>
            <w:webHidden/>
          </w:rPr>
          <w:tab/>
        </w:r>
        <w:r w:rsidR="00F87B47">
          <w:rPr>
            <w:webHidden/>
          </w:rPr>
          <w:tab/>
        </w:r>
        <w:r>
          <w:rPr>
            <w:webHidden/>
          </w:rPr>
          <w:fldChar w:fldCharType="begin"/>
        </w:r>
        <w:r w:rsidR="00F87B47">
          <w:rPr>
            <w:webHidden/>
          </w:rPr>
          <w:instrText xml:space="preserve"> PAGEREF _Toc286146356 \h </w:instrText>
        </w:r>
        <w:r>
          <w:rPr>
            <w:webHidden/>
          </w:rPr>
        </w:r>
        <w:r>
          <w:rPr>
            <w:webHidden/>
          </w:rPr>
          <w:fldChar w:fldCharType="separate"/>
        </w:r>
        <w:r w:rsidR="007829FC">
          <w:rPr>
            <w:webHidden/>
          </w:rPr>
          <w:t>14</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357" w:history="1">
        <w:r w:rsidR="00F87B47" w:rsidRPr="0074598D">
          <w:rPr>
            <w:rStyle w:val="Hyperlink"/>
          </w:rPr>
          <w:t>Box 3.1: Summary of Best Practices: Utlisation of Funds</w:t>
        </w:r>
        <w:r w:rsidR="00F87B47">
          <w:rPr>
            <w:webHidden/>
          </w:rPr>
          <w:tab/>
        </w:r>
        <w:r w:rsidR="00F87B47">
          <w:rPr>
            <w:webHidden/>
          </w:rPr>
          <w:tab/>
        </w:r>
        <w:r>
          <w:rPr>
            <w:webHidden/>
          </w:rPr>
          <w:fldChar w:fldCharType="begin"/>
        </w:r>
        <w:r w:rsidR="00F87B47">
          <w:rPr>
            <w:webHidden/>
          </w:rPr>
          <w:instrText xml:space="preserve"> PAGEREF _Toc286146357 \h </w:instrText>
        </w:r>
        <w:r>
          <w:rPr>
            <w:webHidden/>
          </w:rPr>
        </w:r>
        <w:r>
          <w:rPr>
            <w:webHidden/>
          </w:rPr>
          <w:fldChar w:fldCharType="separate"/>
        </w:r>
        <w:r w:rsidR="007829FC">
          <w:rPr>
            <w:webHidden/>
          </w:rPr>
          <w:t>14</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358" w:history="1">
        <w:r w:rsidR="00F87B47" w:rsidRPr="0074598D">
          <w:rPr>
            <w:rStyle w:val="Hyperlink"/>
          </w:rPr>
          <w:t>Box 3.2: Sample/Reference Documents</w:t>
        </w:r>
        <w:r w:rsidR="00F87B47">
          <w:rPr>
            <w:webHidden/>
          </w:rPr>
          <w:tab/>
        </w:r>
        <w:r w:rsidR="00F87B47">
          <w:rPr>
            <w:webHidden/>
          </w:rPr>
          <w:tab/>
        </w:r>
        <w:r>
          <w:rPr>
            <w:webHidden/>
          </w:rPr>
          <w:fldChar w:fldCharType="begin"/>
        </w:r>
        <w:r w:rsidR="00F87B47">
          <w:rPr>
            <w:webHidden/>
          </w:rPr>
          <w:instrText xml:space="preserve"> PAGEREF _Toc286146358 \h </w:instrText>
        </w:r>
        <w:r>
          <w:rPr>
            <w:webHidden/>
          </w:rPr>
        </w:r>
        <w:r>
          <w:rPr>
            <w:webHidden/>
          </w:rPr>
          <w:fldChar w:fldCharType="separate"/>
        </w:r>
        <w:r w:rsidR="007829FC">
          <w:rPr>
            <w:webHidden/>
          </w:rPr>
          <w:t>14</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359" w:history="1">
        <w:r w:rsidR="00F87B47" w:rsidRPr="0074598D">
          <w:rPr>
            <w:rStyle w:val="Hyperlink"/>
          </w:rPr>
          <w:t>Box 3.3: Case Study: Programmes Established by United States USF</w:t>
        </w:r>
        <w:r w:rsidR="00F87B47">
          <w:rPr>
            <w:webHidden/>
          </w:rPr>
          <w:tab/>
        </w:r>
        <w:r w:rsidR="00F87B47">
          <w:rPr>
            <w:webHidden/>
          </w:rPr>
          <w:tab/>
        </w:r>
        <w:r>
          <w:rPr>
            <w:webHidden/>
          </w:rPr>
          <w:fldChar w:fldCharType="begin"/>
        </w:r>
        <w:r w:rsidR="00F87B47">
          <w:rPr>
            <w:webHidden/>
          </w:rPr>
          <w:instrText xml:space="preserve"> PAGEREF _Toc286146359 \h </w:instrText>
        </w:r>
        <w:r>
          <w:rPr>
            <w:webHidden/>
          </w:rPr>
        </w:r>
        <w:r>
          <w:rPr>
            <w:webHidden/>
          </w:rPr>
          <w:fldChar w:fldCharType="separate"/>
        </w:r>
        <w:r w:rsidR="007829FC">
          <w:rPr>
            <w:webHidden/>
          </w:rPr>
          <w:t>14</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360" w:history="1">
        <w:r w:rsidR="00F87B47" w:rsidRPr="0074598D">
          <w:rPr>
            <w:rStyle w:val="Hyperlink"/>
          </w:rPr>
          <w:t>Box 3.4: Information that will assist in the establishment of targets:</w:t>
        </w:r>
        <w:r w:rsidR="00F87B47">
          <w:rPr>
            <w:webHidden/>
          </w:rPr>
          <w:tab/>
        </w:r>
        <w:r w:rsidR="00F87B47">
          <w:rPr>
            <w:webHidden/>
          </w:rPr>
          <w:tab/>
        </w:r>
        <w:r>
          <w:rPr>
            <w:webHidden/>
          </w:rPr>
          <w:fldChar w:fldCharType="begin"/>
        </w:r>
        <w:r w:rsidR="00F87B47">
          <w:rPr>
            <w:webHidden/>
          </w:rPr>
          <w:instrText xml:space="preserve"> PAGEREF _Toc286146360 \h </w:instrText>
        </w:r>
        <w:r>
          <w:rPr>
            <w:webHidden/>
          </w:rPr>
        </w:r>
        <w:r>
          <w:rPr>
            <w:webHidden/>
          </w:rPr>
          <w:fldChar w:fldCharType="separate"/>
        </w:r>
        <w:r w:rsidR="007829FC">
          <w:rPr>
            <w:webHidden/>
          </w:rPr>
          <w:t>14</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361" w:history="1">
        <w:r w:rsidR="00F87B47" w:rsidRPr="0074598D">
          <w:rPr>
            <w:rStyle w:val="Hyperlink"/>
          </w:rPr>
          <w:t>Box 3.5: Geographic Targeting: EC Criteria for Determining an Areas Eligibility for State Aid for Broadband</w:t>
        </w:r>
        <w:r w:rsidR="00F87B47">
          <w:rPr>
            <w:webHidden/>
          </w:rPr>
          <w:tab/>
        </w:r>
        <w:r w:rsidR="00F87B47">
          <w:rPr>
            <w:webHidden/>
          </w:rPr>
          <w:tab/>
        </w:r>
        <w:r>
          <w:rPr>
            <w:webHidden/>
          </w:rPr>
          <w:fldChar w:fldCharType="begin"/>
        </w:r>
        <w:r w:rsidR="00F87B47">
          <w:rPr>
            <w:webHidden/>
          </w:rPr>
          <w:instrText xml:space="preserve"> PAGEREF _Toc286146361 \h </w:instrText>
        </w:r>
        <w:r>
          <w:rPr>
            <w:webHidden/>
          </w:rPr>
        </w:r>
        <w:r>
          <w:rPr>
            <w:webHidden/>
          </w:rPr>
          <w:fldChar w:fldCharType="separate"/>
        </w:r>
        <w:r w:rsidR="007829FC">
          <w:rPr>
            <w:webHidden/>
          </w:rPr>
          <w:t>14</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362" w:history="1">
        <w:r w:rsidR="00F87B47" w:rsidRPr="0074598D">
          <w:rPr>
            <w:rStyle w:val="Hyperlink"/>
          </w:rPr>
          <w:t>Box 3.6: Summary of Best Practices: Designing programmes and projects</w:t>
        </w:r>
        <w:r w:rsidR="00F87B47">
          <w:rPr>
            <w:webHidden/>
          </w:rPr>
          <w:tab/>
        </w:r>
        <w:r w:rsidR="00F87B47">
          <w:rPr>
            <w:webHidden/>
          </w:rPr>
          <w:tab/>
        </w:r>
        <w:r>
          <w:rPr>
            <w:webHidden/>
          </w:rPr>
          <w:fldChar w:fldCharType="begin"/>
        </w:r>
        <w:r w:rsidR="00F87B47">
          <w:rPr>
            <w:webHidden/>
          </w:rPr>
          <w:instrText xml:space="preserve"> PAGEREF _Toc286146362 \h </w:instrText>
        </w:r>
        <w:r>
          <w:rPr>
            <w:webHidden/>
          </w:rPr>
        </w:r>
        <w:r>
          <w:rPr>
            <w:webHidden/>
          </w:rPr>
          <w:fldChar w:fldCharType="separate"/>
        </w:r>
        <w:r w:rsidR="007829FC">
          <w:rPr>
            <w:webHidden/>
          </w:rPr>
          <w:t>14</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363" w:history="1">
        <w:r w:rsidR="00F87B47" w:rsidRPr="0074598D">
          <w:rPr>
            <w:rStyle w:val="Hyperlink"/>
          </w:rPr>
          <w:t>Box 3.7: Sample/Reference documents</w:t>
        </w:r>
        <w:r w:rsidR="00F87B47">
          <w:rPr>
            <w:webHidden/>
          </w:rPr>
          <w:tab/>
        </w:r>
        <w:r w:rsidR="00F87B47">
          <w:rPr>
            <w:webHidden/>
          </w:rPr>
          <w:tab/>
        </w:r>
        <w:r>
          <w:rPr>
            <w:webHidden/>
          </w:rPr>
          <w:fldChar w:fldCharType="begin"/>
        </w:r>
        <w:r w:rsidR="00F87B47">
          <w:rPr>
            <w:webHidden/>
          </w:rPr>
          <w:instrText xml:space="preserve"> PAGEREF _Toc286146363 \h </w:instrText>
        </w:r>
        <w:r>
          <w:rPr>
            <w:webHidden/>
          </w:rPr>
        </w:r>
        <w:r>
          <w:rPr>
            <w:webHidden/>
          </w:rPr>
          <w:fldChar w:fldCharType="separate"/>
        </w:r>
        <w:r w:rsidR="007829FC">
          <w:rPr>
            <w:webHidden/>
          </w:rPr>
          <w:t>14</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364" w:history="1">
        <w:r w:rsidR="00F87B47" w:rsidRPr="0074598D">
          <w:rPr>
            <w:rStyle w:val="Hyperlink"/>
          </w:rPr>
          <w:t>Box 3.8: South African Cases:</w:t>
        </w:r>
        <w:r w:rsidR="00F87B47">
          <w:rPr>
            <w:webHidden/>
          </w:rPr>
          <w:tab/>
        </w:r>
        <w:r w:rsidR="00F87B47">
          <w:rPr>
            <w:webHidden/>
          </w:rPr>
          <w:tab/>
        </w:r>
        <w:r>
          <w:rPr>
            <w:webHidden/>
          </w:rPr>
          <w:fldChar w:fldCharType="begin"/>
        </w:r>
        <w:r w:rsidR="00F87B47">
          <w:rPr>
            <w:webHidden/>
          </w:rPr>
          <w:instrText xml:space="preserve"> PAGEREF _Toc286146364 \h </w:instrText>
        </w:r>
        <w:r>
          <w:rPr>
            <w:webHidden/>
          </w:rPr>
        </w:r>
        <w:r>
          <w:rPr>
            <w:webHidden/>
          </w:rPr>
          <w:fldChar w:fldCharType="separate"/>
        </w:r>
        <w:r w:rsidR="007829FC">
          <w:rPr>
            <w:webHidden/>
          </w:rPr>
          <w:t>14</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365" w:history="1">
        <w:r w:rsidR="00F87B47" w:rsidRPr="0074598D">
          <w:rPr>
            <w:rStyle w:val="Hyperlink"/>
          </w:rPr>
          <w:t>Box 3.9</w:t>
        </w:r>
        <w:r w:rsidR="00F87B47">
          <w:rPr>
            <w:webHidden/>
          </w:rPr>
          <w:tab/>
        </w:r>
        <w:r w:rsidR="00F87B47">
          <w:rPr>
            <w:webHidden/>
          </w:rPr>
          <w:tab/>
        </w:r>
        <w:r>
          <w:rPr>
            <w:webHidden/>
          </w:rPr>
          <w:fldChar w:fldCharType="begin"/>
        </w:r>
        <w:r w:rsidR="00F87B47">
          <w:rPr>
            <w:webHidden/>
          </w:rPr>
          <w:instrText xml:space="preserve"> PAGEREF _Toc286146365 \h </w:instrText>
        </w:r>
        <w:r>
          <w:rPr>
            <w:webHidden/>
          </w:rPr>
        </w:r>
        <w:r>
          <w:rPr>
            <w:webHidden/>
          </w:rPr>
          <w:fldChar w:fldCharType="separate"/>
        </w:r>
        <w:r w:rsidR="007829FC">
          <w:rPr>
            <w:webHidden/>
          </w:rPr>
          <w:t>14</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366" w:history="1">
        <w:r w:rsidR="00F87B47" w:rsidRPr="0074598D">
          <w:rPr>
            <w:rStyle w:val="Hyperlink"/>
          </w:rPr>
          <w:t>Box 3.10: Sample/ Reference Documents: Types of Projects</w:t>
        </w:r>
        <w:r w:rsidR="00F87B47">
          <w:rPr>
            <w:webHidden/>
          </w:rPr>
          <w:tab/>
        </w:r>
        <w:r w:rsidR="00F87B47">
          <w:rPr>
            <w:webHidden/>
          </w:rPr>
          <w:tab/>
        </w:r>
        <w:r>
          <w:rPr>
            <w:webHidden/>
          </w:rPr>
          <w:fldChar w:fldCharType="begin"/>
        </w:r>
        <w:r w:rsidR="00F87B47">
          <w:rPr>
            <w:webHidden/>
          </w:rPr>
          <w:instrText xml:space="preserve"> PAGEREF _Toc286146366 \h </w:instrText>
        </w:r>
        <w:r>
          <w:rPr>
            <w:webHidden/>
          </w:rPr>
        </w:r>
        <w:r>
          <w:rPr>
            <w:webHidden/>
          </w:rPr>
          <w:fldChar w:fldCharType="separate"/>
        </w:r>
        <w:r w:rsidR="007829FC">
          <w:rPr>
            <w:webHidden/>
          </w:rPr>
          <w:t>14</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367" w:history="1">
        <w:r w:rsidR="00F87B47" w:rsidRPr="0074598D">
          <w:rPr>
            <w:rStyle w:val="Hyperlink"/>
          </w:rPr>
          <w:t>Box 3.11: RECAP – Applying the knowledge, Implementation of Projects – Some Experiences</w:t>
        </w:r>
        <w:r w:rsidR="00F87B47">
          <w:rPr>
            <w:webHidden/>
          </w:rPr>
          <w:tab/>
        </w:r>
        <w:r w:rsidR="00F87B47">
          <w:rPr>
            <w:webHidden/>
          </w:rPr>
          <w:tab/>
        </w:r>
        <w:r>
          <w:rPr>
            <w:webHidden/>
          </w:rPr>
          <w:fldChar w:fldCharType="begin"/>
        </w:r>
        <w:r w:rsidR="00F87B47">
          <w:rPr>
            <w:webHidden/>
          </w:rPr>
          <w:instrText xml:space="preserve"> PAGEREF _Toc286146367 \h </w:instrText>
        </w:r>
        <w:r>
          <w:rPr>
            <w:webHidden/>
          </w:rPr>
        </w:r>
        <w:r>
          <w:rPr>
            <w:webHidden/>
          </w:rPr>
          <w:fldChar w:fldCharType="separate"/>
        </w:r>
        <w:r w:rsidR="007829FC">
          <w:rPr>
            <w:webHidden/>
          </w:rPr>
          <w:t>14</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368" w:history="1">
        <w:r w:rsidR="00F87B47" w:rsidRPr="0074598D">
          <w:rPr>
            <w:rStyle w:val="Hyperlink"/>
          </w:rPr>
          <w:t>Box 3.12: Shifting Away from Detailed Cost Modeling</w:t>
        </w:r>
        <w:r w:rsidR="00F87B47">
          <w:rPr>
            <w:webHidden/>
          </w:rPr>
          <w:tab/>
        </w:r>
        <w:r w:rsidR="00F87B47">
          <w:rPr>
            <w:webHidden/>
          </w:rPr>
          <w:tab/>
        </w:r>
        <w:r>
          <w:rPr>
            <w:webHidden/>
          </w:rPr>
          <w:fldChar w:fldCharType="begin"/>
        </w:r>
        <w:r w:rsidR="00F87B47">
          <w:rPr>
            <w:webHidden/>
          </w:rPr>
          <w:instrText xml:space="preserve"> PAGEREF _Toc286146368 \h </w:instrText>
        </w:r>
        <w:r>
          <w:rPr>
            <w:webHidden/>
          </w:rPr>
        </w:r>
        <w:r>
          <w:rPr>
            <w:webHidden/>
          </w:rPr>
          <w:fldChar w:fldCharType="separate"/>
        </w:r>
        <w:r w:rsidR="007829FC">
          <w:rPr>
            <w:webHidden/>
          </w:rPr>
          <w:t>14</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369" w:history="1">
        <w:r w:rsidR="00F87B47" w:rsidRPr="0074598D">
          <w:rPr>
            <w:rStyle w:val="Hyperlink"/>
          </w:rPr>
          <w:t>Box 3.13: Sample / Reference Documents</w:t>
        </w:r>
        <w:r w:rsidR="00F87B47">
          <w:rPr>
            <w:webHidden/>
          </w:rPr>
          <w:tab/>
        </w:r>
        <w:r w:rsidR="00F87B47">
          <w:rPr>
            <w:webHidden/>
          </w:rPr>
          <w:tab/>
        </w:r>
        <w:r>
          <w:rPr>
            <w:webHidden/>
          </w:rPr>
          <w:fldChar w:fldCharType="begin"/>
        </w:r>
        <w:r w:rsidR="00F87B47">
          <w:rPr>
            <w:webHidden/>
          </w:rPr>
          <w:instrText xml:space="preserve"> PAGEREF _Toc286146369 \h </w:instrText>
        </w:r>
        <w:r>
          <w:rPr>
            <w:webHidden/>
          </w:rPr>
        </w:r>
        <w:r>
          <w:rPr>
            <w:webHidden/>
          </w:rPr>
          <w:fldChar w:fldCharType="separate"/>
        </w:r>
        <w:r w:rsidR="007829FC">
          <w:rPr>
            <w:webHidden/>
          </w:rPr>
          <w:t>14</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370" w:history="1">
        <w:r w:rsidR="00F87B47" w:rsidRPr="0074598D">
          <w:rPr>
            <w:rStyle w:val="Hyperlink"/>
          </w:rPr>
          <w:t>Box 3.14: Summary of Best Practices: Awarding Subsidies</w:t>
        </w:r>
        <w:r w:rsidR="00F87B47">
          <w:rPr>
            <w:webHidden/>
          </w:rPr>
          <w:tab/>
        </w:r>
        <w:r w:rsidR="00F87B47">
          <w:rPr>
            <w:webHidden/>
          </w:rPr>
          <w:tab/>
        </w:r>
        <w:r>
          <w:rPr>
            <w:webHidden/>
          </w:rPr>
          <w:fldChar w:fldCharType="begin"/>
        </w:r>
        <w:r w:rsidR="00F87B47">
          <w:rPr>
            <w:webHidden/>
          </w:rPr>
          <w:instrText xml:space="preserve"> PAGEREF _Toc286146370 \h </w:instrText>
        </w:r>
        <w:r>
          <w:rPr>
            <w:webHidden/>
          </w:rPr>
        </w:r>
        <w:r>
          <w:rPr>
            <w:webHidden/>
          </w:rPr>
          <w:fldChar w:fldCharType="separate"/>
        </w:r>
        <w:r w:rsidR="007829FC">
          <w:rPr>
            <w:webHidden/>
          </w:rPr>
          <w:t>14</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371" w:history="1">
        <w:r w:rsidR="00F87B47" w:rsidRPr="0074598D">
          <w:rPr>
            <w:rStyle w:val="Hyperlink"/>
          </w:rPr>
          <w:t>Box 3.15:Sample/Reference Documents</w:t>
        </w:r>
        <w:r w:rsidR="00F87B47">
          <w:rPr>
            <w:webHidden/>
          </w:rPr>
          <w:tab/>
        </w:r>
        <w:r w:rsidR="00F87B47">
          <w:rPr>
            <w:webHidden/>
          </w:rPr>
          <w:tab/>
        </w:r>
        <w:r>
          <w:rPr>
            <w:webHidden/>
          </w:rPr>
          <w:fldChar w:fldCharType="begin"/>
        </w:r>
        <w:r w:rsidR="00F87B47">
          <w:rPr>
            <w:webHidden/>
          </w:rPr>
          <w:instrText xml:space="preserve"> PAGEREF _Toc286146371 \h </w:instrText>
        </w:r>
        <w:r>
          <w:rPr>
            <w:webHidden/>
          </w:rPr>
        </w:r>
        <w:r>
          <w:rPr>
            <w:webHidden/>
          </w:rPr>
          <w:fldChar w:fldCharType="separate"/>
        </w:r>
        <w:r w:rsidR="007829FC">
          <w:rPr>
            <w:webHidden/>
          </w:rPr>
          <w:t>14</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372" w:history="1">
        <w:r w:rsidR="00F87B47" w:rsidRPr="0074598D">
          <w:rPr>
            <w:rStyle w:val="Hyperlink"/>
          </w:rPr>
          <w:t>Box 3.16: Sample/Recommended Documents</w:t>
        </w:r>
        <w:r w:rsidR="00F87B47">
          <w:rPr>
            <w:webHidden/>
          </w:rPr>
          <w:tab/>
        </w:r>
        <w:r w:rsidR="00F87B47">
          <w:rPr>
            <w:webHidden/>
          </w:rPr>
          <w:tab/>
        </w:r>
        <w:r>
          <w:rPr>
            <w:webHidden/>
          </w:rPr>
          <w:fldChar w:fldCharType="begin"/>
        </w:r>
        <w:r w:rsidR="00F87B47">
          <w:rPr>
            <w:webHidden/>
          </w:rPr>
          <w:instrText xml:space="preserve"> PAGEREF _Toc286146372 \h </w:instrText>
        </w:r>
        <w:r>
          <w:rPr>
            <w:webHidden/>
          </w:rPr>
        </w:r>
        <w:r>
          <w:rPr>
            <w:webHidden/>
          </w:rPr>
          <w:fldChar w:fldCharType="separate"/>
        </w:r>
        <w:r w:rsidR="007829FC">
          <w:rPr>
            <w:webHidden/>
          </w:rPr>
          <w:t>14</w:t>
        </w:r>
        <w:r>
          <w:rPr>
            <w:webHidden/>
          </w:rPr>
          <w:fldChar w:fldCharType="end"/>
        </w:r>
      </w:hyperlink>
    </w:p>
    <w:p w:rsidR="00F87B47" w:rsidRDefault="000816B7" w:rsidP="00F87B47">
      <w:pPr>
        <w:pStyle w:val="HIPTOC2"/>
        <w:rPr>
          <w:rFonts w:asciiTheme="minorHAnsi" w:eastAsiaTheme="minorEastAsia" w:hAnsiTheme="minorHAnsi" w:cstheme="minorBidi"/>
          <w:lang w:eastAsia="zh-CN"/>
        </w:rPr>
      </w:pPr>
      <w:hyperlink w:anchor="_Toc286146373" w:history="1">
        <w:r w:rsidR="00F87B47" w:rsidRPr="0074598D">
          <w:rPr>
            <w:rStyle w:val="Hyperlink"/>
          </w:rPr>
          <w:t>Box 4.1: Samples/References</w:t>
        </w:r>
        <w:r w:rsidR="00F87B47">
          <w:rPr>
            <w:webHidden/>
          </w:rPr>
          <w:tab/>
        </w:r>
        <w:r w:rsidR="00F87B47">
          <w:rPr>
            <w:webHidden/>
          </w:rPr>
          <w:tab/>
        </w:r>
        <w:r>
          <w:rPr>
            <w:webHidden/>
          </w:rPr>
          <w:fldChar w:fldCharType="begin"/>
        </w:r>
        <w:r w:rsidR="00F87B47">
          <w:rPr>
            <w:webHidden/>
          </w:rPr>
          <w:instrText xml:space="preserve"> PAGEREF _Toc286146373 \h </w:instrText>
        </w:r>
        <w:r>
          <w:rPr>
            <w:webHidden/>
          </w:rPr>
        </w:r>
        <w:r>
          <w:rPr>
            <w:webHidden/>
          </w:rPr>
          <w:fldChar w:fldCharType="separate"/>
        </w:r>
        <w:r w:rsidR="007829FC">
          <w:rPr>
            <w:webHidden/>
          </w:rPr>
          <w:t>14</w:t>
        </w:r>
        <w:r>
          <w:rPr>
            <w:webHidden/>
          </w:rPr>
          <w:fldChar w:fldCharType="end"/>
        </w:r>
      </w:hyperlink>
    </w:p>
    <w:p w:rsidR="00DC5333" w:rsidRDefault="000816B7" w:rsidP="00F87B47">
      <w:pPr>
        <w:pStyle w:val="HIPNormal"/>
        <w:rPr>
          <w:rFonts w:eastAsiaTheme="minorEastAsia"/>
          <w:noProof/>
          <w:lang w:eastAsia="zh-CN"/>
        </w:rPr>
      </w:pPr>
      <w:r>
        <w:rPr>
          <w:rFonts w:eastAsiaTheme="minorEastAsia"/>
          <w:noProof/>
          <w:lang w:eastAsia="zh-CN"/>
        </w:rPr>
        <w:fldChar w:fldCharType="end"/>
      </w:r>
    </w:p>
    <w:p w:rsidR="00DC5333" w:rsidRPr="00DC5333" w:rsidRDefault="00DC5333" w:rsidP="0088668E">
      <w:pPr>
        <w:pStyle w:val="HIPNormal"/>
        <w:rPr>
          <w:rFonts w:eastAsiaTheme="minorEastAsia"/>
          <w:noProof/>
          <w:lang w:val="en-US" w:eastAsia="zh-CN"/>
        </w:rPr>
      </w:pPr>
    </w:p>
    <w:p w:rsidR="0088668E" w:rsidRPr="00DC5333" w:rsidRDefault="0088668E" w:rsidP="0088668E">
      <w:pPr>
        <w:pStyle w:val="HIPNormal"/>
        <w:rPr>
          <w:rFonts w:eastAsiaTheme="minorEastAsia"/>
          <w:noProof/>
          <w:lang w:val="en-US" w:eastAsia="zh-CN"/>
        </w:rPr>
      </w:pPr>
    </w:p>
    <w:p w:rsidR="009006C7" w:rsidRPr="00805791" w:rsidRDefault="009006C7" w:rsidP="00023929">
      <w:pPr>
        <w:pStyle w:val="HIPTOC1"/>
        <w:rPr>
          <w:highlight w:val="yellow"/>
        </w:rPr>
        <w:sectPr w:rsidR="009006C7" w:rsidRPr="00805791" w:rsidSect="009006C7">
          <w:headerReference w:type="even" r:id="rId26"/>
          <w:headerReference w:type="default" r:id="rId27"/>
          <w:footerReference w:type="even" r:id="rId28"/>
          <w:footerReference w:type="default" r:id="rId29"/>
          <w:headerReference w:type="first" r:id="rId30"/>
          <w:footerReference w:type="first" r:id="rId31"/>
          <w:type w:val="oddPage"/>
          <w:pgSz w:w="11907" w:h="16840" w:code="9"/>
          <w:pgMar w:top="1701" w:right="1418" w:bottom="1418" w:left="1418" w:header="709" w:footer="709" w:gutter="0"/>
          <w:pgNumType w:fmt="lowerRoman"/>
          <w:cols w:space="720"/>
          <w:titlePg/>
        </w:sectPr>
      </w:pPr>
    </w:p>
    <w:p w:rsidR="00BC1EC4" w:rsidRDefault="00BC1EC4" w:rsidP="00BC1EC4">
      <w:pPr>
        <w:pStyle w:val="HIPNormal"/>
        <w:rPr>
          <w:lang w:val="en-US"/>
        </w:rPr>
      </w:pPr>
    </w:p>
    <w:p w:rsidR="00BC1EC4" w:rsidRDefault="00BC1EC4" w:rsidP="00BC1EC4">
      <w:pPr>
        <w:pStyle w:val="HIPNormal"/>
        <w:rPr>
          <w:lang w:val="en-US"/>
        </w:rPr>
      </w:pPr>
    </w:p>
    <w:p w:rsidR="00BC1EC4" w:rsidRPr="00A11AC1" w:rsidRDefault="00BC1EC4" w:rsidP="00BC1EC4">
      <w:pPr>
        <w:pStyle w:val="HIPNormal"/>
        <w:rPr>
          <w:lang w:val="en-US"/>
        </w:rPr>
      </w:pPr>
    </w:p>
    <w:p w:rsidR="00BC1EC4" w:rsidRPr="00A11AC1" w:rsidRDefault="00BC1EC4" w:rsidP="00BC1EC4">
      <w:pPr>
        <w:pStyle w:val="HIPNormal"/>
        <w:rPr>
          <w:lang w:val="en-US"/>
        </w:rPr>
      </w:pPr>
    </w:p>
    <w:p w:rsidR="00BC1EC4" w:rsidRPr="00A11AC1" w:rsidRDefault="00BC1EC4" w:rsidP="00BC1EC4">
      <w:pPr>
        <w:pStyle w:val="HIPNormal"/>
        <w:rPr>
          <w:lang w:val="en-US"/>
        </w:rPr>
      </w:pPr>
    </w:p>
    <w:p w:rsidR="00BC1EC4" w:rsidRDefault="00BC1EC4" w:rsidP="00BC1EC4">
      <w:pPr>
        <w:pStyle w:val="HIPChaptReportTitle"/>
        <w:numPr>
          <w:ilvl w:val="0"/>
          <w:numId w:val="0"/>
        </w:numPr>
        <w:rPr>
          <w:lang w:val="en-US"/>
        </w:rPr>
      </w:pPr>
      <w:bookmarkStart w:id="43" w:name="_Toc286144948"/>
      <w:r>
        <w:rPr>
          <w:lang w:val="en-US"/>
        </w:rPr>
        <w:t>Part 1</w:t>
      </w:r>
      <w:bookmarkEnd w:id="43"/>
    </w:p>
    <w:p w:rsidR="00BC1EC4" w:rsidRDefault="00BC1EC4" w:rsidP="00BC1EC4">
      <w:pPr>
        <w:pStyle w:val="HIPNormal"/>
        <w:rPr>
          <w:lang w:val="en-US"/>
        </w:rPr>
      </w:pPr>
    </w:p>
    <w:p w:rsidR="00BC1EC4" w:rsidRPr="00BC1EC4" w:rsidRDefault="008E340F" w:rsidP="008E340F">
      <w:pPr>
        <w:pStyle w:val="HIPChaptReportTitle"/>
        <w:numPr>
          <w:ilvl w:val="0"/>
          <w:numId w:val="0"/>
        </w:numPr>
        <w:rPr>
          <w:lang w:val="en-US"/>
        </w:rPr>
      </w:pPr>
      <w:bookmarkStart w:id="44" w:name="_Toc286144949"/>
      <w:r w:rsidRPr="008E340F">
        <w:rPr>
          <w:lang w:val="en-US"/>
        </w:rPr>
        <w:t xml:space="preserve">UNDERSTANDING FUNDS AND </w:t>
      </w:r>
      <w:r>
        <w:rPr>
          <w:lang w:val="en-US"/>
        </w:rPr>
        <w:br/>
      </w:r>
      <w:r w:rsidRPr="008E340F">
        <w:rPr>
          <w:lang w:val="en-US"/>
        </w:rPr>
        <w:t>UNIVERSAL ACCESS FINANCING</w:t>
      </w:r>
      <w:bookmarkEnd w:id="44"/>
    </w:p>
    <w:p w:rsidR="00BC1EC4" w:rsidRDefault="00BC1EC4" w:rsidP="00BC1EC4">
      <w:pPr>
        <w:pStyle w:val="HIPNormal"/>
        <w:jc w:val="center"/>
        <w:rPr>
          <w:lang w:val="en-US"/>
        </w:rPr>
      </w:pPr>
    </w:p>
    <w:p w:rsidR="00BC1EC4" w:rsidRDefault="00BC1EC4" w:rsidP="00BC1EC4">
      <w:pPr>
        <w:pStyle w:val="HIPNormal"/>
        <w:jc w:val="center"/>
        <w:rPr>
          <w:lang w:val="en-US"/>
        </w:rPr>
      </w:pPr>
    </w:p>
    <w:p w:rsidR="00BA6B4C" w:rsidRDefault="00BA6B4C" w:rsidP="00BC1EC4">
      <w:pPr>
        <w:pStyle w:val="HIPNormal"/>
        <w:rPr>
          <w:lang w:val="en-GB"/>
        </w:rPr>
      </w:pPr>
    </w:p>
    <w:p w:rsidR="00BC1EC4" w:rsidRDefault="00BC1EC4" w:rsidP="00BC1EC4">
      <w:pPr>
        <w:pStyle w:val="HIPNormal"/>
        <w:rPr>
          <w:lang w:val="en-US"/>
        </w:rPr>
        <w:sectPr w:rsidR="00BC1EC4" w:rsidSect="0088668E">
          <w:headerReference w:type="first" r:id="rId32"/>
          <w:footerReference w:type="first" r:id="rId33"/>
          <w:type w:val="oddPage"/>
          <w:pgSz w:w="11907" w:h="16840" w:code="9"/>
          <w:pgMar w:top="1701" w:right="1418" w:bottom="1418" w:left="1418" w:header="720" w:footer="720" w:gutter="0"/>
          <w:pgNumType w:start="1"/>
          <w:cols w:space="720"/>
          <w:titlePg/>
        </w:sectPr>
      </w:pPr>
    </w:p>
    <w:p w:rsidR="008E340F" w:rsidRPr="008E340F" w:rsidRDefault="0088668E" w:rsidP="0088668E">
      <w:pPr>
        <w:pStyle w:val="HIPHeading2"/>
      </w:pPr>
      <w:bookmarkStart w:id="45" w:name="_Toc284597937"/>
      <w:bookmarkStart w:id="46" w:name="_Toc286144950"/>
      <w:r>
        <w:lastRenderedPageBreak/>
        <w:t>1.1</w:t>
      </w:r>
      <w:r>
        <w:tab/>
      </w:r>
      <w:r w:rsidR="008E340F" w:rsidRPr="008E340F">
        <w:t>FUNDING APPROACHES</w:t>
      </w:r>
      <w:bookmarkEnd w:id="45"/>
      <w:bookmarkEnd w:id="46"/>
    </w:p>
    <w:p w:rsidR="008E340F" w:rsidRPr="0088668E" w:rsidRDefault="00504806" w:rsidP="0088668E">
      <w:pPr>
        <w:pStyle w:val="HIPheading3"/>
      </w:pPr>
      <w:bookmarkStart w:id="47" w:name="_Toc284597938"/>
      <w:bookmarkStart w:id="48" w:name="_Toc286144951"/>
      <w:r w:rsidRPr="0088668E">
        <w:t>1</w:t>
      </w:r>
      <w:r w:rsidR="0088668E" w:rsidRPr="0088668E">
        <w:t>.1.1</w:t>
      </w:r>
      <w:r w:rsidRPr="0088668E">
        <w:tab/>
      </w:r>
      <w:r w:rsidR="008E340F" w:rsidRPr="0088668E">
        <w:t>Casting the Net Wide – Exploring all funding options</w:t>
      </w:r>
      <w:bookmarkEnd w:id="47"/>
      <w:bookmarkEnd w:id="48"/>
    </w:p>
    <w:p w:rsidR="008E340F" w:rsidRPr="0006693F" w:rsidRDefault="008E340F" w:rsidP="008E340F">
      <w:pPr>
        <w:pStyle w:val="HIPNormal"/>
        <w:rPr>
          <w:lang w:val="en-US" w:eastAsia="en-US"/>
        </w:rPr>
      </w:pPr>
      <w:r w:rsidRPr="00440BA2">
        <w:rPr>
          <w:lang w:val="en-US"/>
        </w:rPr>
        <w:t xml:space="preserve">Although it is </w:t>
      </w:r>
      <w:r>
        <w:rPr>
          <w:lang w:val="en-US"/>
        </w:rPr>
        <w:t xml:space="preserve">one of </w:t>
      </w:r>
      <w:r w:rsidRPr="00440BA2">
        <w:rPr>
          <w:lang w:val="en-US"/>
        </w:rPr>
        <w:t>the focus</w:t>
      </w:r>
      <w:r>
        <w:rPr>
          <w:lang w:val="en-US"/>
        </w:rPr>
        <w:t>es</w:t>
      </w:r>
      <w:r w:rsidRPr="00440BA2">
        <w:rPr>
          <w:lang w:val="en-US"/>
        </w:rPr>
        <w:t xml:space="preserve"> of this </w:t>
      </w:r>
      <w:r>
        <w:rPr>
          <w:lang w:val="en-US"/>
        </w:rPr>
        <w:t>Toolkit</w:t>
      </w:r>
      <w:r w:rsidRPr="00440BA2">
        <w:rPr>
          <w:lang w:val="en-US"/>
        </w:rPr>
        <w:t>, it would be remiss to propose that a Fund is the only, or even then best, manner of providing financing for universal service</w:t>
      </w:r>
      <w:r>
        <w:rPr>
          <w:lang w:val="en-US"/>
        </w:rPr>
        <w:t xml:space="preserve"> and access</w:t>
      </w:r>
      <w:r w:rsidRPr="00440BA2">
        <w:rPr>
          <w:lang w:val="en-US"/>
        </w:rPr>
        <w:t xml:space="preserve"> projects and programmes. </w:t>
      </w:r>
      <w:r>
        <w:rPr>
          <w:lang w:val="en-US"/>
        </w:rPr>
        <w:t xml:space="preserve">For starters, the fact that a public financing mechanism is introduced in a </w:t>
      </w:r>
      <w:r>
        <w:rPr>
          <w:rFonts w:hint="eastAsia"/>
          <w:lang w:val="en-US"/>
        </w:rPr>
        <w:t>liberalized</w:t>
      </w:r>
      <w:r>
        <w:rPr>
          <w:lang w:val="en-US"/>
        </w:rPr>
        <w:t xml:space="preserve"> market indicates the </w:t>
      </w:r>
      <w:r>
        <w:rPr>
          <w:rFonts w:hint="eastAsia"/>
          <w:lang w:val="en-US"/>
        </w:rPr>
        <w:t>existence</w:t>
      </w:r>
      <w:r>
        <w:rPr>
          <w:lang w:val="en-US"/>
        </w:rPr>
        <w:t xml:space="preserve"> of a market access gap – a gap between what the private sector is willing to achieve and what is needed by the public. – arrived at through a thourough analysis of the relevant market based on national definitions of universal service and access. </w:t>
      </w:r>
      <w:r w:rsidRPr="0006693F">
        <w:rPr>
          <w:lang w:val="en-US" w:eastAsia="en-US"/>
        </w:rPr>
        <w:t>The premise of universal access projects is that they are deployed in high risk areas or to low income users and communities where without a financial incentive to invest, operators or other suppliers will not provide the services. As such, creative financing models are required to encourage the rollout of networks and services in such areas and in so doing meet socio economic objectives of the country.</w:t>
      </w:r>
      <w:r w:rsidR="005E5682">
        <w:rPr>
          <w:lang w:val="en-US" w:eastAsia="en-US"/>
        </w:rPr>
        <w:t xml:space="preserve"> </w:t>
      </w:r>
    </w:p>
    <w:p w:rsidR="008E340F" w:rsidRDefault="008E340F" w:rsidP="008E340F">
      <w:pPr>
        <w:pStyle w:val="HIPNormal"/>
        <w:rPr>
          <w:lang w:val="en-US"/>
        </w:rPr>
      </w:pPr>
      <w:r>
        <w:rPr>
          <w:lang w:val="en-US"/>
        </w:rPr>
        <w:t>T</w:t>
      </w:r>
      <w:r w:rsidRPr="00440BA2">
        <w:rPr>
          <w:lang w:val="en-US"/>
        </w:rPr>
        <w:t>he establishment of a Fund is only one of a number of methods of financing universal service and access</w:t>
      </w:r>
      <w:r>
        <w:rPr>
          <w:lang w:val="en-US"/>
        </w:rPr>
        <w:t xml:space="preserve"> projects and programmes</w:t>
      </w:r>
      <w:r w:rsidRPr="00440BA2">
        <w:rPr>
          <w:lang w:val="en-US"/>
        </w:rPr>
        <w:t xml:space="preserve">; depending on the project and the country context, </w:t>
      </w:r>
      <w:r>
        <w:rPr>
          <w:lang w:val="en-US"/>
        </w:rPr>
        <w:t xml:space="preserve">and importantly on the definition of universal access. With the increasing importance of broadband in socio-economic development and to facilitate digital inclusion, countries are finding that the definition of universal access and service needs </w:t>
      </w:r>
      <w:r>
        <w:rPr>
          <w:rFonts w:hint="eastAsia"/>
          <w:lang w:val="en-US"/>
        </w:rPr>
        <w:t>reconsideration</w:t>
      </w:r>
      <w:r>
        <w:rPr>
          <w:lang w:val="en-US"/>
        </w:rPr>
        <w:t>; if it is widened to include broadband, and thus the need to rollout Next Generation Networks, then more agressive financing strategies than the used of Funds are necessary going forward.</w:t>
      </w:r>
    </w:p>
    <w:p w:rsidR="008E340F" w:rsidRPr="0006693F" w:rsidRDefault="008E340F" w:rsidP="008E340F">
      <w:pPr>
        <w:pStyle w:val="HIPNormal"/>
        <w:rPr>
          <w:lang w:val="en-US" w:eastAsia="en-US"/>
        </w:rPr>
      </w:pPr>
      <w:r w:rsidRPr="0006693F">
        <w:rPr>
          <w:lang w:val="en-US" w:eastAsia="en-US"/>
        </w:rPr>
        <w:t>NGOs, donor organisations, government and the private sector itself have been financing ICT sector investment for decades – as such the discussion on funding</w:t>
      </w:r>
      <w:r>
        <w:rPr>
          <w:lang w:val="en-US" w:eastAsia="en-US"/>
        </w:rPr>
        <w:t xml:space="preserve"> universal access</w:t>
      </w:r>
      <w:r w:rsidRPr="0006693F">
        <w:rPr>
          <w:lang w:val="en-US" w:eastAsia="en-US"/>
        </w:rPr>
        <w:t xml:space="preserve"> is not a new one.</w:t>
      </w:r>
      <w:r w:rsidR="005E5682">
        <w:rPr>
          <w:lang w:val="en-US" w:eastAsia="en-US"/>
        </w:rPr>
        <w:t xml:space="preserve"> </w:t>
      </w:r>
      <w:r w:rsidRPr="0006693F">
        <w:rPr>
          <w:lang w:val="en-US" w:eastAsia="en-US"/>
        </w:rPr>
        <w:t xml:space="preserve">It is important to note that there are a number of different funding partners and vehicles that are available that can be used to fund universal access projects, and </w:t>
      </w:r>
      <w:r>
        <w:rPr>
          <w:lang w:val="en-US" w:eastAsia="en-US"/>
        </w:rPr>
        <w:t xml:space="preserve">the </w:t>
      </w:r>
      <w:r w:rsidRPr="0006693F">
        <w:rPr>
          <w:lang w:val="en-US" w:eastAsia="en-US"/>
        </w:rPr>
        <w:t>appropriate structure and partners depends on the type of project and its objectives in many cases. No single funding model is appropriate for all universal acces projects, or for all countries.</w:t>
      </w:r>
      <w:r w:rsidR="005E5682">
        <w:rPr>
          <w:lang w:val="en-US" w:eastAsia="en-US"/>
        </w:rPr>
        <w:t xml:space="preserve"> </w:t>
      </w:r>
    </w:p>
    <w:p w:rsidR="008E340F" w:rsidRPr="0006693F" w:rsidRDefault="008E340F" w:rsidP="008E340F">
      <w:pPr>
        <w:pStyle w:val="HIPNormal"/>
        <w:rPr>
          <w:lang w:val="en-US" w:eastAsia="en-US"/>
        </w:rPr>
      </w:pPr>
      <w:r w:rsidRPr="0006693F">
        <w:rPr>
          <w:lang w:val="en-US" w:eastAsia="en-US"/>
        </w:rPr>
        <w:t>The scale of funding required has a significant bearing on the type of financial instruments used, and on who is able to provide such funding.</w:t>
      </w:r>
      <w:r w:rsidR="005E5682">
        <w:rPr>
          <w:lang w:val="en-US" w:eastAsia="en-US"/>
        </w:rPr>
        <w:t xml:space="preserve"> </w:t>
      </w:r>
      <w:r>
        <w:rPr>
          <w:lang w:val="en-US" w:eastAsia="en-US"/>
        </w:rPr>
        <w:t>As an example, t</w:t>
      </w:r>
      <w:r w:rsidRPr="0006693F">
        <w:rPr>
          <w:lang w:val="en-US" w:eastAsia="en-US"/>
        </w:rPr>
        <w:t xml:space="preserve">he deployment of a </w:t>
      </w:r>
      <w:r>
        <w:rPr>
          <w:lang w:val="en-US" w:eastAsia="en-US"/>
        </w:rPr>
        <w:t xml:space="preserve">low cost </w:t>
      </w:r>
      <w:r w:rsidRPr="0006693F">
        <w:rPr>
          <w:lang w:val="en-US" w:eastAsia="en-US"/>
        </w:rPr>
        <w:t>WiFI based municapal network with a payback period of two years can often be covered out of local government or municpaility revenues.</w:t>
      </w:r>
      <w:r w:rsidR="005E5682">
        <w:rPr>
          <w:lang w:val="en-US" w:eastAsia="en-US"/>
        </w:rPr>
        <w:t xml:space="preserve"> </w:t>
      </w:r>
      <w:r w:rsidRPr="0006693F">
        <w:rPr>
          <w:lang w:val="en-US" w:eastAsia="en-US"/>
        </w:rPr>
        <w:t xml:space="preserve">In contrast, </w:t>
      </w:r>
      <w:r>
        <w:rPr>
          <w:lang w:val="en-US" w:eastAsia="en-US"/>
        </w:rPr>
        <w:t xml:space="preserve">deploying </w:t>
      </w:r>
      <w:r w:rsidRPr="0006693F">
        <w:rPr>
          <w:lang w:val="en-US" w:eastAsia="en-US"/>
        </w:rPr>
        <w:t xml:space="preserve">a multi-million dollar fibre optic cable system with a payback period of 10 </w:t>
      </w:r>
      <w:r>
        <w:rPr>
          <w:lang w:val="en-US" w:eastAsia="en-US"/>
        </w:rPr>
        <w:t xml:space="preserve">or more </w:t>
      </w:r>
      <w:r w:rsidRPr="0006693F">
        <w:rPr>
          <w:lang w:val="en-US" w:eastAsia="en-US"/>
        </w:rPr>
        <w:t>years requires long-term financial commitments.</w:t>
      </w:r>
      <w:r>
        <w:rPr>
          <w:rStyle w:val="FootnoteReference"/>
          <w:lang w:eastAsia="en-US"/>
        </w:rPr>
        <w:footnoteReference w:id="7"/>
      </w:r>
      <w:r w:rsidRPr="0006693F">
        <w:rPr>
          <w:lang w:val="en-US" w:eastAsia="en-US"/>
        </w:rPr>
        <w:t xml:space="preserve"> </w:t>
      </w:r>
      <w:r>
        <w:rPr>
          <w:lang w:val="en-US" w:eastAsia="en-US"/>
        </w:rPr>
        <w:t>Depending on national universal access and service definitions, a</w:t>
      </w:r>
      <w:r w:rsidR="005E5682">
        <w:rPr>
          <w:lang w:val="en-US" w:eastAsia="en-US"/>
        </w:rPr>
        <w:t xml:space="preserve"> </w:t>
      </w:r>
      <w:r w:rsidRPr="0006693F">
        <w:rPr>
          <w:lang w:val="en-US" w:eastAsia="en-US"/>
        </w:rPr>
        <w:t>combination of these types of projects is needed for Member States to achieve their national universal access and service targets and the Millenium Development Goal targets and World Summit on Information Society Commitments that are to be acheived by 2015.</w:t>
      </w:r>
    </w:p>
    <w:p w:rsidR="00BC1EC4" w:rsidRDefault="008E340F" w:rsidP="008E340F">
      <w:pPr>
        <w:pStyle w:val="HIPNormal"/>
        <w:rPr>
          <w:lang w:val="en-GB"/>
        </w:rPr>
      </w:pPr>
      <w:r w:rsidRPr="0006693F">
        <w:rPr>
          <w:lang w:val="en-US" w:eastAsia="en-US"/>
        </w:rPr>
        <w:t xml:space="preserve">In high cost, high risk areas such as rural and underserved areas, alternate sources of funding from Universal Service and Access Funds, government, donors and NGOs, or a combination through Public Private Partnerships (PPPs) can be delivered through loans, grants and subsidies. In addition in-kind contributions can be made for </w:t>
      </w:r>
      <w:r>
        <w:rPr>
          <w:lang w:val="en-US" w:eastAsia="en-US"/>
        </w:rPr>
        <w:t xml:space="preserve">example for </w:t>
      </w:r>
      <w:r w:rsidRPr="0006693F">
        <w:rPr>
          <w:lang w:val="en-US" w:eastAsia="en-US"/>
        </w:rPr>
        <w:t>the delivery of training and equipment, amongst others when the access is not infrastructure based, but based on support to users and communities.</w:t>
      </w:r>
      <w:r w:rsidR="005E5682">
        <w:rPr>
          <w:lang w:val="en-US" w:eastAsia="en-US"/>
        </w:rPr>
        <w:t xml:space="preserve"> </w:t>
      </w:r>
      <w:r w:rsidRPr="0006693F">
        <w:rPr>
          <w:lang w:val="en-US" w:eastAsia="en-US"/>
        </w:rPr>
        <w:t>This is discussed in greater detail in Part 3</w:t>
      </w:r>
      <w:r>
        <w:rPr>
          <w:lang w:val="en-US" w:eastAsia="en-US"/>
        </w:rPr>
        <w:t xml:space="preserve"> of the Toolkit</w:t>
      </w:r>
      <w:r w:rsidRPr="0006693F">
        <w:rPr>
          <w:lang w:val="en-US" w:eastAsia="en-US"/>
        </w:rPr>
        <w:t xml:space="preserve">, where types of projects are </w:t>
      </w:r>
      <w:r>
        <w:rPr>
          <w:lang w:val="en-US" w:eastAsia="en-US"/>
        </w:rPr>
        <w:t>addressed</w:t>
      </w:r>
      <w:r w:rsidRPr="0006693F">
        <w:rPr>
          <w:lang w:val="en-US" w:eastAsia="en-US"/>
        </w:rPr>
        <w:t>.</w:t>
      </w:r>
    </w:p>
    <w:p w:rsidR="008E340F" w:rsidRPr="008E340F" w:rsidRDefault="0088668E" w:rsidP="0088668E">
      <w:pPr>
        <w:pStyle w:val="HIPheading4"/>
      </w:pPr>
      <w:bookmarkStart w:id="49" w:name="_Toc284597939"/>
      <w:bookmarkStart w:id="50" w:name="_Toc252207767"/>
      <w:r>
        <w:lastRenderedPageBreak/>
        <w:t>1.</w:t>
      </w:r>
      <w:r w:rsidR="00DB4F07">
        <w:t>1.1</w:t>
      </w:r>
      <w:r>
        <w:t>.1</w:t>
      </w:r>
      <w:r w:rsidR="00DB4F07">
        <w:tab/>
      </w:r>
      <w:r w:rsidR="008E340F" w:rsidRPr="008E340F">
        <w:t>Public Funding</w:t>
      </w:r>
      <w:bookmarkEnd w:id="49"/>
      <w:r w:rsidR="008E340F" w:rsidRPr="008E340F">
        <w:t xml:space="preserve"> </w:t>
      </w:r>
    </w:p>
    <w:p w:rsidR="008E340F" w:rsidRPr="0088668E" w:rsidRDefault="0088668E" w:rsidP="0088668E">
      <w:pPr>
        <w:pStyle w:val="HIPheading5"/>
      </w:pPr>
      <w:bookmarkStart w:id="51" w:name="_Toc284597940"/>
      <w:r w:rsidRPr="0088668E">
        <w:t>1.</w:t>
      </w:r>
      <w:r w:rsidR="008E340F" w:rsidRPr="0088668E">
        <w:t>1.1.1</w:t>
      </w:r>
      <w:r w:rsidRPr="0088668E">
        <w:t>.1</w:t>
      </w:r>
      <w:r w:rsidR="008E340F" w:rsidRPr="0088668E">
        <w:tab/>
        <w:t>Models of Public Funding</w:t>
      </w:r>
      <w:bookmarkEnd w:id="51"/>
    </w:p>
    <w:p w:rsidR="008E340F" w:rsidRPr="008E340F" w:rsidRDefault="008E340F" w:rsidP="008E340F">
      <w:pPr>
        <w:pStyle w:val="HIPNormal"/>
        <w:rPr>
          <w:lang w:val="en-US"/>
        </w:rPr>
      </w:pPr>
      <w:r w:rsidRPr="008E340F">
        <w:rPr>
          <w:lang w:val="en-US"/>
        </w:rPr>
        <w:t xml:space="preserve">Government financing of universal access networks is multifaceted. It includes at the most </w:t>
      </w:r>
      <w:r w:rsidRPr="008E340F">
        <w:rPr>
          <w:rFonts w:hint="eastAsia"/>
          <w:lang w:val="en-US"/>
        </w:rPr>
        <w:t>‘</w:t>
      </w:r>
      <w:r w:rsidRPr="008E340F">
        <w:rPr>
          <w:lang w:val="en-US"/>
        </w:rPr>
        <w:t>intrusive</w:t>
      </w:r>
      <w:r w:rsidRPr="008E340F">
        <w:rPr>
          <w:rFonts w:hint="eastAsia"/>
          <w:lang w:val="en-US"/>
        </w:rPr>
        <w:t>’</w:t>
      </w:r>
      <w:r w:rsidRPr="008E340F">
        <w:rPr>
          <w:lang w:val="en-US"/>
        </w:rPr>
        <w:t xml:space="preserve"> level of support</w:t>
      </w:r>
      <w:r w:rsidR="005E5682">
        <w:rPr>
          <w:lang w:val="en-US"/>
        </w:rPr>
        <w:t xml:space="preserve"> </w:t>
      </w:r>
      <w:r w:rsidRPr="008E340F">
        <w:rPr>
          <w:lang w:val="en-US"/>
        </w:rPr>
        <w:t xml:space="preserve">equity participation, as well as other mechanisms such as subsidies, grants, loans,and guaranteed purchase of services. Put simply these methods of support can be </w:t>
      </w:r>
      <w:r w:rsidRPr="008E340F">
        <w:rPr>
          <w:rFonts w:hint="eastAsia"/>
          <w:lang w:val="en-US"/>
        </w:rPr>
        <w:t>summarized</w:t>
      </w:r>
      <w:r w:rsidRPr="008E340F">
        <w:rPr>
          <w:lang w:val="en-US"/>
        </w:rPr>
        <w:t xml:space="preserve"> in three models of government funding for universal access:</w:t>
      </w:r>
    </w:p>
    <w:p w:rsidR="008E340F" w:rsidRPr="008E340F" w:rsidRDefault="008E340F" w:rsidP="008E340F">
      <w:pPr>
        <w:pStyle w:val="HIPEnumlev1"/>
      </w:pPr>
      <w:r w:rsidRPr="008E340F">
        <w:t>O</w:t>
      </w:r>
      <w:r w:rsidRPr="008E340F">
        <w:rPr>
          <w:rFonts w:hint="eastAsia"/>
        </w:rPr>
        <w:t>wnership</w:t>
      </w:r>
      <w:r w:rsidRPr="008E340F">
        <w:t xml:space="preserve"> or Equity Participation, as seen in Brazil, Malaysia and South Africa;</w:t>
      </w:r>
    </w:p>
    <w:p w:rsidR="008E340F" w:rsidRPr="008E340F" w:rsidRDefault="008E340F" w:rsidP="008E340F">
      <w:pPr>
        <w:pStyle w:val="HIPEnumlev1"/>
      </w:pPr>
      <w:r w:rsidRPr="008E340F">
        <w:t xml:space="preserve">Public Private Partnerships, such as the infrastructure deployment projects in in Australia </w:t>
      </w:r>
      <w:r w:rsidRPr="008E340F">
        <w:rPr>
          <w:rFonts w:hint="eastAsia"/>
        </w:rPr>
        <w:t>and</w:t>
      </w:r>
      <w:r w:rsidRPr="008E340F">
        <w:t xml:space="preserve"> Thailand </w:t>
      </w:r>
      <w:r w:rsidRPr="008E340F">
        <w:rPr>
          <w:rFonts w:hint="eastAsia"/>
        </w:rPr>
        <w:t>globally</w:t>
      </w:r>
      <w:r w:rsidRPr="008E340F">
        <w:t xml:space="preserve"> and Kenya and Tanzania in Africa; and</w:t>
      </w:r>
    </w:p>
    <w:p w:rsidR="008E340F" w:rsidRPr="008E340F" w:rsidRDefault="008E340F" w:rsidP="008E340F">
      <w:pPr>
        <w:pStyle w:val="HIPEnumlev1"/>
      </w:pPr>
      <w:r w:rsidRPr="008E340F">
        <w:t xml:space="preserve">Provision of financial incentives and subsidies as seen in many Latin American countries through the use of USAFs, Japan, the USA and EU through broadband stimulus </w:t>
      </w:r>
      <w:r w:rsidRPr="008E340F">
        <w:rPr>
          <w:rFonts w:hint="eastAsia"/>
        </w:rPr>
        <w:t>packages</w:t>
      </w:r>
      <w:r w:rsidRPr="008E340F">
        <w:t>.</w:t>
      </w:r>
    </w:p>
    <w:p w:rsidR="008E340F" w:rsidRPr="008E340F" w:rsidRDefault="0088668E" w:rsidP="0088668E">
      <w:pPr>
        <w:pStyle w:val="HIPheading5"/>
      </w:pPr>
      <w:bookmarkStart w:id="52" w:name="_Toc284597941"/>
      <w:r>
        <w:t>1.1.</w:t>
      </w:r>
      <w:r w:rsidR="008E340F">
        <w:t>1.1.2</w:t>
      </w:r>
      <w:r w:rsidR="008E340F">
        <w:tab/>
      </w:r>
      <w:r w:rsidR="008E340F" w:rsidRPr="008E340F">
        <w:t>Ownership or Equity P</w:t>
      </w:r>
      <w:r w:rsidR="008E340F" w:rsidRPr="008E340F">
        <w:rPr>
          <w:rFonts w:hint="eastAsia"/>
        </w:rPr>
        <w:t>articipation</w:t>
      </w:r>
      <w:bookmarkEnd w:id="52"/>
      <w:r w:rsidR="008E340F" w:rsidRPr="008E340F">
        <w:t xml:space="preserve"> </w:t>
      </w:r>
    </w:p>
    <w:p w:rsidR="008E340F" w:rsidRPr="008E340F" w:rsidRDefault="008E340F" w:rsidP="008E340F">
      <w:pPr>
        <w:pStyle w:val="HIPNormal"/>
        <w:rPr>
          <w:lang w:val="en-US"/>
        </w:rPr>
      </w:pPr>
      <w:r w:rsidRPr="008E340F">
        <w:rPr>
          <w:lang w:val="en-US"/>
        </w:rPr>
        <w:t xml:space="preserve">In terms of this model, government plays a direct roll in terms the rollout of infrastructure; it is a role that in many ways seems the antithesis of the </w:t>
      </w:r>
      <w:r w:rsidRPr="008E340F">
        <w:rPr>
          <w:rFonts w:hint="eastAsia"/>
          <w:lang w:val="en-US"/>
        </w:rPr>
        <w:t>privatization</w:t>
      </w:r>
      <w:r w:rsidRPr="008E340F">
        <w:rPr>
          <w:lang w:val="en-US"/>
        </w:rPr>
        <w:t xml:space="preserve"> efforts that have accompanied </w:t>
      </w:r>
      <w:r w:rsidRPr="008E340F">
        <w:rPr>
          <w:rFonts w:hint="eastAsia"/>
          <w:lang w:val="en-US"/>
        </w:rPr>
        <w:t>liberalization</w:t>
      </w:r>
      <w:r w:rsidRPr="008E340F">
        <w:rPr>
          <w:lang w:val="en-US"/>
        </w:rPr>
        <w:t xml:space="preserve"> in many countries. However, it is increasingly necessary, still only in underserved areas, in light of costly broadband deployements including the rollout of fibre networks in rural areas. </w:t>
      </w:r>
    </w:p>
    <w:p w:rsidR="008E340F" w:rsidRPr="008E340F" w:rsidRDefault="008E340F" w:rsidP="008E340F">
      <w:pPr>
        <w:pStyle w:val="HIPNormal"/>
        <w:rPr>
          <w:lang w:val="en-US"/>
        </w:rPr>
      </w:pPr>
      <w:r w:rsidRPr="008E340F">
        <w:rPr>
          <w:lang w:val="en-US"/>
        </w:rPr>
        <w:t>Because of the public sector</w:t>
      </w:r>
      <w:r w:rsidRPr="008E340F">
        <w:rPr>
          <w:rFonts w:hint="eastAsia"/>
          <w:lang w:val="en-US"/>
        </w:rPr>
        <w:t>’</w:t>
      </w:r>
      <w:r w:rsidRPr="008E340F">
        <w:rPr>
          <w:lang w:val="en-US"/>
        </w:rPr>
        <w:t>s role in the ICT sector as a policy maker, regulator, USAF Administrator and in some cases an operator, government financing of ICT projects can be contentious. It is important to recognise that this is less of a concern in underserviced areas that are considered uneconomic to serve or where there is little or no existing infrastructure. Hence the importance of defining these areas up front (through public consultation) and designing Universal Access Programmes that set out clear objectives and targets so that it is clear that public funding is not conflicted. Programmes such as Uganda</w:t>
      </w:r>
      <w:r w:rsidRPr="008E340F">
        <w:rPr>
          <w:rFonts w:hint="eastAsia"/>
          <w:lang w:val="en-US"/>
        </w:rPr>
        <w:t>’</w:t>
      </w:r>
      <w:r w:rsidRPr="008E340F">
        <w:rPr>
          <w:lang w:val="en-US"/>
        </w:rPr>
        <w:t>s Rural Communications Development Fund Programme</w:t>
      </w:r>
      <w:r w:rsidRPr="008E340F">
        <w:rPr>
          <w:vertAlign w:val="superscript"/>
        </w:rPr>
        <w:footnoteReference w:id="8"/>
      </w:r>
      <w:r w:rsidRPr="008E340F">
        <w:rPr>
          <w:lang w:val="en-US"/>
        </w:rPr>
        <w:t>, and Canada</w:t>
      </w:r>
      <w:r w:rsidRPr="008E340F">
        <w:rPr>
          <w:rFonts w:hint="eastAsia"/>
          <w:lang w:val="en-US"/>
        </w:rPr>
        <w:t>’</w:t>
      </w:r>
      <w:r w:rsidRPr="008E340F">
        <w:rPr>
          <w:lang w:val="en-US"/>
        </w:rPr>
        <w:t>s Broadband for Rural and Northern Development Pilot Program</w:t>
      </w:r>
      <w:bookmarkStart w:id="53" w:name="_ednref11"/>
      <w:r w:rsidRPr="008E340F">
        <w:rPr>
          <w:vertAlign w:val="superscript"/>
        </w:rPr>
        <w:footnoteReference w:id="9"/>
      </w:r>
      <w:r w:rsidRPr="008E340F">
        <w:rPr>
          <w:lang w:val="en-US"/>
        </w:rPr>
        <w:t xml:space="preserve"> </w:t>
      </w:r>
      <w:bookmarkEnd w:id="53"/>
      <w:r w:rsidRPr="008E340F">
        <w:rPr>
          <w:lang w:val="en-US"/>
        </w:rPr>
        <w:t>are examples of programmes that are designed upfront and agreed to, clearly identify their socio-economic objectives and as a result do not generally attract much criticism from the perspective of their policy objectives.</w:t>
      </w:r>
    </w:p>
    <w:p w:rsidR="008E340F" w:rsidRPr="008E340F" w:rsidRDefault="008E340F" w:rsidP="008E340F">
      <w:pPr>
        <w:pStyle w:val="HIPNormal"/>
        <w:rPr>
          <w:lang w:val="en-US"/>
        </w:rPr>
      </w:pPr>
      <w:r w:rsidRPr="008E340F">
        <w:rPr>
          <w:lang w:val="en-US"/>
        </w:rPr>
        <w:t xml:space="preserve">Government grants and, for that matter, any type of public financing become more problematic when the effect of the financing may be to distort </w:t>
      </w:r>
      <w:r w:rsidRPr="008E340F">
        <w:rPr>
          <w:rFonts w:hint="eastAsia"/>
          <w:lang w:val="en-US"/>
        </w:rPr>
        <w:t>competition</w:t>
      </w:r>
      <w:r w:rsidRPr="008E340F">
        <w:rPr>
          <w:lang w:val="en-US"/>
        </w:rPr>
        <w:t>. Where public funding is used to develop networks and services in areas that having existing networks, there is generally more resistance to such approaches.</w:t>
      </w:r>
      <w:r w:rsidR="005E5682">
        <w:rPr>
          <w:lang w:val="en-US"/>
        </w:rPr>
        <w:t xml:space="preserve"> </w:t>
      </w:r>
      <w:r w:rsidRPr="008E340F">
        <w:rPr>
          <w:lang w:val="en-US"/>
        </w:rPr>
        <w:t>This is not to say that such funding is always anti-competitive; however where this is the case, primarily in the case of</w:t>
      </w:r>
      <w:r w:rsidR="005E5682">
        <w:rPr>
          <w:lang w:val="en-US"/>
        </w:rPr>
        <w:t xml:space="preserve"> </w:t>
      </w:r>
      <w:r w:rsidRPr="008E340F">
        <w:rPr>
          <w:lang w:val="en-US"/>
        </w:rPr>
        <w:t>the funding of broadband networks, clear gudelines are needed as set out in the European Union where member states have agreed to provide public funding for broadband in terms of Europe</w:t>
      </w:r>
      <w:r w:rsidRPr="008E340F">
        <w:rPr>
          <w:rFonts w:hint="eastAsia"/>
          <w:lang w:val="en-US"/>
        </w:rPr>
        <w:t>’</w:t>
      </w:r>
      <w:r w:rsidRPr="008E340F">
        <w:rPr>
          <w:lang w:val="en-US"/>
        </w:rPr>
        <w:t>s Recovery Plan. Public funding has to be provided in accordance with Guidelines on the application of EU state aid rules to public funding of broadband networks</w:t>
      </w:r>
      <w:r w:rsidRPr="008E340F">
        <w:rPr>
          <w:vertAlign w:val="superscript"/>
          <w:lang w:val="en-US"/>
        </w:rPr>
        <w:footnoteReference w:id="10"/>
      </w:r>
      <w:r w:rsidRPr="008E340F">
        <w:rPr>
          <w:lang w:val="en-US"/>
        </w:rPr>
        <w:t>. The principle is that that public funding, from USAFs or other means, must not distort the market; this concept is discussed in greater detail throughout the Toolkit.</w:t>
      </w:r>
    </w:p>
    <w:p w:rsidR="008E340F" w:rsidRPr="008E340F" w:rsidRDefault="0088668E" w:rsidP="0088668E">
      <w:pPr>
        <w:pStyle w:val="HIPheading5"/>
      </w:pPr>
      <w:bookmarkStart w:id="54" w:name="_Toc284597942"/>
      <w:r>
        <w:t>1.1.</w:t>
      </w:r>
      <w:r w:rsidR="008E340F">
        <w:t>1.1.3</w:t>
      </w:r>
      <w:r w:rsidR="008E340F">
        <w:tab/>
      </w:r>
      <w:r w:rsidR="008E340F" w:rsidRPr="008E340F">
        <w:t>Private Public Partnerships</w:t>
      </w:r>
      <w:bookmarkEnd w:id="54"/>
    </w:p>
    <w:p w:rsidR="008E340F" w:rsidRPr="008E340F" w:rsidRDefault="008E340F" w:rsidP="008E340F">
      <w:pPr>
        <w:pStyle w:val="HIPNormal"/>
        <w:rPr>
          <w:lang w:val="en-US"/>
        </w:rPr>
      </w:pPr>
      <w:r w:rsidRPr="008E340F">
        <w:rPr>
          <w:lang w:val="en-US"/>
        </w:rPr>
        <w:t xml:space="preserve">The role of public-private partnerships in the development and implementation of universal access projects is recognised as an effective means of achieving universal access objectives. PPPs recognise the broad range of skills, expertise and resources needed to successfully execute universal access proejcts </w:t>
      </w:r>
      <w:r w:rsidRPr="008E340F">
        <w:rPr>
          <w:lang w:val="en-US"/>
        </w:rPr>
        <w:lastRenderedPageBreak/>
        <w:t>whether they are telecentre projects or fibre networks. As internet and broadband access begin to fall with the scope of unviversal access definitions and targets these partnerships have begun to include more than just networks and government, but include</w:t>
      </w:r>
      <w:r w:rsidR="005E5682">
        <w:rPr>
          <w:lang w:val="en-US"/>
        </w:rPr>
        <w:t xml:space="preserve"> </w:t>
      </w:r>
      <w:r w:rsidRPr="008E340F">
        <w:rPr>
          <w:lang w:val="en-US"/>
        </w:rPr>
        <w:t>equipment suppliers, vendors, manufacturers, academics, civil society and communities.</w:t>
      </w:r>
      <w:r w:rsidR="005E5682">
        <w:rPr>
          <w:lang w:val="en-US"/>
        </w:rPr>
        <w:t xml:space="preserve"> </w:t>
      </w:r>
      <w:r w:rsidRPr="008E340F">
        <w:rPr>
          <w:lang w:val="en-US"/>
        </w:rPr>
        <w:t>This is in recognition of the fact that increasingly, in underserved areas, bottom up approaches to project development and implementation are key.</w:t>
      </w:r>
    </w:p>
    <w:p w:rsidR="008E340F" w:rsidRPr="008E340F" w:rsidRDefault="0088668E" w:rsidP="0088668E">
      <w:pPr>
        <w:pStyle w:val="HIPheading5"/>
      </w:pPr>
      <w:bookmarkStart w:id="55" w:name="_Toc284597943"/>
      <w:r>
        <w:t>1.1.</w:t>
      </w:r>
      <w:r w:rsidR="008E340F">
        <w:t>1.1.4</w:t>
      </w:r>
      <w:r w:rsidR="008E340F">
        <w:tab/>
      </w:r>
      <w:r w:rsidR="008E340F" w:rsidRPr="008E340F">
        <w:t>USAFs and other Financial Incentives</w:t>
      </w:r>
      <w:bookmarkEnd w:id="55"/>
    </w:p>
    <w:p w:rsidR="008E340F" w:rsidRPr="0059419C" w:rsidRDefault="008E340F" w:rsidP="008E340F">
      <w:pPr>
        <w:pStyle w:val="HIPNormal"/>
        <w:rPr>
          <w:lang w:val="en-US"/>
        </w:rPr>
      </w:pPr>
      <w:r w:rsidRPr="0059419C">
        <w:rPr>
          <w:lang w:val="en-US"/>
        </w:rPr>
        <w:t>The government</w:t>
      </w:r>
      <w:r w:rsidRPr="0059419C">
        <w:rPr>
          <w:rFonts w:hint="eastAsia"/>
          <w:lang w:val="en-US"/>
        </w:rPr>
        <w:t>’</w:t>
      </w:r>
      <w:r w:rsidRPr="0059419C">
        <w:rPr>
          <w:lang w:val="en-US"/>
        </w:rPr>
        <w:t xml:space="preserve">s role in providing </w:t>
      </w:r>
      <w:r w:rsidRPr="0059419C">
        <w:rPr>
          <w:rFonts w:hint="eastAsia"/>
          <w:lang w:val="en-US"/>
        </w:rPr>
        <w:t>financial</w:t>
      </w:r>
      <w:r w:rsidRPr="0059419C">
        <w:rPr>
          <w:lang w:val="en-US"/>
        </w:rPr>
        <w:t xml:space="preserve"> incentives, whether through USAF subsidies, or through grants and loans from government departments, is a model that sees the government as an enabler of </w:t>
      </w:r>
      <w:r w:rsidRPr="0059419C">
        <w:rPr>
          <w:rFonts w:hint="eastAsia"/>
          <w:lang w:val="en-US"/>
        </w:rPr>
        <w:t>universal</w:t>
      </w:r>
      <w:r w:rsidRPr="0059419C">
        <w:rPr>
          <w:lang w:val="en-US"/>
        </w:rPr>
        <w:t xml:space="preserve"> access. </w:t>
      </w:r>
    </w:p>
    <w:p w:rsidR="008E340F" w:rsidRPr="0059419C" w:rsidRDefault="008E340F" w:rsidP="008E340F">
      <w:pPr>
        <w:pStyle w:val="HIPNormal"/>
        <w:rPr>
          <w:lang w:val="en-US"/>
        </w:rPr>
      </w:pPr>
      <w:r w:rsidRPr="008E340F">
        <w:rPr>
          <w:lang w:val="en-US"/>
        </w:rPr>
        <w:t xml:space="preserve">USAFs differ from the other models discussed above in that their sole focus is the financing of </w:t>
      </w:r>
      <w:r w:rsidRPr="008E340F">
        <w:rPr>
          <w:rFonts w:hint="eastAsia"/>
          <w:lang w:val="en-US"/>
        </w:rPr>
        <w:t>universal</w:t>
      </w:r>
      <w:r w:rsidRPr="008E340F">
        <w:rPr>
          <w:lang w:val="en-US"/>
        </w:rPr>
        <w:t xml:space="preserve"> access projects.</w:t>
      </w:r>
      <w:r w:rsidR="005E5682">
        <w:rPr>
          <w:lang w:val="en-US"/>
        </w:rPr>
        <w:t xml:space="preserve"> </w:t>
      </w:r>
      <w:r w:rsidRPr="0059419C">
        <w:rPr>
          <w:lang w:val="en-US"/>
        </w:rPr>
        <w:t>Over the past 15 to 20 years, the model of a mainly industry-financed Universal Access and Service Fund (“USAF” or “Fund”) has been implemented in many countries – primarily those in the developing world and emerging markets. The first generation of USAFs was implemented in Latin America (e.g. Peru, Chile) and in Africa, the Ugandan Rural Communications Development Fund (</w:t>
      </w:r>
      <w:r w:rsidRPr="0059419C">
        <w:rPr>
          <w:rFonts w:hint="eastAsia"/>
          <w:lang w:val="en-US"/>
        </w:rPr>
        <w:t>“</w:t>
      </w:r>
      <w:r w:rsidRPr="0059419C">
        <w:rPr>
          <w:lang w:val="en-US"/>
        </w:rPr>
        <w:t>RCDF</w:t>
      </w:r>
      <w:r w:rsidRPr="0059419C">
        <w:rPr>
          <w:rFonts w:hint="eastAsia"/>
          <w:lang w:val="en-US"/>
        </w:rPr>
        <w:t>”</w:t>
      </w:r>
      <w:r w:rsidRPr="0059419C">
        <w:rPr>
          <w:lang w:val="en-US"/>
        </w:rPr>
        <w:t xml:space="preserve">) </w:t>
      </w:r>
      <w:r w:rsidRPr="0059419C">
        <w:rPr>
          <w:rFonts w:hint="eastAsia"/>
          <w:lang w:val="en-US"/>
        </w:rPr>
        <w:t>followed</w:t>
      </w:r>
      <w:r w:rsidRPr="0059419C">
        <w:rPr>
          <w:lang w:val="en-US"/>
        </w:rPr>
        <w:t xml:space="preserve"> a similar model.</w:t>
      </w:r>
      <w:r w:rsidR="005E5682">
        <w:rPr>
          <w:lang w:val="en-US"/>
        </w:rPr>
        <w:t xml:space="preserve"> </w:t>
      </w:r>
      <w:r w:rsidRPr="0059419C">
        <w:rPr>
          <w:lang w:val="en-US"/>
        </w:rPr>
        <w:t xml:space="preserve">While these models were successful, in the last decade there has been a move towards using the principles of Output Based Aid (“OBA”) to finance investments targeted under UAS policy, particularly in developing countries. OBA is an innovative approach to increasing access in a manner that seeks to ensure that money is well spent and that the benefits go to the identified beneficiaries by linking the payment of aid to the delivery of specific services or </w:t>
      </w:r>
      <w:r w:rsidRPr="0059419C">
        <w:rPr>
          <w:rFonts w:hint="eastAsia"/>
          <w:lang w:val="en-US"/>
        </w:rPr>
        <w:t>“</w:t>
      </w:r>
      <w:r w:rsidRPr="0059419C">
        <w:rPr>
          <w:lang w:val="en-US"/>
        </w:rPr>
        <w:t>outputs</w:t>
      </w:r>
      <w:r w:rsidRPr="0059419C">
        <w:rPr>
          <w:rFonts w:hint="eastAsia"/>
          <w:lang w:val="en-US"/>
        </w:rPr>
        <w:t>”</w:t>
      </w:r>
      <w:r w:rsidRPr="0059419C">
        <w:rPr>
          <w:lang w:val="en-US"/>
        </w:rPr>
        <w:t>.</w:t>
      </w:r>
    </w:p>
    <w:p w:rsidR="008E340F" w:rsidRPr="0059419C" w:rsidRDefault="008E340F" w:rsidP="008E340F">
      <w:pPr>
        <w:pStyle w:val="HIPNormal"/>
        <w:rPr>
          <w:lang w:val="en-US"/>
        </w:rPr>
      </w:pPr>
      <w:r w:rsidRPr="008E340F">
        <w:rPr>
          <w:lang w:val="en-US"/>
        </w:rPr>
        <w:t>Funds are considered an independent and transparent mechanism to implement and maintain universal service and access initiatives while continuing and promoting market reforms.</w:t>
      </w:r>
      <w:r w:rsidR="005E5682">
        <w:rPr>
          <w:lang w:val="en-US"/>
        </w:rPr>
        <w:t xml:space="preserve"> </w:t>
      </w:r>
      <w:r w:rsidRPr="0059419C">
        <w:rPr>
          <w:lang w:val="en-US"/>
        </w:rPr>
        <w:t>The objective of USAFs, which typically offer once-off, start up subsidies for designated areas, is to finance the expansion and/or maintenance of designated networks/services on a geographic, population or other basis that would not otherwise be commercially sustainable. Commercial sustainability is determined through economic analysis prior to project development, and in specific the assessment of market gaps as discussed in the HIPSSA UAS Assessment and Guideline Update document.</w:t>
      </w:r>
      <w:r w:rsidR="005E5682">
        <w:rPr>
          <w:lang w:val="en-US"/>
        </w:rPr>
        <w:t xml:space="preserve"> </w:t>
      </w:r>
      <w:r w:rsidRPr="0059419C">
        <w:rPr>
          <w:lang w:val="en-US"/>
        </w:rPr>
        <w:t xml:space="preserve">USAFs provide financing primarily through subsidies in order to compensate designated universal service providers (“USPs”) who have in most cases elected to provide the </w:t>
      </w:r>
      <w:r w:rsidRPr="0059419C">
        <w:rPr>
          <w:rFonts w:hint="eastAsia"/>
          <w:lang w:val="en-US"/>
        </w:rPr>
        <w:t>identified</w:t>
      </w:r>
      <w:r w:rsidRPr="0059419C">
        <w:rPr>
          <w:lang w:val="en-US"/>
        </w:rPr>
        <w:t xml:space="preserve"> networks and services in return for a subsidy or special concessions. In some instances, particularly in SADC, Funds have disbursed monies through comparative evaluation processes, akin to existing government tender processes and ICT license application processes.</w:t>
      </w:r>
    </w:p>
    <w:p w:rsidR="008E340F" w:rsidRPr="008E340F" w:rsidRDefault="0088668E" w:rsidP="0088668E">
      <w:pPr>
        <w:pStyle w:val="HIPheading4"/>
      </w:pPr>
      <w:bookmarkStart w:id="56" w:name="_Toc284597944"/>
      <w:r>
        <w:t>1.1.</w:t>
      </w:r>
      <w:r w:rsidR="00DB4F07">
        <w:t>1.2</w:t>
      </w:r>
      <w:r w:rsidR="00DB4F07">
        <w:tab/>
      </w:r>
      <w:r w:rsidR="008E340F" w:rsidRPr="008E340F">
        <w:t>SADC Experience with Public Funding Models</w:t>
      </w:r>
      <w:bookmarkEnd w:id="56"/>
    </w:p>
    <w:p w:rsidR="002D3643" w:rsidRDefault="008E340F" w:rsidP="008E340F">
      <w:pPr>
        <w:pStyle w:val="HIPNormal"/>
        <w:rPr>
          <w:lang w:val="en-US"/>
        </w:rPr>
      </w:pPr>
      <w:r w:rsidRPr="008E340F">
        <w:rPr>
          <w:lang w:val="en-US"/>
        </w:rPr>
        <w:t xml:space="preserve">Several </w:t>
      </w:r>
      <w:r w:rsidRPr="0059419C">
        <w:rPr>
          <w:lang w:val="en-US"/>
        </w:rPr>
        <w:t>SADC</w:t>
      </w:r>
      <w:r w:rsidRPr="008E340F">
        <w:rPr>
          <w:lang w:val="en-US"/>
        </w:rPr>
        <w:t xml:space="preserve"> countries have undertaken universal access projects using the funding models discussed earlier, namely PPPs, ownership and subsides and financial incentives.</w:t>
      </w:r>
    </w:p>
    <w:p w:rsidR="00FF6919" w:rsidRDefault="00FF6919">
      <w:pPr>
        <w:rPr>
          <w:rFonts w:ascii="Calibri" w:hAnsi="Calibri" w:cs="Arial"/>
          <w:b/>
          <w:bCs/>
          <w:color w:val="008000"/>
          <w:szCs w:val="24"/>
          <w:lang w:val="en-US"/>
        </w:rPr>
      </w:pPr>
      <w:r w:rsidRPr="005E5682">
        <w:rPr>
          <w:lang w:val="en-US"/>
        </w:rPr>
        <w:br w:type="page"/>
      </w:r>
    </w:p>
    <w:p w:rsidR="008E340F" w:rsidRPr="009D3E91" w:rsidRDefault="008E340F" w:rsidP="0088668E">
      <w:pPr>
        <w:pStyle w:val="HIPTabletitle"/>
      </w:pPr>
      <w:bookmarkStart w:id="57" w:name="_Toc286146542"/>
      <w:r w:rsidRPr="009D3E91">
        <w:lastRenderedPageBreak/>
        <w:t xml:space="preserve">Table </w:t>
      </w:r>
      <w:r w:rsidR="0088668E">
        <w:t>1.1</w:t>
      </w:r>
      <w:r w:rsidRPr="009D3E91">
        <w:t>: Snapshot</w:t>
      </w:r>
      <w:r w:rsidR="005E5682">
        <w:t xml:space="preserve"> – </w:t>
      </w:r>
      <w:r w:rsidRPr="009D3E91">
        <w:t xml:space="preserve">Countries </w:t>
      </w:r>
      <w:r>
        <w:t>using other Financing Mechanisms for UAS</w:t>
      </w:r>
      <w:r>
        <w:rPr>
          <w:rStyle w:val="FootnoteReference"/>
        </w:rPr>
        <w:footnoteReference w:id="11"/>
      </w:r>
      <w:bookmarkEnd w:id="57"/>
    </w:p>
    <w:tbl>
      <w:tblPr>
        <w:tblW w:w="9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0"/>
        <w:gridCol w:w="2772"/>
        <w:gridCol w:w="1809"/>
        <w:gridCol w:w="3003"/>
      </w:tblGrid>
      <w:tr w:rsidR="008E340F" w:rsidRPr="00D23660" w:rsidTr="00DB4F07">
        <w:trPr>
          <w:jc w:val="center"/>
        </w:trPr>
        <w:tc>
          <w:tcPr>
            <w:tcW w:w="1520" w:type="dxa"/>
            <w:shd w:val="clear" w:color="auto" w:fill="008000"/>
            <w:vAlign w:val="center"/>
          </w:tcPr>
          <w:p w:rsidR="008E340F" w:rsidRPr="008E340F" w:rsidRDefault="008E340F" w:rsidP="00DF469E">
            <w:pPr>
              <w:pStyle w:val="HIPTablehead"/>
            </w:pPr>
            <w:r w:rsidRPr="008E340F">
              <w:t>Country</w:t>
            </w:r>
          </w:p>
        </w:tc>
        <w:tc>
          <w:tcPr>
            <w:tcW w:w="2772" w:type="dxa"/>
            <w:shd w:val="clear" w:color="auto" w:fill="008000"/>
            <w:vAlign w:val="center"/>
          </w:tcPr>
          <w:p w:rsidR="008E340F" w:rsidRPr="008E340F" w:rsidRDefault="008E340F" w:rsidP="00D23660">
            <w:pPr>
              <w:pStyle w:val="HIPTablehead"/>
            </w:pPr>
            <w:r w:rsidRPr="008E340F">
              <w:t>Ownership/</w:t>
            </w:r>
            <w:r w:rsidR="00D23660">
              <w:br/>
            </w:r>
            <w:r w:rsidRPr="008E340F">
              <w:t>Equity participation</w:t>
            </w:r>
          </w:p>
        </w:tc>
        <w:tc>
          <w:tcPr>
            <w:tcW w:w="1809" w:type="dxa"/>
            <w:shd w:val="clear" w:color="auto" w:fill="008000"/>
            <w:vAlign w:val="center"/>
          </w:tcPr>
          <w:p w:rsidR="008E340F" w:rsidRPr="008E340F" w:rsidRDefault="008E340F" w:rsidP="00DF469E">
            <w:pPr>
              <w:pStyle w:val="HIPTablehead"/>
            </w:pPr>
            <w:r w:rsidRPr="008E340F">
              <w:t>PPP</w:t>
            </w:r>
          </w:p>
        </w:tc>
        <w:tc>
          <w:tcPr>
            <w:tcW w:w="3003" w:type="dxa"/>
            <w:shd w:val="clear" w:color="auto" w:fill="008000"/>
            <w:vAlign w:val="center"/>
          </w:tcPr>
          <w:p w:rsidR="008E340F" w:rsidRPr="008E340F" w:rsidRDefault="008E340F" w:rsidP="00DF469E">
            <w:pPr>
              <w:pStyle w:val="HIPTablehead"/>
            </w:pPr>
            <w:r w:rsidRPr="008E340F">
              <w:t>Financial Incentives, incl. USAF</w:t>
            </w:r>
          </w:p>
        </w:tc>
      </w:tr>
      <w:tr w:rsidR="008E340F" w:rsidRPr="00D23660" w:rsidTr="00DB4F07">
        <w:trPr>
          <w:jc w:val="center"/>
        </w:trPr>
        <w:tc>
          <w:tcPr>
            <w:tcW w:w="1520" w:type="dxa"/>
            <w:tcBorders>
              <w:bottom w:val="single" w:sz="4" w:space="0" w:color="auto"/>
            </w:tcBorders>
          </w:tcPr>
          <w:p w:rsidR="008E340F" w:rsidRPr="00D23660" w:rsidRDefault="008E340F" w:rsidP="00DB4F07">
            <w:pPr>
              <w:pStyle w:val="HIPTabletext"/>
              <w:jc w:val="left"/>
              <w:rPr>
                <w:lang w:val="en-US"/>
              </w:rPr>
            </w:pPr>
            <w:r w:rsidRPr="00D23660">
              <w:rPr>
                <w:lang w:val="en-US"/>
              </w:rPr>
              <w:t>Angola</w:t>
            </w:r>
          </w:p>
        </w:tc>
        <w:tc>
          <w:tcPr>
            <w:tcW w:w="2772" w:type="dxa"/>
            <w:tcBorders>
              <w:bottom w:val="single" w:sz="4" w:space="0" w:color="auto"/>
            </w:tcBorders>
          </w:tcPr>
          <w:p w:rsidR="008E340F" w:rsidRPr="00D23660" w:rsidRDefault="008E340F" w:rsidP="00D23660">
            <w:pPr>
              <w:pStyle w:val="HIPTabletext"/>
              <w:jc w:val="center"/>
              <w:rPr>
                <w:lang w:val="en-US"/>
              </w:rPr>
            </w:pPr>
          </w:p>
        </w:tc>
        <w:tc>
          <w:tcPr>
            <w:tcW w:w="1809" w:type="dxa"/>
            <w:tcBorders>
              <w:bottom w:val="single" w:sz="4" w:space="0" w:color="auto"/>
            </w:tcBorders>
          </w:tcPr>
          <w:p w:rsidR="008E340F" w:rsidRPr="00D23660" w:rsidRDefault="008E340F" w:rsidP="00D23660">
            <w:pPr>
              <w:pStyle w:val="HIPTabletext"/>
              <w:jc w:val="center"/>
              <w:rPr>
                <w:lang w:val="en-US"/>
              </w:rPr>
            </w:pPr>
          </w:p>
        </w:tc>
        <w:tc>
          <w:tcPr>
            <w:tcW w:w="3003" w:type="dxa"/>
            <w:tcBorders>
              <w:bottom w:val="single" w:sz="4" w:space="0" w:color="auto"/>
            </w:tcBorders>
          </w:tcPr>
          <w:p w:rsidR="008E340F" w:rsidRPr="00D23660" w:rsidRDefault="008E340F" w:rsidP="00D23660">
            <w:pPr>
              <w:pStyle w:val="HIPTabletext"/>
              <w:jc w:val="center"/>
              <w:rPr>
                <w:lang w:val="en-US"/>
              </w:rPr>
            </w:pPr>
          </w:p>
        </w:tc>
      </w:tr>
      <w:tr w:rsidR="008E340F" w:rsidRPr="00D23660" w:rsidTr="00DB4F07">
        <w:trPr>
          <w:jc w:val="center"/>
        </w:trPr>
        <w:tc>
          <w:tcPr>
            <w:tcW w:w="1520" w:type="dxa"/>
            <w:shd w:val="clear" w:color="auto" w:fill="EAF1DD"/>
          </w:tcPr>
          <w:p w:rsidR="008E340F" w:rsidRPr="00D23660" w:rsidRDefault="008E340F" w:rsidP="00DB4F07">
            <w:pPr>
              <w:pStyle w:val="HIPTabletext"/>
              <w:jc w:val="left"/>
              <w:rPr>
                <w:lang w:val="en-US"/>
              </w:rPr>
            </w:pPr>
            <w:r w:rsidRPr="00D23660">
              <w:rPr>
                <w:lang w:val="en-US"/>
              </w:rPr>
              <w:t xml:space="preserve">Botswana </w:t>
            </w:r>
          </w:p>
        </w:tc>
        <w:tc>
          <w:tcPr>
            <w:tcW w:w="2772" w:type="dxa"/>
            <w:shd w:val="clear" w:color="auto" w:fill="EAF1DD"/>
          </w:tcPr>
          <w:p w:rsidR="008E340F" w:rsidRPr="009D3E91" w:rsidRDefault="008E340F" w:rsidP="00D23660">
            <w:pPr>
              <w:pStyle w:val="HIPTabletext"/>
              <w:jc w:val="center"/>
              <w:rPr>
                <w:lang w:val="en-US"/>
              </w:rPr>
            </w:pPr>
          </w:p>
        </w:tc>
        <w:tc>
          <w:tcPr>
            <w:tcW w:w="1809" w:type="dxa"/>
            <w:shd w:val="clear" w:color="auto" w:fill="EAF1DD"/>
          </w:tcPr>
          <w:p w:rsidR="008E340F" w:rsidRPr="009D3E91" w:rsidRDefault="008E340F" w:rsidP="00D23660">
            <w:pPr>
              <w:pStyle w:val="HIPTabletext"/>
              <w:jc w:val="center"/>
              <w:rPr>
                <w:lang w:val="en-US"/>
              </w:rPr>
            </w:pPr>
          </w:p>
        </w:tc>
        <w:tc>
          <w:tcPr>
            <w:tcW w:w="3003" w:type="dxa"/>
            <w:shd w:val="clear" w:color="auto" w:fill="EAF1DD"/>
          </w:tcPr>
          <w:p w:rsidR="008E340F" w:rsidRPr="00D23660" w:rsidRDefault="008E340F" w:rsidP="00D23660">
            <w:pPr>
              <w:pStyle w:val="HIPTabletext"/>
              <w:jc w:val="center"/>
              <w:rPr>
                <w:lang w:val="en-US"/>
              </w:rPr>
            </w:pPr>
          </w:p>
        </w:tc>
      </w:tr>
      <w:tr w:rsidR="008E340F" w:rsidRPr="00D23660" w:rsidTr="00DB4F07">
        <w:trPr>
          <w:jc w:val="center"/>
        </w:trPr>
        <w:tc>
          <w:tcPr>
            <w:tcW w:w="1520" w:type="dxa"/>
            <w:tcBorders>
              <w:bottom w:val="single" w:sz="4" w:space="0" w:color="auto"/>
            </w:tcBorders>
          </w:tcPr>
          <w:p w:rsidR="008E340F" w:rsidRPr="00D23660" w:rsidRDefault="008E340F" w:rsidP="00DB4F07">
            <w:pPr>
              <w:pStyle w:val="HIPTabletext"/>
              <w:jc w:val="left"/>
              <w:rPr>
                <w:lang w:val="en-US"/>
              </w:rPr>
            </w:pPr>
            <w:r w:rsidRPr="00D23660">
              <w:rPr>
                <w:lang w:val="en-US"/>
              </w:rPr>
              <w:t>DRC</w:t>
            </w:r>
          </w:p>
        </w:tc>
        <w:tc>
          <w:tcPr>
            <w:tcW w:w="2772" w:type="dxa"/>
            <w:tcBorders>
              <w:bottom w:val="single" w:sz="4" w:space="0" w:color="auto"/>
            </w:tcBorders>
          </w:tcPr>
          <w:p w:rsidR="008E340F" w:rsidRPr="00D23660" w:rsidRDefault="008E340F" w:rsidP="00D23660">
            <w:pPr>
              <w:pStyle w:val="HIPTabletext"/>
              <w:jc w:val="center"/>
              <w:rPr>
                <w:lang w:val="en-US"/>
              </w:rPr>
            </w:pPr>
          </w:p>
        </w:tc>
        <w:tc>
          <w:tcPr>
            <w:tcW w:w="1809" w:type="dxa"/>
            <w:tcBorders>
              <w:bottom w:val="single" w:sz="4" w:space="0" w:color="auto"/>
            </w:tcBorders>
          </w:tcPr>
          <w:p w:rsidR="008E340F" w:rsidRPr="00D23660" w:rsidRDefault="008E340F" w:rsidP="00D23660">
            <w:pPr>
              <w:pStyle w:val="HIPTabletext"/>
              <w:jc w:val="center"/>
              <w:rPr>
                <w:lang w:val="en-US"/>
              </w:rPr>
            </w:pPr>
          </w:p>
        </w:tc>
        <w:tc>
          <w:tcPr>
            <w:tcW w:w="3003" w:type="dxa"/>
            <w:tcBorders>
              <w:bottom w:val="single" w:sz="4" w:space="0" w:color="auto"/>
            </w:tcBorders>
          </w:tcPr>
          <w:p w:rsidR="008E340F" w:rsidRPr="00D23660" w:rsidRDefault="008E340F" w:rsidP="00D23660">
            <w:pPr>
              <w:pStyle w:val="HIPTabletext"/>
              <w:jc w:val="center"/>
              <w:rPr>
                <w:lang w:val="en-US"/>
              </w:rPr>
            </w:pPr>
          </w:p>
        </w:tc>
      </w:tr>
      <w:tr w:rsidR="008E340F" w:rsidRPr="00D23660" w:rsidTr="00DB4F07">
        <w:trPr>
          <w:jc w:val="center"/>
        </w:trPr>
        <w:tc>
          <w:tcPr>
            <w:tcW w:w="1520" w:type="dxa"/>
            <w:shd w:val="clear" w:color="auto" w:fill="EAF1DD"/>
          </w:tcPr>
          <w:p w:rsidR="008E340F" w:rsidRPr="00D23660" w:rsidRDefault="008E340F" w:rsidP="00DB4F07">
            <w:pPr>
              <w:pStyle w:val="HIPTabletext"/>
              <w:jc w:val="left"/>
              <w:rPr>
                <w:lang w:val="en-US"/>
              </w:rPr>
            </w:pPr>
            <w:r w:rsidRPr="00D23660">
              <w:rPr>
                <w:lang w:val="en-US"/>
              </w:rPr>
              <w:t>Lesotho</w:t>
            </w:r>
          </w:p>
        </w:tc>
        <w:tc>
          <w:tcPr>
            <w:tcW w:w="2772" w:type="dxa"/>
            <w:shd w:val="clear" w:color="auto" w:fill="EAF1DD"/>
          </w:tcPr>
          <w:p w:rsidR="008E340F" w:rsidRPr="009D3E91" w:rsidRDefault="008E340F" w:rsidP="00D23660">
            <w:pPr>
              <w:pStyle w:val="HIPTabletext"/>
              <w:jc w:val="center"/>
              <w:rPr>
                <w:lang w:val="en-US"/>
              </w:rPr>
            </w:pPr>
          </w:p>
        </w:tc>
        <w:tc>
          <w:tcPr>
            <w:tcW w:w="1809" w:type="dxa"/>
            <w:shd w:val="clear" w:color="auto" w:fill="EAF1DD"/>
          </w:tcPr>
          <w:p w:rsidR="008E340F" w:rsidRPr="00D23660" w:rsidRDefault="008E340F" w:rsidP="00D23660">
            <w:pPr>
              <w:pStyle w:val="HIPTabletext"/>
              <w:jc w:val="center"/>
              <w:rPr>
                <w:lang w:val="en-US"/>
              </w:rPr>
            </w:pPr>
          </w:p>
        </w:tc>
        <w:tc>
          <w:tcPr>
            <w:tcW w:w="3003" w:type="dxa"/>
            <w:shd w:val="clear" w:color="auto" w:fill="EAF1DD"/>
          </w:tcPr>
          <w:p w:rsidR="008E340F" w:rsidRPr="00D23660" w:rsidRDefault="008E340F" w:rsidP="00D23660">
            <w:pPr>
              <w:pStyle w:val="HIPTabletext"/>
              <w:jc w:val="center"/>
              <w:rPr>
                <w:lang w:val="en-US"/>
              </w:rPr>
            </w:pPr>
            <w:r w:rsidRPr="00D23660">
              <w:rPr>
                <w:lang w:val="en-US"/>
              </w:rPr>
              <w:t>X</w:t>
            </w:r>
          </w:p>
        </w:tc>
      </w:tr>
      <w:tr w:rsidR="008E340F" w:rsidRPr="00D23660" w:rsidTr="00DB4F07">
        <w:trPr>
          <w:jc w:val="center"/>
        </w:trPr>
        <w:tc>
          <w:tcPr>
            <w:tcW w:w="1520" w:type="dxa"/>
            <w:tcBorders>
              <w:bottom w:val="single" w:sz="4" w:space="0" w:color="auto"/>
            </w:tcBorders>
          </w:tcPr>
          <w:p w:rsidR="008E340F" w:rsidRPr="00D23660" w:rsidRDefault="008E340F" w:rsidP="00DB4F07">
            <w:pPr>
              <w:pStyle w:val="HIPTabletext"/>
              <w:jc w:val="left"/>
              <w:rPr>
                <w:lang w:val="en-US"/>
              </w:rPr>
            </w:pPr>
            <w:r w:rsidRPr="00D23660">
              <w:rPr>
                <w:lang w:val="en-US"/>
              </w:rPr>
              <w:t>Malawi</w:t>
            </w:r>
          </w:p>
        </w:tc>
        <w:tc>
          <w:tcPr>
            <w:tcW w:w="2772" w:type="dxa"/>
            <w:tcBorders>
              <w:bottom w:val="single" w:sz="4" w:space="0" w:color="auto"/>
            </w:tcBorders>
          </w:tcPr>
          <w:p w:rsidR="008E340F" w:rsidRPr="00D23660" w:rsidRDefault="008E340F" w:rsidP="00D23660">
            <w:pPr>
              <w:pStyle w:val="HIPTabletext"/>
              <w:jc w:val="center"/>
              <w:rPr>
                <w:lang w:val="en-US"/>
              </w:rPr>
            </w:pPr>
          </w:p>
        </w:tc>
        <w:tc>
          <w:tcPr>
            <w:tcW w:w="1809" w:type="dxa"/>
            <w:tcBorders>
              <w:bottom w:val="single" w:sz="4" w:space="0" w:color="auto"/>
            </w:tcBorders>
          </w:tcPr>
          <w:p w:rsidR="008E340F" w:rsidRPr="009D3E91" w:rsidRDefault="008E340F" w:rsidP="00D23660">
            <w:pPr>
              <w:pStyle w:val="HIPTabletext"/>
              <w:jc w:val="center"/>
              <w:rPr>
                <w:lang w:val="en-US"/>
              </w:rPr>
            </w:pPr>
          </w:p>
        </w:tc>
        <w:tc>
          <w:tcPr>
            <w:tcW w:w="3003" w:type="dxa"/>
            <w:tcBorders>
              <w:bottom w:val="single" w:sz="4" w:space="0" w:color="auto"/>
            </w:tcBorders>
          </w:tcPr>
          <w:p w:rsidR="008E340F" w:rsidRPr="00D23660" w:rsidRDefault="008E340F" w:rsidP="00D23660">
            <w:pPr>
              <w:pStyle w:val="HIPTabletext"/>
              <w:jc w:val="center"/>
              <w:rPr>
                <w:lang w:val="en-US"/>
              </w:rPr>
            </w:pPr>
          </w:p>
        </w:tc>
      </w:tr>
      <w:tr w:rsidR="008E340F" w:rsidRPr="00D23660" w:rsidTr="00DB4F07">
        <w:trPr>
          <w:jc w:val="center"/>
        </w:trPr>
        <w:tc>
          <w:tcPr>
            <w:tcW w:w="1520" w:type="dxa"/>
            <w:shd w:val="clear" w:color="auto" w:fill="EAF1DD"/>
          </w:tcPr>
          <w:p w:rsidR="008E340F" w:rsidRPr="00D23660" w:rsidRDefault="008E340F" w:rsidP="00DB4F07">
            <w:pPr>
              <w:pStyle w:val="HIPTabletext"/>
              <w:jc w:val="left"/>
              <w:rPr>
                <w:lang w:val="en-US"/>
              </w:rPr>
            </w:pPr>
            <w:r w:rsidRPr="00D23660">
              <w:rPr>
                <w:lang w:val="en-US"/>
              </w:rPr>
              <w:t>Mauritius</w:t>
            </w:r>
          </w:p>
        </w:tc>
        <w:tc>
          <w:tcPr>
            <w:tcW w:w="2772" w:type="dxa"/>
            <w:shd w:val="clear" w:color="auto" w:fill="EAF1DD"/>
          </w:tcPr>
          <w:p w:rsidR="008E340F" w:rsidRPr="00D23660" w:rsidDel="001F5FC9" w:rsidRDefault="008E340F" w:rsidP="00D23660">
            <w:pPr>
              <w:pStyle w:val="HIPTabletext"/>
              <w:jc w:val="center"/>
              <w:rPr>
                <w:lang w:val="en-US"/>
              </w:rPr>
            </w:pPr>
          </w:p>
        </w:tc>
        <w:tc>
          <w:tcPr>
            <w:tcW w:w="1809" w:type="dxa"/>
            <w:shd w:val="clear" w:color="auto" w:fill="EAF1DD"/>
          </w:tcPr>
          <w:p w:rsidR="008E340F" w:rsidRPr="009D3E91" w:rsidRDefault="008E340F" w:rsidP="00D23660">
            <w:pPr>
              <w:pStyle w:val="HIPTabletext"/>
              <w:jc w:val="center"/>
              <w:rPr>
                <w:lang w:val="en-US"/>
              </w:rPr>
            </w:pPr>
          </w:p>
        </w:tc>
        <w:tc>
          <w:tcPr>
            <w:tcW w:w="3003" w:type="dxa"/>
            <w:shd w:val="clear" w:color="auto" w:fill="EAF1DD"/>
          </w:tcPr>
          <w:p w:rsidR="008E340F" w:rsidRPr="00D23660" w:rsidRDefault="008E340F" w:rsidP="00D23660">
            <w:pPr>
              <w:pStyle w:val="HIPTabletext"/>
              <w:jc w:val="center"/>
              <w:rPr>
                <w:lang w:val="en-US"/>
              </w:rPr>
            </w:pPr>
          </w:p>
        </w:tc>
      </w:tr>
      <w:tr w:rsidR="008E340F" w:rsidRPr="00D23660" w:rsidTr="00DB4F07">
        <w:trPr>
          <w:jc w:val="center"/>
        </w:trPr>
        <w:tc>
          <w:tcPr>
            <w:tcW w:w="1520" w:type="dxa"/>
            <w:tcBorders>
              <w:bottom w:val="single" w:sz="4" w:space="0" w:color="auto"/>
            </w:tcBorders>
          </w:tcPr>
          <w:p w:rsidR="008E340F" w:rsidRPr="00D23660" w:rsidRDefault="008E340F" w:rsidP="00DB4F07">
            <w:pPr>
              <w:pStyle w:val="HIPTabletext"/>
              <w:jc w:val="left"/>
              <w:rPr>
                <w:lang w:val="en-US"/>
              </w:rPr>
            </w:pPr>
            <w:r w:rsidRPr="00D23660">
              <w:rPr>
                <w:lang w:val="en-US"/>
              </w:rPr>
              <w:t>Mozambique</w:t>
            </w:r>
          </w:p>
        </w:tc>
        <w:tc>
          <w:tcPr>
            <w:tcW w:w="2772" w:type="dxa"/>
            <w:tcBorders>
              <w:bottom w:val="single" w:sz="4" w:space="0" w:color="auto"/>
            </w:tcBorders>
          </w:tcPr>
          <w:p w:rsidR="008E340F" w:rsidRPr="00D23660" w:rsidRDefault="008E340F" w:rsidP="00D23660">
            <w:pPr>
              <w:pStyle w:val="HIPTabletext"/>
              <w:jc w:val="center"/>
              <w:rPr>
                <w:lang w:val="en-US"/>
              </w:rPr>
            </w:pPr>
          </w:p>
        </w:tc>
        <w:tc>
          <w:tcPr>
            <w:tcW w:w="1809" w:type="dxa"/>
            <w:tcBorders>
              <w:bottom w:val="single" w:sz="4" w:space="0" w:color="auto"/>
            </w:tcBorders>
          </w:tcPr>
          <w:p w:rsidR="008E340F" w:rsidRPr="009D3E91" w:rsidRDefault="008E340F" w:rsidP="00D23660">
            <w:pPr>
              <w:pStyle w:val="HIPTabletext"/>
              <w:jc w:val="center"/>
              <w:rPr>
                <w:lang w:val="en-US"/>
              </w:rPr>
            </w:pPr>
          </w:p>
        </w:tc>
        <w:tc>
          <w:tcPr>
            <w:tcW w:w="3003" w:type="dxa"/>
            <w:tcBorders>
              <w:bottom w:val="single" w:sz="4" w:space="0" w:color="auto"/>
            </w:tcBorders>
          </w:tcPr>
          <w:p w:rsidR="008E340F" w:rsidRPr="009D3E91" w:rsidRDefault="008E340F" w:rsidP="00D23660">
            <w:pPr>
              <w:pStyle w:val="HIPTabletext"/>
              <w:jc w:val="center"/>
              <w:rPr>
                <w:lang w:val="en-US"/>
              </w:rPr>
            </w:pPr>
          </w:p>
        </w:tc>
      </w:tr>
      <w:tr w:rsidR="008E340F" w:rsidRPr="00ED0EAB" w:rsidTr="00DB4F07">
        <w:trPr>
          <w:jc w:val="center"/>
        </w:trPr>
        <w:tc>
          <w:tcPr>
            <w:tcW w:w="1520" w:type="dxa"/>
            <w:shd w:val="clear" w:color="auto" w:fill="EAF1DD"/>
          </w:tcPr>
          <w:p w:rsidR="008E340F" w:rsidRPr="005E3213" w:rsidRDefault="008E340F" w:rsidP="00DB4F07">
            <w:pPr>
              <w:pStyle w:val="HIPTabletext"/>
              <w:jc w:val="left"/>
            </w:pPr>
            <w:r w:rsidRPr="00D23660">
              <w:rPr>
                <w:lang w:val="en-US"/>
              </w:rPr>
              <w:t>Nam</w:t>
            </w:r>
            <w:r w:rsidRPr="005F66D6">
              <w:t xml:space="preserve">ibia </w:t>
            </w:r>
          </w:p>
        </w:tc>
        <w:tc>
          <w:tcPr>
            <w:tcW w:w="2772" w:type="dxa"/>
            <w:shd w:val="clear" w:color="auto" w:fill="EAF1DD"/>
          </w:tcPr>
          <w:p w:rsidR="008E340F" w:rsidRPr="00ED0EAB" w:rsidRDefault="008E340F" w:rsidP="00D23660">
            <w:pPr>
              <w:pStyle w:val="HIPTabletext"/>
              <w:jc w:val="center"/>
            </w:pPr>
          </w:p>
        </w:tc>
        <w:tc>
          <w:tcPr>
            <w:tcW w:w="1809" w:type="dxa"/>
            <w:shd w:val="clear" w:color="auto" w:fill="EAF1DD"/>
          </w:tcPr>
          <w:p w:rsidR="008E340F" w:rsidRPr="009D3E91" w:rsidRDefault="008E340F" w:rsidP="00D23660">
            <w:pPr>
              <w:pStyle w:val="HIPTabletext"/>
              <w:jc w:val="center"/>
              <w:rPr>
                <w:lang w:val="en-US"/>
              </w:rPr>
            </w:pPr>
          </w:p>
        </w:tc>
        <w:tc>
          <w:tcPr>
            <w:tcW w:w="3003" w:type="dxa"/>
            <w:shd w:val="clear" w:color="auto" w:fill="EAF1DD"/>
          </w:tcPr>
          <w:p w:rsidR="008E340F" w:rsidRPr="00ED0EAB" w:rsidRDefault="008E340F" w:rsidP="00D23660">
            <w:pPr>
              <w:pStyle w:val="HIPTabletext"/>
              <w:jc w:val="center"/>
            </w:pPr>
          </w:p>
        </w:tc>
      </w:tr>
      <w:tr w:rsidR="008E340F" w:rsidRPr="00ED0EAB" w:rsidTr="00DB4F07">
        <w:trPr>
          <w:jc w:val="center"/>
        </w:trPr>
        <w:tc>
          <w:tcPr>
            <w:tcW w:w="1520" w:type="dxa"/>
            <w:tcBorders>
              <w:bottom w:val="single" w:sz="4" w:space="0" w:color="auto"/>
            </w:tcBorders>
          </w:tcPr>
          <w:p w:rsidR="008E340F" w:rsidRPr="005E3213" w:rsidRDefault="008E340F" w:rsidP="00DB4F07">
            <w:pPr>
              <w:pStyle w:val="HIPTabletext"/>
              <w:jc w:val="left"/>
            </w:pPr>
            <w:r w:rsidRPr="005F66D6">
              <w:t>Seychelles</w:t>
            </w:r>
          </w:p>
        </w:tc>
        <w:tc>
          <w:tcPr>
            <w:tcW w:w="2772" w:type="dxa"/>
            <w:tcBorders>
              <w:bottom w:val="single" w:sz="4" w:space="0" w:color="auto"/>
            </w:tcBorders>
          </w:tcPr>
          <w:p w:rsidR="008E340F" w:rsidRPr="00ED0EAB" w:rsidRDefault="008E340F" w:rsidP="00D23660">
            <w:pPr>
              <w:pStyle w:val="HIPTabletext"/>
              <w:jc w:val="center"/>
            </w:pPr>
          </w:p>
        </w:tc>
        <w:tc>
          <w:tcPr>
            <w:tcW w:w="1809" w:type="dxa"/>
            <w:tcBorders>
              <w:bottom w:val="single" w:sz="4" w:space="0" w:color="auto"/>
            </w:tcBorders>
          </w:tcPr>
          <w:p w:rsidR="008E340F" w:rsidRPr="00ED0EAB" w:rsidRDefault="008E340F" w:rsidP="00D23660">
            <w:pPr>
              <w:pStyle w:val="HIPTabletext"/>
              <w:jc w:val="center"/>
            </w:pPr>
          </w:p>
        </w:tc>
        <w:tc>
          <w:tcPr>
            <w:tcW w:w="3003" w:type="dxa"/>
            <w:tcBorders>
              <w:bottom w:val="single" w:sz="4" w:space="0" w:color="auto"/>
            </w:tcBorders>
          </w:tcPr>
          <w:p w:rsidR="008E340F" w:rsidRPr="00ED0EAB" w:rsidRDefault="008E340F" w:rsidP="00D23660">
            <w:pPr>
              <w:pStyle w:val="HIPTabletext"/>
              <w:jc w:val="center"/>
            </w:pPr>
          </w:p>
        </w:tc>
      </w:tr>
      <w:tr w:rsidR="008E340F" w:rsidRPr="0006693F" w:rsidTr="00DB4F07">
        <w:trPr>
          <w:jc w:val="center"/>
        </w:trPr>
        <w:tc>
          <w:tcPr>
            <w:tcW w:w="1520" w:type="dxa"/>
            <w:shd w:val="clear" w:color="auto" w:fill="EAF1DD"/>
          </w:tcPr>
          <w:p w:rsidR="008E340F" w:rsidRPr="005E3213" w:rsidRDefault="008E340F" w:rsidP="00DB4F07">
            <w:pPr>
              <w:pStyle w:val="HIPTabletext"/>
              <w:jc w:val="left"/>
            </w:pPr>
            <w:r w:rsidRPr="005F66D6">
              <w:t>South Africa</w:t>
            </w:r>
          </w:p>
        </w:tc>
        <w:tc>
          <w:tcPr>
            <w:tcW w:w="2772" w:type="dxa"/>
            <w:shd w:val="clear" w:color="auto" w:fill="EAF1DD"/>
          </w:tcPr>
          <w:p w:rsidR="008E340F" w:rsidRPr="00ED0EAB" w:rsidRDefault="008E340F" w:rsidP="00D23660">
            <w:pPr>
              <w:pStyle w:val="HIPTabletext"/>
              <w:jc w:val="center"/>
              <w:rPr>
                <w:lang w:val="en-GB"/>
              </w:rPr>
            </w:pPr>
            <w:r>
              <w:rPr>
                <w:lang w:val="en-GB"/>
              </w:rPr>
              <w:t>X</w:t>
            </w:r>
          </w:p>
        </w:tc>
        <w:tc>
          <w:tcPr>
            <w:tcW w:w="1809" w:type="dxa"/>
            <w:shd w:val="clear" w:color="auto" w:fill="EAF1DD"/>
          </w:tcPr>
          <w:p w:rsidR="008E340F" w:rsidRPr="00D648F1" w:rsidRDefault="008E340F" w:rsidP="00D23660">
            <w:pPr>
              <w:pStyle w:val="HIPTabletext"/>
              <w:jc w:val="center"/>
              <w:rPr>
                <w:lang w:val="en-GB"/>
              </w:rPr>
            </w:pPr>
            <w:r>
              <w:rPr>
                <w:lang w:val="en-GB"/>
              </w:rPr>
              <w:t>X</w:t>
            </w:r>
          </w:p>
        </w:tc>
        <w:tc>
          <w:tcPr>
            <w:tcW w:w="3003" w:type="dxa"/>
            <w:shd w:val="clear" w:color="auto" w:fill="EAF1DD"/>
          </w:tcPr>
          <w:p w:rsidR="008E340F" w:rsidRPr="009D3E91" w:rsidRDefault="008E340F" w:rsidP="00D23660">
            <w:pPr>
              <w:pStyle w:val="HIPTabletext"/>
              <w:jc w:val="center"/>
              <w:rPr>
                <w:lang w:val="en-US"/>
              </w:rPr>
            </w:pPr>
            <w:r>
              <w:rPr>
                <w:lang w:val="en-US"/>
              </w:rPr>
              <w:t>X</w:t>
            </w:r>
          </w:p>
        </w:tc>
      </w:tr>
      <w:tr w:rsidR="008E340F" w:rsidRPr="009D3E91" w:rsidTr="00DB4F07">
        <w:trPr>
          <w:jc w:val="center"/>
        </w:trPr>
        <w:tc>
          <w:tcPr>
            <w:tcW w:w="1520" w:type="dxa"/>
            <w:tcBorders>
              <w:bottom w:val="single" w:sz="4" w:space="0" w:color="auto"/>
            </w:tcBorders>
          </w:tcPr>
          <w:p w:rsidR="008E340F" w:rsidRPr="005E3213" w:rsidRDefault="008E340F" w:rsidP="00DB4F07">
            <w:pPr>
              <w:pStyle w:val="HIPTabletext"/>
              <w:jc w:val="left"/>
            </w:pPr>
            <w:r w:rsidRPr="005F66D6">
              <w:t xml:space="preserve">Swaziland </w:t>
            </w:r>
          </w:p>
        </w:tc>
        <w:tc>
          <w:tcPr>
            <w:tcW w:w="2772" w:type="dxa"/>
            <w:tcBorders>
              <w:bottom w:val="single" w:sz="4" w:space="0" w:color="auto"/>
            </w:tcBorders>
          </w:tcPr>
          <w:p w:rsidR="008E340F" w:rsidRPr="00ED0EAB" w:rsidRDefault="008E340F" w:rsidP="00D23660">
            <w:pPr>
              <w:pStyle w:val="HIPTabletext"/>
              <w:jc w:val="center"/>
            </w:pPr>
          </w:p>
        </w:tc>
        <w:tc>
          <w:tcPr>
            <w:tcW w:w="1809" w:type="dxa"/>
            <w:tcBorders>
              <w:bottom w:val="single" w:sz="4" w:space="0" w:color="auto"/>
            </w:tcBorders>
          </w:tcPr>
          <w:p w:rsidR="008E340F" w:rsidRPr="00ED0EAB" w:rsidRDefault="008E340F" w:rsidP="00D23660">
            <w:pPr>
              <w:pStyle w:val="HIPTabletext"/>
              <w:jc w:val="center"/>
            </w:pPr>
          </w:p>
        </w:tc>
        <w:tc>
          <w:tcPr>
            <w:tcW w:w="3003" w:type="dxa"/>
            <w:tcBorders>
              <w:bottom w:val="single" w:sz="4" w:space="0" w:color="auto"/>
            </w:tcBorders>
          </w:tcPr>
          <w:p w:rsidR="008E340F" w:rsidRPr="009D3E91" w:rsidRDefault="008E340F" w:rsidP="00D23660">
            <w:pPr>
              <w:pStyle w:val="HIPTabletext"/>
              <w:jc w:val="center"/>
              <w:rPr>
                <w:lang w:val="en-US"/>
              </w:rPr>
            </w:pPr>
          </w:p>
        </w:tc>
      </w:tr>
      <w:tr w:rsidR="008E340F" w:rsidRPr="009D3E91" w:rsidTr="00DB4F07">
        <w:trPr>
          <w:jc w:val="center"/>
        </w:trPr>
        <w:tc>
          <w:tcPr>
            <w:tcW w:w="1520" w:type="dxa"/>
            <w:shd w:val="clear" w:color="auto" w:fill="EAF1DD"/>
          </w:tcPr>
          <w:p w:rsidR="008E340F" w:rsidRPr="005E3213" w:rsidRDefault="008E340F" w:rsidP="00DB4F07">
            <w:pPr>
              <w:pStyle w:val="HIPTabletext"/>
              <w:jc w:val="left"/>
            </w:pPr>
            <w:r w:rsidRPr="005F66D6">
              <w:t xml:space="preserve">Tanzania </w:t>
            </w:r>
          </w:p>
        </w:tc>
        <w:tc>
          <w:tcPr>
            <w:tcW w:w="2772" w:type="dxa"/>
            <w:shd w:val="clear" w:color="auto" w:fill="EAF1DD"/>
          </w:tcPr>
          <w:p w:rsidR="008E340F" w:rsidRPr="009D3E91" w:rsidRDefault="008E340F" w:rsidP="00D23660">
            <w:pPr>
              <w:pStyle w:val="HIPTabletext"/>
              <w:jc w:val="center"/>
              <w:rPr>
                <w:lang w:val="en-US"/>
              </w:rPr>
            </w:pPr>
            <w:r>
              <w:rPr>
                <w:lang w:val="en-US"/>
              </w:rPr>
              <w:t>X</w:t>
            </w:r>
          </w:p>
        </w:tc>
        <w:tc>
          <w:tcPr>
            <w:tcW w:w="1809" w:type="dxa"/>
            <w:shd w:val="clear" w:color="auto" w:fill="EAF1DD"/>
          </w:tcPr>
          <w:p w:rsidR="008E340F" w:rsidRPr="00ED0EAB" w:rsidRDefault="008E340F" w:rsidP="00D23660">
            <w:pPr>
              <w:pStyle w:val="HIPTabletext"/>
              <w:jc w:val="center"/>
            </w:pPr>
            <w:r>
              <w:t>X</w:t>
            </w:r>
          </w:p>
        </w:tc>
        <w:tc>
          <w:tcPr>
            <w:tcW w:w="3003" w:type="dxa"/>
            <w:shd w:val="clear" w:color="auto" w:fill="EAF1DD"/>
          </w:tcPr>
          <w:p w:rsidR="008E340F" w:rsidRPr="009D3E91" w:rsidRDefault="008E340F" w:rsidP="00D23660">
            <w:pPr>
              <w:pStyle w:val="HIPTabletext"/>
              <w:jc w:val="center"/>
              <w:rPr>
                <w:lang w:val="en-US"/>
              </w:rPr>
            </w:pPr>
            <w:r>
              <w:rPr>
                <w:lang w:val="en-US"/>
              </w:rPr>
              <w:t>X</w:t>
            </w:r>
          </w:p>
        </w:tc>
      </w:tr>
      <w:tr w:rsidR="008E340F" w:rsidRPr="00ED0EAB" w:rsidTr="00DB4F07">
        <w:trPr>
          <w:jc w:val="center"/>
        </w:trPr>
        <w:tc>
          <w:tcPr>
            <w:tcW w:w="1520" w:type="dxa"/>
            <w:tcBorders>
              <w:bottom w:val="single" w:sz="4" w:space="0" w:color="auto"/>
            </w:tcBorders>
          </w:tcPr>
          <w:p w:rsidR="008E340F" w:rsidRPr="005E3213" w:rsidRDefault="008E340F" w:rsidP="00DB4F07">
            <w:pPr>
              <w:pStyle w:val="HIPTabletext"/>
              <w:jc w:val="left"/>
            </w:pPr>
            <w:r w:rsidRPr="005F66D6">
              <w:t>Zambia</w:t>
            </w:r>
          </w:p>
        </w:tc>
        <w:tc>
          <w:tcPr>
            <w:tcW w:w="2772" w:type="dxa"/>
            <w:tcBorders>
              <w:bottom w:val="single" w:sz="4" w:space="0" w:color="auto"/>
            </w:tcBorders>
          </w:tcPr>
          <w:p w:rsidR="008E340F" w:rsidRPr="00ED0EAB" w:rsidRDefault="008E340F" w:rsidP="00D23660">
            <w:pPr>
              <w:pStyle w:val="HIPTabletext"/>
              <w:jc w:val="center"/>
            </w:pPr>
          </w:p>
        </w:tc>
        <w:tc>
          <w:tcPr>
            <w:tcW w:w="1809" w:type="dxa"/>
            <w:tcBorders>
              <w:bottom w:val="single" w:sz="4" w:space="0" w:color="auto"/>
            </w:tcBorders>
          </w:tcPr>
          <w:p w:rsidR="008E340F" w:rsidRPr="00ED0EAB" w:rsidRDefault="008E340F" w:rsidP="00D23660">
            <w:pPr>
              <w:pStyle w:val="HIPTabletext"/>
              <w:jc w:val="center"/>
            </w:pPr>
          </w:p>
        </w:tc>
        <w:tc>
          <w:tcPr>
            <w:tcW w:w="3003" w:type="dxa"/>
            <w:tcBorders>
              <w:bottom w:val="single" w:sz="4" w:space="0" w:color="auto"/>
            </w:tcBorders>
          </w:tcPr>
          <w:p w:rsidR="008E340F" w:rsidRPr="00ED0EAB" w:rsidRDefault="008E340F" w:rsidP="00D23660">
            <w:pPr>
              <w:pStyle w:val="HIPTabletext"/>
              <w:jc w:val="center"/>
            </w:pPr>
          </w:p>
        </w:tc>
      </w:tr>
      <w:tr w:rsidR="008E340F" w:rsidRPr="00ED0EAB" w:rsidTr="00DB4F07">
        <w:trPr>
          <w:jc w:val="center"/>
        </w:trPr>
        <w:tc>
          <w:tcPr>
            <w:tcW w:w="1520" w:type="dxa"/>
            <w:shd w:val="clear" w:color="auto" w:fill="EAF1DD"/>
          </w:tcPr>
          <w:p w:rsidR="008E340F" w:rsidRPr="005E3213" w:rsidRDefault="008E340F" w:rsidP="00DB4F07">
            <w:pPr>
              <w:pStyle w:val="HIPTabletext"/>
              <w:jc w:val="left"/>
            </w:pPr>
            <w:r w:rsidRPr="005F66D6">
              <w:t>Zimbabwe</w:t>
            </w:r>
          </w:p>
        </w:tc>
        <w:tc>
          <w:tcPr>
            <w:tcW w:w="2772" w:type="dxa"/>
            <w:shd w:val="clear" w:color="auto" w:fill="EAF1DD"/>
          </w:tcPr>
          <w:p w:rsidR="008E340F" w:rsidRPr="00ED0EAB" w:rsidRDefault="008E340F" w:rsidP="00D23660">
            <w:pPr>
              <w:pStyle w:val="HIPTabletext"/>
              <w:jc w:val="center"/>
            </w:pPr>
          </w:p>
        </w:tc>
        <w:tc>
          <w:tcPr>
            <w:tcW w:w="1809" w:type="dxa"/>
            <w:shd w:val="clear" w:color="auto" w:fill="EAF1DD"/>
          </w:tcPr>
          <w:p w:rsidR="008E340F" w:rsidRPr="009D3E91" w:rsidRDefault="008E340F" w:rsidP="00D23660">
            <w:pPr>
              <w:pStyle w:val="HIPTabletext"/>
              <w:jc w:val="center"/>
              <w:rPr>
                <w:lang w:val="en-US"/>
              </w:rPr>
            </w:pPr>
          </w:p>
        </w:tc>
        <w:tc>
          <w:tcPr>
            <w:tcW w:w="3003" w:type="dxa"/>
            <w:shd w:val="clear" w:color="auto" w:fill="EAF1DD"/>
          </w:tcPr>
          <w:p w:rsidR="008E340F" w:rsidRPr="00ED0EAB" w:rsidRDefault="008E340F" w:rsidP="00D23660">
            <w:pPr>
              <w:pStyle w:val="HIPTabletext"/>
              <w:jc w:val="center"/>
            </w:pPr>
          </w:p>
        </w:tc>
      </w:tr>
    </w:tbl>
    <w:p w:rsidR="005E5682" w:rsidRDefault="005E5682" w:rsidP="00DB4F07">
      <w:pPr>
        <w:pStyle w:val="HIPNormal"/>
        <w:rPr>
          <w:lang w:val="en-US"/>
        </w:rPr>
      </w:pPr>
    </w:p>
    <w:p w:rsidR="00DB4F07" w:rsidRPr="00DB4F07" w:rsidRDefault="00DB4F07" w:rsidP="00DB4F07">
      <w:pPr>
        <w:pStyle w:val="HIPNormal"/>
        <w:rPr>
          <w:lang w:val="en-US"/>
        </w:rPr>
      </w:pPr>
      <w:r w:rsidRPr="00DB4F07">
        <w:rPr>
          <w:lang w:val="en-US"/>
        </w:rPr>
        <w:t xml:space="preserve">Although there are a variety of funding models, this Toolkit </w:t>
      </w:r>
      <w:r w:rsidRPr="00DB4F07">
        <w:rPr>
          <w:rFonts w:hint="eastAsia"/>
          <w:lang w:val="en-US"/>
        </w:rPr>
        <w:t>recognizes</w:t>
      </w:r>
      <w:r w:rsidRPr="00DB4F07">
        <w:rPr>
          <w:lang w:val="en-US"/>
        </w:rPr>
        <w:t xml:space="preserve"> that most SADC countries are at some stage of establishment of the Funds and as such dedicated a the remainder of Part 1 to discussing the relevance of Funds in a changing ICT sector. In addition, since from the </w:t>
      </w:r>
      <w:r w:rsidRPr="00DB4F07">
        <w:rPr>
          <w:rFonts w:hint="eastAsia"/>
          <w:lang w:val="en-US"/>
        </w:rPr>
        <w:t>discussion</w:t>
      </w:r>
      <w:r w:rsidRPr="00DB4F07">
        <w:rPr>
          <w:lang w:val="en-US"/>
        </w:rPr>
        <w:t xml:space="preserve"> it appears that Funds will remain a part of the ICT sector landscape for the foreseeable future, Part 2 is dedicated to a </w:t>
      </w:r>
      <w:r w:rsidRPr="00DB4F07">
        <w:rPr>
          <w:rFonts w:hint="eastAsia"/>
          <w:lang w:val="en-US"/>
        </w:rPr>
        <w:t>discussion</w:t>
      </w:r>
      <w:r w:rsidRPr="00DB4F07">
        <w:rPr>
          <w:lang w:val="en-US"/>
        </w:rPr>
        <w:t xml:space="preserve"> of how to set up a Fund. </w:t>
      </w:r>
    </w:p>
    <w:p w:rsidR="00DB4F07" w:rsidRPr="00DB4F07" w:rsidRDefault="0088668E" w:rsidP="0088668E">
      <w:pPr>
        <w:pStyle w:val="HIPheading3"/>
      </w:pPr>
      <w:bookmarkStart w:id="58" w:name="_Toc284597945"/>
      <w:bookmarkStart w:id="59" w:name="_Toc286144952"/>
      <w:r>
        <w:t>1.1.</w:t>
      </w:r>
      <w:r w:rsidR="00504806">
        <w:t>2</w:t>
      </w:r>
      <w:r w:rsidR="00504806">
        <w:tab/>
      </w:r>
      <w:r w:rsidR="00DB4F07" w:rsidRPr="00DB4F07">
        <w:t>Universal Service and Access Funds</w:t>
      </w:r>
      <w:bookmarkEnd w:id="58"/>
      <w:bookmarkEnd w:id="59"/>
    </w:p>
    <w:p w:rsidR="00DB4F07" w:rsidRPr="00DB4F07" w:rsidRDefault="0088668E" w:rsidP="0088668E">
      <w:pPr>
        <w:pStyle w:val="HIPheading4"/>
      </w:pPr>
      <w:bookmarkStart w:id="60" w:name="_Toc284597946"/>
      <w:r>
        <w:t>1.1.</w:t>
      </w:r>
      <w:r w:rsidR="00DB4F07">
        <w:t>2.1</w:t>
      </w:r>
      <w:r w:rsidR="00DB4F07">
        <w:tab/>
      </w:r>
      <w:r w:rsidR="00DB4F07" w:rsidRPr="00DB4F07">
        <w:t>Why Funds Work</w:t>
      </w:r>
      <w:r w:rsidR="00DB4F07" w:rsidRPr="00DB4F07">
        <w:rPr>
          <w:rFonts w:hint="eastAsia"/>
        </w:rPr>
        <w:t> </w:t>
      </w:r>
      <w:r w:rsidR="00DB4F07" w:rsidRPr="00DB4F07">
        <w:t>?</w:t>
      </w:r>
      <w:bookmarkEnd w:id="60"/>
    </w:p>
    <w:p w:rsidR="00DB4F07" w:rsidRPr="00DB4F07" w:rsidRDefault="00DB4F07" w:rsidP="00DB4F07">
      <w:pPr>
        <w:pStyle w:val="HIPNormal"/>
        <w:rPr>
          <w:lang w:val="en-US"/>
        </w:rPr>
      </w:pPr>
      <w:r w:rsidRPr="00DB4F07">
        <w:rPr>
          <w:lang w:val="en-US"/>
        </w:rPr>
        <w:t>Globally, it has been found that USAF success stories have a few things in common – they are characterized by a combination of an enabling regulatory and policy framework, careful Fund design, an efficient and responsive Fund management structure, and appropriate Fund governance. Successful Funds embrace the following key principles:</w:t>
      </w:r>
    </w:p>
    <w:p w:rsidR="00DB4F07" w:rsidRPr="00DB4F07" w:rsidRDefault="00DB4F07" w:rsidP="00DB4F07">
      <w:pPr>
        <w:pStyle w:val="HIPEnumlev1"/>
      </w:pPr>
      <w:r w:rsidRPr="00DB4F07">
        <w:t xml:space="preserve">Respect for OBA approaches and principles (see Table 3 below) </w:t>
      </w:r>
    </w:p>
    <w:p w:rsidR="00DB4F07" w:rsidRPr="00DB4F07" w:rsidRDefault="00DB4F07" w:rsidP="00DB4F07">
      <w:pPr>
        <w:pStyle w:val="HIPEnumlev1"/>
      </w:pPr>
      <w:r w:rsidRPr="00DB4F07">
        <w:t>Good governance</w:t>
      </w:r>
    </w:p>
    <w:p w:rsidR="00DB4F07" w:rsidRPr="00DB4F07" w:rsidRDefault="00DB4F07" w:rsidP="00DB4F07">
      <w:pPr>
        <w:pStyle w:val="HIPEnumlev1"/>
      </w:pPr>
      <w:r w:rsidRPr="00DB4F07">
        <w:t>Alignment with the national regulatory and policy framework</w:t>
      </w:r>
    </w:p>
    <w:p w:rsidR="00DB4F07" w:rsidRPr="00DB4F07" w:rsidRDefault="00DB4F07" w:rsidP="00DB4F07">
      <w:pPr>
        <w:pStyle w:val="HIPEnumlev1"/>
      </w:pPr>
      <w:r w:rsidRPr="00DB4F07">
        <w:t>Technology neutrality in the design and implementation of projects</w:t>
      </w:r>
    </w:p>
    <w:p w:rsidR="005E5682" w:rsidRPr="005E5682" w:rsidRDefault="00DB4F07" w:rsidP="005E5682">
      <w:pPr>
        <w:pStyle w:val="HIPEnumlev1"/>
      </w:pPr>
      <w:r w:rsidRPr="00DB4F07">
        <w:t>An emphasis on market orientation, sustainability and entrepreneurship</w:t>
      </w:r>
      <w:r w:rsidRPr="00DB4F07">
        <w:rPr>
          <w:vertAlign w:val="superscript"/>
        </w:rPr>
        <w:footnoteReference w:id="12"/>
      </w:r>
      <w:r w:rsidR="005E5682">
        <w:br w:type="page"/>
      </w:r>
    </w:p>
    <w:p w:rsidR="00DB4F07" w:rsidRPr="00DB4F07" w:rsidRDefault="00DB4F07" w:rsidP="00DB4F07">
      <w:pPr>
        <w:pStyle w:val="HIPEnumlev1"/>
      </w:pPr>
      <w:r w:rsidRPr="00DB4F07">
        <w:lastRenderedPageBreak/>
        <w:t>Decentralized, bottom up planning and project definition</w:t>
      </w:r>
      <w:r w:rsidRPr="00DB4F07">
        <w:rPr>
          <w:vertAlign w:val="superscript"/>
        </w:rPr>
        <w:footnoteReference w:id="13"/>
      </w:r>
    </w:p>
    <w:p w:rsidR="00DB4F07" w:rsidRPr="00DB4F07" w:rsidRDefault="00DB4F07" w:rsidP="00DB4F07">
      <w:pPr>
        <w:pStyle w:val="HIPEnumlev1"/>
      </w:pPr>
      <w:r w:rsidRPr="00DB4F07">
        <w:t>Innovation and localization of projects and processes</w:t>
      </w:r>
    </w:p>
    <w:p w:rsidR="00DB4F07" w:rsidRPr="00DB4F07" w:rsidRDefault="00DB4F07" w:rsidP="00DB4F07">
      <w:pPr>
        <w:pStyle w:val="HIPEnumlev1"/>
      </w:pPr>
      <w:r w:rsidRPr="00DB4F07">
        <w:t>Total Cost of Ownership (“TCO”) approach and thus incorporation of support for applications, content and training and capacity building in addition to networks and services.</w:t>
      </w:r>
    </w:p>
    <w:p w:rsidR="008E340F" w:rsidRPr="00DB4F07" w:rsidRDefault="00DB4F07" w:rsidP="00DB4F07">
      <w:pPr>
        <w:pStyle w:val="HIPNormal"/>
        <w:rPr>
          <w:lang w:val="en-US"/>
        </w:rPr>
      </w:pPr>
      <w:r w:rsidRPr="00DB4F07">
        <w:rPr>
          <w:lang w:val="en-US"/>
        </w:rPr>
        <w:t xml:space="preserve">Ways </w:t>
      </w:r>
      <w:r w:rsidRPr="00DB4F07">
        <w:rPr>
          <w:rFonts w:hint="eastAsia"/>
          <w:lang w:val="en-US"/>
        </w:rPr>
        <w:t>in which</w:t>
      </w:r>
      <w:r w:rsidRPr="00DB4F07">
        <w:rPr>
          <w:lang w:val="en-US"/>
        </w:rPr>
        <w:t xml:space="preserve"> SADC Funds, and in fact all funders of universal access projects, can embrace these principles and incorporate them in their processes and projects are discussed throughout the Toolkit.</w:t>
      </w:r>
    </w:p>
    <w:p w:rsidR="00DB4F07" w:rsidRDefault="00DB4F07" w:rsidP="0088668E">
      <w:pPr>
        <w:pStyle w:val="HIPTabletitle"/>
      </w:pPr>
      <w:bookmarkStart w:id="61" w:name="_Toc286146543"/>
      <w:r>
        <w:t xml:space="preserve">Table </w:t>
      </w:r>
      <w:r w:rsidR="0088668E">
        <w:t>1.2</w:t>
      </w:r>
      <w:r>
        <w:t>: Output Based Aid Overview</w:t>
      </w:r>
      <w:bookmarkEnd w:id="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4643"/>
        <w:gridCol w:w="4644"/>
      </w:tblGrid>
      <w:tr w:rsidR="00DB4F07" w:rsidRPr="00A3379B" w:rsidTr="00DB4F07">
        <w:tc>
          <w:tcPr>
            <w:tcW w:w="4643" w:type="dxa"/>
            <w:shd w:val="clear" w:color="auto" w:fill="008000"/>
          </w:tcPr>
          <w:p w:rsidR="00DB4F07" w:rsidRPr="00240EF8" w:rsidRDefault="00DB4F07" w:rsidP="00DF469E">
            <w:pPr>
              <w:pStyle w:val="HIPTablehead"/>
            </w:pPr>
            <w:r w:rsidRPr="00240EF8">
              <w:t>Output Based Aid Principles</w:t>
            </w:r>
          </w:p>
        </w:tc>
        <w:tc>
          <w:tcPr>
            <w:tcW w:w="4644" w:type="dxa"/>
            <w:shd w:val="clear" w:color="auto" w:fill="008000"/>
          </w:tcPr>
          <w:p w:rsidR="00DB4F07" w:rsidRPr="00240EF8" w:rsidRDefault="00DB4F07" w:rsidP="00DF469E">
            <w:pPr>
              <w:pStyle w:val="HIPTablehead"/>
            </w:pPr>
            <w:r w:rsidRPr="00240EF8">
              <w:t>Benefits of Output Based Aid</w:t>
            </w:r>
          </w:p>
        </w:tc>
      </w:tr>
      <w:tr w:rsidR="00DB4F07" w:rsidRPr="00A3379B" w:rsidTr="00760EF3">
        <w:tc>
          <w:tcPr>
            <w:tcW w:w="4643" w:type="dxa"/>
            <w:shd w:val="clear" w:color="auto" w:fill="EAF1DD"/>
          </w:tcPr>
          <w:p w:rsidR="00DB4F07" w:rsidRPr="00240EF8" w:rsidRDefault="00DB4F07" w:rsidP="0088668E">
            <w:pPr>
              <w:pStyle w:val="HIPTabletext"/>
              <w:tabs>
                <w:tab w:val="left" w:pos="405"/>
              </w:tabs>
              <w:ind w:right="32"/>
              <w:rPr>
                <w:lang w:val="en-US"/>
              </w:rPr>
            </w:pPr>
            <w:r w:rsidRPr="00DB4F07">
              <w:rPr>
                <w:color w:val="008000"/>
                <w:lang w:val="en-US"/>
              </w:rPr>
              <w:t>•</w:t>
            </w:r>
            <w:r>
              <w:rPr>
                <w:lang w:val="en-US"/>
              </w:rPr>
              <w:tab/>
            </w:r>
            <w:r w:rsidRPr="00240EF8">
              <w:rPr>
                <w:lang w:val="en-US"/>
              </w:rPr>
              <w:t>Link payments to delivery</w:t>
            </w:r>
          </w:p>
          <w:p w:rsidR="00DB4F07" w:rsidRPr="00240EF8" w:rsidRDefault="00DB4F07" w:rsidP="0088668E">
            <w:pPr>
              <w:pStyle w:val="HIPTabletext"/>
              <w:tabs>
                <w:tab w:val="left" w:pos="405"/>
              </w:tabs>
              <w:ind w:left="405" w:right="32" w:hanging="405"/>
              <w:rPr>
                <w:lang w:val="en-US"/>
              </w:rPr>
            </w:pPr>
            <w:r w:rsidRPr="00DB4F07">
              <w:rPr>
                <w:color w:val="008000"/>
                <w:lang w:val="en-US"/>
              </w:rPr>
              <w:t>•</w:t>
            </w:r>
            <w:r>
              <w:rPr>
                <w:lang w:val="en-US"/>
              </w:rPr>
              <w:tab/>
            </w:r>
            <w:r w:rsidRPr="00240EF8">
              <w:rPr>
                <w:lang w:val="en-US"/>
              </w:rPr>
              <w:t>Ensure that the subsidy is linked to specific measurable targets</w:t>
            </w:r>
          </w:p>
          <w:p w:rsidR="00DB4F07" w:rsidRPr="00240EF8" w:rsidRDefault="00DB4F07" w:rsidP="0088668E">
            <w:pPr>
              <w:pStyle w:val="HIPTabletext"/>
              <w:tabs>
                <w:tab w:val="left" w:pos="405"/>
              </w:tabs>
              <w:ind w:left="405" w:right="32" w:hanging="405"/>
              <w:rPr>
                <w:lang w:val="en-US"/>
              </w:rPr>
            </w:pPr>
            <w:r w:rsidRPr="00DB4F07">
              <w:rPr>
                <w:color w:val="008000"/>
                <w:lang w:val="en-US"/>
              </w:rPr>
              <w:t>•</w:t>
            </w:r>
            <w:r>
              <w:rPr>
                <w:lang w:val="en-US"/>
              </w:rPr>
              <w:tab/>
            </w:r>
            <w:r w:rsidRPr="00240EF8">
              <w:rPr>
                <w:lang w:val="en-US"/>
              </w:rPr>
              <w:t xml:space="preserve">Contract services out to a </w:t>
            </w:r>
            <w:r w:rsidRPr="00240EF8">
              <w:rPr>
                <w:rFonts w:hint="eastAsia"/>
                <w:lang w:val="en-US"/>
              </w:rPr>
              <w:t>third</w:t>
            </w:r>
            <w:r w:rsidRPr="00240EF8">
              <w:rPr>
                <w:lang w:val="en-US"/>
              </w:rPr>
              <w:t xml:space="preserve"> party which receives a subsidy to meet the stated objectives</w:t>
            </w:r>
          </w:p>
          <w:p w:rsidR="00DB4F07" w:rsidRPr="00240EF8" w:rsidRDefault="00DB4F07" w:rsidP="0088668E">
            <w:pPr>
              <w:pStyle w:val="HIPTabletext"/>
              <w:tabs>
                <w:tab w:val="left" w:pos="405"/>
              </w:tabs>
              <w:ind w:left="405" w:right="32" w:hanging="405"/>
              <w:rPr>
                <w:lang w:val="en-US"/>
              </w:rPr>
            </w:pPr>
            <w:r w:rsidRPr="00DB4F07">
              <w:rPr>
                <w:color w:val="008000"/>
                <w:lang w:val="en-US"/>
              </w:rPr>
              <w:t>•</w:t>
            </w:r>
            <w:r>
              <w:rPr>
                <w:lang w:val="en-US"/>
              </w:rPr>
              <w:tab/>
            </w:r>
            <w:r w:rsidRPr="00240EF8">
              <w:rPr>
                <w:lang w:val="en-US"/>
              </w:rPr>
              <w:t>The Fund pre-finances the project (in tranches) until delivery</w:t>
            </w:r>
          </w:p>
          <w:p w:rsidR="00DB4F07" w:rsidRPr="00240EF8" w:rsidRDefault="00DB4F07" w:rsidP="0088668E">
            <w:pPr>
              <w:pStyle w:val="HIPTabletext"/>
              <w:tabs>
                <w:tab w:val="left" w:pos="405"/>
              </w:tabs>
              <w:ind w:left="405" w:right="32" w:hanging="405"/>
              <w:rPr>
                <w:lang w:val="en-US"/>
              </w:rPr>
            </w:pPr>
            <w:r w:rsidRPr="00DB4F07">
              <w:rPr>
                <w:color w:val="008000"/>
                <w:lang w:val="en-US"/>
              </w:rPr>
              <w:t>•</w:t>
            </w:r>
            <w:r>
              <w:rPr>
                <w:lang w:val="en-US"/>
              </w:rPr>
              <w:tab/>
            </w:r>
            <w:r w:rsidRPr="00240EF8">
              <w:rPr>
                <w:lang w:val="en-US"/>
              </w:rPr>
              <w:t>Subsidies must be performance based – payment is made only after services are rendered and audited</w:t>
            </w:r>
          </w:p>
        </w:tc>
        <w:tc>
          <w:tcPr>
            <w:tcW w:w="4644" w:type="dxa"/>
            <w:shd w:val="clear" w:color="auto" w:fill="EAF1DD"/>
          </w:tcPr>
          <w:p w:rsidR="00DB4F07" w:rsidRPr="00240EF8" w:rsidRDefault="00DB4F07" w:rsidP="0088668E">
            <w:pPr>
              <w:pStyle w:val="HIPTabletext"/>
              <w:tabs>
                <w:tab w:val="left" w:pos="405"/>
              </w:tabs>
              <w:ind w:left="405" w:right="32" w:hanging="405"/>
              <w:rPr>
                <w:lang w:val="en-US"/>
              </w:rPr>
            </w:pPr>
            <w:r w:rsidRPr="00DB4F07">
              <w:rPr>
                <w:color w:val="008000"/>
                <w:lang w:val="en-US"/>
              </w:rPr>
              <w:t>•</w:t>
            </w:r>
            <w:r>
              <w:rPr>
                <w:lang w:val="en-US"/>
              </w:rPr>
              <w:tab/>
            </w:r>
            <w:r w:rsidRPr="00240EF8">
              <w:rPr>
                <w:lang w:val="en-US"/>
              </w:rPr>
              <w:t>Transparency increases efficiency and effectiveness</w:t>
            </w:r>
          </w:p>
          <w:p w:rsidR="00DB4F07" w:rsidRPr="00240EF8" w:rsidRDefault="00DB4F07" w:rsidP="0088668E">
            <w:pPr>
              <w:pStyle w:val="HIPTabletext"/>
              <w:tabs>
                <w:tab w:val="left" w:pos="405"/>
              </w:tabs>
              <w:ind w:left="405" w:right="32" w:hanging="405"/>
              <w:rPr>
                <w:lang w:val="en-US"/>
              </w:rPr>
            </w:pPr>
            <w:r w:rsidRPr="00DB4F07">
              <w:rPr>
                <w:color w:val="008000"/>
                <w:lang w:val="en-US"/>
              </w:rPr>
              <w:t>•</w:t>
            </w:r>
            <w:r>
              <w:rPr>
                <w:lang w:val="en-US"/>
              </w:rPr>
              <w:tab/>
            </w:r>
            <w:r w:rsidRPr="00240EF8">
              <w:rPr>
                <w:lang w:val="en-US"/>
              </w:rPr>
              <w:t>Performance risk is carried by the provider (recipient of funding) and accountability is increased</w:t>
            </w:r>
          </w:p>
          <w:p w:rsidR="00DB4F07" w:rsidRPr="00240EF8" w:rsidRDefault="00DB4F07" w:rsidP="0088668E">
            <w:pPr>
              <w:pStyle w:val="HIPTabletext"/>
              <w:tabs>
                <w:tab w:val="left" w:pos="405"/>
              </w:tabs>
              <w:ind w:left="405" w:right="32" w:hanging="405"/>
              <w:rPr>
                <w:lang w:val="en-US"/>
              </w:rPr>
            </w:pPr>
            <w:r w:rsidRPr="00DB4F07">
              <w:rPr>
                <w:color w:val="008000"/>
                <w:lang w:val="en-US"/>
              </w:rPr>
              <w:t>•</w:t>
            </w:r>
            <w:r>
              <w:rPr>
                <w:lang w:val="en-US"/>
              </w:rPr>
              <w:tab/>
            </w:r>
            <w:r w:rsidRPr="00240EF8">
              <w:rPr>
                <w:lang w:val="en-US"/>
              </w:rPr>
              <w:t xml:space="preserve">the subsidy (and possibly dubsidy award mechanism) </w:t>
            </w:r>
            <w:r w:rsidRPr="00240EF8">
              <w:rPr>
                <w:rFonts w:hint="eastAsia"/>
                <w:lang w:val="en-US"/>
              </w:rPr>
              <w:t>incentivize</w:t>
            </w:r>
            <w:r w:rsidRPr="00240EF8">
              <w:rPr>
                <w:lang w:val="en-US"/>
              </w:rPr>
              <w:t xml:space="preserve"> the private sector </w:t>
            </w:r>
          </w:p>
          <w:p w:rsidR="00DB4F07" w:rsidRPr="00240EF8" w:rsidRDefault="00DB4F07" w:rsidP="0088668E">
            <w:pPr>
              <w:pStyle w:val="HIPTabletext"/>
              <w:tabs>
                <w:tab w:val="left" w:pos="405"/>
              </w:tabs>
              <w:ind w:left="405" w:right="32" w:hanging="405"/>
              <w:rPr>
                <w:lang w:val="en-US"/>
              </w:rPr>
            </w:pPr>
            <w:r w:rsidRPr="00DB4F07">
              <w:rPr>
                <w:color w:val="008000"/>
                <w:lang w:val="en-US"/>
              </w:rPr>
              <w:t>•</w:t>
            </w:r>
            <w:r>
              <w:rPr>
                <w:lang w:val="en-US"/>
              </w:rPr>
              <w:tab/>
            </w:r>
            <w:r w:rsidRPr="00240EF8">
              <w:rPr>
                <w:lang w:val="en-US"/>
              </w:rPr>
              <w:t>results can be tracked through a focus on outputs/ results</w:t>
            </w:r>
          </w:p>
        </w:tc>
      </w:tr>
    </w:tbl>
    <w:p w:rsidR="00DB4F07" w:rsidRDefault="0088668E" w:rsidP="0088668E">
      <w:pPr>
        <w:pStyle w:val="HIPheading4"/>
      </w:pPr>
      <w:r>
        <w:t>1.1.</w:t>
      </w:r>
      <w:r w:rsidR="00DB4F07">
        <w:t>2.2</w:t>
      </w:r>
      <w:r w:rsidR="00DB4F07">
        <w:tab/>
        <w:t>Why Funds Don</w:t>
      </w:r>
      <w:r w:rsidR="00DB4F07">
        <w:rPr>
          <w:rFonts w:hint="eastAsia"/>
        </w:rPr>
        <w:t>’</w:t>
      </w:r>
      <w:r w:rsidR="00DB4F07">
        <w:t>t Work?</w:t>
      </w:r>
    </w:p>
    <w:p w:rsidR="00DB4F07" w:rsidRDefault="00DB4F07" w:rsidP="00DB4F07">
      <w:pPr>
        <w:pStyle w:val="HIPNormal"/>
      </w:pPr>
      <w:r w:rsidRPr="00440BA2">
        <w:rPr>
          <w:lang w:val="en-US"/>
        </w:rPr>
        <w:t xml:space="preserve">Despite the numerous Fund success stories across the world there are equally a number of Fund horror stories. </w:t>
      </w:r>
      <w:r w:rsidRPr="00DB4F07">
        <w:rPr>
          <w:lang w:val="en-US"/>
        </w:rPr>
        <w:t xml:space="preserve">Examples exist </w:t>
      </w:r>
      <w:r>
        <w:t>of Funds that have:</w:t>
      </w:r>
    </w:p>
    <w:p w:rsidR="00DB4F07" w:rsidRPr="00440BA2" w:rsidRDefault="00DB4F07" w:rsidP="00DB4F07">
      <w:pPr>
        <w:pStyle w:val="HIPEnumlev1"/>
      </w:pPr>
      <w:r w:rsidRPr="00440BA2">
        <w:t>been established in law but are still not operational as many as 5 years later;</w:t>
      </w:r>
    </w:p>
    <w:p w:rsidR="00DB4F07" w:rsidRPr="00440BA2" w:rsidRDefault="00DB4F07" w:rsidP="00DB4F07">
      <w:pPr>
        <w:pStyle w:val="HIPEnumlev1"/>
      </w:pPr>
      <w:r w:rsidRPr="00440BA2">
        <w:t>determined levies, over-collected and under-spent;</w:t>
      </w:r>
    </w:p>
    <w:p w:rsidR="00DB4F07" w:rsidRPr="00440BA2" w:rsidRDefault="00DB4F07" w:rsidP="00DB4F07">
      <w:pPr>
        <w:pStyle w:val="HIPEnumlev1"/>
      </w:pPr>
      <w:r w:rsidRPr="00440BA2">
        <w:t xml:space="preserve">overspent, i.e. provided subsides for unsuccessful projects, or for inefficient use in projects; </w:t>
      </w:r>
    </w:p>
    <w:p w:rsidR="00DB4F07" w:rsidRPr="00440BA2" w:rsidRDefault="00DB4F07" w:rsidP="00DB4F07">
      <w:pPr>
        <w:pStyle w:val="HIPEnumlev1"/>
      </w:pPr>
      <w:r w:rsidRPr="00440BA2">
        <w:t xml:space="preserve">become involved in project </w:t>
      </w:r>
      <w:r w:rsidRPr="00440BA2">
        <w:rPr>
          <w:i/>
          <w:iCs/>
        </w:rPr>
        <w:t>implementation,</w:t>
      </w:r>
      <w:r w:rsidR="005E5682">
        <w:rPr>
          <w:i/>
          <w:iCs/>
        </w:rPr>
        <w:t xml:space="preserve"> </w:t>
      </w:r>
      <w:r w:rsidRPr="00440BA2">
        <w:t xml:space="preserve">through rolling out telecentres and in some cases networks; </w:t>
      </w:r>
    </w:p>
    <w:p w:rsidR="00DB4F07" w:rsidRPr="00440BA2" w:rsidRDefault="00DB4F07" w:rsidP="00DB4F07">
      <w:pPr>
        <w:pStyle w:val="HIPEnumlev1"/>
      </w:pPr>
      <w:r w:rsidRPr="00440BA2">
        <w:t xml:space="preserve">initiated projects but have not been able to coordinate them amongst different levels of government and different affected government departments (e.g. education, infrastructure, health); </w:t>
      </w:r>
    </w:p>
    <w:p w:rsidR="00DB4F07" w:rsidRPr="00440BA2" w:rsidRDefault="00DB4F07" w:rsidP="00DB4F07">
      <w:pPr>
        <w:pStyle w:val="HIPEnumlev1"/>
      </w:pPr>
      <w:r w:rsidRPr="00440BA2">
        <w:t>not made their collections, and disbursements public on a periodic basis; and</w:t>
      </w:r>
    </w:p>
    <w:p w:rsidR="00DB4F07" w:rsidRPr="00440BA2" w:rsidRDefault="00DB4F07" w:rsidP="00DB4F07">
      <w:pPr>
        <w:pStyle w:val="HIPEnumlev1"/>
      </w:pPr>
      <w:r w:rsidRPr="00440BA2">
        <w:t>not held regular Board or Trustee meetings in order to facilitate project design, development and implementation.</w:t>
      </w:r>
    </w:p>
    <w:p w:rsidR="00DB4F07" w:rsidRPr="00440BA2" w:rsidRDefault="00DB4F07" w:rsidP="00DB4F07">
      <w:pPr>
        <w:pStyle w:val="HIPNormal"/>
        <w:rPr>
          <w:lang w:val="en-US"/>
        </w:rPr>
      </w:pPr>
      <w:r w:rsidRPr="00440BA2">
        <w:rPr>
          <w:lang w:val="en-US"/>
        </w:rPr>
        <w:t xml:space="preserve">These varied experiences illustrate the fact that establishment of Funds in law is but one step in the process, and that there are a number of distinguishing factors that will make Funds succeed, as well as some obvious and avoidable reasons why Funds can fail. </w:t>
      </w:r>
    </w:p>
    <w:p w:rsidR="00DB4F07" w:rsidRPr="00E4197E" w:rsidRDefault="00DB4F07" w:rsidP="00DB4F07">
      <w:pPr>
        <w:pStyle w:val="HIPNormal"/>
        <w:rPr>
          <w:lang w:val="en-US"/>
        </w:rPr>
      </w:pPr>
      <w:r w:rsidRPr="00440BA2">
        <w:rPr>
          <w:lang w:val="en-US"/>
        </w:rPr>
        <w:lastRenderedPageBreak/>
        <w:t xml:space="preserve">By their very nature, and in light of the fact that they collect significant amounts of money from the ICT sector, Funds attract attention and risk. </w:t>
      </w:r>
      <w:r w:rsidRPr="00E4197E">
        <w:rPr>
          <w:lang w:val="en-US"/>
        </w:rPr>
        <w:t xml:space="preserve">The most commonly identified risks facing </w:t>
      </w:r>
      <w:r>
        <w:rPr>
          <w:lang w:val="en-US"/>
        </w:rPr>
        <w:t xml:space="preserve">publically funded projects </w:t>
      </w:r>
      <w:r w:rsidRPr="00E4197E">
        <w:rPr>
          <w:lang w:val="en-US"/>
        </w:rPr>
        <w:t>include</w:t>
      </w:r>
      <w:r>
        <w:rPr>
          <w:rStyle w:val="FootnoteReference"/>
        </w:rPr>
        <w:footnoteReference w:id="14"/>
      </w:r>
      <w:r w:rsidRPr="00E4197E">
        <w:rPr>
          <w:lang w:val="en-US"/>
        </w:rPr>
        <w:t>:</w:t>
      </w:r>
    </w:p>
    <w:p w:rsidR="00DB4F07" w:rsidRPr="00440BA2" w:rsidRDefault="00DB4F07" w:rsidP="00DB4F07">
      <w:pPr>
        <w:pStyle w:val="HIPEnumlev1"/>
      </w:pPr>
      <w:r w:rsidRPr="00440BA2">
        <w:t xml:space="preserve">Implementation of projects that distort the market; </w:t>
      </w:r>
    </w:p>
    <w:p w:rsidR="00DB4F07" w:rsidRPr="00440BA2" w:rsidRDefault="00DB4F07" w:rsidP="00DB4F07">
      <w:pPr>
        <w:pStyle w:val="HIPEnumlev1"/>
      </w:pPr>
      <w:r w:rsidRPr="00440BA2">
        <w:t xml:space="preserve">Creating dependence on ongoing funding; </w:t>
      </w:r>
    </w:p>
    <w:p w:rsidR="00DB4F07" w:rsidRPr="0053395C" w:rsidRDefault="00DB4F07" w:rsidP="00DB4F07">
      <w:pPr>
        <w:pStyle w:val="HIPEnumlev1"/>
      </w:pPr>
      <w:r w:rsidRPr="0053395C">
        <w:t xml:space="preserve">Potential abuse of funds; </w:t>
      </w:r>
    </w:p>
    <w:p w:rsidR="00DB4F07" w:rsidRPr="0053395C" w:rsidRDefault="00DB4F07" w:rsidP="00DB4F07">
      <w:pPr>
        <w:pStyle w:val="HIPEnumlev1"/>
      </w:pPr>
      <w:r w:rsidRPr="0053395C">
        <w:t xml:space="preserve">Favoritism; and </w:t>
      </w:r>
    </w:p>
    <w:p w:rsidR="00DB4F07" w:rsidRDefault="00DB4F07" w:rsidP="00DB4F07">
      <w:pPr>
        <w:pStyle w:val="HIPEnumlev1"/>
      </w:pPr>
      <w:r w:rsidRPr="00440BA2">
        <w:t>Project failures which waste resources.</w:t>
      </w:r>
    </w:p>
    <w:p w:rsidR="00DB4F07" w:rsidRPr="00DB4F07" w:rsidRDefault="00DB4F07" w:rsidP="00DB4F07">
      <w:pPr>
        <w:pStyle w:val="HIPNormal"/>
        <w:rPr>
          <w:lang w:val="en-US"/>
        </w:rPr>
      </w:pPr>
      <w:r w:rsidRPr="00DB4F07">
        <w:rPr>
          <w:lang w:val="en-US"/>
        </w:rPr>
        <w:t>Recently, as countries have begun to focus on infrastructure rollout including boradband and fibre optic network rollout, and the rollout of Next Generation Networks (</w:t>
      </w:r>
      <w:r w:rsidRPr="00DB4F07">
        <w:rPr>
          <w:rFonts w:hint="eastAsia"/>
          <w:lang w:val="en-US"/>
        </w:rPr>
        <w:t>“</w:t>
      </w:r>
      <w:r w:rsidRPr="00DB4F07">
        <w:rPr>
          <w:lang w:val="en-US"/>
        </w:rPr>
        <w:t>NGN</w:t>
      </w:r>
      <w:r w:rsidRPr="00DB4F07">
        <w:rPr>
          <w:rFonts w:hint="eastAsia"/>
          <w:lang w:val="en-US"/>
        </w:rPr>
        <w:t>”</w:t>
      </w:r>
      <w:r w:rsidRPr="00DB4F07">
        <w:rPr>
          <w:lang w:val="en-US"/>
        </w:rPr>
        <w:t>) it has been found that while these projects will increase universal a</w:t>
      </w:r>
      <w:r w:rsidRPr="00DB4F07">
        <w:rPr>
          <w:rFonts w:hint="eastAsia"/>
          <w:lang w:val="en-US"/>
        </w:rPr>
        <w:t>ccess</w:t>
      </w:r>
      <w:r w:rsidRPr="00DB4F07">
        <w:rPr>
          <w:lang w:val="en-US"/>
        </w:rPr>
        <w:t xml:space="preserve"> from either a supply side (e.g. fibre optic networks) or a demand side (e.g. telecentres, school or clinic connectivity),</w:t>
      </w:r>
      <w:r w:rsidR="005E5682">
        <w:rPr>
          <w:lang w:val="en-US"/>
        </w:rPr>
        <w:t xml:space="preserve"> </w:t>
      </w:r>
      <w:r w:rsidRPr="00DB4F07">
        <w:rPr>
          <w:lang w:val="en-US"/>
        </w:rPr>
        <w:t xml:space="preserve">the monies available in the Fund, or anticpated to be collected by Funds, are not likely to be sufficient to finance rollout. As a result, for larger and more costy projects, regulators and policy makers are finding that Funds </w:t>
      </w:r>
      <w:r w:rsidRPr="00DB4F07">
        <w:rPr>
          <w:rFonts w:hint="eastAsia"/>
          <w:lang w:val="en-US"/>
        </w:rPr>
        <w:t>‘</w:t>
      </w:r>
      <w:r w:rsidRPr="00DB4F07">
        <w:rPr>
          <w:lang w:val="en-US"/>
        </w:rPr>
        <w:t>don</w:t>
      </w:r>
      <w:r w:rsidRPr="00DB4F07">
        <w:rPr>
          <w:rFonts w:hint="eastAsia"/>
          <w:lang w:val="en-US"/>
        </w:rPr>
        <w:t>’</w:t>
      </w:r>
      <w:r w:rsidRPr="00DB4F07">
        <w:rPr>
          <w:lang w:val="en-US"/>
        </w:rPr>
        <w:t>t work</w:t>
      </w:r>
      <w:r w:rsidRPr="00DB4F07">
        <w:rPr>
          <w:rFonts w:hint="eastAsia"/>
          <w:lang w:val="en-US"/>
        </w:rPr>
        <w:t>’</w:t>
      </w:r>
      <w:r w:rsidRPr="00DB4F07">
        <w:rPr>
          <w:lang w:val="en-US"/>
        </w:rPr>
        <w:t xml:space="preserve"> or where they have not been tested it is likely that they </w:t>
      </w:r>
      <w:r w:rsidRPr="00DB4F07">
        <w:rPr>
          <w:rFonts w:hint="eastAsia"/>
          <w:lang w:val="en-US"/>
        </w:rPr>
        <w:t>‘</w:t>
      </w:r>
      <w:r w:rsidRPr="00DB4F07">
        <w:rPr>
          <w:lang w:val="en-US"/>
        </w:rPr>
        <w:t>won</w:t>
      </w:r>
      <w:r w:rsidRPr="00DB4F07">
        <w:rPr>
          <w:rFonts w:hint="eastAsia"/>
          <w:lang w:val="en-US"/>
        </w:rPr>
        <w:t>’</w:t>
      </w:r>
      <w:r w:rsidRPr="00DB4F07">
        <w:rPr>
          <w:lang w:val="en-US"/>
        </w:rPr>
        <w:t>t work</w:t>
      </w:r>
      <w:r w:rsidRPr="00DB4F07">
        <w:rPr>
          <w:rFonts w:hint="eastAsia"/>
          <w:lang w:val="en-US"/>
        </w:rPr>
        <w:t>’</w:t>
      </w:r>
      <w:r w:rsidRPr="00DB4F07">
        <w:rPr>
          <w:lang w:val="en-US"/>
        </w:rPr>
        <w:t xml:space="preserve"> – they are not appropriately placed to finance or otherwise support the projects</w:t>
      </w:r>
      <w:r w:rsidR="005E5682">
        <w:rPr>
          <w:lang w:val="en-US"/>
        </w:rPr>
        <w:t xml:space="preserve"> – </w:t>
      </w:r>
      <w:r w:rsidRPr="00DB4F07">
        <w:rPr>
          <w:lang w:val="en-US"/>
        </w:rPr>
        <w:t>and alternative funding mechanisms become necesary. The risks set out above are true of financing of universal a</w:t>
      </w:r>
      <w:r w:rsidRPr="00DB4F07">
        <w:rPr>
          <w:rFonts w:hint="eastAsia"/>
          <w:lang w:val="en-US"/>
        </w:rPr>
        <w:t>ccess</w:t>
      </w:r>
      <w:r w:rsidRPr="00DB4F07">
        <w:rPr>
          <w:lang w:val="en-US"/>
        </w:rPr>
        <w:t xml:space="preserve"> projects in the ICT sector generally – even using other funding options such as public financing, and NGO, or donor funding through grants and loans.</w:t>
      </w:r>
    </w:p>
    <w:p w:rsidR="00DB4F07" w:rsidRPr="00143A8B" w:rsidRDefault="0088668E" w:rsidP="0088668E">
      <w:pPr>
        <w:pStyle w:val="HIPheading4"/>
      </w:pPr>
      <w:bookmarkStart w:id="62" w:name="_Toc284597948"/>
      <w:r>
        <w:t>1.1.</w:t>
      </w:r>
      <w:r w:rsidR="00DB4F07">
        <w:t>2.3</w:t>
      </w:r>
      <w:r w:rsidR="00DB4F07">
        <w:tab/>
      </w:r>
      <w:r w:rsidR="00DB4F07" w:rsidRPr="002C7E31">
        <w:t>Are Funds a Concept Whose Time Has Passed?</w:t>
      </w:r>
      <w:bookmarkEnd w:id="62"/>
    </w:p>
    <w:p w:rsidR="0088668E" w:rsidRPr="0088668E" w:rsidRDefault="0088668E" w:rsidP="0088668E">
      <w:pPr>
        <w:pStyle w:val="HIPBoxquestion"/>
      </w:pPr>
      <w:bookmarkStart w:id="63" w:name="_Toc286146346"/>
      <w:r>
        <w:t>Box 1.1</w:t>
      </w:r>
      <w:bookmarkEnd w:id="63"/>
    </w:p>
    <w:p w:rsidR="00DB4F07" w:rsidRPr="00711CBF" w:rsidRDefault="00DB4F07" w:rsidP="0088668E">
      <w:pPr>
        <w:pStyle w:val="HIPBoxNormal"/>
      </w:pPr>
      <w:r w:rsidRPr="00711CBF">
        <w:t xml:space="preserve">There are several developments and considerations </w:t>
      </w:r>
      <w:r w:rsidRPr="0088668E">
        <w:t>influencing</w:t>
      </w:r>
      <w:r w:rsidRPr="00711CBF">
        <w:t xml:space="preserve"> the thinking about the future of Univers</w:t>
      </w:r>
      <w:r>
        <w:t>al Service and Access Funds (USA</w:t>
      </w:r>
      <w:r w:rsidRPr="00711CBF">
        <w:t>Fs), asking the questions:</w:t>
      </w:r>
    </w:p>
    <w:p w:rsidR="00DB4F07" w:rsidRPr="00711CBF" w:rsidRDefault="00DB4F07" w:rsidP="0088668E">
      <w:pPr>
        <w:pStyle w:val="HIPBoxenumlevel"/>
      </w:pPr>
      <w:r w:rsidRPr="00DB4F07">
        <w:rPr>
          <w:color w:val="008000"/>
        </w:rPr>
        <w:t>•</w:t>
      </w:r>
      <w:r>
        <w:tab/>
      </w:r>
      <w:r w:rsidRPr="00711CBF">
        <w:t>If un</w:t>
      </w:r>
      <w:r>
        <w:t>iversal access and service</w:t>
      </w:r>
      <w:r w:rsidRPr="00711CBF">
        <w:t xml:space="preserve"> to telephony will be achieved in the near</w:t>
      </w:r>
      <w:r>
        <w:t xml:space="preserve"> future, how relevant is the USA</w:t>
      </w:r>
      <w:r w:rsidRPr="00711CBF">
        <w:t>F model for ICT and broadband?; and</w:t>
      </w:r>
    </w:p>
    <w:p w:rsidR="00DB4F07" w:rsidRPr="00711CBF" w:rsidRDefault="00DB4F07" w:rsidP="0088668E">
      <w:pPr>
        <w:pStyle w:val="HIPBoxNormal"/>
      </w:pPr>
      <w:r w:rsidRPr="00DB4F07">
        <w:rPr>
          <w:color w:val="008000"/>
        </w:rPr>
        <w:t>•</w:t>
      </w:r>
      <w:r>
        <w:rPr>
          <w:color w:val="008000"/>
        </w:rPr>
        <w:tab/>
      </w:r>
      <w:r w:rsidRPr="00711CBF">
        <w:t>How will the move to</w:t>
      </w:r>
      <w:r>
        <w:t xml:space="preserve"> Next-Generation Networks</w:t>
      </w:r>
      <w:r w:rsidRPr="00711CBF">
        <w:t xml:space="preserve"> in</w:t>
      </w:r>
      <w:r>
        <w:t>fluence the funding model of USA</w:t>
      </w:r>
      <w:r w:rsidRPr="00711CBF">
        <w:t>Fs?</w:t>
      </w:r>
      <w:r>
        <w:t xml:space="preserve"> </w:t>
      </w:r>
      <w:r w:rsidRPr="0088668E">
        <w:rPr>
          <w:rStyle w:val="FootnoteReference"/>
          <w:lang w:val="fr-FR" w:eastAsia="fr-FR"/>
        </w:rPr>
        <w:footnoteReference w:id="15"/>
      </w:r>
    </w:p>
    <w:p w:rsidR="00DB4F07" w:rsidRDefault="00DB4F07" w:rsidP="00DB4F07">
      <w:pPr>
        <w:pStyle w:val="HIPNormal"/>
        <w:rPr>
          <w:lang w:val="en-US"/>
        </w:rPr>
      </w:pPr>
      <w:r w:rsidRPr="002C7E31">
        <w:rPr>
          <w:lang w:val="en-US"/>
        </w:rPr>
        <w:t>Rather than seeing</w:t>
      </w:r>
      <w:r>
        <w:rPr>
          <w:lang w:val="en-US"/>
        </w:rPr>
        <w:t xml:space="preserve"> the potential weaknesses of Funds as an </w:t>
      </w:r>
      <w:r>
        <w:rPr>
          <w:rFonts w:hint="eastAsia"/>
          <w:lang w:val="en-US"/>
        </w:rPr>
        <w:t>indication</w:t>
      </w:r>
      <w:r>
        <w:rPr>
          <w:lang w:val="en-US"/>
        </w:rPr>
        <w:t xml:space="preserve"> that they are doomed; or considering that the presence of</w:t>
      </w:r>
      <w:r w:rsidRPr="002C7E31">
        <w:rPr>
          <w:lang w:val="en-US"/>
        </w:rPr>
        <w:t xml:space="preserve"> other financing </w:t>
      </w:r>
      <w:r>
        <w:rPr>
          <w:lang w:val="en-US"/>
        </w:rPr>
        <w:t>options is a challenge to the v</w:t>
      </w:r>
      <w:r w:rsidRPr="002C7E31">
        <w:rPr>
          <w:lang w:val="en-US"/>
        </w:rPr>
        <w:t xml:space="preserve">iability of a USAF model, these additional </w:t>
      </w:r>
      <w:r>
        <w:rPr>
          <w:lang w:val="en-US"/>
        </w:rPr>
        <w:t xml:space="preserve">sources of universal access funding </w:t>
      </w:r>
      <w:r w:rsidRPr="002C7E31">
        <w:rPr>
          <w:lang w:val="en-US"/>
        </w:rPr>
        <w:t>can b</w:t>
      </w:r>
      <w:r>
        <w:rPr>
          <w:lang w:val="en-US"/>
        </w:rPr>
        <w:t>e seen as partners of Funds</w:t>
      </w:r>
      <w:r w:rsidR="005E5682">
        <w:rPr>
          <w:lang w:val="en-US"/>
        </w:rPr>
        <w:t xml:space="preserve"> – </w:t>
      </w:r>
      <w:r w:rsidRPr="002C7E31">
        <w:rPr>
          <w:lang w:val="en-US"/>
        </w:rPr>
        <w:t xml:space="preserve">their role is </w:t>
      </w:r>
      <w:r w:rsidRPr="002C7E31">
        <w:rPr>
          <w:rFonts w:hint="eastAsia"/>
          <w:lang w:val="en-US"/>
        </w:rPr>
        <w:t>complementary</w:t>
      </w:r>
      <w:r w:rsidRPr="002C7E31">
        <w:rPr>
          <w:lang w:val="en-US"/>
        </w:rPr>
        <w:t xml:space="preserve"> to that of the national USAF.</w:t>
      </w:r>
      <w:r>
        <w:rPr>
          <w:lang w:val="en-US"/>
        </w:rPr>
        <w:t xml:space="preserve"> Whether the commitment to provide access arises from license conditions, a Public Private partnership contract, or a concession or contract arising from a USAF bidding process, it is clear that the private sector is </w:t>
      </w:r>
      <w:r>
        <w:rPr>
          <w:rFonts w:hint="eastAsia"/>
          <w:lang w:val="en-US"/>
        </w:rPr>
        <w:t>considered</w:t>
      </w:r>
      <w:r>
        <w:rPr>
          <w:lang w:val="en-US"/>
        </w:rPr>
        <w:t xml:space="preserve"> the delivery arm for universal access.</w:t>
      </w:r>
      <w:r w:rsidR="005E5682">
        <w:rPr>
          <w:lang w:val="en-US"/>
        </w:rPr>
        <w:t xml:space="preserve"> </w:t>
      </w:r>
      <w:r>
        <w:rPr>
          <w:lang w:val="en-US"/>
        </w:rPr>
        <w:t xml:space="preserve">The role of the public sector, in the form of the regulator in the case of license conditions, the relevant national, provincial or local/municipal government department in the case of a PPP, or the Fund Administrator in the case of a USAF project, is to provide vision and guidance to meet social and developmental needs, to act in the public interest, and to select appropriate partners to work with in achieving such objectives. </w:t>
      </w:r>
    </w:p>
    <w:p w:rsidR="00DB4F07" w:rsidRPr="00BF5D1E" w:rsidRDefault="00DB4F07" w:rsidP="00DB4F07">
      <w:pPr>
        <w:pStyle w:val="HIPNormal"/>
        <w:rPr>
          <w:lang w:val="en-US"/>
        </w:rPr>
      </w:pPr>
      <w:r>
        <w:rPr>
          <w:rFonts w:hint="eastAsia"/>
          <w:lang w:val="en-US"/>
        </w:rPr>
        <w:t>“</w:t>
      </w:r>
      <w:r>
        <w:rPr>
          <w:lang w:val="en-US"/>
        </w:rPr>
        <w:t>Pay</w:t>
      </w:r>
      <w:r>
        <w:rPr>
          <w:rFonts w:hint="eastAsia"/>
          <w:lang w:val="en-US"/>
        </w:rPr>
        <w:t>”</w:t>
      </w:r>
      <w:r>
        <w:rPr>
          <w:lang w:val="en-US"/>
        </w:rPr>
        <w:t xml:space="preserve"> and </w:t>
      </w:r>
      <w:r>
        <w:rPr>
          <w:rFonts w:hint="eastAsia"/>
          <w:lang w:val="en-US"/>
        </w:rPr>
        <w:t>“</w:t>
      </w:r>
      <w:r>
        <w:rPr>
          <w:lang w:val="en-US"/>
        </w:rPr>
        <w:t>Play</w:t>
      </w:r>
      <w:r>
        <w:rPr>
          <w:rFonts w:hint="eastAsia"/>
          <w:lang w:val="en-US"/>
        </w:rPr>
        <w:t>”</w:t>
      </w:r>
      <w:r>
        <w:rPr>
          <w:lang w:val="en-US"/>
        </w:rPr>
        <w:t xml:space="preserve"> approaches can often work in a complementary manner. Operators may be obliged to </w:t>
      </w:r>
      <w:r>
        <w:rPr>
          <w:rFonts w:hint="eastAsia"/>
          <w:lang w:val="en-US"/>
        </w:rPr>
        <w:t>“</w:t>
      </w:r>
      <w:r>
        <w:rPr>
          <w:lang w:val="en-US"/>
        </w:rPr>
        <w:t>pay</w:t>
      </w:r>
      <w:r>
        <w:rPr>
          <w:rFonts w:hint="eastAsia"/>
          <w:lang w:val="en-US"/>
        </w:rPr>
        <w:t>”</w:t>
      </w:r>
      <w:r>
        <w:rPr>
          <w:lang w:val="en-US"/>
        </w:rPr>
        <w:t xml:space="preserve"> into the USAF, but they can also choose to </w:t>
      </w:r>
      <w:r>
        <w:rPr>
          <w:rFonts w:hint="eastAsia"/>
          <w:lang w:val="en-US"/>
        </w:rPr>
        <w:t>“</w:t>
      </w:r>
      <w:r>
        <w:rPr>
          <w:lang w:val="en-US"/>
        </w:rPr>
        <w:t>play</w:t>
      </w:r>
      <w:r>
        <w:rPr>
          <w:rFonts w:hint="eastAsia"/>
          <w:lang w:val="en-US"/>
        </w:rPr>
        <w:t>”</w:t>
      </w:r>
      <w:r>
        <w:rPr>
          <w:lang w:val="en-US"/>
        </w:rPr>
        <w:t xml:space="preserve"> and receive subsidies from the Fund to do so. Similarly, although private sector players may not be obliged through a license obligation to roll out to an underserved area, they may choose to do so through a PPP model. An important feature of these </w:t>
      </w:r>
      <w:r>
        <w:rPr>
          <w:lang w:val="en-US"/>
        </w:rPr>
        <w:lastRenderedPageBreak/>
        <w:t xml:space="preserve">alternative approaches (excluding license obligations) is that the </w:t>
      </w:r>
      <w:r>
        <w:rPr>
          <w:rFonts w:hint="eastAsia"/>
          <w:lang w:val="en-US"/>
        </w:rPr>
        <w:t>participation</w:t>
      </w:r>
      <w:r>
        <w:rPr>
          <w:lang w:val="en-US"/>
        </w:rPr>
        <w:t xml:space="preserve"> by a given operator in the project which is typically in a </w:t>
      </w:r>
      <w:r>
        <w:rPr>
          <w:rFonts w:hint="eastAsia"/>
          <w:lang w:val="en-US"/>
        </w:rPr>
        <w:t>“</w:t>
      </w:r>
      <w:r>
        <w:rPr>
          <w:lang w:val="en-US"/>
        </w:rPr>
        <w:t>high risk</w:t>
      </w:r>
      <w:r>
        <w:rPr>
          <w:rFonts w:hint="eastAsia"/>
          <w:lang w:val="en-US"/>
        </w:rPr>
        <w:t>”</w:t>
      </w:r>
      <w:r>
        <w:rPr>
          <w:lang w:val="en-US"/>
        </w:rPr>
        <w:t xml:space="preserve"> area is </w:t>
      </w:r>
      <w:r>
        <w:rPr>
          <w:b/>
          <w:bCs/>
          <w:lang w:val="en-US"/>
        </w:rPr>
        <w:t xml:space="preserve">optional; </w:t>
      </w:r>
      <w:r>
        <w:rPr>
          <w:lang w:val="en-US"/>
        </w:rPr>
        <w:t>there is an element of choice</w:t>
      </w:r>
      <w:r w:rsidRPr="002F2605">
        <w:rPr>
          <w:b/>
          <w:bCs/>
          <w:i/>
          <w:iCs/>
          <w:lang w:val="en-US"/>
        </w:rPr>
        <w:t xml:space="preserve"> </w:t>
      </w:r>
      <w:r>
        <w:rPr>
          <w:lang w:val="en-US"/>
        </w:rPr>
        <w:t>by the private sector player, and thus the obligation is on the government partner to provide an incentive to attract participation and investment.</w:t>
      </w:r>
      <w:r w:rsidR="005E5682">
        <w:rPr>
          <w:lang w:val="en-US"/>
        </w:rPr>
        <w:t xml:space="preserve"> </w:t>
      </w:r>
      <w:r>
        <w:rPr>
          <w:lang w:val="en-US"/>
        </w:rPr>
        <w:t xml:space="preserve">The same is true of a Fund. Thus in all cases the private sector is </w:t>
      </w:r>
      <w:r>
        <w:rPr>
          <w:rFonts w:hint="eastAsia"/>
          <w:lang w:val="en-US"/>
        </w:rPr>
        <w:t>“</w:t>
      </w:r>
      <w:r>
        <w:rPr>
          <w:lang w:val="en-US"/>
        </w:rPr>
        <w:t>paid</w:t>
      </w:r>
      <w:r>
        <w:rPr>
          <w:rFonts w:hint="eastAsia"/>
          <w:lang w:val="en-US"/>
        </w:rPr>
        <w:t>”</w:t>
      </w:r>
      <w:r>
        <w:rPr>
          <w:lang w:val="en-US"/>
        </w:rPr>
        <w:t xml:space="preserve"> to </w:t>
      </w:r>
      <w:r>
        <w:rPr>
          <w:rFonts w:hint="eastAsia"/>
          <w:lang w:val="en-US"/>
        </w:rPr>
        <w:t>“</w:t>
      </w:r>
      <w:r>
        <w:rPr>
          <w:lang w:val="en-US"/>
        </w:rPr>
        <w:t>play</w:t>
      </w:r>
      <w:r>
        <w:rPr>
          <w:rFonts w:hint="eastAsia"/>
          <w:lang w:val="en-US"/>
        </w:rPr>
        <w:t>”</w:t>
      </w:r>
      <w:r>
        <w:rPr>
          <w:lang w:val="en-US"/>
        </w:rPr>
        <w:t xml:space="preserve"> or rollout networks and provides management and other expertise.</w:t>
      </w:r>
    </w:p>
    <w:p w:rsidR="00DB4F07" w:rsidRDefault="00DB4F07" w:rsidP="00DB4F07">
      <w:pPr>
        <w:pStyle w:val="HIPNormal"/>
        <w:rPr>
          <w:lang w:val="en-US"/>
        </w:rPr>
      </w:pPr>
      <w:r>
        <w:rPr>
          <w:lang w:val="en-US"/>
        </w:rPr>
        <w:t xml:space="preserve">The end result is a scenario wherein an operator can receive government funding to rollout to </w:t>
      </w:r>
      <w:r>
        <w:rPr>
          <w:rFonts w:hint="eastAsia"/>
          <w:lang w:val="en-US"/>
        </w:rPr>
        <w:t>identified</w:t>
      </w:r>
      <w:r>
        <w:rPr>
          <w:lang w:val="en-US"/>
        </w:rPr>
        <w:t xml:space="preserve"> areas and to serve </w:t>
      </w:r>
      <w:r>
        <w:rPr>
          <w:rFonts w:hint="eastAsia"/>
          <w:lang w:val="en-US"/>
        </w:rPr>
        <w:t>identified</w:t>
      </w:r>
      <w:r>
        <w:rPr>
          <w:lang w:val="en-US"/>
        </w:rPr>
        <w:t xml:space="preserve"> communities in the public interest.</w:t>
      </w:r>
      <w:r w:rsidR="005E5682">
        <w:rPr>
          <w:lang w:val="en-US"/>
        </w:rPr>
        <w:t xml:space="preserve"> </w:t>
      </w:r>
      <w:r>
        <w:rPr>
          <w:lang w:val="en-US"/>
        </w:rPr>
        <w:t xml:space="preserve">A natural concern arises in that this seems to be the antithesis of </w:t>
      </w:r>
      <w:r>
        <w:rPr>
          <w:rFonts w:hint="eastAsia"/>
          <w:lang w:val="en-US"/>
        </w:rPr>
        <w:t>liberalization</w:t>
      </w:r>
      <w:r>
        <w:rPr>
          <w:lang w:val="en-US"/>
        </w:rPr>
        <w:t xml:space="preserve"> and </w:t>
      </w:r>
      <w:r>
        <w:rPr>
          <w:rFonts w:hint="eastAsia"/>
          <w:lang w:val="en-US"/>
        </w:rPr>
        <w:t>privatization</w:t>
      </w:r>
      <w:r>
        <w:rPr>
          <w:lang w:val="en-US"/>
        </w:rPr>
        <w:t xml:space="preserve"> in the ICT sector – something that has been the hallmark of ICT sector market reform for the last two decades. It raises concerns that USAF partnerships and </w:t>
      </w:r>
      <w:r w:rsidRPr="00301558">
        <w:rPr>
          <w:lang w:val="en-US"/>
        </w:rPr>
        <w:t xml:space="preserve">PPPs </w:t>
      </w:r>
      <w:r>
        <w:rPr>
          <w:lang w:val="en-US"/>
        </w:rPr>
        <w:t xml:space="preserve">may be anti-competitive. This stems from the fact that by their very nature, these financing approaches involve the </w:t>
      </w:r>
      <w:r w:rsidRPr="00301558">
        <w:rPr>
          <w:lang w:val="en-US"/>
        </w:rPr>
        <w:t>government entering into an agreement with an industry player</w:t>
      </w:r>
      <w:r>
        <w:rPr>
          <w:lang w:val="en-US"/>
        </w:rPr>
        <w:t xml:space="preserve"> to provide services and network – this can distort the market should the government unduly support a certain </w:t>
      </w:r>
      <w:r w:rsidRPr="00301558">
        <w:rPr>
          <w:lang w:val="en-US"/>
        </w:rPr>
        <w:t>player or technology</w:t>
      </w:r>
      <w:r>
        <w:rPr>
          <w:rStyle w:val="FootnoteReference"/>
          <w:lang w:val="en-US"/>
        </w:rPr>
        <w:footnoteReference w:id="16"/>
      </w:r>
      <w:r>
        <w:rPr>
          <w:lang w:val="en-US"/>
        </w:rPr>
        <w:t>. Similarly the private sector players may not be altruistic in their intentions, and these approaches could end up benefiting a particular technology or product, rather than the intended beneficiaries – the public.</w:t>
      </w:r>
    </w:p>
    <w:p w:rsidR="00DB4F07" w:rsidRDefault="00DB4F07" w:rsidP="00DB4F07">
      <w:pPr>
        <w:pStyle w:val="HIPNormal"/>
        <w:rPr>
          <w:lang w:val="en-US"/>
        </w:rPr>
      </w:pPr>
      <w:r>
        <w:rPr>
          <w:lang w:val="en-US"/>
        </w:rPr>
        <w:t xml:space="preserve">Thus, the process in terms of which the </w:t>
      </w:r>
      <w:r>
        <w:rPr>
          <w:rFonts w:hint="eastAsia"/>
          <w:lang w:val="en-US"/>
        </w:rPr>
        <w:t>“</w:t>
      </w:r>
      <w:r>
        <w:rPr>
          <w:lang w:val="en-US"/>
        </w:rPr>
        <w:t>players</w:t>
      </w:r>
      <w:r>
        <w:rPr>
          <w:rFonts w:hint="eastAsia"/>
          <w:lang w:val="en-US"/>
        </w:rPr>
        <w:t>”</w:t>
      </w:r>
      <w:r>
        <w:rPr>
          <w:lang w:val="en-US"/>
        </w:rPr>
        <w:t xml:space="preserve"> are identified is key. The processes surrounding the design and implementation of </w:t>
      </w:r>
      <w:r>
        <w:rPr>
          <w:rFonts w:hint="eastAsia"/>
          <w:lang w:val="en-US"/>
        </w:rPr>
        <w:t>“</w:t>
      </w:r>
      <w:r>
        <w:rPr>
          <w:lang w:val="en-US"/>
        </w:rPr>
        <w:t>optional play</w:t>
      </w:r>
      <w:r>
        <w:rPr>
          <w:rFonts w:hint="eastAsia"/>
          <w:lang w:val="en-US"/>
        </w:rPr>
        <w:t>”</w:t>
      </w:r>
      <w:r>
        <w:rPr>
          <w:lang w:val="en-US"/>
        </w:rPr>
        <w:t xml:space="preserve"> projects involving public funding and private action must be clear, </w:t>
      </w:r>
      <w:r>
        <w:rPr>
          <w:rFonts w:hint="eastAsia"/>
          <w:lang w:val="en-US"/>
        </w:rPr>
        <w:t>transparent</w:t>
      </w:r>
      <w:r>
        <w:rPr>
          <w:lang w:val="en-US"/>
        </w:rPr>
        <w:t xml:space="preserve"> and consultative – these principles remain true whether public financing is sourced from a Fund or from a government </w:t>
      </w:r>
      <w:r>
        <w:rPr>
          <w:rFonts w:hint="eastAsia"/>
          <w:lang w:val="en-US"/>
        </w:rPr>
        <w:t>department</w:t>
      </w:r>
      <w:r>
        <w:rPr>
          <w:lang w:val="en-US"/>
        </w:rPr>
        <w:t xml:space="preserve">. As such, the mechanisms used to avoid anti-competitive outcomes, and market distortion in designing and awarding projects by USAFs, hold true for the design and award of alternative </w:t>
      </w:r>
      <w:r>
        <w:rPr>
          <w:rFonts w:hint="eastAsia"/>
          <w:lang w:val="en-US"/>
        </w:rPr>
        <w:t>financing</w:t>
      </w:r>
      <w:r>
        <w:rPr>
          <w:lang w:val="en-US"/>
        </w:rPr>
        <w:t xml:space="preserve"> and PPP projects.</w:t>
      </w:r>
      <w:r w:rsidR="005E5682">
        <w:rPr>
          <w:lang w:val="en-US"/>
        </w:rPr>
        <w:t xml:space="preserve"> </w:t>
      </w:r>
      <w:r>
        <w:rPr>
          <w:lang w:val="en-US"/>
        </w:rPr>
        <w:t>Again, it is i</w:t>
      </w:r>
      <w:r w:rsidRPr="00440BA2">
        <w:rPr>
          <w:lang w:val="en-US"/>
        </w:rPr>
        <w:t>mportant to note is that a Fund can complement these financing approaches</w:t>
      </w:r>
      <w:r>
        <w:rPr>
          <w:lang w:val="en-US"/>
        </w:rPr>
        <w:t>.</w:t>
      </w:r>
      <w:r w:rsidR="005E5682">
        <w:rPr>
          <w:lang w:val="en-US"/>
        </w:rPr>
        <w:t xml:space="preserve"> </w:t>
      </w:r>
      <w:r>
        <w:rPr>
          <w:lang w:val="en-US"/>
        </w:rPr>
        <w:t>T</w:t>
      </w:r>
      <w:r w:rsidRPr="002C7E31">
        <w:rPr>
          <w:lang w:val="en-US"/>
        </w:rPr>
        <w:t xml:space="preserve">he important roles of the Fund in relation to facilitation and coordination, </w:t>
      </w:r>
      <w:r w:rsidRPr="002C7E31">
        <w:rPr>
          <w:rFonts w:hint="eastAsia"/>
          <w:lang w:val="en-US"/>
        </w:rPr>
        <w:t>particularly</w:t>
      </w:r>
      <w:r w:rsidRPr="002C7E31">
        <w:rPr>
          <w:lang w:val="en-US"/>
        </w:rPr>
        <w:t xml:space="preserve"> with national ICT sector objectives in mind, become more critical in light of the increase in players in the ICT financing space.</w:t>
      </w:r>
    </w:p>
    <w:p w:rsidR="00DB4F07" w:rsidRPr="002C7E31" w:rsidRDefault="00DB4F07" w:rsidP="00DB4F07">
      <w:pPr>
        <w:pStyle w:val="HIPNormal"/>
        <w:rPr>
          <w:lang w:val="en-US"/>
        </w:rPr>
      </w:pPr>
      <w:r w:rsidRPr="002C7E31">
        <w:rPr>
          <w:lang w:val="en-US"/>
        </w:rPr>
        <w:t xml:space="preserve">In summary, </w:t>
      </w:r>
      <w:r>
        <w:rPr>
          <w:lang w:val="en-US"/>
        </w:rPr>
        <w:t xml:space="preserve">in addition to </w:t>
      </w:r>
      <w:r>
        <w:rPr>
          <w:rFonts w:hint="eastAsia"/>
          <w:lang w:val="en-US"/>
        </w:rPr>
        <w:t>fulfilling</w:t>
      </w:r>
      <w:r>
        <w:rPr>
          <w:lang w:val="en-US"/>
        </w:rPr>
        <w:t xml:space="preserve"> their current mandates where this has not been done, </w:t>
      </w:r>
      <w:r w:rsidRPr="002C7E31">
        <w:rPr>
          <w:lang w:val="en-US"/>
        </w:rPr>
        <w:t xml:space="preserve">as stated in the ICT Regulation Toolkit, USAFs in the next generation could move in two main directions, namely: </w:t>
      </w:r>
    </w:p>
    <w:p w:rsidR="00DB4F07" w:rsidRDefault="00DB4F07" w:rsidP="00DB4F07">
      <w:pPr>
        <w:pStyle w:val="HIPEnumlev1"/>
      </w:pPr>
      <w:r w:rsidRPr="002C7E31">
        <w:t xml:space="preserve">An increase in importance and role as a </w:t>
      </w:r>
      <w:r>
        <w:t xml:space="preserve">facilitator and coordinator which acts as </w:t>
      </w:r>
      <w:r w:rsidRPr="002C7E31">
        <w:t xml:space="preserve">stimulating force for the market, piloting innovative rural service and application concepts, creating demand for advanced ICT connectivity and services (e.g. through financing broadband access for schools, more direct support of users and applications) and an enabling environment; and </w:t>
      </w:r>
    </w:p>
    <w:p w:rsidR="00DB4F07" w:rsidRPr="002C7E31" w:rsidRDefault="00DB4F07" w:rsidP="00DB4F07">
      <w:pPr>
        <w:pStyle w:val="HIPEnumlev1"/>
      </w:pPr>
      <w:r w:rsidRPr="002C7E31">
        <w:t>A funding mechanism for broadband networks into rural and unviable areas through support both at the retail end (e.g. shared access), as well as at the wholesale end (e.g. through intermediary network facilities such as backbones, wireless towers and other p</w:t>
      </w:r>
      <w:r>
        <w:t>assive infrastructure).</w:t>
      </w:r>
    </w:p>
    <w:p w:rsidR="00FF6919" w:rsidRPr="00FF6919" w:rsidRDefault="00DB4F07" w:rsidP="00FF6919">
      <w:pPr>
        <w:pStyle w:val="HIPNormal"/>
        <w:rPr>
          <w:lang w:val="en-US"/>
        </w:rPr>
      </w:pPr>
      <w:r w:rsidRPr="002C7E31">
        <w:rPr>
          <w:lang w:val="en-US"/>
        </w:rPr>
        <w:t>These approaches will be most effective if pursued in collaboration with other ICT sector financiers.</w:t>
      </w:r>
      <w:r>
        <w:rPr>
          <w:lang w:val="en-US"/>
        </w:rPr>
        <w:t xml:space="preserve"> The Fund can work with NGOs and donors, for example, to finance projects in rural and underserved areas and for underserved communities. D</w:t>
      </w:r>
      <w:r w:rsidRPr="002C7E31">
        <w:rPr>
          <w:lang w:val="en-US"/>
        </w:rPr>
        <w:t xml:space="preserve">onors and NGOs can </w:t>
      </w:r>
      <w:r>
        <w:rPr>
          <w:lang w:val="en-US"/>
        </w:rPr>
        <w:t xml:space="preserve">furthermore </w:t>
      </w:r>
      <w:r w:rsidRPr="002C7E31">
        <w:rPr>
          <w:lang w:val="en-US"/>
        </w:rPr>
        <w:t xml:space="preserve">play a critical role in </w:t>
      </w:r>
      <w:r w:rsidRPr="002C7E31">
        <w:rPr>
          <w:rFonts w:hint="eastAsia"/>
          <w:lang w:val="en-US"/>
        </w:rPr>
        <w:t>financing</w:t>
      </w:r>
      <w:r w:rsidRPr="002C7E31">
        <w:rPr>
          <w:lang w:val="en-US"/>
        </w:rPr>
        <w:t xml:space="preserve"> and facilitating applications and capacity building rather than network reach</w:t>
      </w:r>
      <w:r>
        <w:rPr>
          <w:lang w:val="en-US"/>
        </w:rPr>
        <w:t>.</w:t>
      </w:r>
    </w:p>
    <w:p w:rsidR="00FF6919" w:rsidRDefault="00FF6919">
      <w:pPr>
        <w:rPr>
          <w:rFonts w:ascii="Calibri" w:hAnsi="Calibri" w:cs="Arial"/>
          <w:b/>
          <w:bCs/>
          <w:color w:val="008000"/>
          <w:szCs w:val="24"/>
          <w:lang w:val="en-US"/>
        </w:rPr>
      </w:pPr>
      <w:r w:rsidRPr="005E5682">
        <w:rPr>
          <w:lang w:val="en-US"/>
        </w:rPr>
        <w:br w:type="page"/>
      </w:r>
    </w:p>
    <w:p w:rsidR="008E340F" w:rsidRDefault="0059419C" w:rsidP="00DC5333">
      <w:pPr>
        <w:pStyle w:val="HIPTabletitle"/>
        <w:rPr>
          <w:lang w:val="en-GB"/>
        </w:rPr>
      </w:pPr>
      <w:bookmarkStart w:id="64" w:name="_Toc286146544"/>
      <w:r w:rsidRPr="002C7E31">
        <w:lastRenderedPageBreak/>
        <w:t xml:space="preserve">Table </w:t>
      </w:r>
      <w:r w:rsidR="0088668E">
        <w:t>1.</w:t>
      </w:r>
      <w:r w:rsidR="00DC5333">
        <w:t>3</w:t>
      </w:r>
      <w:r w:rsidRPr="002C7E31">
        <w:t>: Financing Cooperation and Partnerships</w:t>
      </w:r>
      <w:r w:rsidRPr="002C7E31">
        <w:rPr>
          <w:rStyle w:val="FootnoteReference"/>
        </w:rPr>
        <w:footnoteReference w:id="17"/>
      </w:r>
      <w:bookmarkEnd w:id="64"/>
    </w:p>
    <w:tbl>
      <w:tblPr>
        <w:tblStyle w:val="TableGrid"/>
        <w:tblW w:w="0" w:type="auto"/>
        <w:shd w:val="clear" w:color="auto" w:fill="EAF1DD"/>
        <w:tblLook w:val="04A0"/>
      </w:tblPr>
      <w:tblGrid>
        <w:gridCol w:w="9287"/>
      </w:tblGrid>
      <w:tr w:rsidR="0059419C" w:rsidRPr="00A3379B" w:rsidTr="0059419C">
        <w:tc>
          <w:tcPr>
            <w:tcW w:w="9287" w:type="dxa"/>
            <w:shd w:val="clear" w:color="auto" w:fill="EAF1DD"/>
          </w:tcPr>
          <w:p w:rsidR="0059419C" w:rsidRPr="00D23660" w:rsidRDefault="0059419C" w:rsidP="0059419C">
            <w:pPr>
              <w:pStyle w:val="HIPTabletext"/>
              <w:jc w:val="left"/>
              <w:rPr>
                <w:szCs w:val="21"/>
                <w:lang w:val="en-US"/>
              </w:rPr>
            </w:pPr>
            <w:r w:rsidRPr="00D23660">
              <w:rPr>
                <w:szCs w:val="21"/>
                <w:lang w:val="en-US"/>
              </w:rPr>
              <w:t>Potential sources of money and resources for ICT projects:</w:t>
            </w:r>
          </w:p>
          <w:p w:rsidR="0059419C" w:rsidRPr="00D23660" w:rsidRDefault="0059419C" w:rsidP="005E5682">
            <w:pPr>
              <w:pStyle w:val="HIPTabletext"/>
              <w:jc w:val="left"/>
              <w:rPr>
                <w:szCs w:val="21"/>
                <w:lang w:val="en-US"/>
              </w:rPr>
            </w:pPr>
            <w:r w:rsidRPr="00D23660">
              <w:rPr>
                <w:color w:val="008000"/>
                <w:szCs w:val="21"/>
                <w:lang w:val="en-US"/>
              </w:rPr>
              <w:t>•</w:t>
            </w:r>
            <w:r w:rsidR="005E5682">
              <w:rPr>
                <w:color w:val="008000"/>
                <w:szCs w:val="21"/>
                <w:lang w:val="en-US"/>
              </w:rPr>
              <w:tab/>
            </w:r>
            <w:r w:rsidRPr="00D23660">
              <w:rPr>
                <w:szCs w:val="21"/>
                <w:lang w:val="en-US"/>
              </w:rPr>
              <w:t xml:space="preserve">Universal Service Fund </w:t>
            </w:r>
          </w:p>
          <w:p w:rsidR="0059419C" w:rsidRPr="00D23660" w:rsidRDefault="005E5682" w:rsidP="005E5682">
            <w:pPr>
              <w:pStyle w:val="HIPTabletext"/>
              <w:jc w:val="left"/>
              <w:rPr>
                <w:szCs w:val="21"/>
                <w:lang w:val="en-US"/>
              </w:rPr>
            </w:pPr>
            <w:r w:rsidRPr="00D23660">
              <w:rPr>
                <w:color w:val="008000"/>
                <w:szCs w:val="21"/>
                <w:lang w:val="en-US"/>
              </w:rPr>
              <w:t>•</w:t>
            </w:r>
            <w:r>
              <w:rPr>
                <w:color w:val="008000"/>
                <w:szCs w:val="21"/>
                <w:lang w:val="en-US"/>
              </w:rPr>
              <w:tab/>
            </w:r>
            <w:r w:rsidR="0059419C" w:rsidRPr="00D23660">
              <w:rPr>
                <w:szCs w:val="21"/>
                <w:lang w:val="en-US"/>
              </w:rPr>
              <w:t>Grants</w:t>
            </w:r>
          </w:p>
          <w:p w:rsidR="0059419C" w:rsidRPr="00D23660" w:rsidRDefault="005E5682" w:rsidP="005E5682">
            <w:pPr>
              <w:pStyle w:val="HIPTabletext"/>
              <w:jc w:val="left"/>
              <w:rPr>
                <w:szCs w:val="21"/>
                <w:lang w:val="en-US"/>
              </w:rPr>
            </w:pPr>
            <w:r w:rsidRPr="00D23660">
              <w:rPr>
                <w:color w:val="008000"/>
                <w:szCs w:val="21"/>
                <w:lang w:val="en-US"/>
              </w:rPr>
              <w:t>•</w:t>
            </w:r>
            <w:r>
              <w:rPr>
                <w:color w:val="008000"/>
                <w:szCs w:val="21"/>
                <w:lang w:val="en-US"/>
              </w:rPr>
              <w:tab/>
            </w:r>
            <w:r w:rsidR="0059419C" w:rsidRPr="00D23660">
              <w:rPr>
                <w:szCs w:val="21"/>
                <w:lang w:val="en-US"/>
              </w:rPr>
              <w:t>Public subsidies (including stimulus packages)</w:t>
            </w:r>
          </w:p>
          <w:p w:rsidR="0059419C" w:rsidRPr="00D23660" w:rsidRDefault="005E5682" w:rsidP="005E5682">
            <w:pPr>
              <w:pStyle w:val="HIPTabletext"/>
              <w:jc w:val="left"/>
              <w:rPr>
                <w:szCs w:val="21"/>
                <w:lang w:val="en-US"/>
              </w:rPr>
            </w:pPr>
            <w:r w:rsidRPr="00D23660">
              <w:rPr>
                <w:color w:val="008000"/>
                <w:szCs w:val="21"/>
                <w:lang w:val="en-US"/>
              </w:rPr>
              <w:t>•</w:t>
            </w:r>
            <w:r>
              <w:rPr>
                <w:color w:val="008000"/>
                <w:szCs w:val="21"/>
                <w:lang w:val="en-US"/>
              </w:rPr>
              <w:tab/>
            </w:r>
            <w:r w:rsidR="0059419C" w:rsidRPr="00D23660">
              <w:rPr>
                <w:szCs w:val="21"/>
                <w:lang w:val="en-US"/>
              </w:rPr>
              <w:t>Private donations, fund-raising events</w:t>
            </w:r>
          </w:p>
          <w:p w:rsidR="0059419C" w:rsidRPr="00D23660" w:rsidRDefault="005E5682" w:rsidP="005E5682">
            <w:pPr>
              <w:pStyle w:val="HIPTabletext"/>
              <w:jc w:val="left"/>
              <w:rPr>
                <w:szCs w:val="21"/>
                <w:lang w:val="en-US"/>
              </w:rPr>
            </w:pPr>
            <w:r w:rsidRPr="00D23660">
              <w:rPr>
                <w:color w:val="008000"/>
                <w:szCs w:val="21"/>
                <w:lang w:val="en-US"/>
              </w:rPr>
              <w:t>•</w:t>
            </w:r>
            <w:r>
              <w:rPr>
                <w:color w:val="008000"/>
                <w:szCs w:val="21"/>
                <w:lang w:val="en-US"/>
              </w:rPr>
              <w:tab/>
            </w:r>
            <w:r w:rsidR="0059419C" w:rsidRPr="00D23660">
              <w:rPr>
                <w:szCs w:val="21"/>
                <w:lang w:val="en-US"/>
              </w:rPr>
              <w:t>Community support (e.g. rent-free building)</w:t>
            </w:r>
          </w:p>
          <w:p w:rsidR="0059419C" w:rsidRPr="00D23660" w:rsidRDefault="005E5682" w:rsidP="005E5682">
            <w:pPr>
              <w:pStyle w:val="HIPTabletext"/>
              <w:jc w:val="left"/>
              <w:rPr>
                <w:szCs w:val="21"/>
                <w:lang w:val="en-US"/>
              </w:rPr>
            </w:pPr>
            <w:r w:rsidRPr="00D23660">
              <w:rPr>
                <w:color w:val="008000"/>
                <w:szCs w:val="21"/>
                <w:lang w:val="en-US"/>
              </w:rPr>
              <w:t>•</w:t>
            </w:r>
            <w:r>
              <w:rPr>
                <w:color w:val="008000"/>
                <w:szCs w:val="21"/>
                <w:lang w:val="en-US"/>
              </w:rPr>
              <w:tab/>
            </w:r>
            <w:r w:rsidR="0059419C" w:rsidRPr="00D23660">
              <w:rPr>
                <w:szCs w:val="21"/>
                <w:lang w:val="en-US"/>
              </w:rPr>
              <w:t>Membership fees</w:t>
            </w:r>
          </w:p>
          <w:p w:rsidR="0059419C" w:rsidRPr="00D23660" w:rsidRDefault="005E5682" w:rsidP="005E5682">
            <w:pPr>
              <w:pStyle w:val="HIPTabletext"/>
              <w:jc w:val="left"/>
              <w:rPr>
                <w:szCs w:val="21"/>
                <w:lang w:val="en-US"/>
              </w:rPr>
            </w:pPr>
            <w:r w:rsidRPr="00D23660">
              <w:rPr>
                <w:color w:val="008000"/>
                <w:szCs w:val="21"/>
                <w:lang w:val="en-US"/>
              </w:rPr>
              <w:t>•</w:t>
            </w:r>
            <w:r>
              <w:rPr>
                <w:color w:val="008000"/>
                <w:szCs w:val="21"/>
                <w:lang w:val="en-US"/>
              </w:rPr>
              <w:tab/>
            </w:r>
            <w:r w:rsidR="0059419C" w:rsidRPr="00D23660">
              <w:rPr>
                <w:szCs w:val="21"/>
                <w:lang w:val="en-US"/>
              </w:rPr>
              <w:t>Revenues earned from core business of the project itself:</w:t>
            </w:r>
          </w:p>
          <w:p w:rsidR="0059419C" w:rsidRPr="00D23660" w:rsidRDefault="0059419C" w:rsidP="005E5682">
            <w:pPr>
              <w:pStyle w:val="HIPTabletext"/>
              <w:tabs>
                <w:tab w:val="left" w:pos="709"/>
              </w:tabs>
              <w:jc w:val="left"/>
              <w:rPr>
                <w:szCs w:val="21"/>
                <w:lang w:val="en-US"/>
              </w:rPr>
            </w:pPr>
            <w:r w:rsidRPr="00D23660">
              <w:rPr>
                <w:szCs w:val="21"/>
                <w:lang w:val="en-US"/>
              </w:rPr>
              <w:tab/>
            </w:r>
            <w:r w:rsidRPr="00D23660">
              <w:rPr>
                <w:color w:val="008000"/>
                <w:szCs w:val="21"/>
                <w:lang w:val="en-US"/>
              </w:rPr>
              <w:t>–</w:t>
            </w:r>
            <w:r w:rsidR="005E5682">
              <w:rPr>
                <w:color w:val="008000"/>
                <w:szCs w:val="21"/>
                <w:lang w:val="en-US"/>
              </w:rPr>
              <w:t xml:space="preserve"> </w:t>
            </w:r>
            <w:r w:rsidRPr="00D23660">
              <w:rPr>
                <w:szCs w:val="21"/>
                <w:lang w:val="en-US"/>
              </w:rPr>
              <w:t>Connectivity (phone, fax, Internet, web pages)</w:t>
            </w:r>
          </w:p>
          <w:p w:rsidR="0059419C" w:rsidRPr="00D23660" w:rsidRDefault="0059419C" w:rsidP="005E5682">
            <w:pPr>
              <w:pStyle w:val="HIPTabletext"/>
              <w:tabs>
                <w:tab w:val="left" w:pos="709"/>
              </w:tabs>
              <w:jc w:val="left"/>
              <w:rPr>
                <w:szCs w:val="21"/>
                <w:lang w:val="en-US"/>
              </w:rPr>
            </w:pPr>
            <w:r w:rsidRPr="00D23660">
              <w:rPr>
                <w:szCs w:val="21"/>
                <w:lang w:val="en-US"/>
              </w:rPr>
              <w:tab/>
            </w:r>
            <w:r w:rsidRPr="00D23660">
              <w:rPr>
                <w:color w:val="008000"/>
                <w:szCs w:val="21"/>
                <w:lang w:val="en-US"/>
              </w:rPr>
              <w:t>–</w:t>
            </w:r>
            <w:r w:rsidR="005E5682">
              <w:rPr>
                <w:color w:val="008000"/>
                <w:szCs w:val="21"/>
                <w:lang w:val="en-US"/>
              </w:rPr>
              <w:t xml:space="preserve"> </w:t>
            </w:r>
            <w:r w:rsidRPr="00D23660">
              <w:rPr>
                <w:szCs w:val="21"/>
                <w:lang w:val="en-US"/>
              </w:rPr>
              <w:t>Direct computer access to users (</w:t>
            </w:r>
            <w:r w:rsidRPr="00D23660">
              <w:rPr>
                <w:rFonts w:hint="eastAsia"/>
                <w:szCs w:val="21"/>
                <w:lang w:val="en-US"/>
              </w:rPr>
              <w:t>‘</w:t>
            </w:r>
            <w:r w:rsidRPr="00D23660">
              <w:rPr>
                <w:szCs w:val="21"/>
                <w:lang w:val="en-US"/>
              </w:rPr>
              <w:t>pay for use</w:t>
            </w:r>
            <w:r w:rsidRPr="00D23660">
              <w:rPr>
                <w:rFonts w:hint="eastAsia"/>
                <w:szCs w:val="21"/>
                <w:lang w:val="en-US"/>
              </w:rPr>
              <w:t>’</w:t>
            </w:r>
            <w:r w:rsidRPr="00D23660">
              <w:rPr>
                <w:szCs w:val="21"/>
                <w:lang w:val="en-US"/>
              </w:rPr>
              <w:t>)</w:t>
            </w:r>
          </w:p>
          <w:p w:rsidR="0059419C" w:rsidRPr="00D23660" w:rsidRDefault="0059419C" w:rsidP="005E5682">
            <w:pPr>
              <w:pStyle w:val="HIPTabletext"/>
              <w:tabs>
                <w:tab w:val="left" w:pos="709"/>
              </w:tabs>
              <w:jc w:val="left"/>
              <w:rPr>
                <w:szCs w:val="21"/>
                <w:lang w:val="en-US"/>
              </w:rPr>
            </w:pPr>
            <w:r w:rsidRPr="00D23660">
              <w:rPr>
                <w:szCs w:val="21"/>
                <w:lang w:val="en-US"/>
              </w:rPr>
              <w:tab/>
            </w:r>
            <w:r w:rsidRPr="00D23660">
              <w:rPr>
                <w:color w:val="008000"/>
                <w:szCs w:val="21"/>
                <w:lang w:val="en-US"/>
              </w:rPr>
              <w:t>–</w:t>
            </w:r>
            <w:r w:rsidR="005E5682">
              <w:rPr>
                <w:color w:val="008000"/>
                <w:szCs w:val="21"/>
                <w:lang w:val="en-US"/>
              </w:rPr>
              <w:t xml:space="preserve"> </w:t>
            </w:r>
            <w:r w:rsidRPr="00D23660">
              <w:rPr>
                <w:szCs w:val="21"/>
                <w:lang w:val="en-US"/>
              </w:rPr>
              <w:t>Office services (photocopying, scanning, audiovisual aids)</w:t>
            </w:r>
          </w:p>
          <w:p w:rsidR="0059419C" w:rsidRPr="0059419C" w:rsidRDefault="005E5682" w:rsidP="005E5682">
            <w:pPr>
              <w:pStyle w:val="HIPTabletext"/>
              <w:tabs>
                <w:tab w:val="left" w:pos="709"/>
              </w:tabs>
              <w:ind w:left="993" w:hanging="993"/>
              <w:jc w:val="left"/>
              <w:rPr>
                <w:lang w:val="en-US"/>
              </w:rPr>
            </w:pPr>
            <w:r>
              <w:rPr>
                <w:color w:val="008000"/>
                <w:szCs w:val="21"/>
                <w:lang w:val="en-US"/>
              </w:rPr>
              <w:t xml:space="preserve"> </w:t>
            </w:r>
            <w:r w:rsidR="0059419C" w:rsidRPr="00D23660">
              <w:rPr>
                <w:szCs w:val="21"/>
                <w:lang w:val="en-US"/>
              </w:rPr>
              <w:tab/>
            </w:r>
            <w:r w:rsidR="0059419C" w:rsidRPr="00D23660">
              <w:rPr>
                <w:color w:val="008000"/>
                <w:szCs w:val="21"/>
                <w:lang w:val="en-US"/>
              </w:rPr>
              <w:t>–</w:t>
            </w:r>
            <w:r>
              <w:rPr>
                <w:color w:val="008000"/>
                <w:szCs w:val="21"/>
                <w:lang w:val="en-US"/>
              </w:rPr>
              <w:t xml:space="preserve"> </w:t>
            </w:r>
            <w:r w:rsidR="0059419C" w:rsidRPr="00D23660">
              <w:rPr>
                <w:szCs w:val="21"/>
                <w:lang w:val="en-US"/>
              </w:rPr>
              <w:t>Revenues earned from ancillary activities: (training, community services, non-ICT product sales)</w:t>
            </w:r>
          </w:p>
        </w:tc>
      </w:tr>
    </w:tbl>
    <w:p w:rsidR="0059419C" w:rsidRPr="0059419C" w:rsidRDefault="0088668E" w:rsidP="0088668E">
      <w:pPr>
        <w:pStyle w:val="HIPheading4"/>
      </w:pPr>
      <w:bookmarkStart w:id="65" w:name="_Toc284597949"/>
      <w:r>
        <w:t>1.1.</w:t>
      </w:r>
      <w:r w:rsidR="0059419C">
        <w:t>2.4</w:t>
      </w:r>
      <w:r w:rsidR="0059419C">
        <w:tab/>
        <w:t>SADC Experience with Funds</w:t>
      </w:r>
      <w:bookmarkEnd w:id="65"/>
      <w:r w:rsidR="0059419C">
        <w:t xml:space="preserve"> </w:t>
      </w:r>
    </w:p>
    <w:p w:rsidR="0059419C" w:rsidRPr="008C579A" w:rsidRDefault="0059419C" w:rsidP="005E5682">
      <w:pPr>
        <w:pStyle w:val="HIPNormal"/>
        <w:spacing w:before="180"/>
        <w:rPr>
          <w:lang w:val="en-US"/>
        </w:rPr>
      </w:pPr>
      <w:r w:rsidRPr="008C579A">
        <w:rPr>
          <w:lang w:val="en-US"/>
        </w:rPr>
        <w:t>In light of an understanding of some of the key risks, success factors and potential pitfalls of Funds, the question arises, if Funds are considered a key finacing mechanism in SADC, how do SADC Member States’ USAFs fare? Do these Funds work?</w:t>
      </w:r>
      <w:r w:rsidR="005E5682">
        <w:rPr>
          <w:lang w:val="en-US"/>
        </w:rPr>
        <w:t xml:space="preserve"> </w:t>
      </w:r>
      <w:r w:rsidRPr="008C579A">
        <w:rPr>
          <w:lang w:val="en-US"/>
        </w:rPr>
        <w:t>Annex 1 provides a summary of the status of Universal Service Funds and the associated frameworks in SADC countries. In the SADC region, 9 countries have established Funds in law. Eight of the 9 established Funds have money in the Fund received through either seed funding from donors or government, levies from operators, or surplus Funds from regulator. Of these 6 Funds have conducetd processes (competitive bidding, tender processes, or other means)</w:t>
      </w:r>
      <w:r w:rsidR="005E5682">
        <w:rPr>
          <w:lang w:val="en-US"/>
        </w:rPr>
        <w:t xml:space="preserve"> </w:t>
      </w:r>
      <w:r w:rsidRPr="008C579A">
        <w:rPr>
          <w:lang w:val="en-US"/>
        </w:rPr>
        <w:t>to identify projects and disburse monies to assist in the implementation of such projects.</w:t>
      </w:r>
      <w:r w:rsidR="005E5682">
        <w:rPr>
          <w:lang w:val="en-US"/>
        </w:rPr>
        <w:t xml:space="preserve"> </w:t>
      </w:r>
    </w:p>
    <w:p w:rsidR="0059419C" w:rsidRPr="00440BA2" w:rsidRDefault="0059419C" w:rsidP="005E5682">
      <w:pPr>
        <w:pStyle w:val="HIPNormal"/>
        <w:spacing w:before="180"/>
        <w:rPr>
          <w:lang w:val="en-US"/>
        </w:rPr>
      </w:pPr>
      <w:r w:rsidRPr="00440BA2">
        <w:rPr>
          <w:lang w:val="en-US"/>
        </w:rPr>
        <w:t>Many SADC Funds</w:t>
      </w:r>
      <w:r>
        <w:rPr>
          <w:lang w:val="en-US"/>
        </w:rPr>
        <w:t xml:space="preserve"> </w:t>
      </w:r>
      <w:r w:rsidRPr="00440BA2">
        <w:rPr>
          <w:lang w:val="en-US"/>
        </w:rPr>
        <w:t>have been collecting monies for a while (e.g. DRC, Mauritius, South Africa, Swaziland, Mozambique); additionally some Member States have demonstrated their ability to conceptualize and subsidize projects (e.g. Mozambique, Botswana, South Africa, Zambia ).</w:t>
      </w:r>
      <w:r w:rsidR="005E5682">
        <w:rPr>
          <w:lang w:val="en-US"/>
        </w:rPr>
        <w:t xml:space="preserve"> </w:t>
      </w:r>
      <w:r w:rsidRPr="00440BA2">
        <w:rPr>
          <w:lang w:val="en-US"/>
        </w:rPr>
        <w:t>It should be noted that many of the Funds in the region are still at developmental stages and have only become active from an operational perspective in 2010 (e.g. Malawi, Tanzania) and others have yet to be formally established (Namibia</w:t>
      </w:r>
      <w:r>
        <w:rPr>
          <w:rStyle w:val="FootnoteReference"/>
        </w:rPr>
        <w:footnoteReference w:id="18"/>
      </w:r>
      <w:r w:rsidRPr="00440BA2">
        <w:rPr>
          <w:lang w:val="en-US"/>
        </w:rPr>
        <w:t>, Zambia</w:t>
      </w:r>
      <w:r>
        <w:rPr>
          <w:rStyle w:val="FootnoteReference"/>
        </w:rPr>
        <w:footnoteReference w:id="19"/>
      </w:r>
      <w:r w:rsidRPr="00440BA2">
        <w:rPr>
          <w:lang w:val="en-US"/>
        </w:rPr>
        <w:t xml:space="preserve">). Thus, the experience in the SADC region </w:t>
      </w:r>
      <w:r>
        <w:rPr>
          <w:lang w:val="en-US"/>
        </w:rPr>
        <w:t xml:space="preserve">with USAFs </w:t>
      </w:r>
      <w:r w:rsidRPr="00440BA2">
        <w:rPr>
          <w:lang w:val="en-US"/>
        </w:rPr>
        <w:t>is varied.</w:t>
      </w:r>
      <w:r w:rsidR="005E5682">
        <w:rPr>
          <w:lang w:val="en-US"/>
        </w:rPr>
        <w:t xml:space="preserve"> </w:t>
      </w:r>
    </w:p>
    <w:p w:rsidR="0059419C" w:rsidRDefault="0059419C" w:rsidP="005E5682">
      <w:pPr>
        <w:pStyle w:val="HIPNormal"/>
        <w:spacing w:before="180"/>
        <w:rPr>
          <w:lang w:val="en-US"/>
        </w:rPr>
      </w:pPr>
      <w:r w:rsidRPr="00440BA2">
        <w:rPr>
          <w:lang w:val="en-US"/>
        </w:rPr>
        <w:t>A major challenge that has been identified by the Member States and expressed to the Communications Regulatory Authority Association of Southern Africa (“CRASA”) relates to the implementation of Funds, i.e. governance, management and disbursement. This conclusion is made on the backdrop of the fact that almost all of the legislation in the region captures the Fund concept, but very few of the Funds are fully functional.</w:t>
      </w:r>
      <w:r>
        <w:rPr>
          <w:lang w:val="en-US"/>
        </w:rPr>
        <w:t xml:space="preserve"> </w:t>
      </w:r>
    </w:p>
    <w:p w:rsidR="002D3643" w:rsidRDefault="0059419C" w:rsidP="005E5682">
      <w:pPr>
        <w:pStyle w:val="HIPNormal"/>
        <w:spacing w:before="180"/>
        <w:rPr>
          <w:lang w:val="en-US"/>
        </w:rPr>
      </w:pPr>
      <w:r>
        <w:rPr>
          <w:lang w:val="en-US"/>
        </w:rPr>
        <w:t xml:space="preserve">In the absence of </w:t>
      </w:r>
      <w:r>
        <w:rPr>
          <w:rFonts w:hint="eastAsia"/>
          <w:lang w:val="en-US"/>
        </w:rPr>
        <w:t>availability</w:t>
      </w:r>
      <w:r>
        <w:rPr>
          <w:lang w:val="en-US"/>
        </w:rPr>
        <w:t xml:space="preserve"> of other public financing in most SADC countries such as </w:t>
      </w:r>
      <w:r>
        <w:rPr>
          <w:rFonts w:hint="eastAsia"/>
          <w:lang w:val="en-US"/>
        </w:rPr>
        <w:t>financing</w:t>
      </w:r>
      <w:r>
        <w:rPr>
          <w:lang w:val="en-US"/>
        </w:rPr>
        <w:t xml:space="preserve"> from </w:t>
      </w:r>
      <w:r>
        <w:rPr>
          <w:rFonts w:hint="eastAsia"/>
          <w:lang w:val="en-US"/>
        </w:rPr>
        <w:t>‘</w:t>
      </w:r>
      <w:r>
        <w:rPr>
          <w:lang w:val="en-US"/>
        </w:rPr>
        <w:t>stimulus plans,</w:t>
      </w:r>
      <w:r>
        <w:rPr>
          <w:rFonts w:hint="eastAsia"/>
          <w:lang w:val="en-US"/>
        </w:rPr>
        <w:t>’</w:t>
      </w:r>
      <w:r>
        <w:rPr>
          <w:lang w:val="en-US"/>
        </w:rPr>
        <w:t xml:space="preserve"> t</w:t>
      </w:r>
      <w:r w:rsidRPr="00440BA2">
        <w:rPr>
          <w:lang w:val="en-US"/>
        </w:rPr>
        <w:t>h</w:t>
      </w:r>
      <w:r>
        <w:rPr>
          <w:lang w:val="en-US"/>
        </w:rPr>
        <w:t xml:space="preserve">e USAF implementation challenge is </w:t>
      </w:r>
      <w:r w:rsidRPr="00440BA2">
        <w:rPr>
          <w:lang w:val="en-US"/>
        </w:rPr>
        <w:t>the key challenge that the Toolkit seeks to address by providing Fund Administrators, whether within the regulator or located in a separate agency, a Reference</w:t>
      </w:r>
      <w:r>
        <w:rPr>
          <w:lang w:val="en-US"/>
        </w:rPr>
        <w:t xml:space="preserve"> G</w:t>
      </w:r>
      <w:r w:rsidRPr="00440BA2">
        <w:rPr>
          <w:lang w:val="en-US"/>
        </w:rPr>
        <w:t>uide for Fund implementation</w:t>
      </w:r>
      <w:r>
        <w:rPr>
          <w:lang w:val="en-US"/>
        </w:rPr>
        <w:t xml:space="preserve"> and sample documents and models where available – and for making decisions on where to situate their Funds in </w:t>
      </w:r>
      <w:r>
        <w:rPr>
          <w:rFonts w:hint="eastAsia"/>
          <w:lang w:val="en-US"/>
        </w:rPr>
        <w:t>this</w:t>
      </w:r>
      <w:r>
        <w:rPr>
          <w:lang w:val="en-US"/>
        </w:rPr>
        <w:t xml:space="preserve"> fast changing ICT sector. A secondary objective is to provide a Guideline on how financiers can use machenisms, other than Funds, to finance universal access in a fair and </w:t>
      </w:r>
      <w:r>
        <w:rPr>
          <w:rFonts w:hint="eastAsia"/>
          <w:lang w:val="en-US"/>
        </w:rPr>
        <w:t>transparent</w:t>
      </w:r>
      <w:r>
        <w:rPr>
          <w:lang w:val="en-US"/>
        </w:rPr>
        <w:t xml:space="preserve"> manner in a </w:t>
      </w:r>
      <w:r>
        <w:rPr>
          <w:rFonts w:hint="eastAsia"/>
          <w:lang w:val="en-US"/>
        </w:rPr>
        <w:t>liberalized</w:t>
      </w:r>
      <w:r>
        <w:rPr>
          <w:lang w:val="en-US"/>
        </w:rPr>
        <w:t xml:space="preserve"> environment.</w:t>
      </w:r>
    </w:p>
    <w:p w:rsidR="002D3643" w:rsidRPr="002D3643" w:rsidRDefault="002D3643" w:rsidP="002D3643">
      <w:pPr>
        <w:pStyle w:val="HIPNormal"/>
        <w:rPr>
          <w:lang w:val="en-US"/>
        </w:rPr>
        <w:sectPr w:rsidR="002D3643" w:rsidRPr="002D3643" w:rsidSect="00932167">
          <w:headerReference w:type="even" r:id="rId34"/>
          <w:headerReference w:type="default" r:id="rId35"/>
          <w:footerReference w:type="even" r:id="rId36"/>
          <w:footerReference w:type="default" r:id="rId37"/>
          <w:footerReference w:type="first" r:id="rId38"/>
          <w:type w:val="oddPage"/>
          <w:pgSz w:w="11907" w:h="16840" w:code="9"/>
          <w:pgMar w:top="1701" w:right="1418" w:bottom="1418" w:left="1418" w:header="720" w:footer="720" w:gutter="0"/>
          <w:cols w:space="720"/>
          <w:titlePg/>
        </w:sectPr>
      </w:pPr>
    </w:p>
    <w:p w:rsidR="008978A2" w:rsidRDefault="008978A2" w:rsidP="008978A2">
      <w:pPr>
        <w:pStyle w:val="HIPNormal"/>
        <w:rPr>
          <w:lang w:val="en-US"/>
        </w:rPr>
      </w:pPr>
    </w:p>
    <w:p w:rsidR="008978A2" w:rsidRDefault="008978A2" w:rsidP="008978A2">
      <w:pPr>
        <w:pStyle w:val="HIPNormal"/>
        <w:rPr>
          <w:lang w:val="en-US"/>
        </w:rPr>
      </w:pPr>
    </w:p>
    <w:p w:rsidR="008978A2" w:rsidRPr="00A11AC1" w:rsidRDefault="008978A2" w:rsidP="008978A2">
      <w:pPr>
        <w:pStyle w:val="HIPNormal"/>
        <w:rPr>
          <w:lang w:val="en-US"/>
        </w:rPr>
      </w:pPr>
    </w:p>
    <w:p w:rsidR="008978A2" w:rsidRPr="00A11AC1" w:rsidRDefault="008978A2" w:rsidP="008978A2">
      <w:pPr>
        <w:pStyle w:val="HIPNormal"/>
        <w:rPr>
          <w:lang w:val="en-US"/>
        </w:rPr>
      </w:pPr>
    </w:p>
    <w:p w:rsidR="008978A2" w:rsidRPr="00A11AC1" w:rsidRDefault="008978A2" w:rsidP="008978A2">
      <w:pPr>
        <w:pStyle w:val="HIPNormal"/>
        <w:rPr>
          <w:lang w:val="en-US"/>
        </w:rPr>
      </w:pPr>
    </w:p>
    <w:p w:rsidR="008978A2" w:rsidRDefault="008978A2" w:rsidP="008978A2">
      <w:pPr>
        <w:pStyle w:val="HIPChaptReportTitle"/>
        <w:numPr>
          <w:ilvl w:val="0"/>
          <w:numId w:val="0"/>
        </w:numPr>
        <w:rPr>
          <w:lang w:val="en-US"/>
        </w:rPr>
      </w:pPr>
      <w:bookmarkStart w:id="66" w:name="_Toc286144953"/>
      <w:r>
        <w:rPr>
          <w:lang w:val="en-US"/>
        </w:rPr>
        <w:t>Part 2</w:t>
      </w:r>
      <w:bookmarkEnd w:id="66"/>
    </w:p>
    <w:p w:rsidR="0059419C" w:rsidRPr="0059419C" w:rsidRDefault="0059419C" w:rsidP="0059419C">
      <w:pPr>
        <w:pStyle w:val="HIPNormal"/>
        <w:rPr>
          <w:lang w:val="en-US"/>
        </w:rPr>
      </w:pPr>
    </w:p>
    <w:p w:rsidR="008978A2" w:rsidRPr="0059419C" w:rsidRDefault="0059419C" w:rsidP="0059419C">
      <w:pPr>
        <w:pStyle w:val="HIPChaptReportTitle"/>
        <w:numPr>
          <w:ilvl w:val="0"/>
          <w:numId w:val="0"/>
        </w:numPr>
        <w:rPr>
          <w:lang w:val="en-US"/>
        </w:rPr>
      </w:pPr>
      <w:bookmarkStart w:id="67" w:name="_Toc286144954"/>
      <w:r w:rsidRPr="0059419C">
        <w:rPr>
          <w:lang w:val="en-US"/>
        </w:rPr>
        <w:t xml:space="preserve">SETTING UP A UNIVERSAL SERVICE </w:t>
      </w:r>
      <w:r w:rsidRPr="0059419C">
        <w:rPr>
          <w:lang w:val="en-US"/>
        </w:rPr>
        <w:br/>
      </w:r>
      <w:bookmarkStart w:id="68" w:name="_Toc284597951"/>
      <w:r w:rsidRPr="0059419C">
        <w:rPr>
          <w:lang w:val="en-US"/>
        </w:rPr>
        <w:t>AND ACCESS FUND</w:t>
      </w:r>
      <w:bookmarkEnd w:id="67"/>
      <w:bookmarkEnd w:id="68"/>
    </w:p>
    <w:p w:rsidR="008978A2" w:rsidRPr="0059419C" w:rsidRDefault="008978A2" w:rsidP="008978A2">
      <w:pPr>
        <w:pStyle w:val="HIPNormal"/>
        <w:rPr>
          <w:lang w:val="en-US"/>
        </w:rPr>
      </w:pPr>
    </w:p>
    <w:p w:rsidR="008978A2" w:rsidRDefault="008978A2" w:rsidP="00DB4F07">
      <w:pPr>
        <w:pStyle w:val="HIPHeading2"/>
        <w:sectPr w:rsidR="008978A2" w:rsidSect="008978A2">
          <w:headerReference w:type="first" r:id="rId39"/>
          <w:footerReference w:type="first" r:id="rId40"/>
          <w:type w:val="oddPage"/>
          <w:pgSz w:w="11907" w:h="16840" w:code="9"/>
          <w:pgMar w:top="1701" w:right="1418" w:bottom="1418" w:left="1418" w:header="720" w:footer="720" w:gutter="0"/>
          <w:cols w:space="720"/>
          <w:titlePg/>
        </w:sectPr>
      </w:pPr>
    </w:p>
    <w:p w:rsidR="008978A2" w:rsidRPr="0069299B" w:rsidRDefault="0088668E" w:rsidP="0088668E">
      <w:pPr>
        <w:pStyle w:val="HIPHeading2"/>
      </w:pPr>
      <w:bookmarkStart w:id="69" w:name="_Toc284597952"/>
      <w:bookmarkStart w:id="70" w:name="_Toc286144955"/>
      <w:r>
        <w:lastRenderedPageBreak/>
        <w:t>2.1</w:t>
      </w:r>
      <w:r>
        <w:tab/>
      </w:r>
      <w:r w:rsidR="0069299B" w:rsidRPr="0069299B">
        <w:t>SITUATING THE FUND IN THE MARKET REFORM CONTEXT</w:t>
      </w:r>
      <w:bookmarkEnd w:id="69"/>
      <w:bookmarkEnd w:id="70"/>
    </w:p>
    <w:bookmarkEnd w:id="50"/>
    <w:p w:rsidR="0069299B" w:rsidRDefault="0069299B" w:rsidP="0069299B">
      <w:pPr>
        <w:pStyle w:val="HIPNormal"/>
        <w:rPr>
          <w:lang w:val="en-US"/>
        </w:rPr>
      </w:pPr>
      <w:r w:rsidRPr="009D3E91">
        <w:rPr>
          <w:lang w:val="en-US"/>
        </w:rPr>
        <w:t xml:space="preserve">It is well understood that </w:t>
      </w:r>
      <w:r>
        <w:rPr>
          <w:lang w:val="en-US"/>
        </w:rPr>
        <w:t xml:space="preserve">the financing of universal service and access projects </w:t>
      </w:r>
      <w:r w:rsidRPr="009D3E91">
        <w:rPr>
          <w:lang w:val="en-US"/>
        </w:rPr>
        <w:t>should be implemented in a manner that is legally sound, transparent and does not distort the market. A</w:t>
      </w:r>
      <w:r>
        <w:rPr>
          <w:lang w:val="en-US"/>
        </w:rPr>
        <w:t>s such a</w:t>
      </w:r>
      <w:r w:rsidRPr="009D3E91">
        <w:rPr>
          <w:lang w:val="en-US"/>
        </w:rPr>
        <w:t xml:space="preserve"> successful Fund cannot be established in a policy, regulatory, legal and institutional</w:t>
      </w:r>
      <w:r>
        <w:rPr>
          <w:lang w:val="en-US"/>
        </w:rPr>
        <w:t xml:space="preserve"> </w:t>
      </w:r>
      <w:r>
        <w:rPr>
          <w:rFonts w:hint="eastAsia"/>
          <w:lang w:val="en-US"/>
        </w:rPr>
        <w:t>vacuum</w:t>
      </w:r>
      <w:r>
        <w:rPr>
          <w:lang w:val="en-US"/>
        </w:rPr>
        <w:t xml:space="preserve"> or in a context</w:t>
      </w:r>
      <w:r w:rsidRPr="009D3E91">
        <w:rPr>
          <w:lang w:val="en-US"/>
        </w:rPr>
        <w:t xml:space="preserve"> that is not conducive.</w:t>
      </w:r>
      <w:r>
        <w:rPr>
          <w:lang w:val="en-US"/>
        </w:rPr>
        <w:t xml:space="preserve"> Similary other financing mechanisms such as PPPs or ownership by government cannot be pursued effectively in the absence of a sound regulatory environment or in a manner that it inconsistent with the ICT sector framework.</w:t>
      </w:r>
      <w:r w:rsidRPr="009D3E91">
        <w:rPr>
          <w:lang w:val="en-US"/>
        </w:rPr>
        <w:t xml:space="preserve"> Market reform and liberalization and their impact on universal service and access policy </w:t>
      </w:r>
      <w:r>
        <w:rPr>
          <w:lang w:val="en-US"/>
        </w:rPr>
        <w:t>are</w:t>
      </w:r>
      <w:r w:rsidRPr="009D3E91">
        <w:rPr>
          <w:lang w:val="en-US"/>
        </w:rPr>
        <w:t xml:space="preserve"> discussed extensively in </w:t>
      </w:r>
      <w:r>
        <w:rPr>
          <w:lang w:val="en-US"/>
        </w:rPr>
        <w:t xml:space="preserve">the </w:t>
      </w:r>
      <w:r>
        <w:rPr>
          <w:rFonts w:hint="eastAsia"/>
          <w:lang w:val="en-US"/>
        </w:rPr>
        <w:t>“</w:t>
      </w:r>
      <w:r>
        <w:rPr>
          <w:lang w:val="en-US"/>
        </w:rPr>
        <w:t>HIPSSA UAS Assessment and Guideline Update</w:t>
      </w:r>
      <w:r>
        <w:rPr>
          <w:rFonts w:hint="eastAsia"/>
          <w:lang w:val="en-US"/>
        </w:rPr>
        <w:t>”</w:t>
      </w:r>
      <w:r>
        <w:rPr>
          <w:lang w:val="en-US"/>
        </w:rPr>
        <w:t xml:space="preserve"> document</w:t>
      </w:r>
      <w:r w:rsidRPr="009D3E91">
        <w:rPr>
          <w:lang w:val="en-US"/>
        </w:rPr>
        <w:t xml:space="preserve">. </w:t>
      </w:r>
    </w:p>
    <w:p w:rsidR="0069299B" w:rsidRPr="008304DB" w:rsidRDefault="0088668E" w:rsidP="0088668E">
      <w:pPr>
        <w:pStyle w:val="HIPheading3"/>
        <w:rPr>
          <w:rFonts w:eastAsia="Calibri"/>
        </w:rPr>
      </w:pPr>
      <w:bookmarkStart w:id="71" w:name="_Toc284597953"/>
      <w:bookmarkStart w:id="72" w:name="_Toc286144956"/>
      <w:r>
        <w:rPr>
          <w:rFonts w:eastAsia="Calibri"/>
        </w:rPr>
        <w:t>2.1.</w:t>
      </w:r>
      <w:r w:rsidR="0069299B">
        <w:rPr>
          <w:rFonts w:eastAsia="Calibri"/>
        </w:rPr>
        <w:t>1</w:t>
      </w:r>
      <w:r w:rsidR="0069299B">
        <w:rPr>
          <w:rFonts w:eastAsia="Calibri"/>
        </w:rPr>
        <w:tab/>
        <w:t>Global Experience and Good Practice</w:t>
      </w:r>
      <w:bookmarkEnd w:id="71"/>
      <w:bookmarkEnd w:id="72"/>
      <w:r w:rsidR="0069299B" w:rsidRPr="009D3E91">
        <w:rPr>
          <w:rFonts w:eastAsia="Calibri"/>
        </w:rPr>
        <w:t xml:space="preserve"> </w:t>
      </w:r>
    </w:p>
    <w:p w:rsidR="0069299B" w:rsidRDefault="0069299B" w:rsidP="0069299B">
      <w:pPr>
        <w:pStyle w:val="HIPNormal"/>
        <w:rPr>
          <w:lang w:val="en-US"/>
        </w:rPr>
      </w:pPr>
      <w:r w:rsidRPr="009D3E91">
        <w:rPr>
          <w:lang w:val="en-US"/>
        </w:rPr>
        <w:t>Funds are part and parcel of the market reform process and are best established in a liberalized ICT environment. The key elements that should be in place to facilitate the establishment of a successful Fund are summari</w:t>
      </w:r>
      <w:r>
        <w:rPr>
          <w:lang w:val="en-US"/>
        </w:rPr>
        <w:t>sed in the checklist</w:t>
      </w:r>
      <w:r w:rsidR="005E5682">
        <w:rPr>
          <w:lang w:val="en-US"/>
        </w:rPr>
        <w:t xml:space="preserve"> </w:t>
      </w:r>
      <w:r>
        <w:rPr>
          <w:lang w:val="en-US"/>
        </w:rPr>
        <w:t>in Table 4</w:t>
      </w:r>
      <w:r w:rsidRPr="009D3E91">
        <w:rPr>
          <w:lang w:val="en-US"/>
        </w:rPr>
        <w:t xml:space="preserve"> which includes steps such as the passing of a clear ICT law, the development of an efficient and effective spectrum management regime, and the harmonization of regional approaches.</w:t>
      </w:r>
    </w:p>
    <w:p w:rsidR="0069299B" w:rsidRDefault="0069299B" w:rsidP="0069299B">
      <w:pPr>
        <w:pStyle w:val="HIPNormal"/>
        <w:rPr>
          <w:lang w:val="en-US"/>
        </w:rPr>
      </w:pPr>
      <w:r w:rsidRPr="00C45828">
        <w:rPr>
          <w:lang w:val="en-US"/>
        </w:rPr>
        <w:t xml:space="preserve">In the same way that the legislative and policy frameworks should facilitate Funds, the frameworks, should not discourage other forms of </w:t>
      </w:r>
      <w:r w:rsidRPr="00C45828">
        <w:rPr>
          <w:rFonts w:hint="eastAsia"/>
          <w:lang w:val="en-US"/>
        </w:rPr>
        <w:t>financing</w:t>
      </w:r>
      <w:r w:rsidRPr="00C45828">
        <w:rPr>
          <w:lang w:val="en-US"/>
        </w:rPr>
        <w:t xml:space="preserve"> that may not be USAF led, or even public sector led such as the financial approaches and partnerships being implemente</w:t>
      </w:r>
      <w:r>
        <w:rPr>
          <w:lang w:val="en-US"/>
        </w:rPr>
        <w:t>d</w:t>
      </w:r>
      <w:r w:rsidR="005E5682">
        <w:rPr>
          <w:lang w:val="en-US"/>
        </w:rPr>
        <w:t xml:space="preserve"> </w:t>
      </w:r>
      <w:r>
        <w:rPr>
          <w:lang w:val="en-US"/>
        </w:rPr>
        <w:t>through private initiatives inluding:</w:t>
      </w:r>
    </w:p>
    <w:p w:rsidR="0069299B" w:rsidRDefault="0069299B" w:rsidP="0069299B">
      <w:pPr>
        <w:pStyle w:val="HIPEnumlev1"/>
      </w:pPr>
      <w:r w:rsidRPr="00C45828">
        <w:t>micro-finance bank led projects</w:t>
      </w:r>
      <w:r w:rsidR="005E5682">
        <w:t xml:space="preserve"> </w:t>
      </w:r>
      <w:r>
        <w:t xml:space="preserve">(e.g. Village Phone programme through </w:t>
      </w:r>
      <w:r>
        <w:rPr>
          <w:rFonts w:hint="eastAsia"/>
        </w:rPr>
        <w:t>the</w:t>
      </w:r>
      <w:r>
        <w:t xml:space="preserve"> Grameen Telecom, Bangladesh </w:t>
      </w:r>
      <w:r>
        <w:rPr>
          <w:rFonts w:hint="eastAsia"/>
        </w:rPr>
        <w:t>and later</w:t>
      </w:r>
      <w:r>
        <w:t xml:space="preserve"> the IFC and MTN); </w:t>
      </w:r>
    </w:p>
    <w:p w:rsidR="0069299B" w:rsidRPr="00C45828" w:rsidRDefault="0069299B" w:rsidP="0069299B">
      <w:pPr>
        <w:pStyle w:val="HIPEnumlev1"/>
      </w:pPr>
      <w:r>
        <w:t xml:space="preserve">Operator led projects, including shared or public telephony projects such as that implemented by Smile Communications in Uganda which aims to bring communications to bottom of the </w:t>
      </w:r>
      <w:r>
        <w:rPr>
          <w:rFonts w:hint="eastAsia"/>
        </w:rPr>
        <w:t>pyramid</w:t>
      </w:r>
      <w:r>
        <w:t xml:space="preserve"> consumers in Africa through an </w:t>
      </w:r>
      <w:r>
        <w:rPr>
          <w:rFonts w:hint="eastAsia"/>
        </w:rPr>
        <w:t>innovative</w:t>
      </w:r>
      <w:r>
        <w:t xml:space="preserve"> WIMAX model, and</w:t>
      </w:r>
      <w:r w:rsidR="005E5682">
        <w:t xml:space="preserve"> </w:t>
      </w:r>
      <w:r w:rsidRPr="00C45828">
        <w:t>Telenor Pakistan</w:t>
      </w:r>
      <w:r w:rsidR="005E5682">
        <w:t xml:space="preserve"> </w:t>
      </w:r>
      <w:r>
        <w:t xml:space="preserve">is </w:t>
      </w:r>
      <w:r>
        <w:rPr>
          <w:rFonts w:hint="eastAsia"/>
        </w:rPr>
        <w:t>part of</w:t>
      </w:r>
      <w:r>
        <w:t xml:space="preserve"> a project that </w:t>
      </w:r>
      <w:r w:rsidRPr="00C45828">
        <w:t xml:space="preserve">works on the principle of shared access to voice, a term which refers to the sharing of a mobile phone, in the form of a supervised public payphone. </w:t>
      </w:r>
    </w:p>
    <w:p w:rsidR="008978A2" w:rsidRDefault="0069299B" w:rsidP="0069299B">
      <w:pPr>
        <w:pStyle w:val="HIPEnumlev1"/>
        <w:rPr>
          <w:lang w:val="en-GB"/>
        </w:rPr>
      </w:pPr>
      <w:r w:rsidRPr="00C45828">
        <w:t>Private development trusts, funds and foundations</w:t>
      </w:r>
      <w:r>
        <w:t>, as well as Corporate Social Responsibility programmes</w:t>
      </w:r>
    </w:p>
    <w:p w:rsidR="0069299B" w:rsidRPr="009D3E91" w:rsidRDefault="0069299B" w:rsidP="0088668E">
      <w:pPr>
        <w:pStyle w:val="HIPTabletitle"/>
      </w:pPr>
      <w:bookmarkStart w:id="73" w:name="_Toc286146545"/>
      <w:r w:rsidRPr="009D3E91">
        <w:t xml:space="preserve">Table </w:t>
      </w:r>
      <w:r w:rsidR="0088668E">
        <w:t>2.1</w:t>
      </w:r>
      <w:r w:rsidRPr="009D3E91">
        <w:t>: Conducive Policy Framework Checklist</w:t>
      </w:r>
      <w:bookmarkEnd w:id="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9287"/>
      </w:tblGrid>
      <w:tr w:rsidR="0069299B" w:rsidRPr="00A3379B" w:rsidTr="00D578A8">
        <w:tc>
          <w:tcPr>
            <w:tcW w:w="9287" w:type="dxa"/>
            <w:shd w:val="clear" w:color="auto" w:fill="EAF1DD"/>
          </w:tcPr>
          <w:p w:rsidR="0069299B" w:rsidRPr="009D3E91" w:rsidRDefault="0069299B" w:rsidP="00D23660">
            <w:pPr>
              <w:pStyle w:val="HIPTabletext"/>
              <w:rPr>
                <w:lang w:val="en-US"/>
              </w:rPr>
            </w:pPr>
            <w:r w:rsidRPr="009D3E91">
              <w:rPr>
                <w:lang w:val="en-US"/>
              </w:rPr>
              <w:t>A policy framework that supports liberalization and market reform is one of the building blocks for a successful USAF and should include:</w:t>
            </w:r>
          </w:p>
          <w:p w:rsidR="0069299B" w:rsidRPr="009D3E91" w:rsidRDefault="0069299B" w:rsidP="005E5682">
            <w:pPr>
              <w:pStyle w:val="HIPTabletext"/>
              <w:rPr>
                <w:lang w:val="en-US"/>
              </w:rPr>
            </w:pPr>
            <w:r w:rsidRPr="0069299B">
              <w:rPr>
                <w:color w:val="008000"/>
                <w:lang w:val="en-US"/>
              </w:rPr>
              <w:t>•</w:t>
            </w:r>
            <w:r w:rsidR="005E5682">
              <w:rPr>
                <w:color w:val="008000"/>
                <w:lang w:val="en-US"/>
              </w:rPr>
              <w:tab/>
            </w:r>
            <w:r w:rsidRPr="009D3E91">
              <w:rPr>
                <w:lang w:val="en-US"/>
              </w:rPr>
              <w:t>Clear ICT law and policy, with the establishment of the Fund in law;</w:t>
            </w:r>
          </w:p>
          <w:p w:rsidR="0069299B" w:rsidRPr="009D3E91" w:rsidRDefault="005E5682" w:rsidP="005E5682">
            <w:pPr>
              <w:pStyle w:val="HIPTabletext"/>
              <w:rPr>
                <w:lang w:val="en-US"/>
              </w:rPr>
            </w:pPr>
            <w:r w:rsidRPr="00D23660">
              <w:rPr>
                <w:color w:val="008000"/>
                <w:szCs w:val="21"/>
                <w:lang w:val="en-US"/>
              </w:rPr>
              <w:t>•</w:t>
            </w:r>
            <w:r>
              <w:rPr>
                <w:color w:val="008000"/>
                <w:szCs w:val="21"/>
                <w:lang w:val="en-US"/>
              </w:rPr>
              <w:tab/>
            </w:r>
            <w:r w:rsidR="0069299B" w:rsidRPr="009D3E91">
              <w:rPr>
                <w:lang w:val="en-US"/>
              </w:rPr>
              <w:t>Independent and effective national regulatory authority;</w:t>
            </w:r>
          </w:p>
          <w:p w:rsidR="0069299B" w:rsidRPr="009D3E91" w:rsidRDefault="005E5682" w:rsidP="005E5682">
            <w:pPr>
              <w:pStyle w:val="HIPTabletext"/>
              <w:rPr>
                <w:lang w:val="en-US"/>
              </w:rPr>
            </w:pPr>
            <w:r w:rsidRPr="00D23660">
              <w:rPr>
                <w:color w:val="008000"/>
                <w:szCs w:val="21"/>
                <w:lang w:val="en-US"/>
              </w:rPr>
              <w:t>•</w:t>
            </w:r>
            <w:r>
              <w:rPr>
                <w:color w:val="008000"/>
                <w:szCs w:val="21"/>
                <w:lang w:val="en-US"/>
              </w:rPr>
              <w:tab/>
            </w:r>
            <w:r w:rsidR="0069299B" w:rsidRPr="009D3E91">
              <w:rPr>
                <w:lang w:val="en-US"/>
              </w:rPr>
              <w:t>Clear institutional framework for the Fund (whether separate or within the regulator);</w:t>
            </w:r>
          </w:p>
          <w:p w:rsidR="0069299B" w:rsidRPr="009D3E91" w:rsidRDefault="005E5682" w:rsidP="005E5682">
            <w:pPr>
              <w:pStyle w:val="HIPTabletext"/>
              <w:rPr>
                <w:lang w:val="en-US"/>
              </w:rPr>
            </w:pPr>
            <w:r w:rsidRPr="00D23660">
              <w:rPr>
                <w:color w:val="008000"/>
                <w:szCs w:val="21"/>
                <w:lang w:val="en-US"/>
              </w:rPr>
              <w:t>•</w:t>
            </w:r>
            <w:r>
              <w:rPr>
                <w:color w:val="008000"/>
                <w:szCs w:val="21"/>
                <w:lang w:val="en-US"/>
              </w:rPr>
              <w:tab/>
            </w:r>
            <w:r w:rsidR="0069299B" w:rsidRPr="009D3E91">
              <w:rPr>
                <w:lang w:val="en-US"/>
              </w:rPr>
              <w:t>Robust universal service and access policy;</w:t>
            </w:r>
          </w:p>
          <w:p w:rsidR="0069299B" w:rsidRPr="009D3E91" w:rsidRDefault="005E5682" w:rsidP="005E5682">
            <w:pPr>
              <w:pStyle w:val="HIPTabletext"/>
              <w:rPr>
                <w:lang w:val="en-US"/>
              </w:rPr>
            </w:pPr>
            <w:r w:rsidRPr="00D23660">
              <w:rPr>
                <w:color w:val="008000"/>
                <w:szCs w:val="21"/>
                <w:lang w:val="en-US"/>
              </w:rPr>
              <w:t>•</w:t>
            </w:r>
            <w:r>
              <w:rPr>
                <w:color w:val="008000"/>
                <w:szCs w:val="21"/>
                <w:lang w:val="en-US"/>
              </w:rPr>
              <w:tab/>
            </w:r>
            <w:r w:rsidR="0069299B" w:rsidRPr="009D3E91">
              <w:rPr>
                <w:lang w:val="en-US"/>
              </w:rPr>
              <w:t>Clear, simple and pro-competitive licensing regime;</w:t>
            </w:r>
          </w:p>
          <w:p w:rsidR="0069299B" w:rsidRPr="009D3E91" w:rsidRDefault="005E5682" w:rsidP="005E5682">
            <w:pPr>
              <w:pStyle w:val="HIPTabletext"/>
              <w:ind w:left="709" w:hanging="709"/>
              <w:rPr>
                <w:lang w:val="en-US"/>
              </w:rPr>
            </w:pPr>
            <w:r w:rsidRPr="00D23660">
              <w:rPr>
                <w:color w:val="008000"/>
                <w:szCs w:val="21"/>
                <w:lang w:val="en-US"/>
              </w:rPr>
              <w:t>•</w:t>
            </w:r>
            <w:r>
              <w:rPr>
                <w:color w:val="008000"/>
                <w:szCs w:val="21"/>
                <w:lang w:val="en-US"/>
              </w:rPr>
              <w:tab/>
            </w:r>
            <w:r w:rsidR="0069299B" w:rsidRPr="009D3E91">
              <w:rPr>
                <w:lang w:val="en-US"/>
              </w:rPr>
              <w:t>Fair interconnection regime (with consideration given to asymmetrical regulations for rural and</w:t>
            </w:r>
            <w:r>
              <w:rPr>
                <w:lang w:val="en-US"/>
              </w:rPr>
              <w:t xml:space="preserve"> </w:t>
            </w:r>
            <w:r w:rsidR="0069299B" w:rsidRPr="009D3E91">
              <w:rPr>
                <w:lang w:val="en-US"/>
              </w:rPr>
              <w:t>underserved areas);</w:t>
            </w:r>
          </w:p>
          <w:p w:rsidR="0069299B" w:rsidRPr="009D3E91" w:rsidRDefault="005E5682" w:rsidP="005E5682">
            <w:pPr>
              <w:pStyle w:val="HIPTabletext"/>
              <w:rPr>
                <w:lang w:val="en-US"/>
              </w:rPr>
            </w:pPr>
            <w:r w:rsidRPr="00D23660">
              <w:rPr>
                <w:color w:val="008000"/>
                <w:szCs w:val="21"/>
                <w:lang w:val="en-US"/>
              </w:rPr>
              <w:t>•</w:t>
            </w:r>
            <w:r>
              <w:rPr>
                <w:color w:val="008000"/>
                <w:szCs w:val="21"/>
                <w:lang w:val="en-US"/>
              </w:rPr>
              <w:tab/>
            </w:r>
            <w:r w:rsidR="0069299B" w:rsidRPr="009D3E91">
              <w:rPr>
                <w:lang w:val="en-US"/>
              </w:rPr>
              <w:t>A framework for infrastructure sharing and facility leasing;</w:t>
            </w:r>
          </w:p>
          <w:p w:rsidR="0069299B" w:rsidRPr="009D3E91" w:rsidRDefault="005E5682" w:rsidP="005E5682">
            <w:pPr>
              <w:pStyle w:val="HIPTabletext"/>
              <w:rPr>
                <w:lang w:val="en-US"/>
              </w:rPr>
            </w:pPr>
            <w:r w:rsidRPr="00D23660">
              <w:rPr>
                <w:color w:val="008000"/>
                <w:szCs w:val="21"/>
                <w:lang w:val="en-US"/>
              </w:rPr>
              <w:t>•</w:t>
            </w:r>
            <w:r>
              <w:rPr>
                <w:color w:val="008000"/>
                <w:szCs w:val="21"/>
                <w:lang w:val="en-US"/>
              </w:rPr>
              <w:tab/>
            </w:r>
            <w:r w:rsidR="0069299B" w:rsidRPr="009D3E91">
              <w:rPr>
                <w:lang w:val="en-US"/>
              </w:rPr>
              <w:t>Effective and efficient spectrum management regime; and</w:t>
            </w:r>
          </w:p>
          <w:p w:rsidR="0069299B" w:rsidRPr="009D3E91" w:rsidRDefault="005E5682" w:rsidP="005E5682">
            <w:pPr>
              <w:pStyle w:val="HIPTabletext"/>
              <w:rPr>
                <w:lang w:val="en-US"/>
              </w:rPr>
            </w:pPr>
            <w:r w:rsidRPr="00D23660">
              <w:rPr>
                <w:color w:val="008000"/>
                <w:szCs w:val="21"/>
                <w:lang w:val="en-US"/>
              </w:rPr>
              <w:t>•</w:t>
            </w:r>
            <w:r>
              <w:rPr>
                <w:color w:val="008000"/>
                <w:szCs w:val="21"/>
                <w:lang w:val="en-US"/>
              </w:rPr>
              <w:tab/>
            </w:r>
            <w:r w:rsidR="0069299B" w:rsidRPr="009D3E91">
              <w:rPr>
                <w:lang w:val="en-US"/>
              </w:rPr>
              <w:t>Harmonization with regional and global approaches and standards.</w:t>
            </w:r>
          </w:p>
        </w:tc>
      </w:tr>
    </w:tbl>
    <w:p w:rsidR="00D578A8" w:rsidRDefault="00D578A8" w:rsidP="00D578A8">
      <w:pPr>
        <w:pStyle w:val="HIPNormal"/>
        <w:rPr>
          <w:lang w:val="en-US"/>
        </w:rPr>
      </w:pPr>
    </w:p>
    <w:p w:rsidR="00D578A8" w:rsidRPr="009D3E91" w:rsidRDefault="00D578A8" w:rsidP="00D578A8">
      <w:pPr>
        <w:pStyle w:val="HIPNormal"/>
        <w:rPr>
          <w:lang w:val="en-US"/>
        </w:rPr>
      </w:pPr>
      <w:r w:rsidRPr="009D3E91">
        <w:rPr>
          <w:lang w:val="en-US"/>
        </w:rPr>
        <w:lastRenderedPageBreak/>
        <w:t>In addition to the broader sector reform checklist, there is a specific universal service and access framework checklist that is critical in order to ensure the</w:t>
      </w:r>
      <w:r>
        <w:rPr>
          <w:lang w:val="en-US"/>
        </w:rPr>
        <w:t xml:space="preserve"> selection of the appropriate funding model. Where Funds are established, this checklist will assit in ensuring the </w:t>
      </w:r>
      <w:r w:rsidRPr="009D3E91">
        <w:rPr>
          <w:lang w:val="en-US"/>
        </w:rPr>
        <w:t xml:space="preserve">effective </w:t>
      </w:r>
      <w:r w:rsidRPr="009D3E91">
        <w:rPr>
          <w:b/>
          <w:bCs/>
          <w:i/>
          <w:iCs/>
          <w:lang w:val="en-US"/>
        </w:rPr>
        <w:t>use</w:t>
      </w:r>
      <w:r w:rsidRPr="009D3E91">
        <w:rPr>
          <w:lang w:val="en-US"/>
        </w:rPr>
        <w:t xml:space="preserve"> of Funds and the design, financing</w:t>
      </w:r>
      <w:r w:rsidR="005E5682">
        <w:rPr>
          <w:lang w:val="en-US"/>
        </w:rPr>
        <w:t xml:space="preserve"> </w:t>
      </w:r>
      <w:r w:rsidRPr="009D3E91">
        <w:rPr>
          <w:lang w:val="en-US"/>
        </w:rPr>
        <w:t>and implementation of universal access strategies and projects. The minimum policy and regulatory decisions required in this regard are:</w:t>
      </w:r>
    </w:p>
    <w:p w:rsidR="00D578A8" w:rsidRDefault="00D578A8" w:rsidP="00D578A8">
      <w:pPr>
        <w:pStyle w:val="HIPEnumlev1-num"/>
      </w:pPr>
      <w:r>
        <w:t xml:space="preserve">Legal scope and mandate of the Fund, </w:t>
      </w:r>
    </w:p>
    <w:p w:rsidR="00D578A8" w:rsidRPr="009D3E91" w:rsidRDefault="00D578A8" w:rsidP="00D578A8">
      <w:pPr>
        <w:pStyle w:val="HIPEnumlev1-num"/>
      </w:pPr>
      <w:r>
        <w:t xml:space="preserve">Any legal </w:t>
      </w:r>
      <w:r>
        <w:rPr>
          <w:rFonts w:hint="eastAsia"/>
        </w:rPr>
        <w:t>requirements</w:t>
      </w:r>
      <w:r>
        <w:t xml:space="preserve"> relating to public financing </w:t>
      </w:r>
      <w:r>
        <w:rPr>
          <w:rFonts w:hint="eastAsia"/>
        </w:rPr>
        <w:t>mechanism</w:t>
      </w:r>
      <w:r>
        <w:t>s, other than the Fund (e.g. EU State Aid Rules)</w:t>
      </w:r>
      <w:r w:rsidRPr="009D3E91">
        <w:t>;</w:t>
      </w:r>
    </w:p>
    <w:p w:rsidR="00D578A8" w:rsidRPr="009D3E91" w:rsidRDefault="00D578A8" w:rsidP="00D578A8">
      <w:pPr>
        <w:pStyle w:val="HIPEnumlev1-num"/>
      </w:pPr>
      <w:r w:rsidRPr="009D3E91">
        <w:t xml:space="preserve">Country specific definition of “universal service” and “universal access”; </w:t>
      </w:r>
    </w:p>
    <w:p w:rsidR="00D578A8" w:rsidRPr="009D3E91" w:rsidRDefault="00D578A8" w:rsidP="00D578A8">
      <w:pPr>
        <w:pStyle w:val="HIPEnumlev1-num"/>
      </w:pPr>
      <w:r w:rsidRPr="009D3E91">
        <w:t>Determination of national targets with respect to UA and US; and</w:t>
      </w:r>
    </w:p>
    <w:p w:rsidR="00D578A8" w:rsidRPr="006325D3" w:rsidRDefault="00D578A8" w:rsidP="00D578A8">
      <w:pPr>
        <w:pStyle w:val="HIPEnumlev1-num"/>
      </w:pPr>
      <w:r w:rsidRPr="009D3E91">
        <w:t>Determination of access gaps</w:t>
      </w:r>
      <w:r>
        <w:rPr>
          <w:rStyle w:val="FootnoteReference"/>
        </w:rPr>
        <w:footnoteReference w:id="20"/>
      </w:r>
      <w:r w:rsidRPr="009D3E91">
        <w:t xml:space="preserve"> and a related decision on what constitutes “underserviced areas” and who are </w:t>
      </w:r>
      <w:r w:rsidRPr="006325D3">
        <w:rPr>
          <w:b/>
          <w:bCs/>
          <w:i/>
          <w:iCs/>
        </w:rPr>
        <w:t>eligible beneficiaries.</w:t>
      </w:r>
    </w:p>
    <w:p w:rsidR="00D578A8" w:rsidRDefault="00D578A8" w:rsidP="00D578A8">
      <w:pPr>
        <w:pStyle w:val="HIPNormal"/>
        <w:rPr>
          <w:lang w:val="en-US"/>
        </w:rPr>
      </w:pPr>
      <w:r>
        <w:rPr>
          <w:lang w:val="en-US"/>
        </w:rPr>
        <w:t>The above five</w:t>
      </w:r>
      <w:r w:rsidRPr="009D3E91">
        <w:rPr>
          <w:lang w:val="en-US"/>
        </w:rPr>
        <w:t xml:space="preserve"> decisions provide parameters for the </w:t>
      </w:r>
      <w:r>
        <w:rPr>
          <w:lang w:val="en-US"/>
        </w:rPr>
        <w:t xml:space="preserve">public funding of universal access projects and </w:t>
      </w:r>
      <w:r w:rsidRPr="009D3E91">
        <w:rPr>
          <w:lang w:val="en-US"/>
        </w:rPr>
        <w:t xml:space="preserve">a “roadmap” for Fund Administrators </w:t>
      </w:r>
      <w:r>
        <w:rPr>
          <w:lang w:val="en-US"/>
        </w:rPr>
        <w:t xml:space="preserve">and project financiers </w:t>
      </w:r>
      <w:r w:rsidRPr="009D3E91">
        <w:rPr>
          <w:lang w:val="en-US"/>
        </w:rPr>
        <w:t xml:space="preserve">to assess the relevance of projects in the context of the legal and policy context, and defined socio-economic objectives. </w:t>
      </w:r>
    </w:p>
    <w:p w:rsidR="00D578A8" w:rsidRPr="009D3E91" w:rsidRDefault="00D578A8" w:rsidP="00D578A8">
      <w:pPr>
        <w:pStyle w:val="HIPNormal"/>
        <w:rPr>
          <w:lang w:val="en-US"/>
        </w:rPr>
      </w:pPr>
      <w:r w:rsidRPr="009D3E91">
        <w:rPr>
          <w:lang w:val="en-US"/>
        </w:rPr>
        <w:t xml:space="preserve">The first </w:t>
      </w:r>
      <w:r>
        <w:rPr>
          <w:lang w:val="en-US"/>
        </w:rPr>
        <w:t xml:space="preserve">two </w:t>
      </w:r>
      <w:r>
        <w:rPr>
          <w:rFonts w:hint="eastAsia"/>
          <w:lang w:val="en-US"/>
        </w:rPr>
        <w:t>criteria</w:t>
      </w:r>
      <w:r>
        <w:rPr>
          <w:lang w:val="en-US"/>
        </w:rPr>
        <w:t xml:space="preserve"> relate to </w:t>
      </w:r>
      <w:r w:rsidRPr="009D3E91">
        <w:rPr>
          <w:lang w:val="en-US"/>
        </w:rPr>
        <w:t>the legal mandate of the Fund</w:t>
      </w:r>
      <w:r>
        <w:rPr>
          <w:lang w:val="en-US"/>
        </w:rPr>
        <w:t xml:space="preserve">, and restrictions on public funding of ICT. These are </w:t>
      </w:r>
      <w:r w:rsidRPr="009D3E91">
        <w:rPr>
          <w:lang w:val="en-US"/>
        </w:rPr>
        <w:t xml:space="preserve">probably the most inflexible of the identified criteria. Quite simply, projects that fall outside of the legal mandate or scope of the Fund </w:t>
      </w:r>
      <w:r>
        <w:rPr>
          <w:lang w:val="en-US"/>
        </w:rPr>
        <w:t xml:space="preserve">or other forms of public funding </w:t>
      </w:r>
      <w:r w:rsidRPr="009D3E91">
        <w:rPr>
          <w:lang w:val="en-US"/>
        </w:rPr>
        <w:t xml:space="preserve">cannot be eligible for financing. These projects must be </w:t>
      </w:r>
      <w:r w:rsidRPr="009D3E91">
        <w:rPr>
          <w:b/>
          <w:bCs/>
          <w:i/>
          <w:iCs/>
          <w:lang w:val="en-US"/>
        </w:rPr>
        <w:t>disqualified</w:t>
      </w:r>
      <w:r w:rsidRPr="009D3E91">
        <w:rPr>
          <w:b/>
          <w:bCs/>
          <w:lang w:val="en-US"/>
        </w:rPr>
        <w:t>.</w:t>
      </w:r>
      <w:r w:rsidR="005E5682">
        <w:rPr>
          <w:b/>
          <w:bCs/>
          <w:lang w:val="en-US"/>
        </w:rPr>
        <w:t xml:space="preserve"> </w:t>
      </w:r>
      <w:r w:rsidRPr="009D3E91">
        <w:rPr>
          <w:lang w:val="en-US"/>
        </w:rPr>
        <w:t>Should the Fund find that there is a demand for the financing of services that fall outside the scope of its mandate, a legal amendment would be required.</w:t>
      </w:r>
    </w:p>
    <w:p w:rsidR="00D578A8" w:rsidRPr="009D3E91" w:rsidRDefault="00D578A8" w:rsidP="00D578A8">
      <w:pPr>
        <w:pStyle w:val="HIPNormal"/>
        <w:rPr>
          <w:lang w:val="en-US"/>
        </w:rPr>
      </w:pPr>
      <w:r w:rsidRPr="009D3E91">
        <w:rPr>
          <w:lang w:val="en-US"/>
        </w:rPr>
        <w:t>The other three cri</w:t>
      </w:r>
      <w:r>
        <w:rPr>
          <w:lang w:val="en-US"/>
        </w:rPr>
        <w:t>teria assist funders</w:t>
      </w:r>
      <w:r w:rsidRPr="009D3E91">
        <w:rPr>
          <w:lang w:val="en-US"/>
        </w:rPr>
        <w:t xml:space="preserve"> with the </w:t>
      </w:r>
      <w:r w:rsidRPr="009D3E91">
        <w:rPr>
          <w:b/>
          <w:bCs/>
          <w:i/>
          <w:iCs/>
          <w:lang w:val="en-US"/>
        </w:rPr>
        <w:t xml:space="preserve">prioritization </w:t>
      </w:r>
      <w:r w:rsidRPr="009D3E91">
        <w:rPr>
          <w:lang w:val="en-US"/>
        </w:rPr>
        <w:t>of projects.</w:t>
      </w:r>
      <w:r w:rsidR="005E5682">
        <w:rPr>
          <w:lang w:val="en-US"/>
        </w:rPr>
        <w:t xml:space="preserve"> </w:t>
      </w:r>
      <w:r w:rsidRPr="009D3E91">
        <w:rPr>
          <w:lang w:val="en-US"/>
        </w:rPr>
        <w:t xml:space="preserve">For example, if universal access (as opposed to universal service) is defined as a priority in a country, and it is furthermore defined as access to voice and data services through Multi-Purpose Community Centres; then projects geared at meeting this objective can be considered eligible for financing, and would be prioritized ahead of projects that enable personal access through, for example the provision of subsidies to categories of individual users. </w:t>
      </w:r>
    </w:p>
    <w:p w:rsidR="00D578A8" w:rsidRPr="009D3E91" w:rsidRDefault="00D578A8" w:rsidP="00D578A8">
      <w:pPr>
        <w:pStyle w:val="HIPNormal"/>
        <w:rPr>
          <w:lang w:val="en-US"/>
        </w:rPr>
      </w:pPr>
      <w:r w:rsidRPr="009D3E91">
        <w:rPr>
          <w:lang w:val="en-US"/>
        </w:rPr>
        <w:t>In another example, related to the defined universal access targets, if a Member State decides that its Fund’s key objective is the financing of infrastructure, then assuming available financing, projects related to the subsidization of personal services, e.g. the provision of cell phones to hospitals, cannot be prioritized over the rollout of a broadband network in a specified area. Countries such as Colombia, Peru, Guatemala, Chile and the Dominican Republic have met or exceeded the universal access targets set by their governments through the use of minimum subsidy auctions.</w:t>
      </w:r>
      <w:r>
        <w:rPr>
          <w:rStyle w:val="FootnoteReference"/>
        </w:rPr>
        <w:footnoteReference w:id="21"/>
      </w:r>
      <w:r w:rsidRPr="009D3E91">
        <w:rPr>
          <w:lang w:val="en-US"/>
        </w:rPr>
        <w:t xml:space="preserve"> </w:t>
      </w:r>
    </w:p>
    <w:p w:rsidR="00D578A8" w:rsidRPr="008C579A" w:rsidRDefault="00D578A8" w:rsidP="00D578A8">
      <w:pPr>
        <w:pStyle w:val="HIPNormal"/>
        <w:rPr>
          <w:lang w:val="en-US"/>
        </w:rPr>
      </w:pPr>
      <w:r w:rsidRPr="009D3E91">
        <w:rPr>
          <w:lang w:val="en-US"/>
        </w:rPr>
        <w:t>Project design and prioritization are discussed in further detail i</w:t>
      </w:r>
      <w:r>
        <w:rPr>
          <w:lang w:val="en-US"/>
        </w:rPr>
        <w:t xml:space="preserve">n </w:t>
      </w:r>
      <w:r w:rsidRPr="008C579A">
        <w:rPr>
          <w:lang w:val="en-US"/>
        </w:rPr>
        <w:t>Part 3.</w:t>
      </w:r>
    </w:p>
    <w:p w:rsidR="005E5682" w:rsidRDefault="005E5682">
      <w:pPr>
        <w:rPr>
          <w:rFonts w:ascii="Calibri" w:hAnsi="Calibri" w:cs="Arial"/>
          <w:b/>
          <w:bCs/>
          <w:color w:val="008000"/>
          <w:szCs w:val="24"/>
          <w:lang w:val="en-US"/>
        </w:rPr>
      </w:pPr>
      <w:r w:rsidRPr="00761E74">
        <w:rPr>
          <w:lang w:val="en-US"/>
        </w:rPr>
        <w:br w:type="page"/>
      </w:r>
    </w:p>
    <w:p w:rsidR="00D578A8" w:rsidRPr="009D3E91" w:rsidRDefault="00D578A8" w:rsidP="0088668E">
      <w:pPr>
        <w:pStyle w:val="HIPTabletitle"/>
      </w:pPr>
      <w:bookmarkStart w:id="74" w:name="_Toc286146546"/>
      <w:r w:rsidRPr="009D3E91">
        <w:lastRenderedPageBreak/>
        <w:t xml:space="preserve">Table </w:t>
      </w:r>
      <w:r w:rsidR="0088668E">
        <w:t>2.2</w:t>
      </w:r>
      <w:r w:rsidRPr="009D3E91">
        <w:t>: Key Reforms to Enable Universal Access</w:t>
      </w:r>
      <w:bookmarkEnd w:id="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9287"/>
      </w:tblGrid>
      <w:tr w:rsidR="00D578A8" w:rsidRPr="00A3379B" w:rsidTr="00D578A8">
        <w:tc>
          <w:tcPr>
            <w:tcW w:w="9287" w:type="dxa"/>
            <w:shd w:val="clear" w:color="auto" w:fill="EAF1DD"/>
          </w:tcPr>
          <w:p w:rsidR="00D578A8" w:rsidRPr="008C579A" w:rsidRDefault="00D578A8" w:rsidP="00D578A8">
            <w:pPr>
              <w:pStyle w:val="HIPTabletext"/>
              <w:jc w:val="left"/>
              <w:rPr>
                <w:b/>
                <w:bCs w:val="0"/>
                <w:lang w:val="en-US"/>
              </w:rPr>
            </w:pPr>
            <w:r w:rsidRPr="008C579A">
              <w:rPr>
                <w:b/>
                <w:bCs w:val="0"/>
                <w:lang w:val="en-US"/>
              </w:rPr>
              <w:t>Enabling</w:t>
            </w:r>
            <w:r w:rsidR="005E5682">
              <w:rPr>
                <w:b/>
                <w:bCs w:val="0"/>
                <w:lang w:val="en-US"/>
              </w:rPr>
              <w:t xml:space="preserve"> </w:t>
            </w:r>
            <w:r w:rsidRPr="008C579A">
              <w:rPr>
                <w:b/>
                <w:bCs w:val="0"/>
                <w:lang w:val="en-US"/>
              </w:rPr>
              <w:t>universal access</w:t>
            </w:r>
          </w:p>
          <w:p w:rsidR="00D578A8" w:rsidRPr="009D3E91" w:rsidRDefault="00D578A8" w:rsidP="00D23660">
            <w:pPr>
              <w:pStyle w:val="HIPTabletext"/>
              <w:rPr>
                <w:lang w:val="en-US"/>
              </w:rPr>
            </w:pPr>
            <w:r w:rsidRPr="009D3E91">
              <w:rPr>
                <w:lang w:val="en-US"/>
              </w:rPr>
              <w:t>The Fund must exist in a conducive regulatory environment. Sector reform is a pillar for a successful Fund. A non-exhaustive list of the key reforms that can be rolled out in parallel with a Fund include the following:</w:t>
            </w:r>
          </w:p>
          <w:p w:rsidR="00D578A8" w:rsidRPr="009D3E91" w:rsidRDefault="005E5682" w:rsidP="005E5682">
            <w:pPr>
              <w:pStyle w:val="HIPTabletext"/>
              <w:tabs>
                <w:tab w:val="left" w:pos="900"/>
              </w:tabs>
              <w:ind w:left="709" w:hanging="709"/>
              <w:rPr>
                <w:lang w:val="en-US"/>
              </w:rPr>
            </w:pPr>
            <w:r w:rsidRPr="00D23660">
              <w:rPr>
                <w:color w:val="008000"/>
                <w:szCs w:val="21"/>
                <w:lang w:val="en-US"/>
              </w:rPr>
              <w:t>•</w:t>
            </w:r>
            <w:r>
              <w:rPr>
                <w:color w:val="008000"/>
                <w:szCs w:val="21"/>
                <w:lang w:val="en-US"/>
              </w:rPr>
              <w:tab/>
            </w:r>
            <w:r w:rsidR="00D578A8" w:rsidRPr="009D3E91">
              <w:rPr>
                <w:lang w:val="en-US"/>
              </w:rPr>
              <w:t>placing obligations on operators to cover unserved areas that are considered to be commercially</w:t>
            </w:r>
            <w:r w:rsidR="00D23660">
              <w:rPr>
                <w:lang w:val="en-US"/>
              </w:rPr>
              <w:t xml:space="preserve"> </w:t>
            </w:r>
            <w:r w:rsidR="00D578A8" w:rsidRPr="009D3E91">
              <w:rPr>
                <w:lang w:val="en-US"/>
              </w:rPr>
              <w:t>viable as part of the licensing process;</w:t>
            </w:r>
          </w:p>
          <w:p w:rsidR="00D578A8" w:rsidRPr="009D3E91" w:rsidRDefault="005E5682" w:rsidP="005E5682">
            <w:pPr>
              <w:pStyle w:val="HIPTabletext"/>
              <w:tabs>
                <w:tab w:val="left" w:pos="900"/>
              </w:tabs>
              <w:ind w:left="709" w:hanging="709"/>
              <w:rPr>
                <w:lang w:val="en-US"/>
              </w:rPr>
            </w:pPr>
            <w:r w:rsidRPr="00D23660">
              <w:rPr>
                <w:color w:val="008000"/>
                <w:szCs w:val="21"/>
                <w:lang w:val="en-US"/>
              </w:rPr>
              <w:t>•</w:t>
            </w:r>
            <w:r>
              <w:rPr>
                <w:color w:val="008000"/>
                <w:szCs w:val="21"/>
                <w:lang w:val="en-US"/>
              </w:rPr>
              <w:tab/>
            </w:r>
            <w:r w:rsidR="00D578A8" w:rsidRPr="009D3E91">
              <w:rPr>
                <w:lang w:val="en-US"/>
              </w:rPr>
              <w:t xml:space="preserve">reducing regulatory fees and taxes (licensing, spectrum, import, airtime) </w:t>
            </w:r>
          </w:p>
          <w:p w:rsidR="00D578A8" w:rsidRPr="009D3E91" w:rsidRDefault="005E5682" w:rsidP="005E5682">
            <w:pPr>
              <w:pStyle w:val="HIPTabletext"/>
              <w:tabs>
                <w:tab w:val="left" w:pos="900"/>
              </w:tabs>
              <w:ind w:left="709" w:hanging="709"/>
              <w:rPr>
                <w:lang w:val="en-US"/>
              </w:rPr>
            </w:pPr>
            <w:r w:rsidRPr="00D23660">
              <w:rPr>
                <w:color w:val="008000"/>
                <w:szCs w:val="21"/>
                <w:lang w:val="en-US"/>
              </w:rPr>
              <w:t>•</w:t>
            </w:r>
            <w:r>
              <w:rPr>
                <w:color w:val="008000"/>
                <w:szCs w:val="21"/>
                <w:lang w:val="en-US"/>
              </w:rPr>
              <w:tab/>
            </w:r>
            <w:r w:rsidR="00D578A8" w:rsidRPr="009D3E91">
              <w:rPr>
                <w:lang w:val="en-US"/>
              </w:rPr>
              <w:t xml:space="preserve">removing restrictions on the use of certain radio spectrum frequencies in rural areas, deregulating VoIP, and simplifying licensing processes for regional and/or rural operators; </w:t>
            </w:r>
          </w:p>
          <w:p w:rsidR="00D578A8" w:rsidRPr="009D3E91" w:rsidRDefault="005E5682" w:rsidP="005E5682">
            <w:pPr>
              <w:pStyle w:val="HIPTabletext"/>
              <w:tabs>
                <w:tab w:val="left" w:pos="900"/>
              </w:tabs>
              <w:ind w:left="709" w:hanging="709"/>
              <w:rPr>
                <w:lang w:val="en-US"/>
              </w:rPr>
            </w:pPr>
            <w:r w:rsidRPr="00D23660">
              <w:rPr>
                <w:color w:val="008000"/>
                <w:szCs w:val="21"/>
                <w:lang w:val="en-US"/>
              </w:rPr>
              <w:t>•</w:t>
            </w:r>
            <w:r>
              <w:rPr>
                <w:color w:val="008000"/>
                <w:szCs w:val="21"/>
                <w:lang w:val="en-US"/>
              </w:rPr>
              <w:tab/>
            </w:r>
            <w:r w:rsidR="00D578A8" w:rsidRPr="009D3E91">
              <w:rPr>
                <w:lang w:val="en-US"/>
              </w:rPr>
              <w:t>facilitating interconnection (possibly asymmetrical) for rural operators and operators that are not</w:t>
            </w:r>
            <w:r w:rsidR="00D578A8">
              <w:rPr>
                <w:lang w:val="en-US"/>
              </w:rPr>
              <w:t xml:space="preserve"> </w:t>
            </w:r>
            <w:r w:rsidR="00D578A8" w:rsidRPr="009D3E91">
              <w:rPr>
                <w:lang w:val="en-US"/>
              </w:rPr>
              <w:t xml:space="preserve">dominant; </w:t>
            </w:r>
          </w:p>
          <w:p w:rsidR="00D578A8" w:rsidRPr="009D3E91" w:rsidRDefault="005E5682" w:rsidP="005E5682">
            <w:pPr>
              <w:pStyle w:val="HIPTabletext"/>
              <w:tabs>
                <w:tab w:val="left" w:pos="900"/>
              </w:tabs>
              <w:ind w:left="709" w:hanging="709"/>
              <w:rPr>
                <w:lang w:val="en-US"/>
              </w:rPr>
            </w:pPr>
            <w:r w:rsidRPr="00D23660">
              <w:rPr>
                <w:color w:val="008000"/>
                <w:szCs w:val="21"/>
                <w:lang w:val="en-US"/>
              </w:rPr>
              <w:t>•</w:t>
            </w:r>
            <w:r>
              <w:rPr>
                <w:color w:val="008000"/>
                <w:szCs w:val="21"/>
                <w:lang w:val="en-US"/>
              </w:rPr>
              <w:tab/>
            </w:r>
            <w:r w:rsidR="00D578A8" w:rsidRPr="009D3E91">
              <w:rPr>
                <w:lang w:val="en-US"/>
              </w:rPr>
              <w:t xml:space="preserve">simplifying and facilitating the process of obtaining rights-of-way; and </w:t>
            </w:r>
          </w:p>
          <w:p w:rsidR="00D578A8" w:rsidRPr="00D578A8" w:rsidRDefault="005E5682" w:rsidP="005E5682">
            <w:pPr>
              <w:pStyle w:val="HIPTabletext"/>
              <w:tabs>
                <w:tab w:val="left" w:pos="900"/>
              </w:tabs>
              <w:ind w:left="709" w:hanging="709"/>
              <w:rPr>
                <w:lang w:val="en-US"/>
              </w:rPr>
            </w:pPr>
            <w:r w:rsidRPr="00D23660">
              <w:rPr>
                <w:color w:val="008000"/>
                <w:szCs w:val="21"/>
                <w:lang w:val="en-US"/>
              </w:rPr>
              <w:t>•</w:t>
            </w:r>
            <w:r>
              <w:rPr>
                <w:color w:val="008000"/>
                <w:szCs w:val="21"/>
                <w:lang w:val="en-US"/>
              </w:rPr>
              <w:tab/>
            </w:r>
            <w:r w:rsidR="00D578A8" w:rsidRPr="009D3E91">
              <w:rPr>
                <w:lang w:val="en-US"/>
              </w:rPr>
              <w:t>requiring infrastructure-sharing between telecommunications operators, and facilitating a framework that enables sharing across sectors, i.e. with electric, gas, water and road infrastructure</w:t>
            </w:r>
            <w:r w:rsidR="00D578A8">
              <w:rPr>
                <w:lang w:val="en-US"/>
              </w:rPr>
              <w:t xml:space="preserve"> </w:t>
            </w:r>
            <w:r w:rsidR="00D578A8" w:rsidRPr="009D3E91">
              <w:rPr>
                <w:lang w:val="en-US"/>
              </w:rPr>
              <w:t>providers.</w:t>
            </w:r>
          </w:p>
        </w:tc>
      </w:tr>
    </w:tbl>
    <w:p w:rsidR="00D578A8" w:rsidRPr="00D578A8" w:rsidRDefault="0088668E" w:rsidP="0088668E">
      <w:pPr>
        <w:pStyle w:val="HIPheading3"/>
      </w:pPr>
      <w:bookmarkStart w:id="75" w:name="_Toc284597954"/>
      <w:bookmarkStart w:id="76" w:name="_Toc286144957"/>
      <w:r>
        <w:t>2.1.</w:t>
      </w:r>
      <w:r w:rsidR="00D578A8">
        <w:t>2</w:t>
      </w:r>
      <w:r w:rsidR="00D578A8">
        <w:tab/>
      </w:r>
      <w:r w:rsidR="00D578A8" w:rsidRPr="009D3E91">
        <w:t xml:space="preserve">SADC Fund Establishment </w:t>
      </w:r>
      <w:r w:rsidR="00D578A8">
        <w:t>Experience and Practice</w:t>
      </w:r>
      <w:bookmarkEnd w:id="75"/>
      <w:bookmarkEnd w:id="76"/>
      <w:r w:rsidR="00D578A8">
        <w:t xml:space="preserve"> </w:t>
      </w:r>
    </w:p>
    <w:p w:rsidR="00D578A8" w:rsidRPr="009D3E91" w:rsidRDefault="00D578A8" w:rsidP="00D578A8">
      <w:pPr>
        <w:pStyle w:val="HIPNormal"/>
        <w:rPr>
          <w:lang w:val="en-US"/>
        </w:rPr>
      </w:pPr>
      <w:r w:rsidRPr="009D3E91">
        <w:rPr>
          <w:lang w:val="en-US"/>
        </w:rPr>
        <w:t>All of the 14 SADC Member States have ICT sector policy and legislation in force. They are at varying levels of liberalization and have in almost all cases established the Fund in the context of market reform and a liberalization process.</w:t>
      </w:r>
      <w:r w:rsidR="005E5682">
        <w:rPr>
          <w:lang w:val="en-US"/>
        </w:rPr>
        <w:t xml:space="preserve"> </w:t>
      </w:r>
      <w:r w:rsidRPr="009D3E91">
        <w:rPr>
          <w:lang w:val="en-US"/>
        </w:rPr>
        <w:t>The Fund concept is addressed in the SADC Model Policy which provides for a number of policy issues including universal service and universal access and related matters such as tariffs, interconnection, frequency spectrum and numbering. With respect to establishing a Fund, the World Trade Organisation (WTO) Sample/Reference Paper on Telecommunications Services</w:t>
      </w:r>
      <w:r>
        <w:rPr>
          <w:rStyle w:val="FootnoteReference"/>
        </w:rPr>
        <w:footnoteReference w:id="22"/>
      </w:r>
      <w:r w:rsidRPr="009D3E91">
        <w:rPr>
          <w:lang w:val="en-US"/>
        </w:rPr>
        <w:t xml:space="preserve"> states that:</w:t>
      </w:r>
    </w:p>
    <w:p w:rsidR="00D578A8" w:rsidRPr="009D3E91" w:rsidRDefault="00D578A8" w:rsidP="00D578A8">
      <w:pPr>
        <w:pStyle w:val="HIPCitation"/>
      </w:pPr>
      <w:r>
        <w:tab/>
      </w:r>
      <w:r w:rsidRPr="009D3E91">
        <w:t>Any Member has the right to define the kind of universal service obligation it wishes to maintain. Such obligations will not be regarded as anti-competitive per se, provided they are administered in a transparent, non-discriminatory and competitively neutral manner and are not more burdensome than necessary for the kind of universal service defined by the Member.</w:t>
      </w:r>
    </w:p>
    <w:p w:rsidR="00D578A8" w:rsidRPr="009D3E91" w:rsidRDefault="00D578A8" w:rsidP="00D578A8">
      <w:pPr>
        <w:pStyle w:val="HIPNormal"/>
        <w:rPr>
          <w:lang w:val="en-US"/>
        </w:rPr>
      </w:pPr>
      <w:r w:rsidRPr="009D3E91">
        <w:rPr>
          <w:lang w:val="en-US"/>
        </w:rPr>
        <w:t>The USAF model as described in this Toolkit and as espoused in the SADC policy framework</w:t>
      </w:r>
      <w:r>
        <w:rPr>
          <w:lang w:val="en-US"/>
        </w:rPr>
        <w:t>,</w:t>
      </w:r>
      <w:r w:rsidRPr="009D3E91">
        <w:rPr>
          <w:lang w:val="en-US"/>
        </w:rPr>
        <w:t xml:space="preserve"> fulfills these conditions. The SADC Model Policy provides that</w:t>
      </w:r>
      <w:r w:rsidRPr="009D3E91">
        <w:rPr>
          <w:b/>
          <w:i/>
          <w:lang w:val="en-US"/>
        </w:rPr>
        <w:t>:</w:t>
      </w:r>
    </w:p>
    <w:p w:rsidR="00D578A8" w:rsidRDefault="00D578A8" w:rsidP="00D578A8">
      <w:pPr>
        <w:pStyle w:val="HIPCitation"/>
      </w:pPr>
      <w:r>
        <w:tab/>
      </w:r>
      <w:r w:rsidRPr="009D3E91">
        <w:t>To take care of the universal service obligation in its specific environment, a country may assign the responsibility of designing related policies to a Universal Service Agency/Unit, established under the auspices of either the Ministry or the Regulator. The Agency/Unit may also be responsible for ensuring the implementation of approved policies.</w:t>
      </w:r>
    </w:p>
    <w:p w:rsidR="00D578A8" w:rsidRPr="009D3E91" w:rsidRDefault="00D578A8" w:rsidP="00D578A8">
      <w:pPr>
        <w:pStyle w:val="HIPCitation"/>
      </w:pPr>
      <w:r>
        <w:tab/>
      </w:r>
      <w:r w:rsidRPr="009D3E91">
        <w:t>The fund may be set up, through one or more of the above approaches, to finance the installation of services in areas where it may not be economical to do so. Policies that encourage operators to provide telecommunications in unprofitable areas can thereby be implemented by way of government incentives through the Agency/Unit/Fund.</w:t>
      </w:r>
    </w:p>
    <w:p w:rsidR="00D578A8" w:rsidRPr="009D3E91" w:rsidRDefault="00D578A8" w:rsidP="00D578A8">
      <w:pPr>
        <w:pStyle w:val="HIPNormal"/>
        <w:rPr>
          <w:lang w:val="en-US"/>
        </w:rPr>
      </w:pPr>
      <w:r w:rsidRPr="009D3E91">
        <w:rPr>
          <w:lang w:val="en-US"/>
        </w:rPr>
        <w:lastRenderedPageBreak/>
        <w:t>Section 49 of the SADC Model Bill provides for the establishment of the USAF as follows:</w:t>
      </w:r>
    </w:p>
    <w:p w:rsidR="00D578A8" w:rsidRPr="009D3E91" w:rsidRDefault="00D578A8" w:rsidP="00D578A8">
      <w:pPr>
        <w:pStyle w:val="HIPCitation"/>
      </w:pPr>
      <w:r>
        <w:tab/>
      </w:r>
      <w:r w:rsidRPr="009D3E91">
        <w:t>The Authority shall develop annual objectives for services to be provided with the purpose of ensuring that the public telecommunication service, in particular basic telephone service, is accessible to the widest number of users.</w:t>
      </w:r>
    </w:p>
    <w:p w:rsidR="00D578A8" w:rsidRPr="009D3E91" w:rsidRDefault="00D578A8" w:rsidP="00D578A8">
      <w:pPr>
        <w:pStyle w:val="HIPCitation"/>
      </w:pPr>
      <w:r>
        <w:tab/>
      </w:r>
      <w:r w:rsidRPr="009D3E91">
        <w:t>The Authority may establish a fund into which providers of telecommunication services (public and private) shall pay any fees the Authority may prescribe as universal access development fees.</w:t>
      </w:r>
    </w:p>
    <w:p w:rsidR="00D578A8" w:rsidRPr="00DB0248" w:rsidRDefault="00D578A8" w:rsidP="00D578A8">
      <w:pPr>
        <w:pStyle w:val="HIPNormal"/>
        <w:rPr>
          <w:lang w:val="en-US"/>
        </w:rPr>
      </w:pPr>
      <w:r>
        <w:rPr>
          <w:lang w:val="en-US"/>
        </w:rPr>
        <w:tab/>
      </w:r>
      <w:r w:rsidRPr="00DB0248">
        <w:rPr>
          <w:lang w:val="en-US"/>
        </w:rPr>
        <w:t>or</w:t>
      </w:r>
    </w:p>
    <w:p w:rsidR="00D578A8" w:rsidRPr="009D3E91" w:rsidRDefault="00D578A8" w:rsidP="00D578A8">
      <w:pPr>
        <w:pStyle w:val="HIPCitation"/>
      </w:pPr>
      <w:r>
        <w:tab/>
      </w:r>
      <w:r w:rsidRPr="009D3E91">
        <w:t>The Authority may make it a condition of a grant of a license that every provider of public telecommunication services shall establish a universal access fund the proceeds of which shall solely be used with the Authority’s approval for the development and expansion of its telecommunication service infrastructure in areas where there are no services and to provide access to widest users including those with disabilities.</w:t>
      </w:r>
    </w:p>
    <w:p w:rsidR="008978A2" w:rsidRPr="0069299B" w:rsidRDefault="00D578A8" w:rsidP="00D578A8">
      <w:pPr>
        <w:pStyle w:val="HIPNormal"/>
        <w:rPr>
          <w:lang w:val="en-US"/>
        </w:rPr>
      </w:pPr>
      <w:r w:rsidRPr="009D3E91">
        <w:rPr>
          <w:lang w:val="en-US"/>
        </w:rPr>
        <w:t>A number of SADC Member States have accordingly established Funds and have developed policy and/or legislative frameworks on or supporting universal access and related implementation strategies. They have furthermore provided for the collection of levies or contributions, for the management of the Fund, for the disbursement of monies and for the design of projects at varying levels and as described briefly</w:t>
      </w:r>
      <w:r w:rsidR="005E5682">
        <w:rPr>
          <w:lang w:val="en-US"/>
        </w:rPr>
        <w:t xml:space="preserve"> </w:t>
      </w:r>
      <w:r w:rsidRPr="009D3E91">
        <w:rPr>
          <w:lang w:val="en-US"/>
        </w:rPr>
        <w:t>in Table 4 and in more detail in Annexure 1.</w:t>
      </w:r>
    </w:p>
    <w:p w:rsidR="00D578A8" w:rsidRPr="009D3E91" w:rsidRDefault="00D578A8" w:rsidP="0088668E">
      <w:pPr>
        <w:pStyle w:val="HIPTabletitle"/>
      </w:pPr>
      <w:bookmarkStart w:id="77" w:name="_Toc286146547"/>
      <w:r w:rsidRPr="009D3E91">
        <w:t xml:space="preserve">Table </w:t>
      </w:r>
      <w:r w:rsidR="0088668E">
        <w:t>2.3</w:t>
      </w:r>
      <w:r w:rsidRPr="009D3E91">
        <w:t>: Snapshot</w:t>
      </w:r>
      <w:r w:rsidR="005E5682">
        <w:t xml:space="preserve"> – </w:t>
      </w:r>
      <w:r w:rsidRPr="009D3E91">
        <w:t>Countries with Policy and Legislation on UAS</w:t>
      </w:r>
      <w:r>
        <w:rPr>
          <w:rStyle w:val="FootnoteReference"/>
        </w:rPr>
        <w:footnoteReference w:id="23"/>
      </w:r>
      <w:bookmarkEnd w:id="77"/>
    </w:p>
    <w:tbl>
      <w:tblPr>
        <w:tblW w:w="9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90"/>
        <w:gridCol w:w="2912"/>
        <w:gridCol w:w="3119"/>
        <w:gridCol w:w="1807"/>
      </w:tblGrid>
      <w:tr w:rsidR="00D578A8" w:rsidRPr="00ED0EAB" w:rsidTr="0088668E">
        <w:trPr>
          <w:tblHeader/>
          <w:jc w:val="center"/>
        </w:trPr>
        <w:tc>
          <w:tcPr>
            <w:tcW w:w="1390" w:type="dxa"/>
            <w:shd w:val="clear" w:color="auto" w:fill="008000"/>
            <w:vAlign w:val="center"/>
          </w:tcPr>
          <w:p w:rsidR="00D578A8" w:rsidRPr="005E3213" w:rsidRDefault="00D578A8" w:rsidP="00DF469E">
            <w:pPr>
              <w:pStyle w:val="HIPTablehead"/>
            </w:pPr>
            <w:bookmarkStart w:id="78" w:name="_Toc281153697"/>
            <w:r w:rsidRPr="005F66D6">
              <w:t>Country</w:t>
            </w:r>
            <w:bookmarkEnd w:id="78"/>
          </w:p>
        </w:tc>
        <w:tc>
          <w:tcPr>
            <w:tcW w:w="2912" w:type="dxa"/>
            <w:shd w:val="clear" w:color="auto" w:fill="008000"/>
            <w:vAlign w:val="center"/>
          </w:tcPr>
          <w:p w:rsidR="00D578A8" w:rsidRPr="005E3213" w:rsidRDefault="00D578A8" w:rsidP="00DF469E">
            <w:pPr>
              <w:pStyle w:val="HIPTablehead"/>
            </w:pPr>
            <w:bookmarkStart w:id="79" w:name="_Toc281153698"/>
            <w:r w:rsidRPr="005F66D6">
              <w:t>Policy</w:t>
            </w:r>
            <w:bookmarkEnd w:id="79"/>
          </w:p>
        </w:tc>
        <w:tc>
          <w:tcPr>
            <w:tcW w:w="3119" w:type="dxa"/>
            <w:shd w:val="clear" w:color="auto" w:fill="008000"/>
            <w:vAlign w:val="center"/>
          </w:tcPr>
          <w:p w:rsidR="00D578A8" w:rsidRPr="005E3213" w:rsidRDefault="00D578A8" w:rsidP="00DF469E">
            <w:pPr>
              <w:pStyle w:val="HIPTablehead"/>
            </w:pPr>
            <w:bookmarkStart w:id="80" w:name="_Toc281153699"/>
            <w:r w:rsidRPr="005F66D6">
              <w:t>Enabling Legislation</w:t>
            </w:r>
            <w:bookmarkEnd w:id="80"/>
            <w:r w:rsidRPr="005F66D6">
              <w:t xml:space="preserve"> for Fund</w:t>
            </w:r>
          </w:p>
        </w:tc>
        <w:tc>
          <w:tcPr>
            <w:tcW w:w="1807" w:type="dxa"/>
            <w:shd w:val="clear" w:color="auto" w:fill="008000"/>
            <w:vAlign w:val="center"/>
          </w:tcPr>
          <w:p w:rsidR="00D578A8" w:rsidRPr="005E3213" w:rsidRDefault="00D578A8" w:rsidP="00DF469E">
            <w:pPr>
              <w:pStyle w:val="HIPTablehead"/>
            </w:pPr>
            <w:bookmarkStart w:id="81" w:name="_Toc281153700"/>
            <w:r w:rsidRPr="005F66D6">
              <w:t>Fund Name &amp; Est</w:t>
            </w:r>
            <w:bookmarkEnd w:id="81"/>
          </w:p>
        </w:tc>
      </w:tr>
      <w:tr w:rsidR="00D578A8" w:rsidRPr="00ED0EAB" w:rsidTr="002F6B83">
        <w:trPr>
          <w:jc w:val="center"/>
        </w:trPr>
        <w:tc>
          <w:tcPr>
            <w:tcW w:w="1390" w:type="dxa"/>
            <w:tcBorders>
              <w:bottom w:val="single" w:sz="4" w:space="0" w:color="auto"/>
            </w:tcBorders>
          </w:tcPr>
          <w:p w:rsidR="00D578A8" w:rsidRPr="005E5682" w:rsidRDefault="00D578A8" w:rsidP="00D578A8">
            <w:pPr>
              <w:pStyle w:val="HIPTabletext"/>
              <w:jc w:val="left"/>
              <w:rPr>
                <w:b/>
                <w:bCs w:val="0"/>
                <w:sz w:val="20"/>
              </w:rPr>
            </w:pPr>
            <w:bookmarkStart w:id="82" w:name="_Toc281153708"/>
            <w:r w:rsidRPr="005E5682">
              <w:rPr>
                <w:b/>
                <w:bCs w:val="0"/>
                <w:sz w:val="20"/>
              </w:rPr>
              <w:t>Angola</w:t>
            </w:r>
            <w:bookmarkEnd w:id="82"/>
          </w:p>
        </w:tc>
        <w:tc>
          <w:tcPr>
            <w:tcW w:w="2912" w:type="dxa"/>
            <w:tcBorders>
              <w:bottom w:val="single" w:sz="4" w:space="0" w:color="auto"/>
            </w:tcBorders>
          </w:tcPr>
          <w:p w:rsidR="00D578A8" w:rsidRPr="005E5682" w:rsidRDefault="00D578A8" w:rsidP="00D578A8">
            <w:pPr>
              <w:pStyle w:val="HIPTabletext"/>
              <w:jc w:val="left"/>
              <w:rPr>
                <w:sz w:val="20"/>
              </w:rPr>
            </w:pPr>
          </w:p>
        </w:tc>
        <w:tc>
          <w:tcPr>
            <w:tcW w:w="3119" w:type="dxa"/>
            <w:tcBorders>
              <w:bottom w:val="single" w:sz="4" w:space="0" w:color="auto"/>
            </w:tcBorders>
          </w:tcPr>
          <w:p w:rsidR="00D578A8" w:rsidRPr="005E5682" w:rsidRDefault="00D578A8" w:rsidP="00D578A8">
            <w:pPr>
              <w:pStyle w:val="HIPTabletext"/>
              <w:jc w:val="left"/>
              <w:rPr>
                <w:sz w:val="20"/>
              </w:rPr>
            </w:pPr>
            <w:r w:rsidRPr="005E5682">
              <w:rPr>
                <w:sz w:val="20"/>
              </w:rPr>
              <w:t>Basic Telecommunications Law (2001)</w:t>
            </w:r>
          </w:p>
        </w:tc>
        <w:tc>
          <w:tcPr>
            <w:tcW w:w="1807" w:type="dxa"/>
            <w:tcBorders>
              <w:bottom w:val="single" w:sz="4" w:space="0" w:color="auto"/>
            </w:tcBorders>
          </w:tcPr>
          <w:p w:rsidR="00D578A8" w:rsidRPr="005E5682" w:rsidRDefault="00D578A8" w:rsidP="00D578A8">
            <w:pPr>
              <w:pStyle w:val="HIPTabletext"/>
              <w:jc w:val="left"/>
              <w:rPr>
                <w:sz w:val="20"/>
              </w:rPr>
            </w:pPr>
            <w:r w:rsidRPr="005E5682">
              <w:rPr>
                <w:sz w:val="20"/>
              </w:rPr>
              <w:t>2001</w:t>
            </w:r>
            <w:r w:rsidRPr="005E5682">
              <w:rPr>
                <w:rStyle w:val="FootnoteReference"/>
                <w:sz w:val="20"/>
              </w:rPr>
              <w:footnoteReference w:id="24"/>
            </w:r>
          </w:p>
        </w:tc>
      </w:tr>
      <w:tr w:rsidR="00D578A8" w:rsidRPr="00ED0EAB" w:rsidTr="002F6B83">
        <w:trPr>
          <w:jc w:val="center"/>
        </w:trPr>
        <w:tc>
          <w:tcPr>
            <w:tcW w:w="1390" w:type="dxa"/>
            <w:shd w:val="clear" w:color="auto" w:fill="EAF1DD"/>
          </w:tcPr>
          <w:p w:rsidR="00D578A8" w:rsidRPr="005E5682" w:rsidRDefault="00D578A8" w:rsidP="00D578A8">
            <w:pPr>
              <w:pStyle w:val="HIPTabletext"/>
              <w:jc w:val="left"/>
              <w:rPr>
                <w:b/>
                <w:bCs w:val="0"/>
                <w:sz w:val="20"/>
              </w:rPr>
            </w:pPr>
            <w:bookmarkStart w:id="83" w:name="_Toc281153709"/>
            <w:r w:rsidRPr="005E5682">
              <w:rPr>
                <w:b/>
                <w:bCs w:val="0"/>
                <w:sz w:val="20"/>
              </w:rPr>
              <w:t>Botswana</w:t>
            </w:r>
            <w:bookmarkEnd w:id="83"/>
            <w:r w:rsidRPr="005E5682">
              <w:rPr>
                <w:b/>
                <w:bCs w:val="0"/>
                <w:sz w:val="20"/>
              </w:rPr>
              <w:t xml:space="preserve"> </w:t>
            </w:r>
          </w:p>
        </w:tc>
        <w:tc>
          <w:tcPr>
            <w:tcW w:w="2912" w:type="dxa"/>
            <w:shd w:val="clear" w:color="auto" w:fill="EAF1DD"/>
          </w:tcPr>
          <w:p w:rsidR="00D578A8" w:rsidRPr="005E5682" w:rsidRDefault="00D578A8" w:rsidP="00D578A8">
            <w:pPr>
              <w:pStyle w:val="HIPTabletext"/>
              <w:jc w:val="left"/>
              <w:rPr>
                <w:sz w:val="20"/>
                <w:lang w:val="en-US"/>
              </w:rPr>
            </w:pPr>
            <w:r w:rsidRPr="005E5682">
              <w:rPr>
                <w:sz w:val="20"/>
                <w:lang w:val="en-US"/>
              </w:rPr>
              <w:t>Draft Universal Access/Service Policy, 2008 (expected policy in 2010/2011)</w:t>
            </w:r>
          </w:p>
        </w:tc>
        <w:tc>
          <w:tcPr>
            <w:tcW w:w="3119" w:type="dxa"/>
            <w:shd w:val="clear" w:color="auto" w:fill="EAF1DD"/>
          </w:tcPr>
          <w:p w:rsidR="00D578A8" w:rsidRPr="005E5682" w:rsidRDefault="00D578A8" w:rsidP="00D578A8">
            <w:pPr>
              <w:pStyle w:val="HIPTabletext"/>
              <w:jc w:val="left"/>
              <w:rPr>
                <w:sz w:val="20"/>
                <w:lang w:val="en-US"/>
              </w:rPr>
            </w:pPr>
            <w:bookmarkStart w:id="84" w:name="_Toc281153710"/>
            <w:r w:rsidRPr="005E5682">
              <w:rPr>
                <w:sz w:val="20"/>
                <w:lang w:val="en-US"/>
              </w:rPr>
              <w:t>Not Provided in Existing Law</w:t>
            </w:r>
            <w:bookmarkEnd w:id="84"/>
          </w:p>
        </w:tc>
        <w:tc>
          <w:tcPr>
            <w:tcW w:w="1807" w:type="dxa"/>
            <w:shd w:val="clear" w:color="auto" w:fill="EAF1DD"/>
          </w:tcPr>
          <w:p w:rsidR="00D578A8" w:rsidRPr="005E5682" w:rsidRDefault="00D578A8" w:rsidP="00D578A8">
            <w:pPr>
              <w:pStyle w:val="HIPTabletext"/>
              <w:jc w:val="left"/>
              <w:rPr>
                <w:sz w:val="20"/>
              </w:rPr>
            </w:pPr>
            <w:r w:rsidRPr="005E5682">
              <w:rPr>
                <w:sz w:val="20"/>
              </w:rPr>
              <w:t>Not yet established</w:t>
            </w:r>
          </w:p>
        </w:tc>
      </w:tr>
      <w:tr w:rsidR="00D578A8" w:rsidRPr="00ED0EAB" w:rsidTr="002F6B83">
        <w:trPr>
          <w:jc w:val="center"/>
        </w:trPr>
        <w:tc>
          <w:tcPr>
            <w:tcW w:w="1390" w:type="dxa"/>
            <w:tcBorders>
              <w:bottom w:val="single" w:sz="4" w:space="0" w:color="auto"/>
            </w:tcBorders>
          </w:tcPr>
          <w:p w:rsidR="00D578A8" w:rsidRPr="005E5682" w:rsidRDefault="00D578A8" w:rsidP="00D578A8">
            <w:pPr>
              <w:pStyle w:val="HIPTabletext"/>
              <w:jc w:val="left"/>
              <w:rPr>
                <w:b/>
                <w:bCs w:val="0"/>
                <w:sz w:val="20"/>
              </w:rPr>
            </w:pPr>
            <w:bookmarkStart w:id="85" w:name="_Toc281153711"/>
            <w:r w:rsidRPr="005E5682">
              <w:rPr>
                <w:b/>
                <w:bCs w:val="0"/>
                <w:sz w:val="20"/>
              </w:rPr>
              <w:t>DRC</w:t>
            </w:r>
            <w:bookmarkEnd w:id="85"/>
          </w:p>
        </w:tc>
        <w:tc>
          <w:tcPr>
            <w:tcW w:w="2912" w:type="dxa"/>
            <w:tcBorders>
              <w:bottom w:val="single" w:sz="4" w:space="0" w:color="auto"/>
            </w:tcBorders>
          </w:tcPr>
          <w:p w:rsidR="00D578A8" w:rsidRPr="005E5682" w:rsidRDefault="00D578A8" w:rsidP="00D578A8">
            <w:pPr>
              <w:pStyle w:val="HIPTabletext"/>
              <w:jc w:val="left"/>
              <w:rPr>
                <w:sz w:val="20"/>
              </w:rPr>
            </w:pPr>
            <w:r w:rsidRPr="005E5682">
              <w:rPr>
                <w:sz w:val="20"/>
              </w:rPr>
              <w:t xml:space="preserve">No policy </w:t>
            </w:r>
          </w:p>
        </w:tc>
        <w:tc>
          <w:tcPr>
            <w:tcW w:w="3119" w:type="dxa"/>
            <w:tcBorders>
              <w:bottom w:val="single" w:sz="4" w:space="0" w:color="auto"/>
            </w:tcBorders>
          </w:tcPr>
          <w:p w:rsidR="00D578A8" w:rsidRPr="005E5682" w:rsidRDefault="00D578A8" w:rsidP="00D578A8">
            <w:pPr>
              <w:pStyle w:val="HIPTabletext"/>
              <w:jc w:val="left"/>
              <w:rPr>
                <w:sz w:val="20"/>
              </w:rPr>
            </w:pPr>
            <w:r w:rsidRPr="005E5682">
              <w:rPr>
                <w:sz w:val="20"/>
              </w:rPr>
              <w:t>Telecommunications Act</w:t>
            </w:r>
          </w:p>
        </w:tc>
        <w:tc>
          <w:tcPr>
            <w:tcW w:w="1807" w:type="dxa"/>
            <w:tcBorders>
              <w:bottom w:val="single" w:sz="4" w:space="0" w:color="auto"/>
            </w:tcBorders>
          </w:tcPr>
          <w:p w:rsidR="00D578A8" w:rsidRPr="005E5682" w:rsidRDefault="00D578A8" w:rsidP="00D578A8">
            <w:pPr>
              <w:pStyle w:val="HIPTabletext"/>
              <w:jc w:val="left"/>
              <w:rPr>
                <w:sz w:val="20"/>
              </w:rPr>
            </w:pPr>
            <w:r w:rsidRPr="005E5682">
              <w:rPr>
                <w:sz w:val="20"/>
              </w:rPr>
              <w:t>Universal Service Fund, 2002</w:t>
            </w:r>
          </w:p>
        </w:tc>
      </w:tr>
      <w:tr w:rsidR="00D578A8" w:rsidRPr="00ED0EAB" w:rsidTr="002F6B83">
        <w:trPr>
          <w:jc w:val="center"/>
        </w:trPr>
        <w:tc>
          <w:tcPr>
            <w:tcW w:w="1390" w:type="dxa"/>
            <w:shd w:val="clear" w:color="auto" w:fill="EAF1DD"/>
          </w:tcPr>
          <w:p w:rsidR="00D578A8" w:rsidRPr="005E5682" w:rsidRDefault="00D578A8" w:rsidP="00D578A8">
            <w:pPr>
              <w:pStyle w:val="HIPTabletext"/>
              <w:jc w:val="left"/>
              <w:rPr>
                <w:b/>
                <w:bCs w:val="0"/>
                <w:sz w:val="20"/>
              </w:rPr>
            </w:pPr>
            <w:bookmarkStart w:id="86" w:name="_Toc281153712"/>
            <w:r w:rsidRPr="005E5682">
              <w:rPr>
                <w:b/>
                <w:bCs w:val="0"/>
                <w:sz w:val="20"/>
              </w:rPr>
              <w:t>Lesotho</w:t>
            </w:r>
            <w:bookmarkEnd w:id="86"/>
          </w:p>
        </w:tc>
        <w:tc>
          <w:tcPr>
            <w:tcW w:w="2912" w:type="dxa"/>
            <w:shd w:val="clear" w:color="auto" w:fill="EAF1DD"/>
          </w:tcPr>
          <w:p w:rsidR="00D578A8" w:rsidRPr="005E5682" w:rsidRDefault="00D578A8" w:rsidP="00D578A8">
            <w:pPr>
              <w:pStyle w:val="HIPTabletext"/>
              <w:jc w:val="left"/>
              <w:rPr>
                <w:sz w:val="20"/>
                <w:lang w:val="en-US"/>
              </w:rPr>
            </w:pPr>
            <w:bookmarkStart w:id="87" w:name="_Toc281153713"/>
            <w:r w:rsidRPr="005E5682">
              <w:rPr>
                <w:sz w:val="20"/>
                <w:lang w:val="en-US"/>
              </w:rPr>
              <w:t>No policy however the Lesotho Communications Authority has in place the Universal Access/Service Strategy of 2007</w:t>
            </w:r>
            <w:bookmarkEnd w:id="87"/>
          </w:p>
        </w:tc>
        <w:tc>
          <w:tcPr>
            <w:tcW w:w="3119" w:type="dxa"/>
            <w:shd w:val="clear" w:color="auto" w:fill="EAF1DD"/>
          </w:tcPr>
          <w:p w:rsidR="00D578A8" w:rsidRPr="005E5682" w:rsidRDefault="00D578A8" w:rsidP="00D578A8">
            <w:pPr>
              <w:pStyle w:val="HIPTabletext"/>
              <w:jc w:val="left"/>
              <w:rPr>
                <w:sz w:val="20"/>
                <w:lang w:val="en-US"/>
              </w:rPr>
            </w:pPr>
            <w:r w:rsidRPr="005E5682">
              <w:rPr>
                <w:sz w:val="20"/>
                <w:lang w:val="en-US"/>
              </w:rPr>
              <w:t>Lesotho Telecommunications Authority Act, 2000</w:t>
            </w:r>
            <w:r w:rsidR="005E5682" w:rsidRPr="005E5682">
              <w:rPr>
                <w:sz w:val="20"/>
                <w:lang w:val="en-US"/>
              </w:rPr>
              <w:t xml:space="preserve"> </w:t>
            </w:r>
          </w:p>
          <w:p w:rsidR="00D578A8" w:rsidRPr="005E5682" w:rsidRDefault="00D578A8" w:rsidP="00D578A8">
            <w:pPr>
              <w:pStyle w:val="HIPTabletext"/>
              <w:jc w:val="left"/>
              <w:rPr>
                <w:sz w:val="20"/>
                <w:lang w:val="en-US"/>
              </w:rPr>
            </w:pPr>
            <w:r w:rsidRPr="005E5682">
              <w:rPr>
                <w:sz w:val="20"/>
                <w:lang w:val="en-US"/>
              </w:rPr>
              <w:t>Lesotho Communications Authority Universal Access Fund Rules, 2009</w:t>
            </w:r>
            <w:r w:rsidR="005E5682" w:rsidRPr="005E5682">
              <w:rPr>
                <w:sz w:val="20"/>
                <w:lang w:val="en-US"/>
              </w:rPr>
              <w:t xml:space="preserve"> </w:t>
            </w:r>
          </w:p>
          <w:p w:rsidR="00D578A8" w:rsidRPr="005E5682" w:rsidRDefault="00D578A8" w:rsidP="00D578A8">
            <w:pPr>
              <w:pStyle w:val="HIPTabletext"/>
              <w:jc w:val="left"/>
              <w:rPr>
                <w:sz w:val="20"/>
              </w:rPr>
            </w:pPr>
            <w:r w:rsidRPr="005E5682">
              <w:rPr>
                <w:sz w:val="20"/>
              </w:rPr>
              <w:t>Draft Communications Bill, 2009</w:t>
            </w:r>
          </w:p>
        </w:tc>
        <w:tc>
          <w:tcPr>
            <w:tcW w:w="1807" w:type="dxa"/>
            <w:shd w:val="clear" w:color="auto" w:fill="EAF1DD"/>
          </w:tcPr>
          <w:p w:rsidR="00D578A8" w:rsidRPr="005E5682" w:rsidRDefault="00D578A8" w:rsidP="00D578A8">
            <w:pPr>
              <w:pStyle w:val="HIPTabletext"/>
              <w:jc w:val="left"/>
              <w:rPr>
                <w:sz w:val="20"/>
              </w:rPr>
            </w:pPr>
          </w:p>
        </w:tc>
      </w:tr>
      <w:tr w:rsidR="00D578A8" w:rsidRPr="00ED0EAB" w:rsidTr="002F6B83">
        <w:trPr>
          <w:jc w:val="center"/>
        </w:trPr>
        <w:tc>
          <w:tcPr>
            <w:tcW w:w="1390" w:type="dxa"/>
            <w:tcBorders>
              <w:bottom w:val="single" w:sz="4" w:space="0" w:color="auto"/>
            </w:tcBorders>
          </w:tcPr>
          <w:p w:rsidR="00D578A8" w:rsidRPr="005E5682" w:rsidRDefault="00D578A8" w:rsidP="00D578A8">
            <w:pPr>
              <w:pStyle w:val="HIPTabletext"/>
              <w:jc w:val="left"/>
              <w:rPr>
                <w:b/>
                <w:bCs w:val="0"/>
                <w:sz w:val="20"/>
              </w:rPr>
            </w:pPr>
            <w:bookmarkStart w:id="88" w:name="_Toc281153714"/>
            <w:r w:rsidRPr="005E5682">
              <w:rPr>
                <w:b/>
                <w:bCs w:val="0"/>
                <w:sz w:val="20"/>
              </w:rPr>
              <w:t>Malawi</w:t>
            </w:r>
            <w:bookmarkEnd w:id="88"/>
          </w:p>
        </w:tc>
        <w:tc>
          <w:tcPr>
            <w:tcW w:w="2912" w:type="dxa"/>
            <w:tcBorders>
              <w:bottom w:val="single" w:sz="4" w:space="0" w:color="auto"/>
            </w:tcBorders>
          </w:tcPr>
          <w:p w:rsidR="00D578A8" w:rsidRPr="005E5682" w:rsidRDefault="00D578A8" w:rsidP="00D578A8">
            <w:pPr>
              <w:pStyle w:val="HIPTabletext"/>
              <w:jc w:val="left"/>
              <w:rPr>
                <w:sz w:val="20"/>
              </w:rPr>
            </w:pPr>
            <w:bookmarkStart w:id="89" w:name="_Toc281153715"/>
            <w:r w:rsidRPr="005E5682">
              <w:rPr>
                <w:sz w:val="20"/>
              </w:rPr>
              <w:t>Draft National ICT Policy 2009</w:t>
            </w:r>
            <w:bookmarkEnd w:id="89"/>
          </w:p>
        </w:tc>
        <w:tc>
          <w:tcPr>
            <w:tcW w:w="3119" w:type="dxa"/>
            <w:tcBorders>
              <w:bottom w:val="single" w:sz="4" w:space="0" w:color="auto"/>
            </w:tcBorders>
          </w:tcPr>
          <w:p w:rsidR="00D578A8" w:rsidRPr="005E5682" w:rsidRDefault="00D578A8" w:rsidP="00D578A8">
            <w:pPr>
              <w:pStyle w:val="HIPTabletext"/>
              <w:jc w:val="left"/>
              <w:rPr>
                <w:sz w:val="20"/>
                <w:lang w:val="en-US"/>
              </w:rPr>
            </w:pPr>
            <w:bookmarkStart w:id="90" w:name="_Toc281153716"/>
            <w:r w:rsidRPr="005E5682">
              <w:rPr>
                <w:sz w:val="20"/>
                <w:lang w:val="en-US"/>
              </w:rPr>
              <w:t>Not Provided in Communications Act 1998</w:t>
            </w:r>
            <w:bookmarkEnd w:id="90"/>
          </w:p>
          <w:p w:rsidR="00D578A8" w:rsidRPr="005E5682" w:rsidRDefault="00D578A8" w:rsidP="00D578A8">
            <w:pPr>
              <w:pStyle w:val="HIPTabletext"/>
              <w:jc w:val="left"/>
              <w:rPr>
                <w:sz w:val="20"/>
                <w:lang w:val="en-US"/>
              </w:rPr>
            </w:pPr>
            <w:bookmarkStart w:id="91" w:name="_Toc281153717"/>
            <w:r w:rsidRPr="005E5682">
              <w:rPr>
                <w:sz w:val="20"/>
                <w:lang w:val="en-US"/>
              </w:rPr>
              <w:t>Draft Amendment to Communications Bill 2009 intends to provide on universal access/service</w:t>
            </w:r>
            <w:bookmarkEnd w:id="91"/>
          </w:p>
        </w:tc>
        <w:tc>
          <w:tcPr>
            <w:tcW w:w="1807" w:type="dxa"/>
            <w:tcBorders>
              <w:bottom w:val="single" w:sz="4" w:space="0" w:color="auto"/>
            </w:tcBorders>
          </w:tcPr>
          <w:p w:rsidR="00D578A8" w:rsidRPr="005E5682" w:rsidRDefault="00D578A8" w:rsidP="00D578A8">
            <w:pPr>
              <w:pStyle w:val="HIPTabletext"/>
              <w:jc w:val="left"/>
              <w:rPr>
                <w:sz w:val="20"/>
              </w:rPr>
            </w:pPr>
            <w:r w:rsidRPr="005E5682">
              <w:rPr>
                <w:sz w:val="20"/>
              </w:rPr>
              <w:t>Not yet established</w:t>
            </w:r>
          </w:p>
        </w:tc>
      </w:tr>
      <w:tr w:rsidR="00D578A8" w:rsidRPr="00ED0EAB" w:rsidTr="002F6B83">
        <w:trPr>
          <w:jc w:val="center"/>
        </w:trPr>
        <w:tc>
          <w:tcPr>
            <w:tcW w:w="1390" w:type="dxa"/>
            <w:shd w:val="clear" w:color="auto" w:fill="EAF1DD"/>
          </w:tcPr>
          <w:p w:rsidR="00D578A8" w:rsidRPr="005E5682" w:rsidRDefault="00D578A8" w:rsidP="00D578A8">
            <w:pPr>
              <w:pStyle w:val="HIPTabletext"/>
              <w:jc w:val="left"/>
              <w:rPr>
                <w:b/>
                <w:bCs w:val="0"/>
                <w:sz w:val="20"/>
              </w:rPr>
            </w:pPr>
            <w:bookmarkStart w:id="92" w:name="_Toc281153718"/>
            <w:r w:rsidRPr="005E5682">
              <w:rPr>
                <w:b/>
                <w:bCs w:val="0"/>
                <w:sz w:val="20"/>
              </w:rPr>
              <w:lastRenderedPageBreak/>
              <w:t>Mauritius</w:t>
            </w:r>
            <w:bookmarkEnd w:id="92"/>
          </w:p>
        </w:tc>
        <w:tc>
          <w:tcPr>
            <w:tcW w:w="2912" w:type="dxa"/>
            <w:shd w:val="clear" w:color="auto" w:fill="EAF1DD"/>
          </w:tcPr>
          <w:p w:rsidR="00D578A8" w:rsidRPr="005E5682" w:rsidDel="001F5FC9" w:rsidRDefault="00D578A8" w:rsidP="00D578A8">
            <w:pPr>
              <w:pStyle w:val="HIPTabletext"/>
              <w:jc w:val="left"/>
              <w:rPr>
                <w:sz w:val="20"/>
              </w:rPr>
            </w:pPr>
          </w:p>
        </w:tc>
        <w:tc>
          <w:tcPr>
            <w:tcW w:w="3119" w:type="dxa"/>
            <w:tcBorders>
              <w:bottom w:val="single" w:sz="4" w:space="0" w:color="auto"/>
            </w:tcBorders>
            <w:shd w:val="clear" w:color="auto" w:fill="EAF1DD"/>
          </w:tcPr>
          <w:p w:rsidR="00D578A8" w:rsidRPr="005E5682" w:rsidRDefault="00D578A8" w:rsidP="00D578A8">
            <w:pPr>
              <w:pStyle w:val="HIPTabletext"/>
              <w:jc w:val="left"/>
              <w:rPr>
                <w:sz w:val="20"/>
                <w:lang w:val="en-US"/>
              </w:rPr>
            </w:pPr>
            <w:r w:rsidRPr="005E5682">
              <w:rPr>
                <w:sz w:val="20"/>
                <w:lang w:val="en-US"/>
              </w:rPr>
              <w:t>ICT Act, 2001</w:t>
            </w:r>
          </w:p>
          <w:p w:rsidR="00D578A8" w:rsidRPr="005E5682" w:rsidRDefault="00D578A8" w:rsidP="00D578A8">
            <w:pPr>
              <w:pStyle w:val="HIPTabletext"/>
              <w:jc w:val="left"/>
              <w:rPr>
                <w:sz w:val="20"/>
                <w:lang w:val="en-US"/>
              </w:rPr>
            </w:pPr>
            <w:r w:rsidRPr="005E5682">
              <w:rPr>
                <w:sz w:val="20"/>
                <w:lang w:val="en-US"/>
              </w:rPr>
              <w:t>Regulations (GN 206 of 2008) on Universal Service</w:t>
            </w:r>
          </w:p>
        </w:tc>
        <w:tc>
          <w:tcPr>
            <w:tcW w:w="1807" w:type="dxa"/>
            <w:shd w:val="clear" w:color="auto" w:fill="EAF1DD"/>
          </w:tcPr>
          <w:p w:rsidR="00D578A8" w:rsidRPr="005E5682" w:rsidRDefault="00D578A8" w:rsidP="00D578A8">
            <w:pPr>
              <w:pStyle w:val="HIPTabletext"/>
              <w:jc w:val="left"/>
              <w:rPr>
                <w:sz w:val="20"/>
              </w:rPr>
            </w:pPr>
            <w:r w:rsidRPr="005E5682">
              <w:rPr>
                <w:sz w:val="20"/>
              </w:rPr>
              <w:t>2001, under ICTA (effective 2008)</w:t>
            </w:r>
          </w:p>
        </w:tc>
      </w:tr>
      <w:tr w:rsidR="00D578A8" w:rsidRPr="00A3379B" w:rsidTr="002F6B83">
        <w:trPr>
          <w:jc w:val="center"/>
        </w:trPr>
        <w:tc>
          <w:tcPr>
            <w:tcW w:w="1390" w:type="dxa"/>
            <w:tcBorders>
              <w:bottom w:val="single" w:sz="4" w:space="0" w:color="auto"/>
            </w:tcBorders>
          </w:tcPr>
          <w:p w:rsidR="00D578A8" w:rsidRPr="005E5682" w:rsidRDefault="00D578A8" w:rsidP="00D578A8">
            <w:pPr>
              <w:pStyle w:val="HIPTabletext"/>
              <w:jc w:val="left"/>
              <w:rPr>
                <w:b/>
                <w:bCs w:val="0"/>
                <w:sz w:val="20"/>
              </w:rPr>
            </w:pPr>
            <w:bookmarkStart w:id="93" w:name="_Toc281153719"/>
            <w:r w:rsidRPr="005E5682">
              <w:rPr>
                <w:b/>
                <w:bCs w:val="0"/>
                <w:sz w:val="20"/>
              </w:rPr>
              <w:t>Mozambique</w:t>
            </w:r>
            <w:bookmarkEnd w:id="93"/>
          </w:p>
        </w:tc>
        <w:tc>
          <w:tcPr>
            <w:tcW w:w="2912" w:type="dxa"/>
            <w:tcBorders>
              <w:bottom w:val="single" w:sz="4" w:space="0" w:color="auto"/>
            </w:tcBorders>
          </w:tcPr>
          <w:p w:rsidR="00D578A8" w:rsidRPr="005E5682" w:rsidRDefault="00D578A8" w:rsidP="00D578A8">
            <w:pPr>
              <w:pStyle w:val="HIPTabletext"/>
              <w:jc w:val="left"/>
              <w:rPr>
                <w:sz w:val="20"/>
              </w:rPr>
            </w:pPr>
            <w:bookmarkStart w:id="94" w:name="_Toc281153720"/>
            <w:r w:rsidRPr="005E5682">
              <w:rPr>
                <w:sz w:val="20"/>
              </w:rPr>
              <w:t>Telecommunication Policy 2004</w:t>
            </w:r>
            <w:bookmarkEnd w:id="94"/>
          </w:p>
        </w:tc>
        <w:tc>
          <w:tcPr>
            <w:tcW w:w="3119" w:type="dxa"/>
            <w:tcBorders>
              <w:bottom w:val="single" w:sz="4" w:space="0" w:color="auto"/>
            </w:tcBorders>
            <w:shd w:val="clear" w:color="auto" w:fill="auto"/>
          </w:tcPr>
          <w:p w:rsidR="00D578A8" w:rsidRPr="005E5682" w:rsidRDefault="00D578A8" w:rsidP="00D578A8">
            <w:pPr>
              <w:pStyle w:val="HIPTabletext"/>
              <w:jc w:val="left"/>
              <w:rPr>
                <w:sz w:val="20"/>
                <w:lang w:val="en-US"/>
              </w:rPr>
            </w:pPr>
            <w:bookmarkStart w:id="95" w:name="_Toc281153721"/>
            <w:r w:rsidRPr="005E5682">
              <w:rPr>
                <w:sz w:val="20"/>
                <w:lang w:val="en-US"/>
              </w:rPr>
              <w:t>Telecommunication Law No. 8 of 2004</w:t>
            </w:r>
            <w:bookmarkEnd w:id="95"/>
          </w:p>
          <w:p w:rsidR="00D578A8" w:rsidRPr="005E5682" w:rsidRDefault="00D578A8" w:rsidP="00D578A8">
            <w:pPr>
              <w:pStyle w:val="HIPTabletext"/>
              <w:jc w:val="left"/>
              <w:rPr>
                <w:sz w:val="20"/>
                <w:lang w:val="en-US"/>
              </w:rPr>
            </w:pPr>
            <w:bookmarkStart w:id="96" w:name="_Toc281153722"/>
            <w:r w:rsidRPr="005E5682">
              <w:rPr>
                <w:sz w:val="20"/>
                <w:lang w:val="en-US"/>
              </w:rPr>
              <w:t>Decree No. 69 of 2006 approved the regulation of Universal access and Service Fund</w:t>
            </w:r>
            <w:bookmarkEnd w:id="96"/>
          </w:p>
        </w:tc>
        <w:tc>
          <w:tcPr>
            <w:tcW w:w="1807" w:type="dxa"/>
            <w:tcBorders>
              <w:bottom w:val="single" w:sz="4" w:space="0" w:color="auto"/>
            </w:tcBorders>
          </w:tcPr>
          <w:p w:rsidR="00D578A8" w:rsidRPr="005E5682" w:rsidRDefault="00D578A8" w:rsidP="00D578A8">
            <w:pPr>
              <w:pStyle w:val="HIPTabletext"/>
              <w:jc w:val="left"/>
              <w:rPr>
                <w:sz w:val="20"/>
                <w:lang w:val="en-US"/>
              </w:rPr>
            </w:pPr>
            <w:r w:rsidRPr="005E5682">
              <w:rPr>
                <w:sz w:val="20"/>
                <w:lang w:val="en-US"/>
              </w:rPr>
              <w:t>2004, under the regulator INCM (operational 2006)</w:t>
            </w:r>
          </w:p>
        </w:tc>
      </w:tr>
      <w:tr w:rsidR="00D578A8" w:rsidRPr="00ED0EAB" w:rsidTr="002F6B83">
        <w:trPr>
          <w:jc w:val="center"/>
        </w:trPr>
        <w:tc>
          <w:tcPr>
            <w:tcW w:w="1390" w:type="dxa"/>
            <w:shd w:val="clear" w:color="auto" w:fill="EAF1DD"/>
          </w:tcPr>
          <w:p w:rsidR="00D578A8" w:rsidRPr="005E5682" w:rsidRDefault="00D578A8" w:rsidP="00D578A8">
            <w:pPr>
              <w:pStyle w:val="HIPTabletext"/>
              <w:jc w:val="left"/>
              <w:rPr>
                <w:b/>
                <w:bCs w:val="0"/>
                <w:sz w:val="20"/>
              </w:rPr>
            </w:pPr>
            <w:bookmarkStart w:id="97" w:name="_Toc281153723"/>
            <w:r w:rsidRPr="005E5682">
              <w:rPr>
                <w:b/>
                <w:bCs w:val="0"/>
                <w:sz w:val="20"/>
              </w:rPr>
              <w:t>Namibia</w:t>
            </w:r>
            <w:bookmarkEnd w:id="97"/>
            <w:r w:rsidRPr="005E5682">
              <w:rPr>
                <w:b/>
                <w:bCs w:val="0"/>
                <w:sz w:val="20"/>
              </w:rPr>
              <w:t xml:space="preserve"> </w:t>
            </w:r>
          </w:p>
        </w:tc>
        <w:tc>
          <w:tcPr>
            <w:tcW w:w="2912" w:type="dxa"/>
            <w:shd w:val="clear" w:color="auto" w:fill="EAF1DD"/>
          </w:tcPr>
          <w:p w:rsidR="00D578A8" w:rsidRPr="005E5682" w:rsidRDefault="00D578A8" w:rsidP="00D578A8">
            <w:pPr>
              <w:pStyle w:val="HIPTabletext"/>
              <w:jc w:val="left"/>
              <w:rPr>
                <w:sz w:val="20"/>
              </w:rPr>
            </w:pPr>
            <w:bookmarkStart w:id="98" w:name="_Toc281153724"/>
            <w:r w:rsidRPr="005E5682">
              <w:rPr>
                <w:sz w:val="20"/>
              </w:rPr>
              <w:t>Draft ICT Policy 2009</w:t>
            </w:r>
            <w:bookmarkEnd w:id="98"/>
            <w:r w:rsidRPr="005E5682">
              <w:rPr>
                <w:sz w:val="20"/>
              </w:rPr>
              <w:t xml:space="preserve"> </w:t>
            </w:r>
          </w:p>
        </w:tc>
        <w:tc>
          <w:tcPr>
            <w:tcW w:w="3119" w:type="dxa"/>
            <w:shd w:val="clear" w:color="auto" w:fill="EAF1DD"/>
          </w:tcPr>
          <w:p w:rsidR="00D578A8" w:rsidRPr="005E5682" w:rsidRDefault="00D578A8" w:rsidP="00D578A8">
            <w:pPr>
              <w:pStyle w:val="HIPTabletext"/>
              <w:jc w:val="left"/>
              <w:rPr>
                <w:sz w:val="20"/>
                <w:lang w:val="en-US"/>
              </w:rPr>
            </w:pPr>
            <w:bookmarkStart w:id="99" w:name="_Toc281153725"/>
            <w:r w:rsidRPr="005E5682">
              <w:rPr>
                <w:sz w:val="20"/>
                <w:lang w:val="en-US"/>
              </w:rPr>
              <w:t>Not Provided in Existing Law</w:t>
            </w:r>
            <w:bookmarkEnd w:id="99"/>
          </w:p>
          <w:p w:rsidR="00D578A8" w:rsidRPr="005E5682" w:rsidRDefault="00D578A8" w:rsidP="00D578A8">
            <w:pPr>
              <w:pStyle w:val="HIPTabletext"/>
              <w:jc w:val="left"/>
              <w:rPr>
                <w:sz w:val="20"/>
                <w:lang w:val="en-US"/>
              </w:rPr>
            </w:pPr>
            <w:bookmarkStart w:id="100" w:name="_Toc281153726"/>
            <w:r w:rsidRPr="005E5682">
              <w:rPr>
                <w:sz w:val="20"/>
                <w:lang w:val="en-US"/>
              </w:rPr>
              <w:t>Provided for in Draft Communication Bill 2009</w:t>
            </w:r>
            <w:bookmarkEnd w:id="100"/>
          </w:p>
        </w:tc>
        <w:tc>
          <w:tcPr>
            <w:tcW w:w="1807" w:type="dxa"/>
            <w:shd w:val="clear" w:color="auto" w:fill="EAF1DD"/>
          </w:tcPr>
          <w:p w:rsidR="00D578A8" w:rsidRPr="005E5682" w:rsidRDefault="00D578A8" w:rsidP="00D578A8">
            <w:pPr>
              <w:pStyle w:val="HIPTabletext"/>
              <w:jc w:val="left"/>
              <w:rPr>
                <w:sz w:val="20"/>
              </w:rPr>
            </w:pPr>
            <w:r w:rsidRPr="005E5682">
              <w:rPr>
                <w:sz w:val="20"/>
              </w:rPr>
              <w:t>Not yet established</w:t>
            </w:r>
          </w:p>
        </w:tc>
      </w:tr>
      <w:tr w:rsidR="00D578A8" w:rsidRPr="00ED0EAB" w:rsidTr="002F6B83">
        <w:trPr>
          <w:jc w:val="center"/>
        </w:trPr>
        <w:tc>
          <w:tcPr>
            <w:tcW w:w="1390" w:type="dxa"/>
            <w:tcBorders>
              <w:bottom w:val="single" w:sz="4" w:space="0" w:color="auto"/>
            </w:tcBorders>
          </w:tcPr>
          <w:p w:rsidR="00D578A8" w:rsidRPr="005E5682" w:rsidRDefault="00D578A8" w:rsidP="00D578A8">
            <w:pPr>
              <w:pStyle w:val="HIPTabletext"/>
              <w:jc w:val="left"/>
              <w:rPr>
                <w:b/>
                <w:bCs w:val="0"/>
                <w:sz w:val="20"/>
              </w:rPr>
            </w:pPr>
            <w:r w:rsidRPr="005E5682">
              <w:rPr>
                <w:b/>
                <w:bCs w:val="0"/>
                <w:sz w:val="20"/>
              </w:rPr>
              <w:t>Seychelles</w:t>
            </w:r>
          </w:p>
        </w:tc>
        <w:tc>
          <w:tcPr>
            <w:tcW w:w="2912" w:type="dxa"/>
            <w:tcBorders>
              <w:bottom w:val="single" w:sz="4" w:space="0" w:color="auto"/>
            </w:tcBorders>
          </w:tcPr>
          <w:p w:rsidR="00D578A8" w:rsidRPr="005E5682" w:rsidRDefault="00D578A8" w:rsidP="00D578A8">
            <w:pPr>
              <w:pStyle w:val="HIPTabletext"/>
              <w:jc w:val="left"/>
              <w:rPr>
                <w:sz w:val="20"/>
              </w:rPr>
            </w:pPr>
          </w:p>
        </w:tc>
        <w:tc>
          <w:tcPr>
            <w:tcW w:w="3119" w:type="dxa"/>
            <w:tcBorders>
              <w:bottom w:val="single" w:sz="4" w:space="0" w:color="auto"/>
            </w:tcBorders>
          </w:tcPr>
          <w:p w:rsidR="00D578A8" w:rsidRPr="005E5682" w:rsidRDefault="00D578A8" w:rsidP="00D578A8">
            <w:pPr>
              <w:pStyle w:val="HIPTabletext"/>
              <w:jc w:val="left"/>
              <w:rPr>
                <w:sz w:val="20"/>
              </w:rPr>
            </w:pPr>
          </w:p>
        </w:tc>
        <w:tc>
          <w:tcPr>
            <w:tcW w:w="1807" w:type="dxa"/>
            <w:tcBorders>
              <w:bottom w:val="single" w:sz="4" w:space="0" w:color="auto"/>
            </w:tcBorders>
          </w:tcPr>
          <w:p w:rsidR="00D578A8" w:rsidRPr="005E5682" w:rsidRDefault="00D578A8" w:rsidP="00D578A8">
            <w:pPr>
              <w:pStyle w:val="HIPTabletext"/>
              <w:jc w:val="left"/>
              <w:rPr>
                <w:sz w:val="20"/>
              </w:rPr>
            </w:pPr>
            <w:r w:rsidRPr="005E5682">
              <w:rPr>
                <w:sz w:val="20"/>
              </w:rPr>
              <w:t>No Fund</w:t>
            </w:r>
          </w:p>
        </w:tc>
      </w:tr>
      <w:tr w:rsidR="00D578A8" w:rsidRPr="00A3379B" w:rsidTr="002F6B83">
        <w:trPr>
          <w:jc w:val="center"/>
        </w:trPr>
        <w:tc>
          <w:tcPr>
            <w:tcW w:w="1390" w:type="dxa"/>
            <w:shd w:val="clear" w:color="auto" w:fill="EAF1DD"/>
          </w:tcPr>
          <w:p w:rsidR="00D578A8" w:rsidRPr="005E5682" w:rsidRDefault="00D578A8" w:rsidP="00D23660">
            <w:pPr>
              <w:pStyle w:val="HIPTabletext"/>
              <w:jc w:val="left"/>
              <w:rPr>
                <w:b/>
                <w:bCs w:val="0"/>
                <w:sz w:val="20"/>
              </w:rPr>
            </w:pPr>
            <w:bookmarkStart w:id="101" w:name="_Toc281153727"/>
            <w:r w:rsidRPr="005E5682">
              <w:rPr>
                <w:b/>
                <w:bCs w:val="0"/>
                <w:sz w:val="20"/>
              </w:rPr>
              <w:t>South Africa</w:t>
            </w:r>
            <w:bookmarkEnd w:id="101"/>
          </w:p>
        </w:tc>
        <w:tc>
          <w:tcPr>
            <w:tcW w:w="2912" w:type="dxa"/>
            <w:shd w:val="clear" w:color="auto" w:fill="EAF1DD"/>
          </w:tcPr>
          <w:p w:rsidR="00D578A8" w:rsidRPr="005E5682" w:rsidRDefault="00D578A8" w:rsidP="00D578A8">
            <w:pPr>
              <w:pStyle w:val="HIPTabletext"/>
              <w:jc w:val="left"/>
              <w:rPr>
                <w:sz w:val="20"/>
                <w:lang w:val="en-US"/>
              </w:rPr>
            </w:pPr>
            <w:bookmarkStart w:id="102" w:name="_Toc281153728"/>
            <w:r w:rsidRPr="005E5682">
              <w:rPr>
                <w:sz w:val="20"/>
                <w:lang w:val="en-US"/>
              </w:rPr>
              <w:t>Draft Broadband Policy, 2009</w:t>
            </w:r>
            <w:bookmarkEnd w:id="102"/>
          </w:p>
          <w:p w:rsidR="00D578A8" w:rsidRPr="005E5682" w:rsidRDefault="00D578A8" w:rsidP="00D578A8">
            <w:pPr>
              <w:pStyle w:val="HIPTabletext"/>
              <w:jc w:val="left"/>
              <w:rPr>
                <w:sz w:val="20"/>
                <w:lang w:val="en-US"/>
              </w:rPr>
            </w:pPr>
            <w:bookmarkStart w:id="103" w:name="_Toc281153729"/>
            <w:r w:rsidRPr="005E5682">
              <w:rPr>
                <w:sz w:val="20"/>
                <w:lang w:val="en-US"/>
              </w:rPr>
              <w:t>Policy Directives on USALS</w:t>
            </w:r>
            <w:bookmarkEnd w:id="103"/>
          </w:p>
          <w:p w:rsidR="00D578A8" w:rsidRPr="005E5682" w:rsidRDefault="00D578A8" w:rsidP="00D578A8">
            <w:pPr>
              <w:pStyle w:val="HIPTabletext"/>
              <w:jc w:val="left"/>
              <w:rPr>
                <w:sz w:val="20"/>
                <w:lang w:val="en-GB"/>
              </w:rPr>
            </w:pPr>
            <w:r w:rsidRPr="005E5682">
              <w:rPr>
                <w:sz w:val="20"/>
                <w:lang w:val="en-GB"/>
              </w:rPr>
              <w:t>Phase 1: 2005/6</w:t>
            </w:r>
          </w:p>
          <w:p w:rsidR="00D578A8" w:rsidRPr="005E5682" w:rsidRDefault="00D578A8" w:rsidP="00D578A8">
            <w:pPr>
              <w:pStyle w:val="HIPTabletext"/>
              <w:jc w:val="left"/>
              <w:rPr>
                <w:sz w:val="20"/>
                <w:lang w:val="en-GB"/>
              </w:rPr>
            </w:pPr>
            <w:r w:rsidRPr="005E5682">
              <w:rPr>
                <w:sz w:val="20"/>
                <w:lang w:val="en-GB"/>
              </w:rPr>
              <w:t>Phase 2: 2006/7</w:t>
            </w:r>
          </w:p>
          <w:p w:rsidR="00D578A8" w:rsidRPr="005E5682" w:rsidRDefault="00D578A8" w:rsidP="00D578A8">
            <w:pPr>
              <w:pStyle w:val="HIPTabletext"/>
              <w:jc w:val="left"/>
              <w:rPr>
                <w:sz w:val="20"/>
                <w:lang w:val="en-GB"/>
              </w:rPr>
            </w:pPr>
            <w:r w:rsidRPr="005E5682">
              <w:rPr>
                <w:sz w:val="20"/>
                <w:lang w:val="en-GB"/>
              </w:rPr>
              <w:t>Phase 3: 2007</w:t>
            </w:r>
          </w:p>
        </w:tc>
        <w:tc>
          <w:tcPr>
            <w:tcW w:w="3119" w:type="dxa"/>
            <w:shd w:val="clear" w:color="auto" w:fill="EAF1DD"/>
          </w:tcPr>
          <w:p w:rsidR="00D578A8" w:rsidRPr="005E5682" w:rsidRDefault="00D578A8" w:rsidP="00D578A8">
            <w:pPr>
              <w:pStyle w:val="HIPTabletext"/>
              <w:jc w:val="left"/>
              <w:rPr>
                <w:sz w:val="20"/>
                <w:lang w:val="en-US"/>
              </w:rPr>
            </w:pPr>
            <w:bookmarkStart w:id="104" w:name="_Toc281153730"/>
            <w:r w:rsidRPr="005E5682">
              <w:rPr>
                <w:sz w:val="20"/>
                <w:lang w:val="en-US"/>
              </w:rPr>
              <w:t>Telecommunications Act , 2007 and later (when repealed) Electronic Communications Act No 36 of 2005</w:t>
            </w:r>
            <w:bookmarkEnd w:id="104"/>
          </w:p>
        </w:tc>
        <w:tc>
          <w:tcPr>
            <w:tcW w:w="1807" w:type="dxa"/>
            <w:shd w:val="clear" w:color="auto" w:fill="EAF1DD"/>
          </w:tcPr>
          <w:p w:rsidR="00D578A8" w:rsidRPr="005E5682" w:rsidRDefault="00D578A8" w:rsidP="00D578A8">
            <w:pPr>
              <w:pStyle w:val="HIPTabletext"/>
              <w:jc w:val="left"/>
              <w:rPr>
                <w:sz w:val="20"/>
                <w:lang w:val="en-US"/>
              </w:rPr>
            </w:pPr>
            <w:r w:rsidRPr="005E5682">
              <w:rPr>
                <w:sz w:val="20"/>
                <w:lang w:val="en-US"/>
              </w:rPr>
              <w:t>Universal Service and Access Fund of South Africa (USAASA), 1997</w:t>
            </w:r>
          </w:p>
        </w:tc>
      </w:tr>
      <w:tr w:rsidR="00D578A8" w:rsidRPr="00A3379B" w:rsidTr="002F6B83">
        <w:trPr>
          <w:jc w:val="center"/>
        </w:trPr>
        <w:tc>
          <w:tcPr>
            <w:tcW w:w="1390" w:type="dxa"/>
            <w:tcBorders>
              <w:bottom w:val="single" w:sz="4" w:space="0" w:color="auto"/>
            </w:tcBorders>
          </w:tcPr>
          <w:p w:rsidR="00D578A8" w:rsidRPr="005E5682" w:rsidRDefault="00D578A8" w:rsidP="00D578A8">
            <w:pPr>
              <w:pStyle w:val="HIPTabletext"/>
              <w:jc w:val="left"/>
              <w:rPr>
                <w:b/>
                <w:bCs w:val="0"/>
                <w:sz w:val="20"/>
              </w:rPr>
            </w:pPr>
            <w:bookmarkStart w:id="105" w:name="_Toc281153731"/>
            <w:r w:rsidRPr="005E5682">
              <w:rPr>
                <w:b/>
                <w:bCs w:val="0"/>
                <w:sz w:val="20"/>
              </w:rPr>
              <w:t>Swaziland</w:t>
            </w:r>
            <w:bookmarkEnd w:id="105"/>
            <w:r w:rsidRPr="005E5682">
              <w:rPr>
                <w:b/>
                <w:bCs w:val="0"/>
                <w:sz w:val="20"/>
              </w:rPr>
              <w:t xml:space="preserve"> </w:t>
            </w:r>
          </w:p>
        </w:tc>
        <w:tc>
          <w:tcPr>
            <w:tcW w:w="2912" w:type="dxa"/>
            <w:tcBorders>
              <w:bottom w:val="single" w:sz="4" w:space="0" w:color="auto"/>
            </w:tcBorders>
          </w:tcPr>
          <w:p w:rsidR="00D578A8" w:rsidRPr="005E5682" w:rsidRDefault="00D578A8" w:rsidP="00D578A8">
            <w:pPr>
              <w:pStyle w:val="HIPTabletext"/>
              <w:jc w:val="left"/>
              <w:rPr>
                <w:sz w:val="20"/>
              </w:rPr>
            </w:pPr>
            <w:bookmarkStart w:id="106" w:name="_Toc281153732"/>
            <w:r w:rsidRPr="005E5682">
              <w:rPr>
                <w:sz w:val="20"/>
              </w:rPr>
              <w:t>Not Yet</w:t>
            </w:r>
            <w:bookmarkEnd w:id="106"/>
          </w:p>
          <w:p w:rsidR="00D578A8" w:rsidRPr="005E5682" w:rsidRDefault="00D578A8" w:rsidP="00D578A8">
            <w:pPr>
              <w:pStyle w:val="HIPTabletext"/>
              <w:jc w:val="left"/>
              <w:rPr>
                <w:sz w:val="20"/>
              </w:rPr>
            </w:pPr>
          </w:p>
        </w:tc>
        <w:tc>
          <w:tcPr>
            <w:tcW w:w="3119" w:type="dxa"/>
            <w:tcBorders>
              <w:bottom w:val="single" w:sz="4" w:space="0" w:color="auto"/>
            </w:tcBorders>
          </w:tcPr>
          <w:p w:rsidR="00D578A8" w:rsidRPr="005E5682" w:rsidRDefault="00D578A8" w:rsidP="00D578A8">
            <w:pPr>
              <w:pStyle w:val="HIPTabletext"/>
              <w:jc w:val="left"/>
              <w:rPr>
                <w:sz w:val="20"/>
              </w:rPr>
            </w:pPr>
            <w:r w:rsidRPr="005E5682">
              <w:rPr>
                <w:sz w:val="20"/>
              </w:rPr>
              <w:t>Electronic Communications Act (2009)</w:t>
            </w:r>
          </w:p>
        </w:tc>
        <w:tc>
          <w:tcPr>
            <w:tcW w:w="1807" w:type="dxa"/>
            <w:tcBorders>
              <w:bottom w:val="single" w:sz="4" w:space="0" w:color="auto"/>
            </w:tcBorders>
          </w:tcPr>
          <w:p w:rsidR="00D578A8" w:rsidRPr="005E5682" w:rsidRDefault="00D578A8" w:rsidP="00D578A8">
            <w:pPr>
              <w:pStyle w:val="HIPTabletext"/>
              <w:jc w:val="left"/>
              <w:rPr>
                <w:sz w:val="20"/>
                <w:lang w:val="en-US"/>
              </w:rPr>
            </w:pPr>
            <w:r w:rsidRPr="005E5682">
              <w:rPr>
                <w:sz w:val="20"/>
                <w:lang w:val="en-US"/>
              </w:rPr>
              <w:t>Rural Access Fund</w:t>
            </w:r>
            <w:r w:rsidRPr="005E5682">
              <w:rPr>
                <w:rStyle w:val="FootnoteReference"/>
                <w:sz w:val="20"/>
              </w:rPr>
              <w:footnoteReference w:id="25"/>
            </w:r>
            <w:r w:rsidRPr="005E5682">
              <w:rPr>
                <w:sz w:val="20"/>
                <w:lang w:val="en-US"/>
              </w:rPr>
              <w:t xml:space="preserve"> will work with the USF</w:t>
            </w:r>
          </w:p>
        </w:tc>
      </w:tr>
      <w:tr w:rsidR="00D578A8" w:rsidRPr="00A3379B" w:rsidTr="002F6B83">
        <w:trPr>
          <w:jc w:val="center"/>
        </w:trPr>
        <w:tc>
          <w:tcPr>
            <w:tcW w:w="1390" w:type="dxa"/>
            <w:shd w:val="clear" w:color="auto" w:fill="EAF1DD"/>
          </w:tcPr>
          <w:p w:rsidR="00D578A8" w:rsidRPr="005E5682" w:rsidRDefault="00D578A8" w:rsidP="00D578A8">
            <w:pPr>
              <w:pStyle w:val="HIPTabletext"/>
              <w:jc w:val="left"/>
              <w:rPr>
                <w:b/>
                <w:bCs w:val="0"/>
                <w:sz w:val="20"/>
              </w:rPr>
            </w:pPr>
            <w:bookmarkStart w:id="107" w:name="_Toc281153734"/>
            <w:r w:rsidRPr="005E5682">
              <w:rPr>
                <w:b/>
                <w:bCs w:val="0"/>
                <w:sz w:val="20"/>
              </w:rPr>
              <w:t>Tanzania</w:t>
            </w:r>
            <w:bookmarkEnd w:id="107"/>
            <w:r w:rsidRPr="005E5682">
              <w:rPr>
                <w:b/>
                <w:bCs w:val="0"/>
                <w:sz w:val="20"/>
              </w:rPr>
              <w:t xml:space="preserve"> </w:t>
            </w:r>
          </w:p>
        </w:tc>
        <w:tc>
          <w:tcPr>
            <w:tcW w:w="2912" w:type="dxa"/>
            <w:shd w:val="clear" w:color="auto" w:fill="EAF1DD"/>
          </w:tcPr>
          <w:p w:rsidR="00D578A8" w:rsidRPr="005E5682" w:rsidRDefault="00D578A8" w:rsidP="00D578A8">
            <w:pPr>
              <w:pStyle w:val="HIPTabletext"/>
              <w:jc w:val="left"/>
              <w:rPr>
                <w:sz w:val="20"/>
                <w:lang w:val="en-US"/>
              </w:rPr>
            </w:pPr>
            <w:bookmarkStart w:id="108" w:name="_Toc281153735"/>
            <w:r w:rsidRPr="005E5682">
              <w:rPr>
                <w:sz w:val="20"/>
                <w:lang w:val="en-US"/>
              </w:rPr>
              <w:t>National Telecommunications Policy of 1997</w:t>
            </w:r>
            <w:bookmarkEnd w:id="108"/>
          </w:p>
          <w:p w:rsidR="00D578A8" w:rsidRPr="005E5682" w:rsidRDefault="00D578A8" w:rsidP="00D578A8">
            <w:pPr>
              <w:pStyle w:val="HIPTabletext"/>
              <w:jc w:val="left"/>
              <w:rPr>
                <w:sz w:val="20"/>
                <w:lang w:val="en-US"/>
              </w:rPr>
            </w:pPr>
            <w:r w:rsidRPr="005E5682">
              <w:rPr>
                <w:sz w:val="20"/>
                <w:lang w:val="en-US"/>
              </w:rPr>
              <w:t>National ICT Policy of</w:t>
            </w:r>
            <w:r w:rsidR="005E5682" w:rsidRPr="005E5682">
              <w:rPr>
                <w:sz w:val="20"/>
                <w:lang w:val="en-US"/>
              </w:rPr>
              <w:t xml:space="preserve"> </w:t>
            </w:r>
            <w:r w:rsidRPr="005E5682">
              <w:rPr>
                <w:sz w:val="20"/>
                <w:lang w:val="en-US"/>
              </w:rPr>
              <w:t>2003</w:t>
            </w:r>
          </w:p>
          <w:p w:rsidR="00D578A8" w:rsidRPr="005E5682" w:rsidRDefault="00D578A8" w:rsidP="00D578A8">
            <w:pPr>
              <w:pStyle w:val="HIPTabletext"/>
              <w:jc w:val="left"/>
              <w:rPr>
                <w:sz w:val="20"/>
                <w:lang w:val="en-US"/>
              </w:rPr>
            </w:pPr>
          </w:p>
        </w:tc>
        <w:tc>
          <w:tcPr>
            <w:tcW w:w="3119" w:type="dxa"/>
            <w:shd w:val="clear" w:color="auto" w:fill="EAF1DD"/>
          </w:tcPr>
          <w:p w:rsidR="00D578A8" w:rsidRPr="005E5682" w:rsidRDefault="00D578A8" w:rsidP="00D578A8">
            <w:pPr>
              <w:pStyle w:val="HIPTabletext"/>
              <w:jc w:val="left"/>
              <w:rPr>
                <w:sz w:val="20"/>
                <w:lang w:val="en-US"/>
              </w:rPr>
            </w:pPr>
            <w:bookmarkStart w:id="109" w:name="_Toc281153736"/>
            <w:r w:rsidRPr="005E5682">
              <w:rPr>
                <w:sz w:val="20"/>
                <w:lang w:val="en-US"/>
              </w:rPr>
              <w:t>Universal Communications Service Access Act of 2006</w:t>
            </w:r>
            <w:bookmarkEnd w:id="109"/>
          </w:p>
          <w:p w:rsidR="00D578A8" w:rsidRPr="005E5682" w:rsidRDefault="00D578A8" w:rsidP="00D578A8">
            <w:pPr>
              <w:pStyle w:val="HIPTabletext"/>
              <w:jc w:val="left"/>
              <w:rPr>
                <w:sz w:val="20"/>
              </w:rPr>
            </w:pPr>
            <w:r w:rsidRPr="005E5682">
              <w:rPr>
                <w:sz w:val="20"/>
              </w:rPr>
              <w:t>Universal Communications Service Access Fund Regulations, 2009</w:t>
            </w:r>
          </w:p>
        </w:tc>
        <w:tc>
          <w:tcPr>
            <w:tcW w:w="1807" w:type="dxa"/>
            <w:shd w:val="clear" w:color="auto" w:fill="EAF1DD"/>
          </w:tcPr>
          <w:p w:rsidR="00D578A8" w:rsidRPr="005E5682" w:rsidRDefault="00D578A8" w:rsidP="00D578A8">
            <w:pPr>
              <w:pStyle w:val="HIPTabletext"/>
              <w:jc w:val="left"/>
              <w:rPr>
                <w:sz w:val="20"/>
                <w:lang w:val="en-US"/>
              </w:rPr>
            </w:pPr>
            <w:r w:rsidRPr="005E5682">
              <w:rPr>
                <w:sz w:val="20"/>
                <w:lang w:val="en-US"/>
              </w:rPr>
              <w:t>Universal Access Communications Fund (UCAF), 2006 (operational 2009)</w:t>
            </w:r>
          </w:p>
        </w:tc>
      </w:tr>
      <w:tr w:rsidR="00D578A8" w:rsidRPr="00ED0EAB" w:rsidTr="002F6B83">
        <w:trPr>
          <w:jc w:val="center"/>
        </w:trPr>
        <w:tc>
          <w:tcPr>
            <w:tcW w:w="1390" w:type="dxa"/>
            <w:tcBorders>
              <w:bottom w:val="single" w:sz="4" w:space="0" w:color="auto"/>
            </w:tcBorders>
          </w:tcPr>
          <w:p w:rsidR="00D578A8" w:rsidRPr="005E5682" w:rsidRDefault="00D578A8" w:rsidP="00D578A8">
            <w:pPr>
              <w:pStyle w:val="HIPTabletext"/>
              <w:jc w:val="left"/>
              <w:rPr>
                <w:b/>
                <w:bCs w:val="0"/>
                <w:sz w:val="20"/>
              </w:rPr>
            </w:pPr>
            <w:bookmarkStart w:id="110" w:name="_Toc281153737"/>
            <w:r w:rsidRPr="005E5682">
              <w:rPr>
                <w:b/>
                <w:bCs w:val="0"/>
                <w:sz w:val="20"/>
              </w:rPr>
              <w:t>Zambia</w:t>
            </w:r>
            <w:bookmarkEnd w:id="110"/>
          </w:p>
        </w:tc>
        <w:tc>
          <w:tcPr>
            <w:tcW w:w="2912" w:type="dxa"/>
            <w:tcBorders>
              <w:bottom w:val="single" w:sz="4" w:space="0" w:color="auto"/>
            </w:tcBorders>
          </w:tcPr>
          <w:p w:rsidR="00D578A8" w:rsidRPr="005E5682" w:rsidRDefault="00D578A8" w:rsidP="00D578A8">
            <w:pPr>
              <w:pStyle w:val="HIPTabletext"/>
              <w:jc w:val="left"/>
              <w:rPr>
                <w:sz w:val="20"/>
              </w:rPr>
            </w:pPr>
            <w:r w:rsidRPr="005E5682">
              <w:rPr>
                <w:sz w:val="20"/>
              </w:rPr>
              <w:t>Draft Universal Access Policy 2009</w:t>
            </w:r>
          </w:p>
        </w:tc>
        <w:tc>
          <w:tcPr>
            <w:tcW w:w="3119" w:type="dxa"/>
            <w:tcBorders>
              <w:bottom w:val="single" w:sz="4" w:space="0" w:color="auto"/>
            </w:tcBorders>
          </w:tcPr>
          <w:p w:rsidR="00D578A8" w:rsidRPr="005E5682" w:rsidRDefault="00D578A8" w:rsidP="00D23660">
            <w:pPr>
              <w:pStyle w:val="HIPTabletext"/>
              <w:jc w:val="left"/>
              <w:rPr>
                <w:sz w:val="20"/>
              </w:rPr>
            </w:pPr>
            <w:bookmarkStart w:id="111" w:name="_Toc281153739"/>
            <w:r w:rsidRPr="005E5682">
              <w:rPr>
                <w:sz w:val="20"/>
              </w:rPr>
              <w:t>ICT Act, 2009</w:t>
            </w:r>
            <w:bookmarkEnd w:id="111"/>
          </w:p>
        </w:tc>
        <w:tc>
          <w:tcPr>
            <w:tcW w:w="1807" w:type="dxa"/>
            <w:tcBorders>
              <w:bottom w:val="single" w:sz="4" w:space="0" w:color="auto"/>
            </w:tcBorders>
          </w:tcPr>
          <w:p w:rsidR="00D578A8" w:rsidRPr="005E5682" w:rsidRDefault="00D578A8" w:rsidP="00D578A8">
            <w:pPr>
              <w:pStyle w:val="HIPTabletext"/>
              <w:jc w:val="left"/>
              <w:rPr>
                <w:sz w:val="20"/>
              </w:rPr>
            </w:pPr>
          </w:p>
        </w:tc>
      </w:tr>
      <w:tr w:rsidR="00D578A8" w:rsidRPr="00ED0EAB" w:rsidTr="002F6B83">
        <w:trPr>
          <w:jc w:val="center"/>
        </w:trPr>
        <w:tc>
          <w:tcPr>
            <w:tcW w:w="1390" w:type="dxa"/>
            <w:shd w:val="clear" w:color="auto" w:fill="EAF1DD"/>
          </w:tcPr>
          <w:p w:rsidR="00D578A8" w:rsidRPr="005E5682" w:rsidRDefault="00D578A8" w:rsidP="00D578A8">
            <w:pPr>
              <w:pStyle w:val="HIPTabletext"/>
              <w:jc w:val="left"/>
              <w:rPr>
                <w:b/>
                <w:bCs w:val="0"/>
                <w:sz w:val="20"/>
              </w:rPr>
            </w:pPr>
            <w:bookmarkStart w:id="112" w:name="_Toc281153740"/>
            <w:r w:rsidRPr="005E5682">
              <w:rPr>
                <w:b/>
                <w:bCs w:val="0"/>
                <w:sz w:val="20"/>
              </w:rPr>
              <w:t>Zimbabwe</w:t>
            </w:r>
            <w:bookmarkEnd w:id="112"/>
          </w:p>
        </w:tc>
        <w:tc>
          <w:tcPr>
            <w:tcW w:w="2912" w:type="dxa"/>
            <w:shd w:val="clear" w:color="auto" w:fill="EAF1DD"/>
          </w:tcPr>
          <w:p w:rsidR="00D578A8" w:rsidRPr="005E5682" w:rsidRDefault="00D578A8" w:rsidP="00D578A8">
            <w:pPr>
              <w:pStyle w:val="HIPTabletext"/>
              <w:jc w:val="left"/>
              <w:rPr>
                <w:sz w:val="20"/>
              </w:rPr>
            </w:pPr>
          </w:p>
        </w:tc>
        <w:tc>
          <w:tcPr>
            <w:tcW w:w="3119" w:type="dxa"/>
            <w:shd w:val="clear" w:color="auto" w:fill="EAF1DD"/>
          </w:tcPr>
          <w:p w:rsidR="00D578A8" w:rsidRPr="005E5682" w:rsidRDefault="00D578A8" w:rsidP="00D578A8">
            <w:pPr>
              <w:pStyle w:val="HIPTabletext"/>
              <w:jc w:val="left"/>
              <w:rPr>
                <w:sz w:val="20"/>
                <w:lang w:val="en-US"/>
              </w:rPr>
            </w:pPr>
            <w:bookmarkStart w:id="113" w:name="_Toc281153741"/>
            <w:r w:rsidRPr="005E5682">
              <w:rPr>
                <w:sz w:val="20"/>
                <w:lang w:val="en-US"/>
              </w:rPr>
              <w:t>Postal and Telecommunications (Universal Service Fund) Regulations, 2005</w:t>
            </w:r>
            <w:bookmarkEnd w:id="113"/>
          </w:p>
        </w:tc>
        <w:tc>
          <w:tcPr>
            <w:tcW w:w="1807" w:type="dxa"/>
            <w:shd w:val="clear" w:color="auto" w:fill="EAF1DD"/>
          </w:tcPr>
          <w:p w:rsidR="00D578A8" w:rsidRPr="005E5682" w:rsidRDefault="00D578A8" w:rsidP="00D578A8">
            <w:pPr>
              <w:pStyle w:val="HIPTabletext"/>
              <w:jc w:val="left"/>
              <w:rPr>
                <w:sz w:val="20"/>
              </w:rPr>
            </w:pPr>
            <w:r w:rsidRPr="005E5682">
              <w:rPr>
                <w:sz w:val="20"/>
              </w:rPr>
              <w:t>Universal Service Fund (USF)</w:t>
            </w:r>
          </w:p>
        </w:tc>
      </w:tr>
    </w:tbl>
    <w:p w:rsidR="002F6B83" w:rsidRDefault="0088668E" w:rsidP="002F6B83">
      <w:pPr>
        <w:pStyle w:val="HIPNormal"/>
        <w:rPr>
          <w:lang w:val="en-US"/>
        </w:rPr>
      </w:pPr>
      <w:r>
        <w:rPr>
          <w:lang w:val="en-US"/>
        </w:rPr>
        <w:br/>
      </w:r>
      <w:r w:rsidR="002F6B83" w:rsidRPr="00DB0248">
        <w:rPr>
          <w:lang w:val="en-US"/>
        </w:rPr>
        <w:t>According to the information available</w:t>
      </w:r>
      <w:r w:rsidR="002F6B83">
        <w:rPr>
          <w:lang w:val="en-US"/>
        </w:rPr>
        <w:t>,</w:t>
      </w:r>
      <w:r w:rsidR="002F6B83" w:rsidRPr="00DB0248">
        <w:rPr>
          <w:lang w:val="en-US"/>
        </w:rPr>
        <w:t xml:space="preserve"> Botswana, Namibia, Malawi and Seychelles have not established Funds yet although they have provided for them in law and/or policy. With a mobile penetration rate of 120 percent, Seychelles has indicated that there does not appear to be a need to implement its universal service policy.</w:t>
      </w:r>
      <w:r w:rsidR="002F6B83">
        <w:rPr>
          <w:rStyle w:val="FootnoteReference"/>
        </w:rPr>
        <w:footnoteReference w:id="26"/>
      </w:r>
      <w:r w:rsidR="002F6B83" w:rsidRPr="00DB0248">
        <w:rPr>
          <w:lang w:val="en-US"/>
        </w:rPr>
        <w:t xml:space="preserve"> It is likely that the other four countries will operationalise their funds by 2012.</w:t>
      </w:r>
      <w:r w:rsidR="005E5682">
        <w:rPr>
          <w:lang w:val="en-US"/>
        </w:rPr>
        <w:t xml:space="preserve"> </w:t>
      </w:r>
    </w:p>
    <w:p w:rsidR="005E5682" w:rsidRDefault="002F6B83" w:rsidP="0088668E">
      <w:pPr>
        <w:pStyle w:val="HIPNormal"/>
        <w:rPr>
          <w:b/>
          <w:bCs/>
          <w:color w:val="008000"/>
          <w:szCs w:val="24"/>
          <w:lang w:val="en-US"/>
        </w:rPr>
      </w:pPr>
      <w:r w:rsidRPr="00DB0248">
        <w:rPr>
          <w:lang w:val="en-US"/>
        </w:rPr>
        <w:t xml:space="preserve">Angola, DRC, Lesotho, Mozambique, South Africa, Mauritius, Swaziland, Tanzania, and Zimbabwe are all reported to have a USAF that is established in law and operational – all of them have started to collect contributions, although not all of them have implemented projects yet. Of these, Lesotho, Mozambique, South Africa and Zimbabwe have implemented projects. Interestingly, although Botswana, Malawi and Zambia do not have fully operational Funds yet, they have money in the Funds from sources </w:t>
      </w:r>
      <w:r w:rsidRPr="00DB0248">
        <w:rPr>
          <w:b/>
          <w:bCs/>
          <w:i/>
          <w:iCs/>
          <w:lang w:val="en-US"/>
        </w:rPr>
        <w:t xml:space="preserve">other than operator levies; </w:t>
      </w:r>
      <w:r w:rsidRPr="00DB0248">
        <w:rPr>
          <w:lang w:val="en-US"/>
        </w:rPr>
        <w:t>they have used these Funds to develop</w:t>
      </w:r>
      <w:r w:rsidRPr="00DB0248">
        <w:rPr>
          <w:b/>
          <w:bCs/>
          <w:lang w:val="en-US"/>
        </w:rPr>
        <w:t xml:space="preserve"> </w:t>
      </w:r>
      <w:r w:rsidRPr="00DB0248">
        <w:rPr>
          <w:lang w:val="en-US"/>
        </w:rPr>
        <w:t>universal access programmes that are driven by policy makers and regulators that have already started to finance universal access projects. In the case of Malawi, this is done in the form of pilot projects implemented through seed funding from the World Bank.</w:t>
      </w:r>
      <w:r w:rsidR="005E5682" w:rsidRPr="00761E74">
        <w:rPr>
          <w:lang w:val="en-US"/>
        </w:rPr>
        <w:br w:type="page"/>
      </w:r>
    </w:p>
    <w:p w:rsidR="008978A2" w:rsidRPr="002F6B83" w:rsidRDefault="002F6B83" w:rsidP="0088668E">
      <w:pPr>
        <w:pStyle w:val="HIPTabletitle"/>
      </w:pPr>
      <w:bookmarkStart w:id="114" w:name="_Toc286146548"/>
      <w:r w:rsidRPr="009D3E91">
        <w:lastRenderedPageBreak/>
        <w:t xml:space="preserve">Table </w:t>
      </w:r>
      <w:r w:rsidR="0088668E">
        <w:rPr>
          <w:noProof/>
        </w:rPr>
        <w:t>2.4</w:t>
      </w:r>
      <w:r w:rsidRPr="009D3E91">
        <w:t>: Case Study</w:t>
      </w:r>
      <w:r w:rsidR="005E5682">
        <w:t xml:space="preserve"> – </w:t>
      </w:r>
      <w:r w:rsidRPr="009D3E91">
        <w:t>Mandate of the Tanzanian Fund</w:t>
      </w:r>
      <w:bookmarkEnd w:id="114"/>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2058"/>
        <w:gridCol w:w="1798"/>
        <w:gridCol w:w="790"/>
        <w:gridCol w:w="2158"/>
        <w:gridCol w:w="1128"/>
      </w:tblGrid>
      <w:tr w:rsidR="002F6B83" w:rsidRPr="009D3E91" w:rsidTr="00DF469E">
        <w:trPr>
          <w:jc w:val="center"/>
        </w:trPr>
        <w:tc>
          <w:tcPr>
            <w:tcW w:w="1242" w:type="dxa"/>
            <w:tcBorders>
              <w:top w:val="nil"/>
              <w:left w:val="nil"/>
            </w:tcBorders>
            <w:vAlign w:val="center"/>
          </w:tcPr>
          <w:p w:rsidR="002F6B83" w:rsidRPr="009D3E91" w:rsidRDefault="002F6B83" w:rsidP="00DF469E">
            <w:pPr>
              <w:pStyle w:val="HIPTablehead"/>
            </w:pPr>
          </w:p>
        </w:tc>
        <w:tc>
          <w:tcPr>
            <w:tcW w:w="2058" w:type="dxa"/>
            <w:shd w:val="clear" w:color="auto" w:fill="008000"/>
            <w:vAlign w:val="center"/>
          </w:tcPr>
          <w:p w:rsidR="002F6B83" w:rsidRPr="00DF469E" w:rsidRDefault="002F6B83" w:rsidP="00DF469E">
            <w:pPr>
              <w:pStyle w:val="HIPTablehead"/>
            </w:pPr>
            <w:r w:rsidRPr="00DF469E">
              <w:t>Mandate</w:t>
            </w:r>
          </w:p>
        </w:tc>
        <w:tc>
          <w:tcPr>
            <w:tcW w:w="1798" w:type="dxa"/>
            <w:shd w:val="clear" w:color="auto" w:fill="008000"/>
            <w:vAlign w:val="center"/>
          </w:tcPr>
          <w:p w:rsidR="002F6B83" w:rsidRPr="00DF469E" w:rsidRDefault="002F6B83" w:rsidP="00DF469E">
            <w:pPr>
              <w:pStyle w:val="HIPTablehead"/>
            </w:pPr>
            <w:r w:rsidRPr="00DF469E">
              <w:t>Source of Funding</w:t>
            </w:r>
          </w:p>
        </w:tc>
        <w:tc>
          <w:tcPr>
            <w:tcW w:w="790" w:type="dxa"/>
            <w:shd w:val="clear" w:color="auto" w:fill="008000"/>
            <w:vAlign w:val="center"/>
          </w:tcPr>
          <w:p w:rsidR="002F6B83" w:rsidRPr="00DF469E" w:rsidRDefault="002F6B83" w:rsidP="00DF469E">
            <w:pPr>
              <w:pStyle w:val="HIPTablehead"/>
            </w:pPr>
            <w:r w:rsidRPr="00DF469E">
              <w:t>%</w:t>
            </w:r>
            <w:r w:rsidR="005E5682">
              <w:t xml:space="preserve"> </w:t>
            </w:r>
            <w:r w:rsidRPr="00DF469E">
              <w:t>Levies</w:t>
            </w:r>
          </w:p>
        </w:tc>
        <w:tc>
          <w:tcPr>
            <w:tcW w:w="2158" w:type="dxa"/>
            <w:shd w:val="clear" w:color="auto" w:fill="008000"/>
            <w:vAlign w:val="center"/>
          </w:tcPr>
          <w:p w:rsidR="002F6B83" w:rsidRPr="00DF469E" w:rsidRDefault="002F6B83" w:rsidP="00DF469E">
            <w:pPr>
              <w:pStyle w:val="HIPTablehead"/>
            </w:pPr>
            <w:r w:rsidRPr="00DF469E">
              <w:t>Use of the Funds</w:t>
            </w:r>
          </w:p>
        </w:tc>
        <w:tc>
          <w:tcPr>
            <w:tcW w:w="1128" w:type="dxa"/>
            <w:shd w:val="clear" w:color="auto" w:fill="008000"/>
            <w:vAlign w:val="center"/>
          </w:tcPr>
          <w:p w:rsidR="002F6B83" w:rsidRPr="00DF469E" w:rsidRDefault="002F6B83" w:rsidP="00DF469E">
            <w:pPr>
              <w:pStyle w:val="HIPTablehead"/>
            </w:pPr>
            <w:r w:rsidRPr="00DF469E">
              <w:t>Special Provisions</w:t>
            </w:r>
          </w:p>
        </w:tc>
      </w:tr>
      <w:tr w:rsidR="002F6B83" w:rsidRPr="00A3379B" w:rsidTr="00DF469E">
        <w:trPr>
          <w:jc w:val="center"/>
        </w:trPr>
        <w:tc>
          <w:tcPr>
            <w:tcW w:w="1242" w:type="dxa"/>
          </w:tcPr>
          <w:p w:rsidR="002F6B83" w:rsidRPr="00DF469E" w:rsidRDefault="002F6B83" w:rsidP="00DF469E">
            <w:pPr>
              <w:pStyle w:val="HIPTabletext"/>
              <w:jc w:val="left"/>
              <w:rPr>
                <w:b/>
                <w:bCs w:val="0"/>
              </w:rPr>
            </w:pPr>
            <w:r w:rsidRPr="00DF469E">
              <w:rPr>
                <w:b/>
                <w:bCs w:val="0"/>
              </w:rPr>
              <w:t>Universal Communications Service Access Fund</w:t>
            </w:r>
          </w:p>
          <w:p w:rsidR="002F6B83" w:rsidRPr="009D3E91" w:rsidRDefault="002F6B83" w:rsidP="00DF469E">
            <w:pPr>
              <w:pStyle w:val="HIPTabletext"/>
              <w:jc w:val="left"/>
            </w:pPr>
            <w:r w:rsidRPr="00DF469E">
              <w:rPr>
                <w:b/>
                <w:bCs w:val="0"/>
              </w:rPr>
              <w:t>(UCAF)</w:t>
            </w:r>
          </w:p>
        </w:tc>
        <w:tc>
          <w:tcPr>
            <w:tcW w:w="2058" w:type="dxa"/>
          </w:tcPr>
          <w:p w:rsidR="002F6B83" w:rsidRPr="009D3E91" w:rsidRDefault="002F6B83" w:rsidP="00DF469E">
            <w:pPr>
              <w:pStyle w:val="HIPTabletext"/>
              <w:jc w:val="left"/>
              <w:rPr>
                <w:lang w:val="en-US"/>
              </w:rPr>
            </w:pPr>
            <w:r w:rsidRPr="009D3E91">
              <w:rPr>
                <w:lang w:val="en-US"/>
              </w:rPr>
              <w:t>Determine the criteria to identify the rural and urban under-served areas and designate universal service areas</w:t>
            </w:r>
          </w:p>
          <w:p w:rsidR="002F6B83" w:rsidRPr="009D3E91" w:rsidRDefault="002F6B83" w:rsidP="00DF469E">
            <w:pPr>
              <w:pStyle w:val="HIPTabletext"/>
              <w:jc w:val="left"/>
              <w:rPr>
                <w:lang w:val="en-US"/>
              </w:rPr>
            </w:pPr>
            <w:r w:rsidRPr="009D3E91">
              <w:rPr>
                <w:lang w:val="en-US"/>
              </w:rPr>
              <w:t>Establish mechanisms for proper fund management</w:t>
            </w:r>
          </w:p>
          <w:p w:rsidR="002F6B83" w:rsidRPr="009D3E91" w:rsidRDefault="002F6B83" w:rsidP="00DF469E">
            <w:pPr>
              <w:pStyle w:val="HIPTabletext"/>
              <w:jc w:val="left"/>
              <w:rPr>
                <w:lang w:val="en-US"/>
              </w:rPr>
            </w:pPr>
            <w:r w:rsidRPr="009D3E91">
              <w:rPr>
                <w:lang w:val="en-US"/>
              </w:rPr>
              <w:t>Set bidding conditions for award of funds</w:t>
            </w:r>
          </w:p>
          <w:p w:rsidR="002F6B83" w:rsidRPr="009D3E91" w:rsidRDefault="002F6B83" w:rsidP="00DF469E">
            <w:pPr>
              <w:pStyle w:val="HIPTabletext"/>
              <w:jc w:val="left"/>
              <w:rPr>
                <w:lang w:val="en-US"/>
              </w:rPr>
            </w:pPr>
            <w:r w:rsidRPr="009D3E91">
              <w:rPr>
                <w:lang w:val="en-US"/>
              </w:rPr>
              <w:t>Evaluate submitted communications projects</w:t>
            </w:r>
          </w:p>
          <w:p w:rsidR="002F6B83" w:rsidRPr="009D3E91" w:rsidRDefault="002F6B83" w:rsidP="00DF469E">
            <w:pPr>
              <w:pStyle w:val="HIPTabletext"/>
              <w:jc w:val="left"/>
              <w:rPr>
                <w:lang w:val="en-US"/>
              </w:rPr>
            </w:pPr>
            <w:r w:rsidRPr="009D3E91">
              <w:rPr>
                <w:lang w:val="en-US"/>
              </w:rPr>
              <w:t xml:space="preserve">Conduct research in under-served areas. </w:t>
            </w:r>
          </w:p>
          <w:p w:rsidR="002F6B83" w:rsidRPr="009D3E91" w:rsidRDefault="002F6B83" w:rsidP="00DF469E">
            <w:pPr>
              <w:pStyle w:val="HIPTabletext"/>
              <w:jc w:val="left"/>
              <w:rPr>
                <w:lang w:val="en-US"/>
              </w:rPr>
            </w:pPr>
            <w:r w:rsidRPr="009D3E91">
              <w:rPr>
                <w:lang w:val="en-US"/>
              </w:rPr>
              <w:t xml:space="preserve">Advise the Authority on matters relating to Universal Access and Universal Service Obligations and specify them. </w:t>
            </w:r>
          </w:p>
          <w:p w:rsidR="002F6B83" w:rsidRPr="009D3E91" w:rsidRDefault="002F6B83" w:rsidP="00DF469E">
            <w:pPr>
              <w:pStyle w:val="HIPTabletext"/>
              <w:jc w:val="left"/>
              <w:rPr>
                <w:lang w:val="en-US"/>
              </w:rPr>
            </w:pPr>
            <w:r w:rsidRPr="009D3E91">
              <w:rPr>
                <w:lang w:val="en-US"/>
              </w:rPr>
              <w:t>Monitor and enforce agreements</w:t>
            </w:r>
          </w:p>
          <w:p w:rsidR="002F6B83" w:rsidRPr="009D3E91" w:rsidRDefault="002F6B83" w:rsidP="00DF469E">
            <w:pPr>
              <w:pStyle w:val="HIPTabletext"/>
              <w:jc w:val="left"/>
              <w:rPr>
                <w:lang w:val="en-US"/>
              </w:rPr>
            </w:pPr>
            <w:r w:rsidRPr="009D3E91">
              <w:rPr>
                <w:lang w:val="en-US"/>
              </w:rPr>
              <w:t>(s6 The Universal Communications Service Access Act 2006)</w:t>
            </w:r>
          </w:p>
        </w:tc>
        <w:tc>
          <w:tcPr>
            <w:tcW w:w="1798" w:type="dxa"/>
          </w:tcPr>
          <w:p w:rsidR="002F6B83" w:rsidRPr="009D3E91" w:rsidRDefault="002F6B83" w:rsidP="00DF469E">
            <w:pPr>
              <w:pStyle w:val="HIPTabletext"/>
              <w:jc w:val="left"/>
              <w:rPr>
                <w:lang w:val="en-US"/>
              </w:rPr>
            </w:pPr>
            <w:r w:rsidRPr="009D3E91">
              <w:rPr>
                <w:lang w:val="en-US"/>
              </w:rPr>
              <w:t>Parliamentary Allocation</w:t>
            </w:r>
          </w:p>
          <w:p w:rsidR="002F6B83" w:rsidRPr="009D3E91" w:rsidRDefault="002F6B83" w:rsidP="00DF469E">
            <w:pPr>
              <w:pStyle w:val="HIPTabletext"/>
              <w:jc w:val="left"/>
              <w:rPr>
                <w:lang w:val="en-US"/>
              </w:rPr>
            </w:pPr>
            <w:r w:rsidRPr="009D3E91">
              <w:rPr>
                <w:lang w:val="en-US"/>
              </w:rPr>
              <w:t>Subventions by the Authority</w:t>
            </w:r>
          </w:p>
          <w:p w:rsidR="002F6B83" w:rsidRPr="009D3E91" w:rsidRDefault="002F6B83" w:rsidP="00DF469E">
            <w:pPr>
              <w:pStyle w:val="HIPTabletext"/>
              <w:jc w:val="left"/>
              <w:rPr>
                <w:lang w:val="en-US"/>
              </w:rPr>
            </w:pPr>
            <w:r w:rsidRPr="009D3E91">
              <w:rPr>
                <w:lang w:val="en-US"/>
              </w:rPr>
              <w:t>Universal Service Levy on Contributions</w:t>
            </w:r>
          </w:p>
          <w:p w:rsidR="002F6B83" w:rsidRPr="009D3E91" w:rsidRDefault="002F6B83" w:rsidP="00DF469E">
            <w:pPr>
              <w:pStyle w:val="HIPTabletext"/>
              <w:jc w:val="left"/>
              <w:rPr>
                <w:lang w:val="en-US"/>
              </w:rPr>
            </w:pPr>
            <w:r w:rsidRPr="009D3E91">
              <w:rPr>
                <w:lang w:val="en-US"/>
              </w:rPr>
              <w:t xml:space="preserve">Grants, donations, bequests or other contributions. </w:t>
            </w:r>
          </w:p>
          <w:p w:rsidR="002F6B83" w:rsidRPr="009D3E91" w:rsidRDefault="002F6B83" w:rsidP="00DF469E">
            <w:pPr>
              <w:pStyle w:val="HIPTabletext"/>
              <w:jc w:val="left"/>
              <w:rPr>
                <w:lang w:val="en-US"/>
              </w:rPr>
            </w:pPr>
            <w:r w:rsidRPr="009D3E91">
              <w:rPr>
                <w:lang w:val="en-US"/>
              </w:rPr>
              <w:t xml:space="preserve">Levies and contributions in respect of services provided by the fund. </w:t>
            </w:r>
          </w:p>
          <w:p w:rsidR="002F6B83" w:rsidRPr="009D3E91" w:rsidRDefault="002F6B83" w:rsidP="00DF469E">
            <w:pPr>
              <w:pStyle w:val="HIPTabletext"/>
              <w:jc w:val="left"/>
              <w:rPr>
                <w:lang w:val="en-US"/>
              </w:rPr>
            </w:pPr>
            <w:r w:rsidRPr="009D3E91">
              <w:rPr>
                <w:lang w:val="en-US"/>
              </w:rPr>
              <w:t>(s23 The Universal Communications Service Access Act 2006)</w:t>
            </w:r>
          </w:p>
        </w:tc>
        <w:tc>
          <w:tcPr>
            <w:tcW w:w="790" w:type="dxa"/>
          </w:tcPr>
          <w:p w:rsidR="002F6B83" w:rsidRPr="009D3E91" w:rsidRDefault="002F6B83" w:rsidP="00DF469E">
            <w:pPr>
              <w:pStyle w:val="HIPTabletext"/>
              <w:jc w:val="left"/>
            </w:pPr>
            <w:r w:rsidRPr="009D3E91">
              <w:t>Up to 1.5%</w:t>
            </w:r>
          </w:p>
        </w:tc>
        <w:tc>
          <w:tcPr>
            <w:tcW w:w="2158" w:type="dxa"/>
          </w:tcPr>
          <w:p w:rsidR="002F6B83" w:rsidRPr="009D3E91" w:rsidRDefault="002F6B83" w:rsidP="00DF469E">
            <w:pPr>
              <w:pStyle w:val="HIPTabletext"/>
              <w:jc w:val="left"/>
              <w:rPr>
                <w:lang w:val="en-US"/>
              </w:rPr>
            </w:pPr>
            <w:r w:rsidRPr="009D3E91">
              <w:rPr>
                <w:lang w:val="en-US"/>
              </w:rPr>
              <w:t>Designation of operators, as a Universal Service provider in areas that are not commercially viable through a competitive bidding process</w:t>
            </w:r>
          </w:p>
          <w:p w:rsidR="002F6B83" w:rsidRPr="009D3E91" w:rsidRDefault="002F6B83" w:rsidP="00DF469E">
            <w:pPr>
              <w:pStyle w:val="HIPTabletext"/>
              <w:jc w:val="left"/>
              <w:rPr>
                <w:lang w:val="en-US"/>
              </w:rPr>
            </w:pPr>
            <w:r w:rsidRPr="009D3E91">
              <w:rPr>
                <w:lang w:val="en-US"/>
              </w:rPr>
              <w:t>This may be either nationwide or in a specified Universal Service Area</w:t>
            </w:r>
          </w:p>
          <w:p w:rsidR="002F6B83" w:rsidRPr="009D3E91" w:rsidRDefault="002F6B83" w:rsidP="00DF469E">
            <w:pPr>
              <w:pStyle w:val="HIPTabletext"/>
              <w:jc w:val="left"/>
              <w:rPr>
                <w:lang w:val="en-US"/>
              </w:rPr>
            </w:pPr>
            <w:r w:rsidRPr="009D3E91">
              <w:rPr>
                <w:lang w:val="en-US"/>
              </w:rPr>
              <w:t xml:space="preserve">Only communications licence holders may be designated as Universal Service providers. </w:t>
            </w:r>
          </w:p>
          <w:p w:rsidR="002F6B83" w:rsidRPr="009D3E91" w:rsidRDefault="002F6B83" w:rsidP="00DF469E">
            <w:pPr>
              <w:pStyle w:val="HIPTabletext"/>
              <w:jc w:val="left"/>
              <w:rPr>
                <w:lang w:val="en-US"/>
              </w:rPr>
            </w:pPr>
            <w:r w:rsidRPr="009D3E91">
              <w:rPr>
                <w:lang w:val="en-US"/>
              </w:rPr>
              <w:t>(s15</w:t>
            </w:r>
            <w:r w:rsidR="005E5682">
              <w:rPr>
                <w:lang w:val="en-US"/>
              </w:rPr>
              <w:t xml:space="preserve"> </w:t>
            </w:r>
            <w:r w:rsidRPr="009D3E91">
              <w:rPr>
                <w:lang w:val="en-US"/>
              </w:rPr>
              <w:t>The Universal Communications Service Access Act 2006)</w:t>
            </w:r>
          </w:p>
          <w:p w:rsidR="002F6B83" w:rsidRPr="009D3E91" w:rsidRDefault="002F6B83" w:rsidP="00DF469E">
            <w:pPr>
              <w:pStyle w:val="HIPTabletext"/>
              <w:jc w:val="left"/>
              <w:rPr>
                <w:lang w:val="en-US"/>
              </w:rPr>
            </w:pPr>
            <w:r w:rsidRPr="009D3E91">
              <w:rPr>
                <w:lang w:val="en-US"/>
              </w:rPr>
              <w:t>Approved projects need to satisfy that they will adequately deal with:</w:t>
            </w:r>
          </w:p>
          <w:p w:rsidR="002F6B83" w:rsidRPr="00DF469E" w:rsidRDefault="002F6B83" w:rsidP="00DF469E">
            <w:pPr>
              <w:pStyle w:val="HIPEnumlev1"/>
              <w:tabs>
                <w:tab w:val="clear" w:pos="907"/>
                <w:tab w:val="left" w:pos="491"/>
              </w:tabs>
              <w:ind w:left="491" w:hanging="425"/>
              <w:jc w:val="left"/>
              <w:rPr>
                <w:sz w:val="20"/>
                <w:szCs w:val="20"/>
              </w:rPr>
            </w:pPr>
            <w:r w:rsidRPr="00DF469E">
              <w:rPr>
                <w:sz w:val="20"/>
                <w:szCs w:val="20"/>
              </w:rPr>
              <w:t>People with disability</w:t>
            </w:r>
          </w:p>
          <w:p w:rsidR="002F6B83" w:rsidRPr="00DF469E" w:rsidRDefault="002F6B83" w:rsidP="00DF469E">
            <w:pPr>
              <w:pStyle w:val="HIPEnumlev1"/>
              <w:tabs>
                <w:tab w:val="clear" w:pos="907"/>
                <w:tab w:val="left" w:pos="491"/>
              </w:tabs>
              <w:ind w:left="491" w:hanging="425"/>
              <w:jc w:val="left"/>
              <w:rPr>
                <w:sz w:val="20"/>
                <w:szCs w:val="20"/>
              </w:rPr>
            </w:pPr>
            <w:r w:rsidRPr="00DF469E">
              <w:rPr>
                <w:sz w:val="20"/>
                <w:szCs w:val="20"/>
              </w:rPr>
              <w:t>People with special needs</w:t>
            </w:r>
          </w:p>
          <w:p w:rsidR="002F6B83" w:rsidRPr="00DF469E" w:rsidRDefault="002F6B83" w:rsidP="00DF469E">
            <w:pPr>
              <w:pStyle w:val="HIPEnumlev1"/>
              <w:tabs>
                <w:tab w:val="clear" w:pos="907"/>
                <w:tab w:val="left" w:pos="491"/>
              </w:tabs>
              <w:ind w:left="491" w:hanging="425"/>
              <w:jc w:val="left"/>
              <w:rPr>
                <w:sz w:val="20"/>
                <w:szCs w:val="20"/>
              </w:rPr>
            </w:pPr>
            <w:r w:rsidRPr="00DF469E">
              <w:rPr>
                <w:sz w:val="20"/>
                <w:szCs w:val="20"/>
              </w:rPr>
              <w:t>Delivery of quality communications services</w:t>
            </w:r>
          </w:p>
          <w:p w:rsidR="002F6B83" w:rsidRPr="00DF469E" w:rsidRDefault="002F6B83" w:rsidP="00DF469E">
            <w:pPr>
              <w:pStyle w:val="HIPEnumlev1"/>
              <w:tabs>
                <w:tab w:val="clear" w:pos="907"/>
                <w:tab w:val="left" w:pos="491"/>
              </w:tabs>
              <w:ind w:left="491" w:hanging="425"/>
              <w:jc w:val="left"/>
              <w:rPr>
                <w:sz w:val="20"/>
                <w:szCs w:val="20"/>
              </w:rPr>
            </w:pPr>
            <w:r w:rsidRPr="00DF469E">
              <w:rPr>
                <w:sz w:val="20"/>
                <w:szCs w:val="20"/>
              </w:rPr>
              <w:t>Pricing of services in terms of affordability</w:t>
            </w:r>
          </w:p>
          <w:p w:rsidR="002F6B83" w:rsidRPr="00DF469E" w:rsidRDefault="002F6B83" w:rsidP="00DF469E">
            <w:pPr>
              <w:pStyle w:val="HIPEnumlev1"/>
              <w:tabs>
                <w:tab w:val="clear" w:pos="907"/>
                <w:tab w:val="left" w:pos="491"/>
              </w:tabs>
              <w:ind w:left="491" w:hanging="425"/>
              <w:jc w:val="left"/>
              <w:rPr>
                <w:bCs/>
                <w:sz w:val="20"/>
                <w:szCs w:val="20"/>
              </w:rPr>
            </w:pPr>
            <w:r w:rsidRPr="00DF469E">
              <w:rPr>
                <w:sz w:val="20"/>
                <w:szCs w:val="20"/>
              </w:rPr>
              <w:t xml:space="preserve">Making available and accessible communication services to all people. </w:t>
            </w:r>
          </w:p>
          <w:p w:rsidR="002F6B83" w:rsidRPr="009D3E91" w:rsidRDefault="002F6B83" w:rsidP="00DF469E">
            <w:pPr>
              <w:pStyle w:val="HIPTabletext"/>
              <w:jc w:val="left"/>
              <w:rPr>
                <w:lang w:val="en-US"/>
              </w:rPr>
            </w:pPr>
            <w:r w:rsidRPr="00DF469E">
              <w:rPr>
                <w:sz w:val="20"/>
                <w:lang w:val="en-US"/>
              </w:rPr>
              <w:t>(s17 (6) The Univer</w:t>
            </w:r>
            <w:r w:rsidRPr="009D3E91">
              <w:rPr>
                <w:lang w:val="en-US"/>
              </w:rPr>
              <w:t>sal Communications Service Access Act 2006)</w:t>
            </w:r>
          </w:p>
        </w:tc>
        <w:tc>
          <w:tcPr>
            <w:tcW w:w="1128" w:type="dxa"/>
          </w:tcPr>
          <w:p w:rsidR="002F6B83" w:rsidRPr="009D3E91" w:rsidRDefault="002F6B83" w:rsidP="00DF469E">
            <w:pPr>
              <w:pStyle w:val="HIPTabletext"/>
              <w:jc w:val="left"/>
              <w:rPr>
                <w:lang w:val="en-US"/>
              </w:rPr>
            </w:pPr>
          </w:p>
        </w:tc>
      </w:tr>
    </w:tbl>
    <w:p w:rsidR="008C579A" w:rsidRDefault="008C579A">
      <w:pPr>
        <w:rPr>
          <w:rFonts w:ascii="Calibri" w:hAnsi="Calibri" w:cs="Arial"/>
          <w:color w:val="000000"/>
          <w:sz w:val="21"/>
          <w:lang w:val="en-GB"/>
        </w:rPr>
      </w:pPr>
      <w:r>
        <w:rPr>
          <w:lang w:val="en-GB"/>
        </w:rPr>
        <w:br w:type="page"/>
      </w:r>
    </w:p>
    <w:p w:rsidR="008C579A" w:rsidRPr="00C142FD" w:rsidRDefault="0088668E" w:rsidP="0088668E">
      <w:pPr>
        <w:pStyle w:val="HIPHeading2"/>
        <w:rPr>
          <w:rFonts w:eastAsia="Calibri"/>
        </w:rPr>
      </w:pPr>
      <w:bookmarkStart w:id="115" w:name="_Toc284597955"/>
      <w:bookmarkStart w:id="116" w:name="_Toc286144958"/>
      <w:bookmarkStart w:id="117" w:name="_Toc281459532"/>
      <w:r>
        <w:lastRenderedPageBreak/>
        <w:t>2.2</w:t>
      </w:r>
      <w:r>
        <w:tab/>
      </w:r>
      <w:r w:rsidR="008C579A">
        <w:t>FUND ADMINISTRATION</w:t>
      </w:r>
      <w:bookmarkEnd w:id="115"/>
      <w:bookmarkEnd w:id="116"/>
    </w:p>
    <w:p w:rsidR="008C579A" w:rsidRPr="00C142FD" w:rsidRDefault="0088668E" w:rsidP="0088668E">
      <w:pPr>
        <w:pStyle w:val="HIPheading3"/>
        <w:rPr>
          <w:rFonts w:eastAsia="Calibri"/>
        </w:rPr>
      </w:pPr>
      <w:bookmarkStart w:id="118" w:name="_Toc284597956"/>
      <w:bookmarkStart w:id="119" w:name="_Toc286144959"/>
      <w:bookmarkEnd w:id="117"/>
      <w:r>
        <w:t>2.2.</w:t>
      </w:r>
      <w:r w:rsidR="008C579A">
        <w:t>1</w:t>
      </w:r>
      <w:r w:rsidR="008C579A">
        <w:tab/>
        <w:t>Global Experience and Good Practice</w:t>
      </w:r>
      <w:bookmarkEnd w:id="118"/>
      <w:bookmarkEnd w:id="119"/>
    </w:p>
    <w:p w:rsidR="008C579A" w:rsidRPr="00C142FD" w:rsidRDefault="008C579A" w:rsidP="008C579A">
      <w:pPr>
        <w:pStyle w:val="HIPNormal"/>
        <w:rPr>
          <w:b/>
          <w:lang w:val="en-US"/>
        </w:rPr>
      </w:pPr>
      <w:r w:rsidRPr="00C142FD">
        <w:rPr>
          <w:lang w:val="en-US"/>
        </w:rPr>
        <w:t>Globally, Fund management and administration is approached in one of the following ways, through:</w:t>
      </w:r>
    </w:p>
    <w:p w:rsidR="008C579A" w:rsidRPr="007C0D45" w:rsidRDefault="008C579A" w:rsidP="008C579A">
      <w:pPr>
        <w:pStyle w:val="HIPEnumlev1"/>
      </w:pPr>
      <w:r w:rsidRPr="00C142FD">
        <w:rPr>
          <w:b/>
          <w:bCs/>
        </w:rPr>
        <w:t>The Ministry</w:t>
      </w:r>
      <w:r w:rsidRPr="00C142FD">
        <w:t xml:space="preserve">, as is the case in Colombia and Korea; </w:t>
      </w:r>
    </w:p>
    <w:p w:rsidR="008C579A" w:rsidRPr="007C0D45" w:rsidRDefault="008C579A" w:rsidP="008C579A">
      <w:pPr>
        <w:pStyle w:val="HIPEnumlev1"/>
      </w:pPr>
      <w:r w:rsidRPr="00C142FD">
        <w:rPr>
          <w:b/>
          <w:bCs/>
        </w:rPr>
        <w:t>A division of the regulator,</w:t>
      </w:r>
      <w:r w:rsidRPr="00C142FD">
        <w:t xml:space="preserve"> which is the model followed in Uganda, Sri Lanka and Malaysia.</w:t>
      </w:r>
    </w:p>
    <w:p w:rsidR="008C579A" w:rsidRPr="00C142FD" w:rsidRDefault="008C579A" w:rsidP="008C579A">
      <w:pPr>
        <w:pStyle w:val="HIPEnumlev1"/>
      </w:pPr>
      <w:r w:rsidRPr="00C142FD">
        <w:rPr>
          <w:b/>
          <w:bCs/>
        </w:rPr>
        <w:t>A separate agency</w:t>
      </w:r>
      <w:r w:rsidRPr="00C142FD">
        <w:t>, as seen in Nigeria and Peru which have established separate banks or trusts to manage the funds.</w:t>
      </w:r>
      <w:r w:rsidR="005E5682">
        <w:t xml:space="preserve"> </w:t>
      </w:r>
    </w:p>
    <w:p w:rsidR="008C579A" w:rsidRPr="00C142FD" w:rsidRDefault="008C579A" w:rsidP="008C579A">
      <w:pPr>
        <w:pStyle w:val="HIPEnumlev1"/>
      </w:pPr>
      <w:r w:rsidRPr="00C142FD">
        <w:rPr>
          <w:b/>
          <w:bCs/>
        </w:rPr>
        <w:t>An independent third party</w:t>
      </w:r>
      <w:r w:rsidRPr="00C142FD">
        <w:t xml:space="preserve"> which is the institutional model followed in France where the Caisse de Depots is the independent financial institution, and the United States where the Universal Service Administration Company has been contracted by the FCC. Most recently this approach has been followed in Pakistan, which provides a good example for this approach in a developing country context.</w:t>
      </w:r>
    </w:p>
    <w:p w:rsidR="008C579A" w:rsidRPr="00C142FD" w:rsidRDefault="008C579A" w:rsidP="008C579A">
      <w:pPr>
        <w:pStyle w:val="HIPNormal"/>
        <w:rPr>
          <w:lang w:val="en-US"/>
        </w:rPr>
      </w:pPr>
      <w:r w:rsidRPr="00C142FD">
        <w:rPr>
          <w:lang w:val="en-US"/>
        </w:rPr>
        <w:t>The Pakistani model is unique in that it is a Private Public Partnership (PPP) run</w:t>
      </w:r>
      <w:r w:rsidR="005E5682">
        <w:rPr>
          <w:lang w:val="en-US"/>
        </w:rPr>
        <w:t xml:space="preserve"> </w:t>
      </w:r>
      <w:r w:rsidRPr="00C142FD">
        <w:rPr>
          <w:lang w:val="en-US"/>
        </w:rPr>
        <w:t>independently from the Ministry or regulator, and set up as a company with a fully authorized Board.</w:t>
      </w:r>
      <w:r w:rsidRPr="00C142FD">
        <w:rPr>
          <w:rStyle w:val="FootnoteReference"/>
          <w:lang w:val="en-US"/>
        </w:rPr>
        <w:t xml:space="preserve"> </w:t>
      </w:r>
      <w:r w:rsidRPr="008B3F51">
        <w:rPr>
          <w:rStyle w:val="FootnoteReference"/>
        </w:rPr>
        <w:footnoteReference w:id="27"/>
      </w:r>
      <w:r w:rsidRPr="00C142FD">
        <w:rPr>
          <w:rStyle w:val="FootnoteReference"/>
          <w:lang w:val="en-US"/>
        </w:rPr>
        <w:t xml:space="preserve"> </w:t>
      </w:r>
      <w:r w:rsidRPr="00C142FD">
        <w:rPr>
          <w:lang w:val="en-US"/>
        </w:rPr>
        <w:t xml:space="preserve">The Board consists of public and private sector representatives representing all aspects of the sector– political, bureaucrats, technocrats, operators from all sub-sectors and consumers, as illustrated in the table below. The USF CEO also sits on the Board. </w:t>
      </w:r>
    </w:p>
    <w:p w:rsidR="008C579A" w:rsidRDefault="008C579A" w:rsidP="0088668E">
      <w:pPr>
        <w:pStyle w:val="HIPTabletitle"/>
      </w:pPr>
      <w:bookmarkStart w:id="120" w:name="_Toc286146549"/>
      <w:r w:rsidRPr="00C142FD">
        <w:t xml:space="preserve">Table </w:t>
      </w:r>
      <w:r w:rsidR="0088668E">
        <w:t>2.5</w:t>
      </w:r>
      <w:r w:rsidRPr="00C142FD">
        <w:t>: Case Study, Pakistan USF Board of Directors</w:t>
      </w:r>
      <w:bookmarkEnd w:id="120"/>
    </w:p>
    <w:tbl>
      <w:tblPr>
        <w:tblStyle w:val="TableGrid"/>
        <w:tblW w:w="0" w:type="auto"/>
        <w:jc w:val="center"/>
        <w:tblLook w:val="04A0"/>
      </w:tblPr>
      <w:tblGrid>
        <w:gridCol w:w="3095"/>
        <w:gridCol w:w="2548"/>
        <w:gridCol w:w="3405"/>
      </w:tblGrid>
      <w:tr w:rsidR="008C579A" w:rsidTr="00D23660">
        <w:trPr>
          <w:jc w:val="center"/>
        </w:trPr>
        <w:tc>
          <w:tcPr>
            <w:tcW w:w="3095" w:type="dxa"/>
            <w:shd w:val="clear" w:color="auto" w:fill="008000"/>
          </w:tcPr>
          <w:p w:rsidR="008C579A" w:rsidRDefault="008C579A" w:rsidP="008C579A">
            <w:pPr>
              <w:pStyle w:val="HIPTablehead"/>
            </w:pPr>
            <w:r>
              <w:t>Private</w:t>
            </w:r>
          </w:p>
        </w:tc>
        <w:tc>
          <w:tcPr>
            <w:tcW w:w="2548" w:type="dxa"/>
            <w:shd w:val="clear" w:color="auto" w:fill="008000"/>
          </w:tcPr>
          <w:p w:rsidR="008C579A" w:rsidRDefault="008C579A" w:rsidP="008C579A">
            <w:pPr>
              <w:pStyle w:val="HIPTablehead"/>
            </w:pPr>
            <w:r>
              <w:t>CEO</w:t>
            </w:r>
          </w:p>
        </w:tc>
        <w:tc>
          <w:tcPr>
            <w:tcW w:w="3405" w:type="dxa"/>
            <w:shd w:val="clear" w:color="auto" w:fill="008000"/>
          </w:tcPr>
          <w:p w:rsidR="008C579A" w:rsidRDefault="008C579A" w:rsidP="008C579A">
            <w:pPr>
              <w:pStyle w:val="HIPTablehead"/>
            </w:pPr>
            <w:r>
              <w:t>Public</w:t>
            </w:r>
          </w:p>
        </w:tc>
      </w:tr>
      <w:tr w:rsidR="008C579A" w:rsidRPr="00A3379B" w:rsidTr="00D23660">
        <w:trPr>
          <w:jc w:val="center"/>
        </w:trPr>
        <w:tc>
          <w:tcPr>
            <w:tcW w:w="3095" w:type="dxa"/>
          </w:tcPr>
          <w:p w:rsidR="008C579A" w:rsidRDefault="008C579A" w:rsidP="008C579A">
            <w:pPr>
              <w:pStyle w:val="HIPTabletext"/>
              <w:jc w:val="left"/>
              <w:rPr>
                <w:lang w:val="en-US"/>
              </w:rPr>
            </w:pPr>
            <w:r w:rsidRPr="008C579A">
              <w:rPr>
                <w:color w:val="008000"/>
                <w:lang w:val="en-US"/>
              </w:rPr>
              <w:t>•</w:t>
            </w:r>
            <w:r w:rsidRPr="008C579A">
              <w:rPr>
                <w:lang w:val="en-US"/>
              </w:rPr>
              <w:tab/>
            </w:r>
            <w:r>
              <w:rPr>
                <w:lang w:val="en-US"/>
              </w:rPr>
              <w:t>ISP representative</w:t>
            </w:r>
          </w:p>
          <w:p w:rsidR="008C579A" w:rsidRDefault="008C579A" w:rsidP="008C579A">
            <w:pPr>
              <w:pStyle w:val="HIPTabletext"/>
              <w:jc w:val="left"/>
              <w:rPr>
                <w:lang w:val="en-US"/>
              </w:rPr>
            </w:pPr>
            <w:r w:rsidRPr="008C579A">
              <w:rPr>
                <w:color w:val="008000"/>
                <w:lang w:val="en-US"/>
              </w:rPr>
              <w:t>•</w:t>
            </w:r>
            <w:r w:rsidRPr="008C579A">
              <w:rPr>
                <w:color w:val="008000"/>
                <w:lang w:val="en-US"/>
              </w:rPr>
              <w:tab/>
            </w:r>
            <w:r>
              <w:rPr>
                <w:lang w:val="en-US"/>
              </w:rPr>
              <w:t>Fixed line representative</w:t>
            </w:r>
          </w:p>
          <w:p w:rsidR="008C579A" w:rsidRPr="008C579A" w:rsidRDefault="008C579A" w:rsidP="008C579A">
            <w:pPr>
              <w:pStyle w:val="HIPTabletext"/>
              <w:jc w:val="left"/>
              <w:rPr>
                <w:lang w:val="en-US"/>
              </w:rPr>
            </w:pPr>
            <w:r w:rsidRPr="008C579A">
              <w:rPr>
                <w:color w:val="008000"/>
                <w:lang w:val="en-US"/>
              </w:rPr>
              <w:t>•</w:t>
            </w:r>
            <w:r>
              <w:rPr>
                <w:lang w:val="en-US"/>
              </w:rPr>
              <w:tab/>
              <w:t>Mobile representative</w:t>
            </w:r>
          </w:p>
        </w:tc>
        <w:tc>
          <w:tcPr>
            <w:tcW w:w="2548" w:type="dxa"/>
          </w:tcPr>
          <w:p w:rsidR="008C579A" w:rsidRPr="008C579A" w:rsidRDefault="008C579A" w:rsidP="008C579A">
            <w:pPr>
              <w:pStyle w:val="HIPTabletext"/>
              <w:jc w:val="left"/>
              <w:rPr>
                <w:lang w:val="en-US"/>
              </w:rPr>
            </w:pPr>
          </w:p>
        </w:tc>
        <w:tc>
          <w:tcPr>
            <w:tcW w:w="3405" w:type="dxa"/>
          </w:tcPr>
          <w:p w:rsidR="008C579A" w:rsidRDefault="008C579A" w:rsidP="008C579A">
            <w:pPr>
              <w:pStyle w:val="HIPTabletext"/>
              <w:jc w:val="left"/>
              <w:rPr>
                <w:lang w:val="en-US"/>
              </w:rPr>
            </w:pPr>
            <w:r w:rsidRPr="008C579A">
              <w:rPr>
                <w:color w:val="008000"/>
                <w:lang w:val="en-US"/>
              </w:rPr>
              <w:t>•</w:t>
            </w:r>
            <w:r w:rsidRPr="008C579A">
              <w:rPr>
                <w:lang w:val="en-US"/>
              </w:rPr>
              <w:tab/>
            </w:r>
            <w:r>
              <w:rPr>
                <w:lang w:val="en-US"/>
              </w:rPr>
              <w:t>Minister if IT</w:t>
            </w:r>
          </w:p>
          <w:p w:rsidR="008C579A" w:rsidRDefault="008C579A" w:rsidP="008C579A">
            <w:pPr>
              <w:pStyle w:val="HIPTabletext"/>
              <w:jc w:val="left"/>
              <w:rPr>
                <w:lang w:val="en-US"/>
              </w:rPr>
            </w:pPr>
            <w:r w:rsidRPr="008C579A">
              <w:rPr>
                <w:color w:val="008000"/>
                <w:lang w:val="en-US"/>
              </w:rPr>
              <w:t>•</w:t>
            </w:r>
            <w:r w:rsidRPr="008C579A">
              <w:rPr>
                <w:lang w:val="en-US"/>
              </w:rPr>
              <w:tab/>
            </w:r>
            <w:r>
              <w:rPr>
                <w:lang w:val="en-US"/>
              </w:rPr>
              <w:t>Federal Secretary of IT</w:t>
            </w:r>
          </w:p>
          <w:p w:rsidR="008C579A" w:rsidRDefault="008C579A" w:rsidP="008C579A">
            <w:pPr>
              <w:pStyle w:val="HIPTabletext"/>
              <w:jc w:val="left"/>
              <w:rPr>
                <w:lang w:val="en-US"/>
              </w:rPr>
            </w:pPr>
            <w:r w:rsidRPr="008C579A">
              <w:rPr>
                <w:color w:val="008000"/>
                <w:lang w:val="en-US"/>
              </w:rPr>
              <w:t>•</w:t>
            </w:r>
            <w:r w:rsidRPr="008C579A">
              <w:rPr>
                <w:lang w:val="en-US"/>
              </w:rPr>
              <w:tab/>
            </w:r>
            <w:r>
              <w:rPr>
                <w:lang w:val="en-US"/>
              </w:rPr>
              <w:t>Member of Telecom MoIT</w:t>
            </w:r>
          </w:p>
          <w:p w:rsidR="008C579A" w:rsidRPr="008C579A" w:rsidRDefault="008C579A" w:rsidP="008C579A">
            <w:pPr>
              <w:pStyle w:val="HIPTabletext"/>
              <w:jc w:val="left"/>
              <w:rPr>
                <w:lang w:val="en-US"/>
              </w:rPr>
            </w:pPr>
            <w:r w:rsidRPr="008C579A">
              <w:rPr>
                <w:color w:val="008000"/>
                <w:lang w:val="en-US"/>
              </w:rPr>
              <w:t>•</w:t>
            </w:r>
            <w:r w:rsidRPr="008C579A">
              <w:rPr>
                <w:lang w:val="en-US"/>
              </w:rPr>
              <w:tab/>
            </w:r>
            <w:r>
              <w:rPr>
                <w:lang w:val="en-US"/>
              </w:rPr>
              <w:t>Chairman of regulator</w:t>
            </w:r>
          </w:p>
        </w:tc>
      </w:tr>
    </w:tbl>
    <w:p w:rsidR="008C579A" w:rsidRPr="008C579A" w:rsidRDefault="008C579A" w:rsidP="008C579A">
      <w:pPr>
        <w:rPr>
          <w:lang w:val="en-US"/>
        </w:rPr>
      </w:pPr>
    </w:p>
    <w:p w:rsidR="008C579A" w:rsidRDefault="008C579A" w:rsidP="008C579A">
      <w:pPr>
        <w:pStyle w:val="HIPNormal"/>
        <w:rPr>
          <w:lang w:val="en-US"/>
        </w:rPr>
      </w:pPr>
      <w:r w:rsidRPr="00C142FD">
        <w:rPr>
          <w:lang w:val="en-US"/>
        </w:rPr>
        <w:t xml:space="preserve">Conflict of interest is avoided </w:t>
      </w:r>
      <w:r>
        <w:rPr>
          <w:lang w:val="en-US"/>
        </w:rPr>
        <w:t xml:space="preserve">in the Pakistani model </w:t>
      </w:r>
      <w:r w:rsidRPr="00C142FD">
        <w:rPr>
          <w:lang w:val="en-US"/>
        </w:rPr>
        <w:t xml:space="preserve">as the industry itself nominates its representatives, the Board does not issue contracts, and they must abstain in cases that involve their companies. There is full disclosure in this system. Although there have been recent governance issues with this model, none of the subsidies issued have been found to unduly benefit Board members. The Pakistan model is unique, especially in developing countries. </w:t>
      </w:r>
    </w:p>
    <w:p w:rsidR="008C579A" w:rsidRPr="00C142FD" w:rsidRDefault="008C579A" w:rsidP="008C579A">
      <w:pPr>
        <w:pStyle w:val="HIPNormal"/>
        <w:rPr>
          <w:lang w:val="en-US"/>
        </w:rPr>
      </w:pPr>
      <w:r w:rsidRPr="00C142FD">
        <w:rPr>
          <w:lang w:val="en-US"/>
        </w:rPr>
        <w:t>Important to note is that regardless of the location of the Fund, i.e. in the Ministry, regulator, or independent, it must have at a minimum</w:t>
      </w:r>
      <w:r w:rsidRPr="00C142FD">
        <w:rPr>
          <w:b/>
          <w:bCs/>
          <w:i/>
          <w:iCs/>
          <w:lang w:val="en-US"/>
        </w:rPr>
        <w:t xml:space="preserve"> its own dedicated:</w:t>
      </w:r>
    </w:p>
    <w:p w:rsidR="008C579A" w:rsidRPr="00C142FD" w:rsidRDefault="008C579A" w:rsidP="008C579A">
      <w:pPr>
        <w:pStyle w:val="HIPEnumlev1"/>
      </w:pPr>
      <w:r w:rsidRPr="00C142FD">
        <w:t>Full time Fund Administrator/CEO</w:t>
      </w:r>
      <w:r>
        <w:t>;</w:t>
      </w:r>
    </w:p>
    <w:p w:rsidR="008C579A" w:rsidRPr="00C142FD" w:rsidRDefault="008C579A" w:rsidP="008C579A">
      <w:pPr>
        <w:pStyle w:val="HIPEnumlev1"/>
      </w:pPr>
      <w:r w:rsidRPr="00C142FD">
        <w:t>Board of Trustees or Board of Directors</w:t>
      </w:r>
      <w:r>
        <w:t>;</w:t>
      </w:r>
    </w:p>
    <w:p w:rsidR="008C579A" w:rsidRPr="005912AC" w:rsidRDefault="008C579A" w:rsidP="008C579A">
      <w:pPr>
        <w:pStyle w:val="HIPEnumlev1"/>
      </w:pPr>
      <w:r w:rsidRPr="005912AC">
        <w:t>Bank account; and</w:t>
      </w:r>
    </w:p>
    <w:p w:rsidR="008C579A" w:rsidRPr="005912AC" w:rsidRDefault="008C579A" w:rsidP="008C579A">
      <w:pPr>
        <w:pStyle w:val="HIPEnumlev1"/>
      </w:pPr>
      <w:r w:rsidRPr="005912AC">
        <w:t>Reporting procedures</w:t>
      </w:r>
    </w:p>
    <w:p w:rsidR="008C579A" w:rsidRPr="00C142FD" w:rsidRDefault="008C579A" w:rsidP="008C579A">
      <w:pPr>
        <w:pStyle w:val="HIPNormal"/>
        <w:rPr>
          <w:lang w:val="en-US"/>
        </w:rPr>
      </w:pPr>
      <w:r w:rsidRPr="00C142FD">
        <w:rPr>
          <w:lang w:val="en-US"/>
        </w:rPr>
        <w:t xml:space="preserve">It has been recognised that some of the shortcomings of Funds include the high administration and capacity requirements for the Government to administer this regime effectively. While this is true in </w:t>
      </w:r>
      <w:r w:rsidRPr="00C142FD">
        <w:rPr>
          <w:lang w:val="en-US"/>
        </w:rPr>
        <w:lastRenderedPageBreak/>
        <w:t>terms of Fund establishment (especially where, as in the case of Tanzania and South Africa, the Fund is a separate organisation), it is particularly true with respect to disbursement of USAF monies. In countries where the Fund is part of the regulator, shared resources are used which can reduce the Fund to a department or unit, and thus reduce its priority if the regime is not properly administered.</w:t>
      </w:r>
    </w:p>
    <w:p w:rsidR="008C579A" w:rsidRPr="00C142FD" w:rsidRDefault="008C579A" w:rsidP="008C579A">
      <w:pPr>
        <w:pStyle w:val="HIPNormal"/>
        <w:rPr>
          <w:lang w:val="en-US"/>
        </w:rPr>
      </w:pPr>
      <w:r w:rsidRPr="00C142FD">
        <w:rPr>
          <w:lang w:val="en-US"/>
        </w:rPr>
        <w:t>Developed countries such as the Australia, Canada and the United States have generally adopted regimes with higher up-front design costs but very low ongoing costs.</w:t>
      </w:r>
      <w:r w:rsidR="005E5682">
        <w:rPr>
          <w:lang w:val="en-US"/>
        </w:rPr>
        <w:t xml:space="preserve"> </w:t>
      </w:r>
      <w:r w:rsidRPr="00C142FD">
        <w:rPr>
          <w:lang w:val="en-US"/>
        </w:rPr>
        <w:t>They have overcome high disbursement costs because of economies of scale and relatively higher-capacity administrations. On the other hand, many low-i</w:t>
      </w:r>
      <w:r>
        <w:rPr>
          <w:lang w:val="en-US"/>
        </w:rPr>
        <w:t>ncome countries, including some</w:t>
      </w:r>
      <w:r w:rsidRPr="00C142FD">
        <w:rPr>
          <w:lang w:val="en-US"/>
        </w:rPr>
        <w:t xml:space="preserve"> in Sub Saharan Africa, have struggled considerably with high disbursement costs because of lack of economies of scale and relatively lower-capacity administrations. This will be discussed in further detail in </w:t>
      </w:r>
      <w:r>
        <w:rPr>
          <w:lang w:val="en-US"/>
        </w:rPr>
        <w:t>Part 3</w:t>
      </w:r>
      <w:r w:rsidRPr="00C142FD">
        <w:rPr>
          <w:lang w:val="en-US"/>
        </w:rPr>
        <w:t>.</w:t>
      </w:r>
    </w:p>
    <w:p w:rsidR="0088668E" w:rsidRDefault="0088668E" w:rsidP="0088668E">
      <w:pPr>
        <w:pStyle w:val="HIPBoxquestion"/>
      </w:pPr>
      <w:bookmarkStart w:id="121" w:name="_Toc286146347"/>
      <w:r>
        <w:t>Box 2.1</w:t>
      </w:r>
      <w:bookmarkEnd w:id="121"/>
    </w:p>
    <w:p w:rsidR="008C579A" w:rsidRPr="00C142FD" w:rsidRDefault="008C579A" w:rsidP="0088668E">
      <w:pPr>
        <w:pStyle w:val="HIPBoxNormal"/>
      </w:pPr>
      <w:r w:rsidRPr="00C142FD">
        <w:t>The EC Directives do not require Member States to set up national compensation schemes (Funds). NRA’s can establish funding systems only if operators with Universal Service Obligations can prove they face a new cost that constitutes and unfair burden (Article 5(1)).</w:t>
      </w:r>
    </w:p>
    <w:p w:rsidR="008C579A" w:rsidRPr="00C142FD" w:rsidRDefault="008C579A" w:rsidP="0088668E">
      <w:pPr>
        <w:pStyle w:val="HIPBoxNormal"/>
      </w:pPr>
      <w:r w:rsidRPr="00C142FD">
        <w:t>If NRA’s have a Fund, they must respect the following criteria</w:t>
      </w:r>
      <w:r>
        <w:rPr>
          <w:rStyle w:val="FootnoteReference"/>
        </w:rPr>
        <w:footnoteReference w:id="28"/>
      </w:r>
      <w:r w:rsidRPr="00C142FD">
        <w:t>:</w:t>
      </w:r>
    </w:p>
    <w:p w:rsidR="008C579A" w:rsidRPr="00C142FD" w:rsidRDefault="008C579A" w:rsidP="0088668E">
      <w:pPr>
        <w:pStyle w:val="HIPBoxenumlevel"/>
      </w:pPr>
      <w:r>
        <w:t>–</w:t>
      </w:r>
      <w:r>
        <w:tab/>
      </w:r>
      <w:r w:rsidRPr="00C142FD">
        <w:t>Fund must be administered by an independent body;</w:t>
      </w:r>
    </w:p>
    <w:p w:rsidR="008C579A" w:rsidRPr="00C142FD" w:rsidRDefault="008C579A" w:rsidP="0088668E">
      <w:pPr>
        <w:pStyle w:val="HIPBoxenumlevel"/>
      </w:pPr>
      <w:r>
        <w:t>–</w:t>
      </w:r>
      <w:r>
        <w:tab/>
      </w:r>
      <w:r w:rsidRPr="00C142FD">
        <w:t>the body should be responsible for collecting contributions and overseeing the transfer of amounts due and disbursements to Universal Service Providers</w:t>
      </w:r>
    </w:p>
    <w:p w:rsidR="008C579A" w:rsidRPr="00C142FD" w:rsidRDefault="0088668E" w:rsidP="0088668E">
      <w:pPr>
        <w:pStyle w:val="HIPheading3"/>
        <w:rPr>
          <w:rFonts w:eastAsia="Calibri"/>
        </w:rPr>
      </w:pPr>
      <w:bookmarkStart w:id="122" w:name="_Toc284597957"/>
      <w:bookmarkStart w:id="123" w:name="_Toc286144960"/>
      <w:bookmarkStart w:id="124" w:name="_Toc281459533"/>
      <w:r>
        <w:t>2.2.</w:t>
      </w:r>
      <w:r w:rsidR="008C579A">
        <w:t>2</w:t>
      </w:r>
      <w:r w:rsidR="008C579A">
        <w:tab/>
      </w:r>
      <w:r w:rsidR="008C579A" w:rsidRPr="00C142FD">
        <w:t xml:space="preserve">SADC </w:t>
      </w:r>
      <w:r w:rsidR="008C579A">
        <w:t>Experience</w:t>
      </w:r>
      <w:bookmarkEnd w:id="122"/>
      <w:bookmarkEnd w:id="123"/>
      <w:r w:rsidR="008C579A">
        <w:t xml:space="preserve"> </w:t>
      </w:r>
      <w:bookmarkEnd w:id="124"/>
    </w:p>
    <w:p w:rsidR="008C579A" w:rsidRDefault="008C579A" w:rsidP="008C579A">
      <w:pPr>
        <w:pStyle w:val="HIPNormal"/>
        <w:rPr>
          <w:lang w:val="en-US"/>
        </w:rPr>
      </w:pPr>
      <w:r>
        <w:rPr>
          <w:lang w:val="en-US"/>
        </w:rPr>
        <w:t>The SADC experience with respect to</w:t>
      </w:r>
      <w:r w:rsidRPr="00C142FD">
        <w:rPr>
          <w:lang w:val="en-US"/>
        </w:rPr>
        <w:t xml:space="preserve"> the setting up of Funds has been mixed. The Funds are either managed by independent agencies (e.g. South Africa’s USAASA and Tanzania’s UCAF), the regulator (e.g. Lesotho’s LCA, Zimbabwe’s POTRAZ, Botswana’s BTA, Mauritius’ ICTA, and Malawi’s MACRA) or the government (Swaziland). Most countries’ Funds in the region are managed under the regulator using a number of approaches to separate the Fund administration from the administration and governance of the rest of the regulatory au</w:t>
      </w:r>
      <w:r>
        <w:rPr>
          <w:lang w:val="en-US"/>
        </w:rPr>
        <w:t xml:space="preserve">thority. </w:t>
      </w:r>
    </w:p>
    <w:p w:rsidR="008C579A" w:rsidRPr="005835A3" w:rsidRDefault="008C579A" w:rsidP="008C579A">
      <w:pPr>
        <w:pStyle w:val="HIPEnumlev1"/>
      </w:pPr>
      <w:r w:rsidRPr="00C142FD">
        <w:rPr>
          <w:b/>
          <w:bCs/>
        </w:rPr>
        <w:t xml:space="preserve">Lesotho’s Universal Access Fund </w:t>
      </w:r>
      <w:r w:rsidRPr="00C142FD">
        <w:t xml:space="preserve">is established under the regulator. </w:t>
      </w:r>
      <w:r w:rsidRPr="00DB0248">
        <w:t xml:space="preserve">It is a Committee of the Board of the regulator (LCA) as stipulated in the gazetted Fund Rules. The UAF Committee consists of the Chairperson of LCA (who is the Chairperson of the UAF Committee), and representatives of the Ministries of Communications, Local Government and Finance). </w:t>
      </w:r>
      <w:r w:rsidRPr="00C142FD">
        <w:t>In addition, the regulator is the treasurer of the UAF.</w:t>
      </w:r>
    </w:p>
    <w:p w:rsidR="008C579A" w:rsidRDefault="008C579A" w:rsidP="008C579A">
      <w:pPr>
        <w:pStyle w:val="HIPEnumlev1"/>
      </w:pPr>
      <w:r w:rsidRPr="00C142FD">
        <w:rPr>
          <w:b/>
          <w:bCs/>
        </w:rPr>
        <w:t>Mauritius</w:t>
      </w:r>
      <w:r w:rsidRPr="00C142FD">
        <w:t xml:space="preserve"> has adopted an interesting structure wherein it is established under the ICT Act 2001 that the regulator, ICTA, shall be the body designated to manage the USF.</w:t>
      </w:r>
      <w:r w:rsidR="005E5682">
        <w:t xml:space="preserve"> </w:t>
      </w:r>
      <w:r w:rsidRPr="00DB0248">
        <w:t xml:space="preserve">Mauritius thus recognized that </w:t>
      </w:r>
      <w:r>
        <w:t>i</w:t>
      </w:r>
      <w:r w:rsidRPr="00DB0248">
        <w:t xml:space="preserve">t is thus important to draw the management and organisational structure that fits within the Authority to handle the USF, while at the same time ensuring transparency, accountability and preserving autonomy. </w:t>
      </w:r>
      <w:r w:rsidRPr="00C142FD">
        <w:t>The following structure has been set up:</w:t>
      </w:r>
    </w:p>
    <w:p w:rsidR="008C579A" w:rsidRDefault="008C579A" w:rsidP="00A25B99">
      <w:pPr>
        <w:pStyle w:val="HIPEnumlev2"/>
        <w:numPr>
          <w:ilvl w:val="4"/>
          <w:numId w:val="10"/>
        </w:numPr>
        <w:ind w:left="1276"/>
      </w:pPr>
      <w:r w:rsidRPr="00C142FD">
        <w:t>The ICT Authority Board which is the board created under the Act.</w:t>
      </w:r>
    </w:p>
    <w:p w:rsidR="008C579A" w:rsidRPr="00C142FD" w:rsidRDefault="008C579A" w:rsidP="00A25B99">
      <w:pPr>
        <w:pStyle w:val="HIPEnumlev2"/>
        <w:numPr>
          <w:ilvl w:val="4"/>
          <w:numId w:val="10"/>
        </w:numPr>
        <w:ind w:left="1276"/>
      </w:pPr>
      <w:r w:rsidRPr="00C142FD">
        <w:t>The USF advisory group which provides input, suggestions and ideas to the USF management concerning project priorities, operational plans, objectives and key issues. The group shall consist of appointed representatives from the industry, the government, public institutions with an emphasis on those most involved with fund activities, public operators, and consumer representatives.</w:t>
      </w:r>
    </w:p>
    <w:p w:rsidR="008C579A" w:rsidRDefault="008C579A" w:rsidP="00A25B99">
      <w:pPr>
        <w:pStyle w:val="HIPEnumlev2"/>
        <w:numPr>
          <w:ilvl w:val="4"/>
          <w:numId w:val="10"/>
        </w:numPr>
        <w:ind w:left="1276"/>
      </w:pPr>
      <w:r w:rsidRPr="00C142FD">
        <w:t>The Fund Administrator who oversees all fund activities.</w:t>
      </w:r>
    </w:p>
    <w:p w:rsidR="008C579A" w:rsidRDefault="008C579A" w:rsidP="00A25B99">
      <w:pPr>
        <w:pStyle w:val="HIPEnumlev2"/>
        <w:numPr>
          <w:ilvl w:val="4"/>
          <w:numId w:val="10"/>
        </w:numPr>
        <w:ind w:left="1276"/>
      </w:pPr>
      <w:r w:rsidRPr="00C142FD">
        <w:lastRenderedPageBreak/>
        <w:t>The Project Manager who is responsible for analysing market conditions, developing proposed project plans and acting as liaison with USF funding recipients in the implementation and evaluation of approved projects.</w:t>
      </w:r>
    </w:p>
    <w:p w:rsidR="008C579A" w:rsidRPr="00C142FD" w:rsidRDefault="008C579A" w:rsidP="00A25B99">
      <w:pPr>
        <w:pStyle w:val="HIPEnumlev2"/>
        <w:numPr>
          <w:ilvl w:val="4"/>
          <w:numId w:val="10"/>
        </w:numPr>
        <w:ind w:left="1276"/>
      </w:pPr>
      <w:r w:rsidRPr="00C142FD">
        <w:t>Liaison officers: within the Authority (Engineers, attorneys, accountant, economist, etc…) responsible for extending professional support and resources in their fields of responsibility to the management.</w:t>
      </w:r>
    </w:p>
    <w:p w:rsidR="008C579A" w:rsidRDefault="008C579A" w:rsidP="0088668E">
      <w:pPr>
        <w:pStyle w:val="HIPFiguretitle"/>
      </w:pPr>
      <w:bookmarkStart w:id="125" w:name="_Toc286145948"/>
      <w:r>
        <w:t xml:space="preserve">Figure </w:t>
      </w:r>
      <w:r w:rsidR="0088668E">
        <w:t>2.1</w:t>
      </w:r>
      <w:r>
        <w:t>: Mauritian Fund Management Structure</w:t>
      </w:r>
      <w:r>
        <w:rPr>
          <w:rStyle w:val="FootnoteReference"/>
        </w:rPr>
        <w:footnoteReference w:id="29"/>
      </w:r>
      <w:bookmarkEnd w:id="125"/>
    </w:p>
    <w:p w:rsidR="008C579A" w:rsidRDefault="008C579A" w:rsidP="0088668E">
      <w:pPr>
        <w:pStyle w:val="HIPFigure"/>
      </w:pPr>
      <w:r w:rsidRPr="008C579A">
        <w:rPr>
          <w:noProof/>
          <w:lang w:eastAsia="zh-CN"/>
        </w:rPr>
        <w:drawing>
          <wp:inline distT="0" distB="0" distL="0" distR="0">
            <wp:extent cx="5267325" cy="3381375"/>
            <wp:effectExtent l="19050" t="19050" r="28575" b="28575"/>
            <wp:docPr id="6" name="Picture 3" descr="U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F"/>
                    <pic:cNvPicPr>
                      <a:picLocks noChangeAspect="1" noChangeArrowheads="1"/>
                    </pic:cNvPicPr>
                  </pic:nvPicPr>
                  <pic:blipFill>
                    <a:blip r:embed="rId41" cstate="print">
                      <a:duotone>
                        <a:schemeClr val="accent3">
                          <a:shade val="45000"/>
                          <a:satMod val="135000"/>
                        </a:schemeClr>
                        <a:prstClr val="white"/>
                      </a:duotone>
                    </a:blip>
                    <a:srcRect/>
                    <a:stretch>
                      <a:fillRect/>
                    </a:stretch>
                  </pic:blipFill>
                  <pic:spPr bwMode="auto">
                    <a:xfrm>
                      <a:off x="0" y="0"/>
                      <a:ext cx="5267325" cy="3381375"/>
                    </a:xfrm>
                    <a:prstGeom prst="rect">
                      <a:avLst/>
                    </a:prstGeom>
                    <a:noFill/>
                    <a:ln w="9525" cmpd="sng">
                      <a:solidFill>
                        <a:srgbClr val="000000"/>
                      </a:solidFill>
                      <a:miter lim="800000"/>
                      <a:headEnd/>
                      <a:tailEnd/>
                    </a:ln>
                    <a:effectLst/>
                  </pic:spPr>
                </pic:pic>
              </a:graphicData>
            </a:graphic>
          </wp:inline>
        </w:drawing>
      </w:r>
    </w:p>
    <w:p w:rsidR="008C579A" w:rsidRDefault="008C579A" w:rsidP="0088668E">
      <w:pPr>
        <w:pStyle w:val="HIPfiguresource"/>
      </w:pPr>
    </w:p>
    <w:p w:rsidR="008C579A" w:rsidRPr="0088668E" w:rsidRDefault="008C579A" w:rsidP="008C579A">
      <w:pPr>
        <w:pStyle w:val="HIPNormal"/>
        <w:rPr>
          <w:lang w:val="en-US"/>
        </w:rPr>
      </w:pPr>
    </w:p>
    <w:p w:rsidR="008C579A" w:rsidRPr="00C142FD" w:rsidRDefault="008C579A" w:rsidP="008C579A">
      <w:pPr>
        <w:pStyle w:val="HIPNormal"/>
        <w:rPr>
          <w:lang w:val="en-US"/>
        </w:rPr>
      </w:pPr>
      <w:r w:rsidRPr="00C142FD">
        <w:rPr>
          <w:lang w:val="en-US"/>
        </w:rPr>
        <w:t xml:space="preserve">Regardless of the model followed, a concern is the human resource capacity that is being dedicated the Funds, or rather the lack thereof. In several countries, the Fund (whether a unit or a separate organization) consists of a single person responsible for the function. Additional resources are shared with the rest of the organization, in the case of the regulator, and no additional staff are dedicated to the Fund. At present, only USAASA has a fully fledged organizational structure dedicated to the Fund consisting of over </w:t>
      </w:r>
      <w:r>
        <w:rPr>
          <w:lang w:val="en-US"/>
        </w:rPr>
        <w:t>55</w:t>
      </w:r>
      <w:r w:rsidRPr="00C142FD">
        <w:rPr>
          <w:lang w:val="en-US"/>
        </w:rPr>
        <w:t xml:space="preserve"> staff members. UCAF (Tanzania) has plans to increase its capacity over the next year. Lack of in-house capacity is a constraint when it comes to implementation of the Fund and the complex tasks of project design, selection and financing. The Fund should as a rule have staff that combine skills in project management, finance, market research and analysis and technical skills, amongst others. </w:t>
      </w:r>
    </w:p>
    <w:p w:rsidR="005E5682" w:rsidRDefault="005E5682">
      <w:pPr>
        <w:rPr>
          <w:rFonts w:ascii="Calibri" w:hAnsi="Calibri" w:cs="Arial"/>
          <w:b/>
          <w:bCs/>
          <w:color w:val="008000"/>
          <w:szCs w:val="24"/>
          <w:lang w:val="en-US"/>
        </w:rPr>
      </w:pPr>
      <w:r w:rsidRPr="00761E74">
        <w:rPr>
          <w:lang w:val="en-US"/>
        </w:rPr>
        <w:br w:type="page"/>
      </w:r>
    </w:p>
    <w:p w:rsidR="008C579A" w:rsidRPr="00C142FD" w:rsidRDefault="008C579A" w:rsidP="0088668E">
      <w:pPr>
        <w:pStyle w:val="HIPTabletitle"/>
      </w:pPr>
      <w:bookmarkStart w:id="126" w:name="_Toc286146550"/>
      <w:r w:rsidRPr="00C142FD">
        <w:lastRenderedPageBreak/>
        <w:t xml:space="preserve">Table </w:t>
      </w:r>
      <w:r w:rsidR="0088668E">
        <w:t>2.6</w:t>
      </w:r>
      <w:r w:rsidRPr="00C142FD">
        <w:t>:</w:t>
      </w:r>
      <w:r w:rsidR="005E5682">
        <w:t xml:space="preserve"> </w:t>
      </w:r>
      <w:r w:rsidRPr="00C142FD">
        <w:t>SADC USAF Institutional Frameworks and Staffing</w:t>
      </w:r>
      <w:r>
        <w:rPr>
          <w:rStyle w:val="FootnoteReference"/>
        </w:rPr>
        <w:footnoteReference w:id="30"/>
      </w:r>
      <w:bookmarkEnd w:id="126"/>
    </w:p>
    <w:tbl>
      <w:tblPr>
        <w:tblW w:w="9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81"/>
        <w:gridCol w:w="2257"/>
        <w:gridCol w:w="2250"/>
        <w:gridCol w:w="2818"/>
      </w:tblGrid>
      <w:tr w:rsidR="008C579A" w:rsidRPr="00ED0EAB" w:rsidTr="0088668E">
        <w:trPr>
          <w:jc w:val="center"/>
        </w:trPr>
        <w:tc>
          <w:tcPr>
            <w:tcW w:w="1781" w:type="dxa"/>
            <w:shd w:val="clear" w:color="auto" w:fill="008000"/>
          </w:tcPr>
          <w:p w:rsidR="008C579A" w:rsidRPr="005E3213" w:rsidRDefault="008C579A" w:rsidP="008C579A">
            <w:pPr>
              <w:pStyle w:val="HIPTablehead"/>
            </w:pPr>
            <w:r w:rsidRPr="005E3213">
              <w:t>Country</w:t>
            </w:r>
          </w:p>
        </w:tc>
        <w:tc>
          <w:tcPr>
            <w:tcW w:w="2257" w:type="dxa"/>
            <w:shd w:val="clear" w:color="auto" w:fill="008000"/>
          </w:tcPr>
          <w:p w:rsidR="008C579A" w:rsidRPr="005E3213" w:rsidRDefault="008C579A" w:rsidP="008C579A">
            <w:pPr>
              <w:pStyle w:val="HIPTablehead"/>
            </w:pPr>
            <w:r>
              <w:t>Fund Location</w:t>
            </w:r>
          </w:p>
        </w:tc>
        <w:tc>
          <w:tcPr>
            <w:tcW w:w="2250" w:type="dxa"/>
            <w:shd w:val="clear" w:color="auto" w:fill="008000"/>
          </w:tcPr>
          <w:p w:rsidR="008C579A" w:rsidRPr="005E3213" w:rsidRDefault="008C579A" w:rsidP="008C579A">
            <w:pPr>
              <w:pStyle w:val="HIPTablehead"/>
            </w:pPr>
            <w:r>
              <w:t>Number of Dedicated Staff</w:t>
            </w:r>
            <w:r w:rsidRPr="005E3213">
              <w:t xml:space="preserve"> </w:t>
            </w:r>
          </w:p>
        </w:tc>
        <w:tc>
          <w:tcPr>
            <w:tcW w:w="2818" w:type="dxa"/>
            <w:shd w:val="clear" w:color="auto" w:fill="008000"/>
          </w:tcPr>
          <w:p w:rsidR="008C579A" w:rsidRPr="005E3213" w:rsidRDefault="008C579A" w:rsidP="008C579A">
            <w:pPr>
              <w:pStyle w:val="HIPTablehead"/>
            </w:pPr>
            <w:r>
              <w:t>Comments</w:t>
            </w:r>
          </w:p>
        </w:tc>
      </w:tr>
      <w:tr w:rsidR="008C579A" w:rsidRPr="00ED0EAB" w:rsidTr="0088668E">
        <w:trPr>
          <w:jc w:val="center"/>
        </w:trPr>
        <w:tc>
          <w:tcPr>
            <w:tcW w:w="1781" w:type="dxa"/>
            <w:tcBorders>
              <w:bottom w:val="single" w:sz="4" w:space="0" w:color="auto"/>
            </w:tcBorders>
          </w:tcPr>
          <w:p w:rsidR="008C579A" w:rsidRPr="008C579A" w:rsidRDefault="008C579A" w:rsidP="008C579A">
            <w:pPr>
              <w:pStyle w:val="HIPTabletext"/>
              <w:jc w:val="left"/>
              <w:rPr>
                <w:b/>
                <w:bCs w:val="0"/>
              </w:rPr>
            </w:pPr>
            <w:r w:rsidRPr="008C579A">
              <w:rPr>
                <w:b/>
                <w:bCs w:val="0"/>
              </w:rPr>
              <w:t>Angola</w:t>
            </w:r>
          </w:p>
        </w:tc>
        <w:tc>
          <w:tcPr>
            <w:tcW w:w="2257" w:type="dxa"/>
            <w:tcBorders>
              <w:bottom w:val="single" w:sz="4" w:space="0" w:color="auto"/>
            </w:tcBorders>
          </w:tcPr>
          <w:p w:rsidR="008C579A" w:rsidRPr="00ED0EAB" w:rsidRDefault="008C579A" w:rsidP="008C579A">
            <w:pPr>
              <w:pStyle w:val="HIPTabletext"/>
              <w:jc w:val="left"/>
            </w:pPr>
            <w:r>
              <w:t>–</w:t>
            </w:r>
            <w:r w:rsidRPr="00AD28A4">
              <w:t xml:space="preserve"> </w:t>
            </w:r>
          </w:p>
        </w:tc>
        <w:tc>
          <w:tcPr>
            <w:tcW w:w="2250" w:type="dxa"/>
            <w:tcBorders>
              <w:bottom w:val="single" w:sz="4" w:space="0" w:color="auto"/>
            </w:tcBorders>
          </w:tcPr>
          <w:p w:rsidR="008C579A" w:rsidRPr="00ED0EAB" w:rsidRDefault="008C579A" w:rsidP="008C579A">
            <w:pPr>
              <w:pStyle w:val="HIPTabletext"/>
              <w:jc w:val="left"/>
            </w:pPr>
          </w:p>
        </w:tc>
        <w:tc>
          <w:tcPr>
            <w:tcW w:w="2818" w:type="dxa"/>
            <w:tcBorders>
              <w:bottom w:val="single" w:sz="4" w:space="0" w:color="auto"/>
            </w:tcBorders>
          </w:tcPr>
          <w:p w:rsidR="008C579A" w:rsidRPr="00ED0EAB" w:rsidRDefault="008C579A" w:rsidP="008C579A">
            <w:pPr>
              <w:pStyle w:val="HIPTabletext"/>
              <w:jc w:val="left"/>
            </w:pPr>
          </w:p>
        </w:tc>
      </w:tr>
      <w:tr w:rsidR="008C579A" w:rsidRPr="00ED0EAB" w:rsidTr="0088668E">
        <w:trPr>
          <w:jc w:val="center"/>
        </w:trPr>
        <w:tc>
          <w:tcPr>
            <w:tcW w:w="1781" w:type="dxa"/>
            <w:shd w:val="clear" w:color="auto" w:fill="EAF1DD"/>
          </w:tcPr>
          <w:p w:rsidR="008C579A" w:rsidRPr="008C579A" w:rsidRDefault="008C579A" w:rsidP="008C579A">
            <w:pPr>
              <w:pStyle w:val="HIPTabletext"/>
              <w:jc w:val="left"/>
              <w:rPr>
                <w:b/>
                <w:bCs w:val="0"/>
              </w:rPr>
            </w:pPr>
            <w:r w:rsidRPr="008C579A">
              <w:rPr>
                <w:b/>
                <w:bCs w:val="0"/>
              </w:rPr>
              <w:t xml:space="preserve">Botswana </w:t>
            </w:r>
          </w:p>
        </w:tc>
        <w:tc>
          <w:tcPr>
            <w:tcW w:w="2257" w:type="dxa"/>
            <w:shd w:val="clear" w:color="auto" w:fill="EAF1DD"/>
          </w:tcPr>
          <w:p w:rsidR="008C579A" w:rsidRPr="00ED0EAB" w:rsidRDefault="008C579A" w:rsidP="008C579A">
            <w:pPr>
              <w:pStyle w:val="HIPTabletext"/>
              <w:jc w:val="left"/>
            </w:pPr>
            <w:r w:rsidRPr="00AD28A4">
              <w:t>Not yet</w:t>
            </w:r>
          </w:p>
        </w:tc>
        <w:tc>
          <w:tcPr>
            <w:tcW w:w="2250" w:type="dxa"/>
            <w:shd w:val="clear" w:color="auto" w:fill="EAF1DD"/>
          </w:tcPr>
          <w:p w:rsidR="008C579A" w:rsidRPr="00ED0EAB" w:rsidRDefault="008C579A" w:rsidP="008C579A">
            <w:pPr>
              <w:pStyle w:val="HIPTabletext"/>
              <w:jc w:val="left"/>
            </w:pPr>
          </w:p>
        </w:tc>
        <w:tc>
          <w:tcPr>
            <w:tcW w:w="2818" w:type="dxa"/>
            <w:shd w:val="clear" w:color="auto" w:fill="EAF1DD"/>
          </w:tcPr>
          <w:p w:rsidR="008C579A" w:rsidRPr="00ED0EAB" w:rsidRDefault="008C579A" w:rsidP="008C579A">
            <w:pPr>
              <w:pStyle w:val="HIPTabletext"/>
              <w:jc w:val="left"/>
            </w:pPr>
          </w:p>
        </w:tc>
      </w:tr>
      <w:tr w:rsidR="008C579A" w:rsidRPr="00ED0EAB" w:rsidTr="0088668E">
        <w:trPr>
          <w:jc w:val="center"/>
        </w:trPr>
        <w:tc>
          <w:tcPr>
            <w:tcW w:w="1781" w:type="dxa"/>
            <w:tcBorders>
              <w:bottom w:val="single" w:sz="4" w:space="0" w:color="auto"/>
            </w:tcBorders>
          </w:tcPr>
          <w:p w:rsidR="008C579A" w:rsidRPr="008C579A" w:rsidRDefault="008C579A" w:rsidP="008C579A">
            <w:pPr>
              <w:pStyle w:val="HIPTabletext"/>
              <w:jc w:val="left"/>
              <w:rPr>
                <w:b/>
                <w:bCs w:val="0"/>
              </w:rPr>
            </w:pPr>
            <w:r w:rsidRPr="008C579A">
              <w:rPr>
                <w:b/>
                <w:bCs w:val="0"/>
              </w:rPr>
              <w:t>DRC</w:t>
            </w:r>
          </w:p>
        </w:tc>
        <w:tc>
          <w:tcPr>
            <w:tcW w:w="2257" w:type="dxa"/>
            <w:tcBorders>
              <w:bottom w:val="single" w:sz="4" w:space="0" w:color="auto"/>
            </w:tcBorders>
          </w:tcPr>
          <w:p w:rsidR="008C579A" w:rsidRPr="00ED0EAB" w:rsidRDefault="008C579A" w:rsidP="008C579A">
            <w:pPr>
              <w:pStyle w:val="HIPTabletext"/>
              <w:jc w:val="left"/>
            </w:pPr>
            <w:r w:rsidRPr="00AD28A4">
              <w:t>Regulator</w:t>
            </w:r>
          </w:p>
        </w:tc>
        <w:tc>
          <w:tcPr>
            <w:tcW w:w="2250" w:type="dxa"/>
            <w:tcBorders>
              <w:bottom w:val="single" w:sz="4" w:space="0" w:color="auto"/>
            </w:tcBorders>
          </w:tcPr>
          <w:p w:rsidR="008C579A" w:rsidRPr="00ED0EAB" w:rsidRDefault="008C579A" w:rsidP="008C579A">
            <w:pPr>
              <w:pStyle w:val="HIPTabletext"/>
              <w:jc w:val="left"/>
            </w:pPr>
          </w:p>
        </w:tc>
        <w:tc>
          <w:tcPr>
            <w:tcW w:w="2818" w:type="dxa"/>
            <w:tcBorders>
              <w:bottom w:val="single" w:sz="4" w:space="0" w:color="auto"/>
            </w:tcBorders>
          </w:tcPr>
          <w:p w:rsidR="008C579A" w:rsidRPr="00ED0EAB" w:rsidRDefault="008C579A" w:rsidP="008C579A">
            <w:pPr>
              <w:pStyle w:val="HIPTabletext"/>
              <w:jc w:val="left"/>
            </w:pPr>
          </w:p>
        </w:tc>
      </w:tr>
      <w:tr w:rsidR="008C579A" w:rsidRPr="00ED0EAB" w:rsidTr="0088668E">
        <w:trPr>
          <w:jc w:val="center"/>
        </w:trPr>
        <w:tc>
          <w:tcPr>
            <w:tcW w:w="1781" w:type="dxa"/>
            <w:shd w:val="clear" w:color="auto" w:fill="EAF1DD"/>
          </w:tcPr>
          <w:p w:rsidR="008C579A" w:rsidRPr="008C579A" w:rsidRDefault="008C579A" w:rsidP="008C579A">
            <w:pPr>
              <w:pStyle w:val="HIPTabletext"/>
              <w:jc w:val="left"/>
              <w:rPr>
                <w:b/>
                <w:bCs w:val="0"/>
              </w:rPr>
            </w:pPr>
            <w:r w:rsidRPr="008C579A">
              <w:rPr>
                <w:b/>
                <w:bCs w:val="0"/>
              </w:rPr>
              <w:t>Lesotho</w:t>
            </w:r>
          </w:p>
        </w:tc>
        <w:tc>
          <w:tcPr>
            <w:tcW w:w="2257" w:type="dxa"/>
            <w:shd w:val="clear" w:color="auto" w:fill="EAF1DD"/>
          </w:tcPr>
          <w:p w:rsidR="008C579A" w:rsidRPr="00ED0EAB" w:rsidRDefault="008C579A" w:rsidP="008C579A">
            <w:pPr>
              <w:pStyle w:val="HIPTabletext"/>
              <w:jc w:val="left"/>
            </w:pPr>
            <w:r w:rsidRPr="00AD28A4">
              <w:t>Regulator</w:t>
            </w:r>
          </w:p>
        </w:tc>
        <w:tc>
          <w:tcPr>
            <w:tcW w:w="2250" w:type="dxa"/>
            <w:shd w:val="clear" w:color="auto" w:fill="EAF1DD"/>
          </w:tcPr>
          <w:p w:rsidR="008C579A" w:rsidRPr="00ED0EAB" w:rsidRDefault="008C579A" w:rsidP="008C579A">
            <w:pPr>
              <w:pStyle w:val="HIPTabletext"/>
              <w:jc w:val="left"/>
            </w:pPr>
            <w:r>
              <w:t>1</w:t>
            </w:r>
          </w:p>
        </w:tc>
        <w:tc>
          <w:tcPr>
            <w:tcW w:w="2818" w:type="dxa"/>
            <w:shd w:val="clear" w:color="auto" w:fill="EAF1DD"/>
          </w:tcPr>
          <w:p w:rsidR="008C579A" w:rsidRPr="00ED0EAB" w:rsidRDefault="008C579A" w:rsidP="008C579A">
            <w:pPr>
              <w:pStyle w:val="HIPTabletext"/>
              <w:jc w:val="left"/>
            </w:pPr>
            <w:r>
              <w:t>Executive Secretary appointed in 2010</w:t>
            </w:r>
          </w:p>
        </w:tc>
      </w:tr>
      <w:tr w:rsidR="008C579A" w:rsidRPr="00A3379B" w:rsidTr="0088668E">
        <w:trPr>
          <w:jc w:val="center"/>
        </w:trPr>
        <w:tc>
          <w:tcPr>
            <w:tcW w:w="1781" w:type="dxa"/>
            <w:tcBorders>
              <w:bottom w:val="single" w:sz="4" w:space="0" w:color="auto"/>
            </w:tcBorders>
          </w:tcPr>
          <w:p w:rsidR="008C579A" w:rsidRPr="008C579A" w:rsidRDefault="008C579A" w:rsidP="008C579A">
            <w:pPr>
              <w:pStyle w:val="HIPTabletext"/>
              <w:jc w:val="left"/>
              <w:rPr>
                <w:b/>
                <w:bCs w:val="0"/>
              </w:rPr>
            </w:pPr>
            <w:r w:rsidRPr="008C579A">
              <w:rPr>
                <w:b/>
                <w:bCs w:val="0"/>
              </w:rPr>
              <w:t>Malawi</w:t>
            </w:r>
          </w:p>
        </w:tc>
        <w:tc>
          <w:tcPr>
            <w:tcW w:w="2257" w:type="dxa"/>
            <w:tcBorders>
              <w:bottom w:val="single" w:sz="4" w:space="0" w:color="auto"/>
            </w:tcBorders>
          </w:tcPr>
          <w:p w:rsidR="008C579A" w:rsidRPr="00ED0EAB" w:rsidRDefault="008C579A" w:rsidP="008C579A">
            <w:pPr>
              <w:pStyle w:val="HIPTabletext"/>
              <w:jc w:val="left"/>
            </w:pPr>
            <w:r w:rsidRPr="00AD28A4">
              <w:t xml:space="preserve">Regulator </w:t>
            </w:r>
            <w:r>
              <w:t>(Universal Access Unit)</w:t>
            </w:r>
          </w:p>
        </w:tc>
        <w:tc>
          <w:tcPr>
            <w:tcW w:w="2250" w:type="dxa"/>
            <w:tcBorders>
              <w:bottom w:val="single" w:sz="4" w:space="0" w:color="auto"/>
            </w:tcBorders>
          </w:tcPr>
          <w:p w:rsidR="008C579A" w:rsidRPr="00ED0EAB" w:rsidRDefault="008C579A" w:rsidP="008C579A">
            <w:pPr>
              <w:pStyle w:val="HIPTabletext"/>
              <w:jc w:val="left"/>
            </w:pPr>
            <w:r>
              <w:t>1</w:t>
            </w:r>
          </w:p>
        </w:tc>
        <w:tc>
          <w:tcPr>
            <w:tcW w:w="2818" w:type="dxa"/>
            <w:tcBorders>
              <w:bottom w:val="single" w:sz="4" w:space="0" w:color="auto"/>
            </w:tcBorders>
          </w:tcPr>
          <w:p w:rsidR="008C579A" w:rsidRPr="00C142FD" w:rsidRDefault="008C579A" w:rsidP="008C579A">
            <w:pPr>
              <w:pStyle w:val="HIPTabletext"/>
              <w:jc w:val="left"/>
              <w:rPr>
                <w:lang w:val="en-US"/>
              </w:rPr>
            </w:pPr>
            <w:r w:rsidRPr="00C142FD">
              <w:rPr>
                <w:lang w:val="en-US"/>
              </w:rPr>
              <w:t>No Project Manger in UA Unit</w:t>
            </w:r>
          </w:p>
        </w:tc>
      </w:tr>
      <w:tr w:rsidR="008C579A" w:rsidRPr="00A3379B" w:rsidTr="0088668E">
        <w:trPr>
          <w:jc w:val="center"/>
        </w:trPr>
        <w:tc>
          <w:tcPr>
            <w:tcW w:w="1781" w:type="dxa"/>
            <w:shd w:val="clear" w:color="auto" w:fill="EAF1DD"/>
          </w:tcPr>
          <w:p w:rsidR="008C579A" w:rsidRPr="008C579A" w:rsidRDefault="008C579A" w:rsidP="008C579A">
            <w:pPr>
              <w:pStyle w:val="HIPTabletext"/>
              <w:jc w:val="left"/>
              <w:rPr>
                <w:b/>
                <w:bCs w:val="0"/>
              </w:rPr>
            </w:pPr>
            <w:r w:rsidRPr="008C579A">
              <w:rPr>
                <w:b/>
                <w:bCs w:val="0"/>
              </w:rPr>
              <w:t>Mauritius</w:t>
            </w:r>
          </w:p>
        </w:tc>
        <w:tc>
          <w:tcPr>
            <w:tcW w:w="2257" w:type="dxa"/>
            <w:shd w:val="clear" w:color="auto" w:fill="EAF1DD"/>
          </w:tcPr>
          <w:p w:rsidR="008C579A" w:rsidRPr="00ED0EAB" w:rsidDel="001F5FC9" w:rsidRDefault="008C579A" w:rsidP="008C579A">
            <w:pPr>
              <w:pStyle w:val="HIPTabletext"/>
              <w:jc w:val="left"/>
            </w:pPr>
            <w:r>
              <w:t>Regulator</w:t>
            </w:r>
          </w:p>
        </w:tc>
        <w:tc>
          <w:tcPr>
            <w:tcW w:w="2250" w:type="dxa"/>
            <w:shd w:val="clear" w:color="auto" w:fill="EAF1DD"/>
          </w:tcPr>
          <w:p w:rsidR="008C579A" w:rsidRPr="00ED0EAB" w:rsidRDefault="008C579A" w:rsidP="008C579A">
            <w:pPr>
              <w:pStyle w:val="HIPTabletext"/>
              <w:jc w:val="left"/>
            </w:pPr>
          </w:p>
        </w:tc>
        <w:tc>
          <w:tcPr>
            <w:tcW w:w="2818" w:type="dxa"/>
            <w:shd w:val="clear" w:color="auto" w:fill="EAF1DD"/>
          </w:tcPr>
          <w:p w:rsidR="008C579A" w:rsidRPr="00C142FD" w:rsidRDefault="008C579A" w:rsidP="008C579A">
            <w:pPr>
              <w:pStyle w:val="HIPTabletext"/>
              <w:jc w:val="left"/>
              <w:rPr>
                <w:lang w:val="en-US"/>
              </w:rPr>
            </w:pPr>
            <w:r w:rsidRPr="00C142FD">
              <w:rPr>
                <w:lang w:val="en-US"/>
              </w:rPr>
              <w:t>Advisory Panel exists specifically on USF</w:t>
            </w:r>
          </w:p>
        </w:tc>
      </w:tr>
      <w:tr w:rsidR="008C579A" w:rsidRPr="00ED0EAB" w:rsidTr="0088668E">
        <w:trPr>
          <w:jc w:val="center"/>
        </w:trPr>
        <w:tc>
          <w:tcPr>
            <w:tcW w:w="1781" w:type="dxa"/>
            <w:tcBorders>
              <w:bottom w:val="single" w:sz="4" w:space="0" w:color="auto"/>
            </w:tcBorders>
          </w:tcPr>
          <w:p w:rsidR="008C579A" w:rsidRPr="008C579A" w:rsidRDefault="008C579A" w:rsidP="008C579A">
            <w:pPr>
              <w:pStyle w:val="HIPTabletext"/>
              <w:jc w:val="left"/>
              <w:rPr>
                <w:b/>
                <w:bCs w:val="0"/>
              </w:rPr>
            </w:pPr>
            <w:r w:rsidRPr="008C579A">
              <w:rPr>
                <w:b/>
                <w:bCs w:val="0"/>
              </w:rPr>
              <w:t>Mozambique</w:t>
            </w:r>
          </w:p>
        </w:tc>
        <w:tc>
          <w:tcPr>
            <w:tcW w:w="2257" w:type="dxa"/>
            <w:tcBorders>
              <w:bottom w:val="single" w:sz="4" w:space="0" w:color="auto"/>
            </w:tcBorders>
          </w:tcPr>
          <w:p w:rsidR="008C579A" w:rsidRPr="00ED0EAB" w:rsidRDefault="008C579A" w:rsidP="008C579A">
            <w:pPr>
              <w:pStyle w:val="HIPTabletext"/>
              <w:jc w:val="left"/>
            </w:pPr>
            <w:r w:rsidRPr="00AD28A4">
              <w:t xml:space="preserve">Regulator </w:t>
            </w:r>
          </w:p>
        </w:tc>
        <w:tc>
          <w:tcPr>
            <w:tcW w:w="2250" w:type="dxa"/>
            <w:tcBorders>
              <w:bottom w:val="single" w:sz="4" w:space="0" w:color="auto"/>
            </w:tcBorders>
          </w:tcPr>
          <w:p w:rsidR="008C579A" w:rsidRPr="00ED0EAB" w:rsidRDefault="008C579A" w:rsidP="008C579A">
            <w:pPr>
              <w:pStyle w:val="HIPTabletext"/>
              <w:jc w:val="left"/>
            </w:pPr>
          </w:p>
        </w:tc>
        <w:tc>
          <w:tcPr>
            <w:tcW w:w="2818" w:type="dxa"/>
            <w:tcBorders>
              <w:bottom w:val="single" w:sz="4" w:space="0" w:color="auto"/>
            </w:tcBorders>
          </w:tcPr>
          <w:p w:rsidR="008C579A" w:rsidRPr="00ED0EAB" w:rsidRDefault="008C579A" w:rsidP="008C579A">
            <w:pPr>
              <w:pStyle w:val="HIPTabletext"/>
              <w:jc w:val="left"/>
            </w:pPr>
          </w:p>
        </w:tc>
      </w:tr>
      <w:tr w:rsidR="008C579A" w:rsidRPr="00ED0EAB" w:rsidTr="0088668E">
        <w:trPr>
          <w:jc w:val="center"/>
        </w:trPr>
        <w:tc>
          <w:tcPr>
            <w:tcW w:w="1781" w:type="dxa"/>
            <w:shd w:val="clear" w:color="auto" w:fill="EAF1DD"/>
          </w:tcPr>
          <w:p w:rsidR="008C579A" w:rsidRPr="008C579A" w:rsidRDefault="008C579A" w:rsidP="008C579A">
            <w:pPr>
              <w:pStyle w:val="HIPTabletext"/>
              <w:jc w:val="left"/>
              <w:rPr>
                <w:b/>
                <w:bCs w:val="0"/>
              </w:rPr>
            </w:pPr>
            <w:r w:rsidRPr="008C579A">
              <w:rPr>
                <w:b/>
                <w:bCs w:val="0"/>
              </w:rPr>
              <w:t xml:space="preserve">Namibia </w:t>
            </w:r>
          </w:p>
        </w:tc>
        <w:tc>
          <w:tcPr>
            <w:tcW w:w="2257" w:type="dxa"/>
            <w:shd w:val="clear" w:color="auto" w:fill="EAF1DD"/>
          </w:tcPr>
          <w:p w:rsidR="008C579A" w:rsidRPr="00ED0EAB" w:rsidRDefault="008C579A" w:rsidP="008C579A">
            <w:pPr>
              <w:pStyle w:val="HIPTabletext"/>
              <w:jc w:val="left"/>
            </w:pPr>
            <w:r w:rsidRPr="00AD28A4">
              <w:t>Not yet</w:t>
            </w:r>
          </w:p>
        </w:tc>
        <w:tc>
          <w:tcPr>
            <w:tcW w:w="2250" w:type="dxa"/>
            <w:shd w:val="clear" w:color="auto" w:fill="EAF1DD"/>
          </w:tcPr>
          <w:p w:rsidR="008C579A" w:rsidRPr="00ED0EAB" w:rsidRDefault="008C579A" w:rsidP="008C579A">
            <w:pPr>
              <w:pStyle w:val="HIPTabletext"/>
              <w:jc w:val="left"/>
            </w:pPr>
          </w:p>
        </w:tc>
        <w:tc>
          <w:tcPr>
            <w:tcW w:w="2818" w:type="dxa"/>
            <w:shd w:val="clear" w:color="auto" w:fill="EAF1DD"/>
          </w:tcPr>
          <w:p w:rsidR="008C579A" w:rsidRPr="00ED0EAB" w:rsidRDefault="008C579A" w:rsidP="008C579A">
            <w:pPr>
              <w:pStyle w:val="HIPTabletext"/>
              <w:jc w:val="left"/>
            </w:pPr>
          </w:p>
        </w:tc>
      </w:tr>
      <w:tr w:rsidR="008C579A" w:rsidRPr="00ED0EAB" w:rsidTr="0088668E">
        <w:trPr>
          <w:jc w:val="center"/>
        </w:trPr>
        <w:tc>
          <w:tcPr>
            <w:tcW w:w="1781" w:type="dxa"/>
            <w:tcBorders>
              <w:bottom w:val="single" w:sz="4" w:space="0" w:color="auto"/>
            </w:tcBorders>
          </w:tcPr>
          <w:p w:rsidR="008C579A" w:rsidRPr="008C579A" w:rsidRDefault="008C579A" w:rsidP="008C579A">
            <w:pPr>
              <w:pStyle w:val="HIPTabletext"/>
              <w:jc w:val="left"/>
              <w:rPr>
                <w:b/>
                <w:bCs w:val="0"/>
              </w:rPr>
            </w:pPr>
            <w:r w:rsidRPr="008C579A">
              <w:rPr>
                <w:b/>
                <w:bCs w:val="0"/>
              </w:rPr>
              <w:t>Seychelles</w:t>
            </w:r>
          </w:p>
        </w:tc>
        <w:tc>
          <w:tcPr>
            <w:tcW w:w="2257" w:type="dxa"/>
            <w:tcBorders>
              <w:bottom w:val="single" w:sz="4" w:space="0" w:color="auto"/>
            </w:tcBorders>
          </w:tcPr>
          <w:p w:rsidR="008C579A" w:rsidRPr="00ED0EAB" w:rsidRDefault="008C579A" w:rsidP="008C579A">
            <w:pPr>
              <w:pStyle w:val="HIPTabletext"/>
              <w:jc w:val="left"/>
            </w:pPr>
            <w:r w:rsidRPr="00AD28A4">
              <w:t>Not yet</w:t>
            </w:r>
          </w:p>
        </w:tc>
        <w:tc>
          <w:tcPr>
            <w:tcW w:w="2250" w:type="dxa"/>
            <w:tcBorders>
              <w:bottom w:val="single" w:sz="4" w:space="0" w:color="auto"/>
            </w:tcBorders>
          </w:tcPr>
          <w:p w:rsidR="008C579A" w:rsidRPr="00ED0EAB" w:rsidRDefault="008C579A" w:rsidP="008C579A">
            <w:pPr>
              <w:pStyle w:val="HIPTabletext"/>
              <w:jc w:val="left"/>
            </w:pPr>
          </w:p>
        </w:tc>
        <w:tc>
          <w:tcPr>
            <w:tcW w:w="2818" w:type="dxa"/>
            <w:tcBorders>
              <w:bottom w:val="single" w:sz="4" w:space="0" w:color="auto"/>
            </w:tcBorders>
          </w:tcPr>
          <w:p w:rsidR="008C579A" w:rsidRPr="00ED0EAB" w:rsidRDefault="008C579A" w:rsidP="008C579A">
            <w:pPr>
              <w:pStyle w:val="HIPTabletext"/>
              <w:jc w:val="left"/>
            </w:pPr>
          </w:p>
        </w:tc>
      </w:tr>
      <w:tr w:rsidR="008C579A" w:rsidRPr="00ED0EAB" w:rsidTr="0088668E">
        <w:trPr>
          <w:jc w:val="center"/>
        </w:trPr>
        <w:tc>
          <w:tcPr>
            <w:tcW w:w="1781" w:type="dxa"/>
            <w:shd w:val="clear" w:color="auto" w:fill="EAF1DD"/>
          </w:tcPr>
          <w:p w:rsidR="008C579A" w:rsidRPr="008C579A" w:rsidRDefault="008C579A" w:rsidP="008C579A">
            <w:pPr>
              <w:pStyle w:val="HIPTabletext"/>
              <w:jc w:val="left"/>
              <w:rPr>
                <w:b/>
                <w:bCs w:val="0"/>
              </w:rPr>
            </w:pPr>
            <w:r w:rsidRPr="008C579A">
              <w:rPr>
                <w:b/>
                <w:bCs w:val="0"/>
              </w:rPr>
              <w:t>South Africa</w:t>
            </w:r>
          </w:p>
        </w:tc>
        <w:tc>
          <w:tcPr>
            <w:tcW w:w="2257" w:type="dxa"/>
            <w:shd w:val="clear" w:color="auto" w:fill="EAF1DD"/>
          </w:tcPr>
          <w:p w:rsidR="008C579A" w:rsidRPr="00ED0EAB" w:rsidRDefault="008C579A" w:rsidP="008C579A">
            <w:pPr>
              <w:pStyle w:val="HIPTabletext"/>
              <w:jc w:val="left"/>
              <w:rPr>
                <w:lang w:val="en-GB"/>
              </w:rPr>
            </w:pPr>
            <w:r w:rsidRPr="00AD28A4">
              <w:t>Independent Agency</w:t>
            </w:r>
          </w:p>
        </w:tc>
        <w:tc>
          <w:tcPr>
            <w:tcW w:w="2250" w:type="dxa"/>
            <w:shd w:val="clear" w:color="auto" w:fill="EAF1DD"/>
          </w:tcPr>
          <w:p w:rsidR="008C579A" w:rsidRPr="00ED0EAB" w:rsidRDefault="008C579A" w:rsidP="008C579A">
            <w:pPr>
              <w:pStyle w:val="HIPTabletext"/>
              <w:jc w:val="left"/>
            </w:pPr>
            <w:r>
              <w:t>55</w:t>
            </w:r>
          </w:p>
        </w:tc>
        <w:tc>
          <w:tcPr>
            <w:tcW w:w="2818" w:type="dxa"/>
            <w:shd w:val="clear" w:color="auto" w:fill="EAF1DD"/>
          </w:tcPr>
          <w:p w:rsidR="008C579A" w:rsidRPr="00ED0EAB" w:rsidRDefault="008C579A" w:rsidP="008C579A">
            <w:pPr>
              <w:pStyle w:val="HIPTabletext"/>
              <w:jc w:val="left"/>
            </w:pPr>
          </w:p>
        </w:tc>
      </w:tr>
      <w:tr w:rsidR="008C579A" w:rsidRPr="00ED0EAB" w:rsidTr="0088668E">
        <w:trPr>
          <w:jc w:val="center"/>
        </w:trPr>
        <w:tc>
          <w:tcPr>
            <w:tcW w:w="1781" w:type="dxa"/>
            <w:tcBorders>
              <w:bottom w:val="single" w:sz="4" w:space="0" w:color="auto"/>
            </w:tcBorders>
          </w:tcPr>
          <w:p w:rsidR="008C579A" w:rsidRPr="008C579A" w:rsidRDefault="008C579A" w:rsidP="008C579A">
            <w:pPr>
              <w:pStyle w:val="HIPTabletext"/>
              <w:jc w:val="left"/>
              <w:rPr>
                <w:b/>
                <w:bCs w:val="0"/>
              </w:rPr>
            </w:pPr>
            <w:r w:rsidRPr="008C579A">
              <w:rPr>
                <w:b/>
                <w:bCs w:val="0"/>
              </w:rPr>
              <w:t xml:space="preserve">Swaziland </w:t>
            </w:r>
          </w:p>
        </w:tc>
        <w:tc>
          <w:tcPr>
            <w:tcW w:w="2257" w:type="dxa"/>
            <w:tcBorders>
              <w:bottom w:val="single" w:sz="4" w:space="0" w:color="auto"/>
            </w:tcBorders>
          </w:tcPr>
          <w:p w:rsidR="008C579A" w:rsidRPr="00ED0EAB" w:rsidRDefault="008C579A" w:rsidP="008C579A">
            <w:pPr>
              <w:pStyle w:val="HIPTabletext"/>
              <w:jc w:val="left"/>
            </w:pPr>
            <w:r w:rsidRPr="00AD28A4">
              <w:t>Government</w:t>
            </w:r>
          </w:p>
        </w:tc>
        <w:tc>
          <w:tcPr>
            <w:tcW w:w="2250" w:type="dxa"/>
            <w:tcBorders>
              <w:bottom w:val="single" w:sz="4" w:space="0" w:color="auto"/>
            </w:tcBorders>
          </w:tcPr>
          <w:p w:rsidR="008C579A" w:rsidRPr="00ED0EAB" w:rsidRDefault="008C579A" w:rsidP="008C579A">
            <w:pPr>
              <w:pStyle w:val="HIPTabletext"/>
              <w:jc w:val="left"/>
            </w:pPr>
          </w:p>
        </w:tc>
        <w:tc>
          <w:tcPr>
            <w:tcW w:w="2818" w:type="dxa"/>
            <w:tcBorders>
              <w:bottom w:val="single" w:sz="4" w:space="0" w:color="auto"/>
            </w:tcBorders>
          </w:tcPr>
          <w:p w:rsidR="008C579A" w:rsidRPr="00ED0EAB" w:rsidRDefault="008C579A" w:rsidP="008C579A">
            <w:pPr>
              <w:pStyle w:val="HIPTabletext"/>
              <w:jc w:val="left"/>
            </w:pPr>
          </w:p>
        </w:tc>
      </w:tr>
      <w:tr w:rsidR="008C579A" w:rsidRPr="00ED0EAB" w:rsidTr="0088668E">
        <w:trPr>
          <w:jc w:val="center"/>
        </w:trPr>
        <w:tc>
          <w:tcPr>
            <w:tcW w:w="1781" w:type="dxa"/>
            <w:shd w:val="clear" w:color="auto" w:fill="EAF1DD"/>
          </w:tcPr>
          <w:p w:rsidR="008C579A" w:rsidRPr="008C579A" w:rsidRDefault="008C579A" w:rsidP="008C579A">
            <w:pPr>
              <w:pStyle w:val="HIPTabletext"/>
              <w:jc w:val="left"/>
              <w:rPr>
                <w:b/>
                <w:bCs w:val="0"/>
              </w:rPr>
            </w:pPr>
            <w:r w:rsidRPr="008C579A">
              <w:rPr>
                <w:b/>
                <w:bCs w:val="0"/>
              </w:rPr>
              <w:t xml:space="preserve">Tanzania </w:t>
            </w:r>
          </w:p>
        </w:tc>
        <w:tc>
          <w:tcPr>
            <w:tcW w:w="2257" w:type="dxa"/>
            <w:shd w:val="clear" w:color="auto" w:fill="EAF1DD"/>
          </w:tcPr>
          <w:p w:rsidR="008C579A" w:rsidRPr="00ED0EAB" w:rsidRDefault="008C579A" w:rsidP="008C579A">
            <w:pPr>
              <w:pStyle w:val="HIPTabletext"/>
              <w:jc w:val="left"/>
            </w:pPr>
            <w:r w:rsidRPr="00AD28A4">
              <w:t>Independent Agency</w:t>
            </w:r>
          </w:p>
        </w:tc>
        <w:tc>
          <w:tcPr>
            <w:tcW w:w="2250" w:type="dxa"/>
            <w:shd w:val="clear" w:color="auto" w:fill="EAF1DD"/>
          </w:tcPr>
          <w:p w:rsidR="008C579A" w:rsidRPr="00ED0EAB" w:rsidRDefault="008C579A" w:rsidP="008C579A">
            <w:pPr>
              <w:pStyle w:val="HIPTabletext"/>
              <w:jc w:val="left"/>
            </w:pPr>
            <w:r>
              <w:t>1 (Fund Administrator)</w:t>
            </w:r>
          </w:p>
        </w:tc>
        <w:tc>
          <w:tcPr>
            <w:tcW w:w="2818" w:type="dxa"/>
            <w:shd w:val="clear" w:color="auto" w:fill="EAF1DD"/>
          </w:tcPr>
          <w:p w:rsidR="008C579A" w:rsidRPr="00ED0EAB" w:rsidRDefault="008C579A" w:rsidP="008C579A">
            <w:pPr>
              <w:pStyle w:val="HIPTabletext"/>
              <w:jc w:val="left"/>
            </w:pPr>
          </w:p>
        </w:tc>
      </w:tr>
      <w:tr w:rsidR="008C579A" w:rsidRPr="00ED0EAB" w:rsidTr="0088668E">
        <w:trPr>
          <w:jc w:val="center"/>
        </w:trPr>
        <w:tc>
          <w:tcPr>
            <w:tcW w:w="1781" w:type="dxa"/>
            <w:tcBorders>
              <w:bottom w:val="single" w:sz="4" w:space="0" w:color="auto"/>
            </w:tcBorders>
          </w:tcPr>
          <w:p w:rsidR="008C579A" w:rsidRPr="008C579A" w:rsidRDefault="008C579A" w:rsidP="008C579A">
            <w:pPr>
              <w:pStyle w:val="HIPTabletext"/>
              <w:jc w:val="left"/>
              <w:rPr>
                <w:b/>
                <w:bCs w:val="0"/>
              </w:rPr>
            </w:pPr>
            <w:r w:rsidRPr="008C579A">
              <w:rPr>
                <w:b/>
                <w:bCs w:val="0"/>
              </w:rPr>
              <w:t>Zambia</w:t>
            </w:r>
          </w:p>
        </w:tc>
        <w:tc>
          <w:tcPr>
            <w:tcW w:w="2257" w:type="dxa"/>
            <w:tcBorders>
              <w:bottom w:val="single" w:sz="4" w:space="0" w:color="auto"/>
            </w:tcBorders>
          </w:tcPr>
          <w:p w:rsidR="008C579A" w:rsidRPr="00ED0EAB" w:rsidRDefault="008C579A" w:rsidP="008C579A">
            <w:pPr>
              <w:pStyle w:val="HIPTabletext"/>
              <w:jc w:val="left"/>
            </w:pPr>
            <w:r w:rsidRPr="00AD28A4">
              <w:t>Not Yet</w:t>
            </w:r>
          </w:p>
        </w:tc>
        <w:tc>
          <w:tcPr>
            <w:tcW w:w="2250" w:type="dxa"/>
            <w:tcBorders>
              <w:bottom w:val="single" w:sz="4" w:space="0" w:color="auto"/>
            </w:tcBorders>
          </w:tcPr>
          <w:p w:rsidR="008C579A" w:rsidRPr="00ED0EAB" w:rsidRDefault="008C579A" w:rsidP="008C579A">
            <w:pPr>
              <w:pStyle w:val="HIPTabletext"/>
              <w:jc w:val="left"/>
            </w:pPr>
          </w:p>
        </w:tc>
        <w:tc>
          <w:tcPr>
            <w:tcW w:w="2818" w:type="dxa"/>
            <w:tcBorders>
              <w:bottom w:val="single" w:sz="4" w:space="0" w:color="auto"/>
            </w:tcBorders>
          </w:tcPr>
          <w:p w:rsidR="008C579A" w:rsidRPr="00ED0EAB" w:rsidRDefault="008C579A" w:rsidP="008C579A">
            <w:pPr>
              <w:pStyle w:val="HIPTabletext"/>
              <w:jc w:val="left"/>
            </w:pPr>
          </w:p>
        </w:tc>
      </w:tr>
      <w:tr w:rsidR="008C579A" w:rsidRPr="00ED0EAB" w:rsidTr="0088668E">
        <w:trPr>
          <w:jc w:val="center"/>
        </w:trPr>
        <w:tc>
          <w:tcPr>
            <w:tcW w:w="1781" w:type="dxa"/>
            <w:shd w:val="clear" w:color="auto" w:fill="EAF1DD"/>
          </w:tcPr>
          <w:p w:rsidR="008C579A" w:rsidRPr="008C579A" w:rsidRDefault="008C579A" w:rsidP="008C579A">
            <w:pPr>
              <w:pStyle w:val="HIPTabletext"/>
              <w:jc w:val="left"/>
              <w:rPr>
                <w:b/>
                <w:bCs w:val="0"/>
              </w:rPr>
            </w:pPr>
            <w:r w:rsidRPr="008C579A">
              <w:rPr>
                <w:b/>
                <w:bCs w:val="0"/>
              </w:rPr>
              <w:t>Zimbabwe</w:t>
            </w:r>
          </w:p>
        </w:tc>
        <w:tc>
          <w:tcPr>
            <w:tcW w:w="2257" w:type="dxa"/>
            <w:shd w:val="clear" w:color="auto" w:fill="EAF1DD"/>
          </w:tcPr>
          <w:p w:rsidR="008C579A" w:rsidRPr="00ED0EAB" w:rsidRDefault="008C579A" w:rsidP="008C579A">
            <w:pPr>
              <w:pStyle w:val="HIPTabletext"/>
              <w:jc w:val="left"/>
            </w:pPr>
            <w:r w:rsidRPr="00AD28A4">
              <w:t>Regulator</w:t>
            </w:r>
          </w:p>
        </w:tc>
        <w:tc>
          <w:tcPr>
            <w:tcW w:w="2250" w:type="dxa"/>
            <w:shd w:val="clear" w:color="auto" w:fill="EAF1DD"/>
          </w:tcPr>
          <w:p w:rsidR="008C579A" w:rsidRPr="00ED0EAB" w:rsidRDefault="008C579A" w:rsidP="008C579A">
            <w:pPr>
              <w:pStyle w:val="HIPTabletext"/>
              <w:jc w:val="left"/>
            </w:pPr>
          </w:p>
        </w:tc>
        <w:tc>
          <w:tcPr>
            <w:tcW w:w="2818" w:type="dxa"/>
            <w:shd w:val="clear" w:color="auto" w:fill="EAF1DD"/>
          </w:tcPr>
          <w:p w:rsidR="008C579A" w:rsidRPr="00ED0EAB" w:rsidRDefault="008C579A" w:rsidP="008C579A">
            <w:pPr>
              <w:pStyle w:val="HIPTabletext"/>
              <w:jc w:val="left"/>
            </w:pPr>
          </w:p>
        </w:tc>
      </w:tr>
    </w:tbl>
    <w:p w:rsidR="0088668E" w:rsidRDefault="0088668E" w:rsidP="008C579A">
      <w:pPr>
        <w:pStyle w:val="HIPNormal"/>
        <w:rPr>
          <w:lang w:val="en-US"/>
        </w:rPr>
      </w:pPr>
    </w:p>
    <w:p w:rsidR="008C579A" w:rsidRDefault="008C579A" w:rsidP="008C579A">
      <w:pPr>
        <w:pStyle w:val="HIPNormal"/>
        <w:rPr>
          <w:lang w:val="en-US"/>
        </w:rPr>
      </w:pPr>
      <w:r w:rsidRPr="00C142FD">
        <w:rPr>
          <w:lang w:val="en-US"/>
        </w:rPr>
        <w:t>No country in SADC has followed the Pakistani approach of appointing a third party Fund management company to manage the Fund on a commercial basis. In light of the challenges faced with project implementation of disbursement of funds in the region, this is an approach that could be considered to provide an efficient and incentive driven approach to managing the Funds. Recent developments in the Pakistani case demonstrate that even in this scenario, it is critical that good governance is on place, or the Fund may be destabilized.</w:t>
      </w:r>
    </w:p>
    <w:p w:rsidR="008C579A" w:rsidRDefault="0088668E" w:rsidP="0088668E">
      <w:pPr>
        <w:pStyle w:val="HIPBoxquestion"/>
      </w:pPr>
      <w:bookmarkStart w:id="127" w:name="_Toc286146348"/>
      <w:r>
        <w:t xml:space="preserve">Box 2.2: </w:t>
      </w:r>
      <w:r w:rsidR="008C579A" w:rsidRPr="00C142FD">
        <w:t>Pakistan case study</w:t>
      </w:r>
      <w:r w:rsidR="008C579A">
        <w:rPr>
          <w:rStyle w:val="FootnoteReference"/>
          <w:sz w:val="18"/>
          <w:szCs w:val="18"/>
        </w:rPr>
        <w:footnoteReference w:id="31"/>
      </w:r>
      <w:bookmarkEnd w:id="127"/>
    </w:p>
    <w:p w:rsidR="008C579A" w:rsidRPr="00D23660" w:rsidRDefault="008C579A" w:rsidP="0088668E">
      <w:pPr>
        <w:pStyle w:val="HIPBoxNormal"/>
      </w:pPr>
      <w:r w:rsidRPr="00D23660">
        <w:t>The Fund in Pakistan is managed by a third party Fund Management Company contracted to perform the function by the state. Some of the key achievements of Fund, since its inception:</w:t>
      </w:r>
    </w:p>
    <w:p w:rsidR="008C579A" w:rsidRPr="00D23660" w:rsidRDefault="008C579A" w:rsidP="0088668E">
      <w:pPr>
        <w:pStyle w:val="HIPBoxenumlevel"/>
      </w:pPr>
      <w:r w:rsidRPr="00D23660">
        <w:rPr>
          <w:color w:val="008000"/>
        </w:rPr>
        <w:t>•</w:t>
      </w:r>
      <w:r w:rsidRPr="00D23660">
        <w:tab/>
        <w:t>The Fund was allocated a total of Rs.15.1 to spend on telecommunications projects in un-served areas. This could increase if Board Meetings could be held to approve signing of contracts where open bidding has been completed or where bidding could be initiated – both waiting board approvals.</w:t>
      </w:r>
    </w:p>
    <w:p w:rsidR="008C579A" w:rsidRPr="00D23660" w:rsidRDefault="008C579A" w:rsidP="0088668E">
      <w:pPr>
        <w:pStyle w:val="HIPBoxenumlevel"/>
      </w:pPr>
      <w:r w:rsidRPr="00D23660">
        <w:rPr>
          <w:color w:val="008000"/>
        </w:rPr>
        <w:t>•</w:t>
      </w:r>
      <w:r w:rsidRPr="00D23660">
        <w:tab/>
        <w:t>A total of Rs. 6.3 billion has been allocated for fiber optic rollout throughout the country, connecting all Tehsils.</w:t>
      </w:r>
    </w:p>
    <w:p w:rsidR="008C579A" w:rsidRPr="00D23660" w:rsidRDefault="008C579A" w:rsidP="0088668E">
      <w:pPr>
        <w:pStyle w:val="HIPBoxenumlevel"/>
      </w:pPr>
      <w:r w:rsidRPr="00D23660">
        <w:rPr>
          <w:color w:val="008000"/>
        </w:rPr>
        <w:lastRenderedPageBreak/>
        <w:t>•</w:t>
      </w:r>
      <w:r w:rsidRPr="00D23660">
        <w:tab/>
        <w:t>Through the Fund, telecommunications services have been made available to approximately 4.3</w:t>
      </w:r>
      <w:r w:rsidR="00D23660">
        <w:t> </w:t>
      </w:r>
      <w:r w:rsidRPr="00D23660">
        <w:t>million people in 3,400 previously-unserved villages; work is in progress to connect another 2,700 villages with a population of 2.5 million.</w:t>
      </w:r>
    </w:p>
    <w:p w:rsidR="008C579A" w:rsidRPr="00D23660" w:rsidRDefault="008C579A" w:rsidP="0088668E">
      <w:pPr>
        <w:pStyle w:val="HIPBoxenumlevel"/>
      </w:pPr>
      <w:r w:rsidRPr="00D23660">
        <w:rPr>
          <w:color w:val="008000"/>
        </w:rPr>
        <w:t>•</w:t>
      </w:r>
      <w:r w:rsidRPr="00D23660">
        <w:tab/>
        <w:t>In last three years, the Fund made broadband services available to 15.5 million people in urban/semi-urban areas in over 200 cities.</w:t>
      </w:r>
    </w:p>
    <w:p w:rsidR="008C579A" w:rsidRPr="00D23660" w:rsidRDefault="008C579A" w:rsidP="0088668E">
      <w:pPr>
        <w:pStyle w:val="HIPBoxenumlevel"/>
      </w:pPr>
      <w:r w:rsidRPr="00D23660">
        <w:rPr>
          <w:color w:val="008000"/>
        </w:rPr>
        <w:t>•</w:t>
      </w:r>
      <w:r w:rsidRPr="00D23660">
        <w:tab/>
        <w:t>Nearly 150,000 customers attained broadband services in more than 200 cities. Note that in these 200+ cities there was no broadband in the beginning of 2009.</w:t>
      </w:r>
    </w:p>
    <w:p w:rsidR="008C579A" w:rsidRPr="00D23660" w:rsidRDefault="008C579A" w:rsidP="0088668E">
      <w:pPr>
        <w:pStyle w:val="HIPBoxenumlevel"/>
      </w:pPr>
      <w:r w:rsidRPr="00D23660">
        <w:rPr>
          <w:color w:val="008000"/>
        </w:rPr>
        <w:t>•</w:t>
      </w:r>
      <w:r w:rsidRPr="00D23660">
        <w:tab/>
        <w:t>Under the Head of Special Projects, the Fund made various services available to 200,000 people through pilot telecenters and many more benefitting through ICT facilities for people with disabilities at Shifa Eye International Hospital and Foundation for Fighting Blindness.</w:t>
      </w:r>
    </w:p>
    <w:p w:rsidR="008C579A" w:rsidRPr="00D23660" w:rsidRDefault="008C579A" w:rsidP="0088668E">
      <w:pPr>
        <w:pStyle w:val="HIPBoxenumlevel"/>
      </w:pPr>
      <w:r w:rsidRPr="00D23660">
        <w:rPr>
          <w:color w:val="008000"/>
        </w:rPr>
        <w:t>•</w:t>
      </w:r>
      <w:r w:rsidRPr="00D23660">
        <w:tab/>
        <w:t>Telecom companies, with help of the Fund installed around 500 cell sites; a technical audit of 235 has been done.</w:t>
      </w:r>
    </w:p>
    <w:p w:rsidR="008C579A" w:rsidRPr="00C142FD" w:rsidRDefault="008C579A" w:rsidP="0088668E">
      <w:pPr>
        <w:pStyle w:val="HIPTabletitle"/>
      </w:pPr>
      <w:bookmarkStart w:id="128" w:name="_Toc286146551"/>
      <w:r w:rsidRPr="00C142FD">
        <w:t xml:space="preserve">Table </w:t>
      </w:r>
      <w:r w:rsidR="0088668E">
        <w:t>2.7</w:t>
      </w:r>
      <w:r w:rsidRPr="00C142FD">
        <w:t>: Management of Funds in SADC</w:t>
      </w:r>
      <w:r>
        <w:rPr>
          <w:rStyle w:val="FootnoteReference"/>
        </w:rPr>
        <w:footnoteReference w:id="32"/>
      </w:r>
      <w:bookmarkEnd w:id="128"/>
    </w:p>
    <w:tbl>
      <w:tblPr>
        <w:tblW w:w="9232" w:type="dxa"/>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2505"/>
        <w:gridCol w:w="2551"/>
        <w:gridCol w:w="2196"/>
      </w:tblGrid>
      <w:tr w:rsidR="008C579A" w:rsidRPr="00A3379B" w:rsidTr="008C579A">
        <w:trPr>
          <w:jc w:val="center"/>
        </w:trPr>
        <w:tc>
          <w:tcPr>
            <w:tcW w:w="1980" w:type="dxa"/>
            <w:shd w:val="clear" w:color="auto" w:fill="008000"/>
          </w:tcPr>
          <w:p w:rsidR="008C579A" w:rsidRPr="00C142FD" w:rsidRDefault="008C579A" w:rsidP="008C579A">
            <w:pPr>
              <w:pStyle w:val="HIPTablehead"/>
            </w:pPr>
            <w:bookmarkStart w:id="129" w:name="_Toc281153742"/>
            <w:r w:rsidRPr="00C142FD">
              <w:t>Country</w:t>
            </w:r>
            <w:bookmarkEnd w:id="129"/>
          </w:p>
        </w:tc>
        <w:tc>
          <w:tcPr>
            <w:tcW w:w="2505" w:type="dxa"/>
            <w:shd w:val="clear" w:color="auto" w:fill="008000"/>
          </w:tcPr>
          <w:p w:rsidR="008C579A" w:rsidRPr="00C142FD" w:rsidRDefault="008C579A" w:rsidP="00D23660">
            <w:pPr>
              <w:pStyle w:val="HIPTablehead"/>
            </w:pPr>
            <w:bookmarkStart w:id="130" w:name="_Toc281153743"/>
            <w:r w:rsidRPr="00C142FD">
              <w:t>Model of Fund</w:t>
            </w:r>
            <w:bookmarkEnd w:id="130"/>
            <w:r w:rsidR="00D23660">
              <w:br/>
            </w:r>
            <w:r w:rsidRPr="00C142FD">
              <w:t>(Govt/Regulator/Agency)</w:t>
            </w:r>
          </w:p>
        </w:tc>
        <w:tc>
          <w:tcPr>
            <w:tcW w:w="2551" w:type="dxa"/>
            <w:shd w:val="clear" w:color="auto" w:fill="008000"/>
          </w:tcPr>
          <w:p w:rsidR="008C579A" w:rsidRPr="00C142FD" w:rsidRDefault="008C579A" w:rsidP="008C579A">
            <w:pPr>
              <w:pStyle w:val="HIPTablehead"/>
            </w:pPr>
            <w:bookmarkStart w:id="131" w:name="_Toc281153744"/>
            <w:r w:rsidRPr="00C142FD">
              <w:t>USAF Agency Name</w:t>
            </w:r>
            <w:bookmarkEnd w:id="131"/>
            <w:r w:rsidRPr="00C142FD">
              <w:t xml:space="preserve"> </w:t>
            </w:r>
          </w:p>
        </w:tc>
        <w:tc>
          <w:tcPr>
            <w:tcW w:w="2196" w:type="dxa"/>
            <w:shd w:val="clear" w:color="auto" w:fill="008000"/>
          </w:tcPr>
          <w:p w:rsidR="008C579A" w:rsidRPr="00C142FD" w:rsidRDefault="008C579A" w:rsidP="008C579A">
            <w:pPr>
              <w:pStyle w:val="HIPTablehead"/>
            </w:pPr>
            <w:bookmarkStart w:id="132" w:name="_Toc281153745"/>
            <w:r w:rsidRPr="00C142FD">
              <w:t>Year of Establishment of Fund</w:t>
            </w:r>
            <w:bookmarkEnd w:id="132"/>
          </w:p>
        </w:tc>
      </w:tr>
      <w:tr w:rsidR="008C579A" w:rsidRPr="00C142FD" w:rsidTr="008C579A">
        <w:trPr>
          <w:jc w:val="center"/>
        </w:trPr>
        <w:tc>
          <w:tcPr>
            <w:tcW w:w="1980" w:type="dxa"/>
            <w:tcBorders>
              <w:bottom w:val="single" w:sz="4" w:space="0" w:color="auto"/>
            </w:tcBorders>
          </w:tcPr>
          <w:p w:rsidR="008C579A" w:rsidRPr="008C579A" w:rsidRDefault="008C579A" w:rsidP="008C579A">
            <w:pPr>
              <w:pStyle w:val="HIPTabletext"/>
              <w:jc w:val="left"/>
              <w:rPr>
                <w:b/>
                <w:bCs w:val="0"/>
              </w:rPr>
            </w:pPr>
            <w:bookmarkStart w:id="133" w:name="_Toc281153746"/>
            <w:r w:rsidRPr="008C579A">
              <w:rPr>
                <w:b/>
                <w:bCs w:val="0"/>
              </w:rPr>
              <w:t>Angola</w:t>
            </w:r>
            <w:bookmarkEnd w:id="133"/>
          </w:p>
        </w:tc>
        <w:tc>
          <w:tcPr>
            <w:tcW w:w="2505" w:type="dxa"/>
            <w:tcBorders>
              <w:bottom w:val="single" w:sz="4" w:space="0" w:color="auto"/>
            </w:tcBorders>
          </w:tcPr>
          <w:p w:rsidR="008C579A" w:rsidRPr="00C142FD" w:rsidRDefault="008C579A" w:rsidP="008C579A">
            <w:pPr>
              <w:pStyle w:val="HIPTabletext"/>
              <w:jc w:val="left"/>
            </w:pPr>
            <w:r>
              <w:t>–</w:t>
            </w:r>
          </w:p>
        </w:tc>
        <w:tc>
          <w:tcPr>
            <w:tcW w:w="2551" w:type="dxa"/>
            <w:tcBorders>
              <w:bottom w:val="single" w:sz="4" w:space="0" w:color="auto"/>
            </w:tcBorders>
          </w:tcPr>
          <w:p w:rsidR="008C579A" w:rsidRPr="00C142FD" w:rsidRDefault="008C579A" w:rsidP="008C579A">
            <w:pPr>
              <w:pStyle w:val="HIPTabletext"/>
              <w:jc w:val="left"/>
            </w:pPr>
          </w:p>
        </w:tc>
        <w:tc>
          <w:tcPr>
            <w:tcW w:w="2196" w:type="dxa"/>
            <w:tcBorders>
              <w:bottom w:val="single" w:sz="4" w:space="0" w:color="auto"/>
            </w:tcBorders>
          </w:tcPr>
          <w:p w:rsidR="008C579A" w:rsidRPr="00C142FD" w:rsidRDefault="008C579A" w:rsidP="008C579A">
            <w:pPr>
              <w:pStyle w:val="HIPTabletext"/>
              <w:jc w:val="left"/>
            </w:pPr>
          </w:p>
        </w:tc>
      </w:tr>
      <w:tr w:rsidR="008C579A" w:rsidRPr="00C142FD" w:rsidTr="008C579A">
        <w:trPr>
          <w:jc w:val="center"/>
        </w:trPr>
        <w:tc>
          <w:tcPr>
            <w:tcW w:w="1980" w:type="dxa"/>
            <w:shd w:val="clear" w:color="auto" w:fill="EAF1DD"/>
          </w:tcPr>
          <w:p w:rsidR="008C579A" w:rsidRPr="008C579A" w:rsidRDefault="008C579A" w:rsidP="008C579A">
            <w:pPr>
              <w:pStyle w:val="HIPTabletext"/>
              <w:jc w:val="left"/>
              <w:rPr>
                <w:b/>
                <w:bCs w:val="0"/>
              </w:rPr>
            </w:pPr>
            <w:bookmarkStart w:id="134" w:name="_Toc281153747"/>
            <w:r w:rsidRPr="008C579A">
              <w:rPr>
                <w:b/>
                <w:bCs w:val="0"/>
              </w:rPr>
              <w:t>Botswana</w:t>
            </w:r>
            <w:bookmarkEnd w:id="134"/>
          </w:p>
        </w:tc>
        <w:tc>
          <w:tcPr>
            <w:tcW w:w="2505" w:type="dxa"/>
            <w:shd w:val="clear" w:color="auto" w:fill="EAF1DD"/>
          </w:tcPr>
          <w:p w:rsidR="008C579A" w:rsidRPr="00C142FD" w:rsidRDefault="008C579A" w:rsidP="008C579A">
            <w:pPr>
              <w:pStyle w:val="HIPTabletext"/>
              <w:jc w:val="left"/>
            </w:pPr>
            <w:r w:rsidRPr="00C142FD">
              <w:t>Not yet</w:t>
            </w:r>
          </w:p>
        </w:tc>
        <w:tc>
          <w:tcPr>
            <w:tcW w:w="2551" w:type="dxa"/>
            <w:shd w:val="clear" w:color="auto" w:fill="EAF1DD"/>
          </w:tcPr>
          <w:p w:rsidR="008C579A" w:rsidRPr="00C142FD" w:rsidRDefault="008C579A" w:rsidP="008C579A">
            <w:pPr>
              <w:pStyle w:val="HIPTabletext"/>
              <w:jc w:val="left"/>
            </w:pPr>
            <w:r w:rsidRPr="00C142FD">
              <w:t>N/A</w:t>
            </w:r>
          </w:p>
        </w:tc>
        <w:tc>
          <w:tcPr>
            <w:tcW w:w="2196" w:type="dxa"/>
            <w:shd w:val="clear" w:color="auto" w:fill="EAF1DD"/>
          </w:tcPr>
          <w:p w:rsidR="008C579A" w:rsidRPr="00C142FD" w:rsidRDefault="008C579A" w:rsidP="008C579A">
            <w:pPr>
              <w:pStyle w:val="HIPTabletext"/>
              <w:jc w:val="left"/>
            </w:pPr>
            <w:r w:rsidRPr="00C142FD">
              <w:t>N/A</w:t>
            </w:r>
          </w:p>
        </w:tc>
      </w:tr>
      <w:tr w:rsidR="008C579A" w:rsidRPr="00C142FD" w:rsidTr="008C579A">
        <w:trPr>
          <w:jc w:val="center"/>
        </w:trPr>
        <w:tc>
          <w:tcPr>
            <w:tcW w:w="1980" w:type="dxa"/>
            <w:tcBorders>
              <w:bottom w:val="single" w:sz="4" w:space="0" w:color="auto"/>
            </w:tcBorders>
          </w:tcPr>
          <w:p w:rsidR="008C579A" w:rsidRPr="008C579A" w:rsidRDefault="008C579A" w:rsidP="008C579A">
            <w:pPr>
              <w:pStyle w:val="HIPTabletext"/>
              <w:jc w:val="left"/>
              <w:rPr>
                <w:b/>
                <w:bCs w:val="0"/>
              </w:rPr>
            </w:pPr>
            <w:bookmarkStart w:id="135" w:name="_Toc281153750"/>
            <w:r w:rsidRPr="008C579A">
              <w:rPr>
                <w:b/>
                <w:bCs w:val="0"/>
              </w:rPr>
              <w:t>Democratic Republic of Congo</w:t>
            </w:r>
            <w:bookmarkEnd w:id="135"/>
          </w:p>
        </w:tc>
        <w:tc>
          <w:tcPr>
            <w:tcW w:w="2505" w:type="dxa"/>
            <w:tcBorders>
              <w:bottom w:val="single" w:sz="4" w:space="0" w:color="auto"/>
            </w:tcBorders>
          </w:tcPr>
          <w:p w:rsidR="008C579A" w:rsidRPr="00C142FD" w:rsidRDefault="008C579A" w:rsidP="008C579A">
            <w:pPr>
              <w:pStyle w:val="HIPTabletext"/>
              <w:jc w:val="left"/>
            </w:pPr>
            <w:r w:rsidRPr="00C142FD">
              <w:t>Regulator</w:t>
            </w:r>
          </w:p>
        </w:tc>
        <w:tc>
          <w:tcPr>
            <w:tcW w:w="2551" w:type="dxa"/>
            <w:tcBorders>
              <w:bottom w:val="single" w:sz="4" w:space="0" w:color="auto"/>
            </w:tcBorders>
          </w:tcPr>
          <w:p w:rsidR="008C579A" w:rsidRPr="00C142FD" w:rsidRDefault="008C579A" w:rsidP="008C579A">
            <w:pPr>
              <w:pStyle w:val="HIPTabletext"/>
              <w:jc w:val="left"/>
            </w:pPr>
            <w:r w:rsidRPr="00C142FD">
              <w:t xml:space="preserve">Universal Service Fund </w:t>
            </w:r>
          </w:p>
        </w:tc>
        <w:tc>
          <w:tcPr>
            <w:tcW w:w="2196" w:type="dxa"/>
            <w:tcBorders>
              <w:bottom w:val="single" w:sz="4" w:space="0" w:color="auto"/>
            </w:tcBorders>
          </w:tcPr>
          <w:p w:rsidR="008C579A" w:rsidRPr="00C142FD" w:rsidRDefault="008C579A" w:rsidP="008C579A">
            <w:pPr>
              <w:pStyle w:val="HIPTabletext"/>
              <w:jc w:val="left"/>
            </w:pPr>
            <w:r w:rsidRPr="00C142FD">
              <w:t>2002</w:t>
            </w:r>
          </w:p>
        </w:tc>
      </w:tr>
      <w:tr w:rsidR="008C579A" w:rsidRPr="00C142FD" w:rsidTr="008C579A">
        <w:trPr>
          <w:jc w:val="center"/>
        </w:trPr>
        <w:tc>
          <w:tcPr>
            <w:tcW w:w="1980" w:type="dxa"/>
            <w:shd w:val="clear" w:color="auto" w:fill="EAF1DD"/>
          </w:tcPr>
          <w:p w:rsidR="008C579A" w:rsidRPr="008C579A" w:rsidRDefault="008C579A" w:rsidP="008C579A">
            <w:pPr>
              <w:pStyle w:val="HIPTabletext"/>
              <w:jc w:val="left"/>
              <w:rPr>
                <w:b/>
                <w:bCs w:val="0"/>
              </w:rPr>
            </w:pPr>
            <w:bookmarkStart w:id="136" w:name="_Toc281153751"/>
            <w:r w:rsidRPr="008C579A">
              <w:rPr>
                <w:b/>
                <w:bCs w:val="0"/>
              </w:rPr>
              <w:t>Lesotho</w:t>
            </w:r>
            <w:bookmarkEnd w:id="136"/>
            <w:r w:rsidRPr="008C579A">
              <w:rPr>
                <w:b/>
                <w:bCs w:val="0"/>
              </w:rPr>
              <w:t xml:space="preserve"> </w:t>
            </w:r>
          </w:p>
        </w:tc>
        <w:tc>
          <w:tcPr>
            <w:tcW w:w="2505" w:type="dxa"/>
            <w:shd w:val="clear" w:color="auto" w:fill="EAF1DD"/>
          </w:tcPr>
          <w:p w:rsidR="008C579A" w:rsidRPr="00C142FD" w:rsidRDefault="008C579A" w:rsidP="008C579A">
            <w:pPr>
              <w:pStyle w:val="HIPTabletext"/>
              <w:jc w:val="left"/>
            </w:pPr>
            <w:bookmarkStart w:id="137" w:name="_Toc281153752"/>
            <w:r w:rsidRPr="00C142FD">
              <w:t>Regulator</w:t>
            </w:r>
            <w:bookmarkEnd w:id="137"/>
          </w:p>
        </w:tc>
        <w:tc>
          <w:tcPr>
            <w:tcW w:w="2551" w:type="dxa"/>
            <w:shd w:val="clear" w:color="auto" w:fill="EAF1DD"/>
          </w:tcPr>
          <w:p w:rsidR="008C579A" w:rsidRPr="00C142FD" w:rsidRDefault="008C579A" w:rsidP="008C579A">
            <w:pPr>
              <w:pStyle w:val="HIPTabletext"/>
              <w:jc w:val="left"/>
              <w:rPr>
                <w:lang w:val="en-US"/>
              </w:rPr>
            </w:pPr>
            <w:bookmarkStart w:id="138" w:name="_Toc281153753"/>
            <w:r w:rsidRPr="00C142FD">
              <w:rPr>
                <w:lang w:val="en-US"/>
              </w:rPr>
              <w:t>Lesotho Communications Authority (LCA)</w:t>
            </w:r>
            <w:r>
              <w:rPr>
                <w:lang w:val="en-US"/>
              </w:rPr>
              <w:t xml:space="preserve"> – </w:t>
            </w:r>
            <w:r w:rsidRPr="00C142FD">
              <w:rPr>
                <w:lang w:val="en-US"/>
              </w:rPr>
              <w:t>Universal Access Fund</w:t>
            </w:r>
            <w:bookmarkEnd w:id="138"/>
          </w:p>
        </w:tc>
        <w:tc>
          <w:tcPr>
            <w:tcW w:w="2196" w:type="dxa"/>
            <w:shd w:val="clear" w:color="auto" w:fill="EAF1DD"/>
          </w:tcPr>
          <w:p w:rsidR="008C579A" w:rsidRPr="00C142FD" w:rsidRDefault="008C579A" w:rsidP="008C579A">
            <w:pPr>
              <w:pStyle w:val="HIPTabletext"/>
              <w:jc w:val="left"/>
            </w:pPr>
            <w:bookmarkStart w:id="139" w:name="_Toc281153754"/>
            <w:r w:rsidRPr="00C142FD">
              <w:t>2009</w:t>
            </w:r>
            <w:bookmarkEnd w:id="139"/>
          </w:p>
        </w:tc>
      </w:tr>
      <w:tr w:rsidR="008C579A" w:rsidRPr="00C142FD" w:rsidTr="008C579A">
        <w:trPr>
          <w:jc w:val="center"/>
        </w:trPr>
        <w:tc>
          <w:tcPr>
            <w:tcW w:w="1980" w:type="dxa"/>
            <w:tcBorders>
              <w:bottom w:val="single" w:sz="4" w:space="0" w:color="auto"/>
            </w:tcBorders>
          </w:tcPr>
          <w:p w:rsidR="008C579A" w:rsidRPr="008C579A" w:rsidRDefault="008C579A" w:rsidP="008C579A">
            <w:pPr>
              <w:pStyle w:val="HIPTabletext"/>
              <w:jc w:val="left"/>
              <w:rPr>
                <w:b/>
                <w:bCs w:val="0"/>
              </w:rPr>
            </w:pPr>
            <w:bookmarkStart w:id="140" w:name="_Toc281153755"/>
            <w:r w:rsidRPr="008C579A">
              <w:rPr>
                <w:b/>
                <w:bCs w:val="0"/>
              </w:rPr>
              <w:t>Malawi</w:t>
            </w:r>
            <w:bookmarkEnd w:id="140"/>
          </w:p>
        </w:tc>
        <w:tc>
          <w:tcPr>
            <w:tcW w:w="2505" w:type="dxa"/>
            <w:tcBorders>
              <w:bottom w:val="single" w:sz="4" w:space="0" w:color="auto"/>
            </w:tcBorders>
          </w:tcPr>
          <w:p w:rsidR="008C579A" w:rsidRPr="00C142FD" w:rsidRDefault="008C579A" w:rsidP="008C579A">
            <w:pPr>
              <w:pStyle w:val="HIPTabletext"/>
              <w:jc w:val="left"/>
            </w:pPr>
            <w:bookmarkStart w:id="141" w:name="_Toc281153756"/>
            <w:r w:rsidRPr="00C142FD">
              <w:t>Regulator</w:t>
            </w:r>
            <w:bookmarkEnd w:id="141"/>
            <w:r w:rsidRPr="00C142FD">
              <w:t xml:space="preserve"> </w:t>
            </w:r>
          </w:p>
        </w:tc>
        <w:tc>
          <w:tcPr>
            <w:tcW w:w="2551" w:type="dxa"/>
            <w:tcBorders>
              <w:bottom w:val="single" w:sz="4" w:space="0" w:color="auto"/>
            </w:tcBorders>
          </w:tcPr>
          <w:p w:rsidR="008C579A" w:rsidRPr="00C142FD" w:rsidRDefault="008C579A" w:rsidP="008C579A">
            <w:pPr>
              <w:pStyle w:val="HIPTabletext"/>
              <w:jc w:val="left"/>
            </w:pPr>
          </w:p>
        </w:tc>
        <w:tc>
          <w:tcPr>
            <w:tcW w:w="2196" w:type="dxa"/>
            <w:tcBorders>
              <w:bottom w:val="single" w:sz="4" w:space="0" w:color="auto"/>
            </w:tcBorders>
          </w:tcPr>
          <w:p w:rsidR="008C579A" w:rsidRPr="00C142FD" w:rsidRDefault="008C579A" w:rsidP="008C579A">
            <w:pPr>
              <w:pStyle w:val="HIPTabletext"/>
              <w:jc w:val="left"/>
            </w:pPr>
            <w:bookmarkStart w:id="142" w:name="_Toc281153757"/>
            <w:r w:rsidRPr="00C142FD">
              <w:t>N/A</w:t>
            </w:r>
            <w:bookmarkEnd w:id="142"/>
          </w:p>
        </w:tc>
      </w:tr>
      <w:tr w:rsidR="008C579A" w:rsidRPr="00C142FD" w:rsidTr="008C579A">
        <w:trPr>
          <w:jc w:val="center"/>
        </w:trPr>
        <w:tc>
          <w:tcPr>
            <w:tcW w:w="1980" w:type="dxa"/>
            <w:shd w:val="clear" w:color="auto" w:fill="EAF1DD"/>
          </w:tcPr>
          <w:p w:rsidR="008C579A" w:rsidRPr="008C579A" w:rsidRDefault="008C579A" w:rsidP="008C579A">
            <w:pPr>
              <w:pStyle w:val="HIPTabletext"/>
              <w:jc w:val="left"/>
              <w:rPr>
                <w:b/>
                <w:bCs w:val="0"/>
              </w:rPr>
            </w:pPr>
            <w:bookmarkStart w:id="143" w:name="_Toc281153758"/>
            <w:r w:rsidRPr="008C579A">
              <w:rPr>
                <w:b/>
                <w:bCs w:val="0"/>
              </w:rPr>
              <w:t>Mauritius</w:t>
            </w:r>
            <w:bookmarkEnd w:id="143"/>
          </w:p>
        </w:tc>
        <w:tc>
          <w:tcPr>
            <w:tcW w:w="2505" w:type="dxa"/>
            <w:shd w:val="clear" w:color="auto" w:fill="EAF1DD"/>
          </w:tcPr>
          <w:p w:rsidR="008C579A" w:rsidRPr="00C142FD" w:rsidRDefault="008C579A" w:rsidP="008C579A">
            <w:pPr>
              <w:pStyle w:val="HIPTabletext"/>
              <w:jc w:val="left"/>
            </w:pPr>
            <w:bookmarkStart w:id="144" w:name="_Toc281153759"/>
            <w:r w:rsidRPr="00C142FD">
              <w:t>Independent Agency</w:t>
            </w:r>
            <w:bookmarkEnd w:id="144"/>
            <w:r w:rsidRPr="00C142FD">
              <w:t xml:space="preserve"> </w:t>
            </w:r>
          </w:p>
        </w:tc>
        <w:tc>
          <w:tcPr>
            <w:tcW w:w="2551" w:type="dxa"/>
            <w:shd w:val="clear" w:color="auto" w:fill="EAF1DD"/>
          </w:tcPr>
          <w:p w:rsidR="008C579A" w:rsidRPr="00C142FD" w:rsidRDefault="008C579A" w:rsidP="008C579A">
            <w:pPr>
              <w:pStyle w:val="HIPTabletext"/>
              <w:jc w:val="left"/>
            </w:pPr>
            <w:r w:rsidRPr="00C142FD">
              <w:t>ICTA</w:t>
            </w:r>
          </w:p>
        </w:tc>
        <w:tc>
          <w:tcPr>
            <w:tcW w:w="2196" w:type="dxa"/>
            <w:shd w:val="clear" w:color="auto" w:fill="EAF1DD"/>
          </w:tcPr>
          <w:p w:rsidR="008C579A" w:rsidRPr="00C142FD" w:rsidRDefault="008C579A" w:rsidP="008C579A">
            <w:pPr>
              <w:pStyle w:val="HIPTabletext"/>
              <w:jc w:val="left"/>
            </w:pPr>
            <w:bookmarkStart w:id="145" w:name="_Toc281153760"/>
            <w:r w:rsidRPr="00C142FD">
              <w:t>2008</w:t>
            </w:r>
            <w:bookmarkEnd w:id="145"/>
          </w:p>
        </w:tc>
      </w:tr>
      <w:tr w:rsidR="008C579A" w:rsidRPr="00C142FD" w:rsidTr="008C579A">
        <w:trPr>
          <w:jc w:val="center"/>
        </w:trPr>
        <w:tc>
          <w:tcPr>
            <w:tcW w:w="1980" w:type="dxa"/>
            <w:tcBorders>
              <w:bottom w:val="single" w:sz="4" w:space="0" w:color="auto"/>
            </w:tcBorders>
          </w:tcPr>
          <w:p w:rsidR="008C579A" w:rsidRPr="008C579A" w:rsidRDefault="008C579A" w:rsidP="008C579A">
            <w:pPr>
              <w:pStyle w:val="HIPTabletext"/>
              <w:jc w:val="left"/>
              <w:rPr>
                <w:b/>
                <w:bCs w:val="0"/>
              </w:rPr>
            </w:pPr>
            <w:bookmarkStart w:id="146" w:name="_Toc281153761"/>
            <w:r w:rsidRPr="008C579A">
              <w:rPr>
                <w:b/>
                <w:bCs w:val="0"/>
              </w:rPr>
              <w:t>Mozambique</w:t>
            </w:r>
            <w:bookmarkEnd w:id="146"/>
          </w:p>
        </w:tc>
        <w:tc>
          <w:tcPr>
            <w:tcW w:w="2505" w:type="dxa"/>
            <w:tcBorders>
              <w:bottom w:val="single" w:sz="4" w:space="0" w:color="auto"/>
            </w:tcBorders>
          </w:tcPr>
          <w:p w:rsidR="008C579A" w:rsidRPr="00C142FD" w:rsidRDefault="008C579A" w:rsidP="008C579A">
            <w:pPr>
              <w:pStyle w:val="HIPTabletext"/>
              <w:jc w:val="left"/>
            </w:pPr>
            <w:r w:rsidRPr="00C142FD">
              <w:t xml:space="preserve">Regulator </w:t>
            </w:r>
          </w:p>
        </w:tc>
        <w:tc>
          <w:tcPr>
            <w:tcW w:w="2551" w:type="dxa"/>
            <w:tcBorders>
              <w:bottom w:val="single" w:sz="4" w:space="0" w:color="auto"/>
            </w:tcBorders>
          </w:tcPr>
          <w:p w:rsidR="008C579A" w:rsidRPr="00C142FD" w:rsidRDefault="008C579A" w:rsidP="008C579A">
            <w:pPr>
              <w:pStyle w:val="HIPTabletext"/>
              <w:jc w:val="left"/>
              <w:rPr>
                <w:lang w:val="en-US"/>
              </w:rPr>
            </w:pPr>
            <w:bookmarkStart w:id="147" w:name="_Toc281153763"/>
            <w:r w:rsidRPr="00C142FD">
              <w:rPr>
                <w:lang w:val="en-US"/>
              </w:rPr>
              <w:t xml:space="preserve">INCM </w:t>
            </w:r>
            <w:r>
              <w:rPr>
                <w:lang w:val="en-US"/>
              </w:rPr>
              <w:t>–</w:t>
            </w:r>
            <w:r w:rsidRPr="00C142FD">
              <w:rPr>
                <w:lang w:val="en-US"/>
              </w:rPr>
              <w:t xml:space="preserve"> Universal Access/Service Fund</w:t>
            </w:r>
            <w:bookmarkEnd w:id="147"/>
            <w:r w:rsidRPr="00C142FD">
              <w:rPr>
                <w:lang w:val="en-US"/>
              </w:rPr>
              <w:t xml:space="preserve"> </w:t>
            </w:r>
          </w:p>
        </w:tc>
        <w:tc>
          <w:tcPr>
            <w:tcW w:w="2196" w:type="dxa"/>
            <w:tcBorders>
              <w:bottom w:val="single" w:sz="4" w:space="0" w:color="auto"/>
            </w:tcBorders>
          </w:tcPr>
          <w:p w:rsidR="008C579A" w:rsidRPr="00C142FD" w:rsidRDefault="008C579A" w:rsidP="008C579A">
            <w:pPr>
              <w:pStyle w:val="HIPTabletext"/>
              <w:jc w:val="left"/>
            </w:pPr>
            <w:r w:rsidRPr="00C142FD">
              <w:t>2004 (est)</w:t>
            </w:r>
          </w:p>
          <w:p w:rsidR="008C579A" w:rsidRPr="00C142FD" w:rsidRDefault="008C579A" w:rsidP="008C579A">
            <w:pPr>
              <w:pStyle w:val="HIPTabletext"/>
              <w:jc w:val="left"/>
            </w:pPr>
            <w:r w:rsidRPr="00C142FD">
              <w:t>2006 (operational)</w:t>
            </w:r>
          </w:p>
        </w:tc>
      </w:tr>
      <w:tr w:rsidR="008C579A" w:rsidRPr="00C142FD" w:rsidTr="008C579A">
        <w:trPr>
          <w:jc w:val="center"/>
        </w:trPr>
        <w:tc>
          <w:tcPr>
            <w:tcW w:w="1980" w:type="dxa"/>
            <w:shd w:val="clear" w:color="auto" w:fill="EAF1DD"/>
          </w:tcPr>
          <w:p w:rsidR="008C579A" w:rsidRPr="008C579A" w:rsidRDefault="008C579A" w:rsidP="008C579A">
            <w:pPr>
              <w:pStyle w:val="HIPTabletext"/>
              <w:jc w:val="left"/>
              <w:rPr>
                <w:b/>
                <w:bCs w:val="0"/>
              </w:rPr>
            </w:pPr>
            <w:bookmarkStart w:id="148" w:name="_Toc281153765"/>
            <w:r w:rsidRPr="008C579A">
              <w:rPr>
                <w:b/>
                <w:bCs w:val="0"/>
              </w:rPr>
              <w:t>Namibia</w:t>
            </w:r>
            <w:bookmarkEnd w:id="148"/>
          </w:p>
        </w:tc>
        <w:tc>
          <w:tcPr>
            <w:tcW w:w="2505" w:type="dxa"/>
            <w:shd w:val="clear" w:color="auto" w:fill="EAF1DD"/>
          </w:tcPr>
          <w:p w:rsidR="008C579A" w:rsidRPr="00C142FD" w:rsidRDefault="008C579A" w:rsidP="008C579A">
            <w:pPr>
              <w:pStyle w:val="HIPTabletext"/>
              <w:jc w:val="left"/>
            </w:pPr>
            <w:bookmarkStart w:id="149" w:name="_Toc281153766"/>
            <w:r w:rsidRPr="00C142FD">
              <w:t>Not yet</w:t>
            </w:r>
            <w:bookmarkEnd w:id="149"/>
          </w:p>
        </w:tc>
        <w:tc>
          <w:tcPr>
            <w:tcW w:w="2551" w:type="dxa"/>
            <w:shd w:val="clear" w:color="auto" w:fill="EAF1DD"/>
          </w:tcPr>
          <w:p w:rsidR="008C579A" w:rsidRPr="00C142FD" w:rsidRDefault="008C579A" w:rsidP="008C579A">
            <w:pPr>
              <w:pStyle w:val="HIPTabletext"/>
              <w:jc w:val="left"/>
            </w:pPr>
            <w:r w:rsidRPr="00C142FD">
              <w:t>N/A</w:t>
            </w:r>
          </w:p>
        </w:tc>
        <w:tc>
          <w:tcPr>
            <w:tcW w:w="2196" w:type="dxa"/>
            <w:shd w:val="clear" w:color="auto" w:fill="EAF1DD"/>
          </w:tcPr>
          <w:p w:rsidR="008C579A" w:rsidRPr="00C142FD" w:rsidRDefault="008C579A" w:rsidP="008C579A">
            <w:pPr>
              <w:pStyle w:val="HIPTabletext"/>
              <w:jc w:val="left"/>
            </w:pPr>
            <w:r w:rsidRPr="00C142FD">
              <w:t xml:space="preserve">N/A </w:t>
            </w:r>
          </w:p>
        </w:tc>
      </w:tr>
      <w:tr w:rsidR="008C579A" w:rsidRPr="00C142FD" w:rsidTr="008C579A">
        <w:trPr>
          <w:jc w:val="center"/>
        </w:trPr>
        <w:tc>
          <w:tcPr>
            <w:tcW w:w="1980" w:type="dxa"/>
            <w:tcBorders>
              <w:bottom w:val="single" w:sz="4" w:space="0" w:color="auto"/>
            </w:tcBorders>
          </w:tcPr>
          <w:p w:rsidR="008C579A" w:rsidRPr="008C579A" w:rsidRDefault="008C579A" w:rsidP="008C579A">
            <w:pPr>
              <w:pStyle w:val="HIPTabletext"/>
              <w:jc w:val="left"/>
              <w:rPr>
                <w:b/>
                <w:bCs w:val="0"/>
              </w:rPr>
            </w:pPr>
            <w:r w:rsidRPr="008C579A">
              <w:rPr>
                <w:b/>
                <w:bCs w:val="0"/>
              </w:rPr>
              <w:t>Seychelles</w:t>
            </w:r>
          </w:p>
        </w:tc>
        <w:tc>
          <w:tcPr>
            <w:tcW w:w="2505" w:type="dxa"/>
            <w:tcBorders>
              <w:bottom w:val="single" w:sz="4" w:space="0" w:color="auto"/>
            </w:tcBorders>
          </w:tcPr>
          <w:p w:rsidR="008C579A" w:rsidRPr="00C142FD" w:rsidRDefault="008C579A" w:rsidP="008C579A">
            <w:pPr>
              <w:pStyle w:val="HIPTabletext"/>
              <w:jc w:val="left"/>
            </w:pPr>
            <w:r w:rsidRPr="00C142FD">
              <w:t>Not yet</w:t>
            </w:r>
          </w:p>
        </w:tc>
        <w:tc>
          <w:tcPr>
            <w:tcW w:w="2551" w:type="dxa"/>
            <w:tcBorders>
              <w:bottom w:val="single" w:sz="4" w:space="0" w:color="auto"/>
            </w:tcBorders>
          </w:tcPr>
          <w:p w:rsidR="008C579A" w:rsidRPr="00C142FD" w:rsidRDefault="008C579A" w:rsidP="008C579A">
            <w:pPr>
              <w:pStyle w:val="HIPTabletext"/>
              <w:jc w:val="left"/>
            </w:pPr>
            <w:r w:rsidRPr="00C142FD">
              <w:t>N/A</w:t>
            </w:r>
          </w:p>
        </w:tc>
        <w:tc>
          <w:tcPr>
            <w:tcW w:w="2196" w:type="dxa"/>
            <w:tcBorders>
              <w:bottom w:val="single" w:sz="4" w:space="0" w:color="auto"/>
            </w:tcBorders>
          </w:tcPr>
          <w:p w:rsidR="008C579A" w:rsidRPr="00C142FD" w:rsidRDefault="008C579A" w:rsidP="008C579A">
            <w:pPr>
              <w:pStyle w:val="HIPTabletext"/>
              <w:jc w:val="left"/>
            </w:pPr>
            <w:r w:rsidRPr="00C142FD">
              <w:t>N/A</w:t>
            </w:r>
          </w:p>
        </w:tc>
      </w:tr>
      <w:tr w:rsidR="008C579A" w:rsidRPr="00C142FD" w:rsidTr="008C579A">
        <w:trPr>
          <w:jc w:val="center"/>
        </w:trPr>
        <w:tc>
          <w:tcPr>
            <w:tcW w:w="1980" w:type="dxa"/>
            <w:shd w:val="clear" w:color="auto" w:fill="EAF1DD"/>
          </w:tcPr>
          <w:p w:rsidR="008C579A" w:rsidRPr="008C579A" w:rsidRDefault="008C579A" w:rsidP="008C579A">
            <w:pPr>
              <w:pStyle w:val="HIPTabletext"/>
              <w:jc w:val="left"/>
              <w:rPr>
                <w:b/>
                <w:bCs w:val="0"/>
              </w:rPr>
            </w:pPr>
            <w:bookmarkStart w:id="150" w:name="_Toc281153767"/>
            <w:r w:rsidRPr="008C579A">
              <w:rPr>
                <w:b/>
                <w:bCs w:val="0"/>
              </w:rPr>
              <w:t>South Africa</w:t>
            </w:r>
            <w:bookmarkEnd w:id="150"/>
            <w:r w:rsidRPr="008C579A">
              <w:rPr>
                <w:b/>
                <w:bCs w:val="0"/>
              </w:rPr>
              <w:t xml:space="preserve"> </w:t>
            </w:r>
          </w:p>
        </w:tc>
        <w:tc>
          <w:tcPr>
            <w:tcW w:w="2505" w:type="dxa"/>
            <w:shd w:val="clear" w:color="auto" w:fill="EAF1DD"/>
          </w:tcPr>
          <w:p w:rsidR="008C579A" w:rsidRPr="00C142FD" w:rsidRDefault="008C579A" w:rsidP="008C579A">
            <w:pPr>
              <w:pStyle w:val="HIPTabletext"/>
              <w:jc w:val="left"/>
            </w:pPr>
            <w:bookmarkStart w:id="151" w:name="_Toc281153768"/>
            <w:r w:rsidRPr="00C142FD">
              <w:t>Independent Agency</w:t>
            </w:r>
            <w:bookmarkEnd w:id="151"/>
          </w:p>
        </w:tc>
        <w:tc>
          <w:tcPr>
            <w:tcW w:w="2551" w:type="dxa"/>
            <w:shd w:val="clear" w:color="auto" w:fill="EAF1DD"/>
          </w:tcPr>
          <w:p w:rsidR="008C579A" w:rsidRPr="00C142FD" w:rsidRDefault="008C579A" w:rsidP="008C579A">
            <w:pPr>
              <w:pStyle w:val="HIPTabletext"/>
              <w:jc w:val="left"/>
              <w:rPr>
                <w:lang w:val="en-US"/>
              </w:rPr>
            </w:pPr>
            <w:bookmarkStart w:id="152" w:name="_Toc281153769"/>
            <w:r w:rsidRPr="00C142FD">
              <w:rPr>
                <w:lang w:val="en-US"/>
              </w:rPr>
              <w:t>Universal Service and Access Agency of South Africa</w:t>
            </w:r>
            <w:bookmarkEnd w:id="152"/>
          </w:p>
        </w:tc>
        <w:tc>
          <w:tcPr>
            <w:tcW w:w="2196" w:type="dxa"/>
            <w:shd w:val="clear" w:color="auto" w:fill="EAF1DD"/>
          </w:tcPr>
          <w:p w:rsidR="008C579A" w:rsidRPr="00C142FD" w:rsidRDefault="008C579A" w:rsidP="008C579A">
            <w:pPr>
              <w:pStyle w:val="HIPTabletext"/>
              <w:jc w:val="left"/>
            </w:pPr>
            <w:bookmarkStart w:id="153" w:name="_Toc281153770"/>
            <w:r w:rsidRPr="00C142FD">
              <w:t>199</w:t>
            </w:r>
            <w:bookmarkEnd w:id="153"/>
            <w:r w:rsidRPr="00C142FD">
              <w:t>8 (est)</w:t>
            </w:r>
          </w:p>
          <w:p w:rsidR="008C579A" w:rsidRPr="00C142FD" w:rsidRDefault="008C579A" w:rsidP="008C579A">
            <w:pPr>
              <w:pStyle w:val="HIPTabletext"/>
              <w:jc w:val="left"/>
            </w:pPr>
            <w:r w:rsidRPr="00C142FD">
              <w:t>2000 (operational)</w:t>
            </w:r>
          </w:p>
        </w:tc>
      </w:tr>
      <w:tr w:rsidR="008C579A" w:rsidRPr="00C142FD" w:rsidTr="008C579A">
        <w:trPr>
          <w:jc w:val="center"/>
        </w:trPr>
        <w:tc>
          <w:tcPr>
            <w:tcW w:w="1980" w:type="dxa"/>
            <w:tcBorders>
              <w:bottom w:val="single" w:sz="4" w:space="0" w:color="auto"/>
            </w:tcBorders>
          </w:tcPr>
          <w:p w:rsidR="008C579A" w:rsidRPr="008C579A" w:rsidRDefault="008C579A" w:rsidP="008C579A">
            <w:pPr>
              <w:pStyle w:val="HIPTabletext"/>
              <w:jc w:val="left"/>
              <w:rPr>
                <w:b/>
                <w:bCs w:val="0"/>
              </w:rPr>
            </w:pPr>
            <w:bookmarkStart w:id="154" w:name="_Toc281153771"/>
            <w:r w:rsidRPr="008C579A">
              <w:rPr>
                <w:b/>
                <w:bCs w:val="0"/>
              </w:rPr>
              <w:t>Swaziland</w:t>
            </w:r>
            <w:bookmarkEnd w:id="154"/>
          </w:p>
        </w:tc>
        <w:tc>
          <w:tcPr>
            <w:tcW w:w="2505" w:type="dxa"/>
            <w:tcBorders>
              <w:bottom w:val="single" w:sz="4" w:space="0" w:color="auto"/>
            </w:tcBorders>
          </w:tcPr>
          <w:p w:rsidR="008C579A" w:rsidRPr="00C142FD" w:rsidRDefault="008C579A" w:rsidP="008C579A">
            <w:pPr>
              <w:pStyle w:val="HIPTabletext"/>
              <w:jc w:val="left"/>
            </w:pPr>
            <w:bookmarkStart w:id="155" w:name="_Toc281153772"/>
            <w:r w:rsidRPr="00C142FD">
              <w:t>Government</w:t>
            </w:r>
            <w:bookmarkEnd w:id="155"/>
          </w:p>
        </w:tc>
        <w:tc>
          <w:tcPr>
            <w:tcW w:w="2551" w:type="dxa"/>
            <w:tcBorders>
              <w:bottom w:val="single" w:sz="4" w:space="0" w:color="auto"/>
            </w:tcBorders>
          </w:tcPr>
          <w:p w:rsidR="008C579A" w:rsidRPr="00C142FD" w:rsidRDefault="008C579A" w:rsidP="008C579A">
            <w:pPr>
              <w:pStyle w:val="HIPTabletext"/>
              <w:jc w:val="left"/>
            </w:pPr>
            <w:bookmarkStart w:id="156" w:name="_Toc281153773"/>
            <w:r w:rsidRPr="00C142FD">
              <w:t>Committee under Regulator (Ministry)</w:t>
            </w:r>
            <w:bookmarkEnd w:id="156"/>
          </w:p>
        </w:tc>
        <w:tc>
          <w:tcPr>
            <w:tcW w:w="2196" w:type="dxa"/>
            <w:tcBorders>
              <w:bottom w:val="single" w:sz="4" w:space="0" w:color="auto"/>
            </w:tcBorders>
          </w:tcPr>
          <w:p w:rsidR="008C579A" w:rsidRPr="00C142FD" w:rsidRDefault="008C579A" w:rsidP="008C579A">
            <w:pPr>
              <w:pStyle w:val="HIPTabletext"/>
              <w:jc w:val="left"/>
            </w:pPr>
          </w:p>
        </w:tc>
      </w:tr>
      <w:tr w:rsidR="008C579A" w:rsidRPr="00C142FD" w:rsidTr="008C579A">
        <w:trPr>
          <w:jc w:val="center"/>
        </w:trPr>
        <w:tc>
          <w:tcPr>
            <w:tcW w:w="1980" w:type="dxa"/>
            <w:shd w:val="clear" w:color="auto" w:fill="EAF1DD"/>
          </w:tcPr>
          <w:p w:rsidR="008C579A" w:rsidRPr="008C579A" w:rsidRDefault="008C579A" w:rsidP="008C579A">
            <w:pPr>
              <w:pStyle w:val="HIPTabletext"/>
              <w:jc w:val="left"/>
              <w:rPr>
                <w:b/>
                <w:bCs w:val="0"/>
              </w:rPr>
            </w:pPr>
            <w:bookmarkStart w:id="157" w:name="_Toc281153775"/>
            <w:r w:rsidRPr="008C579A">
              <w:rPr>
                <w:b/>
                <w:bCs w:val="0"/>
              </w:rPr>
              <w:t>Tanzania</w:t>
            </w:r>
            <w:bookmarkEnd w:id="157"/>
            <w:r w:rsidRPr="008C579A">
              <w:rPr>
                <w:b/>
                <w:bCs w:val="0"/>
              </w:rPr>
              <w:t xml:space="preserve"> </w:t>
            </w:r>
          </w:p>
        </w:tc>
        <w:tc>
          <w:tcPr>
            <w:tcW w:w="2505" w:type="dxa"/>
            <w:shd w:val="clear" w:color="auto" w:fill="EAF1DD"/>
          </w:tcPr>
          <w:p w:rsidR="008C579A" w:rsidRPr="00C142FD" w:rsidRDefault="008C579A" w:rsidP="008C579A">
            <w:pPr>
              <w:pStyle w:val="HIPTabletext"/>
              <w:jc w:val="left"/>
            </w:pPr>
            <w:bookmarkStart w:id="158" w:name="_Toc281153776"/>
            <w:r w:rsidRPr="00C142FD">
              <w:t>Independent Agency</w:t>
            </w:r>
            <w:bookmarkEnd w:id="158"/>
          </w:p>
        </w:tc>
        <w:tc>
          <w:tcPr>
            <w:tcW w:w="2551" w:type="dxa"/>
            <w:shd w:val="clear" w:color="auto" w:fill="EAF1DD"/>
          </w:tcPr>
          <w:p w:rsidR="008C579A" w:rsidRPr="00C142FD" w:rsidRDefault="008C579A" w:rsidP="008C579A">
            <w:pPr>
              <w:pStyle w:val="HIPTabletext"/>
              <w:jc w:val="left"/>
            </w:pPr>
            <w:bookmarkStart w:id="159" w:name="_Toc281153777"/>
            <w:r w:rsidRPr="00C142FD">
              <w:t>U</w:t>
            </w:r>
            <w:bookmarkEnd w:id="159"/>
            <w:r w:rsidRPr="00C142FD">
              <w:t>niversal Communications Access Fund (UCAF)</w:t>
            </w:r>
          </w:p>
        </w:tc>
        <w:tc>
          <w:tcPr>
            <w:tcW w:w="2196" w:type="dxa"/>
            <w:shd w:val="clear" w:color="auto" w:fill="EAF1DD"/>
          </w:tcPr>
          <w:p w:rsidR="008C579A" w:rsidRPr="00C142FD" w:rsidRDefault="008C579A" w:rsidP="008C579A">
            <w:pPr>
              <w:pStyle w:val="HIPTabletext"/>
              <w:jc w:val="left"/>
            </w:pPr>
            <w:bookmarkStart w:id="160" w:name="_Toc281153778"/>
            <w:r w:rsidRPr="00C142FD">
              <w:t>2006 (est)</w:t>
            </w:r>
          </w:p>
          <w:p w:rsidR="008C579A" w:rsidRPr="00C142FD" w:rsidRDefault="008C579A" w:rsidP="008C579A">
            <w:pPr>
              <w:pStyle w:val="HIPTabletext"/>
              <w:jc w:val="left"/>
            </w:pPr>
            <w:r w:rsidRPr="00C142FD">
              <w:t>20</w:t>
            </w:r>
            <w:bookmarkEnd w:id="160"/>
            <w:r w:rsidRPr="00C142FD">
              <w:t>10 (operational)</w:t>
            </w:r>
          </w:p>
        </w:tc>
      </w:tr>
      <w:tr w:rsidR="008C579A" w:rsidRPr="00C142FD" w:rsidTr="008C579A">
        <w:trPr>
          <w:jc w:val="center"/>
        </w:trPr>
        <w:tc>
          <w:tcPr>
            <w:tcW w:w="1980" w:type="dxa"/>
            <w:tcBorders>
              <w:bottom w:val="single" w:sz="4" w:space="0" w:color="auto"/>
            </w:tcBorders>
          </w:tcPr>
          <w:p w:rsidR="008C579A" w:rsidRPr="008C579A" w:rsidRDefault="008C579A" w:rsidP="008C579A">
            <w:pPr>
              <w:pStyle w:val="HIPTabletext"/>
              <w:jc w:val="left"/>
              <w:rPr>
                <w:b/>
                <w:bCs w:val="0"/>
              </w:rPr>
            </w:pPr>
            <w:bookmarkStart w:id="161" w:name="_Toc281153779"/>
            <w:r w:rsidRPr="008C579A">
              <w:rPr>
                <w:b/>
                <w:bCs w:val="0"/>
              </w:rPr>
              <w:t>Zambia</w:t>
            </w:r>
            <w:bookmarkEnd w:id="161"/>
          </w:p>
        </w:tc>
        <w:tc>
          <w:tcPr>
            <w:tcW w:w="2505" w:type="dxa"/>
            <w:tcBorders>
              <w:bottom w:val="single" w:sz="4" w:space="0" w:color="auto"/>
            </w:tcBorders>
          </w:tcPr>
          <w:p w:rsidR="008C579A" w:rsidRPr="00C142FD" w:rsidRDefault="008C579A" w:rsidP="008C579A">
            <w:pPr>
              <w:pStyle w:val="HIPTabletext"/>
              <w:jc w:val="left"/>
            </w:pPr>
            <w:bookmarkStart w:id="162" w:name="_Toc281153780"/>
            <w:r w:rsidRPr="00C142FD">
              <w:t>Not Yet</w:t>
            </w:r>
            <w:bookmarkEnd w:id="162"/>
          </w:p>
        </w:tc>
        <w:tc>
          <w:tcPr>
            <w:tcW w:w="2551" w:type="dxa"/>
            <w:tcBorders>
              <w:bottom w:val="single" w:sz="4" w:space="0" w:color="auto"/>
            </w:tcBorders>
          </w:tcPr>
          <w:p w:rsidR="008C579A" w:rsidRPr="00C142FD" w:rsidRDefault="008C579A" w:rsidP="008C579A">
            <w:pPr>
              <w:pStyle w:val="HIPTabletext"/>
              <w:jc w:val="left"/>
            </w:pPr>
            <w:bookmarkStart w:id="163" w:name="_Toc281153781"/>
            <w:r w:rsidRPr="00C142FD">
              <w:t>N/A</w:t>
            </w:r>
            <w:r w:rsidRPr="00C142FD">
              <w:rPr>
                <w:rStyle w:val="FootnoteReference"/>
                <w:b/>
                <w:sz w:val="18"/>
                <w:szCs w:val="18"/>
              </w:rPr>
              <w:footnoteReference w:id="33"/>
            </w:r>
            <w:bookmarkEnd w:id="163"/>
          </w:p>
        </w:tc>
        <w:tc>
          <w:tcPr>
            <w:tcW w:w="2196" w:type="dxa"/>
            <w:tcBorders>
              <w:bottom w:val="single" w:sz="4" w:space="0" w:color="auto"/>
            </w:tcBorders>
          </w:tcPr>
          <w:p w:rsidR="008C579A" w:rsidRPr="00C142FD" w:rsidRDefault="008C579A" w:rsidP="008C579A">
            <w:pPr>
              <w:pStyle w:val="HIPTabletext"/>
              <w:jc w:val="left"/>
            </w:pPr>
            <w:r w:rsidRPr="00C142FD">
              <w:t>N/A</w:t>
            </w:r>
          </w:p>
        </w:tc>
      </w:tr>
      <w:tr w:rsidR="008C579A" w:rsidRPr="00C142FD" w:rsidTr="008C579A">
        <w:trPr>
          <w:jc w:val="center"/>
        </w:trPr>
        <w:tc>
          <w:tcPr>
            <w:tcW w:w="1980" w:type="dxa"/>
            <w:shd w:val="clear" w:color="auto" w:fill="EAF1DD"/>
          </w:tcPr>
          <w:p w:rsidR="008C579A" w:rsidRPr="008C579A" w:rsidRDefault="008C579A" w:rsidP="008C579A">
            <w:pPr>
              <w:pStyle w:val="HIPTabletext"/>
              <w:jc w:val="left"/>
              <w:rPr>
                <w:b/>
                <w:bCs w:val="0"/>
              </w:rPr>
            </w:pPr>
            <w:bookmarkStart w:id="164" w:name="_Toc281153783"/>
            <w:r w:rsidRPr="008C579A">
              <w:rPr>
                <w:b/>
                <w:bCs w:val="0"/>
              </w:rPr>
              <w:t>Zimbabwe</w:t>
            </w:r>
            <w:bookmarkEnd w:id="164"/>
          </w:p>
        </w:tc>
        <w:tc>
          <w:tcPr>
            <w:tcW w:w="2505" w:type="dxa"/>
            <w:shd w:val="clear" w:color="auto" w:fill="EAF1DD"/>
          </w:tcPr>
          <w:p w:rsidR="008C579A" w:rsidRPr="00C142FD" w:rsidRDefault="008C579A" w:rsidP="008C579A">
            <w:pPr>
              <w:pStyle w:val="HIPTabletext"/>
              <w:jc w:val="left"/>
            </w:pPr>
            <w:bookmarkStart w:id="165" w:name="_Toc281153784"/>
            <w:r w:rsidRPr="00C142FD">
              <w:t>Regulator</w:t>
            </w:r>
            <w:bookmarkEnd w:id="165"/>
          </w:p>
        </w:tc>
        <w:tc>
          <w:tcPr>
            <w:tcW w:w="2551" w:type="dxa"/>
            <w:shd w:val="clear" w:color="auto" w:fill="EAF1DD"/>
          </w:tcPr>
          <w:p w:rsidR="008C579A" w:rsidRPr="00C142FD" w:rsidRDefault="008C579A" w:rsidP="008C579A">
            <w:pPr>
              <w:pStyle w:val="HIPTabletext"/>
              <w:jc w:val="left"/>
              <w:rPr>
                <w:lang w:val="en-US"/>
              </w:rPr>
            </w:pPr>
            <w:bookmarkStart w:id="166" w:name="_Toc281153785"/>
            <w:r w:rsidRPr="00C142FD">
              <w:rPr>
                <w:lang w:val="en-US"/>
              </w:rPr>
              <w:t>Board of Trustee of Fund in Regulator</w:t>
            </w:r>
            <w:bookmarkEnd w:id="166"/>
          </w:p>
        </w:tc>
        <w:tc>
          <w:tcPr>
            <w:tcW w:w="2196" w:type="dxa"/>
            <w:shd w:val="clear" w:color="auto" w:fill="EAF1DD"/>
          </w:tcPr>
          <w:p w:rsidR="008C579A" w:rsidRPr="00C142FD" w:rsidRDefault="008C579A" w:rsidP="008C579A">
            <w:pPr>
              <w:pStyle w:val="HIPTabletext"/>
              <w:jc w:val="left"/>
            </w:pPr>
            <w:bookmarkStart w:id="167" w:name="_Toc281153786"/>
            <w:r w:rsidRPr="00C142FD">
              <w:t>2002</w:t>
            </w:r>
            <w:bookmarkEnd w:id="167"/>
          </w:p>
        </w:tc>
      </w:tr>
    </w:tbl>
    <w:p w:rsidR="008C579A" w:rsidRPr="0088668E" w:rsidRDefault="008C579A" w:rsidP="0088668E">
      <w:pPr>
        <w:pStyle w:val="HIPNormal"/>
        <w:spacing w:before="0"/>
        <w:rPr>
          <w:sz w:val="4"/>
          <w:szCs w:val="4"/>
          <w:lang w:val="en-US"/>
        </w:rPr>
      </w:pPr>
    </w:p>
    <w:p w:rsidR="008C579A" w:rsidRPr="003950B6" w:rsidRDefault="0088668E" w:rsidP="0088668E">
      <w:pPr>
        <w:pStyle w:val="HIPBoxquestion"/>
        <w:rPr>
          <w:rFonts w:eastAsia="Calibri"/>
        </w:rPr>
      </w:pPr>
      <w:bookmarkStart w:id="168" w:name="_Toc284597958"/>
      <w:bookmarkStart w:id="169" w:name="_Toc286146349"/>
      <w:r>
        <w:lastRenderedPageBreak/>
        <w:t xml:space="preserve">Box 2.3: </w:t>
      </w:r>
      <w:r w:rsidR="008C579A" w:rsidRPr="003950B6">
        <w:t>Fund Management: Summary of Best Practices</w:t>
      </w:r>
      <w:bookmarkEnd w:id="168"/>
      <w:bookmarkEnd w:id="169"/>
    </w:p>
    <w:p w:rsidR="008C579A" w:rsidRPr="003950B6" w:rsidRDefault="008C579A" w:rsidP="0088668E">
      <w:pPr>
        <w:pStyle w:val="HIPBoxNormal"/>
      </w:pPr>
      <w:r w:rsidRPr="003950B6">
        <w:t xml:space="preserve">There are several options with regard to how a country structures its Fund. In SADC, most countries have already made a decision in light of Funds having been established in law in most instances. The decision to house the Fund within the regulator as a separate unit, in a separate agency, or to outsource the function to a third party depends on the country context. Regardless of the model uses: </w:t>
      </w:r>
    </w:p>
    <w:p w:rsidR="008C579A" w:rsidRPr="003950B6" w:rsidRDefault="008C579A" w:rsidP="0088668E">
      <w:pPr>
        <w:pStyle w:val="HIPBoxNormal"/>
      </w:pPr>
      <w:r w:rsidRPr="003950B6">
        <w:t>The Fund must have a:</w:t>
      </w:r>
    </w:p>
    <w:p w:rsidR="008C579A" w:rsidRPr="008C579A" w:rsidRDefault="008C579A" w:rsidP="0088668E">
      <w:pPr>
        <w:pStyle w:val="HIPBoxenumlevel"/>
      </w:pPr>
      <w:r w:rsidRPr="008C579A">
        <w:rPr>
          <w:color w:val="008000"/>
        </w:rPr>
        <w:t>•</w:t>
      </w:r>
      <w:r>
        <w:tab/>
      </w:r>
      <w:r w:rsidRPr="008C579A">
        <w:t>Full time Fund Administrator;</w:t>
      </w:r>
    </w:p>
    <w:p w:rsidR="008C579A" w:rsidRPr="003950B6" w:rsidRDefault="008C579A" w:rsidP="0088668E">
      <w:pPr>
        <w:pStyle w:val="HIPBoxenumlevel"/>
      </w:pPr>
      <w:r w:rsidRPr="008C579A">
        <w:rPr>
          <w:color w:val="008000"/>
        </w:rPr>
        <w:t>•</w:t>
      </w:r>
      <w:r>
        <w:tab/>
        <w:t xml:space="preserve">Separate </w:t>
      </w:r>
      <w:r w:rsidRPr="005912AC">
        <w:t>Board of trustees</w:t>
      </w:r>
      <w:r>
        <w:t>;</w:t>
      </w:r>
    </w:p>
    <w:p w:rsidR="008C579A" w:rsidRPr="003950B6" w:rsidRDefault="008C579A" w:rsidP="0088668E">
      <w:pPr>
        <w:pStyle w:val="HIPBoxenumlevel"/>
      </w:pPr>
      <w:r w:rsidRPr="008C579A">
        <w:rPr>
          <w:color w:val="008000"/>
        </w:rPr>
        <w:t>•</w:t>
      </w:r>
      <w:r>
        <w:tab/>
      </w:r>
      <w:r w:rsidRPr="003950B6">
        <w:t>Bank account that is dedicated to it; and</w:t>
      </w:r>
    </w:p>
    <w:p w:rsidR="008C579A" w:rsidRPr="003950B6" w:rsidRDefault="008C579A" w:rsidP="0088668E">
      <w:pPr>
        <w:pStyle w:val="HIPBoxenumlevel"/>
      </w:pPr>
      <w:r w:rsidRPr="008C579A">
        <w:rPr>
          <w:color w:val="008000"/>
        </w:rPr>
        <w:t>•</w:t>
      </w:r>
      <w:r>
        <w:tab/>
      </w:r>
      <w:r w:rsidRPr="005912AC">
        <w:t>Reporting procedures</w:t>
      </w:r>
      <w:r>
        <w:t>.</w:t>
      </w:r>
    </w:p>
    <w:p w:rsidR="008C579A" w:rsidRPr="003950B6" w:rsidRDefault="008C579A" w:rsidP="0088668E">
      <w:pPr>
        <w:pStyle w:val="HIPBoxNormal"/>
      </w:pPr>
      <w:r w:rsidRPr="003950B6">
        <w:t xml:space="preserve">In order for the Fund to success there should be strong leadership at the policy and institutional level, as well as sufficient autonomy for the Fund Administrator to fulfil the Fund’s mandate. </w:t>
      </w:r>
    </w:p>
    <w:p w:rsidR="008C579A" w:rsidRPr="003950B6" w:rsidRDefault="008C579A" w:rsidP="0088668E">
      <w:pPr>
        <w:pStyle w:val="HIPBoxNormal"/>
      </w:pPr>
      <w:r w:rsidRPr="003950B6">
        <w:t>Further to this, Member States must commit adequate human resources. These resources are likely to require skills relating to areas of activity as diverse as:</w:t>
      </w:r>
    </w:p>
    <w:p w:rsidR="008C579A" w:rsidRPr="003950B6" w:rsidRDefault="008C579A" w:rsidP="0088668E">
      <w:pPr>
        <w:pStyle w:val="HIPBoxenumlevel"/>
      </w:pPr>
      <w:r w:rsidRPr="008C579A">
        <w:rPr>
          <w:color w:val="008000"/>
        </w:rPr>
        <w:t>•</w:t>
      </w:r>
      <w:r>
        <w:tab/>
      </w:r>
      <w:r w:rsidRPr="003950B6">
        <w:t xml:space="preserve">determining service types and levels (e.g. legal, economics, policy), </w:t>
      </w:r>
    </w:p>
    <w:p w:rsidR="008C579A" w:rsidRPr="003950B6" w:rsidRDefault="008C579A" w:rsidP="0088668E">
      <w:pPr>
        <w:pStyle w:val="HIPBoxenumlevel"/>
      </w:pPr>
      <w:r w:rsidRPr="008C579A">
        <w:rPr>
          <w:color w:val="008000"/>
        </w:rPr>
        <w:t>•</w:t>
      </w:r>
      <w:r>
        <w:tab/>
      </w:r>
      <w:r w:rsidRPr="003950B6">
        <w:t xml:space="preserve">calculating reasonable costs of provision (e.g. economics and finance), </w:t>
      </w:r>
    </w:p>
    <w:p w:rsidR="008C579A" w:rsidRPr="003950B6" w:rsidRDefault="008C579A" w:rsidP="0088668E">
      <w:pPr>
        <w:pStyle w:val="HIPBoxenumlevel"/>
      </w:pPr>
      <w:r w:rsidRPr="008C579A">
        <w:rPr>
          <w:color w:val="008000"/>
        </w:rPr>
        <w:t>•</w:t>
      </w:r>
      <w:r>
        <w:tab/>
      </w:r>
      <w:r w:rsidRPr="003950B6">
        <w:t xml:space="preserve">deciding eligibility for funding (e.g. legal, policy, project finance), </w:t>
      </w:r>
    </w:p>
    <w:p w:rsidR="008C579A" w:rsidRPr="003950B6" w:rsidRDefault="008C579A" w:rsidP="0088668E">
      <w:pPr>
        <w:pStyle w:val="HIPBoxenumlevel"/>
      </w:pPr>
      <w:r w:rsidRPr="008C579A">
        <w:rPr>
          <w:color w:val="008000"/>
        </w:rPr>
        <w:t>•</w:t>
      </w:r>
      <w:r>
        <w:tab/>
      </w:r>
      <w:r w:rsidRPr="003950B6">
        <w:t xml:space="preserve">managing competitive tender processes for provision (e.g. legal, financial, technical, market research, market analysis), and </w:t>
      </w:r>
    </w:p>
    <w:p w:rsidR="008C579A" w:rsidRPr="003950B6" w:rsidRDefault="008C579A" w:rsidP="0088668E">
      <w:pPr>
        <w:pStyle w:val="HIPBoxenumlevel"/>
      </w:pPr>
      <w:r w:rsidRPr="008C579A">
        <w:rPr>
          <w:color w:val="008000"/>
        </w:rPr>
        <w:t>•</w:t>
      </w:r>
      <w:r>
        <w:tab/>
      </w:r>
      <w:r w:rsidRPr="003950B6">
        <w:t>drafting contracts and determining the liability of stakeholders (e.g. legal)</w:t>
      </w:r>
    </w:p>
    <w:p w:rsidR="008C579A" w:rsidRPr="003950B6" w:rsidRDefault="008C579A" w:rsidP="0088668E">
      <w:pPr>
        <w:pStyle w:val="HIPBoxNormal"/>
      </w:pPr>
      <w:r w:rsidRPr="003950B6">
        <w:t>Not all of these skills may readily be available within existing National Regulatory Authority structures; if they exist they may not be available to be used by the Fund.</w:t>
      </w:r>
    </w:p>
    <w:p w:rsidR="00D578A8" w:rsidRDefault="00D578A8" w:rsidP="008978A2">
      <w:pPr>
        <w:pStyle w:val="HIPNormal"/>
        <w:rPr>
          <w:lang w:val="en-GB"/>
        </w:rPr>
      </w:pPr>
    </w:p>
    <w:p w:rsidR="0088668E" w:rsidRPr="0088668E" w:rsidRDefault="0088668E" w:rsidP="00DC5333">
      <w:pPr>
        <w:pStyle w:val="HIPBoxquestion"/>
        <w:rPr>
          <w:rFonts w:eastAsia="Calibri"/>
        </w:rPr>
      </w:pPr>
      <w:bookmarkStart w:id="170" w:name="_Toc286146350"/>
      <w:r>
        <w:t xml:space="preserve">Box 2.4: </w:t>
      </w:r>
      <w:r w:rsidRPr="0088668E">
        <w:t>Sample/Reference Material</w:t>
      </w:r>
      <w:bookmarkEnd w:id="170"/>
      <w:r w:rsidRPr="0088668E">
        <w:t xml:space="preserve"> </w:t>
      </w:r>
    </w:p>
    <w:p w:rsidR="0088668E" w:rsidRPr="003950B6" w:rsidRDefault="0088668E" w:rsidP="0088668E">
      <w:pPr>
        <w:pStyle w:val="HIPBoxNormal"/>
      </w:pPr>
      <w:r w:rsidRPr="003950B6">
        <w:t xml:space="preserve">As stated </w:t>
      </w:r>
      <w:r w:rsidRPr="003950B6">
        <w:rPr>
          <w:rFonts w:hint="eastAsia"/>
        </w:rPr>
        <w:t>upfront</w:t>
      </w:r>
      <w:r w:rsidRPr="003950B6">
        <w:t xml:space="preserve"> in this document, there are a number of alternative approaches regarding Fund structures. It is important </w:t>
      </w:r>
      <w:r w:rsidRPr="003950B6">
        <w:rPr>
          <w:rFonts w:hint="eastAsia"/>
        </w:rPr>
        <w:t>that</w:t>
      </w:r>
      <w:r w:rsidRPr="003950B6">
        <w:t xml:space="preserve"> the particular circumstances of the country are taken into consideration before deciding on an approach. Hereunder are</w:t>
      </w:r>
      <w:r>
        <w:t xml:space="preserve"> </w:t>
      </w:r>
      <w:r w:rsidRPr="003950B6">
        <w:t>a few examples of approaches, and links to reference documents, that have proved successful in the context in which they were</w:t>
      </w:r>
      <w:r>
        <w:t xml:space="preserve"> </w:t>
      </w:r>
      <w:r w:rsidRPr="003950B6">
        <w:t>applied, and in relation specifically to Fund Management:</w:t>
      </w:r>
    </w:p>
    <w:p w:rsidR="0088668E" w:rsidRPr="003950B6" w:rsidRDefault="0088668E" w:rsidP="0088668E">
      <w:pPr>
        <w:pStyle w:val="HIPBoxenumlevel"/>
        <w:jc w:val="left"/>
      </w:pPr>
      <w:r w:rsidRPr="008C579A">
        <w:rPr>
          <w:color w:val="008000"/>
        </w:rPr>
        <w:t>•</w:t>
      </w:r>
      <w:r>
        <w:tab/>
      </w:r>
      <w:r w:rsidRPr="003950B6">
        <w:t xml:space="preserve">USAF Pakistan Success Story, Pravez Iftikhar, USF CEO, presentation </w:t>
      </w:r>
      <w:r>
        <w:br/>
      </w:r>
      <w:r w:rsidRPr="003950B6">
        <w:t>(</w:t>
      </w:r>
      <w:hyperlink r:id="rId42" w:history="1">
        <w:r w:rsidRPr="007B1A5B">
          <w:rPr>
            <w:rStyle w:val="Hyperlink"/>
          </w:rPr>
          <w:t>www.itu.int/ITU-D/asp/CMS/Events/2010/Thailand-Broadband/Session4_Parvez_Iftikhar.pdf</w:t>
        </w:r>
      </w:hyperlink>
      <w:r w:rsidRPr="003950B6">
        <w:t xml:space="preserve"> </w:t>
      </w:r>
    </w:p>
    <w:p w:rsidR="0088668E" w:rsidRPr="003950B6" w:rsidRDefault="0088668E" w:rsidP="0088668E">
      <w:pPr>
        <w:pStyle w:val="HIPBoxenumlevel"/>
      </w:pPr>
      <w:r w:rsidRPr="008C579A">
        <w:rPr>
          <w:color w:val="008000"/>
        </w:rPr>
        <w:t>•</w:t>
      </w:r>
      <w:r>
        <w:tab/>
      </w:r>
      <w:r w:rsidRPr="003950B6">
        <w:t xml:space="preserve">Universal Communications Services Act, 2006, Tanzania </w:t>
      </w:r>
      <w:r>
        <w:t>–</w:t>
      </w:r>
      <w:r w:rsidRPr="003950B6">
        <w:t xml:space="preserve"> </w:t>
      </w:r>
      <w:hyperlink r:id="rId43" w:history="1">
        <w:r w:rsidRPr="003950B6">
          <w:rPr>
            <w:rStyle w:val="Hyperlink"/>
          </w:rPr>
          <w:t>UCAF Act Tanzania.pdf</w:t>
        </w:r>
      </w:hyperlink>
    </w:p>
    <w:p w:rsidR="0088668E" w:rsidRPr="003950B6" w:rsidRDefault="0088668E" w:rsidP="0088668E">
      <w:pPr>
        <w:pStyle w:val="HIPBoxenumlevel"/>
      </w:pPr>
      <w:r w:rsidRPr="008C579A">
        <w:rPr>
          <w:color w:val="008000"/>
        </w:rPr>
        <w:t>•</w:t>
      </w:r>
      <w:r>
        <w:tab/>
      </w:r>
      <w:r w:rsidRPr="003950B6">
        <w:t xml:space="preserve">Electronic Communications Act, South Africa </w:t>
      </w:r>
      <w:hyperlink r:id="rId44" w:history="1">
        <w:r w:rsidRPr="007B1A5B">
          <w:rPr>
            <w:rStyle w:val="Hyperlink"/>
          </w:rPr>
          <w:t>www.icasa.org.za/tabid/86/Default.aspx</w:t>
        </w:r>
      </w:hyperlink>
      <w:r w:rsidRPr="003950B6">
        <w:t xml:space="preserve"> </w:t>
      </w:r>
    </w:p>
    <w:p w:rsidR="0088668E" w:rsidRPr="003950B6" w:rsidRDefault="0088668E" w:rsidP="0088668E">
      <w:pPr>
        <w:pStyle w:val="HIPBoxenumlevel"/>
      </w:pPr>
      <w:r w:rsidRPr="008C579A">
        <w:rPr>
          <w:color w:val="008000"/>
        </w:rPr>
        <w:t>•</w:t>
      </w:r>
      <w:r>
        <w:tab/>
      </w:r>
      <w:r w:rsidRPr="003950B6">
        <w:t xml:space="preserve">ICT Act (2001) and Amendment Act (2002), Mauritius </w:t>
      </w:r>
      <w:r>
        <w:t>–</w:t>
      </w:r>
      <w:r w:rsidRPr="003950B6">
        <w:t xml:space="preserve"> </w:t>
      </w:r>
      <w:hyperlink r:id="rId45" w:history="1">
        <w:r w:rsidRPr="007B1A5B">
          <w:rPr>
            <w:rStyle w:val="Hyperlink"/>
          </w:rPr>
          <w:t>www.icta.mu/documents/laws/ictact.pdf</w:t>
        </w:r>
      </w:hyperlink>
      <w:r w:rsidRPr="003950B6">
        <w:t xml:space="preserve"> </w:t>
      </w:r>
    </w:p>
    <w:p w:rsidR="0088668E" w:rsidRPr="0088668E" w:rsidRDefault="0088668E" w:rsidP="008978A2">
      <w:pPr>
        <w:pStyle w:val="HIPNormal"/>
        <w:rPr>
          <w:lang w:val="en-US"/>
        </w:rPr>
      </w:pPr>
    </w:p>
    <w:p w:rsidR="0088668E" w:rsidRDefault="0088668E" w:rsidP="008978A2">
      <w:pPr>
        <w:pStyle w:val="HIPNormal"/>
        <w:rPr>
          <w:lang w:val="en-GB"/>
        </w:rPr>
      </w:pPr>
    </w:p>
    <w:p w:rsidR="004674ED" w:rsidRDefault="004674ED">
      <w:pPr>
        <w:rPr>
          <w:rFonts w:ascii="Calibri" w:hAnsi="Calibri" w:cs="Arial"/>
          <w:color w:val="000000"/>
          <w:sz w:val="21"/>
          <w:lang w:val="en-GB"/>
        </w:rPr>
      </w:pPr>
      <w:r>
        <w:rPr>
          <w:lang w:val="en-GB"/>
        </w:rPr>
        <w:br w:type="page"/>
      </w:r>
    </w:p>
    <w:p w:rsidR="004674ED" w:rsidRPr="0020371C" w:rsidRDefault="0088668E" w:rsidP="0088668E">
      <w:pPr>
        <w:pStyle w:val="HIPHeading2"/>
        <w:rPr>
          <w:rFonts w:eastAsia="Calibri"/>
        </w:rPr>
      </w:pPr>
      <w:bookmarkStart w:id="171" w:name="_Toc281459548"/>
      <w:bookmarkStart w:id="172" w:name="_Toc284597959"/>
      <w:bookmarkStart w:id="173" w:name="_Toc286144961"/>
      <w:r>
        <w:lastRenderedPageBreak/>
        <w:t>2.3</w:t>
      </w:r>
      <w:r>
        <w:tab/>
      </w:r>
      <w:r w:rsidR="004674ED" w:rsidRPr="00570E95">
        <w:t>FUND MANAGEMENT</w:t>
      </w:r>
      <w:r w:rsidR="004674ED">
        <w:t xml:space="preserve"> </w:t>
      </w:r>
      <w:r w:rsidR="004674ED" w:rsidRPr="00570E95">
        <w:t>PRINCIPLES</w:t>
      </w:r>
      <w:bookmarkEnd w:id="171"/>
      <w:bookmarkEnd w:id="172"/>
      <w:bookmarkEnd w:id="173"/>
    </w:p>
    <w:p w:rsidR="004674ED" w:rsidRDefault="004674ED" w:rsidP="004674ED">
      <w:pPr>
        <w:pStyle w:val="HIPNormal"/>
        <w:rPr>
          <w:lang w:val="en-US"/>
        </w:rPr>
      </w:pPr>
      <w:r>
        <w:rPr>
          <w:lang w:val="en-US"/>
        </w:rPr>
        <w:t xml:space="preserve">Funds, like all financial institutions, should have </w:t>
      </w:r>
      <w:r>
        <w:rPr>
          <w:rFonts w:hint="eastAsia"/>
          <w:lang w:val="en-US"/>
        </w:rPr>
        <w:t>clearly</w:t>
      </w:r>
      <w:r>
        <w:rPr>
          <w:lang w:val="en-US"/>
        </w:rPr>
        <w:t xml:space="preserve"> defined rules and principles that guide them. </w:t>
      </w:r>
      <w:r w:rsidRPr="0020371C">
        <w:rPr>
          <w:lang w:val="en-US"/>
        </w:rPr>
        <w:t xml:space="preserve">The importance of the key principles of accountability, transparency and efficiency in </w:t>
      </w:r>
      <w:r>
        <w:rPr>
          <w:lang w:val="en-US"/>
        </w:rPr>
        <w:t xml:space="preserve">the provision of public funds, and specifically in </w:t>
      </w:r>
      <w:r w:rsidRPr="0020371C">
        <w:rPr>
          <w:lang w:val="en-US"/>
        </w:rPr>
        <w:t>Fund Management cannot be overemphasized. Each principle is discussed in turn below, as well as how the principle is translated into practical implementation and fund management approaches.</w:t>
      </w:r>
      <w:bookmarkStart w:id="174" w:name="_Toc281459549"/>
    </w:p>
    <w:p w:rsidR="004674ED" w:rsidRPr="0078261B" w:rsidRDefault="0088668E" w:rsidP="0088668E">
      <w:pPr>
        <w:pStyle w:val="HIPheading3"/>
        <w:rPr>
          <w:rFonts w:eastAsia="Calibri"/>
        </w:rPr>
      </w:pPr>
      <w:bookmarkStart w:id="175" w:name="_Toc284597960"/>
      <w:bookmarkStart w:id="176" w:name="_Toc286144962"/>
      <w:r>
        <w:t>2.3.</w:t>
      </w:r>
      <w:r w:rsidR="004674ED">
        <w:t>1</w:t>
      </w:r>
      <w:r w:rsidR="004674ED">
        <w:tab/>
        <w:t>Global Experience and Good Practice</w:t>
      </w:r>
      <w:bookmarkEnd w:id="175"/>
      <w:bookmarkEnd w:id="176"/>
    </w:p>
    <w:p w:rsidR="004674ED" w:rsidRPr="0020371C" w:rsidRDefault="0088668E" w:rsidP="0088668E">
      <w:pPr>
        <w:pStyle w:val="HIPheading4"/>
        <w:rPr>
          <w:rFonts w:eastAsia="Calibri"/>
        </w:rPr>
      </w:pPr>
      <w:bookmarkStart w:id="177" w:name="_Toc284597961"/>
      <w:r>
        <w:t>2.3.</w:t>
      </w:r>
      <w:r w:rsidR="004674ED">
        <w:t>1.1</w:t>
      </w:r>
      <w:r w:rsidR="004674ED">
        <w:tab/>
      </w:r>
      <w:r w:rsidR="004674ED" w:rsidRPr="0020371C">
        <w:t>Accountability</w:t>
      </w:r>
      <w:bookmarkEnd w:id="174"/>
      <w:bookmarkEnd w:id="177"/>
      <w:r w:rsidR="004674ED">
        <w:t xml:space="preserve"> </w:t>
      </w:r>
    </w:p>
    <w:p w:rsidR="004674ED" w:rsidRPr="0020371C" w:rsidRDefault="004674ED" w:rsidP="004674ED">
      <w:pPr>
        <w:pStyle w:val="HIPNormal"/>
        <w:rPr>
          <w:rFonts w:eastAsia="Calibri"/>
          <w:b/>
          <w:bCs/>
          <w:lang w:val="en-US"/>
        </w:rPr>
      </w:pPr>
      <w:r w:rsidRPr="0020371C">
        <w:rPr>
          <w:lang w:val="en-US"/>
        </w:rPr>
        <w:t xml:space="preserve">Accountability requires that the Fund </w:t>
      </w:r>
      <w:r>
        <w:rPr>
          <w:lang w:val="en-US"/>
        </w:rPr>
        <w:t xml:space="preserve">(or other public financing body such as the municipality in the case of a municipal led PPP) </w:t>
      </w:r>
      <w:r w:rsidRPr="0020371C">
        <w:rPr>
          <w:lang w:val="en-US"/>
        </w:rPr>
        <w:t>is responsible to all external stakeholders for the manner in which it has conducted its business for a given period. As such the following tools are necessary to ensure accountability:</w:t>
      </w:r>
    </w:p>
    <w:p w:rsidR="004674ED" w:rsidRPr="004674ED" w:rsidRDefault="004674ED" w:rsidP="004674ED">
      <w:pPr>
        <w:pStyle w:val="HIPEnumlev1"/>
        <w:rPr>
          <w:b/>
          <w:bCs/>
        </w:rPr>
      </w:pPr>
      <w:r w:rsidRPr="0020371C">
        <w:rPr>
          <w:b/>
          <w:bCs/>
        </w:rPr>
        <w:t>Separate accounting –</w:t>
      </w:r>
      <w:r w:rsidRPr="0020371C">
        <w:t xml:space="preserve"> the Fund</w:t>
      </w:r>
      <w:r>
        <w:t xml:space="preserve"> (or donor, NGO or public financing body)</w:t>
      </w:r>
      <w:r w:rsidRPr="0020371C">
        <w:t xml:space="preserve"> should recognize that the monies it collects are for a designated purpose and from a range of sources and as such, regardless of the institutional framework, must ensure that it has its own bank accounts and associated accounting procedures.</w:t>
      </w:r>
      <w:r w:rsidR="005E5682">
        <w:t xml:space="preserve"> </w:t>
      </w:r>
      <w:r w:rsidRPr="0020371C">
        <w:t>The Fund</w:t>
      </w:r>
      <w:r>
        <w:t xml:space="preserve">s </w:t>
      </w:r>
      <w:r w:rsidRPr="0020371C">
        <w:t>operating budget should be separate; as should its accounting for project related costs. The necessary financial controls should be put in place to ensure accountability.</w:t>
      </w:r>
    </w:p>
    <w:p w:rsidR="004674ED" w:rsidRPr="0020371C" w:rsidRDefault="004674ED" w:rsidP="004674ED">
      <w:pPr>
        <w:pStyle w:val="HIPEnumlev1"/>
        <w:rPr>
          <w:b/>
          <w:bCs/>
        </w:rPr>
      </w:pPr>
      <w:r w:rsidRPr="0020371C">
        <w:rPr>
          <w:b/>
          <w:bCs/>
        </w:rPr>
        <w:t xml:space="preserve">Operating procedures </w:t>
      </w:r>
      <w:r w:rsidRPr="0020371C">
        <w:t>–</w:t>
      </w:r>
      <w:r>
        <w:t>t</w:t>
      </w:r>
      <w:r w:rsidRPr="0020371C">
        <w:t xml:space="preserve">he Fund </w:t>
      </w:r>
      <w:r>
        <w:t xml:space="preserve">(or or donor, NGO or other public financing body) </w:t>
      </w:r>
      <w:r w:rsidRPr="0020371C">
        <w:t>must develop what is often termed a “Manual of Operating Procedures.” This Manual sets out the specific rules with respect to critical issues such as procurement, accounting standards, project selection criteria</w:t>
      </w:r>
      <w:r>
        <w:t>, technical partner selection criteria</w:t>
      </w:r>
      <w:r w:rsidRPr="0020371C">
        <w:t>, tendering processes and procedures, and disbursement procedures</w:t>
      </w:r>
      <w:r>
        <w:t xml:space="preserve"> or </w:t>
      </w:r>
      <w:r>
        <w:rPr>
          <w:rFonts w:hint="eastAsia"/>
        </w:rPr>
        <w:t>participation</w:t>
      </w:r>
      <w:r>
        <w:t xml:space="preserve"> rules in the case of a PPP.</w:t>
      </w:r>
    </w:p>
    <w:p w:rsidR="004674ED" w:rsidRPr="00570E95" w:rsidRDefault="004674ED" w:rsidP="004674ED">
      <w:pPr>
        <w:pStyle w:val="HIPEnumlev1"/>
        <w:rPr>
          <w:b/>
          <w:bCs/>
        </w:rPr>
      </w:pPr>
      <w:r w:rsidRPr="0020371C">
        <w:rPr>
          <w:b/>
          <w:bCs/>
        </w:rPr>
        <w:t xml:space="preserve">Governance Framework </w:t>
      </w:r>
      <w:r w:rsidRPr="0020371C">
        <w:t>– the</w:t>
      </w:r>
      <w:r>
        <w:t xml:space="preserve">re must be a clear </w:t>
      </w:r>
      <w:r w:rsidRPr="0020371C">
        <w:t>governance framework. In</w:t>
      </w:r>
      <w:r>
        <w:t xml:space="preserve"> the case of a Fund, in</w:t>
      </w:r>
      <w:r w:rsidRPr="0020371C">
        <w:t xml:space="preserve"> many countries the rules relating to governance are set out in existing legislation, and also in the Manual of Operating Procedures. While this is an option, it is also important to keep the Governance Manual as a separate document to give it importance and significance as critical issues on its own.</w:t>
      </w:r>
      <w:r w:rsidR="005E5682">
        <w:t xml:space="preserve"> </w:t>
      </w:r>
      <w:r w:rsidRPr="0020371C">
        <w:t>The Governance Manual includes issues such as the general constitution, role and functions of the Fund, the role of the Board, Executives and staff, the management of finances and reporting requirement</w:t>
      </w:r>
      <w:r w:rsidRPr="00570E95">
        <w:t xml:space="preserve">s. </w:t>
      </w:r>
    </w:p>
    <w:p w:rsidR="004674ED" w:rsidRDefault="004674ED" w:rsidP="004674ED">
      <w:pPr>
        <w:pStyle w:val="HIPEnumlev1"/>
        <w:rPr>
          <w:b/>
          <w:bCs/>
        </w:rPr>
      </w:pPr>
      <w:r w:rsidRPr="0020371C">
        <w:rPr>
          <w:b/>
          <w:bCs/>
        </w:rPr>
        <w:t xml:space="preserve">Annual report </w:t>
      </w:r>
      <w:r w:rsidRPr="0020371C">
        <w:t>– An Annual Report must be published accounting for monies spent and setting out the Funds</w:t>
      </w:r>
      <w:r>
        <w:rPr>
          <w:rFonts w:hint="eastAsia"/>
        </w:rPr>
        <w:t>’</w:t>
      </w:r>
      <w:r w:rsidRPr="0020371C">
        <w:t xml:space="preserve"> activities, levies collected, disbursements and any other key issues that affected the Fund in a given year. Based on an analysis of websites of CRASA members, only one of the Funds (South Africa) has made Annual Reports publically available. </w:t>
      </w:r>
    </w:p>
    <w:p w:rsidR="004674ED" w:rsidRPr="0020371C" w:rsidRDefault="004674ED" w:rsidP="004674ED">
      <w:pPr>
        <w:pStyle w:val="HIPEnumlev1"/>
        <w:rPr>
          <w:b/>
          <w:bCs/>
        </w:rPr>
      </w:pPr>
      <w:r w:rsidRPr="0020371C">
        <w:rPr>
          <w:b/>
          <w:bCs/>
        </w:rPr>
        <w:t>Annual auditing</w:t>
      </w:r>
      <w:r w:rsidRPr="0020371C">
        <w:t xml:space="preserve"> – the funds and accounts of the USAF should be independently audited on an annual basis, and the audit results should be made public.</w:t>
      </w:r>
      <w:r>
        <w:t xml:space="preserve"> Similarly, in the case of a specific project, the recipient of the public financing (whether from a Fund or other source) must provide an </w:t>
      </w:r>
      <w:r>
        <w:rPr>
          <w:rFonts w:hint="eastAsia"/>
        </w:rPr>
        <w:t>audited</w:t>
      </w:r>
      <w:r>
        <w:t xml:space="preserve"> report regularly on its progress and </w:t>
      </w:r>
      <w:r>
        <w:rPr>
          <w:rFonts w:hint="eastAsia"/>
        </w:rPr>
        <w:t>performance</w:t>
      </w:r>
      <w:r>
        <w:t>.</w:t>
      </w:r>
    </w:p>
    <w:p w:rsidR="004674ED" w:rsidRPr="0020371C" w:rsidRDefault="0088668E" w:rsidP="0088668E">
      <w:pPr>
        <w:pStyle w:val="HIPheading4"/>
        <w:rPr>
          <w:rFonts w:eastAsia="Calibri"/>
        </w:rPr>
      </w:pPr>
      <w:bookmarkStart w:id="178" w:name="_Toc281459550"/>
      <w:bookmarkStart w:id="179" w:name="_Toc284597962"/>
      <w:r>
        <w:t>2.3.</w:t>
      </w:r>
      <w:r w:rsidR="004674ED">
        <w:t>1.2</w:t>
      </w:r>
      <w:r w:rsidR="004674ED">
        <w:tab/>
      </w:r>
      <w:r w:rsidR="004674ED" w:rsidRPr="0020371C">
        <w:t>Transparency and Trust</w:t>
      </w:r>
      <w:bookmarkEnd w:id="178"/>
      <w:bookmarkEnd w:id="179"/>
    </w:p>
    <w:p w:rsidR="004674ED" w:rsidRDefault="004674ED" w:rsidP="004674ED">
      <w:pPr>
        <w:pStyle w:val="HIPNormal"/>
        <w:rPr>
          <w:lang w:val="en-US"/>
        </w:rPr>
      </w:pPr>
      <w:r w:rsidRPr="0020371C">
        <w:rPr>
          <w:lang w:val="en-US"/>
        </w:rPr>
        <w:t>It is important that all public and private stakeholders have confidence in the Fund and its management team to deliver on its mandate in a manner that is fair, procedurally sound and transparent. Transparency and trust are supported by clear processes (and the Governance Manual and Procedures Manual discussed earlier)</w:t>
      </w:r>
      <w:r>
        <w:rPr>
          <w:lang w:val="en-US"/>
        </w:rPr>
        <w:t xml:space="preserve">. A further document that should be prepared to promote transparency is a Manual or </w:t>
      </w:r>
      <w:r>
        <w:rPr>
          <w:lang w:val="en-US"/>
        </w:rPr>
        <w:lastRenderedPageBreak/>
        <w:t>Handbook for Recipients of subsidies from the Fund, or any public financing whether it is direct funding or through a PPP or other financing mechanism. One such Handbook is the US</w:t>
      </w:r>
      <w:r>
        <w:rPr>
          <w:rFonts w:hint="eastAsia"/>
          <w:lang w:val="en-US"/>
        </w:rPr>
        <w:t>’</w:t>
      </w:r>
      <w:r>
        <w:rPr>
          <w:lang w:val="en-US"/>
        </w:rPr>
        <w:t xml:space="preserve"> BTOP Recipient Handbook which provides rules for recipients of universal access financing to abide by, compliance requirents and reporting </w:t>
      </w:r>
      <w:r>
        <w:rPr>
          <w:rFonts w:hint="eastAsia"/>
          <w:lang w:val="en-US"/>
        </w:rPr>
        <w:t>requirements</w:t>
      </w:r>
      <w:r>
        <w:rPr>
          <w:lang w:val="en-US"/>
        </w:rPr>
        <w:t xml:space="preserve">, amongst others. </w:t>
      </w:r>
    </w:p>
    <w:p w:rsidR="004674ED" w:rsidRDefault="0088668E" w:rsidP="0088668E">
      <w:pPr>
        <w:pStyle w:val="HIPBoxquestion"/>
      </w:pPr>
      <w:bookmarkStart w:id="180" w:name="_Toc286146351"/>
      <w:r>
        <w:t>Box 2.5</w:t>
      </w:r>
      <w:r w:rsidR="004674ED">
        <w:t>: Model Subsidy Recipient Handbook Table of Contents (USA)</w:t>
      </w:r>
      <w:bookmarkEnd w:id="180"/>
    </w:p>
    <w:p w:rsidR="004674ED" w:rsidRPr="00711CBF" w:rsidRDefault="004674ED" w:rsidP="0088668E">
      <w:pPr>
        <w:pStyle w:val="HIPBoxenumlevel"/>
      </w:pPr>
      <w:r w:rsidRPr="004674ED">
        <w:rPr>
          <w:color w:val="008000"/>
        </w:rPr>
        <w:t>•</w:t>
      </w:r>
      <w:r>
        <w:tab/>
      </w:r>
      <w:r w:rsidRPr="00EC5D7F">
        <w:t>Preface</w:t>
      </w:r>
    </w:p>
    <w:p w:rsidR="004674ED" w:rsidRPr="00711CBF" w:rsidRDefault="004674ED" w:rsidP="0088668E">
      <w:pPr>
        <w:pStyle w:val="HIPBoxenumlevel"/>
      </w:pPr>
      <w:r w:rsidRPr="004674ED">
        <w:rPr>
          <w:color w:val="008000"/>
        </w:rPr>
        <w:t>•</w:t>
      </w:r>
      <w:r>
        <w:tab/>
      </w:r>
      <w:r w:rsidRPr="00EC5D7F">
        <w:t>Chapter 1: Award Recipient Responsibilities</w:t>
      </w:r>
    </w:p>
    <w:p w:rsidR="004674ED" w:rsidRPr="00711CBF" w:rsidRDefault="004674ED" w:rsidP="0088668E">
      <w:pPr>
        <w:pStyle w:val="HIPBoxenumlevel"/>
      </w:pPr>
      <w:r w:rsidRPr="004674ED">
        <w:rPr>
          <w:color w:val="008000"/>
        </w:rPr>
        <w:t>•</w:t>
      </w:r>
      <w:r>
        <w:tab/>
      </w:r>
      <w:r w:rsidRPr="00EC5D7F">
        <w:t>Chapter 2: Project Start-Up Activities</w:t>
      </w:r>
    </w:p>
    <w:p w:rsidR="004674ED" w:rsidRPr="00711CBF" w:rsidRDefault="004674ED" w:rsidP="0088668E">
      <w:pPr>
        <w:pStyle w:val="HIPBoxenumlevel"/>
      </w:pPr>
      <w:r w:rsidRPr="004674ED">
        <w:rPr>
          <w:color w:val="008000"/>
        </w:rPr>
        <w:t>•</w:t>
      </w:r>
      <w:r>
        <w:tab/>
      </w:r>
      <w:r w:rsidRPr="00EC5D7F">
        <w:t>Chapter 3: Draw Down Funds</w:t>
      </w:r>
      <w:r w:rsidRPr="00711CBF">
        <w:t xml:space="preserve"> </w:t>
      </w:r>
    </w:p>
    <w:p w:rsidR="004674ED" w:rsidRPr="0006693F" w:rsidRDefault="004674ED" w:rsidP="0088668E">
      <w:pPr>
        <w:pStyle w:val="HIPBoxenumlevel"/>
      </w:pPr>
      <w:r w:rsidRPr="004674ED">
        <w:rPr>
          <w:color w:val="008000"/>
        </w:rPr>
        <w:t>•</w:t>
      </w:r>
      <w:r>
        <w:tab/>
      </w:r>
      <w:r w:rsidRPr="0006693F">
        <w:t xml:space="preserve">Chapter 4: How to Comply with Environmental SACs </w:t>
      </w:r>
    </w:p>
    <w:p w:rsidR="004674ED" w:rsidRPr="00711CBF" w:rsidRDefault="004674ED" w:rsidP="0088668E">
      <w:pPr>
        <w:pStyle w:val="HIPBoxenumlevel"/>
      </w:pPr>
      <w:r w:rsidRPr="004674ED">
        <w:rPr>
          <w:color w:val="008000"/>
        </w:rPr>
        <w:t>•</w:t>
      </w:r>
      <w:r>
        <w:tab/>
      </w:r>
      <w:r w:rsidRPr="00EC5D7F">
        <w:t>Chapter 5: Recipient Reporting</w:t>
      </w:r>
      <w:r w:rsidRPr="00711CBF">
        <w:t xml:space="preserve"> </w:t>
      </w:r>
    </w:p>
    <w:p w:rsidR="004674ED" w:rsidRPr="0006693F" w:rsidRDefault="004674ED" w:rsidP="0088668E">
      <w:pPr>
        <w:pStyle w:val="HIPBoxenumlevel"/>
      </w:pPr>
      <w:r w:rsidRPr="004674ED">
        <w:rPr>
          <w:color w:val="008000"/>
        </w:rPr>
        <w:t>•</w:t>
      </w:r>
      <w:r>
        <w:tab/>
      </w:r>
      <w:r w:rsidRPr="0006693F">
        <w:t xml:space="preserve">Chapter 6: Project Modifications and Award Action Requests </w:t>
      </w:r>
    </w:p>
    <w:p w:rsidR="004674ED" w:rsidRPr="00711CBF" w:rsidRDefault="004674ED" w:rsidP="0088668E">
      <w:pPr>
        <w:pStyle w:val="HIPBoxenumlevel"/>
      </w:pPr>
      <w:r w:rsidRPr="004674ED">
        <w:rPr>
          <w:color w:val="008000"/>
        </w:rPr>
        <w:t>•</w:t>
      </w:r>
      <w:r>
        <w:tab/>
      </w:r>
      <w:r w:rsidRPr="00EC5D7F">
        <w:t>Chapter 7: Project Closeout Activities</w:t>
      </w:r>
      <w:r w:rsidRPr="00711CBF">
        <w:t xml:space="preserve"> </w:t>
      </w:r>
    </w:p>
    <w:p w:rsidR="004674ED" w:rsidRPr="0006693F" w:rsidRDefault="004674ED" w:rsidP="0088668E">
      <w:pPr>
        <w:pStyle w:val="HIPBoxenumlevel"/>
      </w:pPr>
      <w:r w:rsidRPr="004674ED">
        <w:rPr>
          <w:color w:val="008000"/>
        </w:rPr>
        <w:t>•</w:t>
      </w:r>
      <w:r>
        <w:tab/>
      </w:r>
      <w:r w:rsidRPr="0006693F">
        <w:t xml:space="preserve">Chapter 8: Grant Administration Standards: Complying with Award Terms </w:t>
      </w:r>
    </w:p>
    <w:p w:rsidR="004674ED" w:rsidRPr="0006693F" w:rsidRDefault="004674ED" w:rsidP="0088668E">
      <w:pPr>
        <w:pStyle w:val="HIPBoxenumlevel"/>
      </w:pPr>
      <w:r w:rsidRPr="004674ED">
        <w:rPr>
          <w:color w:val="008000"/>
        </w:rPr>
        <w:t>•</w:t>
      </w:r>
      <w:r>
        <w:tab/>
      </w:r>
      <w:r w:rsidRPr="0006693F">
        <w:t xml:space="preserve">Chapter 9: Understanding Stakeholder and Media Relations </w:t>
      </w:r>
    </w:p>
    <w:p w:rsidR="004674ED" w:rsidRPr="0006693F" w:rsidRDefault="004674ED" w:rsidP="0088668E">
      <w:pPr>
        <w:pStyle w:val="HIPBoxenumlevel"/>
      </w:pPr>
      <w:r w:rsidRPr="004674ED">
        <w:rPr>
          <w:color w:val="008000"/>
        </w:rPr>
        <w:t>•</w:t>
      </w:r>
      <w:r>
        <w:tab/>
      </w:r>
      <w:r w:rsidRPr="0006693F">
        <w:t xml:space="preserve">Appendix A: BTOP Recipient Master Checklist of Activities </w:t>
      </w:r>
    </w:p>
    <w:p w:rsidR="004674ED" w:rsidRPr="00711CBF" w:rsidRDefault="004674ED" w:rsidP="0088668E">
      <w:pPr>
        <w:pStyle w:val="HIPBoxenumlevel"/>
      </w:pPr>
      <w:r w:rsidRPr="004674ED">
        <w:rPr>
          <w:color w:val="008000"/>
        </w:rPr>
        <w:t>•</w:t>
      </w:r>
      <w:r>
        <w:tab/>
      </w:r>
      <w:r w:rsidRPr="00EC5D7F">
        <w:t>Appendix B: Helpful Resources</w:t>
      </w:r>
      <w:r w:rsidRPr="00711CBF">
        <w:t xml:space="preserve"> </w:t>
      </w:r>
    </w:p>
    <w:p w:rsidR="004674ED" w:rsidRPr="00711CBF" w:rsidRDefault="004674ED" w:rsidP="0088668E">
      <w:pPr>
        <w:pStyle w:val="HIPBoxenumlevel"/>
      </w:pPr>
      <w:r w:rsidRPr="004674ED">
        <w:rPr>
          <w:color w:val="008000"/>
        </w:rPr>
        <w:t>•</w:t>
      </w:r>
      <w:r>
        <w:tab/>
      </w:r>
      <w:r w:rsidRPr="00EC5D7F">
        <w:t>Appendix C: Glossary</w:t>
      </w:r>
      <w:r w:rsidRPr="00711CBF">
        <w:t xml:space="preserve"> </w:t>
      </w:r>
    </w:p>
    <w:p w:rsidR="004674ED" w:rsidRPr="00711CBF" w:rsidRDefault="004674ED" w:rsidP="0088668E">
      <w:pPr>
        <w:pStyle w:val="HIPBoxenumlevel"/>
        <w:rPr>
          <w:rFonts w:ascii="Arial" w:hAnsi="Arial"/>
        </w:rPr>
      </w:pPr>
      <w:r w:rsidRPr="004674ED">
        <w:rPr>
          <w:color w:val="008000"/>
        </w:rPr>
        <w:t>•</w:t>
      </w:r>
      <w:r>
        <w:tab/>
      </w:r>
      <w:r w:rsidRPr="00EC5D7F">
        <w:t>Appendix D: Acronym List</w:t>
      </w:r>
      <w:r w:rsidRPr="00711CBF">
        <w:rPr>
          <w:rFonts w:ascii="Arial" w:hAnsi="Arial"/>
        </w:rPr>
        <w:t xml:space="preserve"> </w:t>
      </w:r>
    </w:p>
    <w:p w:rsidR="004674ED" w:rsidRPr="0006693F" w:rsidRDefault="004674ED" w:rsidP="0088668E">
      <w:pPr>
        <w:pStyle w:val="HIPBoxenumlevel"/>
        <w:rPr>
          <w:rFonts w:ascii="Arial" w:hAnsi="Arial"/>
        </w:rPr>
      </w:pPr>
      <w:r w:rsidRPr="004674ED">
        <w:rPr>
          <w:color w:val="008000"/>
        </w:rPr>
        <w:t>•</w:t>
      </w:r>
      <w:r>
        <w:tab/>
      </w:r>
      <w:r w:rsidRPr="0006693F">
        <w:t>Appendix E: Grantee Environmental Commitment Schedule Checklist</w:t>
      </w:r>
      <w:r w:rsidRPr="0006693F">
        <w:rPr>
          <w:rFonts w:ascii="Arial" w:hAnsi="Arial"/>
        </w:rPr>
        <w:t xml:space="preserve"> </w:t>
      </w:r>
    </w:p>
    <w:p w:rsidR="004674ED" w:rsidRPr="003E798A" w:rsidRDefault="004674ED" w:rsidP="0088668E">
      <w:pPr>
        <w:pStyle w:val="HIPBoxenumlevel"/>
      </w:pPr>
      <w:r w:rsidRPr="004674ED">
        <w:rPr>
          <w:color w:val="008000"/>
        </w:rPr>
        <w:t>•</w:t>
      </w:r>
      <w:r>
        <w:tab/>
      </w:r>
      <w:r w:rsidRPr="00EC5D7F">
        <w:t>Appendix F: Fact Sheets</w:t>
      </w:r>
    </w:p>
    <w:p w:rsidR="0088668E" w:rsidRDefault="0088668E" w:rsidP="004674ED">
      <w:pPr>
        <w:pStyle w:val="HIPNormal"/>
        <w:rPr>
          <w:lang w:val="en-US"/>
        </w:rPr>
      </w:pPr>
    </w:p>
    <w:p w:rsidR="004674ED" w:rsidRDefault="004674ED" w:rsidP="004674ED">
      <w:pPr>
        <w:pStyle w:val="HIPNormal"/>
        <w:rPr>
          <w:lang w:val="en-US"/>
        </w:rPr>
      </w:pPr>
      <w:r>
        <w:rPr>
          <w:lang w:val="en-US"/>
        </w:rPr>
        <w:t xml:space="preserve">In addition, </w:t>
      </w:r>
      <w:r w:rsidRPr="0020371C">
        <w:rPr>
          <w:lang w:val="en-US"/>
        </w:rPr>
        <w:t>confidence in the people appointed to the Board who should be broadly representative, and should not have any financial or processional conflicts of interest</w:t>
      </w:r>
      <w:r>
        <w:rPr>
          <w:lang w:val="en-US"/>
        </w:rPr>
        <w:t xml:space="preserve"> instills trust</w:t>
      </w:r>
      <w:r w:rsidRPr="0020371C">
        <w:rPr>
          <w:lang w:val="en-US"/>
        </w:rPr>
        <w:t>.</w:t>
      </w:r>
      <w:r w:rsidR="005E5682">
        <w:rPr>
          <w:lang w:val="en-US"/>
        </w:rPr>
        <w:t xml:space="preserve"> </w:t>
      </w:r>
    </w:p>
    <w:p w:rsidR="004674ED" w:rsidRPr="0020371C" w:rsidRDefault="004674ED" w:rsidP="004674ED">
      <w:pPr>
        <w:pStyle w:val="HIPNormal"/>
        <w:rPr>
          <w:lang w:val="en-US"/>
        </w:rPr>
      </w:pPr>
      <w:r>
        <w:rPr>
          <w:lang w:val="en-US"/>
        </w:rPr>
        <w:t>T</w:t>
      </w:r>
      <w:r w:rsidRPr="0020371C">
        <w:rPr>
          <w:lang w:val="en-US"/>
        </w:rPr>
        <w:t>he Fund should conduct public consultation processes and request input from the public on major decisions such as auction design, draft RFPs and contracts, and where the Fund is mandated to make recommendations on key policy issues such as definitions of underserved areas, eligible beneficiaries an</w:t>
      </w:r>
      <w:r>
        <w:rPr>
          <w:lang w:val="en-US"/>
        </w:rPr>
        <w:t>d</w:t>
      </w:r>
      <w:r w:rsidRPr="0020371C">
        <w:rPr>
          <w:lang w:val="en-US"/>
        </w:rPr>
        <w:t xml:space="preserve"> eligible bidders. This will promote stakeholder involvement, and buy-in to Fund processes. </w:t>
      </w:r>
    </w:p>
    <w:p w:rsidR="004674ED" w:rsidRPr="0020371C" w:rsidRDefault="004674ED" w:rsidP="004674ED">
      <w:pPr>
        <w:pStyle w:val="HIPNormal"/>
        <w:rPr>
          <w:lang w:val="en-US"/>
        </w:rPr>
      </w:pPr>
      <w:r w:rsidRPr="0020371C">
        <w:rPr>
          <w:lang w:val="en-US"/>
        </w:rPr>
        <w:t xml:space="preserve">Several SADC countries including South Africa, Lesotho and Mozambique have undergone public consultation processes on issues ranging from definitions of the concepts of ‘universal service’ and ‘universal access’, as well as on subsidization projects. </w:t>
      </w:r>
    </w:p>
    <w:p w:rsidR="004674ED" w:rsidRPr="0020371C" w:rsidRDefault="0088668E" w:rsidP="0088668E">
      <w:pPr>
        <w:pStyle w:val="HIPheading4"/>
        <w:rPr>
          <w:rFonts w:eastAsia="Calibri"/>
        </w:rPr>
      </w:pPr>
      <w:bookmarkStart w:id="181" w:name="_Toc284597963"/>
      <w:r>
        <w:t>2.3.</w:t>
      </w:r>
      <w:r w:rsidR="004674ED">
        <w:t>1.3</w:t>
      </w:r>
      <w:r w:rsidR="004674ED">
        <w:tab/>
        <w:t>Efficiency</w:t>
      </w:r>
      <w:bookmarkEnd w:id="181"/>
    </w:p>
    <w:p w:rsidR="004674ED" w:rsidRPr="0020371C" w:rsidRDefault="004674ED" w:rsidP="004674ED">
      <w:pPr>
        <w:pStyle w:val="HIPNormal"/>
        <w:rPr>
          <w:lang w:val="en-US"/>
        </w:rPr>
      </w:pPr>
      <w:r w:rsidRPr="0020371C">
        <w:rPr>
          <w:lang w:val="en-US"/>
        </w:rPr>
        <w:t>Efficiency is a key characteristic of Funds if they are to be effective. This requires at a minimum:</w:t>
      </w:r>
    </w:p>
    <w:p w:rsidR="004674ED" w:rsidRPr="0020371C" w:rsidRDefault="004674ED" w:rsidP="004674ED">
      <w:pPr>
        <w:pStyle w:val="HIPEnumlev1"/>
      </w:pPr>
      <w:r w:rsidRPr="0020371C">
        <w:t>Understanding of the environment and responsiveness</w:t>
      </w:r>
    </w:p>
    <w:p w:rsidR="004674ED" w:rsidRDefault="004674ED" w:rsidP="004674ED">
      <w:pPr>
        <w:pStyle w:val="HIPEnumlev1"/>
      </w:pPr>
      <w:r>
        <w:t>Management autonomy</w:t>
      </w:r>
    </w:p>
    <w:p w:rsidR="004674ED" w:rsidRDefault="004674ED" w:rsidP="004674ED">
      <w:pPr>
        <w:pStyle w:val="HIPEnumlev1"/>
      </w:pPr>
      <w:r>
        <w:t>Sufficient financial resources</w:t>
      </w:r>
    </w:p>
    <w:p w:rsidR="004674ED" w:rsidRDefault="004674ED" w:rsidP="004674ED">
      <w:pPr>
        <w:pStyle w:val="HIPEnumlev1"/>
      </w:pPr>
      <w:r>
        <w:t>Adequate human resources and capacity</w:t>
      </w:r>
    </w:p>
    <w:p w:rsidR="004674ED" w:rsidRDefault="004674ED" w:rsidP="004674ED">
      <w:pPr>
        <w:pStyle w:val="HIPEnumlev1"/>
      </w:pPr>
      <w:r>
        <w:lastRenderedPageBreak/>
        <w:t>Enforcement and dispute resolution powers</w:t>
      </w:r>
    </w:p>
    <w:p w:rsidR="004674ED" w:rsidRDefault="004674ED" w:rsidP="004674ED">
      <w:pPr>
        <w:pStyle w:val="HIPEnumlev1"/>
      </w:pPr>
      <w:r>
        <w:t>Evaluation mechanisms</w:t>
      </w:r>
    </w:p>
    <w:p w:rsidR="004674ED" w:rsidRDefault="004674ED" w:rsidP="004674ED">
      <w:pPr>
        <w:pStyle w:val="HIPNormal"/>
        <w:rPr>
          <w:lang w:val="en-US"/>
        </w:rPr>
      </w:pPr>
      <w:r w:rsidRPr="0020371C">
        <w:rPr>
          <w:lang w:val="en-US"/>
        </w:rPr>
        <w:t xml:space="preserve">An inefficient Fund can be too slow in implementing projects, in which case the steps taken may be inappropriate, too late, or too expensive, amongst others. This is a serious risk in a sector that is as fast </w:t>
      </w:r>
      <w:r>
        <w:rPr>
          <w:lang w:val="en-US"/>
        </w:rPr>
        <w:t xml:space="preserve">paced </w:t>
      </w:r>
      <w:r w:rsidRPr="0020371C">
        <w:rPr>
          <w:lang w:val="en-US"/>
        </w:rPr>
        <w:t>as the ICT sector; and bearing in mind that technologies rolled out could be obsolete or outdated by the time they reach the target community if there is any delay. A global phenomenon</w:t>
      </w:r>
      <w:r>
        <w:rPr>
          <w:lang w:val="en-US"/>
        </w:rPr>
        <w:t>,</w:t>
      </w:r>
      <w:r w:rsidRPr="0020371C">
        <w:rPr>
          <w:lang w:val="en-US"/>
        </w:rPr>
        <w:t xml:space="preserve"> as Funds enter into maturity and many have been in existence since the 1990’s</w:t>
      </w:r>
      <w:r>
        <w:rPr>
          <w:lang w:val="en-US"/>
        </w:rPr>
        <w:t>,</w:t>
      </w:r>
      <w:r w:rsidRPr="0020371C">
        <w:rPr>
          <w:lang w:val="en-US"/>
        </w:rPr>
        <w:t xml:space="preserve"> is that some have collected funds well in excess of their capacity to organise competitive bidding processes and allocate subsidies. In addition to this being attributed to inefficiency, this is also often cited as evidence that there is over-collection since contributions are often fixed and sector revenues are increasing; and also is evidence of miscalculation of t</w:t>
      </w:r>
      <w:r>
        <w:rPr>
          <w:lang w:val="en-US"/>
        </w:rPr>
        <w:t>he countries needs</w:t>
      </w:r>
      <w:r w:rsidRPr="0020371C">
        <w:rPr>
          <w:lang w:val="en-US"/>
        </w:rPr>
        <w:t xml:space="preserve">. The risk of this occurring, and the reality that it has happened in the world and in the region makes it critical to re-emphasize the importance of the Fund statutes providing for evaluation processes, the re-assessment of the levy/contribution required and the assessment of the impact of the Fund from time to time. </w:t>
      </w:r>
    </w:p>
    <w:p w:rsidR="004674ED" w:rsidRPr="007E12FF" w:rsidRDefault="004674ED" w:rsidP="0088668E">
      <w:pPr>
        <w:pStyle w:val="HIPTabletitle"/>
      </w:pPr>
      <w:bookmarkStart w:id="182" w:name="_Toc286146552"/>
      <w:r w:rsidRPr="007E12FF">
        <w:t xml:space="preserve">Table </w:t>
      </w:r>
      <w:r w:rsidR="0088668E">
        <w:t>2.8</w:t>
      </w:r>
      <w:r>
        <w:t>:Case Study</w:t>
      </w:r>
      <w:r w:rsidR="005E5682">
        <w:t xml:space="preserve"> – </w:t>
      </w:r>
      <w:r>
        <w:t>European Union</w:t>
      </w:r>
      <w:bookmarkEnd w:id="1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9198"/>
      </w:tblGrid>
      <w:tr w:rsidR="004674ED" w:rsidRPr="00A3379B" w:rsidTr="00D23660">
        <w:trPr>
          <w:jc w:val="center"/>
        </w:trPr>
        <w:tc>
          <w:tcPr>
            <w:tcW w:w="9198" w:type="dxa"/>
            <w:shd w:val="clear" w:color="auto" w:fill="EAF1DD"/>
          </w:tcPr>
          <w:p w:rsidR="004674ED" w:rsidRPr="00D23660" w:rsidRDefault="004674ED" w:rsidP="00D23660">
            <w:pPr>
              <w:pStyle w:val="HIPTabletext"/>
              <w:jc w:val="left"/>
              <w:rPr>
                <w:rFonts w:eastAsia="Calibri"/>
                <w:b/>
                <w:bCs w:val="0"/>
                <w:lang w:val="en-US"/>
              </w:rPr>
            </w:pPr>
            <w:r w:rsidRPr="00D23660">
              <w:rPr>
                <w:rFonts w:eastAsia="Calibri"/>
                <w:b/>
                <w:bCs w:val="0"/>
                <w:lang w:val="en-US"/>
              </w:rPr>
              <w:t>EU experience with State Aid for financing Broadband</w:t>
            </w:r>
          </w:p>
          <w:p w:rsidR="004674ED" w:rsidRPr="0006693F" w:rsidRDefault="004674ED" w:rsidP="00D23660">
            <w:pPr>
              <w:pStyle w:val="HIPTabletext"/>
              <w:rPr>
                <w:lang w:val="en-US"/>
              </w:rPr>
            </w:pPr>
            <w:r w:rsidRPr="00711CBF">
              <w:rPr>
                <w:lang w:val="en-US"/>
              </w:rPr>
              <w:t xml:space="preserve">In the context of market reform, good </w:t>
            </w:r>
            <w:r w:rsidRPr="00711CBF">
              <w:rPr>
                <w:rFonts w:hint="eastAsia"/>
                <w:lang w:val="en-US"/>
              </w:rPr>
              <w:t>pr</w:t>
            </w:r>
            <w:r w:rsidRPr="00711CBF">
              <w:rPr>
                <w:lang w:val="en-US"/>
              </w:rPr>
              <w:t>a</w:t>
            </w:r>
            <w:r w:rsidRPr="00711CBF">
              <w:rPr>
                <w:rFonts w:hint="eastAsia"/>
                <w:lang w:val="en-US"/>
              </w:rPr>
              <w:t>cti</w:t>
            </w:r>
            <w:r w:rsidRPr="00711CBF">
              <w:rPr>
                <w:lang w:val="en-US"/>
              </w:rPr>
              <w:t>c</w:t>
            </w:r>
            <w:r w:rsidRPr="00711CBF">
              <w:rPr>
                <w:rFonts w:hint="eastAsia"/>
                <w:lang w:val="en-US"/>
              </w:rPr>
              <w:t>e</w:t>
            </w:r>
            <w:r w:rsidRPr="00711CBF">
              <w:rPr>
                <w:lang w:val="en-US"/>
              </w:rPr>
              <w:t xml:space="preserve"> in financing universal access projects using public financing other than Funds in international jurisdictions includes the practice of setting out rules or guidelin</w:t>
            </w:r>
            <w:r>
              <w:rPr>
                <w:lang w:val="en-US"/>
              </w:rPr>
              <w:t>e</w:t>
            </w:r>
            <w:r w:rsidRPr="00711CBF">
              <w:rPr>
                <w:lang w:val="en-US"/>
              </w:rPr>
              <w:t xml:space="preserve">s on the provision of public funding for universal service and access. In the EU, State Aid Guidelines for funding broadband assist in </w:t>
            </w:r>
            <w:r w:rsidRPr="00711CBF">
              <w:rPr>
                <w:rFonts w:hint="eastAsia"/>
                <w:lang w:val="en-US"/>
              </w:rPr>
              <w:t>brin</w:t>
            </w:r>
            <w:r>
              <w:rPr>
                <w:lang w:val="en-US"/>
              </w:rPr>
              <w:t>g</w:t>
            </w:r>
            <w:r w:rsidRPr="00711CBF">
              <w:rPr>
                <w:rFonts w:hint="eastAsia"/>
                <w:lang w:val="en-US"/>
              </w:rPr>
              <w:t>ing</w:t>
            </w:r>
            <w:r w:rsidRPr="00711CBF">
              <w:rPr>
                <w:lang w:val="en-US"/>
              </w:rPr>
              <w:t xml:space="preserve"> universal access and service through th</w:t>
            </w:r>
            <w:r>
              <w:rPr>
                <w:lang w:val="en-US"/>
              </w:rPr>
              <w:t>e presence of clear rules which</w:t>
            </w:r>
            <w:r w:rsidRPr="00711CBF">
              <w:rPr>
                <w:lang w:val="en-US"/>
              </w:rPr>
              <w:t>:</w:t>
            </w:r>
            <w:r w:rsidRPr="0006693F">
              <w:rPr>
                <w:lang w:val="en-US"/>
              </w:rPr>
              <w:t xml:space="preserve"> </w:t>
            </w:r>
          </w:p>
          <w:p w:rsidR="004674ED" w:rsidRPr="0006693F" w:rsidRDefault="00D23660" w:rsidP="00D23660">
            <w:pPr>
              <w:pStyle w:val="HIPTabletext"/>
              <w:ind w:left="709" w:hanging="709"/>
              <w:rPr>
                <w:lang w:val="en-US"/>
              </w:rPr>
            </w:pPr>
            <w:r w:rsidRPr="00D23660">
              <w:rPr>
                <w:color w:val="008000"/>
                <w:lang w:val="en-US"/>
              </w:rPr>
              <w:t>•</w:t>
            </w:r>
            <w:r>
              <w:rPr>
                <w:lang w:val="en-US"/>
              </w:rPr>
              <w:tab/>
            </w:r>
            <w:r w:rsidR="004674ED" w:rsidRPr="0006693F">
              <w:rPr>
                <w:lang w:val="en-US"/>
              </w:rPr>
              <w:t xml:space="preserve">facilitate NGA and broadband investments from public funds in order to bring broadband connectivity to under-served areas. </w:t>
            </w:r>
          </w:p>
          <w:p w:rsidR="004674ED" w:rsidRPr="0006693F" w:rsidRDefault="00D23660" w:rsidP="00D23660">
            <w:pPr>
              <w:pStyle w:val="HIPTabletext"/>
              <w:ind w:left="709" w:hanging="709"/>
              <w:rPr>
                <w:lang w:val="en-US"/>
              </w:rPr>
            </w:pPr>
            <w:r w:rsidRPr="00D23660">
              <w:rPr>
                <w:color w:val="008000"/>
                <w:lang w:val="en-US"/>
              </w:rPr>
              <w:t>•</w:t>
            </w:r>
            <w:r>
              <w:rPr>
                <w:lang w:val="en-US"/>
              </w:rPr>
              <w:tab/>
            </w:r>
            <w:r w:rsidR="004674ED" w:rsidRPr="0006693F">
              <w:rPr>
                <w:lang w:val="en-US"/>
              </w:rPr>
              <w:t xml:space="preserve">Enable the rapid deployment of broadband and especially NGA networks, thus avoiding the creation of a new digital divide. </w:t>
            </w:r>
          </w:p>
          <w:p w:rsidR="004674ED" w:rsidRPr="0006693F" w:rsidRDefault="00D23660" w:rsidP="00D23660">
            <w:pPr>
              <w:pStyle w:val="HIPTabletext"/>
              <w:ind w:left="709" w:hanging="709"/>
              <w:rPr>
                <w:lang w:val="en-US"/>
              </w:rPr>
            </w:pPr>
            <w:r w:rsidRPr="00D23660">
              <w:rPr>
                <w:color w:val="008000"/>
                <w:lang w:val="en-US"/>
              </w:rPr>
              <w:t>•</w:t>
            </w:r>
            <w:r>
              <w:rPr>
                <w:lang w:val="en-US"/>
              </w:rPr>
              <w:tab/>
            </w:r>
            <w:r w:rsidR="004674ED" w:rsidRPr="0006693F">
              <w:rPr>
                <w:lang w:val="en-US"/>
              </w:rPr>
              <w:t>due to the conditions l</w:t>
            </w:r>
            <w:r w:rsidR="004674ED" w:rsidRPr="0006693F">
              <w:rPr>
                <w:rStyle w:val="highlightedsearchterm"/>
                <w:lang w:val="en-US"/>
              </w:rPr>
              <w:t>aid</w:t>
            </w:r>
            <w:r w:rsidR="004674ED" w:rsidRPr="0006693F">
              <w:rPr>
                <w:lang w:val="en-US"/>
              </w:rPr>
              <w:t xml:space="preserve"> down for the granting of </w:t>
            </w:r>
            <w:r w:rsidR="004674ED" w:rsidRPr="0006693F">
              <w:rPr>
                <w:rStyle w:val="highlightedsearchterm"/>
                <w:lang w:val="en-US"/>
              </w:rPr>
              <w:t>state</w:t>
            </w:r>
            <w:r w:rsidR="004674ED" w:rsidRPr="0006693F">
              <w:rPr>
                <w:lang w:val="en-US"/>
              </w:rPr>
              <w:t xml:space="preserve"> </w:t>
            </w:r>
            <w:r w:rsidR="004674ED" w:rsidRPr="0006693F">
              <w:rPr>
                <w:rStyle w:val="highlightedsearchterm"/>
                <w:lang w:val="en-US"/>
              </w:rPr>
              <w:t>aid</w:t>
            </w:r>
            <w:r w:rsidR="004674ED" w:rsidRPr="0006693F">
              <w:rPr>
                <w:lang w:val="en-US"/>
              </w:rPr>
              <w:t xml:space="preserve"> (such as open access, open tenders) allow the maintenance of competition, which will in turn contribute to ensuring better and more broadband services.</w:t>
            </w:r>
          </w:p>
          <w:p w:rsidR="004674ED" w:rsidRPr="0006693F" w:rsidRDefault="004674ED" w:rsidP="00D23660">
            <w:pPr>
              <w:pStyle w:val="HIPTabletext"/>
              <w:rPr>
                <w:lang w:val="en-US"/>
              </w:rPr>
            </w:pPr>
            <w:r w:rsidRPr="0006693F">
              <w:rPr>
                <w:lang w:val="en-US"/>
              </w:rPr>
              <w:t xml:space="preserve">Although historically funding decisions could be made on a case by case basis in the EU, in light of the significant level of </w:t>
            </w:r>
            <w:r w:rsidRPr="005E5682">
              <w:rPr>
                <w:lang w:val="en-US"/>
              </w:rPr>
              <w:t>investments</w:t>
            </w:r>
            <w:r w:rsidRPr="0006693F">
              <w:rPr>
                <w:lang w:val="en-US"/>
              </w:rPr>
              <w:t>, it has been recognised that a level of certainty is required for all stakeholders, hence the need for the Guidelines.</w:t>
            </w:r>
          </w:p>
        </w:tc>
      </w:tr>
    </w:tbl>
    <w:p w:rsidR="004674ED" w:rsidRPr="0020371C" w:rsidRDefault="004674ED" w:rsidP="00D23660">
      <w:pPr>
        <w:pStyle w:val="HIPNormal"/>
        <w:rPr>
          <w:lang w:val="en-US"/>
        </w:rPr>
      </w:pPr>
    </w:p>
    <w:p w:rsidR="0088668E" w:rsidRDefault="0088668E">
      <w:pPr>
        <w:rPr>
          <w:rFonts w:ascii="Calibri" w:hAnsi="Calibri" w:cs="Arial"/>
          <w:b/>
          <w:color w:val="000000"/>
          <w:sz w:val="21"/>
          <w:lang w:val="en-US" w:eastAsia="en-US"/>
        </w:rPr>
      </w:pPr>
      <w:r w:rsidRPr="00DC5333">
        <w:rPr>
          <w:lang w:val="en-US"/>
        </w:rPr>
        <w:br w:type="page"/>
      </w:r>
    </w:p>
    <w:p w:rsidR="00D23660" w:rsidRPr="007E12FF" w:rsidRDefault="0088668E" w:rsidP="0088668E">
      <w:pPr>
        <w:pStyle w:val="HIPBoxquestion"/>
        <w:rPr>
          <w:rFonts w:eastAsia="Calibri"/>
        </w:rPr>
      </w:pPr>
      <w:bookmarkStart w:id="183" w:name="_Toc286146352"/>
      <w:r>
        <w:lastRenderedPageBreak/>
        <w:t xml:space="preserve">Box 2.6: </w:t>
      </w:r>
      <w:r w:rsidR="00D23660" w:rsidRPr="0088668E">
        <w:t>Summary</w:t>
      </w:r>
      <w:r w:rsidR="00D23660" w:rsidRPr="007E12FF">
        <w:t xml:space="preserve"> of Best Practices: Fund Management Principles</w:t>
      </w:r>
      <w:bookmarkEnd w:id="183"/>
    </w:p>
    <w:p w:rsidR="00D23660" w:rsidRPr="003950B6" w:rsidRDefault="00D23660" w:rsidP="0088668E">
      <w:pPr>
        <w:pStyle w:val="HIPBoxNormal"/>
      </w:pPr>
      <w:r w:rsidRPr="003950B6">
        <w:t>Funds must adhere to principles of good governance, accountability, transparency and efficiency. In line with global best practice all operational Funds in SADC should have in place:</w:t>
      </w:r>
    </w:p>
    <w:p w:rsidR="00D23660" w:rsidRPr="003950B6" w:rsidRDefault="00D23660" w:rsidP="0088668E">
      <w:pPr>
        <w:pStyle w:val="HIPBoxenumlevel"/>
      </w:pPr>
      <w:r w:rsidRPr="00D23660">
        <w:rPr>
          <w:color w:val="008000"/>
        </w:rPr>
        <w:t>•</w:t>
      </w:r>
      <w:r>
        <w:tab/>
      </w:r>
      <w:r w:rsidRPr="003950B6">
        <w:t>A Manual of Operating Procedures setting out the Fund rules for procurement, accounting standards, project selection criteria, tendering processes and procedures,</w:t>
      </w:r>
      <w:r w:rsidR="005E5682">
        <w:t xml:space="preserve"> </w:t>
      </w:r>
      <w:r w:rsidRPr="003950B6">
        <w:t>and disbursement procedures, amongst others;</w:t>
      </w:r>
    </w:p>
    <w:p w:rsidR="00D23660" w:rsidRPr="003950B6" w:rsidRDefault="00D23660" w:rsidP="0088668E">
      <w:pPr>
        <w:pStyle w:val="HIPBoxenumlevel"/>
      </w:pPr>
      <w:r w:rsidRPr="00D23660">
        <w:rPr>
          <w:color w:val="008000"/>
        </w:rPr>
        <w:t>•</w:t>
      </w:r>
      <w:r>
        <w:tab/>
      </w:r>
      <w:r w:rsidRPr="003950B6">
        <w:t>A Governance Manual with which its Board and Senior Executives must comply</w:t>
      </w:r>
      <w:r w:rsidR="005E5682">
        <w:t xml:space="preserve"> – </w:t>
      </w:r>
      <w:r w:rsidRPr="003950B6">
        <w:t xml:space="preserve">this may be combined with the Manual of Operating Procedures. It is noted that in some countries this will already be provide within the public sector rules and regulations. The Fund must then make a statement that it adheres to such rules and regulations; </w:t>
      </w:r>
    </w:p>
    <w:p w:rsidR="00D23660" w:rsidRPr="003950B6" w:rsidRDefault="00D23660" w:rsidP="0088668E">
      <w:pPr>
        <w:pStyle w:val="HIPBoxenumlevel"/>
      </w:pPr>
      <w:r w:rsidRPr="00D23660">
        <w:rPr>
          <w:color w:val="008000"/>
        </w:rPr>
        <w:t>•</w:t>
      </w:r>
      <w:r>
        <w:tab/>
      </w:r>
      <w:r w:rsidRPr="003950B6">
        <w:t>Proper financial controls including separate accounting, its own bank account and separate and public financial reporting;</w:t>
      </w:r>
    </w:p>
    <w:p w:rsidR="00D23660" w:rsidRPr="003950B6" w:rsidRDefault="00D23660" w:rsidP="0088668E">
      <w:pPr>
        <w:pStyle w:val="HIPBoxenumlevel"/>
      </w:pPr>
      <w:r w:rsidRPr="00D23660">
        <w:rPr>
          <w:color w:val="008000"/>
        </w:rPr>
        <w:t>•</w:t>
      </w:r>
      <w:r>
        <w:tab/>
      </w:r>
      <w:r w:rsidRPr="003950B6">
        <w:t>Proper reporting in the form of audited annual reports, which are made publically available;</w:t>
      </w:r>
    </w:p>
    <w:p w:rsidR="00D23660" w:rsidRPr="003950B6" w:rsidRDefault="00D23660" w:rsidP="0088668E">
      <w:pPr>
        <w:pStyle w:val="HIPBoxenumlevel"/>
      </w:pPr>
      <w:r w:rsidRPr="00D23660">
        <w:rPr>
          <w:color w:val="008000"/>
        </w:rPr>
        <w:t>•</w:t>
      </w:r>
      <w:r>
        <w:tab/>
      </w:r>
      <w:r w:rsidRPr="003950B6">
        <w:t>Public consultation on key policy and procedural matters to encourage stakeholder buy-in and participation.</w:t>
      </w:r>
    </w:p>
    <w:p w:rsidR="00D23660" w:rsidRPr="003950B6" w:rsidRDefault="00D23660" w:rsidP="0088668E">
      <w:pPr>
        <w:pStyle w:val="HIPBoxenumlevel"/>
      </w:pPr>
      <w:r w:rsidRPr="00D23660">
        <w:rPr>
          <w:color w:val="008000"/>
        </w:rPr>
        <w:t>•</w:t>
      </w:r>
      <w:r>
        <w:tab/>
      </w:r>
      <w:r w:rsidRPr="003950B6">
        <w:t xml:space="preserve">A publically </w:t>
      </w:r>
      <w:r w:rsidRPr="003950B6">
        <w:rPr>
          <w:rFonts w:hint="eastAsia"/>
        </w:rPr>
        <w:t>available</w:t>
      </w:r>
      <w:r w:rsidRPr="003950B6">
        <w:t xml:space="preserve"> source of information on the </w:t>
      </w:r>
      <w:r w:rsidRPr="003950B6">
        <w:rPr>
          <w:rFonts w:hint="eastAsia"/>
        </w:rPr>
        <w:t>application</w:t>
      </w:r>
      <w:r w:rsidRPr="003950B6">
        <w:t xml:space="preserve"> process, eg an application </w:t>
      </w:r>
      <w:r w:rsidRPr="003950B6">
        <w:rPr>
          <w:rFonts w:hint="eastAsia"/>
        </w:rPr>
        <w:t>portal</w:t>
      </w:r>
      <w:r w:rsidRPr="003950B6">
        <w:t xml:space="preserve"> </w:t>
      </w:r>
    </w:p>
    <w:p w:rsidR="004674ED" w:rsidRDefault="004674ED" w:rsidP="00D23660">
      <w:pPr>
        <w:pStyle w:val="HIPNormal"/>
        <w:rPr>
          <w:lang w:val="en-US"/>
        </w:rPr>
      </w:pPr>
    </w:p>
    <w:p w:rsidR="0088668E" w:rsidRPr="00D23660" w:rsidRDefault="0088668E" w:rsidP="0088668E">
      <w:pPr>
        <w:pStyle w:val="HIPBoxquestion"/>
      </w:pPr>
      <w:bookmarkStart w:id="184" w:name="_Toc286146353"/>
      <w:r>
        <w:t xml:space="preserve">Box 2.7: </w:t>
      </w:r>
      <w:r w:rsidRPr="00D23660">
        <w:t>Sample/Reference Material</w:t>
      </w:r>
      <w:bookmarkEnd w:id="184"/>
    </w:p>
    <w:p w:rsidR="0088668E" w:rsidRPr="003950B6" w:rsidRDefault="0088668E" w:rsidP="0088668E">
      <w:pPr>
        <w:pStyle w:val="HIPBoxNormal"/>
      </w:pPr>
      <w:r w:rsidRPr="003950B6">
        <w:t xml:space="preserve">Although this is not an exhaustive list of approaches, the information listed hereunder, may be useful to obtain a better understanding of workable fund management principles. </w:t>
      </w:r>
    </w:p>
    <w:p w:rsidR="0088668E" w:rsidRPr="003950B6" w:rsidRDefault="0088668E" w:rsidP="0088668E">
      <w:pPr>
        <w:pStyle w:val="HIPBoxenumlevel"/>
        <w:jc w:val="left"/>
      </w:pPr>
      <w:r w:rsidRPr="00D23660">
        <w:rPr>
          <w:color w:val="008000"/>
        </w:rPr>
        <w:t>•</w:t>
      </w:r>
      <w:r>
        <w:tab/>
      </w:r>
      <w:r w:rsidRPr="003950B6">
        <w:t>US</w:t>
      </w:r>
      <w:r w:rsidRPr="003950B6">
        <w:rPr>
          <w:rFonts w:hint="eastAsia"/>
        </w:rPr>
        <w:t>’</w:t>
      </w:r>
      <w:r w:rsidRPr="003950B6">
        <w:t xml:space="preserve"> BTOP Recipient Handbook </w:t>
      </w:r>
      <w:r>
        <w:br/>
      </w:r>
      <w:r w:rsidRPr="003950B6">
        <w:t>(</w:t>
      </w:r>
      <w:hyperlink r:id="rId46" w:anchor="Chapter5" w:history="1">
        <w:r w:rsidRPr="003950B6">
          <w:rPr>
            <w:rStyle w:val="Hyperlink"/>
          </w:rPr>
          <w:t>http://www2.ntia.doc.gov/files/Recipient_Handbook_v1.1_122110.pdf#Chapter5</w:t>
        </w:r>
      </w:hyperlink>
      <w:r w:rsidRPr="003950B6">
        <w:t xml:space="preserve">) </w:t>
      </w:r>
    </w:p>
    <w:p w:rsidR="0088668E" w:rsidRPr="003950B6" w:rsidRDefault="0088668E" w:rsidP="0088668E">
      <w:pPr>
        <w:pStyle w:val="HIPBoxenumlevel"/>
        <w:jc w:val="left"/>
      </w:pPr>
      <w:r w:rsidRPr="00D23660">
        <w:rPr>
          <w:color w:val="008000"/>
        </w:rPr>
        <w:t>•</w:t>
      </w:r>
      <w:r>
        <w:tab/>
      </w:r>
      <w:r w:rsidRPr="003950B6">
        <w:t>US</w:t>
      </w:r>
      <w:r w:rsidRPr="003950B6">
        <w:rPr>
          <w:rFonts w:hint="eastAsia"/>
        </w:rPr>
        <w:t>’</w:t>
      </w:r>
      <w:r w:rsidRPr="003950B6">
        <w:t xml:space="preserve"> BTOP, Overview of Grant Awards (2009),</w:t>
      </w:r>
      <w:r>
        <w:br/>
      </w:r>
      <w:hyperlink r:id="rId47" w:history="1">
        <w:r w:rsidRPr="007B1A5B">
          <w:rPr>
            <w:rStyle w:val="Hyperlink"/>
          </w:rPr>
          <w:t>www.ntia.doc.gov/reports/2010/NTIA_Report_on_BTOP_12142010.pdf</w:t>
        </w:r>
      </w:hyperlink>
      <w:r>
        <w:t xml:space="preserve"> </w:t>
      </w:r>
    </w:p>
    <w:p w:rsidR="0088668E" w:rsidRPr="003950B6" w:rsidRDefault="0088668E" w:rsidP="0088668E">
      <w:pPr>
        <w:pStyle w:val="HIPBoxenumlevel"/>
      </w:pPr>
      <w:r w:rsidRPr="00D23660">
        <w:rPr>
          <w:color w:val="008000"/>
        </w:rPr>
        <w:t>•</w:t>
      </w:r>
      <w:r>
        <w:tab/>
      </w:r>
      <w:r w:rsidRPr="003950B6">
        <w:t xml:space="preserve">Pakistan USF Rules, amended in 2007 </w:t>
      </w:r>
      <w:r>
        <w:t>–</w:t>
      </w:r>
      <w:r w:rsidRPr="003950B6">
        <w:t xml:space="preserve"> </w:t>
      </w:r>
      <w:hyperlink r:id="rId48" w:history="1">
        <w:r w:rsidRPr="007B1A5B">
          <w:rPr>
            <w:rStyle w:val="Hyperlink"/>
          </w:rPr>
          <w:t>www.usf.org.pk/Rules-Policies.aspx</w:t>
        </w:r>
      </w:hyperlink>
      <w:r w:rsidRPr="003950B6">
        <w:t xml:space="preserve"> </w:t>
      </w:r>
    </w:p>
    <w:p w:rsidR="0088668E" w:rsidRPr="003950B6" w:rsidRDefault="0088668E" w:rsidP="0088668E">
      <w:pPr>
        <w:pStyle w:val="HIPBoxenumlevel"/>
      </w:pPr>
      <w:r w:rsidRPr="00D23660">
        <w:rPr>
          <w:color w:val="008000"/>
        </w:rPr>
        <w:t>•</w:t>
      </w:r>
      <w:r>
        <w:tab/>
      </w:r>
      <w:r w:rsidRPr="003950B6">
        <w:t>Uganda (RCDF)</w:t>
      </w:r>
      <w:r>
        <w:t xml:space="preserve"> </w:t>
      </w:r>
      <w:r w:rsidRPr="003950B6">
        <w:t>Manual of Operating Procedures Table of Contents (Annex 2)</w:t>
      </w:r>
    </w:p>
    <w:p w:rsidR="0088668E" w:rsidRPr="003950B6" w:rsidRDefault="0088668E" w:rsidP="0088668E">
      <w:pPr>
        <w:pStyle w:val="HIPBoxenumlevel"/>
        <w:jc w:val="left"/>
      </w:pPr>
      <w:r w:rsidRPr="00D23660">
        <w:rPr>
          <w:color w:val="008000"/>
        </w:rPr>
        <w:t>•</w:t>
      </w:r>
      <w:r>
        <w:tab/>
      </w:r>
      <w:r w:rsidRPr="003950B6">
        <w:t>USAASA Annual Reports for 2006/7, 2007/8, and 2008/9</w:t>
      </w:r>
      <w:r>
        <w:t xml:space="preserve"> – </w:t>
      </w:r>
      <w:r>
        <w:br/>
      </w:r>
      <w:hyperlink r:id="rId49" w:history="1">
        <w:r w:rsidRPr="003950B6">
          <w:rPr>
            <w:rStyle w:val="Hyperlink"/>
          </w:rPr>
          <w:t>http://www.usaasa.org.za/index.php?q=publications,1</w:t>
        </w:r>
      </w:hyperlink>
      <w:r w:rsidRPr="003950B6">
        <w:t xml:space="preserve"> </w:t>
      </w:r>
    </w:p>
    <w:p w:rsidR="0088668E" w:rsidRPr="003950B6" w:rsidRDefault="0088668E" w:rsidP="0088668E">
      <w:pPr>
        <w:pStyle w:val="HIPBoxenumlevel"/>
        <w:jc w:val="left"/>
      </w:pPr>
      <w:r w:rsidRPr="00D23660">
        <w:rPr>
          <w:color w:val="008000"/>
        </w:rPr>
        <w:t>•</w:t>
      </w:r>
      <w:r>
        <w:tab/>
      </w:r>
      <w:r w:rsidRPr="003950B6">
        <w:t xml:space="preserve">Web Portal for Applications for Broadband Funding, United States </w:t>
      </w:r>
      <w:r>
        <w:br/>
      </w:r>
      <w:hyperlink r:id="rId50" w:history="1">
        <w:r w:rsidRPr="007B1A5B">
          <w:rPr>
            <w:rStyle w:val="Hyperlink"/>
          </w:rPr>
          <w:t>http://www.broadbandusa.gov/</w:t>
        </w:r>
      </w:hyperlink>
      <w:r>
        <w:t xml:space="preserve"> </w:t>
      </w:r>
    </w:p>
    <w:p w:rsidR="0088668E" w:rsidRPr="003950B6" w:rsidRDefault="0088668E" w:rsidP="0088668E">
      <w:pPr>
        <w:pStyle w:val="HIPBoxenumlevel"/>
        <w:jc w:val="left"/>
      </w:pPr>
      <w:r w:rsidRPr="00D23660">
        <w:rPr>
          <w:color w:val="008000"/>
        </w:rPr>
        <w:t>•</w:t>
      </w:r>
      <w:r>
        <w:tab/>
      </w:r>
      <w:r w:rsidRPr="003950B6">
        <w:t xml:space="preserve">American Policy of Audit Reporting by RUS Borrowers (2001) </w:t>
      </w:r>
      <w:r>
        <w:br/>
      </w:r>
      <w:hyperlink r:id="rId51" w:history="1">
        <w:r w:rsidRPr="007B1A5B">
          <w:rPr>
            <w:rStyle w:val="Hyperlink"/>
          </w:rPr>
          <w:t>www.usda.gov/rus/8-3-2007work/1773-1.pdf</w:t>
        </w:r>
      </w:hyperlink>
      <w:r>
        <w:t xml:space="preserve"> </w:t>
      </w:r>
    </w:p>
    <w:p w:rsidR="0088668E" w:rsidRPr="003950B6" w:rsidRDefault="0088668E" w:rsidP="0088668E">
      <w:pPr>
        <w:pStyle w:val="HIPBoxenumlevel"/>
      </w:pPr>
      <w:r w:rsidRPr="00D23660">
        <w:rPr>
          <w:color w:val="008000"/>
        </w:rPr>
        <w:t>•</w:t>
      </w:r>
      <w:r>
        <w:tab/>
      </w:r>
      <w:r w:rsidRPr="003950B6">
        <w:t>Australian Requirements for Annual Reports (template for government department</w:t>
      </w:r>
      <w:r>
        <w:t>s, universal service specific) –</w:t>
      </w:r>
      <w:r w:rsidRPr="003950B6">
        <w:t xml:space="preserve"> </w:t>
      </w:r>
      <w:hyperlink r:id="rId52" w:history="1">
        <w:r w:rsidRPr="007B1A5B">
          <w:rPr>
            <w:rStyle w:val="Hyperlink"/>
          </w:rPr>
          <w:t>www.dpmc.gov.au/guidelines/docs/annual_report_requirements.pdf</w:t>
        </w:r>
      </w:hyperlink>
      <w:r w:rsidRPr="003950B6">
        <w:t xml:space="preserve"> </w:t>
      </w:r>
    </w:p>
    <w:p w:rsidR="0088668E" w:rsidRPr="003950B6" w:rsidRDefault="0088668E" w:rsidP="0088668E">
      <w:pPr>
        <w:pStyle w:val="HIPBoxenumlevel"/>
        <w:jc w:val="left"/>
      </w:pPr>
      <w:r w:rsidRPr="00D23660">
        <w:rPr>
          <w:color w:val="008000"/>
        </w:rPr>
        <w:t>•</w:t>
      </w:r>
      <w:r>
        <w:tab/>
      </w:r>
      <w:r w:rsidRPr="003950B6">
        <w:t xml:space="preserve">European Commission website setting out consultation process for Broadband Guidelines on the application of EU state aid rules to public funding of broadband networks </w:t>
      </w:r>
      <w:r>
        <w:br/>
      </w:r>
      <w:hyperlink r:id="rId53" w:history="1">
        <w:r w:rsidRPr="003950B6">
          <w:rPr>
            <w:rStyle w:val="Hyperlink"/>
          </w:rPr>
          <w:t>http://ec.europa.eu/competition/consultations/2009_broadband_guidelines/index.html</w:t>
        </w:r>
      </w:hyperlink>
      <w:r w:rsidRPr="003950B6">
        <w:t xml:space="preserve"> </w:t>
      </w:r>
    </w:p>
    <w:p w:rsidR="0088668E" w:rsidRDefault="0088668E" w:rsidP="00D23660">
      <w:pPr>
        <w:pStyle w:val="HIPNormal"/>
        <w:rPr>
          <w:lang w:val="en-US"/>
        </w:rPr>
      </w:pPr>
    </w:p>
    <w:p w:rsidR="00D23660" w:rsidRDefault="00D23660">
      <w:pPr>
        <w:rPr>
          <w:rFonts w:ascii="Calibri" w:hAnsi="Calibri" w:cs="Arial"/>
          <w:color w:val="000000"/>
          <w:sz w:val="21"/>
          <w:lang w:val="en-US"/>
        </w:rPr>
      </w:pPr>
      <w:r>
        <w:rPr>
          <w:lang w:val="en-US"/>
        </w:rPr>
        <w:br w:type="page"/>
      </w:r>
    </w:p>
    <w:p w:rsidR="003D2DD5" w:rsidRPr="00F95631" w:rsidRDefault="0088668E" w:rsidP="0088668E">
      <w:pPr>
        <w:pStyle w:val="HIPHeading2"/>
        <w:rPr>
          <w:rFonts w:eastAsia="Calibri"/>
        </w:rPr>
      </w:pPr>
      <w:bookmarkStart w:id="185" w:name="_Toc281459554"/>
      <w:bookmarkStart w:id="186" w:name="_Toc284597964"/>
      <w:bookmarkStart w:id="187" w:name="_Toc286144963"/>
      <w:r>
        <w:lastRenderedPageBreak/>
        <w:t>2.4</w:t>
      </w:r>
      <w:r>
        <w:tab/>
      </w:r>
      <w:r w:rsidR="003D2DD5" w:rsidRPr="00F95631">
        <w:t xml:space="preserve">SOURCES OF </w:t>
      </w:r>
      <w:r w:rsidR="003D2DD5">
        <w:t xml:space="preserve">USAF </w:t>
      </w:r>
      <w:r w:rsidR="003D2DD5" w:rsidRPr="00F95631">
        <w:t>FUNDING</w:t>
      </w:r>
      <w:bookmarkStart w:id="188" w:name="_Toc281459555"/>
      <w:bookmarkEnd w:id="185"/>
      <w:bookmarkEnd w:id="186"/>
      <w:bookmarkEnd w:id="187"/>
    </w:p>
    <w:p w:rsidR="003D2DD5" w:rsidRPr="00F95631" w:rsidRDefault="0088668E" w:rsidP="0088668E">
      <w:pPr>
        <w:pStyle w:val="HIPheading3"/>
        <w:rPr>
          <w:rFonts w:eastAsia="Calibri"/>
        </w:rPr>
      </w:pPr>
      <w:bookmarkStart w:id="189" w:name="_Toc284597965"/>
      <w:bookmarkStart w:id="190" w:name="_Toc286144964"/>
      <w:r>
        <w:t>2.4.</w:t>
      </w:r>
      <w:r w:rsidR="003D2DD5">
        <w:t>1</w:t>
      </w:r>
      <w:r w:rsidR="003D2DD5">
        <w:tab/>
      </w:r>
      <w:r w:rsidR="003D2DD5" w:rsidRPr="00F95631">
        <w:t>Global Experiences</w:t>
      </w:r>
      <w:bookmarkEnd w:id="188"/>
      <w:r w:rsidR="003D2DD5">
        <w:t xml:space="preserve"> and Good Practice</w:t>
      </w:r>
      <w:bookmarkEnd w:id="189"/>
      <w:bookmarkEnd w:id="190"/>
    </w:p>
    <w:p w:rsidR="003D2DD5" w:rsidRPr="00F95631" w:rsidRDefault="003D2DD5" w:rsidP="003D2DD5">
      <w:pPr>
        <w:pStyle w:val="HIPNormal"/>
        <w:rPr>
          <w:lang w:val="en-US"/>
        </w:rPr>
      </w:pPr>
      <w:r w:rsidRPr="00F95631">
        <w:rPr>
          <w:lang w:val="en-US"/>
        </w:rPr>
        <w:t xml:space="preserve">Universal Service and Access Funds are generally financed from one or more of the following sources: </w:t>
      </w:r>
    </w:p>
    <w:p w:rsidR="003D2DD5" w:rsidRPr="00F95631" w:rsidRDefault="003D2DD5" w:rsidP="003D2DD5">
      <w:pPr>
        <w:pStyle w:val="HIPEnumlev1"/>
      </w:pPr>
      <w:r w:rsidRPr="00F95631">
        <w:rPr>
          <w:b/>
          <w:bCs/>
        </w:rPr>
        <w:t>Government general budget,</w:t>
      </w:r>
      <w:r w:rsidR="005E5682">
        <w:rPr>
          <w:b/>
          <w:bCs/>
        </w:rPr>
        <w:t xml:space="preserve"> </w:t>
      </w:r>
      <w:r w:rsidRPr="00F95631">
        <w:t xml:space="preserve">in a minority of cases, including one of the first funds, Chile’s Fondo de Desarrollo de las Telecomunicaciones; </w:t>
      </w:r>
    </w:p>
    <w:p w:rsidR="003D2DD5" w:rsidRPr="00F95631" w:rsidRDefault="003D2DD5" w:rsidP="003D2DD5">
      <w:pPr>
        <w:pStyle w:val="HIPEnumlev1"/>
      </w:pPr>
      <w:r w:rsidRPr="00F95631">
        <w:rPr>
          <w:b/>
          <w:bCs/>
        </w:rPr>
        <w:t>Levy imposed on industry</w:t>
      </w:r>
      <w:r w:rsidRPr="00F95631">
        <w:t xml:space="preserve">, as a percentage of annual revenue, on certain classes of licensed operators, this is the approach followed in the countries such as the USA, Malaysia and India; </w:t>
      </w:r>
    </w:p>
    <w:p w:rsidR="003D2DD5" w:rsidRPr="00F95631" w:rsidRDefault="003D2DD5" w:rsidP="003D2DD5">
      <w:pPr>
        <w:pStyle w:val="HIPEnumlev1"/>
        <w:rPr>
          <w:b/>
          <w:bCs/>
        </w:rPr>
      </w:pPr>
      <w:r w:rsidRPr="00F95631">
        <w:rPr>
          <w:b/>
          <w:bCs/>
        </w:rPr>
        <w:t>Regulatory sources</w:t>
      </w:r>
      <w:r w:rsidRPr="00F95631">
        <w:t xml:space="preserve"> such as the proceeds of license competitions, frequency spectrum auctions and fees. The Guatemalan Fund is an example of this approach. Additionally in Australia, 5% of the proceeds of the privatization of Telstra were used to fund rural development; and </w:t>
      </w:r>
    </w:p>
    <w:p w:rsidR="003D2DD5" w:rsidRPr="00F95631" w:rsidRDefault="003D2DD5" w:rsidP="003D2DD5">
      <w:pPr>
        <w:pStyle w:val="HIPEnumlev1"/>
      </w:pPr>
      <w:r w:rsidRPr="00F95631">
        <w:rPr>
          <w:b/>
          <w:bCs/>
        </w:rPr>
        <w:t>Once-only contributions</w:t>
      </w:r>
      <w:r w:rsidRPr="00F95631">
        <w:t xml:space="preserve"> from government, financed by loans or grants from international donors such as the World Bank, contributing </w:t>
      </w:r>
      <w:r w:rsidRPr="00F95631">
        <w:rPr>
          <w:b/>
          <w:bCs/>
        </w:rPr>
        <w:t>seed finance</w:t>
      </w:r>
      <w:r w:rsidRPr="00F95631">
        <w:t xml:space="preserve"> to assist USAF start-up in the early years.</w:t>
      </w:r>
    </w:p>
    <w:p w:rsidR="003D2DD5" w:rsidRDefault="003D2DD5" w:rsidP="003D2DD5">
      <w:pPr>
        <w:pStyle w:val="HIPEnumlev1"/>
      </w:pPr>
      <w:r w:rsidRPr="00F95631">
        <w:rPr>
          <w:b/>
          <w:bCs/>
        </w:rPr>
        <w:t>Consumers</w:t>
      </w:r>
      <w:r w:rsidRPr="00F95631">
        <w:t xml:space="preserve"> – direct or indirect levy on consumers of communications services, for example through a direct levy on the consumers’ phone bill. The French and US Funds use this form of funding, amongst others;</w:t>
      </w:r>
    </w:p>
    <w:p w:rsidR="003D2DD5" w:rsidRDefault="003D2DD5" w:rsidP="003D2DD5">
      <w:pPr>
        <w:pStyle w:val="HIPNormal"/>
        <w:rPr>
          <w:lang w:val="en-US"/>
        </w:rPr>
      </w:pPr>
      <w:r w:rsidRPr="00F95631">
        <w:rPr>
          <w:lang w:val="en-US"/>
        </w:rPr>
        <w:t>Whatever funding mechanism is selected</w:t>
      </w:r>
      <w:r>
        <w:rPr>
          <w:lang w:val="en-US"/>
        </w:rPr>
        <w:t xml:space="preserve"> by CRASA Member States</w:t>
      </w:r>
      <w:r w:rsidRPr="00F95631">
        <w:rPr>
          <w:lang w:val="en-US"/>
        </w:rPr>
        <w:t xml:space="preserve">, it must be carefully structured and targeted to limit market distortion. The legal instruments establishing most USAFs typically name all </w:t>
      </w:r>
      <w:r>
        <w:rPr>
          <w:lang w:val="en-US"/>
        </w:rPr>
        <w:t>of the above potential sources. T</w:t>
      </w:r>
      <w:r w:rsidRPr="00F95631">
        <w:rPr>
          <w:lang w:val="en-US"/>
        </w:rPr>
        <w:t>he primary source of funding globally tends to be through annual operator levies</w:t>
      </w:r>
      <w:r>
        <w:rPr>
          <w:lang w:val="en-US"/>
        </w:rPr>
        <w:t>.</w:t>
      </w:r>
    </w:p>
    <w:p w:rsidR="003D2DD5" w:rsidRPr="00F95631" w:rsidRDefault="003D2DD5" w:rsidP="003D2DD5">
      <w:pPr>
        <w:pStyle w:val="HIPNormal"/>
        <w:rPr>
          <w:lang w:val="en-US"/>
        </w:rPr>
      </w:pPr>
      <w:r w:rsidRPr="00F95631">
        <w:rPr>
          <w:lang w:val="en-US"/>
        </w:rPr>
        <w:t xml:space="preserve">It is argued that a USAF financed mainly by operator levies typically is easy to administer, it is also independent of available government funding, and therefore particularly attractive for developing countries with limited state resources and competing developmental priorities for the governments limited resources in other sectors such as health, education and housing. However, were it is possible, contributions from the government budget, and other sources, to the USAF areencouraged. </w:t>
      </w:r>
    </w:p>
    <w:p w:rsidR="003D2DD5" w:rsidRDefault="003D2DD5" w:rsidP="003D2DD5">
      <w:pPr>
        <w:pStyle w:val="HIPNormal"/>
        <w:rPr>
          <w:lang w:val="en-US"/>
        </w:rPr>
      </w:pPr>
      <w:r w:rsidRPr="00F95631">
        <w:rPr>
          <w:lang w:val="en-US"/>
        </w:rPr>
        <w:t xml:space="preserve">In some countries an argument has been made for the use of part of the proceeds of frequency spectrum auctions and licensing processes to contribute to the funding for a USAF. An example is </w:t>
      </w:r>
      <w:r>
        <w:rPr>
          <w:lang w:val="en-US"/>
        </w:rPr>
        <w:tab/>
      </w:r>
      <w:r w:rsidRPr="00F95631">
        <w:rPr>
          <w:lang w:val="en-US"/>
        </w:rPr>
        <w:t>Guatemala’s FONDETEL which was partially funded in this manner</w:t>
      </w:r>
      <w:r>
        <w:rPr>
          <w:lang w:val="en-US"/>
        </w:rPr>
        <w:t xml:space="preserve"> as well as the e-Opportunidades programme introduced by the Portuguese Government, which is funded by the proceeds of the 3G auction</w:t>
      </w:r>
      <w:r>
        <w:rPr>
          <w:rStyle w:val="FootnoteReference"/>
          <w:lang w:val="en-US"/>
        </w:rPr>
        <w:footnoteReference w:id="34"/>
      </w:r>
      <w:r w:rsidRPr="00F95631">
        <w:rPr>
          <w:lang w:val="en-US"/>
        </w:rPr>
        <w:t>. Possibilities for application of this approach in SADC are considered in the next section.</w:t>
      </w:r>
    </w:p>
    <w:p w:rsidR="003D2DD5" w:rsidRDefault="003D2DD5" w:rsidP="003D2DD5">
      <w:pPr>
        <w:pStyle w:val="HIPNormal"/>
        <w:rPr>
          <w:lang w:val="en-US"/>
        </w:rPr>
      </w:pPr>
      <w:r w:rsidRPr="00F95631">
        <w:rPr>
          <w:lang w:val="en-US"/>
        </w:rPr>
        <w:t>Each country can evaluate which mix of financing might be available and appropriate for the UAS policy implementation. This will be informed by the framework and also the demand. Regardless of the approach taken, it is critical for sustainability of the Fund that the funding mechanism is predictable, and that the timing and the frequency of the funding allows proper planning and regularity for the implementation of prog</w:t>
      </w:r>
      <w:r>
        <w:rPr>
          <w:lang w:val="en-US"/>
        </w:rPr>
        <w:t xml:space="preserve">rammes and projects. </w:t>
      </w:r>
    </w:p>
    <w:p w:rsidR="0088668E" w:rsidRDefault="0088668E">
      <w:pPr>
        <w:rPr>
          <w:rFonts w:ascii="Calibri" w:hAnsi="Calibri" w:cs="Helvetica"/>
          <w:b/>
          <w:bCs/>
          <w:color w:val="008000"/>
          <w:sz w:val="24"/>
          <w:szCs w:val="32"/>
          <w:lang w:val="en-US"/>
        </w:rPr>
      </w:pPr>
      <w:bookmarkStart w:id="191" w:name="_Toc281459556"/>
      <w:bookmarkStart w:id="192" w:name="_Toc284597966"/>
      <w:r w:rsidRPr="00DC5333">
        <w:rPr>
          <w:lang w:val="en-US"/>
        </w:rPr>
        <w:br w:type="page"/>
      </w:r>
    </w:p>
    <w:p w:rsidR="003D2DD5" w:rsidRPr="00F95631" w:rsidRDefault="0088668E" w:rsidP="0088668E">
      <w:pPr>
        <w:pStyle w:val="HIPheading3"/>
        <w:rPr>
          <w:rFonts w:eastAsia="Calibri"/>
        </w:rPr>
      </w:pPr>
      <w:bookmarkStart w:id="193" w:name="_Toc286144965"/>
      <w:r>
        <w:lastRenderedPageBreak/>
        <w:t>2.4.</w:t>
      </w:r>
      <w:r w:rsidR="003D2DD5">
        <w:t>2</w:t>
      </w:r>
      <w:r w:rsidR="003D2DD5">
        <w:tab/>
      </w:r>
      <w:r w:rsidR="003D2DD5" w:rsidRPr="00F95631">
        <w:t>SADC Experiences</w:t>
      </w:r>
      <w:bookmarkEnd w:id="191"/>
      <w:bookmarkEnd w:id="192"/>
      <w:bookmarkEnd w:id="193"/>
    </w:p>
    <w:p w:rsidR="003D2DD5" w:rsidRPr="00F95631" w:rsidRDefault="003D2DD5" w:rsidP="003D2DD5">
      <w:pPr>
        <w:pStyle w:val="HIPNormal"/>
        <w:rPr>
          <w:lang w:val="en-US"/>
        </w:rPr>
      </w:pPr>
      <w:r w:rsidRPr="00F95631">
        <w:rPr>
          <w:lang w:val="en-US"/>
        </w:rPr>
        <w:t>In the SADC region, the legal instruments establishing most USAFs typically name all of the above potential sources. In practice, all methods have been explored with Botswana’s BTA having provided surplus license fee income to the Fund in 2007, and Lesotho’s LCA providing seed capital of US$1.25m</w:t>
      </w:r>
      <w:r>
        <w:rPr>
          <w:rStyle w:val="FootnoteReference"/>
        </w:rPr>
        <w:footnoteReference w:id="35"/>
      </w:r>
      <w:r w:rsidRPr="00F95631">
        <w:rPr>
          <w:lang w:val="en-US"/>
        </w:rPr>
        <w:t>; countries like Tanzania and Malawi</w:t>
      </w:r>
      <w:r>
        <w:rPr>
          <w:rStyle w:val="FootnoteReference"/>
        </w:rPr>
        <w:footnoteReference w:id="36"/>
      </w:r>
      <w:r w:rsidRPr="00F95631">
        <w:rPr>
          <w:lang w:val="en-US"/>
        </w:rPr>
        <w:t xml:space="preserve"> having received seed funding from the World Bank in 2009/10; and South Africa, Swaziland</w:t>
      </w:r>
      <w:r>
        <w:rPr>
          <w:rStyle w:val="FootnoteReference"/>
        </w:rPr>
        <w:footnoteReference w:id="37"/>
      </w:r>
      <w:r w:rsidRPr="00F95631">
        <w:rPr>
          <w:lang w:val="en-US"/>
        </w:rPr>
        <w:t>, Tanzania, Lesotho and Zimbabwe, amongst others, having set levies for operator contributions ranging from 0.2 percent of annual turnover to 5 percent. The primary source of funding in the region tends to be through annual operator levies.</w:t>
      </w:r>
      <w:r w:rsidR="005E5682">
        <w:rPr>
          <w:lang w:val="en-US"/>
        </w:rPr>
        <w:t xml:space="preserve"> </w:t>
      </w:r>
    </w:p>
    <w:p w:rsidR="003D2DD5" w:rsidRPr="00F95631" w:rsidRDefault="003D2DD5" w:rsidP="003D2DD5">
      <w:pPr>
        <w:pStyle w:val="HIPNormal"/>
        <w:rPr>
          <w:lang w:val="en-US"/>
        </w:rPr>
      </w:pPr>
      <w:r w:rsidRPr="00F95631">
        <w:rPr>
          <w:lang w:val="en-US"/>
        </w:rPr>
        <w:t>SADC experience is that typically, all major operators, fixed and mobile, are required to contribute to the Fund. DRC is a notable exception where it is reported that only mobile operators make a USAF contribution. In light of increasingly converged licensing and regulatory regimes, in more and more cases (e.g., South Africa, Tanzania) “licensees” are defined broadly and ISPs and even post and courier companies have been required to contribute.</w:t>
      </w:r>
      <w:r w:rsidR="005E5682">
        <w:rPr>
          <w:lang w:val="en-US"/>
        </w:rPr>
        <w:t xml:space="preserve"> </w:t>
      </w:r>
      <w:r w:rsidRPr="00F95631">
        <w:rPr>
          <w:lang w:val="en-US"/>
        </w:rPr>
        <w:t>This is consistent with the approach taken in other African countries like Kenya and Uganda. In the South African case broadcasting licensees also contribute to the Fund or offset the contribution against a contribution to a broadcasting sector Media Development and Diversity Fund (“MDDA”).</w:t>
      </w:r>
    </w:p>
    <w:p w:rsidR="003D2DD5" w:rsidRDefault="003D2DD5" w:rsidP="003D2DD5">
      <w:pPr>
        <w:pStyle w:val="HIPNormal"/>
        <w:rPr>
          <w:lang w:val="en-US"/>
        </w:rPr>
      </w:pPr>
      <w:r>
        <w:rPr>
          <w:lang w:val="en-US"/>
        </w:rPr>
        <w:t xml:space="preserve">Funding from spectrum and licensing processes is an option in </w:t>
      </w:r>
      <w:r>
        <w:rPr>
          <w:rFonts w:hint="eastAsia"/>
          <w:lang w:val="en-US"/>
        </w:rPr>
        <w:t>countries</w:t>
      </w:r>
      <w:r>
        <w:rPr>
          <w:lang w:val="en-US"/>
        </w:rPr>
        <w:t xml:space="preserve"> where there is </w:t>
      </w:r>
      <w:r>
        <w:rPr>
          <w:rFonts w:hint="eastAsia"/>
          <w:lang w:val="en-US"/>
        </w:rPr>
        <w:t>spectrum</w:t>
      </w:r>
      <w:r>
        <w:rPr>
          <w:lang w:val="en-US"/>
        </w:rPr>
        <w:t xml:space="preserve"> available and where licesing processes will soon be underway. This is likely for the licensing of new technologies such as Wimax and LTE in the region.</w:t>
      </w:r>
    </w:p>
    <w:p w:rsidR="003D2DD5" w:rsidRPr="00F95631" w:rsidRDefault="003D2DD5" w:rsidP="003D2DD5">
      <w:pPr>
        <w:pStyle w:val="HIPNormal"/>
        <w:rPr>
          <w:lang w:val="en-US"/>
        </w:rPr>
      </w:pPr>
      <w:r w:rsidRPr="00F95631">
        <w:rPr>
          <w:lang w:val="en-US"/>
        </w:rPr>
        <w:t>In light of the identification of the key challenge in SADC being the disbursement of funds and the implementation of projects, as opposed to the collection of Funds, this section provides an overview simply for completeness.</w:t>
      </w:r>
    </w:p>
    <w:p w:rsidR="003D2DD5" w:rsidRPr="00F95631" w:rsidRDefault="003D2DD5" w:rsidP="0088668E">
      <w:pPr>
        <w:pStyle w:val="HIPTabletitle"/>
      </w:pPr>
      <w:bookmarkStart w:id="194" w:name="_Toc286146553"/>
      <w:r w:rsidRPr="00F95631">
        <w:t xml:space="preserve">Table </w:t>
      </w:r>
      <w:r w:rsidR="0088668E">
        <w:rPr>
          <w:noProof/>
        </w:rPr>
        <w:t>2.9</w:t>
      </w:r>
      <w:r w:rsidRPr="00F95631">
        <w:t>: South African Case Study of Fund Collection and Disbursement</w:t>
      </w:r>
      <w:bookmarkEnd w:id="1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9287"/>
      </w:tblGrid>
      <w:tr w:rsidR="003D2DD5" w:rsidRPr="00A3379B" w:rsidTr="00A72D2A">
        <w:tc>
          <w:tcPr>
            <w:tcW w:w="9576" w:type="dxa"/>
            <w:shd w:val="clear" w:color="auto" w:fill="EAF1DD"/>
          </w:tcPr>
          <w:p w:rsidR="003D2DD5" w:rsidRPr="00F95631" w:rsidRDefault="003D2DD5" w:rsidP="003D2DD5">
            <w:pPr>
              <w:pStyle w:val="HIPTabletext"/>
              <w:rPr>
                <w:lang w:val="en-US"/>
              </w:rPr>
            </w:pPr>
            <w:r w:rsidRPr="00F95631">
              <w:rPr>
                <w:lang w:val="en-US"/>
              </w:rPr>
              <w:t>South Africa has an institutional framework where three government institutions play a role in the Fund Management process as far as collection and disbursement of Fund contributions is concerned.</w:t>
            </w:r>
            <w:r w:rsidR="005E5682">
              <w:rPr>
                <w:lang w:val="en-US"/>
              </w:rPr>
              <w:t xml:space="preserve"> </w:t>
            </w:r>
            <w:r w:rsidRPr="00F95631">
              <w:rPr>
                <w:lang w:val="en-US"/>
              </w:rPr>
              <w:t xml:space="preserve">The regulator, ICASA, is responsible for making regulations setting out the USAF contribution and is responsible for calculating and collecting the levies from operators. In terms of the law, ICASA must send all money it collects to the National Revenue Fund (Treasury). USAASA thus plays a role only in disbursement and project design, but not directly in the setting of the levy, or the manner of collection. The money that must be disbursed has to then be allocated to USAASA by Treasury. </w:t>
            </w:r>
          </w:p>
        </w:tc>
      </w:tr>
    </w:tbl>
    <w:p w:rsidR="003D2DD5" w:rsidRPr="00F95631" w:rsidRDefault="003D2DD5" w:rsidP="003D2DD5">
      <w:pPr>
        <w:pStyle w:val="HIPNormal"/>
        <w:rPr>
          <w:lang w:val="en-US"/>
        </w:rPr>
      </w:pPr>
    </w:p>
    <w:p w:rsidR="0088668E" w:rsidRDefault="0088668E">
      <w:pPr>
        <w:rPr>
          <w:rFonts w:ascii="Calibri" w:hAnsi="Calibri" w:cs="Arial"/>
          <w:b/>
          <w:color w:val="000000"/>
          <w:sz w:val="21"/>
          <w:lang w:val="en-US" w:eastAsia="en-US"/>
        </w:rPr>
      </w:pPr>
      <w:r w:rsidRPr="00DC5333">
        <w:rPr>
          <w:lang w:val="en-US"/>
        </w:rPr>
        <w:br w:type="page"/>
      </w:r>
    </w:p>
    <w:p w:rsidR="003D2DD5" w:rsidRPr="007E12FF" w:rsidRDefault="0088668E" w:rsidP="0088668E">
      <w:pPr>
        <w:pStyle w:val="HIPBoxquestion"/>
        <w:rPr>
          <w:rFonts w:eastAsia="Calibri"/>
        </w:rPr>
      </w:pPr>
      <w:bookmarkStart w:id="195" w:name="_Toc286146354"/>
      <w:r>
        <w:lastRenderedPageBreak/>
        <w:t xml:space="preserve">Box 2.8: </w:t>
      </w:r>
      <w:r w:rsidR="003D2DD5" w:rsidRPr="007E12FF">
        <w:t>Summary of Best Practices: Sources of Funding</w:t>
      </w:r>
      <w:bookmarkEnd w:id="195"/>
      <w:r w:rsidR="003D2DD5" w:rsidRPr="007E12FF">
        <w:t xml:space="preserve"> </w:t>
      </w:r>
    </w:p>
    <w:p w:rsidR="003D2DD5" w:rsidRPr="003950B6" w:rsidRDefault="003D2DD5" w:rsidP="0088668E">
      <w:pPr>
        <w:pStyle w:val="HIPBoxNormal"/>
      </w:pPr>
      <w:r w:rsidRPr="003950B6">
        <w:t>The fund collection methodologies discussed in this section are not mutually exclusive. For pragmatic reasons it may be best for Member States to rely on a combination of funding sources. The decision of the fund collection methodology should score well in relation to the following</w:t>
      </w:r>
      <w:r w:rsidRPr="00C83327">
        <w:rPr>
          <w:rStyle w:val="FootnoteReference"/>
        </w:rPr>
        <w:footnoteReference w:id="38"/>
      </w:r>
      <w:r w:rsidRPr="003950B6">
        <w:t>:</w:t>
      </w:r>
    </w:p>
    <w:p w:rsidR="003D2DD5" w:rsidRPr="003950B6" w:rsidRDefault="003D2DD5" w:rsidP="0088668E">
      <w:pPr>
        <w:pStyle w:val="HIPBoxenumlevel"/>
      </w:pPr>
      <w:r w:rsidRPr="003D2DD5">
        <w:rPr>
          <w:color w:val="008000"/>
        </w:rPr>
        <w:t>•</w:t>
      </w:r>
      <w:r>
        <w:tab/>
      </w:r>
      <w:r w:rsidRPr="003950B6">
        <w:t>Non market distorting</w:t>
      </w:r>
      <w:r w:rsidR="005E5682">
        <w:t xml:space="preserve"> – </w:t>
      </w:r>
      <w:r w:rsidRPr="003950B6">
        <w:t>funding mechanisms should promote economic efficiency and should not distort economic or market behavior. The Fund should not impede competition, should avoid free-rider effects and should stimulate additional inverstment;</w:t>
      </w:r>
    </w:p>
    <w:p w:rsidR="003D2DD5" w:rsidRPr="003950B6" w:rsidRDefault="003D2DD5" w:rsidP="0088668E">
      <w:pPr>
        <w:pStyle w:val="HIPBoxenumlevel"/>
      </w:pPr>
      <w:r w:rsidRPr="003D2DD5">
        <w:rPr>
          <w:color w:val="008000"/>
        </w:rPr>
        <w:t>•</w:t>
      </w:r>
      <w:r>
        <w:tab/>
      </w:r>
      <w:r w:rsidRPr="003950B6">
        <w:t>Equity – the contribution scheme should be fair and reasonable, and similar costs should be borne by contributors with a similar ability to pay;</w:t>
      </w:r>
    </w:p>
    <w:p w:rsidR="003D2DD5" w:rsidRPr="003950B6" w:rsidRDefault="003D2DD5" w:rsidP="0088668E">
      <w:pPr>
        <w:pStyle w:val="HIPBoxenumlevel"/>
      </w:pPr>
      <w:r w:rsidRPr="003D2DD5">
        <w:rPr>
          <w:color w:val="008000"/>
        </w:rPr>
        <w:t>•</w:t>
      </w:r>
      <w:r>
        <w:tab/>
      </w:r>
      <w:r w:rsidRPr="003950B6">
        <w:t xml:space="preserve">Competitive neutrality – no operator, licensee or other provider should be favoured; the principle of non-discrimination should be adhered to; </w:t>
      </w:r>
    </w:p>
    <w:p w:rsidR="003D2DD5" w:rsidRPr="003950B6" w:rsidRDefault="003D2DD5" w:rsidP="0088668E">
      <w:pPr>
        <w:pStyle w:val="HIPBoxenumlevel"/>
      </w:pPr>
      <w:r w:rsidRPr="003D2DD5">
        <w:rPr>
          <w:color w:val="008000"/>
        </w:rPr>
        <w:t>•</w:t>
      </w:r>
      <w:r>
        <w:tab/>
      </w:r>
      <w:r w:rsidRPr="003950B6">
        <w:t>Technology neutrality – no technology should be favoured; the principle of non-discrimination should be adhered to;</w:t>
      </w:r>
    </w:p>
    <w:p w:rsidR="003D2DD5" w:rsidRPr="003950B6" w:rsidRDefault="003D2DD5" w:rsidP="0088668E">
      <w:pPr>
        <w:pStyle w:val="HIPBoxenumlevel"/>
      </w:pPr>
      <w:r w:rsidRPr="003D2DD5">
        <w:rPr>
          <w:color w:val="008000"/>
        </w:rPr>
        <w:t>•</w:t>
      </w:r>
      <w:r>
        <w:tab/>
      </w:r>
      <w:r w:rsidRPr="003950B6">
        <w:t>Certainty – the contribution/ arrangement should be specific, predictable and sustainable;</w:t>
      </w:r>
    </w:p>
    <w:p w:rsidR="003D2DD5" w:rsidRPr="003950B6" w:rsidRDefault="003D2DD5" w:rsidP="0088668E">
      <w:pPr>
        <w:pStyle w:val="HIPBoxenumlevel"/>
      </w:pPr>
      <w:r w:rsidRPr="003D2DD5">
        <w:rPr>
          <w:color w:val="008000"/>
        </w:rPr>
        <w:t>•</w:t>
      </w:r>
      <w:r>
        <w:tab/>
      </w:r>
      <w:r w:rsidRPr="003950B6">
        <w:t>Transparency – there should be mechanisms to enable the public scrutiny of information, as far as is reasonably practicable;</w:t>
      </w:r>
    </w:p>
    <w:p w:rsidR="003D2DD5" w:rsidRPr="003950B6" w:rsidRDefault="003D2DD5" w:rsidP="0088668E">
      <w:pPr>
        <w:pStyle w:val="HIPBoxenumlevel"/>
      </w:pPr>
      <w:r w:rsidRPr="003D2DD5">
        <w:rPr>
          <w:color w:val="008000"/>
        </w:rPr>
        <w:t>•</w:t>
      </w:r>
      <w:r>
        <w:tab/>
      </w:r>
      <w:r w:rsidRPr="003950B6">
        <w:t>Cost effectiveness – the introduction of the fund collection methodology should be cost effective, as should its ongoing maintenance and administration; and</w:t>
      </w:r>
    </w:p>
    <w:p w:rsidR="003D2DD5" w:rsidRPr="003950B6" w:rsidRDefault="003D2DD5" w:rsidP="0088668E">
      <w:pPr>
        <w:pStyle w:val="HIPBoxenumlevel"/>
      </w:pPr>
      <w:r w:rsidRPr="003D2DD5">
        <w:rPr>
          <w:color w:val="008000"/>
        </w:rPr>
        <w:t>•</w:t>
      </w:r>
      <w:r>
        <w:tab/>
      </w:r>
      <w:r w:rsidRPr="003950B6">
        <w:t xml:space="preserve">Avoidance – compliance is key and scope for avoiding </w:t>
      </w:r>
      <w:r w:rsidRPr="003950B6">
        <w:rPr>
          <w:rFonts w:hint="eastAsia"/>
        </w:rPr>
        <w:t>requirements</w:t>
      </w:r>
      <w:r w:rsidRPr="003950B6">
        <w:t>, obligations and rules should be minimized.</w:t>
      </w:r>
    </w:p>
    <w:p w:rsidR="003D2DD5" w:rsidRPr="003950B6" w:rsidRDefault="003D2DD5" w:rsidP="0088668E">
      <w:pPr>
        <w:pStyle w:val="HIPBoxNormal"/>
      </w:pPr>
      <w:r w:rsidRPr="003950B6">
        <w:t>Where Member States have decided on a levy to be imposed on operators, the levy should be reviewed periodically. On one hand there is a need for consistency and predictability for the industry and the Fund to enable proper planning, and as such it should be in place for at least 2 to 3 years. However, the requirements of the Fund will change as universal access is achieved, as operators’ revenues change, and as universal access targets are adjusted. Retaining the same levy for long periods without reviewing it may result in collections that do not meet policy objectives or market realities.</w:t>
      </w:r>
    </w:p>
    <w:p w:rsidR="003D2DD5" w:rsidRPr="003950B6" w:rsidRDefault="003D2DD5" w:rsidP="0088668E">
      <w:pPr>
        <w:pStyle w:val="HIPBoxNormal"/>
      </w:pPr>
      <w:r w:rsidRPr="003950B6">
        <w:t>Where countries have adopted a converged regulatory regime, the regulations dealing with the USAF contribution and the levy itself should be reviewed further to public consultation in light of the additional players which may fall under the scope of the Fund.</w:t>
      </w:r>
    </w:p>
    <w:p w:rsidR="003D2DD5" w:rsidRPr="003950B6" w:rsidRDefault="003D2DD5" w:rsidP="0088668E">
      <w:pPr>
        <w:pStyle w:val="HIPBoxNormal"/>
      </w:pPr>
      <w:r w:rsidRPr="003950B6">
        <w:t>All contributions received from operators, donors, government or other sources should be recorded and reported at least annually in the Annual Report.</w:t>
      </w:r>
    </w:p>
    <w:p w:rsidR="0088668E" w:rsidRDefault="0088668E">
      <w:pPr>
        <w:rPr>
          <w:lang w:val="en-US"/>
        </w:rPr>
      </w:pPr>
    </w:p>
    <w:p w:rsidR="0088668E" w:rsidRPr="0088668E" w:rsidRDefault="0088668E" w:rsidP="00DC5333">
      <w:pPr>
        <w:pStyle w:val="HIPBoxquestion"/>
        <w:rPr>
          <w:rFonts w:eastAsia="Calibri"/>
        </w:rPr>
      </w:pPr>
      <w:bookmarkStart w:id="196" w:name="_Toc286146355"/>
      <w:r>
        <w:t xml:space="preserve">Box 2.9: </w:t>
      </w:r>
      <w:r w:rsidRPr="0088668E">
        <w:t>Sample/Reference Material</w:t>
      </w:r>
      <w:bookmarkEnd w:id="196"/>
    </w:p>
    <w:p w:rsidR="0088668E" w:rsidRPr="003950B6" w:rsidRDefault="0088668E" w:rsidP="0088668E">
      <w:pPr>
        <w:pStyle w:val="HIPBoxNormal"/>
      </w:pPr>
      <w:r w:rsidRPr="003950B6">
        <w:t>As explained above, the sources of funding and fund collection methodology applied in countries must be assessed against its impact on the market. Herewith please find samples of</w:t>
      </w:r>
      <w:r>
        <w:t xml:space="preserve"> </w:t>
      </w:r>
      <w:r w:rsidRPr="003950B6">
        <w:t>regulations</w:t>
      </w:r>
      <w:r w:rsidRPr="003950B6">
        <w:rPr>
          <w:rFonts w:hint="eastAsia"/>
        </w:rPr>
        <w:t> </w:t>
      </w:r>
      <w:r w:rsidRPr="003950B6">
        <w:t xml:space="preserve">: </w:t>
      </w:r>
    </w:p>
    <w:p w:rsidR="0088668E" w:rsidRDefault="0088668E" w:rsidP="0088668E">
      <w:pPr>
        <w:pStyle w:val="HIPBoxenumlevel"/>
        <w:jc w:val="left"/>
      </w:pPr>
      <w:r w:rsidRPr="003D2DD5">
        <w:rPr>
          <w:color w:val="008000"/>
        </w:rPr>
        <w:t>•</w:t>
      </w:r>
      <w:r>
        <w:tab/>
      </w:r>
      <w:r w:rsidRPr="002011A9">
        <w:t>South African USAF Contribution Regulations</w:t>
      </w:r>
      <w:r>
        <w:br/>
      </w:r>
      <w:hyperlink r:id="rId54" w:history="1">
        <w:r w:rsidRPr="007B1A5B">
          <w:rPr>
            <w:rStyle w:val="Hyperlink"/>
          </w:rPr>
          <w:t>www.icasa.org.za/LegislationRegulatory/ExistingRegulations/Prescribedannualcontributionsoflicenseestoth/FinalRegulations/tabid/147/ctl/ItemDetails/mid/810/ItemID/23/Default.aspx</w:t>
        </w:r>
      </w:hyperlink>
      <w:r>
        <w:t xml:space="preserve"> </w:t>
      </w:r>
    </w:p>
    <w:p w:rsidR="0088668E" w:rsidRDefault="0088668E" w:rsidP="0088668E">
      <w:pPr>
        <w:pStyle w:val="HIPBoxenumlevel"/>
      </w:pPr>
      <w:r w:rsidRPr="003D2DD5">
        <w:rPr>
          <w:color w:val="008000"/>
        </w:rPr>
        <w:t>•</w:t>
      </w:r>
      <w:r>
        <w:tab/>
        <w:t xml:space="preserve">Mauritian USAF Regulations </w:t>
      </w:r>
      <w:hyperlink r:id="rId55" w:history="1">
        <w:r w:rsidRPr="007B1A5B">
          <w:rPr>
            <w:rStyle w:val="Hyperlink"/>
          </w:rPr>
          <w:t>www.icta.mu/documents/Gn-206_2008.pdf</w:t>
        </w:r>
      </w:hyperlink>
      <w:r>
        <w:t xml:space="preserve"> </w:t>
      </w:r>
    </w:p>
    <w:p w:rsidR="0088668E" w:rsidRDefault="0088668E">
      <w:pPr>
        <w:rPr>
          <w:lang w:val="en-US"/>
        </w:rPr>
      </w:pPr>
    </w:p>
    <w:p w:rsidR="003D2DD5" w:rsidRDefault="003D2DD5">
      <w:pPr>
        <w:rPr>
          <w:rFonts w:ascii="Calibri" w:hAnsi="Calibri" w:cs="Arial"/>
          <w:color w:val="000000"/>
          <w:sz w:val="21"/>
          <w:lang w:val="en-US"/>
        </w:rPr>
      </w:pPr>
      <w:r>
        <w:rPr>
          <w:lang w:val="en-US"/>
        </w:rPr>
        <w:br w:type="page"/>
      </w:r>
    </w:p>
    <w:p w:rsidR="00D61598" w:rsidRPr="00A2166D" w:rsidRDefault="0088668E" w:rsidP="0088668E">
      <w:pPr>
        <w:pStyle w:val="HIPHeading2"/>
        <w:rPr>
          <w:rFonts w:eastAsia="Calibri"/>
        </w:rPr>
      </w:pPr>
      <w:bookmarkStart w:id="197" w:name="_Toc281459563"/>
      <w:bookmarkStart w:id="198" w:name="_Toc284597967"/>
      <w:bookmarkStart w:id="199" w:name="_Toc286144966"/>
      <w:r>
        <w:lastRenderedPageBreak/>
        <w:t>2.5</w:t>
      </w:r>
      <w:r>
        <w:tab/>
      </w:r>
      <w:r w:rsidR="00D61598" w:rsidRPr="00A2166D">
        <w:t>LEVEL OF CONTRIBUTIONS TO THE USAF</w:t>
      </w:r>
      <w:bookmarkEnd w:id="197"/>
      <w:bookmarkEnd w:id="198"/>
      <w:bookmarkEnd w:id="199"/>
      <w:r w:rsidR="00D61598" w:rsidRPr="00A2166D">
        <w:t xml:space="preserve"> </w:t>
      </w:r>
      <w:bookmarkStart w:id="200" w:name="_Toc281459564"/>
    </w:p>
    <w:p w:rsidR="00D61598" w:rsidRPr="00A2166D" w:rsidRDefault="0088668E" w:rsidP="0088668E">
      <w:pPr>
        <w:pStyle w:val="HIPheading3"/>
        <w:rPr>
          <w:rFonts w:eastAsia="Calibri"/>
        </w:rPr>
      </w:pPr>
      <w:bookmarkStart w:id="201" w:name="_Toc284597968"/>
      <w:bookmarkStart w:id="202" w:name="_Toc286144967"/>
      <w:bookmarkEnd w:id="200"/>
      <w:r>
        <w:t>2.5.</w:t>
      </w:r>
      <w:r w:rsidR="00D61598">
        <w:t>1</w:t>
      </w:r>
      <w:r w:rsidR="00D61598">
        <w:tab/>
        <w:t>Global Experience and Good Practice</w:t>
      </w:r>
      <w:bookmarkEnd w:id="201"/>
      <w:bookmarkEnd w:id="202"/>
    </w:p>
    <w:p w:rsidR="00D61598" w:rsidRPr="00757A9C" w:rsidRDefault="00D61598" w:rsidP="00D61598">
      <w:pPr>
        <w:pStyle w:val="HIPNormal"/>
        <w:rPr>
          <w:lang w:val="en-US"/>
        </w:rPr>
      </w:pPr>
      <w:r w:rsidRPr="00A2166D">
        <w:rPr>
          <w:lang w:val="en-US"/>
        </w:rPr>
        <w:t xml:space="preserve">As discussed in the previous section, levies on operators are the main source of funding in most countries globally, as well as in SADC. Once the sources of funding have been identified, and in light of the fact that operator contributions constitute a potential form of collecting monies in all countries with Funds, there are two main ways to estimate the appropriate funding level for each country. </w:t>
      </w:r>
      <w:r w:rsidRPr="00757A9C">
        <w:rPr>
          <w:lang w:val="en-US"/>
        </w:rPr>
        <w:t>These are as follows:</w:t>
      </w:r>
    </w:p>
    <w:p w:rsidR="00D61598" w:rsidRPr="00A2166D" w:rsidRDefault="00D61598" w:rsidP="00D61598">
      <w:pPr>
        <w:pStyle w:val="HIPEnumlev1"/>
      </w:pPr>
      <w:r w:rsidRPr="00A2166D">
        <w:rPr>
          <w:b/>
          <w:bCs/>
        </w:rPr>
        <w:t>Policy-driven approach</w:t>
      </w:r>
      <w:r w:rsidRPr="00A2166D">
        <w:t xml:space="preserve"> – the country’s universal access policy objectives and targets are assessed and an estimate of the cost of meeting these goals is determined (e.g. connecting all of the secondary schools by 2015; providing 5000 public payphones in X cities over 3 years, etc). Thereafter, total sector revenues are derived through an analysis of all of the operators</w:t>
      </w:r>
      <w:r>
        <w:rPr>
          <w:rFonts w:hint="eastAsia"/>
        </w:rPr>
        <w:t>’</w:t>
      </w:r>
      <w:r w:rsidRPr="00A2166D">
        <w:t xml:space="preserve"> revenues (over a period of time, i.e. the last 3 years). The total cost and subsidy estimates are compared to the total sector revenues -- the percentage of total sector gross or net revenues calculated by this method becomes the high level estimate; or </w:t>
      </w:r>
    </w:p>
    <w:p w:rsidR="00D61598" w:rsidRPr="00A2166D" w:rsidRDefault="00D61598" w:rsidP="00D61598">
      <w:pPr>
        <w:pStyle w:val="HIPEnumlev1"/>
      </w:pPr>
      <w:r w:rsidRPr="00A2166D">
        <w:rPr>
          <w:b/>
          <w:bCs/>
        </w:rPr>
        <w:t>Market-driven approach</w:t>
      </w:r>
      <w:r w:rsidRPr="00A2166D">
        <w:t xml:space="preserve"> – using a public consultation process, the Fund Administrator determined through input from operators, civil society and other affected parties, what the levy should be. In addition, international benchmarking is performed. Once the levy is decided, the anticipated annual contributions to the Fund can be determined and the USAF programmed can be designed to accommodate this amount.</w:t>
      </w:r>
    </w:p>
    <w:p w:rsidR="00D61598" w:rsidRPr="00A2166D" w:rsidRDefault="00D61598" w:rsidP="00D61598">
      <w:pPr>
        <w:pStyle w:val="HIPNormal"/>
        <w:rPr>
          <w:lang w:val="en-US"/>
        </w:rPr>
      </w:pPr>
      <w:r w:rsidRPr="00A2166D">
        <w:rPr>
          <w:lang w:val="en-US"/>
        </w:rPr>
        <w:t xml:space="preserve">There are pros and cons to both approaches. In many countries a combination of the two approaches is followed so that the costing is somewhere between the higher costing associated with the often political objectives that are costed in a policy based approach; and the operational considerations put forward under the market driven approach. </w:t>
      </w:r>
    </w:p>
    <w:p w:rsidR="00D61598" w:rsidRPr="00A2166D" w:rsidRDefault="00D61598" w:rsidP="00D61598">
      <w:pPr>
        <w:pStyle w:val="HIPNormal"/>
        <w:rPr>
          <w:lang w:val="en-US"/>
        </w:rPr>
      </w:pPr>
      <w:r w:rsidRPr="00A2166D">
        <w:rPr>
          <w:lang w:val="en-US"/>
        </w:rPr>
        <w:t>Levies on operators internationally range from 0.04 percent of revenues in Estonia to 5 percent in Colombia and India and 6 percent on certain services in Malaysia.</w:t>
      </w:r>
      <w:r>
        <w:rPr>
          <w:rStyle w:val="FootnoteReference"/>
        </w:rPr>
        <w:footnoteReference w:id="39"/>
      </w:r>
      <w:r w:rsidRPr="00A2166D">
        <w:rPr>
          <w:lang w:val="en-US"/>
        </w:rPr>
        <w:t xml:space="preserve"> Most countries however have a contribution level ranging between 1 and 2 percent, with contributions required from fixed and mobile operators as well as Internet Service Providers (“ISPs”).</w:t>
      </w:r>
      <w:r w:rsidR="005E5682">
        <w:rPr>
          <w:lang w:val="en-US"/>
        </w:rPr>
        <w:t xml:space="preserve"> </w:t>
      </w:r>
      <w:r w:rsidRPr="00A2166D">
        <w:rPr>
          <w:lang w:val="en-US"/>
        </w:rPr>
        <w:t>As will be discussed below, the SADC levies fall broadly within the global norms, with South Africa and Tanzania both falling below global norms.</w:t>
      </w:r>
    </w:p>
    <w:p w:rsidR="00D61598" w:rsidRDefault="00D61598" w:rsidP="00D61598">
      <w:pPr>
        <w:pStyle w:val="HIPNormal"/>
        <w:rPr>
          <w:lang w:val="en-US"/>
        </w:rPr>
      </w:pPr>
      <w:r w:rsidRPr="00A2166D">
        <w:rPr>
          <w:lang w:val="en-US"/>
        </w:rPr>
        <w:t>The levies can have a direct impact on the levels of disbursement. Determining the wrong contribution can lead to either over or under collection, both of which can negatively impact the perceptions of the Fund, and affect its effectiveness. The challenge is to match the size of programme to the amount available annually in the USAF. One way to overcome this challenge, although relatively untested in the realm of USAFs is the creation of “virtual funds</w:t>
      </w:r>
      <w:r>
        <w:rPr>
          <w:rStyle w:val="FootnoteReference"/>
          <w:lang w:val="en-US"/>
        </w:rPr>
        <w:footnoteReference w:id="40"/>
      </w:r>
      <w:r w:rsidRPr="00A2166D">
        <w:rPr>
          <w:lang w:val="en-US"/>
        </w:rPr>
        <w:t>”. In terms of these funds, monies</w:t>
      </w:r>
      <w:r>
        <w:rPr>
          <w:lang w:val="en-US"/>
        </w:rPr>
        <w:t xml:space="preserve"> due would be recorded in oeprators</w:t>
      </w:r>
      <w:r>
        <w:rPr>
          <w:rFonts w:hint="eastAsia"/>
          <w:lang w:val="en-US"/>
        </w:rPr>
        <w:t>’</w:t>
      </w:r>
      <w:r>
        <w:rPr>
          <w:lang w:val="en-US"/>
        </w:rPr>
        <w:t xml:space="preserve"> and </w:t>
      </w:r>
      <w:r>
        <w:rPr>
          <w:rFonts w:hint="eastAsia"/>
          <w:lang w:val="en-US"/>
        </w:rPr>
        <w:t>the</w:t>
      </w:r>
      <w:r>
        <w:rPr>
          <w:lang w:val="en-US"/>
        </w:rPr>
        <w:t xml:space="preserve"> Fund Administrators</w:t>
      </w:r>
      <w:r>
        <w:rPr>
          <w:rFonts w:hint="eastAsia"/>
          <w:lang w:val="en-US"/>
        </w:rPr>
        <w:t>’</w:t>
      </w:r>
      <w:r>
        <w:rPr>
          <w:lang w:val="en-US"/>
        </w:rPr>
        <w:t xml:space="preserve"> financial statements, but</w:t>
      </w:r>
      <w:r w:rsidRPr="00A2166D">
        <w:rPr>
          <w:lang w:val="en-US"/>
        </w:rPr>
        <w:t xml:space="preserve"> would only be collected once they are ready to be disbursed. As such, the percentage contribution would be determined in advance in regulations, however, such contribution would only be due once the Fund Administrator is ready to disburse them and within a given year. An approach like this addresses concerns related to the risk of unused revenue from the levies,</w:t>
      </w:r>
      <w:r w:rsidR="005E5682">
        <w:rPr>
          <w:lang w:val="en-US"/>
        </w:rPr>
        <w:t xml:space="preserve"> </w:t>
      </w:r>
      <w:r w:rsidRPr="00A2166D">
        <w:rPr>
          <w:lang w:val="en-US"/>
        </w:rPr>
        <w:t>the pace of commercial development, and the over-collection “problem”, however, in light of the bureaucratic processes the Fund Administrators must follow to get approval for disbursement of Funds within countries,</w:t>
      </w:r>
      <w:r>
        <w:rPr>
          <w:lang w:val="en-US"/>
        </w:rPr>
        <w:t xml:space="preserve"> and the risk that operators may not make the payments when requested,</w:t>
      </w:r>
      <w:r w:rsidR="005E5682">
        <w:rPr>
          <w:lang w:val="en-US"/>
        </w:rPr>
        <w:t xml:space="preserve"> </w:t>
      </w:r>
      <w:r w:rsidRPr="00A2166D">
        <w:rPr>
          <w:lang w:val="en-US"/>
        </w:rPr>
        <w:t>a ‘virtual fund’</w:t>
      </w:r>
      <w:r w:rsidR="005E5682">
        <w:rPr>
          <w:lang w:val="en-US"/>
        </w:rPr>
        <w:t xml:space="preserve"> </w:t>
      </w:r>
      <w:r w:rsidRPr="00A2166D">
        <w:rPr>
          <w:lang w:val="en-US"/>
        </w:rPr>
        <w:t xml:space="preserve">may be too slow to implement. </w:t>
      </w:r>
    </w:p>
    <w:p w:rsidR="00D61598" w:rsidRDefault="0088668E" w:rsidP="0088668E">
      <w:pPr>
        <w:pStyle w:val="HIPheading3"/>
      </w:pPr>
      <w:bookmarkStart w:id="203" w:name="_Toc284597969"/>
      <w:bookmarkStart w:id="204" w:name="_Toc286144968"/>
      <w:bookmarkStart w:id="205" w:name="_Toc281459565"/>
      <w:r>
        <w:lastRenderedPageBreak/>
        <w:t>2.5.</w:t>
      </w:r>
      <w:r w:rsidR="00D61598">
        <w:t>2</w:t>
      </w:r>
      <w:r w:rsidR="00D61598">
        <w:tab/>
        <w:t>SADC Experiences</w:t>
      </w:r>
      <w:bookmarkEnd w:id="203"/>
      <w:bookmarkEnd w:id="204"/>
    </w:p>
    <w:p w:rsidR="00D61598" w:rsidRDefault="00D61598" w:rsidP="00D61598">
      <w:pPr>
        <w:pStyle w:val="HIPNormal"/>
        <w:rPr>
          <w:lang w:val="en-US"/>
        </w:rPr>
      </w:pPr>
      <w:bookmarkStart w:id="206" w:name="_Toc281153787"/>
      <w:bookmarkEnd w:id="205"/>
      <w:r w:rsidRPr="00A2166D">
        <w:rPr>
          <w:lang w:val="en-US"/>
        </w:rPr>
        <w:t>In SADC, universal service or access funds are mostly financed by a set levy on licensed operators</w:t>
      </w:r>
      <w:r>
        <w:rPr>
          <w:rFonts w:hint="eastAsia"/>
          <w:lang w:val="en-US"/>
        </w:rPr>
        <w:t>’</w:t>
      </w:r>
      <w:r w:rsidRPr="00A2166D">
        <w:rPr>
          <w:lang w:val="en-US"/>
        </w:rPr>
        <w:t xml:space="preserve"> earnings. In some instances this levy is coupled with a government subsidy (e.g. Mozambique), seed funding from donor agencies (e.g. Malawi, Tanzania) and/or regulators’ surpluses (e.g. Botswana, Lesotho). Levies range from 0.2 </w:t>
      </w:r>
      <w:r w:rsidRPr="00116AA8">
        <w:rPr>
          <w:lang w:val="en-US"/>
        </w:rPr>
        <w:t xml:space="preserve">percent to 5 percent of the operators’ annual gross turnover in SADC (see </w:t>
      </w:r>
      <w:r w:rsidRPr="00116AA8">
        <w:rPr>
          <w:i/>
          <w:lang w:val="en-US"/>
        </w:rPr>
        <w:t>Table 10</w:t>
      </w:r>
      <w:r w:rsidRPr="00A2166D">
        <w:rPr>
          <w:i/>
          <w:lang w:val="en-US"/>
        </w:rPr>
        <w:t>)</w:t>
      </w:r>
      <w:r w:rsidRPr="00A2166D">
        <w:rPr>
          <w:lang w:val="en-US"/>
        </w:rPr>
        <w:t>.</w:t>
      </w:r>
      <w:bookmarkStart w:id="207" w:name="_Toc281153788"/>
      <w:bookmarkEnd w:id="206"/>
    </w:p>
    <w:p w:rsidR="00D61598" w:rsidRPr="00EF143A" w:rsidRDefault="00D61598" w:rsidP="00D61598">
      <w:pPr>
        <w:pStyle w:val="HIPNormal"/>
        <w:rPr>
          <w:lang w:val="en-US"/>
        </w:rPr>
      </w:pPr>
      <w:r w:rsidRPr="00A2166D">
        <w:rPr>
          <w:lang w:val="en-US"/>
        </w:rPr>
        <w:t>It appears that primarily a market driven approach has been followed to set the levies, rather than costing the universal access programme through a policy driven approach – in some cases levies have been set prior to universal service</w:t>
      </w:r>
      <w:r>
        <w:rPr>
          <w:lang w:val="en-US"/>
        </w:rPr>
        <w:t xml:space="preserve"> and access</w:t>
      </w:r>
      <w:r w:rsidRPr="00A2166D">
        <w:rPr>
          <w:lang w:val="en-US"/>
        </w:rPr>
        <w:t xml:space="preserve"> targets and objectives being defined.</w:t>
      </w:r>
      <w:r w:rsidR="005E5682">
        <w:rPr>
          <w:lang w:val="en-US"/>
        </w:rPr>
        <w:t xml:space="preserve"> </w:t>
      </w:r>
      <w:r w:rsidRPr="00A2166D">
        <w:rPr>
          <w:lang w:val="en-US"/>
        </w:rPr>
        <w:t xml:space="preserve">SADC Regulators and Fund Administrators have arrived at </w:t>
      </w:r>
      <w:r w:rsidRPr="00EF143A">
        <w:rPr>
          <w:lang w:val="en-US"/>
        </w:rPr>
        <w:t>levies through benchmarking coupled with public consultation processes. This is the case in South Afric</w:t>
      </w:r>
      <w:bookmarkEnd w:id="207"/>
      <w:r w:rsidRPr="00EF143A">
        <w:rPr>
          <w:lang w:val="en-US"/>
        </w:rPr>
        <w:t xml:space="preserve">a, Tanzania, and Mauritius. </w:t>
      </w:r>
    </w:p>
    <w:p w:rsidR="00D61598" w:rsidRPr="00A2166D" w:rsidRDefault="00D61598" w:rsidP="0088668E">
      <w:pPr>
        <w:pStyle w:val="HIPTabletitle"/>
      </w:pPr>
      <w:bookmarkStart w:id="208" w:name="_Toc286146554"/>
      <w:r w:rsidRPr="00A2166D">
        <w:t>Table</w:t>
      </w:r>
      <w:r w:rsidR="0088668E">
        <w:t xml:space="preserve"> 2.10</w:t>
      </w:r>
      <w:r w:rsidRPr="00A2166D">
        <w:t>: Contributions to the USAF in SADC</w:t>
      </w:r>
      <w:r>
        <w:rPr>
          <w:rStyle w:val="FootnoteReference"/>
        </w:rPr>
        <w:footnoteReference w:id="41"/>
      </w:r>
      <w:bookmarkEnd w:id="208"/>
    </w:p>
    <w:tbl>
      <w:tblPr>
        <w:tblW w:w="93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15"/>
        <w:gridCol w:w="2356"/>
        <w:gridCol w:w="2619"/>
        <w:gridCol w:w="2411"/>
      </w:tblGrid>
      <w:tr w:rsidR="00D61598" w:rsidRPr="0088668E" w:rsidTr="0088668E">
        <w:trPr>
          <w:tblHeader/>
          <w:jc w:val="center"/>
        </w:trPr>
        <w:tc>
          <w:tcPr>
            <w:tcW w:w="1915" w:type="dxa"/>
            <w:tcBorders>
              <w:top w:val="single" w:sz="4" w:space="0" w:color="244061"/>
              <w:left w:val="single" w:sz="4" w:space="0" w:color="244061"/>
              <w:bottom w:val="single" w:sz="4" w:space="0" w:color="000000"/>
              <w:right w:val="single" w:sz="4" w:space="0" w:color="244061"/>
            </w:tcBorders>
            <w:shd w:val="clear" w:color="auto" w:fill="008000"/>
          </w:tcPr>
          <w:p w:rsidR="00D61598" w:rsidRPr="00EF143A" w:rsidRDefault="00D61598" w:rsidP="00D61598">
            <w:pPr>
              <w:pStyle w:val="HIPTablehead"/>
            </w:pPr>
            <w:bookmarkStart w:id="209" w:name="_Toc281153789"/>
            <w:r w:rsidRPr="00EF143A">
              <w:t>Country</w:t>
            </w:r>
            <w:bookmarkEnd w:id="209"/>
          </w:p>
        </w:tc>
        <w:tc>
          <w:tcPr>
            <w:tcW w:w="2356" w:type="dxa"/>
            <w:tcBorders>
              <w:top w:val="single" w:sz="4" w:space="0" w:color="244061"/>
              <w:left w:val="single" w:sz="4" w:space="0" w:color="244061"/>
              <w:bottom w:val="single" w:sz="4" w:space="0" w:color="000000"/>
              <w:right w:val="single" w:sz="4" w:space="0" w:color="244061"/>
            </w:tcBorders>
            <w:shd w:val="clear" w:color="auto" w:fill="008000"/>
          </w:tcPr>
          <w:p w:rsidR="00D61598" w:rsidRPr="00EF143A" w:rsidRDefault="00D61598" w:rsidP="00D61598">
            <w:pPr>
              <w:pStyle w:val="HIPTablehead"/>
            </w:pPr>
            <w:bookmarkStart w:id="210" w:name="_Toc281153790"/>
            <w:r w:rsidRPr="00EF143A">
              <w:t>Levies on Operators</w:t>
            </w:r>
            <w:bookmarkEnd w:id="210"/>
          </w:p>
        </w:tc>
        <w:tc>
          <w:tcPr>
            <w:tcW w:w="2619" w:type="dxa"/>
            <w:tcBorders>
              <w:top w:val="single" w:sz="4" w:space="0" w:color="244061"/>
              <w:left w:val="single" w:sz="4" w:space="0" w:color="244061"/>
              <w:bottom w:val="single" w:sz="4" w:space="0" w:color="000000"/>
              <w:right w:val="single" w:sz="4" w:space="0" w:color="244061"/>
            </w:tcBorders>
            <w:shd w:val="clear" w:color="auto" w:fill="008000"/>
          </w:tcPr>
          <w:p w:rsidR="00D61598" w:rsidRPr="00EF143A" w:rsidRDefault="00D61598" w:rsidP="00D61598">
            <w:pPr>
              <w:pStyle w:val="HIPTablehead"/>
            </w:pPr>
            <w:bookmarkStart w:id="211" w:name="_Toc281153791"/>
            <w:r w:rsidRPr="00EF143A">
              <w:t>Other Contributors</w:t>
            </w:r>
            <w:bookmarkEnd w:id="211"/>
          </w:p>
        </w:tc>
        <w:tc>
          <w:tcPr>
            <w:tcW w:w="2411" w:type="dxa"/>
            <w:tcBorders>
              <w:top w:val="single" w:sz="4" w:space="0" w:color="244061"/>
              <w:left w:val="single" w:sz="4" w:space="0" w:color="244061"/>
              <w:bottom w:val="single" w:sz="4" w:space="0" w:color="000000"/>
              <w:right w:val="single" w:sz="4" w:space="0" w:color="244061"/>
            </w:tcBorders>
            <w:shd w:val="clear" w:color="auto" w:fill="008000"/>
          </w:tcPr>
          <w:p w:rsidR="00D61598" w:rsidRPr="00EF143A" w:rsidRDefault="00D61598" w:rsidP="00D61598">
            <w:pPr>
              <w:pStyle w:val="HIPTablehead"/>
            </w:pPr>
            <w:r w:rsidRPr="00EF143A">
              <w:t>Comments</w:t>
            </w:r>
          </w:p>
        </w:tc>
      </w:tr>
      <w:tr w:rsidR="00D61598" w:rsidRPr="00A3379B" w:rsidTr="00D61598">
        <w:trPr>
          <w:jc w:val="center"/>
        </w:trPr>
        <w:tc>
          <w:tcPr>
            <w:tcW w:w="1915" w:type="dxa"/>
            <w:tcBorders>
              <w:top w:val="single" w:sz="4" w:space="0" w:color="000000"/>
              <w:bottom w:val="single" w:sz="4" w:space="0" w:color="000000"/>
            </w:tcBorders>
          </w:tcPr>
          <w:p w:rsidR="00D61598" w:rsidRPr="0088668E" w:rsidRDefault="00D61598" w:rsidP="00D61598">
            <w:pPr>
              <w:pStyle w:val="HIPTabletext"/>
              <w:rPr>
                <w:b/>
                <w:bCs w:val="0"/>
                <w:lang w:val="en-US"/>
              </w:rPr>
            </w:pPr>
            <w:bookmarkStart w:id="212" w:name="_Toc281153792"/>
            <w:r w:rsidRPr="0088668E">
              <w:rPr>
                <w:b/>
                <w:bCs w:val="0"/>
                <w:lang w:val="en-US"/>
              </w:rPr>
              <w:t>Botswana</w:t>
            </w:r>
            <w:bookmarkEnd w:id="212"/>
          </w:p>
        </w:tc>
        <w:tc>
          <w:tcPr>
            <w:tcW w:w="2356" w:type="dxa"/>
            <w:tcBorders>
              <w:top w:val="single" w:sz="4" w:space="0" w:color="000000"/>
              <w:bottom w:val="single" w:sz="4" w:space="0" w:color="000000"/>
            </w:tcBorders>
          </w:tcPr>
          <w:p w:rsidR="00D61598" w:rsidRPr="0088668E" w:rsidRDefault="00D61598" w:rsidP="00D61598">
            <w:pPr>
              <w:pStyle w:val="HIPTabletext"/>
              <w:jc w:val="left"/>
              <w:rPr>
                <w:lang w:val="en-US"/>
              </w:rPr>
            </w:pPr>
            <w:bookmarkStart w:id="213" w:name="_Toc281153793"/>
            <w:r w:rsidRPr="0088668E">
              <w:rPr>
                <w:lang w:val="en-US"/>
              </w:rPr>
              <w:t>N/A</w:t>
            </w:r>
            <w:bookmarkEnd w:id="213"/>
          </w:p>
        </w:tc>
        <w:tc>
          <w:tcPr>
            <w:tcW w:w="2619" w:type="dxa"/>
            <w:tcBorders>
              <w:top w:val="single" w:sz="4" w:space="0" w:color="000000"/>
              <w:bottom w:val="single" w:sz="4" w:space="0" w:color="000000"/>
            </w:tcBorders>
          </w:tcPr>
          <w:p w:rsidR="00D61598" w:rsidRPr="0088668E" w:rsidRDefault="00D61598" w:rsidP="00D61598">
            <w:pPr>
              <w:pStyle w:val="HIPTabletext"/>
              <w:jc w:val="left"/>
              <w:rPr>
                <w:lang w:val="en-US"/>
              </w:rPr>
            </w:pPr>
            <w:r w:rsidRPr="0088668E">
              <w:rPr>
                <w:lang w:val="en-US"/>
              </w:rPr>
              <w:t>Government</w:t>
            </w:r>
          </w:p>
        </w:tc>
        <w:tc>
          <w:tcPr>
            <w:tcW w:w="2411" w:type="dxa"/>
            <w:tcBorders>
              <w:top w:val="single" w:sz="4" w:space="0" w:color="000000"/>
              <w:bottom w:val="single" w:sz="4" w:space="0" w:color="000000"/>
            </w:tcBorders>
          </w:tcPr>
          <w:p w:rsidR="00D61598" w:rsidRPr="00EF143A" w:rsidRDefault="00D61598" w:rsidP="00D61598">
            <w:pPr>
              <w:pStyle w:val="HIPTabletext"/>
              <w:jc w:val="left"/>
              <w:rPr>
                <w:lang w:val="en-US"/>
              </w:rPr>
            </w:pPr>
            <w:bookmarkStart w:id="214" w:name="_Toc281153794"/>
            <w:r w:rsidRPr="00EF143A">
              <w:rPr>
                <w:lang w:val="en-US"/>
              </w:rPr>
              <w:t>Seed Capital from Regulator for Future USAF</w:t>
            </w:r>
            <w:bookmarkEnd w:id="214"/>
          </w:p>
        </w:tc>
      </w:tr>
      <w:tr w:rsidR="00D61598" w:rsidRPr="00EF143A" w:rsidTr="00D61598">
        <w:trPr>
          <w:jc w:val="center"/>
        </w:trPr>
        <w:tc>
          <w:tcPr>
            <w:tcW w:w="1915" w:type="dxa"/>
            <w:shd w:val="clear" w:color="auto" w:fill="EAF1DD"/>
          </w:tcPr>
          <w:p w:rsidR="00D61598" w:rsidRPr="00D61598" w:rsidRDefault="00D61598" w:rsidP="00D61598">
            <w:pPr>
              <w:pStyle w:val="HIPTabletext"/>
              <w:rPr>
                <w:b/>
                <w:bCs w:val="0"/>
              </w:rPr>
            </w:pPr>
            <w:bookmarkStart w:id="215" w:name="_Toc281153795"/>
            <w:r w:rsidRPr="00D61598">
              <w:rPr>
                <w:b/>
                <w:bCs w:val="0"/>
              </w:rPr>
              <w:t>Democratic Republic of Congo</w:t>
            </w:r>
            <w:bookmarkEnd w:id="215"/>
          </w:p>
        </w:tc>
        <w:tc>
          <w:tcPr>
            <w:tcW w:w="2356" w:type="dxa"/>
            <w:shd w:val="clear" w:color="auto" w:fill="EAF1DD"/>
          </w:tcPr>
          <w:p w:rsidR="00D61598" w:rsidRPr="00EF143A" w:rsidRDefault="00D61598" w:rsidP="00D61598">
            <w:pPr>
              <w:pStyle w:val="HIPTabletext"/>
              <w:jc w:val="left"/>
            </w:pPr>
            <w:r w:rsidRPr="00EF143A">
              <w:t>2%</w:t>
            </w:r>
          </w:p>
        </w:tc>
        <w:tc>
          <w:tcPr>
            <w:tcW w:w="2619" w:type="dxa"/>
            <w:shd w:val="clear" w:color="auto" w:fill="EAF1DD"/>
          </w:tcPr>
          <w:p w:rsidR="00D61598" w:rsidRPr="00EF143A" w:rsidRDefault="00D61598" w:rsidP="00D61598">
            <w:pPr>
              <w:pStyle w:val="HIPTabletext"/>
              <w:jc w:val="left"/>
            </w:pPr>
            <w:r w:rsidRPr="00EF143A">
              <w:t xml:space="preserve">None </w:t>
            </w:r>
          </w:p>
        </w:tc>
        <w:tc>
          <w:tcPr>
            <w:tcW w:w="2411" w:type="dxa"/>
            <w:shd w:val="clear" w:color="auto" w:fill="EAF1DD"/>
          </w:tcPr>
          <w:p w:rsidR="00D61598" w:rsidRPr="00EF143A" w:rsidRDefault="00D61598" w:rsidP="00D61598">
            <w:pPr>
              <w:pStyle w:val="HIPTabletext"/>
              <w:jc w:val="left"/>
            </w:pPr>
            <w:r w:rsidRPr="00EF143A">
              <w:t>Only mobile operators contribute</w:t>
            </w:r>
            <w:r w:rsidRPr="00EF143A">
              <w:rPr>
                <w:rStyle w:val="FootnoteReference"/>
                <w:sz w:val="18"/>
                <w:szCs w:val="18"/>
              </w:rPr>
              <w:footnoteReference w:id="42"/>
            </w:r>
          </w:p>
        </w:tc>
      </w:tr>
      <w:tr w:rsidR="00D61598" w:rsidRPr="00EF143A" w:rsidTr="00D61598">
        <w:trPr>
          <w:jc w:val="center"/>
        </w:trPr>
        <w:tc>
          <w:tcPr>
            <w:tcW w:w="1915" w:type="dxa"/>
            <w:tcBorders>
              <w:bottom w:val="single" w:sz="4" w:space="0" w:color="000000"/>
            </w:tcBorders>
          </w:tcPr>
          <w:p w:rsidR="00D61598" w:rsidRPr="00D61598" w:rsidRDefault="00D61598" w:rsidP="00D61598">
            <w:pPr>
              <w:pStyle w:val="HIPTabletext"/>
              <w:rPr>
                <w:b/>
                <w:bCs w:val="0"/>
              </w:rPr>
            </w:pPr>
            <w:bookmarkStart w:id="216" w:name="_Toc281153796"/>
            <w:r w:rsidRPr="00D61598">
              <w:rPr>
                <w:b/>
                <w:bCs w:val="0"/>
              </w:rPr>
              <w:t>Lesotho</w:t>
            </w:r>
            <w:bookmarkEnd w:id="216"/>
            <w:r w:rsidRPr="00D61598">
              <w:rPr>
                <w:b/>
                <w:bCs w:val="0"/>
              </w:rPr>
              <w:t xml:space="preserve"> </w:t>
            </w:r>
          </w:p>
        </w:tc>
        <w:tc>
          <w:tcPr>
            <w:tcW w:w="2356" w:type="dxa"/>
            <w:tcBorders>
              <w:bottom w:val="single" w:sz="4" w:space="0" w:color="000000"/>
            </w:tcBorders>
          </w:tcPr>
          <w:p w:rsidR="00D61598" w:rsidRPr="00EF143A" w:rsidRDefault="00D61598" w:rsidP="00D61598">
            <w:pPr>
              <w:pStyle w:val="HIPTabletext"/>
              <w:jc w:val="left"/>
            </w:pPr>
            <w:bookmarkStart w:id="217" w:name="_Toc281153797"/>
            <w:r w:rsidRPr="00EF143A">
              <w:t>1% of Net Operating Income</w:t>
            </w:r>
            <w:bookmarkEnd w:id="217"/>
          </w:p>
        </w:tc>
        <w:tc>
          <w:tcPr>
            <w:tcW w:w="2619" w:type="dxa"/>
            <w:tcBorders>
              <w:bottom w:val="single" w:sz="4" w:space="0" w:color="000000"/>
            </w:tcBorders>
          </w:tcPr>
          <w:p w:rsidR="00D61598" w:rsidRPr="00EF143A" w:rsidRDefault="00D61598" w:rsidP="00D61598">
            <w:pPr>
              <w:pStyle w:val="HIPTabletext"/>
              <w:jc w:val="left"/>
              <w:rPr>
                <w:lang w:val="en-US"/>
              </w:rPr>
            </w:pPr>
            <w:bookmarkStart w:id="218" w:name="_Toc281153798"/>
            <w:r w:rsidRPr="00EF143A">
              <w:rPr>
                <w:lang w:val="en-US"/>
              </w:rPr>
              <w:t>25% of NRA operating Surplus</w:t>
            </w:r>
            <w:bookmarkEnd w:id="218"/>
          </w:p>
          <w:p w:rsidR="00D61598" w:rsidRPr="00EF143A" w:rsidRDefault="00D61598" w:rsidP="00D61598">
            <w:pPr>
              <w:pStyle w:val="HIPTabletext"/>
              <w:jc w:val="left"/>
              <w:rPr>
                <w:lang w:val="en-US"/>
              </w:rPr>
            </w:pPr>
            <w:bookmarkStart w:id="219" w:name="_Toc281153799"/>
            <w:r w:rsidRPr="00EF143A">
              <w:rPr>
                <w:lang w:val="en-US"/>
              </w:rPr>
              <w:t>Seed Capital from NRA</w:t>
            </w:r>
            <w:bookmarkEnd w:id="219"/>
          </w:p>
          <w:p w:rsidR="00D61598" w:rsidRPr="00EF143A" w:rsidRDefault="00D61598" w:rsidP="00D61598">
            <w:pPr>
              <w:pStyle w:val="HIPTabletext"/>
              <w:jc w:val="left"/>
            </w:pPr>
            <w:bookmarkStart w:id="220" w:name="_Toc281153800"/>
            <w:r w:rsidRPr="00EF143A">
              <w:t>Govt</w:t>
            </w:r>
            <w:bookmarkEnd w:id="220"/>
          </w:p>
        </w:tc>
        <w:tc>
          <w:tcPr>
            <w:tcW w:w="2411" w:type="dxa"/>
            <w:tcBorders>
              <w:bottom w:val="single" w:sz="4" w:space="0" w:color="000000"/>
            </w:tcBorders>
          </w:tcPr>
          <w:p w:rsidR="00D61598" w:rsidRPr="00EF143A" w:rsidRDefault="00D61598" w:rsidP="00D61598">
            <w:pPr>
              <w:pStyle w:val="HIPTabletext"/>
              <w:jc w:val="left"/>
            </w:pPr>
          </w:p>
        </w:tc>
      </w:tr>
      <w:tr w:rsidR="00D61598" w:rsidRPr="00A3379B" w:rsidTr="00D61598">
        <w:trPr>
          <w:jc w:val="center"/>
        </w:trPr>
        <w:tc>
          <w:tcPr>
            <w:tcW w:w="1915" w:type="dxa"/>
            <w:shd w:val="clear" w:color="auto" w:fill="EAF1DD"/>
          </w:tcPr>
          <w:p w:rsidR="00D61598" w:rsidRPr="00D61598" w:rsidRDefault="00D61598" w:rsidP="00D61598">
            <w:pPr>
              <w:pStyle w:val="HIPTabletext"/>
              <w:rPr>
                <w:b/>
                <w:bCs w:val="0"/>
              </w:rPr>
            </w:pPr>
            <w:bookmarkStart w:id="221" w:name="_Toc281153801"/>
            <w:r w:rsidRPr="00D61598">
              <w:rPr>
                <w:b/>
                <w:bCs w:val="0"/>
              </w:rPr>
              <w:t>Mauritius</w:t>
            </w:r>
            <w:bookmarkEnd w:id="221"/>
          </w:p>
        </w:tc>
        <w:tc>
          <w:tcPr>
            <w:tcW w:w="2356" w:type="dxa"/>
            <w:shd w:val="clear" w:color="auto" w:fill="EAF1DD"/>
          </w:tcPr>
          <w:p w:rsidR="00D61598" w:rsidRPr="00EF143A" w:rsidRDefault="00D61598" w:rsidP="00D61598">
            <w:pPr>
              <w:pStyle w:val="HIPTabletext"/>
              <w:jc w:val="left"/>
              <w:rPr>
                <w:lang w:val="en-US"/>
              </w:rPr>
            </w:pPr>
            <w:r w:rsidRPr="00EF143A">
              <w:rPr>
                <w:lang w:val="en-US"/>
              </w:rPr>
              <w:t>5% gross revenue from international roaming ; 1,50 Rupees on incoming international calls</w:t>
            </w:r>
          </w:p>
        </w:tc>
        <w:tc>
          <w:tcPr>
            <w:tcW w:w="2619" w:type="dxa"/>
            <w:shd w:val="clear" w:color="auto" w:fill="EAF1DD"/>
          </w:tcPr>
          <w:p w:rsidR="00D61598" w:rsidRPr="00EF143A" w:rsidRDefault="00D61598" w:rsidP="00D61598">
            <w:pPr>
              <w:pStyle w:val="HIPTabletext"/>
              <w:jc w:val="left"/>
              <w:rPr>
                <w:lang w:val="en-US"/>
              </w:rPr>
            </w:pPr>
          </w:p>
        </w:tc>
        <w:tc>
          <w:tcPr>
            <w:tcW w:w="2411" w:type="dxa"/>
            <w:shd w:val="clear" w:color="auto" w:fill="EAF1DD"/>
          </w:tcPr>
          <w:p w:rsidR="00D61598" w:rsidRPr="00EF143A" w:rsidRDefault="00D61598" w:rsidP="00D61598">
            <w:pPr>
              <w:pStyle w:val="HIPTabletext"/>
              <w:jc w:val="left"/>
              <w:rPr>
                <w:lang w:val="en-US"/>
              </w:rPr>
            </w:pPr>
          </w:p>
        </w:tc>
      </w:tr>
      <w:tr w:rsidR="00D61598" w:rsidRPr="00EF143A" w:rsidTr="00D61598">
        <w:trPr>
          <w:jc w:val="center"/>
        </w:trPr>
        <w:tc>
          <w:tcPr>
            <w:tcW w:w="1915" w:type="dxa"/>
            <w:tcBorders>
              <w:bottom w:val="single" w:sz="4" w:space="0" w:color="000000"/>
            </w:tcBorders>
          </w:tcPr>
          <w:p w:rsidR="00D61598" w:rsidRPr="00D61598" w:rsidRDefault="00D61598" w:rsidP="00D61598">
            <w:pPr>
              <w:pStyle w:val="HIPTabletext"/>
              <w:rPr>
                <w:b/>
                <w:bCs w:val="0"/>
              </w:rPr>
            </w:pPr>
            <w:bookmarkStart w:id="222" w:name="_Toc281153802"/>
            <w:r w:rsidRPr="00D61598">
              <w:rPr>
                <w:b/>
                <w:bCs w:val="0"/>
              </w:rPr>
              <w:t>Mozambique</w:t>
            </w:r>
            <w:bookmarkEnd w:id="222"/>
          </w:p>
        </w:tc>
        <w:tc>
          <w:tcPr>
            <w:tcW w:w="2356" w:type="dxa"/>
            <w:tcBorders>
              <w:bottom w:val="single" w:sz="4" w:space="0" w:color="000000"/>
            </w:tcBorders>
          </w:tcPr>
          <w:p w:rsidR="00D61598" w:rsidRPr="00EF143A" w:rsidRDefault="00D61598" w:rsidP="00D61598">
            <w:pPr>
              <w:pStyle w:val="HIPTabletext"/>
              <w:jc w:val="left"/>
            </w:pPr>
            <w:bookmarkStart w:id="223" w:name="_Toc281153803"/>
            <w:r w:rsidRPr="00EF143A">
              <w:t xml:space="preserve">1% </w:t>
            </w:r>
            <w:bookmarkEnd w:id="223"/>
            <w:r w:rsidRPr="00EF143A">
              <w:t>in income after tax</w:t>
            </w:r>
          </w:p>
        </w:tc>
        <w:tc>
          <w:tcPr>
            <w:tcW w:w="2619" w:type="dxa"/>
            <w:tcBorders>
              <w:bottom w:val="single" w:sz="4" w:space="0" w:color="000000"/>
            </w:tcBorders>
          </w:tcPr>
          <w:p w:rsidR="00D61598" w:rsidRPr="00EF143A" w:rsidRDefault="00D61598" w:rsidP="00D61598">
            <w:pPr>
              <w:pStyle w:val="HIPTabletext"/>
              <w:jc w:val="left"/>
            </w:pPr>
            <w:bookmarkStart w:id="224" w:name="_Toc281153804"/>
            <w:r w:rsidRPr="00EF143A">
              <w:t>Government</w:t>
            </w:r>
            <w:bookmarkStart w:id="225" w:name="_Toc281153805"/>
            <w:bookmarkEnd w:id="224"/>
            <w:r w:rsidRPr="00EF143A">
              <w:t>, Development Partner grants</w:t>
            </w:r>
            <w:bookmarkEnd w:id="225"/>
          </w:p>
        </w:tc>
        <w:tc>
          <w:tcPr>
            <w:tcW w:w="2411" w:type="dxa"/>
            <w:tcBorders>
              <w:bottom w:val="single" w:sz="4" w:space="0" w:color="000000"/>
            </w:tcBorders>
          </w:tcPr>
          <w:p w:rsidR="00D61598" w:rsidRPr="00EF143A" w:rsidRDefault="00D61598" w:rsidP="00D61598">
            <w:pPr>
              <w:pStyle w:val="HIPTabletext"/>
              <w:jc w:val="left"/>
            </w:pPr>
          </w:p>
        </w:tc>
      </w:tr>
      <w:tr w:rsidR="00D61598" w:rsidRPr="00EF143A" w:rsidTr="00D61598">
        <w:trPr>
          <w:jc w:val="center"/>
        </w:trPr>
        <w:tc>
          <w:tcPr>
            <w:tcW w:w="1915" w:type="dxa"/>
            <w:shd w:val="clear" w:color="auto" w:fill="EAF1DD"/>
          </w:tcPr>
          <w:p w:rsidR="00D61598" w:rsidRPr="00D61598" w:rsidRDefault="00D61598" w:rsidP="00D61598">
            <w:pPr>
              <w:pStyle w:val="HIPTabletext"/>
              <w:rPr>
                <w:b/>
                <w:bCs w:val="0"/>
              </w:rPr>
            </w:pPr>
            <w:bookmarkStart w:id="226" w:name="_Toc281153806"/>
            <w:r w:rsidRPr="00D61598">
              <w:rPr>
                <w:b/>
                <w:bCs w:val="0"/>
              </w:rPr>
              <w:t>South Africa</w:t>
            </w:r>
            <w:bookmarkEnd w:id="226"/>
            <w:r w:rsidRPr="00D61598">
              <w:rPr>
                <w:b/>
                <w:bCs w:val="0"/>
              </w:rPr>
              <w:t xml:space="preserve"> </w:t>
            </w:r>
          </w:p>
        </w:tc>
        <w:tc>
          <w:tcPr>
            <w:tcW w:w="2356" w:type="dxa"/>
            <w:shd w:val="clear" w:color="auto" w:fill="EAF1DD"/>
          </w:tcPr>
          <w:p w:rsidR="00D61598" w:rsidRPr="00EF143A" w:rsidRDefault="00D61598" w:rsidP="00D61598">
            <w:pPr>
              <w:pStyle w:val="HIPTabletext"/>
              <w:jc w:val="left"/>
            </w:pPr>
            <w:bookmarkStart w:id="227" w:name="_Toc281153807"/>
            <w:r w:rsidRPr="00EF143A">
              <w:t>0.2% of Gross Annual Turnover</w:t>
            </w:r>
            <w:bookmarkEnd w:id="227"/>
            <w:r w:rsidRPr="00EF143A">
              <w:t xml:space="preserve"> </w:t>
            </w:r>
          </w:p>
        </w:tc>
        <w:tc>
          <w:tcPr>
            <w:tcW w:w="2619" w:type="dxa"/>
            <w:shd w:val="clear" w:color="auto" w:fill="EAF1DD"/>
          </w:tcPr>
          <w:p w:rsidR="00D61598" w:rsidRPr="00EF143A" w:rsidRDefault="00D61598" w:rsidP="00D61598">
            <w:pPr>
              <w:pStyle w:val="HIPTabletext"/>
              <w:jc w:val="left"/>
            </w:pPr>
          </w:p>
        </w:tc>
        <w:tc>
          <w:tcPr>
            <w:tcW w:w="2411" w:type="dxa"/>
            <w:shd w:val="clear" w:color="auto" w:fill="EAF1DD"/>
          </w:tcPr>
          <w:p w:rsidR="00D61598" w:rsidRPr="00EF143A" w:rsidRDefault="00D61598" w:rsidP="00D61598">
            <w:pPr>
              <w:pStyle w:val="HIPTabletext"/>
              <w:jc w:val="left"/>
            </w:pPr>
          </w:p>
        </w:tc>
      </w:tr>
      <w:tr w:rsidR="00D61598" w:rsidRPr="00EF143A" w:rsidTr="00D61598">
        <w:trPr>
          <w:jc w:val="center"/>
        </w:trPr>
        <w:tc>
          <w:tcPr>
            <w:tcW w:w="1915" w:type="dxa"/>
            <w:tcBorders>
              <w:bottom w:val="single" w:sz="4" w:space="0" w:color="000000"/>
            </w:tcBorders>
          </w:tcPr>
          <w:p w:rsidR="00D61598" w:rsidRPr="00D61598" w:rsidRDefault="00D61598" w:rsidP="00D61598">
            <w:pPr>
              <w:pStyle w:val="HIPTabletext"/>
              <w:rPr>
                <w:b/>
                <w:bCs w:val="0"/>
              </w:rPr>
            </w:pPr>
            <w:bookmarkStart w:id="228" w:name="_Toc281153808"/>
            <w:r w:rsidRPr="00D61598">
              <w:rPr>
                <w:b/>
                <w:bCs w:val="0"/>
              </w:rPr>
              <w:t>Swaziland</w:t>
            </w:r>
            <w:bookmarkEnd w:id="228"/>
          </w:p>
        </w:tc>
        <w:tc>
          <w:tcPr>
            <w:tcW w:w="2356" w:type="dxa"/>
            <w:tcBorders>
              <w:bottom w:val="single" w:sz="4" w:space="0" w:color="000000"/>
            </w:tcBorders>
          </w:tcPr>
          <w:p w:rsidR="00D61598" w:rsidRPr="00EF143A" w:rsidRDefault="00D61598" w:rsidP="00D61598">
            <w:pPr>
              <w:pStyle w:val="HIPTabletext"/>
              <w:jc w:val="left"/>
            </w:pPr>
            <w:bookmarkStart w:id="229" w:name="_Toc281153809"/>
            <w:r w:rsidRPr="00EF143A">
              <w:t xml:space="preserve">5% of Net Operating Profit </w:t>
            </w:r>
            <w:bookmarkEnd w:id="229"/>
          </w:p>
        </w:tc>
        <w:tc>
          <w:tcPr>
            <w:tcW w:w="2619" w:type="dxa"/>
            <w:tcBorders>
              <w:bottom w:val="single" w:sz="4" w:space="0" w:color="000000"/>
            </w:tcBorders>
          </w:tcPr>
          <w:p w:rsidR="00D61598" w:rsidRPr="00EF143A" w:rsidRDefault="00D61598" w:rsidP="00D61598">
            <w:pPr>
              <w:pStyle w:val="HIPTabletext"/>
              <w:jc w:val="left"/>
            </w:pPr>
          </w:p>
        </w:tc>
        <w:tc>
          <w:tcPr>
            <w:tcW w:w="2411" w:type="dxa"/>
            <w:tcBorders>
              <w:bottom w:val="single" w:sz="4" w:space="0" w:color="000000"/>
            </w:tcBorders>
          </w:tcPr>
          <w:p w:rsidR="00D61598" w:rsidRPr="00EF143A" w:rsidRDefault="00D61598" w:rsidP="00D61598">
            <w:pPr>
              <w:pStyle w:val="HIPTabletext"/>
              <w:jc w:val="left"/>
            </w:pPr>
            <w:r w:rsidRPr="00EF143A">
              <w:t>Only mobile operator contributes</w:t>
            </w:r>
          </w:p>
        </w:tc>
      </w:tr>
      <w:tr w:rsidR="00D61598" w:rsidRPr="00EF143A" w:rsidTr="00D61598">
        <w:trPr>
          <w:jc w:val="center"/>
        </w:trPr>
        <w:tc>
          <w:tcPr>
            <w:tcW w:w="1915" w:type="dxa"/>
            <w:shd w:val="clear" w:color="auto" w:fill="EAF1DD"/>
          </w:tcPr>
          <w:p w:rsidR="00D61598" w:rsidRPr="00D61598" w:rsidRDefault="00D61598" w:rsidP="00D61598">
            <w:pPr>
              <w:pStyle w:val="HIPTabletext"/>
              <w:rPr>
                <w:b/>
                <w:bCs w:val="0"/>
              </w:rPr>
            </w:pPr>
            <w:bookmarkStart w:id="230" w:name="_Toc281153810"/>
            <w:r w:rsidRPr="00D61598">
              <w:rPr>
                <w:b/>
                <w:bCs w:val="0"/>
              </w:rPr>
              <w:t>Tanzania</w:t>
            </w:r>
            <w:bookmarkEnd w:id="230"/>
            <w:r w:rsidRPr="00D61598">
              <w:rPr>
                <w:b/>
                <w:bCs w:val="0"/>
              </w:rPr>
              <w:t xml:space="preserve"> </w:t>
            </w:r>
          </w:p>
        </w:tc>
        <w:tc>
          <w:tcPr>
            <w:tcW w:w="2356" w:type="dxa"/>
            <w:shd w:val="clear" w:color="auto" w:fill="EAF1DD"/>
          </w:tcPr>
          <w:p w:rsidR="00D61598" w:rsidRPr="00EF143A" w:rsidRDefault="00D61598" w:rsidP="00D61598">
            <w:pPr>
              <w:pStyle w:val="HIPTabletext"/>
              <w:jc w:val="left"/>
            </w:pPr>
            <w:bookmarkStart w:id="231" w:name="_Toc281153811"/>
            <w:r w:rsidRPr="00EF143A">
              <w:t>0.3% Annual Gross Turnover</w:t>
            </w:r>
            <w:bookmarkEnd w:id="231"/>
            <w:r w:rsidRPr="00EF143A">
              <w:t xml:space="preserve"> </w:t>
            </w:r>
          </w:p>
        </w:tc>
        <w:tc>
          <w:tcPr>
            <w:tcW w:w="2619" w:type="dxa"/>
            <w:shd w:val="clear" w:color="auto" w:fill="EAF1DD"/>
          </w:tcPr>
          <w:p w:rsidR="00D61598" w:rsidRPr="00EF143A" w:rsidRDefault="00D61598" w:rsidP="00D61598">
            <w:pPr>
              <w:pStyle w:val="HIPTabletext"/>
              <w:jc w:val="left"/>
            </w:pPr>
            <w:bookmarkStart w:id="232" w:name="_Toc281153813"/>
            <w:r w:rsidRPr="00EF143A">
              <w:t>Development Partner grant</w:t>
            </w:r>
            <w:bookmarkEnd w:id="232"/>
          </w:p>
        </w:tc>
        <w:tc>
          <w:tcPr>
            <w:tcW w:w="2411" w:type="dxa"/>
            <w:shd w:val="clear" w:color="auto" w:fill="EAF1DD"/>
          </w:tcPr>
          <w:p w:rsidR="00D61598" w:rsidRPr="00EF143A" w:rsidRDefault="00D61598" w:rsidP="00D61598">
            <w:pPr>
              <w:pStyle w:val="HIPTabletext"/>
              <w:jc w:val="left"/>
            </w:pPr>
          </w:p>
        </w:tc>
      </w:tr>
      <w:tr w:rsidR="00D61598" w:rsidRPr="00A3379B" w:rsidTr="00D61598">
        <w:trPr>
          <w:jc w:val="center"/>
        </w:trPr>
        <w:tc>
          <w:tcPr>
            <w:tcW w:w="1915" w:type="dxa"/>
            <w:tcBorders>
              <w:bottom w:val="single" w:sz="4" w:space="0" w:color="000000"/>
            </w:tcBorders>
          </w:tcPr>
          <w:p w:rsidR="00D61598" w:rsidRPr="00D61598" w:rsidRDefault="00D61598" w:rsidP="00D61598">
            <w:pPr>
              <w:pStyle w:val="HIPTabletext"/>
              <w:rPr>
                <w:b/>
                <w:bCs w:val="0"/>
              </w:rPr>
            </w:pPr>
            <w:bookmarkStart w:id="233" w:name="_Toc281153814"/>
            <w:r w:rsidRPr="00D61598">
              <w:rPr>
                <w:b/>
                <w:bCs w:val="0"/>
              </w:rPr>
              <w:t>Zambia</w:t>
            </w:r>
            <w:bookmarkEnd w:id="233"/>
          </w:p>
        </w:tc>
        <w:tc>
          <w:tcPr>
            <w:tcW w:w="2356" w:type="dxa"/>
            <w:tcBorders>
              <w:bottom w:val="single" w:sz="4" w:space="0" w:color="000000"/>
            </w:tcBorders>
          </w:tcPr>
          <w:p w:rsidR="00D61598" w:rsidRPr="00EF143A" w:rsidRDefault="00D61598" w:rsidP="00D61598">
            <w:pPr>
              <w:pStyle w:val="HIPTabletext"/>
              <w:jc w:val="left"/>
              <w:rPr>
                <w:lang w:val="en-US"/>
              </w:rPr>
            </w:pPr>
            <w:bookmarkStart w:id="234" w:name="_Toc281153815"/>
            <w:r w:rsidRPr="00EF143A">
              <w:rPr>
                <w:lang w:val="en-US"/>
              </w:rPr>
              <w:t>Regulator allocates 10 % of its 5% Annual Gross Turnover from license revenue</w:t>
            </w:r>
            <w:bookmarkEnd w:id="234"/>
            <w:r w:rsidRPr="00EF143A">
              <w:rPr>
                <w:lang w:val="en-US"/>
              </w:rPr>
              <w:t xml:space="preserve"> </w:t>
            </w:r>
          </w:p>
        </w:tc>
        <w:tc>
          <w:tcPr>
            <w:tcW w:w="2619" w:type="dxa"/>
            <w:tcBorders>
              <w:bottom w:val="single" w:sz="4" w:space="0" w:color="000000"/>
            </w:tcBorders>
          </w:tcPr>
          <w:p w:rsidR="00D61598" w:rsidRPr="00EF143A" w:rsidRDefault="00D61598" w:rsidP="00D61598">
            <w:pPr>
              <w:pStyle w:val="HIPTabletext"/>
              <w:jc w:val="left"/>
              <w:rPr>
                <w:lang w:val="en-US"/>
              </w:rPr>
            </w:pPr>
          </w:p>
        </w:tc>
        <w:tc>
          <w:tcPr>
            <w:tcW w:w="2411" w:type="dxa"/>
            <w:tcBorders>
              <w:bottom w:val="single" w:sz="4" w:space="0" w:color="000000"/>
            </w:tcBorders>
          </w:tcPr>
          <w:p w:rsidR="00D61598" w:rsidRPr="00EF143A" w:rsidRDefault="00D61598" w:rsidP="00D61598">
            <w:pPr>
              <w:pStyle w:val="HIPTabletext"/>
              <w:jc w:val="left"/>
              <w:rPr>
                <w:lang w:val="en-US"/>
              </w:rPr>
            </w:pPr>
            <w:bookmarkStart w:id="235" w:name="_Toc281153816"/>
            <w:r w:rsidRPr="00EF143A">
              <w:rPr>
                <w:lang w:val="en-US"/>
              </w:rPr>
              <w:t>Subject to change under new legislation</w:t>
            </w:r>
            <w:bookmarkEnd w:id="235"/>
          </w:p>
        </w:tc>
      </w:tr>
      <w:tr w:rsidR="00D61598" w:rsidRPr="00EF143A" w:rsidTr="00D61598">
        <w:trPr>
          <w:jc w:val="center"/>
        </w:trPr>
        <w:tc>
          <w:tcPr>
            <w:tcW w:w="1915" w:type="dxa"/>
            <w:shd w:val="clear" w:color="auto" w:fill="EAF1DD"/>
          </w:tcPr>
          <w:p w:rsidR="00D61598" w:rsidRPr="00D61598" w:rsidRDefault="00D61598" w:rsidP="005E5682">
            <w:pPr>
              <w:pStyle w:val="HIPTabletext"/>
              <w:keepNext/>
              <w:rPr>
                <w:b/>
                <w:bCs w:val="0"/>
              </w:rPr>
            </w:pPr>
            <w:bookmarkStart w:id="236" w:name="_Toc281153817"/>
            <w:r w:rsidRPr="00D61598">
              <w:rPr>
                <w:b/>
                <w:bCs w:val="0"/>
              </w:rPr>
              <w:lastRenderedPageBreak/>
              <w:t>Zimbabwe</w:t>
            </w:r>
            <w:bookmarkEnd w:id="236"/>
          </w:p>
        </w:tc>
        <w:tc>
          <w:tcPr>
            <w:tcW w:w="2356" w:type="dxa"/>
            <w:shd w:val="clear" w:color="auto" w:fill="EAF1DD"/>
          </w:tcPr>
          <w:p w:rsidR="00D61598" w:rsidRPr="00EF143A" w:rsidRDefault="00D61598" w:rsidP="005E5682">
            <w:pPr>
              <w:pStyle w:val="HIPTabletext"/>
              <w:keepNext/>
              <w:jc w:val="left"/>
            </w:pPr>
          </w:p>
        </w:tc>
        <w:tc>
          <w:tcPr>
            <w:tcW w:w="2619" w:type="dxa"/>
            <w:shd w:val="clear" w:color="auto" w:fill="EAF1DD"/>
          </w:tcPr>
          <w:p w:rsidR="00D61598" w:rsidRPr="00EF143A" w:rsidRDefault="00D61598" w:rsidP="005E5682">
            <w:pPr>
              <w:pStyle w:val="HIPTabletext"/>
              <w:keepNext/>
              <w:jc w:val="left"/>
            </w:pPr>
            <w:bookmarkStart w:id="237" w:name="_Toc281153818"/>
            <w:r w:rsidRPr="00EF143A">
              <w:t>2% contribution from</w:t>
            </w:r>
            <w:r w:rsidR="005E5682">
              <w:t xml:space="preserve"> </w:t>
            </w:r>
            <w:r w:rsidRPr="00EF143A">
              <w:t>all operators</w:t>
            </w:r>
            <w:r w:rsidRPr="00EF143A">
              <w:rPr>
                <w:rStyle w:val="FootnoteReference"/>
                <w:sz w:val="18"/>
                <w:szCs w:val="18"/>
              </w:rPr>
              <w:footnoteReference w:id="43"/>
            </w:r>
            <w:bookmarkEnd w:id="237"/>
          </w:p>
        </w:tc>
        <w:tc>
          <w:tcPr>
            <w:tcW w:w="2411" w:type="dxa"/>
            <w:shd w:val="clear" w:color="auto" w:fill="EAF1DD"/>
          </w:tcPr>
          <w:p w:rsidR="00D61598" w:rsidRPr="00573587" w:rsidRDefault="00D61598" w:rsidP="005E5682">
            <w:pPr>
              <w:pStyle w:val="HIPTabletext"/>
              <w:keepNext/>
              <w:jc w:val="left"/>
              <w:rPr>
                <w:lang w:val="en-US"/>
              </w:rPr>
            </w:pPr>
            <w:r w:rsidRPr="007B38FA">
              <w:rPr>
                <w:lang w:val="en-US"/>
              </w:rPr>
              <w:t>Any monies appropriated by act of Parliament for the purposes of the Fund.</w:t>
            </w:r>
          </w:p>
          <w:p w:rsidR="00D61598" w:rsidRPr="00573587" w:rsidRDefault="00D61598" w:rsidP="005E5682">
            <w:pPr>
              <w:pStyle w:val="HIPTabletext"/>
              <w:keepNext/>
              <w:jc w:val="left"/>
              <w:rPr>
                <w:lang w:val="en-US"/>
              </w:rPr>
            </w:pPr>
            <w:r w:rsidRPr="007B38FA">
              <w:rPr>
                <w:lang w:val="en-US"/>
              </w:rPr>
              <w:t>Any surplus funds at the end of the Regulators financial year.</w:t>
            </w:r>
          </w:p>
          <w:p w:rsidR="00D61598" w:rsidRPr="00573587" w:rsidRDefault="00D61598" w:rsidP="005E5682">
            <w:pPr>
              <w:pStyle w:val="HIPTabletext"/>
              <w:keepNext/>
              <w:jc w:val="left"/>
              <w:rPr>
                <w:lang w:val="en-US"/>
              </w:rPr>
            </w:pPr>
            <w:r w:rsidRPr="007B38FA">
              <w:rPr>
                <w:lang w:val="en-US"/>
              </w:rPr>
              <w:t>Any other monies to which the Fund may be lawfully entitled</w:t>
            </w:r>
          </w:p>
          <w:p w:rsidR="00D61598" w:rsidRPr="00EF143A" w:rsidRDefault="005E5682" w:rsidP="005E5682">
            <w:pPr>
              <w:pStyle w:val="HIPTabletext"/>
              <w:keepNext/>
              <w:jc w:val="left"/>
            </w:pPr>
            <w:r>
              <w:rPr>
                <w:rFonts w:ascii="Helvetica" w:hAnsi="Helvetica" w:cs="Helvetica"/>
                <w:color w:val="333333"/>
                <w:lang w:val="en-US"/>
              </w:rPr>
              <w:t xml:space="preserve"> </w:t>
            </w:r>
            <w:r w:rsidR="00D61598" w:rsidRPr="00EF143A">
              <w:t>may also be used</w:t>
            </w:r>
          </w:p>
        </w:tc>
      </w:tr>
    </w:tbl>
    <w:p w:rsidR="00D61598" w:rsidRDefault="00D61598" w:rsidP="00D61598">
      <w:pPr>
        <w:pStyle w:val="HIPNormal"/>
        <w:rPr>
          <w:lang w:val="en-US"/>
        </w:rPr>
      </w:pPr>
    </w:p>
    <w:p w:rsidR="00D61598" w:rsidRPr="007E12FF" w:rsidRDefault="0088668E" w:rsidP="0088668E">
      <w:pPr>
        <w:pStyle w:val="HIPBoxquestion"/>
        <w:rPr>
          <w:rFonts w:eastAsia="Calibri"/>
        </w:rPr>
      </w:pPr>
      <w:bookmarkStart w:id="238" w:name="_Toc286146356"/>
      <w:r>
        <w:t xml:space="preserve">Box 2.10: </w:t>
      </w:r>
      <w:r w:rsidR="00D61598" w:rsidRPr="007E12FF">
        <w:t>Summary of Best Practices: Level of Contribution</w:t>
      </w:r>
      <w:bookmarkEnd w:id="238"/>
    </w:p>
    <w:p w:rsidR="00D61598" w:rsidRPr="003950B6" w:rsidRDefault="00D61598" w:rsidP="0088668E">
      <w:pPr>
        <w:pStyle w:val="HIPBoxNormal"/>
      </w:pPr>
      <w:r w:rsidRPr="003950B6">
        <w:t>With regard to estab</w:t>
      </w:r>
      <w:r w:rsidR="0088668E">
        <w:t>l</w:t>
      </w:r>
      <w:r w:rsidRPr="003950B6">
        <w:t>ishing the level of contribution (where and operator levy is imposed):</w:t>
      </w:r>
    </w:p>
    <w:p w:rsidR="00D61598" w:rsidRPr="003950B6" w:rsidRDefault="00D61598" w:rsidP="0088668E">
      <w:pPr>
        <w:pStyle w:val="HIPBoxenumlevel"/>
      </w:pPr>
      <w:r w:rsidRPr="00D61598">
        <w:rPr>
          <w:color w:val="008000"/>
        </w:rPr>
        <w:t>•</w:t>
      </w:r>
      <w:r>
        <w:tab/>
      </w:r>
      <w:r w:rsidRPr="003950B6">
        <w:t>Levy contributions should be arrived at in consultation with all stakeholders; a public process and publication of the final decisions in binding regulations or rules is advisable.</w:t>
      </w:r>
    </w:p>
    <w:p w:rsidR="00D61598" w:rsidRPr="003950B6" w:rsidRDefault="00D61598" w:rsidP="0088668E">
      <w:pPr>
        <w:pStyle w:val="HIPBoxenumlevel"/>
      </w:pPr>
      <w:r w:rsidRPr="00D61598">
        <w:rPr>
          <w:color w:val="008000"/>
        </w:rPr>
        <w:t>•</w:t>
      </w:r>
      <w:r>
        <w:tab/>
      </w:r>
      <w:r w:rsidRPr="003950B6">
        <w:t>It is best not to put the actual percentage contribution in the law as it should be aligned with policy objectives and targets which may change; and with market developments. A range may be put in the law to guide the regulator/Fund Administrator in setting the levy.</w:t>
      </w:r>
    </w:p>
    <w:p w:rsidR="00D61598" w:rsidRPr="007E12FF" w:rsidRDefault="00D61598" w:rsidP="0088668E">
      <w:pPr>
        <w:pStyle w:val="HIPBoxenumlevel"/>
      </w:pPr>
      <w:r w:rsidRPr="00D61598">
        <w:rPr>
          <w:color w:val="008000"/>
        </w:rPr>
        <w:t>•</w:t>
      </w:r>
      <w:r>
        <w:tab/>
      </w:r>
      <w:r w:rsidRPr="003950B6">
        <w:t>Levies should be reviewed periodically to ensure alignment with market developments and national policy objectives.</w:t>
      </w:r>
    </w:p>
    <w:p w:rsidR="00D61598" w:rsidRPr="0094088C" w:rsidRDefault="00D61598" w:rsidP="00A72D2A">
      <w:pPr>
        <w:rPr>
          <w:lang w:val="en-US"/>
        </w:rPr>
      </w:pPr>
    </w:p>
    <w:p w:rsidR="00D61598" w:rsidRDefault="00D61598">
      <w:pPr>
        <w:rPr>
          <w:rFonts w:ascii="Calibri" w:hAnsi="Calibri" w:cs="Arial"/>
          <w:color w:val="000000"/>
          <w:sz w:val="21"/>
          <w:lang w:val="en-US"/>
        </w:rPr>
      </w:pPr>
      <w:r>
        <w:rPr>
          <w:lang w:val="en-US"/>
        </w:rPr>
        <w:br w:type="page"/>
      </w:r>
    </w:p>
    <w:p w:rsidR="00D61598" w:rsidRDefault="0088668E" w:rsidP="0088668E">
      <w:pPr>
        <w:pStyle w:val="HIPHeading2"/>
      </w:pPr>
      <w:bookmarkStart w:id="239" w:name="_Toc284597970"/>
      <w:bookmarkStart w:id="240" w:name="_Toc286144969"/>
      <w:r>
        <w:lastRenderedPageBreak/>
        <w:t>2.6</w:t>
      </w:r>
      <w:r>
        <w:tab/>
      </w:r>
      <w:r w:rsidR="00D61598">
        <w:t>RECAP – MAKING SURE YOUR</w:t>
      </w:r>
      <w:r w:rsidR="005E5682">
        <w:t xml:space="preserve"> </w:t>
      </w:r>
      <w:r w:rsidR="00D61598">
        <w:t>USAF FRAMEWORK IS COMPLETE</w:t>
      </w:r>
      <w:bookmarkEnd w:id="239"/>
      <w:bookmarkEnd w:id="240"/>
    </w:p>
    <w:p w:rsidR="00D61598" w:rsidRPr="009A6C73" w:rsidRDefault="00D61598" w:rsidP="0088668E">
      <w:pPr>
        <w:pStyle w:val="HIPTabletitle"/>
      </w:pPr>
      <w:bookmarkStart w:id="241" w:name="_Toc286146555"/>
      <w:r w:rsidRPr="009A6C73">
        <w:t xml:space="preserve">Table </w:t>
      </w:r>
      <w:r w:rsidR="0088668E">
        <w:rPr>
          <w:noProof/>
        </w:rPr>
        <w:t>2.11</w:t>
      </w:r>
      <w:r w:rsidRPr="009A6C73">
        <w:t>: Checklist for US</w:t>
      </w:r>
      <w:r>
        <w:t>A</w:t>
      </w:r>
      <w:r w:rsidRPr="009A6C73">
        <w:t>F Rules and Regulations</w:t>
      </w:r>
      <w:bookmarkEnd w:id="2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9287"/>
      </w:tblGrid>
      <w:tr w:rsidR="00D61598" w:rsidRPr="00A3379B" w:rsidTr="00D61598">
        <w:tc>
          <w:tcPr>
            <w:tcW w:w="9576" w:type="dxa"/>
            <w:shd w:val="clear" w:color="auto" w:fill="EAF1DD"/>
          </w:tcPr>
          <w:p w:rsidR="00D61598" w:rsidRPr="009A6C73" w:rsidRDefault="00D61598" w:rsidP="00D61598">
            <w:pPr>
              <w:pStyle w:val="HIPTabletext"/>
              <w:rPr>
                <w:lang w:val="en-US"/>
              </w:rPr>
            </w:pPr>
            <w:r w:rsidRPr="009A6C73">
              <w:rPr>
                <w:lang w:val="en-US"/>
              </w:rPr>
              <w:t xml:space="preserve">The following describes the issues which must be addressed in terms of locally relevant, technically sound and legally binding regulatory documentation, in order to enable a transparent, accountable and well structured fund. </w:t>
            </w:r>
          </w:p>
          <w:p w:rsidR="00D61598" w:rsidRPr="009A6C73" w:rsidRDefault="00D61598" w:rsidP="00D61598">
            <w:pPr>
              <w:pStyle w:val="HIPTabletext"/>
              <w:rPr>
                <w:lang w:val="en-US"/>
              </w:rPr>
            </w:pPr>
            <w:r w:rsidRPr="009A6C73">
              <w:rPr>
                <w:lang w:val="en-US"/>
              </w:rPr>
              <w:t>SADC Member States are urged to assess how their frameworks far</w:t>
            </w:r>
            <w:r>
              <w:rPr>
                <w:lang w:val="en-US"/>
              </w:rPr>
              <w:t>e</w:t>
            </w:r>
            <w:r w:rsidRPr="009A6C73">
              <w:rPr>
                <w:lang w:val="en-US"/>
              </w:rPr>
              <w:t xml:space="preserve"> against this checklist: </w:t>
            </w:r>
          </w:p>
          <w:p w:rsidR="00D61598" w:rsidRPr="009A6C73" w:rsidRDefault="00D61598" w:rsidP="00D61598">
            <w:pPr>
              <w:pStyle w:val="HIPTabletext"/>
              <w:rPr>
                <w:lang w:val="en-US"/>
              </w:rPr>
            </w:pPr>
            <w:r w:rsidRPr="00D61598">
              <w:rPr>
                <w:color w:val="008000"/>
                <w:lang w:val="en-US"/>
              </w:rPr>
              <w:t>•</w:t>
            </w:r>
            <w:r>
              <w:rPr>
                <w:lang w:val="en-US"/>
              </w:rPr>
              <w:tab/>
            </w:r>
            <w:r w:rsidRPr="009A6C73">
              <w:rPr>
                <w:lang w:val="en-US"/>
              </w:rPr>
              <w:t>Member State has detailed objectives for the regulator or agency to implement the UAS policy?</w:t>
            </w:r>
          </w:p>
          <w:p w:rsidR="00D61598" w:rsidRPr="009A6C73" w:rsidRDefault="00D61598" w:rsidP="00D61598">
            <w:pPr>
              <w:pStyle w:val="HIPTabletext"/>
              <w:ind w:left="709" w:hanging="709"/>
              <w:rPr>
                <w:lang w:val="en-US"/>
              </w:rPr>
            </w:pPr>
            <w:r w:rsidRPr="00D61598">
              <w:rPr>
                <w:color w:val="008000"/>
                <w:lang w:val="en-US"/>
              </w:rPr>
              <w:t>•</w:t>
            </w:r>
            <w:r>
              <w:rPr>
                <w:lang w:val="en-US"/>
              </w:rPr>
              <w:tab/>
            </w:r>
            <w:r w:rsidRPr="009A6C73">
              <w:rPr>
                <w:lang w:val="en-US"/>
              </w:rPr>
              <w:t xml:space="preserve">Member State has detailed institutional arrangements such as establishing a specific UAS department or directorate within the regulator, or establishing a separate implementing agency? </w:t>
            </w:r>
          </w:p>
          <w:p w:rsidR="00D61598" w:rsidRPr="009A6C73" w:rsidRDefault="00D61598" w:rsidP="00D61598">
            <w:pPr>
              <w:pStyle w:val="HIPTabletext"/>
              <w:ind w:left="709" w:hanging="709"/>
              <w:rPr>
                <w:lang w:val="en-US"/>
              </w:rPr>
            </w:pPr>
            <w:r w:rsidRPr="00D61598">
              <w:rPr>
                <w:color w:val="008000"/>
                <w:lang w:val="en-US"/>
              </w:rPr>
              <w:t>•</w:t>
            </w:r>
            <w:r>
              <w:rPr>
                <w:lang w:val="en-US"/>
              </w:rPr>
              <w:tab/>
            </w:r>
            <w:r w:rsidRPr="009A6C73">
              <w:rPr>
                <w:lang w:val="en-US"/>
              </w:rPr>
              <w:t xml:space="preserve">Frameworks specifies the functions to be fulfilled in developing a detailed UAS programme– e.g., defining and zoning areas of the country to determine those which are served, unserved, commercially viable, non-viable, setting strategy, determining priorities, designing projects, monitoring outcomes, etc? </w:t>
            </w:r>
          </w:p>
          <w:p w:rsidR="00D61598" w:rsidRPr="009A6C73" w:rsidRDefault="00D61598" w:rsidP="00D61598">
            <w:pPr>
              <w:pStyle w:val="HIPTabletext"/>
              <w:ind w:left="709" w:hanging="709"/>
              <w:rPr>
                <w:lang w:val="en-US"/>
              </w:rPr>
            </w:pPr>
            <w:r w:rsidRPr="00D61598">
              <w:rPr>
                <w:color w:val="008000"/>
                <w:lang w:val="en-US"/>
              </w:rPr>
              <w:t>•</w:t>
            </w:r>
            <w:r>
              <w:rPr>
                <w:lang w:val="en-US"/>
              </w:rPr>
              <w:tab/>
            </w:r>
            <w:r w:rsidRPr="009A6C73">
              <w:rPr>
                <w:lang w:val="en-US"/>
              </w:rPr>
              <w:t>Framework provides for the development of guidelines, principles and procedures of the UAS implementation, any supervisory or monitoring board, or consultative committee? Has the Member State since made them?</w:t>
            </w:r>
          </w:p>
          <w:p w:rsidR="00D61598" w:rsidRPr="009A6C73" w:rsidRDefault="00D61598" w:rsidP="00D61598">
            <w:pPr>
              <w:pStyle w:val="HIPTabletext"/>
              <w:ind w:left="709" w:hanging="709"/>
              <w:rPr>
                <w:lang w:val="en-US"/>
              </w:rPr>
            </w:pPr>
            <w:r w:rsidRPr="00D61598">
              <w:rPr>
                <w:color w:val="008000"/>
                <w:lang w:val="en-US"/>
              </w:rPr>
              <w:t>•</w:t>
            </w:r>
            <w:r>
              <w:rPr>
                <w:lang w:val="en-US"/>
              </w:rPr>
              <w:tab/>
            </w:r>
            <w:r w:rsidRPr="009A6C73">
              <w:rPr>
                <w:lang w:val="en-US"/>
              </w:rPr>
              <w:t>Member State</w:t>
            </w:r>
            <w:r w:rsidRPr="009A6C73">
              <w:rPr>
                <w:rFonts w:hint="eastAsia"/>
                <w:lang w:val="en-US"/>
              </w:rPr>
              <w:t>’</w:t>
            </w:r>
            <w:r w:rsidRPr="009A6C73">
              <w:rPr>
                <w:lang w:val="en-US"/>
              </w:rPr>
              <w:t>s rules specify responsibilities such as UAS programme approval, official sign-off on UAS disbursements, and other detailed accountabilities?</w:t>
            </w:r>
          </w:p>
          <w:p w:rsidR="00D61598" w:rsidRPr="009A6C73" w:rsidRDefault="00D61598" w:rsidP="00D61598">
            <w:pPr>
              <w:pStyle w:val="HIPTabletext"/>
              <w:ind w:left="709" w:hanging="709"/>
              <w:rPr>
                <w:lang w:val="en-US"/>
              </w:rPr>
            </w:pPr>
            <w:r w:rsidRPr="00D61598">
              <w:rPr>
                <w:color w:val="008000"/>
                <w:lang w:val="en-US"/>
              </w:rPr>
              <w:t>•</w:t>
            </w:r>
            <w:r>
              <w:rPr>
                <w:lang w:val="en-US"/>
              </w:rPr>
              <w:tab/>
            </w:r>
            <w:r w:rsidRPr="009A6C73">
              <w:rPr>
                <w:lang w:val="en-US"/>
              </w:rPr>
              <w:t>Country</w:t>
            </w:r>
            <w:r w:rsidRPr="009A6C73">
              <w:rPr>
                <w:rFonts w:hint="eastAsia"/>
                <w:lang w:val="en-US"/>
              </w:rPr>
              <w:t>’</w:t>
            </w:r>
            <w:r w:rsidRPr="009A6C73">
              <w:rPr>
                <w:lang w:val="en-US"/>
              </w:rPr>
              <w:t>s rules require annual reports, their implementation, success and challenges, progress towards the UAS objectives and their public dissemination; does a template exist?</w:t>
            </w:r>
          </w:p>
          <w:p w:rsidR="00D61598" w:rsidRPr="009A6C73" w:rsidRDefault="00D61598" w:rsidP="00D61598">
            <w:pPr>
              <w:pStyle w:val="HIPTabletext"/>
              <w:ind w:left="709" w:hanging="709"/>
              <w:rPr>
                <w:lang w:val="en-US"/>
              </w:rPr>
            </w:pPr>
            <w:r w:rsidRPr="00D61598">
              <w:rPr>
                <w:color w:val="008000"/>
                <w:lang w:val="en-US"/>
              </w:rPr>
              <w:t>•</w:t>
            </w:r>
            <w:r>
              <w:rPr>
                <w:lang w:val="en-US"/>
              </w:rPr>
              <w:tab/>
            </w:r>
            <w:r w:rsidRPr="009A6C73">
              <w:rPr>
                <w:lang w:val="en-US"/>
              </w:rPr>
              <w:t xml:space="preserve">Member State rules provide for periodic reviews of the UAS policy, objectives, strategies and the regulation in case changes in the market or policy-environment require updates. </w:t>
            </w:r>
          </w:p>
          <w:p w:rsidR="00D61598" w:rsidRPr="009A6C73" w:rsidRDefault="00D61598" w:rsidP="00D61598">
            <w:pPr>
              <w:pStyle w:val="HIPTabletext"/>
              <w:ind w:left="1418" w:hanging="1418"/>
              <w:rPr>
                <w:lang w:val="en-US"/>
              </w:rPr>
            </w:pPr>
            <w:r w:rsidRPr="009A6C73">
              <w:rPr>
                <w:lang w:val="en-US"/>
              </w:rPr>
              <w:t xml:space="preserve">Speficially relevant to the USAF, does your framework have: </w:t>
            </w:r>
          </w:p>
          <w:p w:rsidR="00D61598" w:rsidRPr="009A6C73" w:rsidRDefault="00D61598" w:rsidP="00D61598">
            <w:pPr>
              <w:pStyle w:val="HIPTabletext"/>
              <w:rPr>
                <w:lang w:val="en-US"/>
              </w:rPr>
            </w:pPr>
            <w:r w:rsidRPr="00D61598">
              <w:rPr>
                <w:color w:val="008000"/>
                <w:lang w:val="en-US"/>
              </w:rPr>
              <w:t>•</w:t>
            </w:r>
            <w:r>
              <w:rPr>
                <w:lang w:val="en-US"/>
              </w:rPr>
              <w:tab/>
            </w:r>
            <w:r w:rsidRPr="009A6C73">
              <w:rPr>
                <w:lang w:val="en-US"/>
              </w:rPr>
              <w:t>Detailed rules on process and eligibility for USAF disbursement;</w:t>
            </w:r>
          </w:p>
          <w:p w:rsidR="00D61598" w:rsidRPr="009A6C73" w:rsidRDefault="00D61598" w:rsidP="00D61598">
            <w:pPr>
              <w:pStyle w:val="HIPTabletext"/>
              <w:ind w:left="709" w:hanging="709"/>
              <w:rPr>
                <w:lang w:val="en-US"/>
              </w:rPr>
            </w:pPr>
            <w:r w:rsidRPr="00D61598">
              <w:rPr>
                <w:color w:val="008000"/>
                <w:lang w:val="en-US"/>
              </w:rPr>
              <w:t>•</w:t>
            </w:r>
            <w:r>
              <w:rPr>
                <w:lang w:val="en-US"/>
              </w:rPr>
              <w:tab/>
            </w:r>
            <w:r w:rsidRPr="009A6C73">
              <w:rPr>
                <w:lang w:val="en-US"/>
              </w:rPr>
              <w:t>Specific financial regulations, including the holding and investment of USAF funds, eligible costs and expenses, limits on operational and administrative costs, and financial control, reporting and independent auditing; and</w:t>
            </w:r>
          </w:p>
          <w:p w:rsidR="00D61598" w:rsidRPr="009A6C73" w:rsidRDefault="00D61598" w:rsidP="00D61598">
            <w:pPr>
              <w:pStyle w:val="HIPTabletext"/>
              <w:ind w:left="709" w:hanging="709"/>
              <w:rPr>
                <w:lang w:val="en-US"/>
              </w:rPr>
            </w:pPr>
            <w:r w:rsidRPr="00D61598">
              <w:rPr>
                <w:color w:val="008000"/>
                <w:lang w:val="en-US"/>
              </w:rPr>
              <w:t>•</w:t>
            </w:r>
            <w:r>
              <w:rPr>
                <w:lang w:val="en-US"/>
              </w:rPr>
              <w:tab/>
            </w:r>
            <w:r w:rsidRPr="009A6C73">
              <w:rPr>
                <w:lang w:val="en-US"/>
              </w:rPr>
              <w:t>Detailed accounting rules for operators in order to establish the correct USAF licensee levy.</w:t>
            </w:r>
          </w:p>
          <w:p w:rsidR="00D61598" w:rsidRPr="009A6C73" w:rsidRDefault="00D61598" w:rsidP="00D61598">
            <w:pPr>
              <w:pStyle w:val="HIPTabletext"/>
              <w:ind w:left="709" w:hanging="709"/>
              <w:rPr>
                <w:lang w:val="en-US"/>
              </w:rPr>
            </w:pPr>
            <w:r w:rsidRPr="00D61598">
              <w:rPr>
                <w:color w:val="008000"/>
                <w:lang w:val="en-US"/>
              </w:rPr>
              <w:t>•</w:t>
            </w:r>
            <w:r>
              <w:rPr>
                <w:lang w:val="en-US"/>
              </w:rPr>
              <w:tab/>
            </w:r>
            <w:r w:rsidRPr="009A6C73">
              <w:rPr>
                <w:lang w:val="en-US"/>
              </w:rPr>
              <w:t>Details relating to the institutional framework and operating framework for the Fund (Administrativ</w:t>
            </w:r>
            <w:r>
              <w:rPr>
                <w:lang w:val="en-US"/>
              </w:rPr>
              <w:t>e</w:t>
            </w:r>
            <w:r w:rsidRPr="009A6C73">
              <w:rPr>
                <w:lang w:val="en-US"/>
              </w:rPr>
              <w:t xml:space="preserve"> Rules, Manual , etc)</w:t>
            </w:r>
          </w:p>
          <w:p w:rsidR="00D61598" w:rsidRPr="00B37DAE" w:rsidRDefault="00D61598" w:rsidP="00D61598">
            <w:pPr>
              <w:pStyle w:val="HIPTabletext"/>
              <w:rPr>
                <w:lang w:val="en-US"/>
              </w:rPr>
            </w:pPr>
            <w:r w:rsidRPr="009A6C73">
              <w:rPr>
                <w:lang w:val="en-US"/>
              </w:rPr>
              <w:t xml:space="preserve">Are all of the above captured in binding regulatory documents (i.e. published in regulations, guidelines, rules, as required, and be enforceable) and were these regulatory documents </w:t>
            </w:r>
            <w:r w:rsidRPr="009A6C73">
              <w:rPr>
                <w:rFonts w:hint="eastAsia"/>
                <w:lang w:val="en-US"/>
              </w:rPr>
              <w:t>finalized</w:t>
            </w:r>
            <w:r>
              <w:rPr>
                <w:lang w:val="en-US"/>
              </w:rPr>
              <w:t xml:space="preserve"> following public consultation?</w:t>
            </w:r>
          </w:p>
          <w:p w:rsidR="00D61598" w:rsidRPr="00B37DAE" w:rsidRDefault="00D61598" w:rsidP="00A72D2A">
            <w:pPr>
              <w:rPr>
                <w:lang w:val="en-US"/>
              </w:rPr>
            </w:pPr>
          </w:p>
        </w:tc>
      </w:tr>
    </w:tbl>
    <w:p w:rsidR="00250036" w:rsidRDefault="00250036" w:rsidP="008978A2">
      <w:pPr>
        <w:pStyle w:val="HIPNormal"/>
        <w:rPr>
          <w:lang w:val="en-US"/>
        </w:rPr>
        <w:sectPr w:rsidR="00250036" w:rsidSect="00932167">
          <w:headerReference w:type="even" r:id="rId56"/>
          <w:headerReference w:type="default" r:id="rId57"/>
          <w:footerReference w:type="even" r:id="rId58"/>
          <w:footerReference w:type="default" r:id="rId59"/>
          <w:headerReference w:type="first" r:id="rId60"/>
          <w:footerReference w:type="first" r:id="rId61"/>
          <w:type w:val="oddPage"/>
          <w:pgSz w:w="11907" w:h="16840" w:code="9"/>
          <w:pgMar w:top="1701" w:right="1418" w:bottom="1418" w:left="1418" w:header="720" w:footer="720" w:gutter="0"/>
          <w:cols w:space="720"/>
          <w:titlePg/>
        </w:sectPr>
      </w:pPr>
    </w:p>
    <w:p w:rsidR="003D2DD5" w:rsidRPr="003D2DD5" w:rsidRDefault="003D2DD5" w:rsidP="008978A2">
      <w:pPr>
        <w:pStyle w:val="HIPNormal"/>
        <w:rPr>
          <w:lang w:val="en-US"/>
        </w:rPr>
      </w:pPr>
    </w:p>
    <w:p w:rsidR="00250036" w:rsidRDefault="00250036" w:rsidP="00250036">
      <w:pPr>
        <w:pStyle w:val="HIPNormal"/>
        <w:rPr>
          <w:lang w:val="en-US"/>
        </w:rPr>
      </w:pPr>
    </w:p>
    <w:p w:rsidR="00250036" w:rsidRDefault="00250036" w:rsidP="00250036">
      <w:pPr>
        <w:pStyle w:val="HIPNormal"/>
        <w:rPr>
          <w:lang w:val="en-US"/>
        </w:rPr>
      </w:pPr>
    </w:p>
    <w:p w:rsidR="00250036" w:rsidRPr="00A11AC1" w:rsidRDefault="00250036" w:rsidP="00250036">
      <w:pPr>
        <w:pStyle w:val="HIPNormal"/>
        <w:rPr>
          <w:lang w:val="en-US"/>
        </w:rPr>
      </w:pPr>
    </w:p>
    <w:p w:rsidR="00250036" w:rsidRPr="00A11AC1" w:rsidRDefault="00250036" w:rsidP="00250036">
      <w:pPr>
        <w:pStyle w:val="HIPNormal"/>
        <w:rPr>
          <w:lang w:val="en-US"/>
        </w:rPr>
      </w:pPr>
    </w:p>
    <w:p w:rsidR="00250036" w:rsidRPr="00A11AC1" w:rsidRDefault="00250036" w:rsidP="00250036">
      <w:pPr>
        <w:pStyle w:val="HIPNormal"/>
        <w:rPr>
          <w:lang w:val="en-US"/>
        </w:rPr>
      </w:pPr>
    </w:p>
    <w:p w:rsidR="00250036" w:rsidRDefault="00250036" w:rsidP="00250036">
      <w:pPr>
        <w:pStyle w:val="HIPChaptReportTitle"/>
        <w:numPr>
          <w:ilvl w:val="0"/>
          <w:numId w:val="0"/>
        </w:numPr>
        <w:rPr>
          <w:lang w:val="en-US"/>
        </w:rPr>
      </w:pPr>
      <w:bookmarkStart w:id="242" w:name="_Toc286144970"/>
      <w:r>
        <w:rPr>
          <w:lang w:val="en-US"/>
        </w:rPr>
        <w:t>Part 3</w:t>
      </w:r>
      <w:bookmarkEnd w:id="242"/>
    </w:p>
    <w:p w:rsidR="00250036" w:rsidRPr="0059419C" w:rsidRDefault="00250036" w:rsidP="00250036">
      <w:pPr>
        <w:pStyle w:val="HIPNormal"/>
        <w:rPr>
          <w:lang w:val="en-US"/>
        </w:rPr>
      </w:pPr>
    </w:p>
    <w:p w:rsidR="00250036" w:rsidRPr="0059419C" w:rsidRDefault="00250036" w:rsidP="00250036">
      <w:pPr>
        <w:pStyle w:val="HIPChaptReportTitle"/>
        <w:numPr>
          <w:ilvl w:val="0"/>
          <w:numId w:val="0"/>
        </w:numPr>
        <w:rPr>
          <w:lang w:val="en-US"/>
        </w:rPr>
      </w:pPr>
      <w:bookmarkStart w:id="243" w:name="_Toc286144971"/>
      <w:r w:rsidRPr="00250036">
        <w:rPr>
          <w:lang w:val="en-US"/>
        </w:rPr>
        <w:t>FINANCING UNIVERSAL ACCESS PROJECTS</w:t>
      </w:r>
      <w:bookmarkEnd w:id="243"/>
    </w:p>
    <w:p w:rsidR="00250036" w:rsidRPr="0059419C" w:rsidRDefault="00250036" w:rsidP="00250036">
      <w:pPr>
        <w:pStyle w:val="HIPNormal"/>
        <w:rPr>
          <w:lang w:val="en-US"/>
        </w:rPr>
      </w:pPr>
    </w:p>
    <w:p w:rsidR="00250036" w:rsidRDefault="00250036" w:rsidP="00250036">
      <w:pPr>
        <w:pStyle w:val="HIPHeading2"/>
        <w:sectPr w:rsidR="00250036" w:rsidSect="008978A2">
          <w:headerReference w:type="first" r:id="rId62"/>
          <w:footerReference w:type="first" r:id="rId63"/>
          <w:type w:val="oddPage"/>
          <w:pgSz w:w="11907" w:h="16840" w:code="9"/>
          <w:pgMar w:top="1701" w:right="1418" w:bottom="1418" w:left="1418" w:header="720" w:footer="720" w:gutter="0"/>
          <w:cols w:space="720"/>
          <w:titlePg/>
        </w:sectPr>
      </w:pPr>
    </w:p>
    <w:p w:rsidR="00250036" w:rsidRPr="00B37DAE" w:rsidRDefault="0088668E" w:rsidP="0088668E">
      <w:pPr>
        <w:pStyle w:val="HIPHeading2"/>
      </w:pPr>
      <w:bookmarkStart w:id="244" w:name="_Toc281459570"/>
      <w:bookmarkStart w:id="245" w:name="_Toc284597972"/>
      <w:bookmarkStart w:id="246" w:name="_Toc286144972"/>
      <w:r>
        <w:lastRenderedPageBreak/>
        <w:t>3.1</w:t>
      </w:r>
      <w:r>
        <w:tab/>
      </w:r>
      <w:r w:rsidR="00250036">
        <w:t xml:space="preserve">UTILIZATION OF </w:t>
      </w:r>
      <w:r w:rsidR="00250036" w:rsidRPr="00B96229">
        <w:t>FUNDS</w:t>
      </w:r>
      <w:bookmarkStart w:id="247" w:name="_Toc281459571"/>
      <w:bookmarkEnd w:id="244"/>
      <w:bookmarkEnd w:id="245"/>
      <w:bookmarkEnd w:id="246"/>
      <w:r w:rsidR="00250036">
        <w:t> </w:t>
      </w:r>
    </w:p>
    <w:p w:rsidR="00250036" w:rsidRDefault="0088668E" w:rsidP="0088668E">
      <w:pPr>
        <w:pStyle w:val="HIPheading3"/>
      </w:pPr>
      <w:bookmarkStart w:id="248" w:name="_Toc284597973"/>
      <w:bookmarkStart w:id="249" w:name="_Toc286144973"/>
      <w:r>
        <w:t>3.1.</w:t>
      </w:r>
      <w:r w:rsidR="00250036">
        <w:t>1</w:t>
      </w:r>
      <w:r w:rsidR="00250036">
        <w:tab/>
      </w:r>
      <w:r w:rsidR="00250036" w:rsidRPr="00B37DAE">
        <w:t xml:space="preserve">Global </w:t>
      </w:r>
      <w:r w:rsidR="00250036">
        <w:t>Experience and Good Practice</w:t>
      </w:r>
      <w:bookmarkEnd w:id="248"/>
      <w:bookmarkEnd w:id="249"/>
      <w:r w:rsidR="00250036">
        <w:t xml:space="preserve"> </w:t>
      </w:r>
    </w:p>
    <w:p w:rsidR="00250036" w:rsidRDefault="0088668E" w:rsidP="0088668E">
      <w:pPr>
        <w:pStyle w:val="HIPheading4"/>
      </w:pPr>
      <w:bookmarkStart w:id="250" w:name="_Toc284597974"/>
      <w:r>
        <w:t>3.1.</w:t>
      </w:r>
      <w:r w:rsidR="00250036">
        <w:t>1.1</w:t>
      </w:r>
      <w:r w:rsidR="00250036">
        <w:tab/>
        <w:t>Disbursing Money to Finance Projects</w:t>
      </w:r>
      <w:bookmarkEnd w:id="250"/>
    </w:p>
    <w:bookmarkEnd w:id="247"/>
    <w:p w:rsidR="00250036" w:rsidRPr="00B37DAE" w:rsidRDefault="00250036" w:rsidP="00250036">
      <w:pPr>
        <w:pStyle w:val="HIPNormal"/>
        <w:rPr>
          <w:lang w:val="en-US"/>
        </w:rPr>
      </w:pPr>
      <w:r w:rsidRPr="00B37DAE">
        <w:rPr>
          <w:lang w:val="en-US"/>
        </w:rPr>
        <w:t>In the period 1998-2006, only 26 percent of USAF funds collected globally had been redistributed to the ICT sector for use on universal access projects</w:t>
      </w:r>
      <w:r>
        <w:rPr>
          <w:rStyle w:val="FootnoteReference"/>
          <w:lang w:val="en-US"/>
        </w:rPr>
        <w:footnoteReference w:id="44"/>
      </w:r>
      <w:r w:rsidRPr="00B37DAE">
        <w:rPr>
          <w:lang w:val="en-US"/>
        </w:rPr>
        <w:t>. Regulatel, in Latin America, conducted a fairly comprehensive analysis of fund disbursements</w:t>
      </w:r>
      <w:r>
        <w:rPr>
          <w:lang w:val="en-US"/>
        </w:rPr>
        <w:t xml:space="preserve"> in that region</w:t>
      </w:r>
      <w:r w:rsidRPr="00B37DAE">
        <w:rPr>
          <w:lang w:val="en-US"/>
        </w:rPr>
        <w:t xml:space="preserve"> and found that:</w:t>
      </w:r>
    </w:p>
    <w:p w:rsidR="00250036" w:rsidRPr="00B37DAE" w:rsidRDefault="00250036" w:rsidP="00250036">
      <w:pPr>
        <w:pStyle w:val="HIPEnumlev1"/>
      </w:pPr>
      <w:r w:rsidRPr="00B37DAE">
        <w:t xml:space="preserve">in the 13 Latin American countries with Funds, the amounts collected ranged from $1 million in Ecuador to $1,8 billion in Brazil. </w:t>
      </w:r>
    </w:p>
    <w:p w:rsidR="00250036" w:rsidRPr="00B37DAE" w:rsidRDefault="00250036" w:rsidP="00250036">
      <w:pPr>
        <w:pStyle w:val="HIPEnumlev1"/>
      </w:pPr>
      <w:r w:rsidRPr="00B37DAE">
        <w:t>of the 13 countries, 6 of them had not disb</w:t>
      </w:r>
      <w:r>
        <w:t>ursed any of the monies in the F</w:t>
      </w:r>
      <w:r w:rsidRPr="00B37DAE">
        <w:t xml:space="preserve">und, </w:t>
      </w:r>
    </w:p>
    <w:p w:rsidR="00250036" w:rsidRPr="00B37DAE" w:rsidRDefault="00250036" w:rsidP="00250036">
      <w:pPr>
        <w:pStyle w:val="HIPEnumlev1"/>
      </w:pPr>
      <w:r w:rsidRPr="00B37DAE">
        <w:t>of the 13 countries 4 had disbursed less than 45 percent, and 3 particularly effective funds in Chile, Mexico and Paraguay had spent over 95 percent of the money collected.</w:t>
      </w:r>
      <w:r w:rsidR="005E5682">
        <w:t xml:space="preserve"> </w:t>
      </w:r>
    </w:p>
    <w:p w:rsidR="00250036" w:rsidRPr="00250036" w:rsidRDefault="00250036" w:rsidP="005E5682">
      <w:pPr>
        <w:pStyle w:val="HIPNormal"/>
        <w:rPr>
          <w:lang w:val="en-US"/>
        </w:rPr>
      </w:pPr>
      <w:r>
        <w:rPr>
          <w:lang w:val="en-US"/>
        </w:rPr>
        <w:t>Emerging markets such as India and Pakistan have fared better in respect of the a</w:t>
      </w:r>
      <w:r w:rsidRPr="0045355A">
        <w:rPr>
          <w:lang w:val="en-US"/>
        </w:rPr>
        <w:t>bility to disburse</w:t>
      </w:r>
      <w:r>
        <w:rPr>
          <w:lang w:val="en-US"/>
        </w:rPr>
        <w:t xml:space="preserve"> the monies in the USAF. In </w:t>
      </w:r>
      <w:r>
        <w:rPr>
          <w:rFonts w:hint="eastAsia"/>
          <w:lang w:val="en-US"/>
        </w:rPr>
        <w:t>addition</w:t>
      </w:r>
      <w:r>
        <w:rPr>
          <w:lang w:val="en-US"/>
        </w:rPr>
        <w:t>, in</w:t>
      </w:r>
      <w:r w:rsidRPr="0045355A">
        <w:rPr>
          <w:lang w:val="en-US"/>
        </w:rPr>
        <w:t xml:space="preserve"> the EU</w:t>
      </w:r>
      <w:r>
        <w:rPr>
          <w:lang w:val="en-US"/>
        </w:rPr>
        <w:t xml:space="preserve"> (e.g. Finland, Ireland, and Sweden)</w:t>
      </w:r>
      <w:r w:rsidRPr="0045355A">
        <w:rPr>
          <w:lang w:val="en-US"/>
        </w:rPr>
        <w:t xml:space="preserve">, </w:t>
      </w:r>
      <w:r>
        <w:rPr>
          <w:lang w:val="en-US"/>
        </w:rPr>
        <w:t xml:space="preserve">where </w:t>
      </w:r>
      <w:r w:rsidRPr="0045355A">
        <w:rPr>
          <w:rFonts w:hint="eastAsia"/>
          <w:lang w:val="en-US"/>
        </w:rPr>
        <w:t>public</w:t>
      </w:r>
      <w:r w:rsidRPr="0045355A">
        <w:rPr>
          <w:lang w:val="en-US"/>
        </w:rPr>
        <w:t xml:space="preserve"> aid has been provided </w:t>
      </w:r>
      <w:r>
        <w:rPr>
          <w:lang w:val="en-US"/>
        </w:rPr>
        <w:t xml:space="preserve">in terms </w:t>
      </w:r>
      <w:r>
        <w:rPr>
          <w:rFonts w:hint="eastAsia"/>
          <w:lang w:val="en-US"/>
        </w:rPr>
        <w:t>of the</w:t>
      </w:r>
      <w:r>
        <w:rPr>
          <w:lang w:val="en-US"/>
        </w:rPr>
        <w:t xml:space="preserve"> Recovery Plan and </w:t>
      </w:r>
      <w:r w:rsidRPr="0045355A">
        <w:rPr>
          <w:lang w:val="en-US"/>
        </w:rPr>
        <w:t>through mechanisms other than USAFs, disburseme</w:t>
      </w:r>
      <w:r>
        <w:rPr>
          <w:lang w:val="en-US"/>
        </w:rPr>
        <w:t>nt levels to date are quite high</w:t>
      </w:r>
      <w:r w:rsidRPr="0045355A">
        <w:rPr>
          <w:lang w:val="en-US"/>
        </w:rPr>
        <w:t xml:space="preserve">. </w:t>
      </w:r>
      <w:r w:rsidRPr="0006693F">
        <w:rPr>
          <w:lang w:val="en-US"/>
        </w:rPr>
        <w:t>In 2010, the European Commission adopted a record number of 20 decisions covering aid for broadband development in, among others, Catalonia, Finland and Bavaria, authorising the use of over €1.8 billion of public funds for broadband development.</w:t>
      </w:r>
      <w:r>
        <w:rPr>
          <w:rStyle w:val="FootnoteReference"/>
        </w:rPr>
        <w:footnoteReference w:id="45"/>
      </w:r>
      <w:r w:rsidRPr="0006693F">
        <w:rPr>
          <w:lang w:val="en-US"/>
        </w:rPr>
        <w:t xml:space="preserve"> Excluding </w:t>
      </w:r>
      <w:r w:rsidRPr="009A268E">
        <w:rPr>
          <w:lang w:val="en-US"/>
        </w:rPr>
        <w:t>national funding</w:t>
      </w:r>
      <w:r>
        <w:rPr>
          <w:lang w:val="en-US"/>
        </w:rPr>
        <w:t xml:space="preserve"> (provided by a specific country on a country by country basis)</w:t>
      </w:r>
      <w:r w:rsidRPr="009A268E">
        <w:rPr>
          <w:lang w:val="en-US"/>
        </w:rPr>
        <w:t xml:space="preserve">, </w:t>
      </w:r>
      <w:r>
        <w:rPr>
          <w:lang w:val="en-US"/>
        </w:rPr>
        <w:t xml:space="preserve">between 2007 and </w:t>
      </w:r>
      <w:r w:rsidRPr="009A268E">
        <w:rPr>
          <w:lang w:val="en-US"/>
        </w:rPr>
        <w:t>2013 a total of €2.3</w:t>
      </w:r>
      <w:r w:rsidR="005E5682">
        <w:rPr>
          <w:lang w:val="en-US"/>
        </w:rPr>
        <w:t> </w:t>
      </w:r>
      <w:r w:rsidRPr="009A268E">
        <w:rPr>
          <w:lang w:val="en-US"/>
        </w:rPr>
        <w:t>billion was allocated to broadband infrastructure investments and € 12.9 billion to information society services</w:t>
      </w:r>
      <w:r>
        <w:rPr>
          <w:lang w:val="en-US"/>
        </w:rPr>
        <w:t xml:space="preserve"> through </w:t>
      </w:r>
      <w:r w:rsidRPr="009A268E">
        <w:rPr>
          <w:lang w:val="en-US"/>
        </w:rPr>
        <w:t xml:space="preserve">the EU Structural Funds,; and a further €360 million </w:t>
      </w:r>
      <w:r>
        <w:rPr>
          <w:lang w:val="en-US"/>
        </w:rPr>
        <w:t xml:space="preserve">was issued </w:t>
      </w:r>
      <w:r w:rsidRPr="009A268E">
        <w:rPr>
          <w:lang w:val="en-US"/>
        </w:rPr>
        <w:t xml:space="preserve">through the Fund for Rural Development </w:t>
      </w:r>
      <w:r>
        <w:rPr>
          <w:lang w:val="en-US"/>
        </w:rPr>
        <w:t xml:space="preserve">and </w:t>
      </w:r>
      <w:r w:rsidRPr="009A268E">
        <w:rPr>
          <w:lang w:val="en-US"/>
        </w:rPr>
        <w:t xml:space="preserve">used for broadband funding. </w:t>
      </w:r>
      <w:r w:rsidRPr="008D0A42">
        <w:rPr>
          <w:lang w:val="en-US"/>
        </w:rPr>
        <w:t xml:space="preserve">The </w:t>
      </w:r>
      <w:r w:rsidRPr="00420F27">
        <w:rPr>
          <w:lang w:val="en-US"/>
        </w:rPr>
        <w:t>EIB</w:t>
      </w:r>
      <w:r w:rsidRPr="008D0A42">
        <w:rPr>
          <w:lang w:val="en-US"/>
        </w:rPr>
        <w:t xml:space="preserve"> invested in 2009 €2.3 billion (a total of €12 billion</w:t>
      </w:r>
      <w:r>
        <w:rPr>
          <w:lang w:val="en-US"/>
        </w:rPr>
        <w:t xml:space="preserve"> in the last decade) in broadband infrastructure</w:t>
      </w:r>
      <w:r w:rsidRPr="008D0A42">
        <w:rPr>
          <w:lang w:val="en-US"/>
        </w:rPr>
        <w:t>.</w:t>
      </w:r>
    </w:p>
    <w:p w:rsidR="005E5682" w:rsidRDefault="005E5682">
      <w:pPr>
        <w:rPr>
          <w:rFonts w:ascii="Calibri" w:hAnsi="Calibri" w:cs="Arial"/>
          <w:b/>
          <w:color w:val="000000"/>
          <w:sz w:val="21"/>
          <w:lang w:val="en-US"/>
        </w:rPr>
      </w:pPr>
      <w:r w:rsidRPr="00761E74">
        <w:rPr>
          <w:lang w:val="en-US"/>
        </w:rPr>
        <w:br w:type="page"/>
      </w:r>
    </w:p>
    <w:p w:rsidR="00250036" w:rsidRDefault="00250036" w:rsidP="0088668E">
      <w:pPr>
        <w:pStyle w:val="HIPFiguretitle"/>
      </w:pPr>
      <w:bookmarkStart w:id="251" w:name="_Toc286128671"/>
      <w:bookmarkStart w:id="252" w:name="_Toc286145949"/>
      <w:r w:rsidRPr="00E94C78">
        <w:lastRenderedPageBreak/>
        <w:t xml:space="preserve">Figure </w:t>
      </w:r>
      <w:r w:rsidR="0088668E">
        <w:t>3.1</w:t>
      </w:r>
      <w:r>
        <w:t>: Approved State Aid for Broadband in the EU (2003</w:t>
      </w:r>
      <w:r w:rsidR="005E5682">
        <w:t xml:space="preserve"> – </w:t>
      </w:r>
      <w:r>
        <w:t>2010)</w:t>
      </w:r>
      <w:r>
        <w:rPr>
          <w:rStyle w:val="FootnoteReference"/>
        </w:rPr>
        <w:footnoteReference w:id="46"/>
      </w:r>
      <w:bookmarkEnd w:id="251"/>
      <w:bookmarkEnd w:id="252"/>
    </w:p>
    <w:p w:rsidR="00250036" w:rsidRDefault="00250036" w:rsidP="0088668E">
      <w:pPr>
        <w:pStyle w:val="HIPFigure"/>
      </w:pPr>
      <w:r w:rsidRPr="00250036">
        <w:rPr>
          <w:noProof/>
          <w:lang w:eastAsia="zh-CN"/>
        </w:rPr>
        <w:drawing>
          <wp:inline distT="0" distB="0" distL="0" distR="0">
            <wp:extent cx="5086350" cy="2752725"/>
            <wp:effectExtent l="19050" t="0" r="0" b="0"/>
            <wp:docPr id="8" name="Picture 4" descr="100000000000021600000121896815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0000000000216000001218968153D"/>
                    <pic:cNvPicPr>
                      <a:picLocks noChangeAspect="1" noChangeArrowheads="1"/>
                    </pic:cNvPicPr>
                  </pic:nvPicPr>
                  <pic:blipFill>
                    <a:blip r:embed="rId64" cstate="print"/>
                    <a:srcRect/>
                    <a:stretch>
                      <a:fillRect/>
                    </a:stretch>
                  </pic:blipFill>
                  <pic:spPr bwMode="auto">
                    <a:xfrm>
                      <a:off x="0" y="0"/>
                      <a:ext cx="5086350" cy="2752725"/>
                    </a:xfrm>
                    <a:prstGeom prst="rect">
                      <a:avLst/>
                    </a:prstGeom>
                    <a:noFill/>
                    <a:ln w="9525">
                      <a:noFill/>
                      <a:miter lim="800000"/>
                      <a:headEnd/>
                      <a:tailEnd/>
                    </a:ln>
                  </pic:spPr>
                </pic:pic>
              </a:graphicData>
            </a:graphic>
          </wp:inline>
        </w:drawing>
      </w:r>
    </w:p>
    <w:p w:rsidR="00250036" w:rsidRDefault="00250036" w:rsidP="0088668E">
      <w:pPr>
        <w:pStyle w:val="HIPfiguresource"/>
      </w:pPr>
    </w:p>
    <w:p w:rsidR="00250036" w:rsidRDefault="00250036" w:rsidP="00250036">
      <w:pPr>
        <w:pStyle w:val="HIPNormal"/>
        <w:rPr>
          <w:lang w:val="en-US"/>
        </w:rPr>
      </w:pPr>
      <w:r>
        <w:rPr>
          <w:lang w:val="en-US"/>
        </w:rPr>
        <w:t xml:space="preserve">While disbursement of funds is an achievement, it is important to understand what makes some countries able to disburse monies to projects swiftly and effectively. It seems that the common characteristics of markest such as Sweden, Pakistan, Finland and India include clear rules, effective public consultation processes and transparent processes. In addition good </w:t>
      </w:r>
      <w:r>
        <w:rPr>
          <w:rFonts w:hint="eastAsia"/>
          <w:lang w:val="en-US"/>
        </w:rPr>
        <w:t>governance</w:t>
      </w:r>
      <w:r>
        <w:rPr>
          <w:lang w:val="en-US"/>
        </w:rPr>
        <w:t xml:space="preserve"> is important – since its dismantling in 2010, the Pakistani Fund has not been able to make any project decisions.</w:t>
      </w:r>
    </w:p>
    <w:p w:rsidR="00250036" w:rsidRDefault="00250036" w:rsidP="00250036">
      <w:pPr>
        <w:pStyle w:val="HIPNormal"/>
        <w:rPr>
          <w:lang w:val="en-US"/>
        </w:rPr>
      </w:pPr>
      <w:r>
        <w:rPr>
          <w:lang w:val="en-US"/>
        </w:rPr>
        <w:t xml:space="preserve">It is critical that finacing is provided in line with the good </w:t>
      </w:r>
      <w:r>
        <w:rPr>
          <w:rFonts w:hint="eastAsia"/>
          <w:lang w:val="en-US"/>
        </w:rPr>
        <w:t>governance</w:t>
      </w:r>
      <w:r>
        <w:rPr>
          <w:lang w:val="en-US"/>
        </w:rPr>
        <w:t xml:space="preserve"> </w:t>
      </w:r>
      <w:r>
        <w:rPr>
          <w:rFonts w:hint="eastAsia"/>
          <w:lang w:val="en-US"/>
        </w:rPr>
        <w:t>principles</w:t>
      </w:r>
      <w:r>
        <w:rPr>
          <w:lang w:val="en-US"/>
        </w:rPr>
        <w:t xml:space="preserve"> discussed in Part 2 of this Toolkit. In the United States, despite high levels of disbursement, </w:t>
      </w:r>
      <w:r w:rsidRPr="00B37DAE">
        <w:rPr>
          <w:lang w:val="en-US"/>
        </w:rPr>
        <w:t xml:space="preserve">utilization of funds </w:t>
      </w:r>
      <w:r>
        <w:rPr>
          <w:lang w:val="en-US"/>
        </w:rPr>
        <w:t xml:space="preserve">by the Fund </w:t>
      </w:r>
      <w:r w:rsidRPr="00B37DAE">
        <w:rPr>
          <w:lang w:val="en-US"/>
        </w:rPr>
        <w:t>has been plagued</w:t>
      </w:r>
      <w:r>
        <w:rPr>
          <w:lang w:val="en-US"/>
        </w:rPr>
        <w:t xml:space="preserve"> by concerns around governance, </w:t>
      </w:r>
      <w:r w:rsidRPr="00B37DAE">
        <w:rPr>
          <w:lang w:val="en-US"/>
        </w:rPr>
        <w:t xml:space="preserve">prioritization and efficiency with respect to the use of the funds. </w:t>
      </w:r>
      <w:r>
        <w:rPr>
          <w:lang w:val="en-US"/>
        </w:rPr>
        <w:t>The</w:t>
      </w:r>
      <w:r w:rsidR="005E5682">
        <w:rPr>
          <w:lang w:val="en-US"/>
        </w:rPr>
        <w:t xml:space="preserve"> </w:t>
      </w:r>
      <w:r w:rsidRPr="00B37DAE">
        <w:rPr>
          <w:lang w:val="en-US"/>
        </w:rPr>
        <w:t>USA is reforming its Fund to address concerns, particularly in High Cost Areas, relating to the reasons for the increase in subsidies in high cost areas over the past decade for these very reasons.</w:t>
      </w:r>
    </w:p>
    <w:p w:rsidR="00250036" w:rsidRDefault="00250036" w:rsidP="00250036">
      <w:pPr>
        <w:pStyle w:val="HIPNormal"/>
        <w:rPr>
          <w:lang w:val="en-US"/>
        </w:rPr>
      </w:pPr>
      <w:r w:rsidRPr="00B37DAE">
        <w:rPr>
          <w:lang w:val="en-US"/>
        </w:rPr>
        <w:t>In developing countries the problem does not tend to be overfunding, in part due to the fact that unlike the United States, most developing countries</w:t>
      </w:r>
      <w:r>
        <w:rPr>
          <w:lang w:val="en-US"/>
        </w:rPr>
        <w:t xml:space="preserve"> and emerging markets</w:t>
      </w:r>
      <w:r w:rsidR="005E5682">
        <w:rPr>
          <w:lang w:val="en-US"/>
        </w:rPr>
        <w:t xml:space="preserve"> </w:t>
      </w:r>
      <w:r w:rsidRPr="00B37DAE">
        <w:rPr>
          <w:lang w:val="en-US"/>
        </w:rPr>
        <w:t xml:space="preserve">have adopted the least cost subsidy approach to financing projects. This is discussed in </w:t>
      </w:r>
      <w:r>
        <w:rPr>
          <w:lang w:val="en-US"/>
        </w:rPr>
        <w:t xml:space="preserve">Part 3 under section 5 of </w:t>
      </w:r>
      <w:r>
        <w:rPr>
          <w:rFonts w:hint="eastAsia"/>
          <w:lang w:val="en-US"/>
        </w:rPr>
        <w:t>“</w:t>
      </w:r>
      <w:r>
        <w:rPr>
          <w:lang w:val="en-US"/>
        </w:rPr>
        <w:t>Bidding Processes</w:t>
      </w:r>
      <w:r>
        <w:rPr>
          <w:rFonts w:hint="eastAsia"/>
          <w:lang w:val="en-US"/>
        </w:rPr>
        <w:t>”</w:t>
      </w:r>
      <w:r w:rsidRPr="00B37DAE">
        <w:rPr>
          <w:lang w:val="en-US"/>
        </w:rPr>
        <w:t>.</w:t>
      </w:r>
      <w:r w:rsidR="005E5682">
        <w:rPr>
          <w:lang w:val="en-US"/>
        </w:rPr>
        <w:t xml:space="preserve"> </w:t>
      </w:r>
    </w:p>
    <w:p w:rsidR="00250036" w:rsidRPr="00420F27" w:rsidRDefault="0088668E" w:rsidP="0088668E">
      <w:pPr>
        <w:pStyle w:val="HIPheading4"/>
      </w:pPr>
      <w:bookmarkStart w:id="253" w:name="_Toc284597975"/>
      <w:r>
        <w:t>3.1.</w:t>
      </w:r>
      <w:r w:rsidR="00250036">
        <w:t>1.2</w:t>
      </w:r>
      <w:r w:rsidR="00250036">
        <w:tab/>
        <w:t>Speed of Financing</w:t>
      </w:r>
      <w:bookmarkEnd w:id="253"/>
      <w:r w:rsidR="00250036">
        <w:t xml:space="preserve"> </w:t>
      </w:r>
    </w:p>
    <w:p w:rsidR="00250036" w:rsidRPr="00B37DAE" w:rsidRDefault="00250036" w:rsidP="00250036">
      <w:pPr>
        <w:pStyle w:val="HIPNormal"/>
        <w:rPr>
          <w:lang w:val="en-US"/>
        </w:rPr>
      </w:pPr>
      <w:r w:rsidRPr="00B37DAE">
        <w:rPr>
          <w:lang w:val="en-US"/>
        </w:rPr>
        <w:t>Another challenge with respect to the utilization of the Fund is the speed of financing. In Latin America, Regulatel found that there are 5 main reasons for countries being slow to finance projects, namely:</w:t>
      </w:r>
    </w:p>
    <w:p w:rsidR="00250036" w:rsidRPr="00B37DAE" w:rsidRDefault="00250036" w:rsidP="00250036">
      <w:pPr>
        <w:pStyle w:val="HIPEnumlev1"/>
      </w:pPr>
      <w:r w:rsidRPr="00B37DAE">
        <w:t>where the Fund is located with the regulator, the regulator doesn’t prioritise universal service;</w:t>
      </w:r>
    </w:p>
    <w:p w:rsidR="00250036" w:rsidRPr="00B37DAE" w:rsidRDefault="00250036" w:rsidP="00250036">
      <w:pPr>
        <w:pStyle w:val="HIPEnumlev1"/>
      </w:pPr>
      <w:r w:rsidRPr="00B37DAE">
        <w:t>the speed of the political process, governments fail to pass enabling legislation, or hold back approvals for funds to be spent;</w:t>
      </w:r>
    </w:p>
    <w:p w:rsidR="00250036" w:rsidRPr="00B37DAE" w:rsidRDefault="00250036" w:rsidP="00250036">
      <w:pPr>
        <w:pStyle w:val="HIPEnumlev1"/>
      </w:pPr>
      <w:r w:rsidRPr="00B37DAE">
        <w:t>the time needed to design, evaluate and assess and implement projects is significant;</w:t>
      </w:r>
    </w:p>
    <w:p w:rsidR="00250036" w:rsidRPr="00B37DAE" w:rsidRDefault="00250036" w:rsidP="00250036">
      <w:pPr>
        <w:pStyle w:val="HIPEnumlev1"/>
      </w:pPr>
      <w:r w:rsidRPr="00B37DAE">
        <w:lastRenderedPageBreak/>
        <w:t>Since the projects are often considered ‘public investments’ they are subject to lengthy approval processes as any other process utiilising public funds;</w:t>
      </w:r>
    </w:p>
    <w:p w:rsidR="00250036" w:rsidRPr="00B37DAE" w:rsidRDefault="00250036" w:rsidP="00250036">
      <w:pPr>
        <w:pStyle w:val="HIPEnumlev1"/>
      </w:pPr>
      <w:r w:rsidRPr="00B37DAE">
        <w:t>disbursements may be subject to additional constraints from third party organizations such as the IMF</w:t>
      </w:r>
    </w:p>
    <w:p w:rsidR="00250036" w:rsidRDefault="00250036" w:rsidP="00250036">
      <w:pPr>
        <w:pStyle w:val="HIPNormal"/>
        <w:rPr>
          <w:lang w:val="en-US"/>
        </w:rPr>
      </w:pPr>
      <w:r w:rsidRPr="00B37DAE">
        <w:rPr>
          <w:lang w:val="en-US"/>
        </w:rPr>
        <w:t>These challenges are not unique to Latin America and will be discussed in more detail, in a SADC context below.</w:t>
      </w:r>
      <w:bookmarkStart w:id="254" w:name="_Toc281459572"/>
    </w:p>
    <w:p w:rsidR="00250036" w:rsidRPr="00B37DAE" w:rsidRDefault="0088668E" w:rsidP="0088668E">
      <w:pPr>
        <w:pStyle w:val="HIPheading3"/>
      </w:pPr>
      <w:bookmarkStart w:id="255" w:name="_Toc284597976"/>
      <w:bookmarkStart w:id="256" w:name="_Toc286144974"/>
      <w:r>
        <w:t>3.1.</w:t>
      </w:r>
      <w:r w:rsidR="00250036">
        <w:t>2</w:t>
      </w:r>
      <w:r w:rsidR="00250036">
        <w:tab/>
      </w:r>
      <w:r w:rsidR="00250036" w:rsidRPr="00B37DAE">
        <w:t>SADC Experience</w:t>
      </w:r>
      <w:bookmarkEnd w:id="254"/>
      <w:bookmarkEnd w:id="255"/>
      <w:bookmarkEnd w:id="256"/>
    </w:p>
    <w:p w:rsidR="00250036" w:rsidRDefault="00250036" w:rsidP="00250036">
      <w:pPr>
        <w:pStyle w:val="HIPNormal"/>
        <w:rPr>
          <w:lang w:val="en-US"/>
        </w:rPr>
      </w:pPr>
      <w:r w:rsidRPr="00B37DAE">
        <w:rPr>
          <w:lang w:val="en-US"/>
        </w:rPr>
        <w:t xml:space="preserve">Utilisation of Funds in SADC is a challenge. To date at least four out of seven countries have subsidised operators rolling out in high cost areas or working on projects that provide ICT in underserviced areas and this can be seen in </w:t>
      </w:r>
      <w:r w:rsidRPr="00B37DAE">
        <w:rPr>
          <w:i/>
          <w:lang w:val="en-US"/>
        </w:rPr>
        <w:t>Table</w:t>
      </w:r>
      <w:r>
        <w:rPr>
          <w:i/>
          <w:lang w:val="en-US"/>
        </w:rPr>
        <w:t xml:space="preserve"> 13</w:t>
      </w:r>
      <w:r w:rsidR="005E5682">
        <w:rPr>
          <w:i/>
          <w:lang w:val="en-US"/>
        </w:rPr>
        <w:t xml:space="preserve"> </w:t>
      </w:r>
      <w:r w:rsidRPr="00B37DAE">
        <w:rPr>
          <w:lang w:val="en-US"/>
        </w:rPr>
        <w:t>below. Other than South Africa which provided subsidies for telecentres as early as 1999, the other countries subsidies were issued post 2008. The other 10 countries are at various stages of commencing disbursement o</w:t>
      </w:r>
      <w:r>
        <w:rPr>
          <w:lang w:val="en-US"/>
        </w:rPr>
        <w:t>r are planning to do so.</w:t>
      </w:r>
      <w:r w:rsidR="005E5682">
        <w:rPr>
          <w:lang w:val="en-US"/>
        </w:rPr>
        <w:t xml:space="preserve"> </w:t>
      </w:r>
      <w:r>
        <w:rPr>
          <w:lang w:val="en-US"/>
        </w:rPr>
        <w:t>Table 11</w:t>
      </w:r>
      <w:r w:rsidRPr="00B37DAE">
        <w:rPr>
          <w:lang w:val="en-US"/>
        </w:rPr>
        <w:t xml:space="preserve"> below looks specifically at the Mozambique case for which historica</w:t>
      </w:r>
      <w:r>
        <w:rPr>
          <w:lang w:val="en-US"/>
        </w:rPr>
        <w:t>l data is available, and Table 12</w:t>
      </w:r>
      <w:r w:rsidRPr="00B37DAE">
        <w:rPr>
          <w:lang w:val="en-US"/>
        </w:rPr>
        <w:t xml:space="preserve"> looks at the Lesotho case. It should be noted that in the case of Mozambique, the Fund stands at over $3 million as of 2010.</w:t>
      </w:r>
    </w:p>
    <w:p w:rsidR="00250036" w:rsidRPr="00B37DAE" w:rsidRDefault="00250036" w:rsidP="0088668E">
      <w:pPr>
        <w:pStyle w:val="HIPTabletitle"/>
      </w:pPr>
      <w:bookmarkStart w:id="257" w:name="_Toc286146556"/>
      <w:r w:rsidRPr="00B37DAE">
        <w:t xml:space="preserve">Table </w:t>
      </w:r>
      <w:r w:rsidR="0088668E">
        <w:rPr>
          <w:noProof/>
        </w:rPr>
        <w:t>3.1</w:t>
      </w:r>
      <w:r w:rsidRPr="00B37DAE">
        <w:t>: Disbursement of Mozambique USF</w:t>
      </w:r>
      <w:r>
        <w:rPr>
          <w:rStyle w:val="FootnoteReference"/>
        </w:rPr>
        <w:footnoteReference w:id="47"/>
      </w:r>
      <w:bookmarkEnd w:id="2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7"/>
        <w:gridCol w:w="1902"/>
        <w:gridCol w:w="1902"/>
        <w:gridCol w:w="1972"/>
        <w:gridCol w:w="1584"/>
      </w:tblGrid>
      <w:tr w:rsidR="00250036" w:rsidTr="00250036">
        <w:tc>
          <w:tcPr>
            <w:tcW w:w="1986" w:type="dxa"/>
            <w:shd w:val="clear" w:color="auto" w:fill="008000"/>
          </w:tcPr>
          <w:p w:rsidR="00250036" w:rsidRPr="00B37DAE" w:rsidRDefault="00250036" w:rsidP="00250036">
            <w:pPr>
              <w:pStyle w:val="HIPTablehead"/>
            </w:pPr>
          </w:p>
        </w:tc>
        <w:tc>
          <w:tcPr>
            <w:tcW w:w="1960" w:type="dxa"/>
            <w:shd w:val="clear" w:color="auto" w:fill="008000"/>
          </w:tcPr>
          <w:p w:rsidR="00250036" w:rsidRPr="00052E68" w:rsidRDefault="00250036" w:rsidP="00250036">
            <w:pPr>
              <w:pStyle w:val="HIPTablehead"/>
            </w:pPr>
            <w:r w:rsidRPr="005F66D6">
              <w:t>2006</w:t>
            </w:r>
          </w:p>
        </w:tc>
        <w:tc>
          <w:tcPr>
            <w:tcW w:w="1960" w:type="dxa"/>
            <w:shd w:val="clear" w:color="auto" w:fill="008000"/>
          </w:tcPr>
          <w:p w:rsidR="00250036" w:rsidRPr="00052E68" w:rsidRDefault="00250036" w:rsidP="00250036">
            <w:pPr>
              <w:pStyle w:val="HIPTablehead"/>
            </w:pPr>
            <w:r w:rsidRPr="005F66D6">
              <w:t>2007</w:t>
            </w:r>
          </w:p>
        </w:tc>
        <w:tc>
          <w:tcPr>
            <w:tcW w:w="2024" w:type="dxa"/>
            <w:shd w:val="clear" w:color="auto" w:fill="008000"/>
          </w:tcPr>
          <w:p w:rsidR="00250036" w:rsidRPr="00052E68" w:rsidRDefault="00250036" w:rsidP="00250036">
            <w:pPr>
              <w:pStyle w:val="HIPTablehead"/>
            </w:pPr>
            <w:r w:rsidRPr="005F66D6">
              <w:t>2008</w:t>
            </w:r>
          </w:p>
        </w:tc>
        <w:tc>
          <w:tcPr>
            <w:tcW w:w="1646" w:type="dxa"/>
            <w:shd w:val="clear" w:color="auto" w:fill="008000"/>
          </w:tcPr>
          <w:p w:rsidR="00250036" w:rsidRPr="00052E68" w:rsidRDefault="00250036" w:rsidP="00250036">
            <w:pPr>
              <w:pStyle w:val="HIPTablehead"/>
            </w:pPr>
            <w:r>
              <w:t>2009</w:t>
            </w:r>
          </w:p>
        </w:tc>
      </w:tr>
      <w:tr w:rsidR="00250036" w:rsidTr="00250036">
        <w:tc>
          <w:tcPr>
            <w:tcW w:w="1986" w:type="dxa"/>
            <w:tcBorders>
              <w:bottom w:val="single" w:sz="4" w:space="0" w:color="auto"/>
            </w:tcBorders>
          </w:tcPr>
          <w:p w:rsidR="00250036" w:rsidRPr="00250036" w:rsidRDefault="00250036" w:rsidP="00250036">
            <w:pPr>
              <w:pStyle w:val="HIPTabletext"/>
              <w:rPr>
                <w:b/>
                <w:bCs w:val="0"/>
              </w:rPr>
            </w:pPr>
            <w:r w:rsidRPr="00250036">
              <w:rPr>
                <w:b/>
                <w:bCs w:val="0"/>
              </w:rPr>
              <w:t>Collected</w:t>
            </w:r>
          </w:p>
        </w:tc>
        <w:tc>
          <w:tcPr>
            <w:tcW w:w="1960" w:type="dxa"/>
            <w:tcBorders>
              <w:bottom w:val="single" w:sz="4" w:space="0" w:color="auto"/>
            </w:tcBorders>
          </w:tcPr>
          <w:p w:rsidR="00250036" w:rsidRDefault="00250036" w:rsidP="00250036">
            <w:pPr>
              <w:pStyle w:val="HIPTabletext"/>
            </w:pPr>
            <w:r>
              <w:t>$657,354</w:t>
            </w:r>
          </w:p>
        </w:tc>
        <w:tc>
          <w:tcPr>
            <w:tcW w:w="1960" w:type="dxa"/>
            <w:tcBorders>
              <w:bottom w:val="single" w:sz="4" w:space="0" w:color="auto"/>
            </w:tcBorders>
          </w:tcPr>
          <w:p w:rsidR="00250036" w:rsidRDefault="00250036" w:rsidP="00250036">
            <w:pPr>
              <w:pStyle w:val="HIPTabletext"/>
            </w:pPr>
            <w:r>
              <w:t>$903,862</w:t>
            </w:r>
          </w:p>
        </w:tc>
        <w:tc>
          <w:tcPr>
            <w:tcW w:w="2024" w:type="dxa"/>
            <w:tcBorders>
              <w:bottom w:val="single" w:sz="4" w:space="0" w:color="auto"/>
            </w:tcBorders>
          </w:tcPr>
          <w:p w:rsidR="00250036" w:rsidRDefault="00250036" w:rsidP="00250036">
            <w:pPr>
              <w:pStyle w:val="HIPTabletext"/>
            </w:pPr>
            <w:r>
              <w:t>$1,780,334</w:t>
            </w:r>
          </w:p>
        </w:tc>
        <w:tc>
          <w:tcPr>
            <w:tcW w:w="1646" w:type="dxa"/>
            <w:tcBorders>
              <w:bottom w:val="single" w:sz="4" w:space="0" w:color="auto"/>
            </w:tcBorders>
          </w:tcPr>
          <w:p w:rsidR="00250036" w:rsidRDefault="00250036" w:rsidP="00250036">
            <w:pPr>
              <w:pStyle w:val="HIPTabletext"/>
            </w:pPr>
          </w:p>
        </w:tc>
      </w:tr>
      <w:tr w:rsidR="00250036" w:rsidTr="00250036">
        <w:tc>
          <w:tcPr>
            <w:tcW w:w="1986" w:type="dxa"/>
            <w:shd w:val="clear" w:color="auto" w:fill="EAF1DD"/>
          </w:tcPr>
          <w:p w:rsidR="00250036" w:rsidRPr="00250036" w:rsidRDefault="00250036" w:rsidP="00250036">
            <w:pPr>
              <w:pStyle w:val="HIPTabletext"/>
              <w:rPr>
                <w:b/>
                <w:bCs w:val="0"/>
              </w:rPr>
            </w:pPr>
            <w:r w:rsidRPr="00250036">
              <w:rPr>
                <w:b/>
                <w:bCs w:val="0"/>
              </w:rPr>
              <w:t>Spent</w:t>
            </w:r>
          </w:p>
        </w:tc>
        <w:tc>
          <w:tcPr>
            <w:tcW w:w="1960" w:type="dxa"/>
            <w:shd w:val="clear" w:color="auto" w:fill="EAF1DD"/>
          </w:tcPr>
          <w:p w:rsidR="00250036" w:rsidRDefault="00250036" w:rsidP="00250036">
            <w:pPr>
              <w:pStyle w:val="HIPTabletext"/>
            </w:pPr>
            <w:r>
              <w:t>$0</w:t>
            </w:r>
          </w:p>
        </w:tc>
        <w:tc>
          <w:tcPr>
            <w:tcW w:w="1960" w:type="dxa"/>
            <w:shd w:val="clear" w:color="auto" w:fill="EAF1DD"/>
          </w:tcPr>
          <w:p w:rsidR="00250036" w:rsidRDefault="00250036" w:rsidP="00250036">
            <w:pPr>
              <w:pStyle w:val="HIPTabletext"/>
            </w:pPr>
            <w:r>
              <w:t>$0</w:t>
            </w:r>
          </w:p>
        </w:tc>
        <w:tc>
          <w:tcPr>
            <w:tcW w:w="2024" w:type="dxa"/>
            <w:shd w:val="clear" w:color="auto" w:fill="EAF1DD"/>
          </w:tcPr>
          <w:p w:rsidR="00250036" w:rsidRDefault="00250036" w:rsidP="00250036">
            <w:pPr>
              <w:pStyle w:val="HIPTabletext"/>
            </w:pPr>
            <w:r>
              <w:t>$383,456</w:t>
            </w:r>
          </w:p>
        </w:tc>
        <w:tc>
          <w:tcPr>
            <w:tcW w:w="1646" w:type="dxa"/>
            <w:shd w:val="clear" w:color="auto" w:fill="EAF1DD"/>
          </w:tcPr>
          <w:p w:rsidR="00250036" w:rsidRDefault="00250036" w:rsidP="00250036">
            <w:pPr>
              <w:pStyle w:val="HIPTabletext"/>
            </w:pPr>
          </w:p>
        </w:tc>
      </w:tr>
    </w:tbl>
    <w:p w:rsidR="00250036" w:rsidRDefault="00250036" w:rsidP="00250036">
      <w:pPr>
        <w:pStyle w:val="HIPNormal"/>
      </w:pPr>
    </w:p>
    <w:p w:rsidR="00250036" w:rsidRPr="00B37DAE" w:rsidRDefault="00250036" w:rsidP="0088668E">
      <w:pPr>
        <w:pStyle w:val="HIPTabletitle"/>
      </w:pPr>
      <w:bookmarkStart w:id="258" w:name="_Toc286146557"/>
      <w:r w:rsidRPr="00B37DAE">
        <w:t xml:space="preserve">Table </w:t>
      </w:r>
      <w:r w:rsidR="0088668E">
        <w:t>3.2</w:t>
      </w:r>
      <w:r w:rsidRPr="00B37DAE">
        <w:t>: Disbursement of Lesotho USF</w:t>
      </w:r>
      <w:r>
        <w:rPr>
          <w:rStyle w:val="FootnoteReference"/>
        </w:rPr>
        <w:footnoteReference w:id="48"/>
      </w:r>
      <w:bookmarkEnd w:id="258"/>
    </w:p>
    <w:tbl>
      <w:tblPr>
        <w:tblW w:w="9367"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16"/>
        <w:gridCol w:w="2124"/>
        <w:gridCol w:w="1972"/>
        <w:gridCol w:w="2255"/>
      </w:tblGrid>
      <w:tr w:rsidR="00250036" w:rsidRPr="000D7679" w:rsidTr="00250036">
        <w:tc>
          <w:tcPr>
            <w:tcW w:w="3016" w:type="dxa"/>
            <w:shd w:val="clear" w:color="auto" w:fill="008000"/>
          </w:tcPr>
          <w:p w:rsidR="00250036" w:rsidRPr="00250036" w:rsidRDefault="00250036" w:rsidP="00250036">
            <w:pPr>
              <w:pStyle w:val="HIPTablehead"/>
            </w:pPr>
            <w:r w:rsidRPr="00250036">
              <w:t>Collected</w:t>
            </w:r>
            <w:r w:rsidRPr="00250036">
              <w:rPr>
                <w:rStyle w:val="FootnoteReference"/>
                <w:b w:val="0"/>
                <w:bCs w:val="0"/>
              </w:rPr>
              <w:footnoteReference w:id="49"/>
            </w:r>
          </w:p>
        </w:tc>
        <w:tc>
          <w:tcPr>
            <w:tcW w:w="6351" w:type="dxa"/>
            <w:gridSpan w:val="3"/>
            <w:shd w:val="clear" w:color="auto" w:fill="EAF1DD"/>
          </w:tcPr>
          <w:p w:rsidR="00250036" w:rsidRPr="000D7679" w:rsidRDefault="00250036" w:rsidP="00250036">
            <w:pPr>
              <w:pStyle w:val="HIPTabletext"/>
            </w:pPr>
            <w:r>
              <w:t>$1,250,000</w:t>
            </w:r>
          </w:p>
        </w:tc>
      </w:tr>
      <w:tr w:rsidR="00250036" w:rsidRPr="000D7679" w:rsidTr="00250036">
        <w:tc>
          <w:tcPr>
            <w:tcW w:w="3016" w:type="dxa"/>
            <w:shd w:val="clear" w:color="auto" w:fill="008000"/>
          </w:tcPr>
          <w:p w:rsidR="00250036" w:rsidRPr="00250036" w:rsidRDefault="00250036" w:rsidP="00250036">
            <w:pPr>
              <w:pStyle w:val="HIPTablehead"/>
            </w:pPr>
            <w:r w:rsidRPr="00250036">
              <w:t>Spent</w:t>
            </w:r>
          </w:p>
        </w:tc>
        <w:tc>
          <w:tcPr>
            <w:tcW w:w="6351" w:type="dxa"/>
            <w:gridSpan w:val="3"/>
            <w:shd w:val="clear" w:color="auto" w:fill="EAF1DD"/>
          </w:tcPr>
          <w:p w:rsidR="00250036" w:rsidRDefault="00250036" w:rsidP="00250036">
            <w:pPr>
              <w:pStyle w:val="HIPTabletext"/>
            </w:pPr>
            <w:r>
              <w:t>$1,348,283</w:t>
            </w:r>
            <w:r>
              <w:rPr>
                <w:rStyle w:val="FootnoteReference"/>
              </w:rPr>
              <w:footnoteReference w:id="50"/>
            </w:r>
          </w:p>
        </w:tc>
      </w:tr>
      <w:tr w:rsidR="00250036" w:rsidRPr="000D7679" w:rsidTr="00250036">
        <w:tc>
          <w:tcPr>
            <w:tcW w:w="3016" w:type="dxa"/>
            <w:shd w:val="clear" w:color="auto" w:fill="008000"/>
          </w:tcPr>
          <w:p w:rsidR="00250036" w:rsidRPr="00250036" w:rsidRDefault="00250036" w:rsidP="00250036">
            <w:pPr>
              <w:pStyle w:val="HIPTablehead"/>
            </w:pPr>
            <w:r w:rsidRPr="00250036">
              <w:t>Project Name</w:t>
            </w:r>
          </w:p>
        </w:tc>
        <w:tc>
          <w:tcPr>
            <w:tcW w:w="2124" w:type="dxa"/>
            <w:shd w:val="clear" w:color="auto" w:fill="008000"/>
          </w:tcPr>
          <w:p w:rsidR="00250036" w:rsidRPr="000D7679" w:rsidRDefault="00250036" w:rsidP="00250036">
            <w:pPr>
              <w:pStyle w:val="HIPTablehead"/>
            </w:pPr>
            <w:r w:rsidRPr="000D7679">
              <w:t>Type</w:t>
            </w:r>
          </w:p>
        </w:tc>
        <w:tc>
          <w:tcPr>
            <w:tcW w:w="1972" w:type="dxa"/>
            <w:shd w:val="clear" w:color="auto" w:fill="008000"/>
          </w:tcPr>
          <w:p w:rsidR="00250036" w:rsidRPr="000D7679" w:rsidRDefault="00250036" w:rsidP="00250036">
            <w:pPr>
              <w:pStyle w:val="HIPTablehead"/>
            </w:pPr>
            <w:r w:rsidRPr="000D7679">
              <w:t>Year</w:t>
            </w:r>
          </w:p>
        </w:tc>
        <w:tc>
          <w:tcPr>
            <w:tcW w:w="2255" w:type="dxa"/>
            <w:shd w:val="clear" w:color="auto" w:fill="008000"/>
          </w:tcPr>
          <w:p w:rsidR="00250036" w:rsidRPr="000D7679" w:rsidRDefault="00250036" w:rsidP="00250036">
            <w:pPr>
              <w:pStyle w:val="HIPTablehead"/>
            </w:pPr>
            <w:r w:rsidRPr="000D7679">
              <w:t>Amount (US$)</w:t>
            </w:r>
          </w:p>
        </w:tc>
      </w:tr>
      <w:tr w:rsidR="00250036" w:rsidRPr="000D7679" w:rsidTr="00250036">
        <w:tc>
          <w:tcPr>
            <w:tcW w:w="3016" w:type="dxa"/>
            <w:tcBorders>
              <w:bottom w:val="single" w:sz="4" w:space="0" w:color="000000"/>
            </w:tcBorders>
          </w:tcPr>
          <w:p w:rsidR="00250036" w:rsidRPr="000D7679" w:rsidRDefault="00250036" w:rsidP="00250036">
            <w:pPr>
              <w:pStyle w:val="HIPTabletext"/>
            </w:pPr>
            <w:r w:rsidRPr="000D7679">
              <w:t>‘Malefiloane Area</w:t>
            </w:r>
          </w:p>
        </w:tc>
        <w:tc>
          <w:tcPr>
            <w:tcW w:w="2124" w:type="dxa"/>
            <w:tcBorders>
              <w:bottom w:val="single" w:sz="4" w:space="0" w:color="000000"/>
            </w:tcBorders>
          </w:tcPr>
          <w:p w:rsidR="00250036" w:rsidRPr="000D7679" w:rsidRDefault="00250036" w:rsidP="00250036">
            <w:pPr>
              <w:pStyle w:val="HIPTabletext"/>
              <w:jc w:val="left"/>
            </w:pPr>
            <w:r w:rsidRPr="000D7679">
              <w:t>Infrastructure for GSM Coverage</w:t>
            </w:r>
          </w:p>
        </w:tc>
        <w:tc>
          <w:tcPr>
            <w:tcW w:w="1972" w:type="dxa"/>
            <w:tcBorders>
              <w:bottom w:val="single" w:sz="4" w:space="0" w:color="000000"/>
            </w:tcBorders>
          </w:tcPr>
          <w:p w:rsidR="00250036" w:rsidRPr="000D7679" w:rsidRDefault="00250036" w:rsidP="00250036">
            <w:pPr>
              <w:pStyle w:val="HIPTabletext"/>
              <w:jc w:val="left"/>
            </w:pPr>
            <w:r w:rsidRPr="000D7679">
              <w:t>2010</w:t>
            </w:r>
          </w:p>
        </w:tc>
        <w:tc>
          <w:tcPr>
            <w:tcW w:w="2255" w:type="dxa"/>
            <w:tcBorders>
              <w:bottom w:val="single" w:sz="4" w:space="0" w:color="000000"/>
            </w:tcBorders>
          </w:tcPr>
          <w:p w:rsidR="00250036" w:rsidRPr="000D7679" w:rsidRDefault="00250036" w:rsidP="00250036">
            <w:pPr>
              <w:pStyle w:val="HIPTabletext"/>
            </w:pPr>
            <w:r w:rsidRPr="000D7679">
              <w:t>390,960</w:t>
            </w:r>
          </w:p>
        </w:tc>
      </w:tr>
      <w:tr w:rsidR="00250036" w:rsidRPr="000D7679" w:rsidTr="00250036">
        <w:tc>
          <w:tcPr>
            <w:tcW w:w="3016" w:type="dxa"/>
            <w:shd w:val="clear" w:color="auto" w:fill="EAF1DD"/>
          </w:tcPr>
          <w:p w:rsidR="00250036" w:rsidRPr="000D7679" w:rsidRDefault="00250036" w:rsidP="00250036">
            <w:pPr>
              <w:pStyle w:val="HIPTabletext"/>
            </w:pPr>
            <w:r w:rsidRPr="000D7679">
              <w:t>Tebellong Area</w:t>
            </w:r>
          </w:p>
        </w:tc>
        <w:tc>
          <w:tcPr>
            <w:tcW w:w="2124" w:type="dxa"/>
            <w:shd w:val="clear" w:color="auto" w:fill="EAF1DD"/>
          </w:tcPr>
          <w:p w:rsidR="00250036" w:rsidRPr="000D7679" w:rsidRDefault="00250036" w:rsidP="00250036">
            <w:pPr>
              <w:pStyle w:val="HIPTabletext"/>
              <w:jc w:val="left"/>
            </w:pPr>
            <w:r w:rsidRPr="000D7679">
              <w:t>Infrastructure for GSM Coverage</w:t>
            </w:r>
          </w:p>
        </w:tc>
        <w:tc>
          <w:tcPr>
            <w:tcW w:w="1972" w:type="dxa"/>
            <w:shd w:val="clear" w:color="auto" w:fill="EAF1DD"/>
          </w:tcPr>
          <w:p w:rsidR="00250036" w:rsidRPr="000D7679" w:rsidRDefault="00250036" w:rsidP="00250036">
            <w:pPr>
              <w:pStyle w:val="HIPTabletext"/>
              <w:jc w:val="left"/>
            </w:pPr>
            <w:r w:rsidRPr="000D7679">
              <w:t>2010</w:t>
            </w:r>
          </w:p>
        </w:tc>
        <w:tc>
          <w:tcPr>
            <w:tcW w:w="2255" w:type="dxa"/>
            <w:shd w:val="clear" w:color="auto" w:fill="EAF1DD"/>
          </w:tcPr>
          <w:p w:rsidR="00250036" w:rsidRPr="000D7679" w:rsidRDefault="00250036" w:rsidP="00250036">
            <w:pPr>
              <w:pStyle w:val="HIPTabletext"/>
            </w:pPr>
            <w:r w:rsidRPr="000D7679">
              <w:t>573,333</w:t>
            </w:r>
          </w:p>
        </w:tc>
      </w:tr>
      <w:tr w:rsidR="00250036" w:rsidRPr="000D7679" w:rsidTr="00A72D2A">
        <w:tc>
          <w:tcPr>
            <w:tcW w:w="3016" w:type="dxa"/>
          </w:tcPr>
          <w:p w:rsidR="00250036" w:rsidRPr="000D7679" w:rsidRDefault="00250036" w:rsidP="00250036">
            <w:pPr>
              <w:pStyle w:val="HIPTabletext"/>
            </w:pPr>
            <w:r w:rsidRPr="000D7679">
              <w:t>Makhaleng Valley</w:t>
            </w:r>
          </w:p>
        </w:tc>
        <w:tc>
          <w:tcPr>
            <w:tcW w:w="2124" w:type="dxa"/>
          </w:tcPr>
          <w:p w:rsidR="00250036" w:rsidRPr="000D7679" w:rsidRDefault="00250036" w:rsidP="00250036">
            <w:pPr>
              <w:pStyle w:val="HIPTabletext"/>
              <w:jc w:val="left"/>
            </w:pPr>
            <w:r w:rsidRPr="000D7679">
              <w:t>Infrastructure for GSM Coverage</w:t>
            </w:r>
          </w:p>
        </w:tc>
        <w:tc>
          <w:tcPr>
            <w:tcW w:w="1972" w:type="dxa"/>
          </w:tcPr>
          <w:p w:rsidR="00250036" w:rsidRPr="000D7679" w:rsidRDefault="00250036" w:rsidP="00250036">
            <w:pPr>
              <w:pStyle w:val="HIPTabletext"/>
              <w:jc w:val="left"/>
            </w:pPr>
            <w:r w:rsidRPr="000D7679">
              <w:t>2010</w:t>
            </w:r>
          </w:p>
        </w:tc>
        <w:tc>
          <w:tcPr>
            <w:tcW w:w="2255" w:type="dxa"/>
          </w:tcPr>
          <w:p w:rsidR="00250036" w:rsidRPr="000D7679" w:rsidRDefault="00250036" w:rsidP="00250036">
            <w:pPr>
              <w:pStyle w:val="HIPTabletext"/>
            </w:pPr>
            <w:r w:rsidRPr="000D7679">
              <w:t>384,000</w:t>
            </w:r>
          </w:p>
        </w:tc>
      </w:tr>
    </w:tbl>
    <w:p w:rsidR="00250036" w:rsidRDefault="00250036" w:rsidP="00250036">
      <w:pPr>
        <w:pStyle w:val="HIPNormal"/>
      </w:pPr>
    </w:p>
    <w:p w:rsidR="005E5682" w:rsidRDefault="005E5682">
      <w:pPr>
        <w:rPr>
          <w:rFonts w:ascii="Calibri" w:hAnsi="Calibri" w:cs="Arial"/>
          <w:b/>
          <w:bCs/>
          <w:color w:val="008000"/>
          <w:szCs w:val="24"/>
          <w:lang w:val="en-US"/>
        </w:rPr>
      </w:pPr>
      <w:r>
        <w:br w:type="page"/>
      </w:r>
    </w:p>
    <w:p w:rsidR="00250036" w:rsidRPr="00B37DAE" w:rsidRDefault="00250036" w:rsidP="0088668E">
      <w:pPr>
        <w:pStyle w:val="HIPTabletitle"/>
      </w:pPr>
      <w:bookmarkStart w:id="259" w:name="_Toc286146558"/>
      <w:r w:rsidRPr="00B37DAE">
        <w:lastRenderedPageBreak/>
        <w:t xml:space="preserve">Table </w:t>
      </w:r>
      <w:r w:rsidR="0088668E">
        <w:t>3.3</w:t>
      </w:r>
      <w:r w:rsidRPr="00B37DAE">
        <w:t>: Analysis of USAF Disbursements in SADC</w:t>
      </w:r>
      <w:r>
        <w:rPr>
          <w:rStyle w:val="FootnoteReference"/>
        </w:rPr>
        <w:footnoteReference w:id="51"/>
      </w:r>
      <w:bookmarkEnd w:id="259"/>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990"/>
        <w:gridCol w:w="1496"/>
        <w:gridCol w:w="1625"/>
        <w:gridCol w:w="1134"/>
        <w:gridCol w:w="1108"/>
        <w:gridCol w:w="1443"/>
      </w:tblGrid>
      <w:tr w:rsidR="00250036" w:rsidRPr="00AA4EAC" w:rsidTr="00250036">
        <w:trPr>
          <w:jc w:val="center"/>
        </w:trPr>
        <w:tc>
          <w:tcPr>
            <w:tcW w:w="1384" w:type="dxa"/>
            <w:shd w:val="clear" w:color="auto" w:fill="008000"/>
          </w:tcPr>
          <w:p w:rsidR="00250036" w:rsidRPr="00250036" w:rsidRDefault="00250036" w:rsidP="00250036">
            <w:pPr>
              <w:pStyle w:val="HIPTablehead"/>
              <w:rPr>
                <w:sz w:val="20"/>
                <w:szCs w:val="20"/>
              </w:rPr>
            </w:pPr>
            <w:bookmarkStart w:id="260" w:name="_Toc281153820"/>
            <w:r w:rsidRPr="00250036">
              <w:rPr>
                <w:sz w:val="20"/>
                <w:szCs w:val="20"/>
              </w:rPr>
              <w:t>Country</w:t>
            </w:r>
            <w:bookmarkEnd w:id="260"/>
          </w:p>
        </w:tc>
        <w:tc>
          <w:tcPr>
            <w:tcW w:w="990" w:type="dxa"/>
            <w:shd w:val="clear" w:color="auto" w:fill="008000"/>
          </w:tcPr>
          <w:p w:rsidR="00250036" w:rsidRPr="00250036" w:rsidRDefault="00250036" w:rsidP="00250036">
            <w:pPr>
              <w:pStyle w:val="HIPTablehead"/>
              <w:rPr>
                <w:sz w:val="20"/>
                <w:szCs w:val="20"/>
              </w:rPr>
            </w:pPr>
            <w:bookmarkStart w:id="261" w:name="_Toc281153821"/>
            <w:r w:rsidRPr="00250036">
              <w:rPr>
                <w:sz w:val="20"/>
                <w:szCs w:val="20"/>
              </w:rPr>
              <w:t>Starting Year of Fund</w:t>
            </w:r>
            <w:bookmarkEnd w:id="261"/>
          </w:p>
        </w:tc>
        <w:tc>
          <w:tcPr>
            <w:tcW w:w="1496" w:type="dxa"/>
            <w:shd w:val="clear" w:color="auto" w:fill="008000"/>
          </w:tcPr>
          <w:p w:rsidR="00250036" w:rsidRPr="00250036" w:rsidRDefault="00250036" w:rsidP="00250036">
            <w:pPr>
              <w:pStyle w:val="HIPTablehead"/>
              <w:rPr>
                <w:sz w:val="20"/>
                <w:szCs w:val="20"/>
              </w:rPr>
            </w:pPr>
            <w:bookmarkStart w:id="262" w:name="_Toc281153822"/>
            <w:r w:rsidRPr="00250036">
              <w:rPr>
                <w:sz w:val="20"/>
                <w:szCs w:val="20"/>
              </w:rPr>
              <w:t>Starting year of Disbursement</w:t>
            </w:r>
            <w:bookmarkEnd w:id="262"/>
          </w:p>
        </w:tc>
        <w:tc>
          <w:tcPr>
            <w:tcW w:w="1625" w:type="dxa"/>
            <w:shd w:val="clear" w:color="auto" w:fill="008000"/>
          </w:tcPr>
          <w:p w:rsidR="00250036" w:rsidRPr="00250036" w:rsidRDefault="00250036" w:rsidP="00250036">
            <w:pPr>
              <w:pStyle w:val="HIPTablehead"/>
              <w:rPr>
                <w:sz w:val="20"/>
                <w:szCs w:val="20"/>
              </w:rPr>
            </w:pPr>
            <w:bookmarkStart w:id="263" w:name="_Toc281153823"/>
            <w:r w:rsidRPr="00250036">
              <w:rPr>
                <w:sz w:val="20"/>
                <w:szCs w:val="20"/>
              </w:rPr>
              <w:t>Model of Disbursement</w:t>
            </w:r>
            <w:bookmarkEnd w:id="263"/>
            <w:r w:rsidRPr="00250036">
              <w:rPr>
                <w:sz w:val="20"/>
                <w:szCs w:val="20"/>
              </w:rPr>
              <w:br/>
            </w:r>
            <w:bookmarkStart w:id="264" w:name="_Toc281153824"/>
            <w:r w:rsidRPr="00250036">
              <w:rPr>
                <w:sz w:val="20"/>
                <w:szCs w:val="20"/>
              </w:rPr>
              <w:t>Not Determined = ND</w:t>
            </w:r>
            <w:bookmarkEnd w:id="264"/>
          </w:p>
        </w:tc>
        <w:tc>
          <w:tcPr>
            <w:tcW w:w="1134" w:type="dxa"/>
            <w:shd w:val="clear" w:color="auto" w:fill="008000"/>
          </w:tcPr>
          <w:p w:rsidR="00250036" w:rsidRPr="00250036" w:rsidRDefault="00250036" w:rsidP="00250036">
            <w:pPr>
              <w:pStyle w:val="HIPTablehead"/>
              <w:rPr>
                <w:sz w:val="20"/>
                <w:szCs w:val="20"/>
              </w:rPr>
            </w:pPr>
            <w:bookmarkStart w:id="265" w:name="_Toc281153825"/>
            <w:r w:rsidRPr="00250036">
              <w:rPr>
                <w:sz w:val="20"/>
                <w:szCs w:val="20"/>
              </w:rPr>
              <w:t>Amount collected</w:t>
            </w:r>
            <w:bookmarkEnd w:id="265"/>
            <w:r w:rsidRPr="00250036">
              <w:rPr>
                <w:sz w:val="20"/>
                <w:szCs w:val="20"/>
              </w:rPr>
              <w:t xml:space="preserve"> </w:t>
            </w:r>
            <w:r w:rsidRPr="00250036">
              <w:rPr>
                <w:sz w:val="20"/>
                <w:szCs w:val="20"/>
              </w:rPr>
              <w:br/>
            </w:r>
            <w:bookmarkStart w:id="266" w:name="_Toc281153826"/>
            <w:r w:rsidRPr="00250036">
              <w:rPr>
                <w:sz w:val="20"/>
                <w:szCs w:val="20"/>
              </w:rPr>
              <w:t>(US$ ‘000)</w:t>
            </w:r>
            <w:bookmarkEnd w:id="266"/>
          </w:p>
        </w:tc>
        <w:tc>
          <w:tcPr>
            <w:tcW w:w="1108" w:type="dxa"/>
            <w:shd w:val="clear" w:color="auto" w:fill="008000"/>
          </w:tcPr>
          <w:p w:rsidR="00250036" w:rsidRPr="00250036" w:rsidRDefault="00250036" w:rsidP="00250036">
            <w:pPr>
              <w:pStyle w:val="HIPTablehead"/>
              <w:rPr>
                <w:sz w:val="20"/>
                <w:szCs w:val="20"/>
              </w:rPr>
            </w:pPr>
            <w:bookmarkStart w:id="267" w:name="_Toc281153827"/>
            <w:r w:rsidRPr="00250036">
              <w:rPr>
                <w:sz w:val="20"/>
                <w:szCs w:val="20"/>
              </w:rPr>
              <w:t>Amount Disbursed</w:t>
            </w:r>
            <w:bookmarkEnd w:id="267"/>
            <w:r w:rsidRPr="00250036">
              <w:rPr>
                <w:sz w:val="20"/>
                <w:szCs w:val="20"/>
              </w:rPr>
              <w:br/>
            </w:r>
            <w:bookmarkStart w:id="268" w:name="_Toc281153828"/>
            <w:r w:rsidRPr="00250036">
              <w:rPr>
                <w:sz w:val="20"/>
                <w:szCs w:val="20"/>
              </w:rPr>
              <w:t>(US$ ‘000)</w:t>
            </w:r>
            <w:bookmarkEnd w:id="268"/>
          </w:p>
        </w:tc>
        <w:tc>
          <w:tcPr>
            <w:tcW w:w="1443" w:type="dxa"/>
            <w:shd w:val="clear" w:color="auto" w:fill="008000"/>
          </w:tcPr>
          <w:p w:rsidR="00250036" w:rsidRPr="00250036" w:rsidRDefault="00250036" w:rsidP="00250036">
            <w:pPr>
              <w:pStyle w:val="HIPTablehead"/>
              <w:rPr>
                <w:sz w:val="20"/>
                <w:szCs w:val="20"/>
              </w:rPr>
            </w:pPr>
            <w:bookmarkStart w:id="269" w:name="_Toc281153829"/>
            <w:r w:rsidRPr="00250036">
              <w:rPr>
                <w:sz w:val="20"/>
                <w:szCs w:val="20"/>
              </w:rPr>
              <w:t>Comments</w:t>
            </w:r>
            <w:bookmarkEnd w:id="269"/>
          </w:p>
        </w:tc>
      </w:tr>
      <w:tr w:rsidR="00250036" w:rsidRPr="00AA4EAC" w:rsidTr="00250036">
        <w:trPr>
          <w:jc w:val="center"/>
        </w:trPr>
        <w:tc>
          <w:tcPr>
            <w:tcW w:w="1384" w:type="dxa"/>
            <w:tcBorders>
              <w:bottom w:val="single" w:sz="4" w:space="0" w:color="000000"/>
            </w:tcBorders>
          </w:tcPr>
          <w:p w:rsidR="00250036" w:rsidRPr="00250036" w:rsidRDefault="00250036" w:rsidP="00250036">
            <w:pPr>
              <w:pStyle w:val="HIPTabletext"/>
              <w:jc w:val="left"/>
              <w:rPr>
                <w:sz w:val="20"/>
              </w:rPr>
            </w:pPr>
            <w:bookmarkStart w:id="270" w:name="_Toc281153830"/>
            <w:r w:rsidRPr="00250036">
              <w:rPr>
                <w:sz w:val="20"/>
              </w:rPr>
              <w:t>Angola</w:t>
            </w:r>
            <w:bookmarkEnd w:id="270"/>
          </w:p>
        </w:tc>
        <w:tc>
          <w:tcPr>
            <w:tcW w:w="990" w:type="dxa"/>
            <w:tcBorders>
              <w:bottom w:val="single" w:sz="4" w:space="0" w:color="000000"/>
            </w:tcBorders>
          </w:tcPr>
          <w:p w:rsidR="00250036" w:rsidRPr="00250036" w:rsidRDefault="00250036" w:rsidP="00250036">
            <w:pPr>
              <w:pStyle w:val="HIPTabletext"/>
              <w:jc w:val="left"/>
              <w:rPr>
                <w:sz w:val="20"/>
              </w:rPr>
            </w:pPr>
          </w:p>
        </w:tc>
        <w:tc>
          <w:tcPr>
            <w:tcW w:w="1496" w:type="dxa"/>
            <w:tcBorders>
              <w:bottom w:val="single" w:sz="4" w:space="0" w:color="000000"/>
            </w:tcBorders>
          </w:tcPr>
          <w:p w:rsidR="00250036" w:rsidRPr="00250036" w:rsidRDefault="00250036" w:rsidP="00250036">
            <w:pPr>
              <w:pStyle w:val="HIPTabletext"/>
              <w:jc w:val="left"/>
              <w:rPr>
                <w:sz w:val="20"/>
              </w:rPr>
            </w:pPr>
          </w:p>
        </w:tc>
        <w:tc>
          <w:tcPr>
            <w:tcW w:w="1625" w:type="dxa"/>
            <w:tcBorders>
              <w:bottom w:val="single" w:sz="4" w:space="0" w:color="000000"/>
            </w:tcBorders>
          </w:tcPr>
          <w:p w:rsidR="00250036" w:rsidRPr="00250036" w:rsidRDefault="00250036" w:rsidP="00250036">
            <w:pPr>
              <w:pStyle w:val="HIPTabletext"/>
              <w:jc w:val="left"/>
              <w:rPr>
                <w:sz w:val="20"/>
              </w:rPr>
            </w:pPr>
          </w:p>
        </w:tc>
        <w:tc>
          <w:tcPr>
            <w:tcW w:w="1134" w:type="dxa"/>
            <w:tcBorders>
              <w:bottom w:val="single" w:sz="4" w:space="0" w:color="000000"/>
            </w:tcBorders>
          </w:tcPr>
          <w:p w:rsidR="00250036" w:rsidRPr="00250036" w:rsidRDefault="00250036" w:rsidP="00250036">
            <w:pPr>
              <w:pStyle w:val="HIPTabletext"/>
              <w:jc w:val="left"/>
              <w:rPr>
                <w:sz w:val="20"/>
              </w:rPr>
            </w:pPr>
          </w:p>
        </w:tc>
        <w:tc>
          <w:tcPr>
            <w:tcW w:w="1108" w:type="dxa"/>
            <w:tcBorders>
              <w:bottom w:val="single" w:sz="4" w:space="0" w:color="000000"/>
            </w:tcBorders>
          </w:tcPr>
          <w:p w:rsidR="00250036" w:rsidRPr="00250036" w:rsidRDefault="00250036" w:rsidP="00250036">
            <w:pPr>
              <w:pStyle w:val="HIPTabletext"/>
              <w:jc w:val="left"/>
              <w:rPr>
                <w:sz w:val="20"/>
              </w:rPr>
            </w:pPr>
          </w:p>
        </w:tc>
        <w:tc>
          <w:tcPr>
            <w:tcW w:w="1443" w:type="dxa"/>
            <w:tcBorders>
              <w:bottom w:val="single" w:sz="4" w:space="0" w:color="000000"/>
            </w:tcBorders>
          </w:tcPr>
          <w:p w:rsidR="00250036" w:rsidRPr="00250036" w:rsidRDefault="00250036" w:rsidP="00250036">
            <w:pPr>
              <w:pStyle w:val="HIPTabletext"/>
              <w:jc w:val="left"/>
              <w:rPr>
                <w:sz w:val="20"/>
              </w:rPr>
            </w:pPr>
          </w:p>
        </w:tc>
      </w:tr>
      <w:tr w:rsidR="00250036" w:rsidRPr="00AA4EAC" w:rsidTr="00250036">
        <w:trPr>
          <w:jc w:val="center"/>
        </w:trPr>
        <w:tc>
          <w:tcPr>
            <w:tcW w:w="1384" w:type="dxa"/>
            <w:shd w:val="clear" w:color="auto" w:fill="EAF1DD"/>
          </w:tcPr>
          <w:p w:rsidR="00250036" w:rsidRPr="00250036" w:rsidRDefault="00250036" w:rsidP="00250036">
            <w:pPr>
              <w:pStyle w:val="HIPTabletext"/>
              <w:jc w:val="left"/>
              <w:rPr>
                <w:sz w:val="20"/>
              </w:rPr>
            </w:pPr>
            <w:bookmarkStart w:id="271" w:name="_Toc281153831"/>
            <w:r w:rsidRPr="00250036">
              <w:rPr>
                <w:sz w:val="20"/>
              </w:rPr>
              <w:t>Botswana</w:t>
            </w:r>
            <w:bookmarkEnd w:id="271"/>
          </w:p>
        </w:tc>
        <w:tc>
          <w:tcPr>
            <w:tcW w:w="990" w:type="dxa"/>
            <w:shd w:val="clear" w:color="auto" w:fill="EAF1DD"/>
          </w:tcPr>
          <w:p w:rsidR="00250036" w:rsidRPr="00250036" w:rsidRDefault="00250036" w:rsidP="00250036">
            <w:pPr>
              <w:pStyle w:val="HIPTabletext"/>
              <w:jc w:val="left"/>
              <w:rPr>
                <w:sz w:val="20"/>
              </w:rPr>
            </w:pPr>
          </w:p>
        </w:tc>
        <w:tc>
          <w:tcPr>
            <w:tcW w:w="1496" w:type="dxa"/>
            <w:shd w:val="clear" w:color="auto" w:fill="EAF1DD"/>
          </w:tcPr>
          <w:p w:rsidR="00250036" w:rsidRPr="00250036" w:rsidRDefault="00250036" w:rsidP="00250036">
            <w:pPr>
              <w:pStyle w:val="HIPTabletext"/>
              <w:jc w:val="left"/>
              <w:rPr>
                <w:sz w:val="20"/>
              </w:rPr>
            </w:pPr>
          </w:p>
        </w:tc>
        <w:tc>
          <w:tcPr>
            <w:tcW w:w="1625" w:type="dxa"/>
            <w:shd w:val="clear" w:color="auto" w:fill="EAF1DD"/>
          </w:tcPr>
          <w:p w:rsidR="00250036" w:rsidRPr="00250036" w:rsidRDefault="00250036" w:rsidP="00250036">
            <w:pPr>
              <w:pStyle w:val="HIPTabletext"/>
              <w:jc w:val="left"/>
              <w:rPr>
                <w:sz w:val="20"/>
              </w:rPr>
            </w:pPr>
            <w:bookmarkStart w:id="272" w:name="_Toc281153832"/>
            <w:r w:rsidRPr="00250036">
              <w:rPr>
                <w:sz w:val="20"/>
              </w:rPr>
              <w:t>Would be Competitive Bid</w:t>
            </w:r>
            <w:bookmarkEnd w:id="272"/>
          </w:p>
        </w:tc>
        <w:tc>
          <w:tcPr>
            <w:tcW w:w="1134" w:type="dxa"/>
            <w:shd w:val="clear" w:color="auto" w:fill="EAF1DD"/>
          </w:tcPr>
          <w:p w:rsidR="00250036" w:rsidRPr="00250036" w:rsidRDefault="00250036" w:rsidP="00250036">
            <w:pPr>
              <w:pStyle w:val="HIPTabletext"/>
              <w:jc w:val="left"/>
              <w:rPr>
                <w:sz w:val="20"/>
              </w:rPr>
            </w:pPr>
            <w:bookmarkStart w:id="273" w:name="_Toc281153833"/>
            <w:r w:rsidRPr="00250036">
              <w:rPr>
                <w:sz w:val="20"/>
              </w:rPr>
              <w:t>3,750</w:t>
            </w:r>
            <w:bookmarkEnd w:id="273"/>
          </w:p>
        </w:tc>
        <w:tc>
          <w:tcPr>
            <w:tcW w:w="1108" w:type="dxa"/>
            <w:shd w:val="clear" w:color="auto" w:fill="EAF1DD"/>
          </w:tcPr>
          <w:p w:rsidR="00250036" w:rsidRPr="00250036" w:rsidRDefault="00250036" w:rsidP="00250036">
            <w:pPr>
              <w:pStyle w:val="HIPTabletext"/>
              <w:jc w:val="left"/>
              <w:rPr>
                <w:sz w:val="20"/>
              </w:rPr>
            </w:pPr>
            <w:bookmarkStart w:id="274" w:name="_Toc281153834"/>
            <w:r w:rsidRPr="00250036">
              <w:rPr>
                <w:sz w:val="20"/>
              </w:rPr>
              <w:t>0</w:t>
            </w:r>
            <w:bookmarkEnd w:id="274"/>
          </w:p>
        </w:tc>
        <w:tc>
          <w:tcPr>
            <w:tcW w:w="1443" w:type="dxa"/>
            <w:shd w:val="clear" w:color="auto" w:fill="EAF1DD"/>
          </w:tcPr>
          <w:p w:rsidR="00250036" w:rsidRPr="00250036" w:rsidRDefault="00250036" w:rsidP="00250036">
            <w:pPr>
              <w:pStyle w:val="HIPTabletext"/>
              <w:jc w:val="left"/>
              <w:rPr>
                <w:sz w:val="20"/>
              </w:rPr>
            </w:pPr>
          </w:p>
        </w:tc>
      </w:tr>
      <w:tr w:rsidR="00250036" w:rsidRPr="00AA4EAC" w:rsidTr="00250036">
        <w:trPr>
          <w:jc w:val="center"/>
        </w:trPr>
        <w:tc>
          <w:tcPr>
            <w:tcW w:w="1384" w:type="dxa"/>
            <w:tcBorders>
              <w:bottom w:val="single" w:sz="4" w:space="0" w:color="000000"/>
            </w:tcBorders>
          </w:tcPr>
          <w:p w:rsidR="00250036" w:rsidRPr="00250036" w:rsidRDefault="00250036" w:rsidP="00250036">
            <w:pPr>
              <w:pStyle w:val="HIPTabletext"/>
              <w:jc w:val="left"/>
              <w:rPr>
                <w:sz w:val="20"/>
              </w:rPr>
            </w:pPr>
            <w:bookmarkStart w:id="275" w:name="_Toc281153835"/>
            <w:r w:rsidRPr="00250036">
              <w:rPr>
                <w:sz w:val="20"/>
              </w:rPr>
              <w:t>Democratic Republic of Congo</w:t>
            </w:r>
            <w:bookmarkEnd w:id="275"/>
          </w:p>
        </w:tc>
        <w:tc>
          <w:tcPr>
            <w:tcW w:w="990" w:type="dxa"/>
            <w:tcBorders>
              <w:bottom w:val="single" w:sz="4" w:space="0" w:color="000000"/>
            </w:tcBorders>
          </w:tcPr>
          <w:p w:rsidR="00250036" w:rsidRPr="00250036" w:rsidRDefault="00250036" w:rsidP="00250036">
            <w:pPr>
              <w:pStyle w:val="HIPTabletext"/>
              <w:jc w:val="left"/>
              <w:rPr>
                <w:sz w:val="20"/>
              </w:rPr>
            </w:pPr>
          </w:p>
        </w:tc>
        <w:tc>
          <w:tcPr>
            <w:tcW w:w="1496" w:type="dxa"/>
            <w:tcBorders>
              <w:bottom w:val="single" w:sz="4" w:space="0" w:color="000000"/>
            </w:tcBorders>
          </w:tcPr>
          <w:p w:rsidR="00250036" w:rsidRPr="00250036" w:rsidRDefault="00250036" w:rsidP="00250036">
            <w:pPr>
              <w:pStyle w:val="HIPTabletext"/>
              <w:jc w:val="left"/>
              <w:rPr>
                <w:sz w:val="20"/>
              </w:rPr>
            </w:pPr>
            <w:r w:rsidRPr="00250036">
              <w:rPr>
                <w:sz w:val="20"/>
              </w:rPr>
              <w:t>Not yet disbursed</w:t>
            </w:r>
          </w:p>
        </w:tc>
        <w:tc>
          <w:tcPr>
            <w:tcW w:w="1625" w:type="dxa"/>
            <w:tcBorders>
              <w:bottom w:val="single" w:sz="4" w:space="0" w:color="000000"/>
            </w:tcBorders>
          </w:tcPr>
          <w:p w:rsidR="00250036" w:rsidRPr="00250036" w:rsidRDefault="00250036" w:rsidP="00250036">
            <w:pPr>
              <w:pStyle w:val="HIPTabletext"/>
              <w:jc w:val="left"/>
              <w:rPr>
                <w:sz w:val="20"/>
              </w:rPr>
            </w:pPr>
            <w:r w:rsidRPr="00250036">
              <w:rPr>
                <w:sz w:val="20"/>
              </w:rPr>
              <w:t xml:space="preserve">- </w:t>
            </w:r>
          </w:p>
        </w:tc>
        <w:tc>
          <w:tcPr>
            <w:tcW w:w="1134" w:type="dxa"/>
            <w:tcBorders>
              <w:bottom w:val="single" w:sz="4" w:space="0" w:color="000000"/>
            </w:tcBorders>
          </w:tcPr>
          <w:p w:rsidR="00250036" w:rsidRPr="00250036" w:rsidRDefault="00250036" w:rsidP="00250036">
            <w:pPr>
              <w:pStyle w:val="HIPTabletext"/>
              <w:jc w:val="left"/>
              <w:rPr>
                <w:sz w:val="20"/>
              </w:rPr>
            </w:pPr>
          </w:p>
        </w:tc>
        <w:tc>
          <w:tcPr>
            <w:tcW w:w="1108" w:type="dxa"/>
            <w:tcBorders>
              <w:bottom w:val="single" w:sz="4" w:space="0" w:color="000000"/>
            </w:tcBorders>
          </w:tcPr>
          <w:p w:rsidR="00250036" w:rsidRPr="00250036" w:rsidRDefault="00250036" w:rsidP="00250036">
            <w:pPr>
              <w:pStyle w:val="HIPTabletext"/>
              <w:jc w:val="left"/>
              <w:rPr>
                <w:sz w:val="20"/>
              </w:rPr>
            </w:pPr>
          </w:p>
        </w:tc>
        <w:tc>
          <w:tcPr>
            <w:tcW w:w="1443" w:type="dxa"/>
            <w:tcBorders>
              <w:bottom w:val="single" w:sz="4" w:space="0" w:color="000000"/>
            </w:tcBorders>
          </w:tcPr>
          <w:p w:rsidR="00250036" w:rsidRPr="00250036" w:rsidRDefault="00250036" w:rsidP="00250036">
            <w:pPr>
              <w:pStyle w:val="HIPTabletext"/>
              <w:jc w:val="left"/>
              <w:rPr>
                <w:sz w:val="20"/>
              </w:rPr>
            </w:pPr>
          </w:p>
        </w:tc>
      </w:tr>
      <w:tr w:rsidR="00250036" w:rsidRPr="00A3379B" w:rsidTr="00250036">
        <w:trPr>
          <w:jc w:val="center"/>
        </w:trPr>
        <w:tc>
          <w:tcPr>
            <w:tcW w:w="1384" w:type="dxa"/>
            <w:shd w:val="clear" w:color="auto" w:fill="EAF1DD"/>
          </w:tcPr>
          <w:p w:rsidR="00250036" w:rsidRPr="00250036" w:rsidRDefault="00250036" w:rsidP="00250036">
            <w:pPr>
              <w:pStyle w:val="HIPTabletext"/>
              <w:jc w:val="left"/>
              <w:rPr>
                <w:sz w:val="20"/>
              </w:rPr>
            </w:pPr>
            <w:bookmarkStart w:id="276" w:name="_Toc281153836"/>
            <w:r w:rsidRPr="00250036">
              <w:rPr>
                <w:sz w:val="20"/>
              </w:rPr>
              <w:t>Lesotho</w:t>
            </w:r>
            <w:bookmarkEnd w:id="276"/>
            <w:r w:rsidRPr="00250036">
              <w:rPr>
                <w:sz w:val="20"/>
              </w:rPr>
              <w:t xml:space="preserve"> </w:t>
            </w:r>
          </w:p>
        </w:tc>
        <w:tc>
          <w:tcPr>
            <w:tcW w:w="990" w:type="dxa"/>
            <w:shd w:val="clear" w:color="auto" w:fill="EAF1DD"/>
          </w:tcPr>
          <w:p w:rsidR="00250036" w:rsidRPr="00250036" w:rsidRDefault="00250036" w:rsidP="00250036">
            <w:pPr>
              <w:pStyle w:val="HIPTabletext"/>
              <w:jc w:val="left"/>
              <w:rPr>
                <w:sz w:val="20"/>
              </w:rPr>
            </w:pPr>
            <w:bookmarkStart w:id="277" w:name="_Toc281153837"/>
            <w:r w:rsidRPr="00250036">
              <w:rPr>
                <w:sz w:val="20"/>
              </w:rPr>
              <w:t>2009</w:t>
            </w:r>
            <w:bookmarkEnd w:id="277"/>
          </w:p>
        </w:tc>
        <w:tc>
          <w:tcPr>
            <w:tcW w:w="1496" w:type="dxa"/>
            <w:shd w:val="clear" w:color="auto" w:fill="EAF1DD"/>
          </w:tcPr>
          <w:p w:rsidR="00250036" w:rsidRPr="00250036" w:rsidRDefault="00250036" w:rsidP="00250036">
            <w:pPr>
              <w:pStyle w:val="HIPTabletext"/>
              <w:jc w:val="left"/>
              <w:rPr>
                <w:sz w:val="20"/>
              </w:rPr>
            </w:pPr>
          </w:p>
        </w:tc>
        <w:tc>
          <w:tcPr>
            <w:tcW w:w="1625" w:type="dxa"/>
            <w:shd w:val="clear" w:color="auto" w:fill="EAF1DD"/>
          </w:tcPr>
          <w:p w:rsidR="00250036" w:rsidRPr="00250036" w:rsidRDefault="00250036" w:rsidP="00250036">
            <w:pPr>
              <w:pStyle w:val="HIPTabletext"/>
              <w:jc w:val="left"/>
              <w:rPr>
                <w:sz w:val="20"/>
              </w:rPr>
            </w:pPr>
            <w:bookmarkStart w:id="278" w:name="_Toc281153838"/>
            <w:r w:rsidRPr="00250036">
              <w:rPr>
                <w:sz w:val="20"/>
              </w:rPr>
              <w:t>Competitive Bid</w:t>
            </w:r>
            <w:bookmarkEnd w:id="278"/>
          </w:p>
        </w:tc>
        <w:tc>
          <w:tcPr>
            <w:tcW w:w="1134" w:type="dxa"/>
            <w:shd w:val="clear" w:color="auto" w:fill="EAF1DD"/>
          </w:tcPr>
          <w:p w:rsidR="00250036" w:rsidRPr="00250036" w:rsidRDefault="00250036" w:rsidP="00250036">
            <w:pPr>
              <w:pStyle w:val="HIPTabletext"/>
              <w:jc w:val="left"/>
              <w:rPr>
                <w:sz w:val="20"/>
              </w:rPr>
            </w:pPr>
            <w:bookmarkStart w:id="279" w:name="_Toc281153839"/>
            <w:r w:rsidRPr="00250036">
              <w:rPr>
                <w:sz w:val="20"/>
              </w:rPr>
              <w:t>2,100</w:t>
            </w:r>
            <w:bookmarkEnd w:id="279"/>
          </w:p>
        </w:tc>
        <w:tc>
          <w:tcPr>
            <w:tcW w:w="1108" w:type="dxa"/>
            <w:shd w:val="clear" w:color="auto" w:fill="EAF1DD"/>
          </w:tcPr>
          <w:p w:rsidR="00250036" w:rsidRPr="00250036" w:rsidRDefault="00250036" w:rsidP="00250036">
            <w:pPr>
              <w:pStyle w:val="HIPTabletext"/>
              <w:jc w:val="left"/>
              <w:rPr>
                <w:sz w:val="20"/>
              </w:rPr>
            </w:pPr>
            <w:bookmarkStart w:id="280" w:name="_Toc281153840"/>
            <w:r w:rsidRPr="00250036">
              <w:rPr>
                <w:sz w:val="20"/>
              </w:rPr>
              <w:t>-</w:t>
            </w:r>
            <w:bookmarkEnd w:id="280"/>
          </w:p>
        </w:tc>
        <w:tc>
          <w:tcPr>
            <w:tcW w:w="1443" w:type="dxa"/>
            <w:shd w:val="clear" w:color="auto" w:fill="EAF1DD"/>
          </w:tcPr>
          <w:p w:rsidR="00250036" w:rsidRPr="00250036" w:rsidRDefault="00250036" w:rsidP="00250036">
            <w:pPr>
              <w:pStyle w:val="HIPTabletext"/>
              <w:jc w:val="left"/>
              <w:rPr>
                <w:sz w:val="20"/>
                <w:lang w:val="en-US"/>
              </w:rPr>
            </w:pPr>
            <w:r w:rsidRPr="00250036">
              <w:rPr>
                <w:sz w:val="20"/>
                <w:lang w:val="en-US"/>
              </w:rPr>
              <w:t>Subsidies in 3 areas awarded to 2 operators</w:t>
            </w:r>
          </w:p>
        </w:tc>
      </w:tr>
      <w:tr w:rsidR="00250036" w:rsidRPr="00A3379B" w:rsidTr="00250036">
        <w:trPr>
          <w:jc w:val="center"/>
        </w:trPr>
        <w:tc>
          <w:tcPr>
            <w:tcW w:w="1384" w:type="dxa"/>
            <w:tcBorders>
              <w:bottom w:val="single" w:sz="4" w:space="0" w:color="000000"/>
            </w:tcBorders>
          </w:tcPr>
          <w:p w:rsidR="00250036" w:rsidRPr="00250036" w:rsidRDefault="00250036" w:rsidP="00250036">
            <w:pPr>
              <w:pStyle w:val="HIPTabletext"/>
              <w:jc w:val="left"/>
              <w:rPr>
                <w:sz w:val="20"/>
              </w:rPr>
            </w:pPr>
            <w:bookmarkStart w:id="281" w:name="_Toc281153841"/>
            <w:r w:rsidRPr="00250036">
              <w:rPr>
                <w:sz w:val="20"/>
              </w:rPr>
              <w:t>Malawi</w:t>
            </w:r>
            <w:bookmarkEnd w:id="281"/>
          </w:p>
        </w:tc>
        <w:tc>
          <w:tcPr>
            <w:tcW w:w="990" w:type="dxa"/>
            <w:tcBorders>
              <w:bottom w:val="single" w:sz="4" w:space="0" w:color="000000"/>
            </w:tcBorders>
          </w:tcPr>
          <w:p w:rsidR="00250036" w:rsidRPr="00250036" w:rsidRDefault="00250036" w:rsidP="00250036">
            <w:pPr>
              <w:pStyle w:val="HIPTabletext"/>
              <w:jc w:val="left"/>
              <w:rPr>
                <w:sz w:val="20"/>
              </w:rPr>
            </w:pPr>
            <w:bookmarkStart w:id="282" w:name="_Toc281153842"/>
            <w:r w:rsidRPr="00250036">
              <w:rPr>
                <w:sz w:val="20"/>
              </w:rPr>
              <w:t>-</w:t>
            </w:r>
            <w:bookmarkEnd w:id="282"/>
          </w:p>
        </w:tc>
        <w:tc>
          <w:tcPr>
            <w:tcW w:w="1496" w:type="dxa"/>
            <w:tcBorders>
              <w:bottom w:val="single" w:sz="4" w:space="0" w:color="000000"/>
            </w:tcBorders>
          </w:tcPr>
          <w:p w:rsidR="00250036" w:rsidRPr="00250036" w:rsidRDefault="00250036" w:rsidP="00250036">
            <w:pPr>
              <w:pStyle w:val="HIPTabletext"/>
              <w:jc w:val="left"/>
              <w:rPr>
                <w:sz w:val="20"/>
              </w:rPr>
            </w:pPr>
            <w:bookmarkStart w:id="283" w:name="_Toc281153843"/>
            <w:r w:rsidRPr="00250036">
              <w:rPr>
                <w:sz w:val="20"/>
              </w:rPr>
              <w:t>2009</w:t>
            </w:r>
            <w:bookmarkEnd w:id="283"/>
          </w:p>
        </w:tc>
        <w:tc>
          <w:tcPr>
            <w:tcW w:w="1625" w:type="dxa"/>
            <w:tcBorders>
              <w:bottom w:val="single" w:sz="4" w:space="0" w:color="000000"/>
            </w:tcBorders>
          </w:tcPr>
          <w:p w:rsidR="00250036" w:rsidRPr="00250036" w:rsidRDefault="00250036" w:rsidP="00250036">
            <w:pPr>
              <w:pStyle w:val="HIPTabletext"/>
              <w:jc w:val="left"/>
              <w:rPr>
                <w:sz w:val="20"/>
              </w:rPr>
            </w:pPr>
            <w:bookmarkStart w:id="284" w:name="_Toc281153844"/>
            <w:r w:rsidRPr="00250036">
              <w:rPr>
                <w:sz w:val="20"/>
              </w:rPr>
              <w:t>Competitive Bid</w:t>
            </w:r>
            <w:bookmarkEnd w:id="284"/>
          </w:p>
        </w:tc>
        <w:tc>
          <w:tcPr>
            <w:tcW w:w="1134" w:type="dxa"/>
            <w:tcBorders>
              <w:bottom w:val="single" w:sz="4" w:space="0" w:color="000000"/>
            </w:tcBorders>
          </w:tcPr>
          <w:p w:rsidR="00250036" w:rsidRPr="00250036" w:rsidRDefault="00250036" w:rsidP="00250036">
            <w:pPr>
              <w:pStyle w:val="HIPTabletext"/>
              <w:jc w:val="left"/>
              <w:rPr>
                <w:sz w:val="20"/>
              </w:rPr>
            </w:pPr>
            <w:bookmarkStart w:id="285" w:name="_Toc281153845"/>
            <w:r w:rsidRPr="00250036">
              <w:rPr>
                <w:sz w:val="20"/>
              </w:rPr>
              <w:t>1,200</w:t>
            </w:r>
            <w:bookmarkEnd w:id="285"/>
          </w:p>
        </w:tc>
        <w:tc>
          <w:tcPr>
            <w:tcW w:w="1108" w:type="dxa"/>
            <w:tcBorders>
              <w:bottom w:val="single" w:sz="4" w:space="0" w:color="000000"/>
            </w:tcBorders>
          </w:tcPr>
          <w:p w:rsidR="00250036" w:rsidRPr="00250036" w:rsidRDefault="00250036" w:rsidP="00250036">
            <w:pPr>
              <w:pStyle w:val="HIPTabletext"/>
              <w:jc w:val="left"/>
              <w:rPr>
                <w:sz w:val="20"/>
              </w:rPr>
            </w:pPr>
          </w:p>
        </w:tc>
        <w:tc>
          <w:tcPr>
            <w:tcW w:w="1443" w:type="dxa"/>
            <w:tcBorders>
              <w:bottom w:val="single" w:sz="4" w:space="0" w:color="000000"/>
            </w:tcBorders>
          </w:tcPr>
          <w:p w:rsidR="00250036" w:rsidRPr="00250036" w:rsidRDefault="00250036" w:rsidP="00250036">
            <w:pPr>
              <w:pStyle w:val="HIPTabletext"/>
              <w:jc w:val="left"/>
              <w:rPr>
                <w:sz w:val="20"/>
                <w:lang w:val="en-US"/>
              </w:rPr>
            </w:pPr>
            <w:bookmarkStart w:id="286" w:name="_Toc281153846"/>
            <w:r w:rsidRPr="00250036">
              <w:rPr>
                <w:sz w:val="20"/>
                <w:lang w:val="en-US"/>
              </w:rPr>
              <w:t>The collected amount is donor funded through the govt.</w:t>
            </w:r>
            <w:bookmarkEnd w:id="286"/>
          </w:p>
        </w:tc>
      </w:tr>
      <w:tr w:rsidR="00250036" w:rsidRPr="00AA4EAC" w:rsidTr="00250036">
        <w:trPr>
          <w:jc w:val="center"/>
        </w:trPr>
        <w:tc>
          <w:tcPr>
            <w:tcW w:w="1384" w:type="dxa"/>
            <w:shd w:val="clear" w:color="auto" w:fill="EAF1DD"/>
          </w:tcPr>
          <w:p w:rsidR="00250036" w:rsidRPr="00250036" w:rsidRDefault="00250036" w:rsidP="00250036">
            <w:pPr>
              <w:pStyle w:val="HIPTabletext"/>
              <w:jc w:val="left"/>
              <w:rPr>
                <w:sz w:val="20"/>
              </w:rPr>
            </w:pPr>
            <w:bookmarkStart w:id="287" w:name="_Toc281153847"/>
            <w:r w:rsidRPr="00250036">
              <w:rPr>
                <w:sz w:val="20"/>
              </w:rPr>
              <w:t>Mauritius</w:t>
            </w:r>
            <w:bookmarkEnd w:id="287"/>
          </w:p>
        </w:tc>
        <w:tc>
          <w:tcPr>
            <w:tcW w:w="990" w:type="dxa"/>
            <w:shd w:val="clear" w:color="auto" w:fill="EAF1DD"/>
          </w:tcPr>
          <w:p w:rsidR="00250036" w:rsidRPr="00250036" w:rsidRDefault="00250036" w:rsidP="00250036">
            <w:pPr>
              <w:pStyle w:val="HIPTabletext"/>
              <w:jc w:val="left"/>
              <w:rPr>
                <w:sz w:val="20"/>
              </w:rPr>
            </w:pPr>
          </w:p>
        </w:tc>
        <w:tc>
          <w:tcPr>
            <w:tcW w:w="1496" w:type="dxa"/>
            <w:shd w:val="clear" w:color="auto" w:fill="EAF1DD"/>
          </w:tcPr>
          <w:p w:rsidR="00250036" w:rsidRPr="00250036" w:rsidRDefault="00250036" w:rsidP="00250036">
            <w:pPr>
              <w:pStyle w:val="HIPTabletext"/>
              <w:jc w:val="left"/>
              <w:rPr>
                <w:sz w:val="20"/>
              </w:rPr>
            </w:pPr>
          </w:p>
        </w:tc>
        <w:tc>
          <w:tcPr>
            <w:tcW w:w="1625" w:type="dxa"/>
            <w:shd w:val="clear" w:color="auto" w:fill="EAF1DD"/>
          </w:tcPr>
          <w:p w:rsidR="00250036" w:rsidRPr="00250036" w:rsidRDefault="00250036" w:rsidP="00250036">
            <w:pPr>
              <w:pStyle w:val="HIPTabletext"/>
              <w:jc w:val="left"/>
              <w:rPr>
                <w:sz w:val="20"/>
              </w:rPr>
            </w:pPr>
          </w:p>
        </w:tc>
        <w:tc>
          <w:tcPr>
            <w:tcW w:w="1134" w:type="dxa"/>
            <w:shd w:val="clear" w:color="auto" w:fill="EAF1DD"/>
          </w:tcPr>
          <w:p w:rsidR="00250036" w:rsidRPr="00250036" w:rsidRDefault="00250036" w:rsidP="00250036">
            <w:pPr>
              <w:pStyle w:val="HIPTabletext"/>
              <w:jc w:val="left"/>
              <w:rPr>
                <w:sz w:val="20"/>
              </w:rPr>
            </w:pPr>
          </w:p>
        </w:tc>
        <w:tc>
          <w:tcPr>
            <w:tcW w:w="1108" w:type="dxa"/>
            <w:shd w:val="clear" w:color="auto" w:fill="EAF1DD"/>
          </w:tcPr>
          <w:p w:rsidR="00250036" w:rsidRPr="00250036" w:rsidRDefault="00250036" w:rsidP="00250036">
            <w:pPr>
              <w:pStyle w:val="HIPTabletext"/>
              <w:jc w:val="left"/>
              <w:rPr>
                <w:sz w:val="20"/>
              </w:rPr>
            </w:pPr>
          </w:p>
        </w:tc>
        <w:tc>
          <w:tcPr>
            <w:tcW w:w="1443" w:type="dxa"/>
            <w:shd w:val="clear" w:color="auto" w:fill="EAF1DD"/>
          </w:tcPr>
          <w:p w:rsidR="00250036" w:rsidRPr="00250036" w:rsidRDefault="00250036" w:rsidP="00250036">
            <w:pPr>
              <w:pStyle w:val="HIPTabletext"/>
              <w:jc w:val="left"/>
              <w:rPr>
                <w:sz w:val="20"/>
              </w:rPr>
            </w:pPr>
          </w:p>
        </w:tc>
      </w:tr>
      <w:tr w:rsidR="00250036" w:rsidRPr="00AA4EAC" w:rsidTr="00250036">
        <w:trPr>
          <w:jc w:val="center"/>
        </w:trPr>
        <w:tc>
          <w:tcPr>
            <w:tcW w:w="1384" w:type="dxa"/>
            <w:tcBorders>
              <w:bottom w:val="single" w:sz="4" w:space="0" w:color="000000"/>
            </w:tcBorders>
          </w:tcPr>
          <w:p w:rsidR="00250036" w:rsidRPr="00250036" w:rsidRDefault="00250036" w:rsidP="00250036">
            <w:pPr>
              <w:pStyle w:val="HIPTabletext"/>
              <w:jc w:val="left"/>
              <w:rPr>
                <w:sz w:val="20"/>
              </w:rPr>
            </w:pPr>
            <w:bookmarkStart w:id="288" w:name="_Toc281153848"/>
            <w:r w:rsidRPr="00250036">
              <w:rPr>
                <w:sz w:val="20"/>
              </w:rPr>
              <w:t>Mozambique</w:t>
            </w:r>
            <w:bookmarkEnd w:id="288"/>
          </w:p>
        </w:tc>
        <w:tc>
          <w:tcPr>
            <w:tcW w:w="990" w:type="dxa"/>
            <w:tcBorders>
              <w:bottom w:val="single" w:sz="4" w:space="0" w:color="000000"/>
            </w:tcBorders>
          </w:tcPr>
          <w:p w:rsidR="00250036" w:rsidRPr="00250036" w:rsidRDefault="00250036" w:rsidP="00250036">
            <w:pPr>
              <w:pStyle w:val="HIPTabletext"/>
              <w:jc w:val="left"/>
              <w:rPr>
                <w:sz w:val="20"/>
              </w:rPr>
            </w:pPr>
            <w:bookmarkStart w:id="289" w:name="_Toc281153849"/>
            <w:r w:rsidRPr="00250036">
              <w:rPr>
                <w:sz w:val="20"/>
              </w:rPr>
              <w:t>200</w:t>
            </w:r>
            <w:bookmarkEnd w:id="289"/>
            <w:r w:rsidRPr="00250036">
              <w:rPr>
                <w:sz w:val="20"/>
              </w:rPr>
              <w:t>6</w:t>
            </w:r>
          </w:p>
        </w:tc>
        <w:tc>
          <w:tcPr>
            <w:tcW w:w="1496" w:type="dxa"/>
            <w:tcBorders>
              <w:bottom w:val="single" w:sz="4" w:space="0" w:color="000000"/>
            </w:tcBorders>
          </w:tcPr>
          <w:p w:rsidR="00250036" w:rsidRPr="00250036" w:rsidRDefault="00250036" w:rsidP="00250036">
            <w:pPr>
              <w:pStyle w:val="HIPTabletext"/>
              <w:jc w:val="left"/>
              <w:rPr>
                <w:sz w:val="20"/>
              </w:rPr>
            </w:pPr>
            <w:bookmarkStart w:id="290" w:name="_Toc281153850"/>
            <w:r w:rsidRPr="00250036">
              <w:rPr>
                <w:sz w:val="20"/>
              </w:rPr>
              <w:t>2008</w:t>
            </w:r>
            <w:bookmarkEnd w:id="290"/>
          </w:p>
        </w:tc>
        <w:tc>
          <w:tcPr>
            <w:tcW w:w="1625" w:type="dxa"/>
            <w:tcBorders>
              <w:bottom w:val="single" w:sz="4" w:space="0" w:color="000000"/>
            </w:tcBorders>
          </w:tcPr>
          <w:p w:rsidR="00250036" w:rsidRPr="00250036" w:rsidRDefault="00250036" w:rsidP="00250036">
            <w:pPr>
              <w:pStyle w:val="HIPTabletext"/>
              <w:jc w:val="left"/>
              <w:rPr>
                <w:sz w:val="20"/>
              </w:rPr>
            </w:pPr>
            <w:bookmarkStart w:id="291" w:name="_Toc281153851"/>
            <w:r w:rsidRPr="00250036">
              <w:rPr>
                <w:sz w:val="20"/>
              </w:rPr>
              <w:t>Competitive Bid</w:t>
            </w:r>
            <w:bookmarkEnd w:id="291"/>
            <w:r w:rsidRPr="00250036">
              <w:rPr>
                <w:sz w:val="20"/>
              </w:rPr>
              <w:t xml:space="preserve"> </w:t>
            </w:r>
          </w:p>
        </w:tc>
        <w:tc>
          <w:tcPr>
            <w:tcW w:w="1134" w:type="dxa"/>
            <w:tcBorders>
              <w:bottom w:val="single" w:sz="4" w:space="0" w:color="000000"/>
            </w:tcBorders>
          </w:tcPr>
          <w:p w:rsidR="00250036" w:rsidRPr="00250036" w:rsidRDefault="00250036" w:rsidP="00250036">
            <w:pPr>
              <w:pStyle w:val="HIPTabletext"/>
              <w:jc w:val="left"/>
              <w:rPr>
                <w:sz w:val="20"/>
              </w:rPr>
            </w:pPr>
            <w:bookmarkStart w:id="292" w:name="_Toc281153852"/>
            <w:r w:rsidRPr="00250036">
              <w:rPr>
                <w:sz w:val="20"/>
              </w:rPr>
              <w:t>3,000</w:t>
            </w:r>
            <w:bookmarkEnd w:id="292"/>
          </w:p>
        </w:tc>
        <w:tc>
          <w:tcPr>
            <w:tcW w:w="1108" w:type="dxa"/>
            <w:tcBorders>
              <w:bottom w:val="single" w:sz="4" w:space="0" w:color="000000"/>
            </w:tcBorders>
          </w:tcPr>
          <w:p w:rsidR="00250036" w:rsidRPr="00250036" w:rsidRDefault="00250036" w:rsidP="00250036">
            <w:pPr>
              <w:pStyle w:val="HIPTabletext"/>
              <w:jc w:val="left"/>
              <w:rPr>
                <w:sz w:val="20"/>
              </w:rPr>
            </w:pPr>
            <w:bookmarkStart w:id="293" w:name="_Toc281153853"/>
            <w:r w:rsidRPr="00250036">
              <w:rPr>
                <w:sz w:val="20"/>
              </w:rPr>
              <w:t>200</w:t>
            </w:r>
            <w:bookmarkEnd w:id="293"/>
          </w:p>
        </w:tc>
        <w:tc>
          <w:tcPr>
            <w:tcW w:w="1443" w:type="dxa"/>
            <w:tcBorders>
              <w:bottom w:val="single" w:sz="4" w:space="0" w:color="000000"/>
            </w:tcBorders>
          </w:tcPr>
          <w:p w:rsidR="00250036" w:rsidRPr="00250036" w:rsidRDefault="00250036" w:rsidP="00250036">
            <w:pPr>
              <w:pStyle w:val="HIPTabletext"/>
              <w:jc w:val="left"/>
              <w:rPr>
                <w:sz w:val="20"/>
              </w:rPr>
            </w:pPr>
          </w:p>
        </w:tc>
      </w:tr>
      <w:tr w:rsidR="00250036" w:rsidRPr="00AA4EAC" w:rsidTr="00250036">
        <w:trPr>
          <w:jc w:val="center"/>
        </w:trPr>
        <w:tc>
          <w:tcPr>
            <w:tcW w:w="1384" w:type="dxa"/>
            <w:shd w:val="clear" w:color="auto" w:fill="EAF1DD"/>
          </w:tcPr>
          <w:p w:rsidR="00250036" w:rsidRPr="00250036" w:rsidRDefault="00250036" w:rsidP="00250036">
            <w:pPr>
              <w:pStyle w:val="HIPTabletext"/>
              <w:jc w:val="left"/>
              <w:rPr>
                <w:sz w:val="20"/>
              </w:rPr>
            </w:pPr>
            <w:bookmarkStart w:id="294" w:name="_Toc281153854"/>
            <w:r w:rsidRPr="00250036">
              <w:rPr>
                <w:sz w:val="20"/>
              </w:rPr>
              <w:t>Namibia</w:t>
            </w:r>
            <w:bookmarkEnd w:id="294"/>
          </w:p>
        </w:tc>
        <w:tc>
          <w:tcPr>
            <w:tcW w:w="990" w:type="dxa"/>
            <w:shd w:val="clear" w:color="auto" w:fill="EAF1DD"/>
          </w:tcPr>
          <w:p w:rsidR="00250036" w:rsidRPr="00250036" w:rsidRDefault="00250036" w:rsidP="00250036">
            <w:pPr>
              <w:pStyle w:val="HIPTabletext"/>
              <w:jc w:val="left"/>
              <w:rPr>
                <w:sz w:val="20"/>
              </w:rPr>
            </w:pPr>
            <w:r w:rsidRPr="00250036">
              <w:rPr>
                <w:sz w:val="20"/>
              </w:rPr>
              <w:t>Not yet established</w:t>
            </w:r>
          </w:p>
        </w:tc>
        <w:tc>
          <w:tcPr>
            <w:tcW w:w="1496" w:type="dxa"/>
            <w:shd w:val="clear" w:color="auto" w:fill="EAF1DD"/>
          </w:tcPr>
          <w:p w:rsidR="00250036" w:rsidRPr="00250036" w:rsidRDefault="00250036" w:rsidP="00250036">
            <w:pPr>
              <w:pStyle w:val="HIPTabletext"/>
              <w:jc w:val="left"/>
              <w:rPr>
                <w:sz w:val="20"/>
              </w:rPr>
            </w:pPr>
            <w:r w:rsidRPr="00250036">
              <w:rPr>
                <w:sz w:val="20"/>
              </w:rPr>
              <w:t xml:space="preserve">- </w:t>
            </w:r>
          </w:p>
        </w:tc>
        <w:tc>
          <w:tcPr>
            <w:tcW w:w="1625" w:type="dxa"/>
            <w:shd w:val="clear" w:color="auto" w:fill="EAF1DD"/>
          </w:tcPr>
          <w:p w:rsidR="00250036" w:rsidRPr="00250036" w:rsidRDefault="00250036" w:rsidP="00250036">
            <w:pPr>
              <w:pStyle w:val="HIPTabletext"/>
              <w:jc w:val="left"/>
              <w:rPr>
                <w:sz w:val="20"/>
              </w:rPr>
            </w:pPr>
            <w:r w:rsidRPr="00250036">
              <w:rPr>
                <w:sz w:val="20"/>
              </w:rPr>
              <w:t xml:space="preserve">- </w:t>
            </w:r>
          </w:p>
        </w:tc>
        <w:tc>
          <w:tcPr>
            <w:tcW w:w="1134" w:type="dxa"/>
            <w:shd w:val="clear" w:color="auto" w:fill="EAF1DD"/>
          </w:tcPr>
          <w:p w:rsidR="00250036" w:rsidRPr="00250036" w:rsidRDefault="00250036" w:rsidP="00250036">
            <w:pPr>
              <w:pStyle w:val="HIPTabletext"/>
              <w:jc w:val="left"/>
              <w:rPr>
                <w:sz w:val="20"/>
              </w:rPr>
            </w:pPr>
            <w:r w:rsidRPr="00250036">
              <w:rPr>
                <w:sz w:val="20"/>
              </w:rPr>
              <w:t xml:space="preserve">- </w:t>
            </w:r>
          </w:p>
        </w:tc>
        <w:tc>
          <w:tcPr>
            <w:tcW w:w="1108" w:type="dxa"/>
            <w:shd w:val="clear" w:color="auto" w:fill="EAF1DD"/>
          </w:tcPr>
          <w:p w:rsidR="00250036" w:rsidRPr="00250036" w:rsidRDefault="00250036" w:rsidP="00250036">
            <w:pPr>
              <w:pStyle w:val="HIPTabletext"/>
              <w:jc w:val="left"/>
              <w:rPr>
                <w:sz w:val="20"/>
              </w:rPr>
            </w:pPr>
            <w:r w:rsidRPr="00250036">
              <w:rPr>
                <w:sz w:val="20"/>
              </w:rPr>
              <w:t xml:space="preserve">- </w:t>
            </w:r>
          </w:p>
        </w:tc>
        <w:tc>
          <w:tcPr>
            <w:tcW w:w="1443" w:type="dxa"/>
            <w:shd w:val="clear" w:color="auto" w:fill="EAF1DD"/>
          </w:tcPr>
          <w:p w:rsidR="00250036" w:rsidRPr="00250036" w:rsidRDefault="00250036" w:rsidP="00250036">
            <w:pPr>
              <w:pStyle w:val="HIPTabletext"/>
              <w:jc w:val="left"/>
              <w:rPr>
                <w:sz w:val="20"/>
              </w:rPr>
            </w:pPr>
            <w:r w:rsidRPr="00250036">
              <w:rPr>
                <w:sz w:val="20"/>
              </w:rPr>
              <w:t xml:space="preserve">- </w:t>
            </w:r>
          </w:p>
        </w:tc>
      </w:tr>
      <w:tr w:rsidR="00250036" w:rsidRPr="00AA4EAC" w:rsidTr="00250036">
        <w:trPr>
          <w:jc w:val="center"/>
        </w:trPr>
        <w:tc>
          <w:tcPr>
            <w:tcW w:w="1384" w:type="dxa"/>
            <w:tcBorders>
              <w:bottom w:val="single" w:sz="4" w:space="0" w:color="000000"/>
            </w:tcBorders>
          </w:tcPr>
          <w:p w:rsidR="00250036" w:rsidRPr="00250036" w:rsidRDefault="00250036" w:rsidP="00250036">
            <w:pPr>
              <w:pStyle w:val="HIPTabletext"/>
              <w:jc w:val="left"/>
              <w:rPr>
                <w:sz w:val="20"/>
              </w:rPr>
            </w:pPr>
            <w:r w:rsidRPr="00250036">
              <w:rPr>
                <w:sz w:val="20"/>
              </w:rPr>
              <w:t>Seychelles</w:t>
            </w:r>
          </w:p>
        </w:tc>
        <w:tc>
          <w:tcPr>
            <w:tcW w:w="990" w:type="dxa"/>
            <w:tcBorders>
              <w:bottom w:val="single" w:sz="4" w:space="0" w:color="000000"/>
            </w:tcBorders>
          </w:tcPr>
          <w:p w:rsidR="00250036" w:rsidRPr="00250036" w:rsidRDefault="00250036" w:rsidP="00250036">
            <w:pPr>
              <w:pStyle w:val="HIPTabletext"/>
              <w:jc w:val="left"/>
              <w:rPr>
                <w:sz w:val="20"/>
              </w:rPr>
            </w:pPr>
          </w:p>
        </w:tc>
        <w:tc>
          <w:tcPr>
            <w:tcW w:w="1496" w:type="dxa"/>
            <w:tcBorders>
              <w:bottom w:val="single" w:sz="4" w:space="0" w:color="000000"/>
            </w:tcBorders>
          </w:tcPr>
          <w:p w:rsidR="00250036" w:rsidRPr="00250036" w:rsidRDefault="00250036" w:rsidP="00250036">
            <w:pPr>
              <w:pStyle w:val="HIPTabletext"/>
              <w:jc w:val="left"/>
              <w:rPr>
                <w:sz w:val="20"/>
              </w:rPr>
            </w:pPr>
          </w:p>
        </w:tc>
        <w:tc>
          <w:tcPr>
            <w:tcW w:w="1625" w:type="dxa"/>
            <w:tcBorders>
              <w:bottom w:val="single" w:sz="4" w:space="0" w:color="000000"/>
            </w:tcBorders>
          </w:tcPr>
          <w:p w:rsidR="00250036" w:rsidRPr="00250036" w:rsidRDefault="00250036" w:rsidP="00250036">
            <w:pPr>
              <w:pStyle w:val="HIPTabletext"/>
              <w:jc w:val="left"/>
              <w:rPr>
                <w:sz w:val="20"/>
              </w:rPr>
            </w:pPr>
          </w:p>
        </w:tc>
        <w:tc>
          <w:tcPr>
            <w:tcW w:w="1134" w:type="dxa"/>
            <w:tcBorders>
              <w:bottom w:val="single" w:sz="4" w:space="0" w:color="000000"/>
            </w:tcBorders>
          </w:tcPr>
          <w:p w:rsidR="00250036" w:rsidRPr="00250036" w:rsidRDefault="00250036" w:rsidP="00250036">
            <w:pPr>
              <w:pStyle w:val="HIPTabletext"/>
              <w:jc w:val="left"/>
              <w:rPr>
                <w:sz w:val="20"/>
              </w:rPr>
            </w:pPr>
          </w:p>
        </w:tc>
        <w:tc>
          <w:tcPr>
            <w:tcW w:w="1108" w:type="dxa"/>
            <w:tcBorders>
              <w:bottom w:val="single" w:sz="4" w:space="0" w:color="000000"/>
            </w:tcBorders>
          </w:tcPr>
          <w:p w:rsidR="00250036" w:rsidRPr="00250036" w:rsidRDefault="00250036" w:rsidP="00250036">
            <w:pPr>
              <w:pStyle w:val="HIPTabletext"/>
              <w:jc w:val="left"/>
              <w:rPr>
                <w:sz w:val="20"/>
              </w:rPr>
            </w:pPr>
          </w:p>
        </w:tc>
        <w:tc>
          <w:tcPr>
            <w:tcW w:w="1443" w:type="dxa"/>
            <w:tcBorders>
              <w:bottom w:val="single" w:sz="4" w:space="0" w:color="000000"/>
            </w:tcBorders>
          </w:tcPr>
          <w:p w:rsidR="00250036" w:rsidRPr="00250036" w:rsidRDefault="00250036" w:rsidP="00250036">
            <w:pPr>
              <w:pStyle w:val="HIPTabletext"/>
              <w:jc w:val="left"/>
              <w:rPr>
                <w:sz w:val="20"/>
              </w:rPr>
            </w:pPr>
          </w:p>
        </w:tc>
      </w:tr>
      <w:tr w:rsidR="00250036" w:rsidRPr="00AA4EAC" w:rsidTr="00250036">
        <w:trPr>
          <w:jc w:val="center"/>
        </w:trPr>
        <w:tc>
          <w:tcPr>
            <w:tcW w:w="1384" w:type="dxa"/>
            <w:shd w:val="clear" w:color="auto" w:fill="EAF1DD"/>
          </w:tcPr>
          <w:p w:rsidR="00250036" w:rsidRPr="00250036" w:rsidRDefault="00250036" w:rsidP="00250036">
            <w:pPr>
              <w:pStyle w:val="HIPTabletext"/>
              <w:jc w:val="left"/>
              <w:rPr>
                <w:sz w:val="20"/>
              </w:rPr>
            </w:pPr>
            <w:bookmarkStart w:id="295" w:name="_Toc281153855"/>
            <w:r w:rsidRPr="00250036">
              <w:rPr>
                <w:sz w:val="20"/>
              </w:rPr>
              <w:t>South Africa</w:t>
            </w:r>
            <w:bookmarkEnd w:id="295"/>
          </w:p>
        </w:tc>
        <w:tc>
          <w:tcPr>
            <w:tcW w:w="990" w:type="dxa"/>
            <w:shd w:val="clear" w:color="auto" w:fill="EAF1DD"/>
          </w:tcPr>
          <w:p w:rsidR="00250036" w:rsidRPr="00250036" w:rsidRDefault="00250036" w:rsidP="00250036">
            <w:pPr>
              <w:pStyle w:val="HIPTabletext"/>
              <w:jc w:val="left"/>
              <w:rPr>
                <w:sz w:val="20"/>
              </w:rPr>
            </w:pPr>
            <w:bookmarkStart w:id="296" w:name="_Toc281153856"/>
            <w:r w:rsidRPr="00250036">
              <w:rPr>
                <w:sz w:val="20"/>
              </w:rPr>
              <w:t>1997</w:t>
            </w:r>
            <w:bookmarkEnd w:id="296"/>
          </w:p>
        </w:tc>
        <w:tc>
          <w:tcPr>
            <w:tcW w:w="1496" w:type="dxa"/>
            <w:shd w:val="clear" w:color="auto" w:fill="EAF1DD"/>
          </w:tcPr>
          <w:p w:rsidR="00250036" w:rsidRPr="00250036" w:rsidRDefault="00250036" w:rsidP="00250036">
            <w:pPr>
              <w:pStyle w:val="HIPTabletext"/>
              <w:jc w:val="left"/>
              <w:rPr>
                <w:sz w:val="20"/>
              </w:rPr>
            </w:pPr>
            <w:bookmarkStart w:id="297" w:name="_Toc281153857"/>
            <w:r w:rsidRPr="00250036">
              <w:rPr>
                <w:sz w:val="20"/>
              </w:rPr>
              <w:t>1998</w:t>
            </w:r>
            <w:bookmarkEnd w:id="297"/>
          </w:p>
        </w:tc>
        <w:tc>
          <w:tcPr>
            <w:tcW w:w="1625" w:type="dxa"/>
            <w:shd w:val="clear" w:color="auto" w:fill="EAF1DD"/>
          </w:tcPr>
          <w:p w:rsidR="00250036" w:rsidRPr="00250036" w:rsidRDefault="00250036" w:rsidP="00250036">
            <w:pPr>
              <w:pStyle w:val="HIPTabletext"/>
              <w:jc w:val="left"/>
              <w:rPr>
                <w:sz w:val="20"/>
              </w:rPr>
            </w:pPr>
            <w:bookmarkStart w:id="298" w:name="_Toc281153858"/>
            <w:r w:rsidRPr="00250036">
              <w:rPr>
                <w:sz w:val="20"/>
              </w:rPr>
              <w:t>Competitive tender</w:t>
            </w:r>
            <w:bookmarkEnd w:id="298"/>
          </w:p>
        </w:tc>
        <w:tc>
          <w:tcPr>
            <w:tcW w:w="1134" w:type="dxa"/>
            <w:shd w:val="clear" w:color="auto" w:fill="EAF1DD"/>
          </w:tcPr>
          <w:p w:rsidR="00250036" w:rsidRPr="00250036" w:rsidRDefault="00250036" w:rsidP="00250036">
            <w:pPr>
              <w:pStyle w:val="HIPTabletext"/>
              <w:jc w:val="left"/>
              <w:rPr>
                <w:sz w:val="20"/>
              </w:rPr>
            </w:pPr>
            <w:bookmarkStart w:id="299" w:name="_Toc281153859"/>
            <w:r w:rsidRPr="00250036">
              <w:rPr>
                <w:sz w:val="20"/>
              </w:rPr>
              <w:t>90,068</w:t>
            </w:r>
            <w:bookmarkEnd w:id="299"/>
          </w:p>
        </w:tc>
        <w:tc>
          <w:tcPr>
            <w:tcW w:w="1108" w:type="dxa"/>
            <w:shd w:val="clear" w:color="auto" w:fill="EAF1DD"/>
          </w:tcPr>
          <w:p w:rsidR="00250036" w:rsidRPr="00250036" w:rsidRDefault="00250036" w:rsidP="00250036">
            <w:pPr>
              <w:pStyle w:val="HIPTabletext"/>
              <w:jc w:val="left"/>
              <w:rPr>
                <w:sz w:val="20"/>
              </w:rPr>
            </w:pPr>
            <w:bookmarkStart w:id="300" w:name="_Toc281153860"/>
            <w:r w:rsidRPr="00250036">
              <w:rPr>
                <w:sz w:val="20"/>
              </w:rPr>
              <w:t>30,988</w:t>
            </w:r>
            <w:bookmarkEnd w:id="300"/>
          </w:p>
        </w:tc>
        <w:tc>
          <w:tcPr>
            <w:tcW w:w="1443" w:type="dxa"/>
            <w:shd w:val="clear" w:color="auto" w:fill="EAF1DD"/>
          </w:tcPr>
          <w:p w:rsidR="00250036" w:rsidRPr="00250036" w:rsidRDefault="00250036" w:rsidP="00250036">
            <w:pPr>
              <w:pStyle w:val="HIPTabletext"/>
              <w:jc w:val="left"/>
              <w:rPr>
                <w:sz w:val="20"/>
              </w:rPr>
            </w:pPr>
          </w:p>
        </w:tc>
      </w:tr>
      <w:tr w:rsidR="00250036" w:rsidRPr="00AA4EAC" w:rsidTr="00250036">
        <w:trPr>
          <w:jc w:val="center"/>
        </w:trPr>
        <w:tc>
          <w:tcPr>
            <w:tcW w:w="1384" w:type="dxa"/>
            <w:tcBorders>
              <w:bottom w:val="single" w:sz="4" w:space="0" w:color="000000"/>
            </w:tcBorders>
          </w:tcPr>
          <w:p w:rsidR="00250036" w:rsidRPr="00250036" w:rsidRDefault="00250036" w:rsidP="00250036">
            <w:pPr>
              <w:pStyle w:val="HIPTabletext"/>
              <w:jc w:val="left"/>
              <w:rPr>
                <w:sz w:val="20"/>
              </w:rPr>
            </w:pPr>
            <w:bookmarkStart w:id="301" w:name="_Toc281153861"/>
            <w:r w:rsidRPr="00250036">
              <w:rPr>
                <w:sz w:val="20"/>
              </w:rPr>
              <w:t>Swaziland</w:t>
            </w:r>
            <w:bookmarkEnd w:id="301"/>
          </w:p>
        </w:tc>
        <w:tc>
          <w:tcPr>
            <w:tcW w:w="990" w:type="dxa"/>
            <w:tcBorders>
              <w:bottom w:val="single" w:sz="4" w:space="0" w:color="000000"/>
            </w:tcBorders>
          </w:tcPr>
          <w:p w:rsidR="00250036" w:rsidRPr="00250036" w:rsidRDefault="00250036" w:rsidP="00250036">
            <w:pPr>
              <w:pStyle w:val="HIPTabletext"/>
              <w:jc w:val="left"/>
              <w:rPr>
                <w:sz w:val="20"/>
              </w:rPr>
            </w:pPr>
            <w:bookmarkStart w:id="302" w:name="_Toc281153862"/>
            <w:r w:rsidRPr="00250036">
              <w:rPr>
                <w:sz w:val="20"/>
              </w:rPr>
              <w:t>1990</w:t>
            </w:r>
            <w:bookmarkEnd w:id="302"/>
          </w:p>
        </w:tc>
        <w:tc>
          <w:tcPr>
            <w:tcW w:w="1496" w:type="dxa"/>
            <w:tcBorders>
              <w:bottom w:val="single" w:sz="4" w:space="0" w:color="000000"/>
            </w:tcBorders>
          </w:tcPr>
          <w:p w:rsidR="00250036" w:rsidRPr="00250036" w:rsidRDefault="00250036" w:rsidP="00250036">
            <w:pPr>
              <w:pStyle w:val="HIPTabletext"/>
              <w:jc w:val="left"/>
              <w:rPr>
                <w:sz w:val="20"/>
              </w:rPr>
            </w:pPr>
            <w:bookmarkStart w:id="303" w:name="_Toc281153863"/>
            <w:r w:rsidRPr="00250036">
              <w:rPr>
                <w:sz w:val="20"/>
              </w:rPr>
              <w:t>2001</w:t>
            </w:r>
            <w:bookmarkEnd w:id="303"/>
          </w:p>
        </w:tc>
        <w:tc>
          <w:tcPr>
            <w:tcW w:w="1625" w:type="dxa"/>
            <w:tcBorders>
              <w:bottom w:val="single" w:sz="4" w:space="0" w:color="000000"/>
            </w:tcBorders>
          </w:tcPr>
          <w:p w:rsidR="00250036" w:rsidRPr="00250036" w:rsidRDefault="00250036" w:rsidP="00250036">
            <w:pPr>
              <w:pStyle w:val="HIPTabletext"/>
              <w:jc w:val="left"/>
              <w:rPr>
                <w:sz w:val="20"/>
              </w:rPr>
            </w:pPr>
          </w:p>
        </w:tc>
        <w:tc>
          <w:tcPr>
            <w:tcW w:w="1134" w:type="dxa"/>
            <w:tcBorders>
              <w:bottom w:val="single" w:sz="4" w:space="0" w:color="000000"/>
            </w:tcBorders>
          </w:tcPr>
          <w:p w:rsidR="00250036" w:rsidRPr="00250036" w:rsidRDefault="00250036" w:rsidP="00250036">
            <w:pPr>
              <w:pStyle w:val="HIPTabletext"/>
              <w:jc w:val="left"/>
              <w:rPr>
                <w:sz w:val="20"/>
              </w:rPr>
            </w:pPr>
            <w:bookmarkStart w:id="304" w:name="_Toc281153864"/>
            <w:r w:rsidRPr="00250036">
              <w:rPr>
                <w:sz w:val="20"/>
              </w:rPr>
              <w:t>38,000</w:t>
            </w:r>
            <w:bookmarkEnd w:id="304"/>
          </w:p>
        </w:tc>
        <w:tc>
          <w:tcPr>
            <w:tcW w:w="1108" w:type="dxa"/>
            <w:tcBorders>
              <w:bottom w:val="single" w:sz="4" w:space="0" w:color="000000"/>
            </w:tcBorders>
          </w:tcPr>
          <w:p w:rsidR="00250036" w:rsidRPr="00250036" w:rsidRDefault="00250036" w:rsidP="00250036">
            <w:pPr>
              <w:pStyle w:val="HIPTabletext"/>
              <w:jc w:val="left"/>
              <w:rPr>
                <w:sz w:val="20"/>
              </w:rPr>
            </w:pPr>
            <w:bookmarkStart w:id="305" w:name="_Toc281153865"/>
            <w:r w:rsidRPr="00250036">
              <w:rPr>
                <w:sz w:val="20"/>
              </w:rPr>
              <w:t>6,000</w:t>
            </w:r>
            <w:bookmarkEnd w:id="305"/>
          </w:p>
        </w:tc>
        <w:tc>
          <w:tcPr>
            <w:tcW w:w="1443" w:type="dxa"/>
            <w:tcBorders>
              <w:bottom w:val="single" w:sz="4" w:space="0" w:color="000000"/>
            </w:tcBorders>
          </w:tcPr>
          <w:p w:rsidR="00250036" w:rsidRPr="00250036" w:rsidRDefault="00250036" w:rsidP="00250036">
            <w:pPr>
              <w:pStyle w:val="HIPTabletext"/>
              <w:jc w:val="left"/>
              <w:rPr>
                <w:sz w:val="20"/>
              </w:rPr>
            </w:pPr>
          </w:p>
        </w:tc>
      </w:tr>
      <w:tr w:rsidR="00250036" w:rsidRPr="00AA4EAC" w:rsidTr="00250036">
        <w:trPr>
          <w:jc w:val="center"/>
        </w:trPr>
        <w:tc>
          <w:tcPr>
            <w:tcW w:w="1384" w:type="dxa"/>
            <w:shd w:val="clear" w:color="auto" w:fill="EAF1DD"/>
          </w:tcPr>
          <w:p w:rsidR="00250036" w:rsidRPr="00250036" w:rsidRDefault="00250036" w:rsidP="00250036">
            <w:pPr>
              <w:pStyle w:val="HIPTabletext"/>
              <w:jc w:val="left"/>
              <w:rPr>
                <w:sz w:val="20"/>
              </w:rPr>
            </w:pPr>
            <w:bookmarkStart w:id="306" w:name="_Toc281153866"/>
            <w:r w:rsidRPr="00250036">
              <w:rPr>
                <w:sz w:val="20"/>
              </w:rPr>
              <w:t>Tanzania</w:t>
            </w:r>
            <w:bookmarkEnd w:id="306"/>
            <w:r w:rsidRPr="00250036">
              <w:rPr>
                <w:sz w:val="20"/>
              </w:rPr>
              <w:t xml:space="preserve"> </w:t>
            </w:r>
          </w:p>
        </w:tc>
        <w:tc>
          <w:tcPr>
            <w:tcW w:w="990" w:type="dxa"/>
            <w:shd w:val="clear" w:color="auto" w:fill="EAF1DD"/>
          </w:tcPr>
          <w:p w:rsidR="00250036" w:rsidRPr="00250036" w:rsidRDefault="00250036" w:rsidP="00250036">
            <w:pPr>
              <w:pStyle w:val="HIPTabletext"/>
              <w:jc w:val="left"/>
              <w:rPr>
                <w:sz w:val="20"/>
              </w:rPr>
            </w:pPr>
            <w:bookmarkStart w:id="307" w:name="_Toc281153867"/>
            <w:r w:rsidRPr="00250036">
              <w:rPr>
                <w:sz w:val="20"/>
              </w:rPr>
              <w:t>2009</w:t>
            </w:r>
            <w:bookmarkEnd w:id="307"/>
          </w:p>
        </w:tc>
        <w:tc>
          <w:tcPr>
            <w:tcW w:w="1496" w:type="dxa"/>
            <w:shd w:val="clear" w:color="auto" w:fill="EAF1DD"/>
          </w:tcPr>
          <w:p w:rsidR="00250036" w:rsidRPr="00250036" w:rsidRDefault="00250036" w:rsidP="00250036">
            <w:pPr>
              <w:pStyle w:val="HIPTabletext"/>
              <w:jc w:val="left"/>
              <w:rPr>
                <w:sz w:val="20"/>
              </w:rPr>
            </w:pPr>
          </w:p>
        </w:tc>
        <w:tc>
          <w:tcPr>
            <w:tcW w:w="1625" w:type="dxa"/>
            <w:shd w:val="clear" w:color="auto" w:fill="EAF1DD"/>
          </w:tcPr>
          <w:p w:rsidR="00250036" w:rsidRPr="00250036" w:rsidRDefault="00250036" w:rsidP="00250036">
            <w:pPr>
              <w:pStyle w:val="HIPTabletext"/>
              <w:jc w:val="left"/>
              <w:rPr>
                <w:sz w:val="20"/>
                <w:lang w:val="en-US"/>
              </w:rPr>
            </w:pPr>
            <w:bookmarkStart w:id="308" w:name="_Toc281153868"/>
            <w:r w:rsidRPr="00250036">
              <w:rPr>
                <w:sz w:val="20"/>
                <w:lang w:val="en-US"/>
              </w:rPr>
              <w:t>Competitive Tendering and reverse action</w:t>
            </w:r>
            <w:bookmarkEnd w:id="308"/>
          </w:p>
        </w:tc>
        <w:tc>
          <w:tcPr>
            <w:tcW w:w="1134" w:type="dxa"/>
            <w:shd w:val="clear" w:color="auto" w:fill="EAF1DD"/>
          </w:tcPr>
          <w:p w:rsidR="00250036" w:rsidRPr="00250036" w:rsidRDefault="00250036" w:rsidP="00250036">
            <w:pPr>
              <w:pStyle w:val="HIPTabletext"/>
              <w:jc w:val="left"/>
              <w:rPr>
                <w:sz w:val="20"/>
              </w:rPr>
            </w:pPr>
            <w:bookmarkStart w:id="309" w:name="_Toc281153869"/>
            <w:r w:rsidRPr="00250036">
              <w:rPr>
                <w:sz w:val="20"/>
              </w:rPr>
              <w:t>3,000</w:t>
            </w:r>
            <w:bookmarkEnd w:id="309"/>
          </w:p>
        </w:tc>
        <w:tc>
          <w:tcPr>
            <w:tcW w:w="1108" w:type="dxa"/>
            <w:shd w:val="clear" w:color="auto" w:fill="EAF1DD"/>
          </w:tcPr>
          <w:p w:rsidR="00250036" w:rsidRPr="00250036" w:rsidRDefault="00250036" w:rsidP="00250036">
            <w:pPr>
              <w:pStyle w:val="HIPTabletext"/>
              <w:jc w:val="left"/>
              <w:rPr>
                <w:sz w:val="20"/>
              </w:rPr>
            </w:pPr>
            <w:bookmarkStart w:id="310" w:name="_Toc281153870"/>
            <w:r w:rsidRPr="00250036">
              <w:rPr>
                <w:sz w:val="20"/>
              </w:rPr>
              <w:t>-</w:t>
            </w:r>
            <w:bookmarkEnd w:id="310"/>
          </w:p>
        </w:tc>
        <w:tc>
          <w:tcPr>
            <w:tcW w:w="1443" w:type="dxa"/>
            <w:shd w:val="clear" w:color="auto" w:fill="EAF1DD"/>
          </w:tcPr>
          <w:p w:rsidR="00250036" w:rsidRPr="00250036" w:rsidRDefault="00250036" w:rsidP="00250036">
            <w:pPr>
              <w:pStyle w:val="HIPTabletext"/>
              <w:jc w:val="left"/>
              <w:rPr>
                <w:sz w:val="20"/>
              </w:rPr>
            </w:pPr>
          </w:p>
        </w:tc>
      </w:tr>
      <w:tr w:rsidR="00250036" w:rsidRPr="00A3379B" w:rsidTr="00250036">
        <w:trPr>
          <w:jc w:val="center"/>
        </w:trPr>
        <w:tc>
          <w:tcPr>
            <w:tcW w:w="1384" w:type="dxa"/>
            <w:tcBorders>
              <w:bottom w:val="single" w:sz="4" w:space="0" w:color="000000"/>
            </w:tcBorders>
          </w:tcPr>
          <w:p w:rsidR="00250036" w:rsidRPr="00250036" w:rsidRDefault="00250036" w:rsidP="00250036">
            <w:pPr>
              <w:pStyle w:val="HIPTabletext"/>
              <w:jc w:val="left"/>
              <w:rPr>
                <w:sz w:val="20"/>
              </w:rPr>
            </w:pPr>
            <w:bookmarkStart w:id="311" w:name="_Toc281153871"/>
            <w:r w:rsidRPr="00250036">
              <w:rPr>
                <w:sz w:val="20"/>
              </w:rPr>
              <w:t>Zambia</w:t>
            </w:r>
            <w:bookmarkEnd w:id="311"/>
          </w:p>
        </w:tc>
        <w:tc>
          <w:tcPr>
            <w:tcW w:w="990" w:type="dxa"/>
            <w:tcBorders>
              <w:bottom w:val="single" w:sz="4" w:space="0" w:color="000000"/>
            </w:tcBorders>
          </w:tcPr>
          <w:p w:rsidR="00250036" w:rsidRPr="00250036" w:rsidRDefault="00250036" w:rsidP="00250036">
            <w:pPr>
              <w:pStyle w:val="HIPTabletext"/>
              <w:jc w:val="left"/>
              <w:rPr>
                <w:sz w:val="20"/>
              </w:rPr>
            </w:pPr>
            <w:bookmarkStart w:id="312" w:name="_Toc281153872"/>
            <w:r w:rsidRPr="00250036">
              <w:rPr>
                <w:sz w:val="20"/>
              </w:rPr>
              <w:t>1996</w:t>
            </w:r>
            <w:bookmarkEnd w:id="312"/>
          </w:p>
        </w:tc>
        <w:tc>
          <w:tcPr>
            <w:tcW w:w="1496" w:type="dxa"/>
            <w:tcBorders>
              <w:bottom w:val="single" w:sz="4" w:space="0" w:color="000000"/>
            </w:tcBorders>
          </w:tcPr>
          <w:p w:rsidR="00250036" w:rsidRPr="00250036" w:rsidRDefault="00250036" w:rsidP="00250036">
            <w:pPr>
              <w:pStyle w:val="HIPTabletext"/>
              <w:jc w:val="left"/>
              <w:rPr>
                <w:sz w:val="20"/>
              </w:rPr>
            </w:pPr>
            <w:bookmarkStart w:id="313" w:name="_Toc281153873"/>
            <w:r w:rsidRPr="00250036">
              <w:rPr>
                <w:sz w:val="20"/>
              </w:rPr>
              <w:t>2009</w:t>
            </w:r>
            <w:bookmarkEnd w:id="313"/>
          </w:p>
        </w:tc>
        <w:tc>
          <w:tcPr>
            <w:tcW w:w="1625" w:type="dxa"/>
            <w:tcBorders>
              <w:bottom w:val="single" w:sz="4" w:space="0" w:color="000000"/>
            </w:tcBorders>
          </w:tcPr>
          <w:p w:rsidR="00250036" w:rsidRPr="00250036" w:rsidRDefault="00250036" w:rsidP="00250036">
            <w:pPr>
              <w:pStyle w:val="HIPTabletext"/>
              <w:jc w:val="left"/>
              <w:rPr>
                <w:sz w:val="20"/>
                <w:lang w:val="en-US"/>
              </w:rPr>
            </w:pPr>
            <w:bookmarkStart w:id="314" w:name="_Toc281153874"/>
            <w:r w:rsidRPr="00250036">
              <w:rPr>
                <w:sz w:val="20"/>
                <w:lang w:val="en-US"/>
              </w:rPr>
              <w:t>Hybrid of tender bid and Fund Direct financing through purchase of ICT equipment for projects</w:t>
            </w:r>
            <w:bookmarkEnd w:id="314"/>
          </w:p>
        </w:tc>
        <w:tc>
          <w:tcPr>
            <w:tcW w:w="1134" w:type="dxa"/>
            <w:tcBorders>
              <w:bottom w:val="single" w:sz="4" w:space="0" w:color="000000"/>
            </w:tcBorders>
          </w:tcPr>
          <w:p w:rsidR="00250036" w:rsidRPr="00250036" w:rsidRDefault="00250036" w:rsidP="00250036">
            <w:pPr>
              <w:pStyle w:val="HIPTabletext"/>
              <w:jc w:val="left"/>
              <w:rPr>
                <w:sz w:val="20"/>
              </w:rPr>
            </w:pPr>
            <w:bookmarkStart w:id="315" w:name="_Toc281153875"/>
            <w:r w:rsidRPr="00250036">
              <w:rPr>
                <w:sz w:val="20"/>
              </w:rPr>
              <w:t>12,000</w:t>
            </w:r>
            <w:bookmarkEnd w:id="315"/>
          </w:p>
        </w:tc>
        <w:tc>
          <w:tcPr>
            <w:tcW w:w="1108" w:type="dxa"/>
            <w:tcBorders>
              <w:bottom w:val="single" w:sz="4" w:space="0" w:color="000000"/>
            </w:tcBorders>
          </w:tcPr>
          <w:p w:rsidR="00250036" w:rsidRPr="00250036" w:rsidRDefault="00250036" w:rsidP="00250036">
            <w:pPr>
              <w:pStyle w:val="HIPTabletext"/>
              <w:jc w:val="left"/>
              <w:rPr>
                <w:sz w:val="20"/>
              </w:rPr>
            </w:pPr>
            <w:bookmarkStart w:id="316" w:name="_Toc281153876"/>
            <w:r w:rsidRPr="00250036">
              <w:rPr>
                <w:sz w:val="20"/>
              </w:rPr>
              <w:t>65</w:t>
            </w:r>
            <w:bookmarkEnd w:id="316"/>
          </w:p>
        </w:tc>
        <w:tc>
          <w:tcPr>
            <w:tcW w:w="1443" w:type="dxa"/>
            <w:tcBorders>
              <w:bottom w:val="single" w:sz="4" w:space="0" w:color="000000"/>
            </w:tcBorders>
          </w:tcPr>
          <w:p w:rsidR="00250036" w:rsidRPr="00250036" w:rsidRDefault="00250036" w:rsidP="00250036">
            <w:pPr>
              <w:pStyle w:val="HIPTabletext"/>
              <w:jc w:val="left"/>
              <w:rPr>
                <w:sz w:val="20"/>
                <w:lang w:val="en-US"/>
              </w:rPr>
            </w:pPr>
            <w:bookmarkStart w:id="317" w:name="_Toc281153877"/>
            <w:r w:rsidRPr="00250036">
              <w:rPr>
                <w:sz w:val="20"/>
                <w:lang w:val="en-US"/>
              </w:rPr>
              <w:t>The amount collected is actually a budget allocation</w:t>
            </w:r>
            <w:bookmarkEnd w:id="317"/>
          </w:p>
        </w:tc>
      </w:tr>
      <w:tr w:rsidR="00250036" w:rsidRPr="00A3379B" w:rsidTr="00250036">
        <w:trPr>
          <w:jc w:val="center"/>
        </w:trPr>
        <w:tc>
          <w:tcPr>
            <w:tcW w:w="1384" w:type="dxa"/>
            <w:shd w:val="clear" w:color="auto" w:fill="EAF1DD"/>
          </w:tcPr>
          <w:p w:rsidR="00250036" w:rsidRPr="00250036" w:rsidRDefault="00250036" w:rsidP="00250036">
            <w:pPr>
              <w:pStyle w:val="HIPTabletext"/>
              <w:jc w:val="left"/>
              <w:rPr>
                <w:sz w:val="20"/>
              </w:rPr>
            </w:pPr>
            <w:bookmarkStart w:id="318" w:name="_Toc281153878"/>
            <w:r w:rsidRPr="00250036">
              <w:rPr>
                <w:sz w:val="20"/>
              </w:rPr>
              <w:t>Zimbabwe</w:t>
            </w:r>
            <w:bookmarkEnd w:id="318"/>
          </w:p>
        </w:tc>
        <w:tc>
          <w:tcPr>
            <w:tcW w:w="990" w:type="dxa"/>
            <w:shd w:val="clear" w:color="auto" w:fill="EAF1DD"/>
          </w:tcPr>
          <w:p w:rsidR="00250036" w:rsidRPr="00250036" w:rsidRDefault="00250036" w:rsidP="00250036">
            <w:pPr>
              <w:pStyle w:val="HIPTabletext"/>
              <w:jc w:val="left"/>
              <w:rPr>
                <w:sz w:val="20"/>
              </w:rPr>
            </w:pPr>
            <w:bookmarkStart w:id="319" w:name="_Toc281153879"/>
            <w:r w:rsidRPr="00250036">
              <w:rPr>
                <w:sz w:val="20"/>
              </w:rPr>
              <w:t>2002</w:t>
            </w:r>
            <w:bookmarkEnd w:id="319"/>
          </w:p>
        </w:tc>
        <w:tc>
          <w:tcPr>
            <w:tcW w:w="1496" w:type="dxa"/>
            <w:shd w:val="clear" w:color="auto" w:fill="EAF1DD"/>
          </w:tcPr>
          <w:p w:rsidR="00250036" w:rsidRPr="00250036" w:rsidRDefault="00250036" w:rsidP="00250036">
            <w:pPr>
              <w:pStyle w:val="HIPTabletext"/>
              <w:jc w:val="left"/>
              <w:rPr>
                <w:sz w:val="20"/>
              </w:rPr>
            </w:pPr>
          </w:p>
        </w:tc>
        <w:tc>
          <w:tcPr>
            <w:tcW w:w="1625" w:type="dxa"/>
            <w:shd w:val="clear" w:color="auto" w:fill="EAF1DD"/>
          </w:tcPr>
          <w:p w:rsidR="00250036" w:rsidRPr="00250036" w:rsidRDefault="00250036" w:rsidP="00250036">
            <w:pPr>
              <w:pStyle w:val="HIPTabletext"/>
              <w:jc w:val="left"/>
              <w:rPr>
                <w:sz w:val="20"/>
              </w:rPr>
            </w:pPr>
            <w:bookmarkStart w:id="320" w:name="_Toc281153880"/>
            <w:r w:rsidRPr="00250036">
              <w:rPr>
                <w:sz w:val="20"/>
              </w:rPr>
              <w:t>ND</w:t>
            </w:r>
            <w:bookmarkEnd w:id="320"/>
          </w:p>
        </w:tc>
        <w:tc>
          <w:tcPr>
            <w:tcW w:w="1134" w:type="dxa"/>
            <w:shd w:val="clear" w:color="auto" w:fill="EAF1DD"/>
          </w:tcPr>
          <w:p w:rsidR="00250036" w:rsidRPr="00250036" w:rsidRDefault="00250036" w:rsidP="00250036">
            <w:pPr>
              <w:pStyle w:val="HIPTabletext"/>
              <w:jc w:val="left"/>
              <w:rPr>
                <w:sz w:val="20"/>
              </w:rPr>
            </w:pPr>
            <w:bookmarkStart w:id="321" w:name="_Toc281153881"/>
            <w:r w:rsidRPr="00250036">
              <w:rPr>
                <w:sz w:val="20"/>
              </w:rPr>
              <w:t>5, 000</w:t>
            </w:r>
            <w:bookmarkEnd w:id="321"/>
          </w:p>
        </w:tc>
        <w:tc>
          <w:tcPr>
            <w:tcW w:w="1108" w:type="dxa"/>
            <w:shd w:val="clear" w:color="auto" w:fill="EAF1DD"/>
          </w:tcPr>
          <w:p w:rsidR="00250036" w:rsidRPr="00250036" w:rsidRDefault="00250036" w:rsidP="00250036">
            <w:pPr>
              <w:pStyle w:val="HIPTabletext"/>
              <w:jc w:val="left"/>
              <w:rPr>
                <w:sz w:val="20"/>
              </w:rPr>
            </w:pPr>
            <w:bookmarkStart w:id="322" w:name="_Toc281153882"/>
            <w:r w:rsidRPr="00250036">
              <w:rPr>
                <w:sz w:val="20"/>
              </w:rPr>
              <w:t>0</w:t>
            </w:r>
            <w:bookmarkEnd w:id="322"/>
          </w:p>
        </w:tc>
        <w:tc>
          <w:tcPr>
            <w:tcW w:w="1443" w:type="dxa"/>
            <w:shd w:val="clear" w:color="auto" w:fill="EAF1DD"/>
          </w:tcPr>
          <w:p w:rsidR="00250036" w:rsidRPr="00250036" w:rsidRDefault="00250036" w:rsidP="00250036">
            <w:pPr>
              <w:pStyle w:val="HIPTabletext"/>
              <w:jc w:val="left"/>
              <w:rPr>
                <w:sz w:val="20"/>
                <w:lang w:val="en-US"/>
              </w:rPr>
            </w:pPr>
            <w:bookmarkStart w:id="323" w:name="_Toc281153883"/>
            <w:r w:rsidRPr="00250036">
              <w:rPr>
                <w:sz w:val="20"/>
                <w:lang w:val="en-US"/>
              </w:rPr>
              <w:t>The collected amount is as from February 2009</w:t>
            </w:r>
            <w:bookmarkEnd w:id="323"/>
          </w:p>
        </w:tc>
      </w:tr>
    </w:tbl>
    <w:p w:rsidR="00250036" w:rsidRPr="00B37DAE" w:rsidRDefault="00250036" w:rsidP="00250036">
      <w:pPr>
        <w:pStyle w:val="HIPNormal"/>
        <w:rPr>
          <w:lang w:val="en-US"/>
        </w:rPr>
      </w:pPr>
    </w:p>
    <w:p w:rsidR="00250036" w:rsidRDefault="00250036" w:rsidP="00250036">
      <w:pPr>
        <w:pStyle w:val="HIPNormal"/>
        <w:rPr>
          <w:lang w:val="en-US"/>
        </w:rPr>
      </w:pPr>
      <w:r w:rsidRPr="00B37DAE">
        <w:rPr>
          <w:lang w:val="en-US"/>
        </w:rPr>
        <w:lastRenderedPageBreak/>
        <w:t xml:space="preserve">The Tanzanian Fund only commenced collecting Funds once it had a structure in place to deal with disbursement (2010). Malawi, Namibia and Seychelles have the same opportunity – this builds trust, ensures transparency and good governance, and will avoid the challenges associate with unused funds. </w:t>
      </w:r>
      <w:bookmarkStart w:id="324" w:name="_Toc281459573"/>
    </w:p>
    <w:p w:rsidR="00250036" w:rsidRDefault="00250036" w:rsidP="00250036">
      <w:pPr>
        <w:pStyle w:val="HIPNormal"/>
        <w:rPr>
          <w:lang w:val="en-US"/>
        </w:rPr>
      </w:pPr>
    </w:p>
    <w:p w:rsidR="00250036" w:rsidRPr="006F4926" w:rsidRDefault="0088668E" w:rsidP="0088668E">
      <w:pPr>
        <w:pStyle w:val="HIPBoxquestion"/>
      </w:pPr>
      <w:bookmarkStart w:id="325" w:name="_Toc286146357"/>
      <w:bookmarkEnd w:id="324"/>
      <w:r>
        <w:t xml:space="preserve">Box 3.1: </w:t>
      </w:r>
      <w:r w:rsidR="00250036" w:rsidRPr="006F4926">
        <w:t xml:space="preserve">Summary of Best Practices: </w:t>
      </w:r>
      <w:r w:rsidR="00250036">
        <w:t>Utlisation of Funds</w:t>
      </w:r>
      <w:bookmarkEnd w:id="325"/>
    </w:p>
    <w:p w:rsidR="00250036" w:rsidRPr="003950B6" w:rsidRDefault="00250036" w:rsidP="0088668E">
      <w:pPr>
        <w:pStyle w:val="HIPBoxNormal"/>
      </w:pPr>
      <w:r w:rsidRPr="003950B6">
        <w:t>With regard to disbursement of Funds and issuing of subsidies the best practices are:</w:t>
      </w:r>
    </w:p>
    <w:p w:rsidR="00250036" w:rsidRPr="003950B6" w:rsidRDefault="00250036" w:rsidP="0088668E">
      <w:pPr>
        <w:pStyle w:val="HIPBoxenumlevel"/>
      </w:pPr>
      <w:r w:rsidRPr="00250036">
        <w:rPr>
          <w:color w:val="008000"/>
        </w:rPr>
        <w:t>•</w:t>
      </w:r>
      <w:r>
        <w:tab/>
      </w:r>
      <w:r w:rsidRPr="003950B6">
        <w:t>The legal framework should encourage efficiency and transparency and enable the speedy disbursement of Fund, Member States should ensure that the founding statues for Funds do not make it difficult for Fund Administrators to disburse funds through lengthy approval processes, and other bureaucratic processes linked to Fund disbursement. Approval processes should be Fund specific and should recognize the difference between USAF and other public funds</w:t>
      </w:r>
    </w:p>
    <w:p w:rsidR="00250036" w:rsidRPr="003950B6" w:rsidRDefault="00250036" w:rsidP="0088668E">
      <w:pPr>
        <w:pStyle w:val="HIPBoxenumlevel"/>
      </w:pPr>
      <w:r w:rsidRPr="00250036">
        <w:rPr>
          <w:color w:val="008000"/>
        </w:rPr>
        <w:t>•</w:t>
      </w:r>
      <w:r>
        <w:tab/>
      </w:r>
      <w:r w:rsidRPr="003950B6">
        <w:t>In order to ensure that the institutional framework enables the speedy disbursement of funds it is recommended that the Fund is given sufficient autonomy to disburse funds. This can be done through giving the Board Members or Trustees of the Fund disbursement powers so that further approvals are not needed (see Chilean case where the Council for Telecommunication Development has 3 Ministers, 3 professionals and a sub-Secretary of Communications and has total autonomy regarding the use of the Fund). Giving Boards the powers to approve programmes or projects requires that their members:</w:t>
      </w:r>
    </w:p>
    <w:p w:rsidR="00250036" w:rsidRPr="003950B6" w:rsidRDefault="00250036" w:rsidP="0088668E">
      <w:pPr>
        <w:pStyle w:val="HIPBoxenumlevel"/>
      </w:pPr>
      <w:r>
        <w:tab/>
      </w:r>
      <w:r w:rsidRPr="00250036">
        <w:rPr>
          <w:color w:val="008000"/>
        </w:rPr>
        <w:t>–</w:t>
      </w:r>
      <w:r>
        <w:tab/>
      </w:r>
      <w:r w:rsidRPr="003950B6">
        <w:t>are qualified to decide on projects;</w:t>
      </w:r>
    </w:p>
    <w:p w:rsidR="00250036" w:rsidRPr="003950B6" w:rsidRDefault="00250036" w:rsidP="0088668E">
      <w:pPr>
        <w:pStyle w:val="HIPBoxenumlevel"/>
      </w:pPr>
      <w:r>
        <w:tab/>
      </w:r>
      <w:r w:rsidRPr="00250036">
        <w:rPr>
          <w:color w:val="008000"/>
        </w:rPr>
        <w:t>–</w:t>
      </w:r>
      <w:r>
        <w:tab/>
      </w:r>
      <w:r w:rsidRPr="003950B6">
        <w:t>are representative of the sector and have no conflicts of interest;</w:t>
      </w:r>
    </w:p>
    <w:p w:rsidR="00250036" w:rsidRPr="003950B6" w:rsidRDefault="00250036" w:rsidP="0088668E">
      <w:pPr>
        <w:pStyle w:val="HIPBoxenumlevel"/>
      </w:pPr>
      <w:r>
        <w:tab/>
      </w:r>
      <w:r w:rsidRPr="00250036">
        <w:rPr>
          <w:color w:val="008000"/>
        </w:rPr>
        <w:t>–</w:t>
      </w:r>
      <w:r>
        <w:tab/>
      </w:r>
      <w:r w:rsidRPr="003950B6">
        <w:t xml:space="preserve">have clear operational guidelines to follow (i.e. Operational Manual and Governance </w:t>
      </w:r>
      <w:r>
        <w:tab/>
      </w:r>
      <w:r w:rsidRPr="003950B6">
        <w:t xml:space="preserve">Manual discussed in Part 2 section 1 of </w:t>
      </w:r>
      <w:r w:rsidRPr="003950B6">
        <w:rPr>
          <w:rFonts w:hint="eastAsia"/>
        </w:rPr>
        <w:t>“</w:t>
      </w:r>
      <w:r w:rsidRPr="003950B6">
        <w:t>Fund Management Practices</w:t>
      </w:r>
      <w:r w:rsidRPr="003950B6">
        <w:rPr>
          <w:rFonts w:hint="eastAsia"/>
        </w:rPr>
        <w:t>”</w:t>
      </w:r>
    </w:p>
    <w:p w:rsidR="00250036" w:rsidRPr="003950B6" w:rsidRDefault="00250036" w:rsidP="0088668E">
      <w:pPr>
        <w:pStyle w:val="HIPBoxenumlevel"/>
      </w:pPr>
      <w:r w:rsidRPr="00250036">
        <w:rPr>
          <w:color w:val="008000"/>
        </w:rPr>
        <w:t>•</w:t>
      </w:r>
      <w:r>
        <w:tab/>
      </w:r>
      <w:r w:rsidRPr="003950B6">
        <w:t xml:space="preserve">A clear Delegation of Authority Framework exists across the organization </w:t>
      </w:r>
    </w:p>
    <w:p w:rsidR="00250036" w:rsidRPr="003950B6" w:rsidRDefault="00250036" w:rsidP="0088668E">
      <w:pPr>
        <w:pStyle w:val="HIPBoxenumlevel"/>
      </w:pPr>
      <w:r w:rsidRPr="00250036">
        <w:rPr>
          <w:color w:val="008000"/>
        </w:rPr>
        <w:t>•</w:t>
      </w:r>
      <w:r>
        <w:tab/>
      </w:r>
      <w:r w:rsidRPr="003950B6">
        <w:t>Along with the power to disburse funds, Funds should be required to report throughout the project and ‘ex post’ and the necessary checks and balances including reporting requirements and auditing requirements should be put in place.</w:t>
      </w:r>
    </w:p>
    <w:p w:rsidR="00250036" w:rsidRPr="003950B6" w:rsidRDefault="00250036" w:rsidP="0088668E">
      <w:pPr>
        <w:pStyle w:val="HIPBoxenumlevel"/>
      </w:pPr>
      <w:r w:rsidRPr="00250036">
        <w:rPr>
          <w:color w:val="008000"/>
        </w:rPr>
        <w:t>•</w:t>
      </w:r>
      <w:r>
        <w:tab/>
      </w:r>
      <w:r w:rsidRPr="003950B6">
        <w:t>Funds should have a maximum amount that can be rolled over from one year to another without eliciting a review of the USAF contributions. This will incentivize Fund Administrators to disburse monies.</w:t>
      </w:r>
    </w:p>
    <w:p w:rsidR="00250036" w:rsidRPr="003950B6" w:rsidRDefault="00250036" w:rsidP="0088668E">
      <w:pPr>
        <w:pStyle w:val="HIPBoxenumlevel"/>
      </w:pPr>
      <w:r w:rsidRPr="00250036">
        <w:rPr>
          <w:color w:val="008000"/>
        </w:rPr>
        <w:t>•</w:t>
      </w:r>
      <w:r>
        <w:tab/>
      </w:r>
      <w:r w:rsidRPr="003950B6">
        <w:t>Member States should only start to collect monies and put them in the USAF once they have a structure in place to deal with disbursement – this builds trust, and encourages efficiency and transparency.</w:t>
      </w:r>
    </w:p>
    <w:p w:rsidR="003D2DD5" w:rsidRDefault="003D2DD5" w:rsidP="008978A2">
      <w:pPr>
        <w:pStyle w:val="HIPNormal"/>
        <w:rPr>
          <w:lang w:val="en-US"/>
        </w:rPr>
      </w:pPr>
    </w:p>
    <w:p w:rsidR="0088668E" w:rsidRPr="0088668E" w:rsidRDefault="0088668E" w:rsidP="00DC5333">
      <w:pPr>
        <w:pStyle w:val="HIPBoxquestion"/>
      </w:pPr>
      <w:bookmarkStart w:id="326" w:name="_Toc286146358"/>
      <w:r>
        <w:t xml:space="preserve">Box 3.2: </w:t>
      </w:r>
      <w:r w:rsidRPr="0088668E">
        <w:t>Sample/Reference Documents</w:t>
      </w:r>
      <w:bookmarkEnd w:id="326"/>
    </w:p>
    <w:p w:rsidR="0088668E" w:rsidRPr="003950B6" w:rsidRDefault="0088668E" w:rsidP="0088668E">
      <w:pPr>
        <w:pStyle w:val="HIPBoxNormal"/>
      </w:pPr>
      <w:r w:rsidRPr="003950B6">
        <w:t xml:space="preserve">There are a large number of possible approaches to collect and disburse funds and provide subsidies. Herewith is a few examples, included are practical examples of model forms that would need to be provided by </w:t>
      </w:r>
      <w:r w:rsidRPr="003950B6">
        <w:rPr>
          <w:rFonts w:hint="eastAsia"/>
        </w:rPr>
        <w:t>operator</w:t>
      </w:r>
      <w:r w:rsidRPr="003950B6">
        <w:t>s:</w:t>
      </w:r>
    </w:p>
    <w:p w:rsidR="0088668E" w:rsidRPr="003950B6" w:rsidRDefault="0088668E" w:rsidP="0088668E">
      <w:pPr>
        <w:pStyle w:val="HIPBoxenumlevel"/>
      </w:pPr>
      <w:r w:rsidRPr="00250036">
        <w:rPr>
          <w:color w:val="008000"/>
        </w:rPr>
        <w:t>•</w:t>
      </w:r>
      <w:r>
        <w:tab/>
      </w:r>
      <w:r w:rsidRPr="003950B6">
        <w:rPr>
          <w:rFonts w:hint="eastAsia"/>
        </w:rPr>
        <w:t>Swedish</w:t>
      </w:r>
      <w:r>
        <w:t xml:space="preserve"> </w:t>
      </w:r>
      <w:r w:rsidRPr="003950B6">
        <w:t xml:space="preserve">disbursement </w:t>
      </w:r>
      <w:hyperlink r:id="rId65" w:history="1">
        <w:r w:rsidRPr="003950B6">
          <w:rPr>
            <w:rStyle w:val="Hyperlink"/>
          </w:rPr>
          <w:t>http://ec.europa.eu/eu_law/state_aids/comp-2010/n030-10-en.pdf</w:t>
        </w:r>
      </w:hyperlink>
      <w:r w:rsidRPr="003950B6">
        <w:t xml:space="preserve"> </w:t>
      </w:r>
    </w:p>
    <w:p w:rsidR="0088668E" w:rsidRPr="003950B6" w:rsidRDefault="0088668E" w:rsidP="0088668E">
      <w:pPr>
        <w:pStyle w:val="HIPBoxenumlevel"/>
        <w:jc w:val="left"/>
      </w:pPr>
      <w:r w:rsidRPr="00250036">
        <w:rPr>
          <w:color w:val="008000"/>
        </w:rPr>
        <w:t>•</w:t>
      </w:r>
      <w:r>
        <w:tab/>
      </w:r>
      <w:r w:rsidRPr="003950B6">
        <w:t xml:space="preserve">Malaysia USAF payment form </w:t>
      </w:r>
      <w:r>
        <w:t>–</w:t>
      </w:r>
      <w:r w:rsidRPr="003950B6">
        <w:t xml:space="preserve"> </w:t>
      </w:r>
      <w:hyperlink r:id="rId66" w:history="1">
        <w:r w:rsidRPr="007B1A5B">
          <w:rPr>
            <w:rStyle w:val="Hyperlink"/>
          </w:rPr>
          <w:t>www.skmm.gov.my/link_file/what_we_do/usp/pdf/USP_RONR_template.pdf</w:t>
        </w:r>
      </w:hyperlink>
      <w:r>
        <w:t xml:space="preserve"> </w:t>
      </w:r>
    </w:p>
    <w:p w:rsidR="0088668E" w:rsidRPr="0006693F" w:rsidRDefault="0088668E" w:rsidP="0088668E">
      <w:pPr>
        <w:pStyle w:val="HIPBoxenumlevel"/>
      </w:pPr>
      <w:r w:rsidRPr="00250036">
        <w:rPr>
          <w:color w:val="008000"/>
        </w:rPr>
        <w:t>•</w:t>
      </w:r>
      <w:r>
        <w:tab/>
      </w:r>
      <w:r w:rsidRPr="003950B6">
        <w:t xml:space="preserve">Mauritius USF Monthly Payment Form </w:t>
      </w:r>
      <w:hyperlink r:id="rId67" w:history="1">
        <w:r w:rsidRPr="007B1A5B">
          <w:rPr>
            <w:rStyle w:val="Hyperlink"/>
          </w:rPr>
          <w:t>www.icta.mu/market/quarterly.htm</w:t>
        </w:r>
      </w:hyperlink>
      <w:r>
        <w:t xml:space="preserve"> </w:t>
      </w:r>
    </w:p>
    <w:p w:rsidR="00250036" w:rsidRDefault="00250036">
      <w:pPr>
        <w:rPr>
          <w:rFonts w:ascii="Calibri" w:hAnsi="Calibri" w:cs="Arial"/>
          <w:color w:val="000000"/>
          <w:sz w:val="21"/>
          <w:lang w:val="en-US"/>
        </w:rPr>
      </w:pPr>
      <w:r>
        <w:rPr>
          <w:lang w:val="en-US"/>
        </w:rPr>
        <w:br w:type="page"/>
      </w:r>
    </w:p>
    <w:p w:rsidR="0075785A" w:rsidRPr="004D01BE" w:rsidRDefault="0088668E" w:rsidP="0088668E">
      <w:pPr>
        <w:pStyle w:val="HIPHeading2"/>
      </w:pPr>
      <w:bookmarkStart w:id="327" w:name="_Toc281153884"/>
      <w:bookmarkStart w:id="328" w:name="_Toc281459580"/>
      <w:bookmarkStart w:id="329" w:name="_Toc284597977"/>
      <w:bookmarkStart w:id="330" w:name="_Toc286144975"/>
      <w:r>
        <w:lastRenderedPageBreak/>
        <w:t>3.2</w:t>
      </w:r>
      <w:r>
        <w:tab/>
      </w:r>
      <w:r w:rsidR="0075785A" w:rsidRPr="00B96229">
        <w:t>DEVELOPING PROGRAMMES AND PROJECTS</w:t>
      </w:r>
      <w:bookmarkEnd w:id="327"/>
      <w:bookmarkEnd w:id="328"/>
      <w:bookmarkEnd w:id="329"/>
      <w:bookmarkEnd w:id="330"/>
    </w:p>
    <w:p w:rsidR="0075785A" w:rsidRDefault="0075785A" w:rsidP="0075785A">
      <w:pPr>
        <w:pStyle w:val="HIPNormal"/>
        <w:rPr>
          <w:lang w:val="en-US"/>
        </w:rPr>
      </w:pPr>
      <w:bookmarkStart w:id="331" w:name="_Toc281153885"/>
      <w:r w:rsidRPr="004D01BE">
        <w:rPr>
          <w:lang w:val="en-US"/>
        </w:rPr>
        <w:t xml:space="preserve">This section deals with the design of ICT </w:t>
      </w:r>
      <w:r>
        <w:rPr>
          <w:lang w:val="en-US"/>
        </w:rPr>
        <w:t>programmes</w:t>
      </w:r>
      <w:r w:rsidR="005E5682">
        <w:rPr>
          <w:lang w:val="en-US"/>
        </w:rPr>
        <w:t xml:space="preserve"> </w:t>
      </w:r>
      <w:r w:rsidRPr="004D01BE">
        <w:rPr>
          <w:lang w:val="en-US"/>
        </w:rPr>
        <w:t xml:space="preserve">and projects for SADC countries using monies from Funds, </w:t>
      </w:r>
      <w:r>
        <w:rPr>
          <w:lang w:val="en-US"/>
        </w:rPr>
        <w:t xml:space="preserve">as well as other financing mechanisms which may include funding from local or municipal government, </w:t>
      </w:r>
      <w:r w:rsidRPr="004D01BE">
        <w:rPr>
          <w:lang w:val="en-US"/>
        </w:rPr>
        <w:t>donors or other sources</w:t>
      </w:r>
      <w:r>
        <w:rPr>
          <w:lang w:val="en-US"/>
        </w:rPr>
        <w:t>, in combination with private sector resources</w:t>
      </w:r>
      <w:r w:rsidRPr="004D01BE">
        <w:rPr>
          <w:lang w:val="en-US"/>
        </w:rPr>
        <w:t xml:space="preserve">. </w:t>
      </w:r>
      <w:r>
        <w:rPr>
          <w:lang w:val="en-US"/>
        </w:rPr>
        <w:t xml:space="preserve">The Toolkit </w:t>
      </w:r>
      <w:r>
        <w:rPr>
          <w:rFonts w:hint="eastAsia"/>
          <w:lang w:val="en-US"/>
        </w:rPr>
        <w:t>recognizes</w:t>
      </w:r>
      <w:r>
        <w:rPr>
          <w:lang w:val="en-US"/>
        </w:rPr>
        <w:t xml:space="preserve"> that p</w:t>
      </w:r>
      <w:r w:rsidRPr="004D01BE">
        <w:rPr>
          <w:lang w:val="en-US"/>
        </w:rPr>
        <w:t>rojects should be tailored to the country specific requirements as determined through an analysis of the policy context, the existing and future infrastructure plans, the service requirements and demand by the population. Badly designed projects and programmes will result in ineffective project implementation, and in some cases a waste of human and financial resources.</w:t>
      </w:r>
      <w:bookmarkEnd w:id="331"/>
      <w:r w:rsidRPr="004D01BE">
        <w:rPr>
          <w:lang w:val="en-US"/>
        </w:rPr>
        <w:t xml:space="preserve"> </w:t>
      </w:r>
      <w:bookmarkStart w:id="332" w:name="_Toc281459583"/>
    </w:p>
    <w:p w:rsidR="0075785A" w:rsidRDefault="0088668E" w:rsidP="0088668E">
      <w:pPr>
        <w:pStyle w:val="HIPheading3"/>
      </w:pPr>
      <w:bookmarkStart w:id="333" w:name="_Toc284597978"/>
      <w:bookmarkStart w:id="334" w:name="_Toc286144976"/>
      <w:r>
        <w:t>3.2.</w:t>
      </w:r>
      <w:r w:rsidR="0075785A">
        <w:t>1</w:t>
      </w:r>
      <w:r w:rsidR="0075785A">
        <w:tab/>
        <w:t>Global Experience and Good Practice</w:t>
      </w:r>
      <w:bookmarkEnd w:id="333"/>
      <w:bookmarkEnd w:id="334"/>
    </w:p>
    <w:p w:rsidR="0075785A" w:rsidRPr="004D01BE" w:rsidRDefault="0088668E" w:rsidP="0088668E">
      <w:pPr>
        <w:pStyle w:val="HIPheading4"/>
      </w:pPr>
      <w:bookmarkStart w:id="335" w:name="_Toc284597979"/>
      <w:r>
        <w:t>3.2.</w:t>
      </w:r>
      <w:r w:rsidR="0075785A">
        <w:t>1.1</w:t>
      </w:r>
      <w:r w:rsidR="0075785A">
        <w:tab/>
      </w:r>
      <w:r w:rsidR="0075785A" w:rsidRPr="004D01BE">
        <w:t>Designing Programmes vs. Developing Projects</w:t>
      </w:r>
      <w:bookmarkEnd w:id="332"/>
      <w:bookmarkEnd w:id="335"/>
      <w:r w:rsidR="0075785A">
        <w:t xml:space="preserve"> </w:t>
      </w:r>
    </w:p>
    <w:p w:rsidR="0075785A" w:rsidRDefault="0075785A" w:rsidP="0075785A">
      <w:pPr>
        <w:pStyle w:val="HIPNormal"/>
        <w:rPr>
          <w:lang w:val="en-US"/>
        </w:rPr>
      </w:pPr>
      <w:r w:rsidRPr="004D01BE">
        <w:rPr>
          <w:lang w:val="en-US"/>
        </w:rPr>
        <w:t xml:space="preserve">Although often used interchangeably, universal service </w:t>
      </w:r>
      <w:r>
        <w:rPr>
          <w:rFonts w:hint="eastAsia"/>
          <w:lang w:val="en-US"/>
        </w:rPr>
        <w:t>“</w:t>
      </w:r>
      <w:r w:rsidRPr="004D01BE">
        <w:rPr>
          <w:lang w:val="en-US"/>
        </w:rPr>
        <w:t>programmes</w:t>
      </w:r>
      <w:r>
        <w:rPr>
          <w:rFonts w:hint="eastAsia"/>
          <w:lang w:val="en-US"/>
        </w:rPr>
        <w:t>”</w:t>
      </w:r>
      <w:r w:rsidRPr="004D01BE">
        <w:rPr>
          <w:lang w:val="en-US"/>
        </w:rPr>
        <w:t xml:space="preserve"> and </w:t>
      </w:r>
      <w:r>
        <w:rPr>
          <w:rFonts w:hint="eastAsia"/>
          <w:lang w:val="en-US"/>
        </w:rPr>
        <w:t>“</w:t>
      </w:r>
      <w:r w:rsidRPr="004D01BE">
        <w:rPr>
          <w:lang w:val="en-US"/>
        </w:rPr>
        <w:t>projects</w:t>
      </w:r>
      <w:r>
        <w:rPr>
          <w:rFonts w:hint="eastAsia"/>
          <w:lang w:val="en-US"/>
        </w:rPr>
        <w:t>”</w:t>
      </w:r>
      <w:r w:rsidRPr="004D01BE">
        <w:rPr>
          <w:lang w:val="en-US"/>
        </w:rPr>
        <w:t xml:space="preserve"> are not the same. Projects exist within a universal access programme.</w:t>
      </w:r>
      <w:r w:rsidR="005E5682">
        <w:rPr>
          <w:lang w:val="en-US"/>
        </w:rPr>
        <w:t xml:space="preserve"> </w:t>
      </w:r>
      <w:r w:rsidRPr="004D01BE">
        <w:rPr>
          <w:lang w:val="en-US"/>
        </w:rPr>
        <w:t xml:space="preserve">Using the policy and legislation as a guide, an important first step for Funds is to decide what their priorities are and design </w:t>
      </w:r>
      <w:r w:rsidRPr="004D01BE">
        <w:rPr>
          <w:i/>
          <w:iCs/>
          <w:lang w:val="en-US"/>
        </w:rPr>
        <w:t>programmes</w:t>
      </w:r>
      <w:r w:rsidRPr="004D01BE">
        <w:rPr>
          <w:lang w:val="en-US"/>
        </w:rPr>
        <w:t xml:space="preserve"> to fit those priorities.</w:t>
      </w:r>
      <w:r w:rsidR="005E5682">
        <w:rPr>
          <w:lang w:val="en-US"/>
        </w:rPr>
        <w:t xml:space="preserve"> </w:t>
      </w:r>
      <w:r w:rsidRPr="004D01BE">
        <w:rPr>
          <w:lang w:val="en-US"/>
        </w:rPr>
        <w:t>The benefit of this approach is that it clearly identifies the priorities of the Fund upfront. It narrows the potential focus areas presented in the legislation and policy, which to an extent represent a political wish</w:t>
      </w:r>
      <w:r>
        <w:rPr>
          <w:lang w:val="en-US"/>
        </w:rPr>
        <w:t>-</w:t>
      </w:r>
      <w:r w:rsidRPr="004D01BE">
        <w:rPr>
          <w:lang w:val="en-US"/>
        </w:rPr>
        <w:t xml:space="preserve">list, into a more structured set of objectives. </w:t>
      </w:r>
      <w:r>
        <w:rPr>
          <w:lang w:val="en-US"/>
        </w:rPr>
        <w:t>It enables the Fund Administrator to identify projects within a programme that will have a high socio economic impact and are likely to be expensive to implement with a low financial return for the operator. Projects within a programme can be compared for relevance.</w:t>
      </w:r>
    </w:p>
    <w:p w:rsidR="0075785A" w:rsidRPr="004D01BE" w:rsidRDefault="0075785A" w:rsidP="0075785A">
      <w:pPr>
        <w:pStyle w:val="HIPNormal"/>
        <w:rPr>
          <w:lang w:val="en-US"/>
        </w:rPr>
      </w:pPr>
      <w:r w:rsidRPr="004D01BE">
        <w:rPr>
          <w:lang w:val="en-US"/>
        </w:rPr>
        <w:t>Projects must then fit within the scope of a programme, and responsibility and accountability is clear within the Fund structure. In add</w:t>
      </w:r>
      <w:r>
        <w:rPr>
          <w:lang w:val="en-US"/>
        </w:rPr>
        <w:t xml:space="preserve">ition, each programme </w:t>
      </w:r>
      <w:r w:rsidRPr="004D01BE">
        <w:rPr>
          <w:lang w:val="en-US"/>
        </w:rPr>
        <w:t>should have a budget. The programme budget is linked to its level of prioritization and the types of projects associated with that programme. As such, a schools programme would be considered separately from a high cost areas programme.</w:t>
      </w:r>
      <w:r>
        <w:rPr>
          <w:lang w:val="en-US"/>
        </w:rPr>
        <w:t xml:space="preserve"> </w:t>
      </w:r>
      <w:r w:rsidRPr="004D01BE">
        <w:rPr>
          <w:lang w:val="en-US"/>
        </w:rPr>
        <w:t>Adopting an approach where programmes are pre-defined has the following advantages:</w:t>
      </w:r>
    </w:p>
    <w:p w:rsidR="0075785A" w:rsidRPr="004D01BE" w:rsidRDefault="0075785A" w:rsidP="0075785A">
      <w:pPr>
        <w:pStyle w:val="HIPEnumlev1"/>
      </w:pPr>
      <w:r w:rsidRPr="004D01BE">
        <w:t>Pre-prioritisation, the development of programmes as a first task for the Fund forces the Fund to consider its mandate and take it from a conceptual level to a practical one. In designing programmes and making decisions on the associated budgets, the Fund is in effect identifying its strategic priorities;</w:t>
      </w:r>
    </w:p>
    <w:p w:rsidR="0075785A" w:rsidRPr="004D01BE" w:rsidRDefault="0075785A" w:rsidP="0075785A">
      <w:pPr>
        <w:pStyle w:val="HIPEnumlev1"/>
      </w:pPr>
      <w:r w:rsidRPr="004D01BE">
        <w:t>Encourages diversification and reduces the risk that the Fund will neglect a specific area of need, for example many Funds focus on infrastructure and extension of fixed or mobile networks; money is spent on these high cost projects and little attention is paid to other potential beneficiaries such as schools, people with disabilities, or hospitals.</w:t>
      </w:r>
    </w:p>
    <w:p w:rsidR="0075785A" w:rsidRPr="004D01BE" w:rsidRDefault="0075785A" w:rsidP="0075785A">
      <w:pPr>
        <w:pStyle w:val="HIPEnumlev1"/>
      </w:pPr>
      <w:r w:rsidRPr="004D01BE">
        <w:t>Ability to select staff specifically for a programme, and ensure adequate capacity to address the types of projects that are likely to be implemented under a programme. This can assist in accelerating the use of monies in the Fund.</w:t>
      </w:r>
    </w:p>
    <w:p w:rsidR="0075785A" w:rsidRPr="004D01BE" w:rsidRDefault="0075785A" w:rsidP="0075785A">
      <w:pPr>
        <w:pStyle w:val="HIPEnumlev1"/>
      </w:pPr>
      <w:r w:rsidRPr="004D01BE">
        <w:t>Ability to budget and report on a programme by programme basis; this allows a country to measure its progress well on a particular area (e.g. school connectivity, or population coverage).</w:t>
      </w:r>
    </w:p>
    <w:p w:rsidR="0075785A" w:rsidRPr="004D01BE" w:rsidRDefault="0075785A" w:rsidP="0075785A">
      <w:pPr>
        <w:pStyle w:val="HIPNormal"/>
        <w:rPr>
          <w:lang w:val="en-US"/>
        </w:rPr>
      </w:pPr>
      <w:r>
        <w:rPr>
          <w:lang w:val="en-US"/>
        </w:rPr>
        <w:t>The d</w:t>
      </w:r>
      <w:r w:rsidRPr="004D01BE">
        <w:rPr>
          <w:lang w:val="en-US"/>
        </w:rPr>
        <w:t>isadvantages of a programme-based approach include:</w:t>
      </w:r>
    </w:p>
    <w:p w:rsidR="0075785A" w:rsidRDefault="0075785A" w:rsidP="0075785A">
      <w:pPr>
        <w:pStyle w:val="HIPEnumlev1"/>
      </w:pPr>
      <w:r w:rsidRPr="004D01BE">
        <w:t>The need to provide more resources (human) for the Fund. Programmes, if effectively constituted, can be seen as ‘departments’ and are best run by dedicated staff, where the Fund is situated within the regulator this may be difficult to implement efficiently;</w:t>
      </w:r>
    </w:p>
    <w:p w:rsidR="0075785A" w:rsidRPr="004D01BE" w:rsidRDefault="0088668E" w:rsidP="0088668E">
      <w:pPr>
        <w:pStyle w:val="HIPheading4"/>
      </w:pPr>
      <w:bookmarkStart w:id="336" w:name="_Toc284597980"/>
      <w:r>
        <w:lastRenderedPageBreak/>
        <w:t>3.2.</w:t>
      </w:r>
      <w:r w:rsidR="0075785A">
        <w:t>1.2</w:t>
      </w:r>
      <w:r w:rsidR="0075785A">
        <w:tab/>
        <w:t xml:space="preserve">Design of </w:t>
      </w:r>
      <w:r w:rsidR="0075785A" w:rsidRPr="004D01BE">
        <w:t>Established Programmes</w:t>
      </w:r>
      <w:bookmarkEnd w:id="336"/>
    </w:p>
    <w:p w:rsidR="0075785A" w:rsidRPr="004D01BE" w:rsidRDefault="0075785A" w:rsidP="0075785A">
      <w:pPr>
        <w:pStyle w:val="HIPNormal"/>
        <w:rPr>
          <w:lang w:val="en-US"/>
        </w:rPr>
      </w:pPr>
      <w:r w:rsidRPr="004D01BE">
        <w:rPr>
          <w:lang w:val="en-US"/>
        </w:rPr>
        <w:t>In SADC although countries have poli</w:t>
      </w:r>
      <w:r>
        <w:rPr>
          <w:lang w:val="en-US"/>
        </w:rPr>
        <w:t>ces and Funds, not all countri</w:t>
      </w:r>
      <w:r w:rsidRPr="004D01BE">
        <w:rPr>
          <w:lang w:val="en-US"/>
        </w:rPr>
        <w:t>es have established programmes</w:t>
      </w:r>
      <w:r>
        <w:rPr>
          <w:lang w:val="en-US"/>
        </w:rPr>
        <w:t xml:space="preserve"> as discussed in section 1.1. above</w:t>
      </w:r>
      <w:r w:rsidRPr="004D01BE">
        <w:rPr>
          <w:lang w:val="en-US"/>
        </w:rPr>
        <w:t xml:space="preserve">. Countries with identified UAS programmes include Malawi, South Africa and Zambia. </w:t>
      </w:r>
      <w:r>
        <w:rPr>
          <w:lang w:val="en-US"/>
        </w:rPr>
        <w:t xml:space="preserve">Establishment of </w:t>
      </w:r>
      <w:r w:rsidRPr="004D01BE">
        <w:rPr>
          <w:lang w:val="en-US"/>
        </w:rPr>
        <w:t>programmes will assist in prioritizing projects when Funds are used.</w:t>
      </w:r>
      <w:r w:rsidR="005E5682">
        <w:rPr>
          <w:lang w:val="en-US"/>
        </w:rPr>
        <w:t xml:space="preserve"> </w:t>
      </w:r>
      <w:r w:rsidRPr="004D01BE">
        <w:rPr>
          <w:lang w:val="en-US"/>
        </w:rPr>
        <w:t xml:space="preserve">Some </w:t>
      </w:r>
      <w:r>
        <w:rPr>
          <w:lang w:val="en-US"/>
        </w:rPr>
        <w:t xml:space="preserve">reference Funds with </w:t>
      </w:r>
      <w:r w:rsidRPr="004D01BE">
        <w:rPr>
          <w:lang w:val="en-US"/>
        </w:rPr>
        <w:t>established</w:t>
      </w:r>
      <w:r>
        <w:rPr>
          <w:lang w:val="en-US"/>
        </w:rPr>
        <w:t xml:space="preserve"> universal service and access</w:t>
      </w:r>
      <w:r w:rsidRPr="004D01BE">
        <w:rPr>
          <w:lang w:val="en-US"/>
        </w:rPr>
        <w:t xml:space="preserve"> programmes include:</w:t>
      </w:r>
    </w:p>
    <w:p w:rsidR="0075785A" w:rsidRPr="004D01BE" w:rsidRDefault="0075785A" w:rsidP="0075785A">
      <w:pPr>
        <w:pStyle w:val="HIPEnumlev1"/>
      </w:pPr>
      <w:r w:rsidRPr="004D01BE">
        <w:t xml:space="preserve">The </w:t>
      </w:r>
      <w:r w:rsidRPr="004D01BE">
        <w:rPr>
          <w:b/>
          <w:bCs/>
        </w:rPr>
        <w:t>American Universal Service Fund,</w:t>
      </w:r>
      <w:r w:rsidRPr="004D01BE">
        <w:t xml:space="preserve"> which is administered by the Universal Service Administrative Company (USAC), under the direction of the Federal Communications Commission (FCC) has four programmes related to High Cost Areas, Low Income groups, School and Libraries and Rural Health Care. </w:t>
      </w:r>
    </w:p>
    <w:p w:rsidR="0075785A" w:rsidRPr="004D01BE" w:rsidRDefault="0075785A" w:rsidP="0075785A">
      <w:pPr>
        <w:pStyle w:val="HIPEnumlev1"/>
      </w:pPr>
      <w:r w:rsidRPr="004D01BE">
        <w:t xml:space="preserve">The </w:t>
      </w:r>
      <w:r w:rsidRPr="004D01BE">
        <w:rPr>
          <w:b/>
          <w:bCs/>
        </w:rPr>
        <w:t>Nigerian Universal Service Provision Fund (USPF)</w:t>
      </w:r>
      <w:r w:rsidRPr="004D01BE">
        <w:t xml:space="preserve"> has four programmes namely the Universal Access Programme, Universal Coverage Programme, Universal Service Programme and ICT for Development Programme. The latter includes issues such as applications, content, software and training, unlike the Universal Access and Service Programmes which deal with funding of services and networks primarily.</w:t>
      </w:r>
    </w:p>
    <w:p w:rsidR="0075785A" w:rsidRPr="004D01BE" w:rsidRDefault="0075785A" w:rsidP="0075785A">
      <w:pPr>
        <w:pStyle w:val="HIPEnumlev1"/>
      </w:pPr>
      <w:r w:rsidRPr="004D01BE">
        <w:rPr>
          <w:b/>
          <w:bCs/>
        </w:rPr>
        <w:t xml:space="preserve">Pakistan’s Universal Service Fund </w:t>
      </w:r>
      <w:r w:rsidRPr="004D01BE">
        <w:t>has a Rural Telecommunications Programme, an Optic Fibre Cables Programme, a Broadband Programme and a Special Projects Programme, which includes telecentres and pilot projects.</w:t>
      </w:r>
    </w:p>
    <w:p w:rsidR="0075785A" w:rsidRPr="004D01BE" w:rsidRDefault="0075785A" w:rsidP="0075785A">
      <w:pPr>
        <w:pStyle w:val="HIPEnumlev1"/>
      </w:pPr>
      <w:r w:rsidRPr="004D01BE">
        <w:rPr>
          <w:b/>
          <w:bCs/>
        </w:rPr>
        <w:t>Uganda’s Rural Communications Development Fund (“RCDF”)</w:t>
      </w:r>
      <w:r w:rsidRPr="004D01BE">
        <w:t xml:space="preserve"> has identified ten programmes as stipulated in Table</w:t>
      </w:r>
      <w:r w:rsidR="005E5682">
        <w:t xml:space="preserve"> </w:t>
      </w:r>
      <w:r w:rsidRPr="004D01BE">
        <w:t>15, each with projects under it. The original policy programme which ran from 2003 – 2007 had an additional programme namely “Call Centres”.</w:t>
      </w:r>
    </w:p>
    <w:p w:rsidR="0075785A" w:rsidRPr="005E5682" w:rsidRDefault="0075785A" w:rsidP="0075785A">
      <w:pPr>
        <w:pStyle w:val="HIPNormal"/>
        <w:rPr>
          <w:lang w:val="en-US"/>
        </w:rPr>
      </w:pPr>
    </w:p>
    <w:p w:rsidR="0075785A" w:rsidRPr="004D01BE" w:rsidRDefault="0088668E" w:rsidP="0088668E">
      <w:pPr>
        <w:pStyle w:val="HIPBoxquestion"/>
      </w:pPr>
      <w:bookmarkStart w:id="337" w:name="_Toc286146359"/>
      <w:r>
        <w:t xml:space="preserve">Box 3.3: </w:t>
      </w:r>
      <w:r w:rsidR="0075785A" w:rsidRPr="004D01BE">
        <w:t>Case Study: Programmes Established by United States USF</w:t>
      </w:r>
      <w:bookmarkEnd w:id="337"/>
    </w:p>
    <w:p w:rsidR="0075785A" w:rsidRPr="004D01BE" w:rsidRDefault="0075785A" w:rsidP="0088668E">
      <w:pPr>
        <w:pStyle w:val="HIPBoxNormal"/>
      </w:pPr>
      <w:r w:rsidRPr="004D01BE">
        <w:rPr>
          <w:b/>
          <w:bCs/>
        </w:rPr>
        <w:t xml:space="preserve">Schools and Libraries Program </w:t>
      </w:r>
      <w:r w:rsidRPr="004D01BE">
        <w:t>of the Universal Service Fund, commonly known as "E-Rate," provides discounts to assist most schools and libraries in the United States to obtain affordable telecommunications and Internet access. The Schools and Libraries Program supports connectivity</w:t>
      </w:r>
      <w:r w:rsidR="005E5682">
        <w:t xml:space="preserve"> – </w:t>
      </w:r>
      <w:r w:rsidRPr="004D01BE">
        <w:t>the conduit or pipeline for communications using telecommunications services and/or the Internet. Funding is requested under four categories of service: telecommunications services, Internet access, internal connections, and basic maintenance of internal connections. Discounts for support depend on the level of poverty and the urban/rural status of the population served and range from 20% to 90% of the costs of eligible services. Eligible schools, school districts and libraries may apply individually or as part of a consortium.</w:t>
      </w:r>
      <w:r w:rsidR="005E5682">
        <w:t xml:space="preserve"> </w:t>
      </w:r>
      <w:r w:rsidRPr="004D01BE">
        <w:t>Applicants must provide additional resources including end-user equipment (e.g., computers, telephones, etc.), software, professional development, and the other elements that are necessary to utilize the connectivity funded by the Schools and Libraries Program.</w:t>
      </w:r>
    </w:p>
    <w:p w:rsidR="0075785A" w:rsidRDefault="0075785A" w:rsidP="0088668E">
      <w:pPr>
        <w:pStyle w:val="HIPBoxNormal"/>
      </w:pPr>
      <w:r w:rsidRPr="004D01BE">
        <w:rPr>
          <w:b/>
          <w:bCs/>
        </w:rPr>
        <w:t xml:space="preserve">High Cost Program </w:t>
      </w:r>
      <w:r w:rsidRPr="004D01BE">
        <w:t>ensures that consumers in all regions of the nation have access to and pay rates for telecommunications services that are reasonably comparable to those services provided and rates paid in urban areas. Without High Cost support, residents of some areas of the country would have to pay significantly more for telephone services than those living in other areas because of factors such as dense terrain, low populations, or the high fixed costs of building a telecom network.</w:t>
      </w:r>
      <w:r w:rsidR="005E5682">
        <w:t xml:space="preserve"> </w:t>
      </w:r>
      <w:r w:rsidRPr="004D01BE">
        <w:t>USAC is responsible for data collection and maintenance, support calculation, and disbursement for the five components of High Cost Program support that provides over $4 billion per year to telecommunications carriers throughout all states and U.S. territories. Currently, over 1,700 eligible telecommunications carriers receive High Cost support.</w:t>
      </w:r>
    </w:p>
    <w:p w:rsidR="0075785A" w:rsidRPr="004D01BE" w:rsidRDefault="0075785A" w:rsidP="0088668E">
      <w:pPr>
        <w:pStyle w:val="HIPBoxNormal"/>
      </w:pPr>
      <w:r w:rsidRPr="004D01BE">
        <w:rPr>
          <w:b/>
          <w:bCs/>
        </w:rPr>
        <w:t>Rural Health Care Program</w:t>
      </w:r>
      <w:r w:rsidRPr="004D01BE">
        <w:t xml:space="preserve"> makes discounts available to eligible rural health care providers for telecommunication services and monthly Internet service charges. The </w:t>
      </w:r>
      <w:r>
        <w:t xml:space="preserve">programme </w:t>
      </w:r>
      <w:r w:rsidRPr="004D01BE">
        <w:t>is intended to ensure that rural health care providers pay no more for telecommunications in the provision of health care services than their urban counterparts.</w:t>
      </w:r>
      <w:r w:rsidR="005E5682">
        <w:t xml:space="preserve"> </w:t>
      </w:r>
      <w:r w:rsidRPr="004D01BE">
        <w:t xml:space="preserve">The Rural Health Care Program reimburses telecommunications and Internet service providers for services provided to rural health care providers. While health care </w:t>
      </w:r>
      <w:r w:rsidRPr="004D01BE">
        <w:lastRenderedPageBreak/>
        <w:t xml:space="preserve">providers apply for these discounts, USAC works in conjunction with service providers to make sure these discounts are passed on to </w:t>
      </w:r>
      <w:r>
        <w:t xml:space="preserve">programme </w:t>
      </w:r>
      <w:r w:rsidRPr="004D01BE">
        <w:t>participants. Support is available for telecommunications services and monthly Internet access charges used for the provision of health care. Support is also available for limited long-distance charges for accessing the Internet. The level of support depends on the location and the type of services chosen and is calculated individually for each HCP. A health care provider can save on services it already has, upgrade current services, or install new services.</w:t>
      </w:r>
    </w:p>
    <w:p w:rsidR="0075785A" w:rsidRPr="004D01BE" w:rsidRDefault="0075785A" w:rsidP="0088668E">
      <w:pPr>
        <w:pStyle w:val="HIPBoxNormal"/>
      </w:pPr>
      <w:r w:rsidRPr="004D01BE">
        <w:rPr>
          <w:b/>
          <w:bCs/>
        </w:rPr>
        <w:t xml:space="preserve">Low Income Program </w:t>
      </w:r>
      <w:r w:rsidRPr="004D01BE">
        <w:t xml:space="preserve">of the Universal Service Fund, which is administered by the Universal Service Administrative Company, is designed to ensure that quality telecommunications services are available to low-income customers at just, reasonable, and affordable rates. Lifeline, Link Up, and Toll Limitation Service (TLS) </w:t>
      </w:r>
      <w:r>
        <w:t xml:space="preserve">programme </w:t>
      </w:r>
      <w:r w:rsidRPr="004D01BE">
        <w:t>support are the three components of the Low Income Program. Lifeline support reduces eligible consumers' monthly charges for basic telephone service. Link Up support reduces the cost of initiating new telephone service. Toll Limitation Service support allows eligible consumers to subscribe to toll blocking or toll control at no cost.</w:t>
      </w:r>
    </w:p>
    <w:p w:rsidR="0075785A" w:rsidRPr="005E5682" w:rsidRDefault="0075785A" w:rsidP="0075785A">
      <w:pPr>
        <w:pStyle w:val="HIPNormal"/>
        <w:rPr>
          <w:lang w:val="en-US"/>
        </w:rPr>
      </w:pPr>
    </w:p>
    <w:p w:rsidR="0075785A" w:rsidRPr="004D01BE" w:rsidRDefault="0075785A" w:rsidP="0088668E">
      <w:pPr>
        <w:pStyle w:val="HIPTabletitle"/>
      </w:pPr>
      <w:bookmarkStart w:id="338" w:name="_Toc286146559"/>
      <w:r w:rsidRPr="004D01BE">
        <w:t xml:space="preserve">Table </w:t>
      </w:r>
      <w:r w:rsidR="0088668E">
        <w:rPr>
          <w:noProof/>
        </w:rPr>
        <w:t>3.4</w:t>
      </w:r>
      <w:r w:rsidRPr="004D01BE">
        <w:t>: Uganda Programmes and Projects, 2010</w:t>
      </w:r>
      <w:r>
        <w:rPr>
          <w:rStyle w:val="FootnoteReference"/>
        </w:rPr>
        <w:footnoteReference w:id="52"/>
      </w:r>
      <w:bookmarkEnd w:id="3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4"/>
        <w:gridCol w:w="3796"/>
        <w:gridCol w:w="1557"/>
        <w:gridCol w:w="1672"/>
      </w:tblGrid>
      <w:tr w:rsidR="0075785A" w:rsidRPr="004D01BE" w:rsidTr="0075785A">
        <w:trPr>
          <w:jc w:val="center"/>
        </w:trPr>
        <w:tc>
          <w:tcPr>
            <w:tcW w:w="7479" w:type="dxa"/>
            <w:gridSpan w:val="4"/>
            <w:tcBorders>
              <w:bottom w:val="single" w:sz="4" w:space="0" w:color="auto"/>
            </w:tcBorders>
            <w:shd w:val="clear" w:color="auto" w:fill="008000"/>
            <w:hideMark/>
          </w:tcPr>
          <w:p w:rsidR="0075785A" w:rsidRPr="004D01BE" w:rsidRDefault="0075785A" w:rsidP="0075785A">
            <w:pPr>
              <w:pStyle w:val="HIPTablehead"/>
            </w:pPr>
            <w:r w:rsidRPr="004D01BE">
              <w:t>RCDF Achievements as at 21-01-2010</w:t>
            </w:r>
          </w:p>
        </w:tc>
      </w:tr>
      <w:tr w:rsidR="0075785A" w:rsidRPr="004D01BE" w:rsidTr="0075785A">
        <w:trPr>
          <w:jc w:val="center"/>
        </w:trPr>
        <w:tc>
          <w:tcPr>
            <w:tcW w:w="454" w:type="dxa"/>
            <w:tcBorders>
              <w:top w:val="single" w:sz="4" w:space="0" w:color="auto"/>
              <w:right w:val="single" w:sz="4" w:space="0" w:color="auto"/>
            </w:tcBorders>
            <w:shd w:val="clear" w:color="auto" w:fill="008000"/>
            <w:hideMark/>
          </w:tcPr>
          <w:p w:rsidR="0075785A" w:rsidRPr="0075785A" w:rsidRDefault="0075785A" w:rsidP="0075785A">
            <w:pPr>
              <w:pStyle w:val="HIPTablehead"/>
            </w:pPr>
            <w:r w:rsidRPr="0075785A">
              <w:t>SN</w:t>
            </w:r>
          </w:p>
        </w:tc>
        <w:tc>
          <w:tcPr>
            <w:tcW w:w="3796" w:type="dxa"/>
            <w:tcBorders>
              <w:top w:val="single" w:sz="4" w:space="0" w:color="auto"/>
              <w:left w:val="single" w:sz="4" w:space="0" w:color="auto"/>
              <w:right w:val="single" w:sz="4" w:space="0" w:color="auto"/>
            </w:tcBorders>
            <w:shd w:val="clear" w:color="auto" w:fill="008000"/>
            <w:hideMark/>
          </w:tcPr>
          <w:p w:rsidR="0075785A" w:rsidRPr="0075785A" w:rsidRDefault="0075785A" w:rsidP="0075785A">
            <w:pPr>
              <w:pStyle w:val="HIPTablehead"/>
            </w:pPr>
            <w:r w:rsidRPr="0075785A">
              <w:t>Programme Area</w:t>
            </w:r>
          </w:p>
        </w:tc>
        <w:tc>
          <w:tcPr>
            <w:tcW w:w="1557" w:type="dxa"/>
            <w:tcBorders>
              <w:top w:val="single" w:sz="4" w:space="0" w:color="auto"/>
              <w:left w:val="single" w:sz="4" w:space="0" w:color="auto"/>
              <w:right w:val="single" w:sz="4" w:space="0" w:color="auto"/>
            </w:tcBorders>
            <w:shd w:val="clear" w:color="auto" w:fill="008000"/>
            <w:hideMark/>
          </w:tcPr>
          <w:p w:rsidR="0075785A" w:rsidRPr="0075785A" w:rsidRDefault="0075785A" w:rsidP="0075785A">
            <w:pPr>
              <w:pStyle w:val="HIPTablehead"/>
            </w:pPr>
            <w:r w:rsidRPr="0075785A">
              <w:t>Commissioned Projects</w:t>
            </w:r>
          </w:p>
        </w:tc>
        <w:tc>
          <w:tcPr>
            <w:tcW w:w="1672" w:type="dxa"/>
            <w:tcBorders>
              <w:top w:val="single" w:sz="4" w:space="0" w:color="auto"/>
              <w:left w:val="single" w:sz="4" w:space="0" w:color="auto"/>
            </w:tcBorders>
            <w:shd w:val="clear" w:color="auto" w:fill="008000"/>
            <w:hideMark/>
          </w:tcPr>
          <w:p w:rsidR="0075785A" w:rsidRPr="0075785A" w:rsidRDefault="0075785A" w:rsidP="0075785A">
            <w:pPr>
              <w:pStyle w:val="HIPTablehead"/>
            </w:pPr>
            <w:r w:rsidRPr="0075785A">
              <w:t>Projects Under Development</w:t>
            </w:r>
          </w:p>
        </w:tc>
      </w:tr>
      <w:tr w:rsidR="0075785A" w:rsidRPr="004D01BE" w:rsidTr="0075785A">
        <w:trPr>
          <w:jc w:val="center"/>
        </w:trPr>
        <w:tc>
          <w:tcPr>
            <w:tcW w:w="0" w:type="auto"/>
            <w:hideMark/>
          </w:tcPr>
          <w:p w:rsidR="0075785A" w:rsidRPr="004D01BE" w:rsidRDefault="0075785A" w:rsidP="0075785A">
            <w:pPr>
              <w:pStyle w:val="HIPTabletext"/>
            </w:pPr>
            <w:r w:rsidRPr="004D01BE">
              <w:t>1</w:t>
            </w:r>
          </w:p>
        </w:tc>
        <w:tc>
          <w:tcPr>
            <w:tcW w:w="0" w:type="auto"/>
            <w:hideMark/>
          </w:tcPr>
          <w:p w:rsidR="0075785A" w:rsidRPr="004D01BE" w:rsidRDefault="0075785A" w:rsidP="0075785A">
            <w:pPr>
              <w:pStyle w:val="HIPTabletext"/>
            </w:pPr>
            <w:r w:rsidRPr="004D01BE">
              <w:t>Internet Points of Presence</w:t>
            </w:r>
          </w:p>
        </w:tc>
        <w:tc>
          <w:tcPr>
            <w:tcW w:w="0" w:type="auto"/>
            <w:hideMark/>
          </w:tcPr>
          <w:p w:rsidR="0075785A" w:rsidRPr="004D01BE" w:rsidRDefault="0075785A" w:rsidP="0075785A">
            <w:pPr>
              <w:pStyle w:val="HIPTabletext"/>
              <w:jc w:val="center"/>
            </w:pPr>
            <w:r w:rsidRPr="004D01BE">
              <w:t>76</w:t>
            </w:r>
          </w:p>
        </w:tc>
        <w:tc>
          <w:tcPr>
            <w:tcW w:w="1672" w:type="dxa"/>
            <w:hideMark/>
          </w:tcPr>
          <w:p w:rsidR="0075785A" w:rsidRPr="004D01BE" w:rsidRDefault="0075785A" w:rsidP="0075785A">
            <w:pPr>
              <w:pStyle w:val="HIPTabletext"/>
              <w:jc w:val="center"/>
            </w:pPr>
            <w:r w:rsidRPr="004D01BE">
              <w:t>-</w:t>
            </w:r>
          </w:p>
        </w:tc>
      </w:tr>
      <w:tr w:rsidR="0075785A" w:rsidRPr="004D01BE" w:rsidTr="0075785A">
        <w:trPr>
          <w:jc w:val="center"/>
        </w:trPr>
        <w:tc>
          <w:tcPr>
            <w:tcW w:w="0" w:type="auto"/>
            <w:hideMark/>
          </w:tcPr>
          <w:p w:rsidR="0075785A" w:rsidRPr="004D01BE" w:rsidRDefault="0075785A" w:rsidP="0075785A">
            <w:pPr>
              <w:pStyle w:val="HIPTabletext"/>
            </w:pPr>
            <w:r w:rsidRPr="004D01BE">
              <w:t>2</w:t>
            </w:r>
          </w:p>
        </w:tc>
        <w:tc>
          <w:tcPr>
            <w:tcW w:w="0" w:type="auto"/>
            <w:hideMark/>
          </w:tcPr>
          <w:p w:rsidR="0075785A" w:rsidRPr="004D01BE" w:rsidRDefault="0075785A" w:rsidP="0075785A">
            <w:pPr>
              <w:pStyle w:val="HIPTabletext"/>
            </w:pPr>
            <w:r w:rsidRPr="004D01BE">
              <w:t>Internet Café</w:t>
            </w:r>
          </w:p>
        </w:tc>
        <w:tc>
          <w:tcPr>
            <w:tcW w:w="0" w:type="auto"/>
            <w:hideMark/>
          </w:tcPr>
          <w:p w:rsidR="0075785A" w:rsidRPr="004D01BE" w:rsidRDefault="0075785A" w:rsidP="0075785A">
            <w:pPr>
              <w:pStyle w:val="HIPTabletext"/>
              <w:jc w:val="center"/>
            </w:pPr>
            <w:r w:rsidRPr="004D01BE">
              <w:t>55</w:t>
            </w:r>
          </w:p>
        </w:tc>
        <w:tc>
          <w:tcPr>
            <w:tcW w:w="1672" w:type="dxa"/>
            <w:hideMark/>
          </w:tcPr>
          <w:p w:rsidR="0075785A" w:rsidRPr="004D01BE" w:rsidRDefault="0075785A" w:rsidP="0075785A">
            <w:pPr>
              <w:pStyle w:val="HIPTabletext"/>
              <w:jc w:val="center"/>
            </w:pPr>
            <w:r w:rsidRPr="004D01BE">
              <w:t>53</w:t>
            </w:r>
          </w:p>
        </w:tc>
      </w:tr>
      <w:tr w:rsidR="0075785A" w:rsidRPr="004D01BE" w:rsidTr="0075785A">
        <w:trPr>
          <w:jc w:val="center"/>
        </w:trPr>
        <w:tc>
          <w:tcPr>
            <w:tcW w:w="0" w:type="auto"/>
            <w:hideMark/>
          </w:tcPr>
          <w:p w:rsidR="0075785A" w:rsidRPr="004D01BE" w:rsidRDefault="0075785A" w:rsidP="0075785A">
            <w:pPr>
              <w:pStyle w:val="HIPTabletext"/>
            </w:pPr>
            <w:r w:rsidRPr="004D01BE">
              <w:t>3</w:t>
            </w:r>
          </w:p>
        </w:tc>
        <w:tc>
          <w:tcPr>
            <w:tcW w:w="0" w:type="auto"/>
            <w:hideMark/>
          </w:tcPr>
          <w:p w:rsidR="0075785A" w:rsidRPr="004D01BE" w:rsidRDefault="0075785A" w:rsidP="0075785A">
            <w:pPr>
              <w:pStyle w:val="HIPTabletext"/>
            </w:pPr>
            <w:r w:rsidRPr="004D01BE">
              <w:t>ICT Training Centres</w:t>
            </w:r>
          </w:p>
        </w:tc>
        <w:tc>
          <w:tcPr>
            <w:tcW w:w="0" w:type="auto"/>
            <w:hideMark/>
          </w:tcPr>
          <w:p w:rsidR="0075785A" w:rsidRPr="004D01BE" w:rsidRDefault="0075785A" w:rsidP="0075785A">
            <w:pPr>
              <w:pStyle w:val="HIPTabletext"/>
              <w:jc w:val="center"/>
            </w:pPr>
            <w:r w:rsidRPr="004D01BE">
              <w:t>67</w:t>
            </w:r>
          </w:p>
        </w:tc>
        <w:tc>
          <w:tcPr>
            <w:tcW w:w="1672" w:type="dxa"/>
            <w:hideMark/>
          </w:tcPr>
          <w:p w:rsidR="0075785A" w:rsidRPr="004D01BE" w:rsidRDefault="0075785A" w:rsidP="0075785A">
            <w:pPr>
              <w:pStyle w:val="HIPTabletext"/>
              <w:jc w:val="center"/>
            </w:pPr>
            <w:r w:rsidRPr="004D01BE">
              <w:t>1</w:t>
            </w:r>
          </w:p>
        </w:tc>
      </w:tr>
      <w:tr w:rsidR="0075785A" w:rsidRPr="004D01BE" w:rsidTr="0075785A">
        <w:trPr>
          <w:jc w:val="center"/>
        </w:trPr>
        <w:tc>
          <w:tcPr>
            <w:tcW w:w="0" w:type="auto"/>
            <w:hideMark/>
          </w:tcPr>
          <w:p w:rsidR="0075785A" w:rsidRPr="004D01BE" w:rsidRDefault="0075785A" w:rsidP="0075785A">
            <w:pPr>
              <w:pStyle w:val="HIPTabletext"/>
            </w:pPr>
            <w:r w:rsidRPr="004D01BE">
              <w:t>4</w:t>
            </w:r>
          </w:p>
        </w:tc>
        <w:tc>
          <w:tcPr>
            <w:tcW w:w="0" w:type="auto"/>
            <w:hideMark/>
          </w:tcPr>
          <w:p w:rsidR="0075785A" w:rsidRPr="004D01BE" w:rsidRDefault="0075785A" w:rsidP="0075785A">
            <w:pPr>
              <w:pStyle w:val="HIPTabletext"/>
            </w:pPr>
            <w:r w:rsidRPr="004D01BE">
              <w:t>Web Portal</w:t>
            </w:r>
          </w:p>
        </w:tc>
        <w:tc>
          <w:tcPr>
            <w:tcW w:w="0" w:type="auto"/>
            <w:hideMark/>
          </w:tcPr>
          <w:p w:rsidR="0075785A" w:rsidRPr="004D01BE" w:rsidRDefault="0075785A" w:rsidP="0075785A">
            <w:pPr>
              <w:pStyle w:val="HIPTabletext"/>
              <w:jc w:val="center"/>
            </w:pPr>
            <w:r w:rsidRPr="004D01BE">
              <w:t>78</w:t>
            </w:r>
          </w:p>
        </w:tc>
        <w:tc>
          <w:tcPr>
            <w:tcW w:w="1672" w:type="dxa"/>
            <w:hideMark/>
          </w:tcPr>
          <w:p w:rsidR="0075785A" w:rsidRPr="004D01BE" w:rsidRDefault="0075785A" w:rsidP="0075785A">
            <w:pPr>
              <w:pStyle w:val="HIPTabletext"/>
              <w:jc w:val="center"/>
            </w:pPr>
            <w:r w:rsidRPr="004D01BE">
              <w:t>0</w:t>
            </w:r>
          </w:p>
        </w:tc>
      </w:tr>
      <w:tr w:rsidR="0075785A" w:rsidRPr="004D01BE" w:rsidTr="0075785A">
        <w:trPr>
          <w:jc w:val="center"/>
        </w:trPr>
        <w:tc>
          <w:tcPr>
            <w:tcW w:w="0" w:type="auto"/>
            <w:hideMark/>
          </w:tcPr>
          <w:p w:rsidR="0075785A" w:rsidRPr="004D01BE" w:rsidRDefault="0075785A" w:rsidP="0075785A">
            <w:pPr>
              <w:pStyle w:val="HIPTabletext"/>
            </w:pPr>
            <w:r w:rsidRPr="004D01BE">
              <w:t>5</w:t>
            </w:r>
          </w:p>
        </w:tc>
        <w:tc>
          <w:tcPr>
            <w:tcW w:w="0" w:type="auto"/>
            <w:hideMark/>
          </w:tcPr>
          <w:p w:rsidR="0075785A" w:rsidRPr="004D01BE" w:rsidRDefault="0075785A" w:rsidP="0075785A">
            <w:pPr>
              <w:pStyle w:val="HIPTabletext"/>
            </w:pPr>
            <w:r w:rsidRPr="004D01BE">
              <w:t>Public Pay Phones</w:t>
            </w:r>
          </w:p>
        </w:tc>
        <w:tc>
          <w:tcPr>
            <w:tcW w:w="0" w:type="auto"/>
            <w:hideMark/>
          </w:tcPr>
          <w:p w:rsidR="0075785A" w:rsidRPr="004D01BE" w:rsidRDefault="0075785A" w:rsidP="0075785A">
            <w:pPr>
              <w:pStyle w:val="HIPTabletext"/>
              <w:jc w:val="center"/>
            </w:pPr>
            <w:r w:rsidRPr="004D01BE">
              <w:t>3349</w:t>
            </w:r>
          </w:p>
        </w:tc>
        <w:tc>
          <w:tcPr>
            <w:tcW w:w="1672" w:type="dxa"/>
            <w:hideMark/>
          </w:tcPr>
          <w:p w:rsidR="0075785A" w:rsidRPr="004D01BE" w:rsidRDefault="0075785A" w:rsidP="0075785A">
            <w:pPr>
              <w:pStyle w:val="HIPTabletext"/>
              <w:jc w:val="center"/>
            </w:pPr>
            <w:r w:rsidRPr="004D01BE">
              <w:t>750</w:t>
            </w:r>
          </w:p>
        </w:tc>
      </w:tr>
      <w:tr w:rsidR="0075785A" w:rsidRPr="004D01BE" w:rsidTr="0075785A">
        <w:trPr>
          <w:jc w:val="center"/>
        </w:trPr>
        <w:tc>
          <w:tcPr>
            <w:tcW w:w="0" w:type="auto"/>
            <w:hideMark/>
          </w:tcPr>
          <w:p w:rsidR="0075785A" w:rsidRPr="004D01BE" w:rsidRDefault="0075785A" w:rsidP="0075785A">
            <w:pPr>
              <w:pStyle w:val="HIPTabletext"/>
            </w:pPr>
            <w:r w:rsidRPr="004D01BE">
              <w:t>6</w:t>
            </w:r>
          </w:p>
        </w:tc>
        <w:tc>
          <w:tcPr>
            <w:tcW w:w="0" w:type="auto"/>
            <w:hideMark/>
          </w:tcPr>
          <w:p w:rsidR="0075785A" w:rsidRPr="004D01BE" w:rsidRDefault="0075785A" w:rsidP="0075785A">
            <w:pPr>
              <w:pStyle w:val="HIPTabletext"/>
            </w:pPr>
            <w:r w:rsidRPr="004D01BE">
              <w:t>Research Projects</w:t>
            </w:r>
          </w:p>
        </w:tc>
        <w:tc>
          <w:tcPr>
            <w:tcW w:w="0" w:type="auto"/>
            <w:hideMark/>
          </w:tcPr>
          <w:p w:rsidR="0075785A" w:rsidRPr="004D01BE" w:rsidRDefault="0075785A" w:rsidP="0075785A">
            <w:pPr>
              <w:pStyle w:val="HIPTabletext"/>
              <w:jc w:val="center"/>
            </w:pPr>
            <w:r w:rsidRPr="004D01BE">
              <w:t>4</w:t>
            </w:r>
          </w:p>
        </w:tc>
        <w:tc>
          <w:tcPr>
            <w:tcW w:w="1672" w:type="dxa"/>
            <w:hideMark/>
          </w:tcPr>
          <w:p w:rsidR="0075785A" w:rsidRPr="004D01BE" w:rsidRDefault="0075785A" w:rsidP="0075785A">
            <w:pPr>
              <w:pStyle w:val="HIPTabletext"/>
              <w:jc w:val="center"/>
            </w:pPr>
            <w:r w:rsidRPr="004D01BE">
              <w:t>1</w:t>
            </w:r>
          </w:p>
        </w:tc>
      </w:tr>
      <w:tr w:rsidR="0075785A" w:rsidRPr="004D01BE" w:rsidTr="0075785A">
        <w:trPr>
          <w:jc w:val="center"/>
        </w:trPr>
        <w:tc>
          <w:tcPr>
            <w:tcW w:w="0" w:type="auto"/>
            <w:hideMark/>
          </w:tcPr>
          <w:p w:rsidR="0075785A" w:rsidRPr="004D01BE" w:rsidRDefault="0075785A" w:rsidP="0075785A">
            <w:pPr>
              <w:pStyle w:val="HIPTabletext"/>
            </w:pPr>
            <w:r w:rsidRPr="004D01BE">
              <w:t>7</w:t>
            </w:r>
          </w:p>
        </w:tc>
        <w:tc>
          <w:tcPr>
            <w:tcW w:w="0" w:type="auto"/>
            <w:hideMark/>
          </w:tcPr>
          <w:p w:rsidR="0075785A" w:rsidRPr="004D01BE" w:rsidRDefault="0075785A" w:rsidP="0075785A">
            <w:pPr>
              <w:pStyle w:val="HIPTabletext"/>
            </w:pPr>
            <w:r w:rsidRPr="004D01BE">
              <w:t>Postal Support Projects</w:t>
            </w:r>
          </w:p>
        </w:tc>
        <w:tc>
          <w:tcPr>
            <w:tcW w:w="0" w:type="auto"/>
            <w:hideMark/>
          </w:tcPr>
          <w:p w:rsidR="0075785A" w:rsidRPr="004D01BE" w:rsidRDefault="0075785A" w:rsidP="0075785A">
            <w:pPr>
              <w:pStyle w:val="HIPTabletext"/>
              <w:jc w:val="center"/>
            </w:pPr>
            <w:r w:rsidRPr="004D01BE">
              <w:t>35</w:t>
            </w:r>
          </w:p>
        </w:tc>
        <w:tc>
          <w:tcPr>
            <w:tcW w:w="1672" w:type="dxa"/>
            <w:hideMark/>
          </w:tcPr>
          <w:p w:rsidR="0075785A" w:rsidRPr="004D01BE" w:rsidRDefault="0075785A" w:rsidP="0075785A">
            <w:pPr>
              <w:pStyle w:val="HIPTabletext"/>
              <w:jc w:val="center"/>
            </w:pPr>
            <w:r w:rsidRPr="004D01BE">
              <w:t>-</w:t>
            </w:r>
          </w:p>
        </w:tc>
      </w:tr>
      <w:tr w:rsidR="0075785A" w:rsidRPr="004D01BE" w:rsidTr="0075785A">
        <w:trPr>
          <w:jc w:val="center"/>
        </w:trPr>
        <w:tc>
          <w:tcPr>
            <w:tcW w:w="0" w:type="auto"/>
            <w:hideMark/>
          </w:tcPr>
          <w:p w:rsidR="0075785A" w:rsidRPr="004D01BE" w:rsidRDefault="0075785A" w:rsidP="0075785A">
            <w:pPr>
              <w:pStyle w:val="HIPTabletext"/>
            </w:pPr>
            <w:r w:rsidRPr="004D01BE">
              <w:t>8</w:t>
            </w:r>
          </w:p>
        </w:tc>
        <w:tc>
          <w:tcPr>
            <w:tcW w:w="0" w:type="auto"/>
            <w:hideMark/>
          </w:tcPr>
          <w:p w:rsidR="0075785A" w:rsidRPr="004D01BE" w:rsidRDefault="0075785A" w:rsidP="0075785A">
            <w:pPr>
              <w:pStyle w:val="HIPTabletext"/>
            </w:pPr>
            <w:r w:rsidRPr="004D01BE">
              <w:t>Multi-purpose Community Telecentres</w:t>
            </w:r>
          </w:p>
        </w:tc>
        <w:tc>
          <w:tcPr>
            <w:tcW w:w="0" w:type="auto"/>
            <w:hideMark/>
          </w:tcPr>
          <w:p w:rsidR="0075785A" w:rsidRPr="004D01BE" w:rsidRDefault="0075785A" w:rsidP="0075785A">
            <w:pPr>
              <w:pStyle w:val="HIPTabletext"/>
              <w:jc w:val="center"/>
            </w:pPr>
            <w:r w:rsidRPr="004D01BE">
              <w:t>13</w:t>
            </w:r>
          </w:p>
        </w:tc>
        <w:tc>
          <w:tcPr>
            <w:tcW w:w="1672" w:type="dxa"/>
            <w:hideMark/>
          </w:tcPr>
          <w:p w:rsidR="0075785A" w:rsidRPr="004D01BE" w:rsidRDefault="0075785A" w:rsidP="0075785A">
            <w:pPr>
              <w:pStyle w:val="HIPTabletext"/>
              <w:jc w:val="center"/>
            </w:pPr>
            <w:r w:rsidRPr="004D01BE">
              <w:t>-</w:t>
            </w:r>
          </w:p>
        </w:tc>
      </w:tr>
      <w:tr w:rsidR="0075785A" w:rsidRPr="004D01BE" w:rsidTr="0075785A">
        <w:trPr>
          <w:jc w:val="center"/>
        </w:trPr>
        <w:tc>
          <w:tcPr>
            <w:tcW w:w="0" w:type="auto"/>
            <w:hideMark/>
          </w:tcPr>
          <w:p w:rsidR="0075785A" w:rsidRPr="004D01BE" w:rsidRDefault="0075785A" w:rsidP="0075785A">
            <w:pPr>
              <w:pStyle w:val="HIPTabletext"/>
            </w:pPr>
            <w:r w:rsidRPr="004D01BE">
              <w:t>9</w:t>
            </w:r>
          </w:p>
        </w:tc>
        <w:tc>
          <w:tcPr>
            <w:tcW w:w="0" w:type="auto"/>
            <w:hideMark/>
          </w:tcPr>
          <w:p w:rsidR="0075785A" w:rsidRPr="004D01BE" w:rsidRDefault="0075785A" w:rsidP="0075785A">
            <w:pPr>
              <w:pStyle w:val="HIPTabletext"/>
            </w:pPr>
            <w:r w:rsidRPr="004D01BE">
              <w:t>School ICT Laboratories</w:t>
            </w:r>
          </w:p>
        </w:tc>
        <w:tc>
          <w:tcPr>
            <w:tcW w:w="0" w:type="auto"/>
            <w:hideMark/>
          </w:tcPr>
          <w:p w:rsidR="0075785A" w:rsidRPr="004D01BE" w:rsidRDefault="0075785A" w:rsidP="0075785A">
            <w:pPr>
              <w:pStyle w:val="HIPTabletext"/>
              <w:jc w:val="center"/>
            </w:pPr>
            <w:r w:rsidRPr="004D01BE">
              <w:t>108</w:t>
            </w:r>
          </w:p>
        </w:tc>
        <w:tc>
          <w:tcPr>
            <w:tcW w:w="1672" w:type="dxa"/>
            <w:hideMark/>
          </w:tcPr>
          <w:p w:rsidR="0075785A" w:rsidRPr="004D01BE" w:rsidRDefault="0075785A" w:rsidP="0075785A">
            <w:pPr>
              <w:pStyle w:val="HIPTabletext"/>
              <w:jc w:val="center"/>
            </w:pPr>
            <w:r w:rsidRPr="004D01BE">
              <w:t>100</w:t>
            </w:r>
          </w:p>
        </w:tc>
      </w:tr>
      <w:tr w:rsidR="0075785A" w:rsidRPr="004D01BE" w:rsidTr="0075785A">
        <w:trPr>
          <w:jc w:val="center"/>
        </w:trPr>
        <w:tc>
          <w:tcPr>
            <w:tcW w:w="0" w:type="auto"/>
            <w:hideMark/>
          </w:tcPr>
          <w:p w:rsidR="0075785A" w:rsidRPr="004D01BE" w:rsidRDefault="0075785A" w:rsidP="0075785A">
            <w:pPr>
              <w:pStyle w:val="HIPTabletext"/>
            </w:pPr>
            <w:r w:rsidRPr="004D01BE">
              <w:t>10</w:t>
            </w:r>
          </w:p>
        </w:tc>
        <w:tc>
          <w:tcPr>
            <w:tcW w:w="0" w:type="auto"/>
            <w:hideMark/>
          </w:tcPr>
          <w:p w:rsidR="0075785A" w:rsidRPr="004D01BE" w:rsidRDefault="0075785A" w:rsidP="0075785A">
            <w:pPr>
              <w:pStyle w:val="HIPTabletext"/>
            </w:pPr>
            <w:r w:rsidRPr="004D01BE">
              <w:t>Health Care ICT Facilities</w:t>
            </w:r>
          </w:p>
        </w:tc>
        <w:tc>
          <w:tcPr>
            <w:tcW w:w="0" w:type="auto"/>
            <w:hideMark/>
          </w:tcPr>
          <w:p w:rsidR="0075785A" w:rsidRPr="004D01BE" w:rsidRDefault="0075785A" w:rsidP="0075785A">
            <w:pPr>
              <w:pStyle w:val="HIPTabletext"/>
              <w:jc w:val="center"/>
            </w:pPr>
            <w:r w:rsidRPr="004D01BE">
              <w:t>43</w:t>
            </w:r>
          </w:p>
        </w:tc>
        <w:tc>
          <w:tcPr>
            <w:tcW w:w="1672" w:type="dxa"/>
            <w:hideMark/>
          </w:tcPr>
          <w:p w:rsidR="0075785A" w:rsidRPr="004D01BE" w:rsidRDefault="0075785A" w:rsidP="0075785A">
            <w:pPr>
              <w:pStyle w:val="HIPTabletext"/>
              <w:jc w:val="center"/>
            </w:pPr>
            <w:r w:rsidRPr="004D01BE">
              <w:t>53</w:t>
            </w:r>
          </w:p>
        </w:tc>
      </w:tr>
    </w:tbl>
    <w:p w:rsidR="0075785A" w:rsidRPr="004D01BE" w:rsidRDefault="0075785A" w:rsidP="0075785A">
      <w:pPr>
        <w:rPr>
          <w:lang w:val="en-US"/>
        </w:rPr>
      </w:pPr>
    </w:p>
    <w:p w:rsidR="0075785A" w:rsidRDefault="0075785A">
      <w:pPr>
        <w:rPr>
          <w:rFonts w:ascii="Calibri" w:hAnsi="Calibri" w:cs="Arial"/>
          <w:color w:val="000000"/>
          <w:sz w:val="21"/>
          <w:lang w:val="en-US"/>
        </w:rPr>
      </w:pPr>
      <w:r>
        <w:rPr>
          <w:lang w:val="en-US"/>
        </w:rPr>
        <w:br w:type="page"/>
      </w:r>
    </w:p>
    <w:p w:rsidR="00A25B99" w:rsidRDefault="0088668E" w:rsidP="0088668E">
      <w:pPr>
        <w:pStyle w:val="HIPHeading2"/>
      </w:pPr>
      <w:bookmarkStart w:id="339" w:name="_Toc284597981"/>
      <w:bookmarkStart w:id="340" w:name="_Toc286144977"/>
      <w:bookmarkStart w:id="341" w:name="_Toc281459585"/>
      <w:r>
        <w:lastRenderedPageBreak/>
        <w:t>3.3</w:t>
      </w:r>
      <w:r>
        <w:tab/>
      </w:r>
      <w:r w:rsidR="00A25B99" w:rsidRPr="00FF0877">
        <w:t>PROJECT DESIGN</w:t>
      </w:r>
      <w:bookmarkEnd w:id="339"/>
      <w:bookmarkEnd w:id="340"/>
      <w:r w:rsidR="00A25B99" w:rsidRPr="00FF0877">
        <w:t xml:space="preserve"> </w:t>
      </w:r>
    </w:p>
    <w:p w:rsidR="00A25B99" w:rsidRDefault="0088668E" w:rsidP="0088668E">
      <w:pPr>
        <w:pStyle w:val="HIPheading3"/>
      </w:pPr>
      <w:bookmarkStart w:id="342" w:name="_Toc284597982"/>
      <w:bookmarkStart w:id="343" w:name="_Toc286144978"/>
      <w:r>
        <w:t>3.3.</w:t>
      </w:r>
      <w:r w:rsidR="00A25B99">
        <w:t>1</w:t>
      </w:r>
      <w:r w:rsidR="00A25B99">
        <w:tab/>
        <w:t>Global Experience and Good Practice</w:t>
      </w:r>
      <w:bookmarkEnd w:id="342"/>
      <w:bookmarkEnd w:id="343"/>
    </w:p>
    <w:p w:rsidR="00A25B99" w:rsidRPr="00420F27" w:rsidRDefault="0088668E" w:rsidP="0088668E">
      <w:pPr>
        <w:pStyle w:val="HIPheading4"/>
      </w:pPr>
      <w:bookmarkStart w:id="344" w:name="_Toc284597983"/>
      <w:r>
        <w:t>3.3.</w:t>
      </w:r>
      <w:r w:rsidR="00A25B99">
        <w:t>1.1</w:t>
      </w:r>
      <w:r w:rsidR="00A25B99">
        <w:tab/>
      </w:r>
      <w:r w:rsidR="00A25B99" w:rsidRPr="00FF0877">
        <w:t>Top Down vs. Bottom Up approac</w:t>
      </w:r>
      <w:r w:rsidR="00A25B99">
        <w:t>h</w:t>
      </w:r>
      <w:bookmarkEnd w:id="344"/>
    </w:p>
    <w:p w:rsidR="00A25B99" w:rsidRPr="004D01BE" w:rsidRDefault="00A25B99" w:rsidP="00A25B99">
      <w:pPr>
        <w:pStyle w:val="HIPNormal"/>
        <w:rPr>
          <w:lang w:val="en-US"/>
        </w:rPr>
      </w:pPr>
      <w:r w:rsidRPr="00FC3094">
        <w:rPr>
          <w:lang w:val="en-US"/>
        </w:rPr>
        <w:t>Once a programme is designed, projects must be developed. Project design is not a ‘one size fits all’ approach, in fac</w:t>
      </w:r>
      <w:r>
        <w:rPr>
          <w:lang w:val="en-US"/>
        </w:rPr>
        <w:t>t each of the SADC Member State</w:t>
      </w:r>
      <w:r w:rsidRPr="00FC3094">
        <w:rPr>
          <w:lang w:val="en-US"/>
        </w:rPr>
        <w:t xml:space="preserve"> will need to design projects that are specific to its needs and gaps as identified through the conducting of detailed market research</w:t>
      </w:r>
      <w:r>
        <w:rPr>
          <w:lang w:val="en-US"/>
        </w:rPr>
        <w:t xml:space="preserve"> and stakeholder consultation</w:t>
      </w:r>
      <w:r w:rsidRPr="00FC3094">
        <w:rPr>
          <w:lang w:val="en-US"/>
        </w:rPr>
        <w:t xml:space="preserve">. </w:t>
      </w:r>
      <w:r w:rsidRPr="004D01BE">
        <w:rPr>
          <w:lang w:val="en-US"/>
        </w:rPr>
        <w:t xml:space="preserve">The last decade of universal service </w:t>
      </w:r>
      <w:r>
        <w:rPr>
          <w:lang w:val="en-US"/>
        </w:rPr>
        <w:t xml:space="preserve">and access </w:t>
      </w:r>
      <w:r w:rsidRPr="004D01BE">
        <w:rPr>
          <w:lang w:val="en-US"/>
        </w:rPr>
        <w:t xml:space="preserve">experience has shown that community involvement, particularly in public access projects, is a critical element that informs their sustainability. As such, projects that originate within the community or at a minimum have the buy in of the community that will receive or use the services, have inherent advantages. This is a “bottom up” approach to project development which is advocated by many governments, regulators and Fund Administrators. </w:t>
      </w:r>
      <w:r>
        <w:rPr>
          <w:lang w:val="en-US"/>
        </w:rPr>
        <w:t>The US</w:t>
      </w:r>
      <w:r>
        <w:rPr>
          <w:rFonts w:hint="eastAsia"/>
          <w:lang w:val="en-US"/>
        </w:rPr>
        <w:t>’</w:t>
      </w:r>
      <w:r>
        <w:rPr>
          <w:lang w:val="en-US"/>
        </w:rPr>
        <w:t xml:space="preserve"> NTIA</w:t>
      </w:r>
      <w:r>
        <w:rPr>
          <w:rFonts w:hint="eastAsia"/>
          <w:lang w:val="en-US"/>
        </w:rPr>
        <w:t>’</w:t>
      </w:r>
      <w:r>
        <w:rPr>
          <w:lang w:val="en-US"/>
        </w:rPr>
        <w:t xml:space="preserve">s Recipient Toolkit provides an overview of strategies that can be employed to conduct stakeholder outreach and get community buy-in for approved projects so </w:t>
      </w:r>
      <w:r>
        <w:rPr>
          <w:rFonts w:hint="eastAsia"/>
          <w:lang w:val="en-US"/>
        </w:rPr>
        <w:t>that</w:t>
      </w:r>
      <w:r>
        <w:rPr>
          <w:lang w:val="en-US"/>
        </w:rPr>
        <w:t xml:space="preserve"> they can be sustainable.</w:t>
      </w:r>
    </w:p>
    <w:p w:rsidR="00A25B99" w:rsidRDefault="00A25B99" w:rsidP="00A25B99">
      <w:pPr>
        <w:pStyle w:val="HIPNormal"/>
        <w:rPr>
          <w:lang w:val="en-US"/>
        </w:rPr>
      </w:pPr>
      <w:r w:rsidRPr="004D01BE">
        <w:rPr>
          <w:lang w:val="en-US"/>
        </w:rPr>
        <w:t xml:space="preserve">Historically </w:t>
      </w:r>
      <w:r>
        <w:rPr>
          <w:lang w:val="en-US"/>
        </w:rPr>
        <w:t>1</w:t>
      </w:r>
      <w:r w:rsidRPr="00FF0877">
        <w:rPr>
          <w:vertAlign w:val="superscript"/>
          <w:lang w:val="en-US"/>
        </w:rPr>
        <w:t>st</w:t>
      </w:r>
      <w:r>
        <w:rPr>
          <w:lang w:val="en-US"/>
        </w:rPr>
        <w:t xml:space="preserve"> generation </w:t>
      </w:r>
      <w:r w:rsidRPr="004D01BE">
        <w:rPr>
          <w:lang w:val="en-US"/>
        </w:rPr>
        <w:t xml:space="preserve">Fund projects have been primarily top down (e.g. Colombia, Peru), with the Fund defining the locations and requirements. However, in the last 3 years bottom up projects have </w:t>
      </w:r>
      <w:r>
        <w:rPr>
          <w:lang w:val="en-US"/>
        </w:rPr>
        <w:t xml:space="preserve">amongst others, </w:t>
      </w:r>
      <w:r w:rsidRPr="004D01BE">
        <w:rPr>
          <w:lang w:val="en-US"/>
        </w:rPr>
        <w:t xml:space="preserve">been trialed in Chile. In Sub Saharan Africa the tendency has been towards top down projects, primarily allocated through competitive processes such as least cost subsidy bids. They have been for both public access and private service projects as described in Table 10. </w:t>
      </w:r>
    </w:p>
    <w:p w:rsidR="00A25B99" w:rsidRPr="00FC3094" w:rsidRDefault="0088668E" w:rsidP="0088668E">
      <w:pPr>
        <w:pStyle w:val="HIPheading4"/>
      </w:pPr>
      <w:bookmarkStart w:id="345" w:name="_Toc284597984"/>
      <w:bookmarkStart w:id="346" w:name="_Toc281459588"/>
      <w:r>
        <w:t>3.3.</w:t>
      </w:r>
      <w:r w:rsidR="00A25B99">
        <w:t>1.2</w:t>
      </w:r>
      <w:r w:rsidR="00A25B99">
        <w:tab/>
        <w:t>Defining Project Objectives</w:t>
      </w:r>
      <w:bookmarkEnd w:id="345"/>
    </w:p>
    <w:p w:rsidR="00A25B99" w:rsidRPr="00FC3094" w:rsidRDefault="00A25B99" w:rsidP="00A25B99">
      <w:pPr>
        <w:pStyle w:val="HIPNormal"/>
        <w:rPr>
          <w:lang w:val="en-US"/>
        </w:rPr>
      </w:pPr>
      <w:r w:rsidRPr="00FC3094">
        <w:rPr>
          <w:lang w:val="en-US"/>
        </w:rPr>
        <w:t>In order to identify universal service and access targets and to develop practical and feasible projects to meet those targets, the necessary policy questions need to be answered, and an understanding of what is “on the ground” is critical.</w:t>
      </w:r>
      <w:r w:rsidR="005E5682">
        <w:rPr>
          <w:lang w:val="en-US"/>
        </w:rPr>
        <w:t xml:space="preserve"> </w:t>
      </w:r>
      <w:r w:rsidRPr="00FC3094">
        <w:rPr>
          <w:lang w:val="en-US"/>
        </w:rPr>
        <w:t>At a minimum, the status quo and the potential changes in the short term, must be understood in a country if a relevant project is to be designed, which means that the following must be considered:</w:t>
      </w:r>
    </w:p>
    <w:p w:rsidR="00A25B99" w:rsidRPr="00FC3094" w:rsidRDefault="00A25B99" w:rsidP="00A25B99">
      <w:pPr>
        <w:pStyle w:val="HIPEnumlev1"/>
      </w:pPr>
      <w:r w:rsidRPr="00FC3094">
        <w:t>Current policy and regulatory tools available to meet defined targets and objectives;</w:t>
      </w:r>
    </w:p>
    <w:p w:rsidR="00A25B99" w:rsidRPr="00FC3094" w:rsidRDefault="00A25B99" w:rsidP="00A25B99">
      <w:pPr>
        <w:pStyle w:val="HIPEnumlev1"/>
      </w:pPr>
      <w:r w:rsidRPr="00FC3094">
        <w:t>Short and medium term policy changes anticipated which will impact the ICT environment such as licensing of new players, reduction of prices, etc.</w:t>
      </w:r>
    </w:p>
    <w:p w:rsidR="00A25B99" w:rsidRPr="00FC3094" w:rsidRDefault="00A25B99" w:rsidP="00A25B99">
      <w:pPr>
        <w:pStyle w:val="HIPEnumlev1"/>
      </w:pPr>
      <w:r w:rsidRPr="00FC3094">
        <w:t>Current infrastructure and infrastructure requirements to meet the defined targets;</w:t>
      </w:r>
    </w:p>
    <w:p w:rsidR="00A25B99" w:rsidRPr="00FC3094" w:rsidRDefault="00A25B99" w:rsidP="00A25B99">
      <w:pPr>
        <w:pStyle w:val="HIPEnumlev1"/>
      </w:pPr>
      <w:r w:rsidRPr="00FC3094">
        <w:t>Infrastructure roadmap of operators using all types of infrastructure and technologies;</w:t>
      </w:r>
    </w:p>
    <w:p w:rsidR="00A25B99" w:rsidRPr="00FC3094" w:rsidRDefault="00A25B99" w:rsidP="00A25B99">
      <w:pPr>
        <w:pStyle w:val="HIPEnumlev1"/>
      </w:pPr>
      <w:r w:rsidRPr="00FC3094">
        <w:t>Market dynamics and demand analysis for public and private access</w:t>
      </w:r>
    </w:p>
    <w:p w:rsidR="00A25B99" w:rsidRPr="00FC3094" w:rsidRDefault="00A25B99" w:rsidP="00A25B99">
      <w:pPr>
        <w:pStyle w:val="HIPEnumlev1"/>
      </w:pPr>
      <w:r w:rsidRPr="00FC3094">
        <w:t>Impact of non-ICT factors such as electricity, roads and access</w:t>
      </w:r>
    </w:p>
    <w:p w:rsidR="00A25B99" w:rsidRPr="00FC3094" w:rsidRDefault="00A25B99" w:rsidP="00A25B99">
      <w:pPr>
        <w:pStyle w:val="HIPNormal"/>
        <w:rPr>
          <w:lang w:val="en-US"/>
        </w:rPr>
      </w:pPr>
      <w:r w:rsidRPr="00FC3094">
        <w:rPr>
          <w:lang w:val="en-US"/>
        </w:rPr>
        <w:t>An understanding of the above will assist in the determination of access gaps. In considering access gaps, it is necessary to have a clear understanding of the two separate gaps that could exist, as these gaps are addressed differently. There is a market efficiency gap and a true access gap. There are also two dimensions to the challenge of achieving universal reach, both of which need policy makers’ attention, namely poverty and isolation.</w:t>
      </w:r>
      <w:r w:rsidRPr="00B96229">
        <w:rPr>
          <w:rStyle w:val="FootnoteReference"/>
        </w:rPr>
        <w:footnoteReference w:id="53"/>
      </w:r>
      <w:r w:rsidRPr="00FC3094">
        <w:rPr>
          <w:lang w:val="en-US"/>
        </w:rPr>
        <w:t xml:space="preserve"> Both urban and rural areas experience poverty, however the cost of addressing poverty and isolation together in the case of rural areas, is much higher than that in urban areas.</w:t>
      </w:r>
      <w:r w:rsidRPr="00FC3094" w:rsidDel="005A02B4">
        <w:rPr>
          <w:lang w:val="en-US"/>
        </w:rPr>
        <w:t xml:space="preserve"> </w:t>
      </w:r>
    </w:p>
    <w:p w:rsidR="00A25B99" w:rsidRPr="00FC3094" w:rsidRDefault="00A25B99" w:rsidP="00A25B99">
      <w:pPr>
        <w:pStyle w:val="HIPNormal"/>
        <w:rPr>
          <w:lang w:val="en-US"/>
        </w:rPr>
      </w:pPr>
      <w:r w:rsidRPr="00FC3094">
        <w:rPr>
          <w:lang w:val="en-US"/>
        </w:rPr>
        <w:lastRenderedPageBreak/>
        <w:t xml:space="preserve">The market efficiency gap is accordingly regarded as the difference between what markets are actually achieving under current conditions, and what they could achieve if regulatory barriers were removed, and regulatory incentives are provided. This gap can be bridged through more private provision of service facilitated by effective competition and by market-oriented policies and regulations that create a level playing field for new entrants. It is generally thought that this frontier can be reached without subsidies. </w:t>
      </w:r>
    </w:p>
    <w:p w:rsidR="00A25B99" w:rsidRPr="00FC3094" w:rsidRDefault="00A25B99" w:rsidP="00A25B99">
      <w:pPr>
        <w:pStyle w:val="HIPNormal"/>
        <w:rPr>
          <w:lang w:val="en-US"/>
        </w:rPr>
      </w:pPr>
      <w:r w:rsidRPr="00FC3094">
        <w:rPr>
          <w:lang w:val="en-US"/>
        </w:rPr>
        <w:t>The true access gap however, recognizes that intervention is still required to reach some areas and population groups that will not be served even with the most attractive, liberal market conditions. Unless additional investments are mobilized through interventions some people and places remain beyond the limits of the market.</w:t>
      </w:r>
      <w:r w:rsidR="005E5682">
        <w:rPr>
          <w:lang w:val="en-US"/>
        </w:rPr>
        <w:t xml:space="preserve"> </w:t>
      </w:r>
      <w:r w:rsidRPr="00FC3094">
        <w:rPr>
          <w:lang w:val="en-US"/>
        </w:rPr>
        <w:t xml:space="preserve">The USAF is a mechanism focused on the true access gap. </w:t>
      </w:r>
    </w:p>
    <w:p w:rsidR="00A25B99" w:rsidRPr="00FC3094" w:rsidRDefault="00A25B99" w:rsidP="00A25B99">
      <w:pPr>
        <w:pStyle w:val="HIPNormal"/>
        <w:rPr>
          <w:lang w:val="en-US"/>
        </w:rPr>
      </w:pPr>
      <w:r w:rsidRPr="00FC3094">
        <w:rPr>
          <w:lang w:val="en-US"/>
        </w:rPr>
        <w:t>It is important for countries to understand the importance of addressing both the market efficiency gap and the access gap. In order to effectively bridging these gaps a thorough analysis of the market should be conducted wherein a rigorous needs analysis is conducted.</w:t>
      </w:r>
      <w:r w:rsidR="005E5682">
        <w:rPr>
          <w:lang w:val="en-US"/>
        </w:rPr>
        <w:t xml:space="preserve"> </w:t>
      </w:r>
      <w:r w:rsidRPr="00FC3094">
        <w:rPr>
          <w:lang w:val="en-US"/>
        </w:rPr>
        <w:t xml:space="preserve">This is discussed in greater detail in Section </w:t>
      </w:r>
      <w:r>
        <w:rPr>
          <w:lang w:val="en-US"/>
        </w:rPr>
        <w:t>6</w:t>
      </w:r>
      <w:r w:rsidRPr="00FC3094">
        <w:rPr>
          <w:lang w:val="en-US"/>
        </w:rPr>
        <w:t xml:space="preserve"> of </w:t>
      </w:r>
      <w:r>
        <w:rPr>
          <w:lang w:val="en-US"/>
        </w:rPr>
        <w:t>the HIPSSA UAS Assessment and Guideline Update document</w:t>
      </w:r>
      <w:r w:rsidRPr="00FC3094">
        <w:rPr>
          <w:lang w:val="en-US"/>
        </w:rPr>
        <w:t>.</w:t>
      </w:r>
    </w:p>
    <w:p w:rsidR="00A25B99" w:rsidRDefault="00A25B99" w:rsidP="00A25B99">
      <w:pPr>
        <w:pStyle w:val="HIPNormal"/>
        <w:rPr>
          <w:lang w:val="en-US"/>
        </w:rPr>
      </w:pPr>
      <w:r>
        <w:rPr>
          <w:lang w:val="en-US"/>
        </w:rPr>
        <w:t xml:space="preserve">In the case of broadband and NGN rollout which are still underway and thus it is more difficult to use the traditional market gap analysis framework, the </w:t>
      </w:r>
      <w:r>
        <w:rPr>
          <w:rFonts w:hint="eastAsia"/>
          <w:lang w:val="en-US"/>
        </w:rPr>
        <w:t>“</w:t>
      </w:r>
      <w:r>
        <w:rPr>
          <w:lang w:val="en-US"/>
        </w:rPr>
        <w:t>white</w:t>
      </w:r>
      <w:r>
        <w:rPr>
          <w:rFonts w:hint="eastAsia"/>
          <w:lang w:val="en-US"/>
        </w:rPr>
        <w:t>”</w:t>
      </w:r>
      <w:r>
        <w:rPr>
          <w:lang w:val="en-US"/>
        </w:rPr>
        <w:t xml:space="preserve">, </w:t>
      </w:r>
      <w:r>
        <w:rPr>
          <w:rFonts w:hint="eastAsia"/>
          <w:lang w:val="en-US"/>
        </w:rPr>
        <w:t>“</w:t>
      </w:r>
      <w:r>
        <w:rPr>
          <w:lang w:val="en-US"/>
        </w:rPr>
        <w:t>grey</w:t>
      </w:r>
      <w:r>
        <w:rPr>
          <w:rFonts w:hint="eastAsia"/>
          <w:lang w:val="en-US"/>
        </w:rPr>
        <w:t>”</w:t>
      </w:r>
      <w:r>
        <w:rPr>
          <w:lang w:val="en-US"/>
        </w:rPr>
        <w:t xml:space="preserve"> and </w:t>
      </w:r>
      <w:r>
        <w:rPr>
          <w:rFonts w:hint="eastAsia"/>
          <w:lang w:val="en-US"/>
        </w:rPr>
        <w:t>“</w:t>
      </w:r>
      <w:r>
        <w:rPr>
          <w:lang w:val="en-US"/>
        </w:rPr>
        <w:t>black</w:t>
      </w:r>
      <w:r>
        <w:rPr>
          <w:rFonts w:hint="eastAsia"/>
          <w:lang w:val="en-US"/>
        </w:rPr>
        <w:t>”</w:t>
      </w:r>
      <w:r>
        <w:rPr>
          <w:lang w:val="en-US"/>
        </w:rPr>
        <w:t xml:space="preserve"> area framework discussed earlier is used. In this analysis consideration is given to the number of broadband networks in an area. Again, the objective is to ensure that </w:t>
      </w:r>
      <w:r>
        <w:rPr>
          <w:rFonts w:hint="eastAsia"/>
          <w:lang w:val="en-US"/>
        </w:rPr>
        <w:t>financing</w:t>
      </w:r>
      <w:r>
        <w:rPr>
          <w:lang w:val="en-US"/>
        </w:rPr>
        <w:t xml:space="preserve"> interventions do not distort the market.</w:t>
      </w:r>
    </w:p>
    <w:p w:rsidR="00A25B99" w:rsidRPr="00FC3094" w:rsidRDefault="00A25B99" w:rsidP="00A25B99">
      <w:pPr>
        <w:pStyle w:val="HIPNormal"/>
        <w:rPr>
          <w:lang w:val="en-US"/>
        </w:rPr>
      </w:pPr>
      <w:r w:rsidRPr="00FC3094">
        <w:rPr>
          <w:lang w:val="en-US"/>
        </w:rPr>
        <w:t xml:space="preserve">These objectives should guide the different types of projects to be implemented in a country. In the next section, the types of projects to address these objectives </w:t>
      </w:r>
      <w:r>
        <w:rPr>
          <w:lang w:val="en-US"/>
        </w:rPr>
        <w:t>are</w:t>
      </w:r>
      <w:r w:rsidRPr="00FC3094">
        <w:rPr>
          <w:lang w:val="en-US"/>
        </w:rPr>
        <w:t xml:space="preserve"> discussed. </w:t>
      </w:r>
    </w:p>
    <w:p w:rsidR="00A25B99" w:rsidRPr="00B95AD6" w:rsidRDefault="0088668E" w:rsidP="0088668E">
      <w:pPr>
        <w:pStyle w:val="HIPheading4"/>
      </w:pPr>
      <w:bookmarkStart w:id="347" w:name="_Toc284597985"/>
      <w:r>
        <w:t>3.3.</w:t>
      </w:r>
      <w:r w:rsidR="00A25B99">
        <w:t>1.3</w:t>
      </w:r>
      <w:r w:rsidR="00A25B99">
        <w:tab/>
        <w:t xml:space="preserve">Facilitating </w:t>
      </w:r>
      <w:r w:rsidR="00A25B99" w:rsidRPr="00B95AD6">
        <w:t>Sustainability: Starting with an Exit Strategy</w:t>
      </w:r>
      <w:bookmarkEnd w:id="346"/>
      <w:bookmarkEnd w:id="347"/>
    </w:p>
    <w:p w:rsidR="00A25B99" w:rsidRDefault="00A25B99" w:rsidP="00A25B99">
      <w:pPr>
        <w:pStyle w:val="HIPNormal"/>
        <w:rPr>
          <w:lang w:val="en-GB"/>
        </w:rPr>
      </w:pPr>
      <w:r w:rsidRPr="00B95AD6">
        <w:rPr>
          <w:lang w:val="en-US"/>
        </w:rPr>
        <w:t>Often, the goal of keeping a project going once it has begun is usually expressed as one of sustainability. Sustainability is frequently linked to the cha</w:t>
      </w:r>
      <w:r>
        <w:rPr>
          <w:lang w:val="en-US"/>
        </w:rPr>
        <w:t>llenge of financing the project and</w:t>
      </w:r>
      <w:r w:rsidRPr="00B95AD6">
        <w:rPr>
          <w:lang w:val="en-US"/>
        </w:rPr>
        <w:t xml:space="preserve"> </w:t>
      </w:r>
      <w:r>
        <w:rPr>
          <w:lang w:val="en-US"/>
        </w:rPr>
        <w:t>a</w:t>
      </w:r>
      <w:r>
        <w:rPr>
          <w:lang w:val="en-GB"/>
        </w:rPr>
        <w:t>ny form of OBA, including the Fund, will seek to make a meaningful, preferably once off intervention to stimulate ICT sector development.</w:t>
      </w:r>
      <w:r w:rsidR="005E5682">
        <w:rPr>
          <w:lang w:val="en-GB"/>
        </w:rPr>
        <w:t xml:space="preserve"> </w:t>
      </w:r>
      <w:r>
        <w:rPr>
          <w:lang w:val="en-GB"/>
        </w:rPr>
        <w:t>When a public financier starts a project, it should at the same time have "an exit strategy" or a means to wind down the financial support after a certain period of time. From the beginning there should be clarity on:</w:t>
      </w:r>
    </w:p>
    <w:p w:rsidR="00A25B99" w:rsidRDefault="00A25B99" w:rsidP="00A25B99">
      <w:pPr>
        <w:pStyle w:val="HIPEnumlev1"/>
      </w:pPr>
      <w:r>
        <w:t>What the targets are (financial and developmental)</w:t>
      </w:r>
    </w:p>
    <w:p w:rsidR="00A25B99" w:rsidRDefault="00A25B99" w:rsidP="00A25B99">
      <w:pPr>
        <w:pStyle w:val="HIPEnumlev1"/>
      </w:pPr>
      <w:r>
        <w:t>When the funder intends to exit/pull out of the project</w:t>
      </w:r>
    </w:p>
    <w:p w:rsidR="00A25B99" w:rsidRDefault="00A25B99" w:rsidP="00A25B99">
      <w:pPr>
        <w:pStyle w:val="HIPEnumlev1"/>
      </w:pPr>
      <w:r>
        <w:t>What mechanisms are in place to ensure sustainability? How will the project fund itself in the long term?</w:t>
      </w:r>
    </w:p>
    <w:p w:rsidR="00A25B99" w:rsidRDefault="00A25B99" w:rsidP="00A25B99">
      <w:pPr>
        <w:pStyle w:val="HIPNormal"/>
        <w:rPr>
          <w:lang w:val="en-GB"/>
        </w:rPr>
      </w:pPr>
      <w:r>
        <w:rPr>
          <w:lang w:val="en-GB"/>
        </w:rPr>
        <w:t>As discussed in Part 1, the key principles of a successful Fund are accountability, transparency and efficiency. These principles support the key pillars to ensure sustainability of a project sponsored by the Fund, are similar to the pillars indentified by the World Bank for OBA in general and can be summarised as follows:</w:t>
      </w:r>
    </w:p>
    <w:p w:rsidR="00A25B99" w:rsidRDefault="00A25B99" w:rsidP="00A25B99">
      <w:pPr>
        <w:pStyle w:val="HIPEnumlev1"/>
      </w:pPr>
      <w:r>
        <w:t>Increased transparency through explicitly tying subsidies to targets and defined outputs (of a programme, or in the absence of a programme then a policy);</w:t>
      </w:r>
    </w:p>
    <w:p w:rsidR="00A25B99" w:rsidRDefault="00A25B99" w:rsidP="00A25B99">
      <w:pPr>
        <w:pStyle w:val="HIPEnumlev1"/>
      </w:pPr>
      <w:r>
        <w:t>Increased accountability achieved by shifting performance risk (and thus project risk) to service providers through amongst others well crafted Service Agreements and contracts (see Part 3 for details relating to model agreements);</w:t>
      </w:r>
    </w:p>
    <w:p w:rsidR="00A25B99" w:rsidRDefault="00A25B99" w:rsidP="00A25B99">
      <w:pPr>
        <w:pStyle w:val="HIPEnumlev1"/>
      </w:pPr>
      <w:r>
        <w:t>Increased engagement of private sector participants, their capital and their expertise by encouraging them to meet identified gaps;</w:t>
      </w:r>
    </w:p>
    <w:p w:rsidR="00A25B99" w:rsidRDefault="00A25B99" w:rsidP="00A25B99">
      <w:pPr>
        <w:pStyle w:val="HIPEnumlev1"/>
      </w:pPr>
      <w:r>
        <w:t>Encouragement of efficiency and innovative approaches through the design of projects which allow the service provides to design their own solutions through least cost subsidy schemes;</w:t>
      </w:r>
    </w:p>
    <w:p w:rsidR="00A25B99" w:rsidRDefault="00A25B99" w:rsidP="00A25B99">
      <w:pPr>
        <w:pStyle w:val="HIPEnumlev1"/>
      </w:pPr>
      <w:r>
        <w:lastRenderedPageBreak/>
        <w:t>Increased sustainability through the provision of once-off subsidies that are then linked to sustainable long term service provision; and</w:t>
      </w:r>
    </w:p>
    <w:p w:rsidR="00A25B99" w:rsidRDefault="00A25B99" w:rsidP="00A25B99">
      <w:pPr>
        <w:pStyle w:val="HIPEnumlev1"/>
      </w:pPr>
      <w:r>
        <w:t>Effective monitoring through the alignment of payments to agreed deliverables/outputs by the service provider (see Part 4 on Monitoring and Evaluation).</w:t>
      </w:r>
    </w:p>
    <w:p w:rsidR="00A25B99" w:rsidRDefault="00A25B99" w:rsidP="005E5682">
      <w:pPr>
        <w:pStyle w:val="HIPNormal"/>
        <w:rPr>
          <w:lang w:val="en-GB"/>
        </w:rPr>
      </w:pPr>
      <w:r>
        <w:rPr>
          <w:lang w:val="en-GB"/>
        </w:rPr>
        <w:t>Through the above-mentioned elements of the project set-up, from inception to contracting to payment of subsidies upon delivery, the Fund ensures that its exit from the project is clear upfront and that the project has increased potential of being sustainable.</w:t>
      </w:r>
    </w:p>
    <w:p w:rsidR="00A25B99" w:rsidRPr="004D01BE" w:rsidRDefault="00A25B99" w:rsidP="0088668E">
      <w:pPr>
        <w:pStyle w:val="HIPTabletitle"/>
      </w:pPr>
      <w:bookmarkStart w:id="348" w:name="_Toc286146560"/>
      <w:r w:rsidRPr="004D01BE">
        <w:t xml:space="preserve">Table </w:t>
      </w:r>
      <w:r w:rsidR="0088668E">
        <w:t>3.5</w:t>
      </w:r>
      <w:r w:rsidRPr="004D01BE">
        <w:t>:</w:t>
      </w:r>
      <w:r w:rsidR="005E5682">
        <w:t xml:space="preserve"> </w:t>
      </w:r>
      <w:r w:rsidRPr="004D01BE">
        <w:t xml:space="preserve">Projects and Modalities for Selected Sub Saharan African Countries </w:t>
      </w:r>
      <w:r>
        <w:br/>
      </w:r>
      <w:r w:rsidRPr="004D01BE">
        <w:t>that have Disbursed USAFs</w:t>
      </w:r>
      <w:r>
        <w:rPr>
          <w:rStyle w:val="FootnoteReference"/>
        </w:rPr>
        <w:footnoteReference w:id="54"/>
      </w:r>
      <w:bookmarkEnd w:id="348"/>
    </w:p>
    <w:tbl>
      <w:tblPr>
        <w:tblW w:w="9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064"/>
        <w:gridCol w:w="938"/>
        <w:gridCol w:w="1122"/>
        <w:gridCol w:w="1109"/>
        <w:gridCol w:w="1309"/>
        <w:gridCol w:w="1193"/>
        <w:gridCol w:w="1112"/>
        <w:gridCol w:w="1411"/>
      </w:tblGrid>
      <w:tr w:rsidR="00A25B99" w:rsidRPr="00A3379B" w:rsidTr="00F150D2">
        <w:trPr>
          <w:cantSplit/>
          <w:tblHeader/>
          <w:jc w:val="center"/>
        </w:trPr>
        <w:tc>
          <w:tcPr>
            <w:tcW w:w="1064" w:type="dxa"/>
            <w:shd w:val="clear" w:color="auto" w:fill="008000"/>
            <w:vAlign w:val="center"/>
          </w:tcPr>
          <w:p w:rsidR="00A25B99" w:rsidRPr="00D0075D" w:rsidRDefault="00A25B99" w:rsidP="00A25B99">
            <w:pPr>
              <w:pStyle w:val="HIPTablehead"/>
            </w:pPr>
            <w:r w:rsidRPr="00D0075D">
              <w:t>Country</w:t>
            </w:r>
          </w:p>
        </w:tc>
        <w:tc>
          <w:tcPr>
            <w:tcW w:w="938" w:type="dxa"/>
            <w:shd w:val="clear" w:color="auto" w:fill="008000"/>
            <w:vAlign w:val="center"/>
          </w:tcPr>
          <w:p w:rsidR="00A25B99" w:rsidRPr="00D0075D" w:rsidRDefault="00A25B99" w:rsidP="00A25B99">
            <w:pPr>
              <w:pStyle w:val="HIPTablehead"/>
            </w:pPr>
            <w:r w:rsidRPr="00D0075D">
              <w:t>Type of Project</w:t>
            </w:r>
          </w:p>
        </w:tc>
        <w:tc>
          <w:tcPr>
            <w:tcW w:w="1122" w:type="dxa"/>
            <w:shd w:val="clear" w:color="auto" w:fill="008000"/>
            <w:vAlign w:val="center"/>
          </w:tcPr>
          <w:p w:rsidR="00A25B99" w:rsidRPr="00D0075D" w:rsidRDefault="00A25B99" w:rsidP="00A25B99">
            <w:pPr>
              <w:pStyle w:val="HIPTablehead"/>
            </w:pPr>
            <w:r w:rsidRPr="00D0075D">
              <w:t>Number of Projects</w:t>
            </w:r>
          </w:p>
        </w:tc>
        <w:tc>
          <w:tcPr>
            <w:tcW w:w="1109" w:type="dxa"/>
            <w:shd w:val="clear" w:color="auto" w:fill="008000"/>
            <w:vAlign w:val="center"/>
          </w:tcPr>
          <w:p w:rsidR="00A25B99" w:rsidRPr="00D0075D" w:rsidRDefault="00A25B99" w:rsidP="00A25B99">
            <w:pPr>
              <w:pStyle w:val="HIPTablehead"/>
            </w:pPr>
            <w:r w:rsidRPr="00D0075D">
              <w:t>Manner of selecting recipients</w:t>
            </w:r>
          </w:p>
        </w:tc>
        <w:tc>
          <w:tcPr>
            <w:tcW w:w="1309" w:type="dxa"/>
            <w:shd w:val="clear" w:color="auto" w:fill="008000"/>
            <w:vAlign w:val="center"/>
          </w:tcPr>
          <w:p w:rsidR="00A25B99" w:rsidRPr="003D1456" w:rsidRDefault="00A25B99" w:rsidP="00A25B99">
            <w:pPr>
              <w:pStyle w:val="HIPTablehead"/>
            </w:pPr>
            <w:r w:rsidRPr="003D1456">
              <w:t>Manner of calculating/</w:t>
            </w:r>
            <w:r>
              <w:br/>
            </w:r>
            <w:r w:rsidRPr="003D1456">
              <w:t>Establish</w:t>
            </w:r>
            <w:r>
              <w:br/>
            </w:r>
            <w:r w:rsidRPr="003D1456">
              <w:t>Subsidies</w:t>
            </w:r>
          </w:p>
        </w:tc>
        <w:tc>
          <w:tcPr>
            <w:tcW w:w="1193" w:type="dxa"/>
            <w:shd w:val="clear" w:color="auto" w:fill="008000"/>
            <w:vAlign w:val="center"/>
          </w:tcPr>
          <w:p w:rsidR="00A25B99" w:rsidRPr="00D0075D" w:rsidRDefault="00A25B99" w:rsidP="00A25B99">
            <w:pPr>
              <w:pStyle w:val="HIPTablehead"/>
            </w:pPr>
            <w:r w:rsidRPr="00D0075D">
              <w:t>Types of Services offered</w:t>
            </w:r>
          </w:p>
        </w:tc>
        <w:tc>
          <w:tcPr>
            <w:tcW w:w="1112" w:type="dxa"/>
            <w:shd w:val="clear" w:color="auto" w:fill="008000"/>
            <w:vAlign w:val="center"/>
          </w:tcPr>
          <w:p w:rsidR="00A25B99" w:rsidRPr="00D0075D" w:rsidRDefault="00A25B99" w:rsidP="00A25B99">
            <w:pPr>
              <w:pStyle w:val="HIPTablehead"/>
            </w:pPr>
            <w:r w:rsidRPr="00D0075D">
              <w:t>Operators eligible to participate</w:t>
            </w:r>
          </w:p>
        </w:tc>
        <w:tc>
          <w:tcPr>
            <w:tcW w:w="1411" w:type="dxa"/>
            <w:shd w:val="clear" w:color="auto" w:fill="008000"/>
            <w:vAlign w:val="center"/>
          </w:tcPr>
          <w:p w:rsidR="00A25B99" w:rsidRPr="00D0075D" w:rsidRDefault="00A25B99" w:rsidP="00A25B99">
            <w:pPr>
              <w:pStyle w:val="HIPTablehead"/>
            </w:pPr>
            <w:r w:rsidRPr="003D1456">
              <w:t>Entity other than USAF providing subsidies/</w:t>
            </w:r>
            <w:r>
              <w:br/>
            </w:r>
            <w:r w:rsidRPr="00D0075D">
              <w:t>Financing, %</w:t>
            </w:r>
          </w:p>
        </w:tc>
      </w:tr>
      <w:tr w:rsidR="00A25B99" w:rsidRPr="00D0075D" w:rsidTr="00A25B99">
        <w:trPr>
          <w:jc w:val="center"/>
        </w:trPr>
        <w:tc>
          <w:tcPr>
            <w:tcW w:w="1064" w:type="dxa"/>
            <w:vMerge w:val="restart"/>
            <w:shd w:val="clear" w:color="auto" w:fill="auto"/>
            <w:vAlign w:val="center"/>
          </w:tcPr>
          <w:p w:rsidR="00A25B99" w:rsidRPr="00A25B99" w:rsidRDefault="00A25B99" w:rsidP="00A25B99">
            <w:pPr>
              <w:pStyle w:val="HIPTabletext"/>
              <w:ind w:left="58" w:right="64"/>
              <w:jc w:val="left"/>
              <w:rPr>
                <w:b/>
                <w:bCs w:val="0"/>
                <w:sz w:val="17"/>
                <w:szCs w:val="17"/>
              </w:rPr>
            </w:pPr>
            <w:r w:rsidRPr="00A25B99">
              <w:rPr>
                <w:b/>
                <w:bCs w:val="0"/>
                <w:sz w:val="17"/>
                <w:szCs w:val="17"/>
              </w:rPr>
              <w:t>Ghana</w:t>
            </w:r>
          </w:p>
        </w:tc>
        <w:tc>
          <w:tcPr>
            <w:tcW w:w="938" w:type="dxa"/>
            <w:vAlign w:val="center"/>
          </w:tcPr>
          <w:p w:rsidR="00A25B99" w:rsidRPr="00A25B99" w:rsidRDefault="00A25B99" w:rsidP="00A25B99">
            <w:pPr>
              <w:pStyle w:val="HIPTabletext"/>
              <w:ind w:left="58" w:right="64"/>
              <w:jc w:val="left"/>
              <w:rPr>
                <w:sz w:val="17"/>
                <w:szCs w:val="17"/>
              </w:rPr>
            </w:pPr>
            <w:r w:rsidRPr="00A25B99">
              <w:rPr>
                <w:sz w:val="17"/>
                <w:szCs w:val="17"/>
              </w:rPr>
              <w:t xml:space="preserve">Common Telecommunications Facilities </w:t>
            </w:r>
          </w:p>
        </w:tc>
        <w:tc>
          <w:tcPr>
            <w:tcW w:w="1122" w:type="dxa"/>
            <w:vAlign w:val="center"/>
          </w:tcPr>
          <w:p w:rsidR="00A25B99" w:rsidRPr="00A25B99" w:rsidRDefault="00A25B99" w:rsidP="00A25B99">
            <w:pPr>
              <w:pStyle w:val="HIPTabletext"/>
              <w:ind w:left="58" w:right="64"/>
              <w:jc w:val="center"/>
              <w:rPr>
                <w:sz w:val="17"/>
                <w:szCs w:val="17"/>
              </w:rPr>
            </w:pPr>
            <w:r w:rsidRPr="00A25B99">
              <w:rPr>
                <w:sz w:val="17"/>
                <w:szCs w:val="17"/>
              </w:rPr>
              <w:t>7</w:t>
            </w:r>
          </w:p>
        </w:tc>
        <w:tc>
          <w:tcPr>
            <w:tcW w:w="1109" w:type="dxa"/>
            <w:vAlign w:val="center"/>
          </w:tcPr>
          <w:p w:rsidR="00A25B99" w:rsidRPr="00A25B99" w:rsidRDefault="00A25B99" w:rsidP="00A25B99">
            <w:pPr>
              <w:pStyle w:val="HIPTabletext"/>
              <w:ind w:left="58" w:right="64"/>
              <w:jc w:val="left"/>
              <w:rPr>
                <w:sz w:val="17"/>
                <w:szCs w:val="17"/>
              </w:rPr>
            </w:pPr>
            <w:r w:rsidRPr="00A25B99">
              <w:rPr>
                <w:sz w:val="17"/>
                <w:szCs w:val="17"/>
              </w:rPr>
              <w:t>Competitive, least subsidy requested</w:t>
            </w:r>
          </w:p>
        </w:tc>
        <w:tc>
          <w:tcPr>
            <w:tcW w:w="1309" w:type="dxa"/>
            <w:vAlign w:val="center"/>
          </w:tcPr>
          <w:p w:rsidR="00A25B99" w:rsidRPr="00A25B99" w:rsidRDefault="00A25B99" w:rsidP="00A25B99">
            <w:pPr>
              <w:pStyle w:val="HIPTabletext"/>
              <w:ind w:left="58" w:right="64"/>
              <w:jc w:val="left"/>
              <w:rPr>
                <w:sz w:val="17"/>
                <w:szCs w:val="17"/>
              </w:rPr>
            </w:pPr>
            <w:r w:rsidRPr="00A25B99">
              <w:rPr>
                <w:sz w:val="17"/>
                <w:szCs w:val="17"/>
              </w:rPr>
              <w:t>Competitive, least subsidy requested</w:t>
            </w:r>
          </w:p>
        </w:tc>
        <w:tc>
          <w:tcPr>
            <w:tcW w:w="1193" w:type="dxa"/>
            <w:vAlign w:val="center"/>
          </w:tcPr>
          <w:p w:rsidR="00A25B99" w:rsidRPr="00A25B99" w:rsidRDefault="00A25B99" w:rsidP="00A25B99">
            <w:pPr>
              <w:pStyle w:val="HIPTabletext"/>
              <w:ind w:left="58" w:right="64"/>
              <w:jc w:val="left"/>
              <w:rPr>
                <w:sz w:val="17"/>
                <w:szCs w:val="17"/>
              </w:rPr>
            </w:pPr>
            <w:r w:rsidRPr="00A25B99">
              <w:rPr>
                <w:sz w:val="17"/>
                <w:szCs w:val="17"/>
              </w:rPr>
              <w:t>Public voice access +</w:t>
            </w:r>
            <w:r w:rsidR="005E5682">
              <w:rPr>
                <w:sz w:val="17"/>
                <w:szCs w:val="17"/>
              </w:rPr>
              <w:t xml:space="preserve"> </w:t>
            </w:r>
            <w:r w:rsidRPr="00A25B99">
              <w:rPr>
                <w:sz w:val="17"/>
                <w:szCs w:val="17"/>
              </w:rPr>
              <w:t>Private voice service</w:t>
            </w:r>
          </w:p>
        </w:tc>
        <w:tc>
          <w:tcPr>
            <w:tcW w:w="1112" w:type="dxa"/>
            <w:vAlign w:val="center"/>
          </w:tcPr>
          <w:p w:rsidR="00A25B99" w:rsidRPr="00A25B99" w:rsidRDefault="00A25B99" w:rsidP="00A25B99">
            <w:pPr>
              <w:pStyle w:val="HIPTabletext"/>
              <w:ind w:left="58" w:right="64"/>
              <w:jc w:val="left"/>
              <w:rPr>
                <w:sz w:val="17"/>
                <w:szCs w:val="17"/>
                <w:lang w:val="en-US"/>
              </w:rPr>
            </w:pPr>
            <w:r w:rsidRPr="00A25B99">
              <w:rPr>
                <w:sz w:val="17"/>
                <w:szCs w:val="17"/>
                <w:lang w:val="en-US"/>
              </w:rPr>
              <w:t>All operators, both fixed and mobile</w:t>
            </w:r>
          </w:p>
        </w:tc>
        <w:tc>
          <w:tcPr>
            <w:tcW w:w="1411" w:type="dxa"/>
            <w:vAlign w:val="center"/>
          </w:tcPr>
          <w:p w:rsidR="00A25B99" w:rsidRPr="00A25B99" w:rsidRDefault="00A25B99" w:rsidP="00A25B99">
            <w:pPr>
              <w:pStyle w:val="HIPTabletext"/>
              <w:ind w:left="58" w:right="64"/>
              <w:jc w:val="left"/>
              <w:rPr>
                <w:sz w:val="17"/>
                <w:szCs w:val="17"/>
              </w:rPr>
            </w:pPr>
            <w:r w:rsidRPr="00A25B99">
              <w:rPr>
                <w:sz w:val="17"/>
                <w:szCs w:val="17"/>
              </w:rPr>
              <w:t>USAF only</w:t>
            </w:r>
          </w:p>
        </w:tc>
      </w:tr>
      <w:tr w:rsidR="00A25B99" w:rsidRPr="00D0075D" w:rsidTr="00A25B99">
        <w:trPr>
          <w:jc w:val="center"/>
        </w:trPr>
        <w:tc>
          <w:tcPr>
            <w:tcW w:w="1064" w:type="dxa"/>
            <w:vMerge/>
            <w:shd w:val="clear" w:color="auto" w:fill="auto"/>
            <w:vAlign w:val="center"/>
          </w:tcPr>
          <w:p w:rsidR="00A25B99" w:rsidRPr="00A25B99" w:rsidRDefault="00A25B99" w:rsidP="00A25B99">
            <w:pPr>
              <w:pStyle w:val="HIPTabletext"/>
              <w:ind w:left="58" w:right="64"/>
              <w:jc w:val="left"/>
              <w:rPr>
                <w:b/>
                <w:bCs w:val="0"/>
                <w:sz w:val="17"/>
                <w:szCs w:val="17"/>
              </w:rPr>
            </w:pPr>
          </w:p>
        </w:tc>
        <w:tc>
          <w:tcPr>
            <w:tcW w:w="938" w:type="dxa"/>
            <w:vAlign w:val="center"/>
          </w:tcPr>
          <w:p w:rsidR="00A25B99" w:rsidRPr="00A25B99" w:rsidRDefault="00A25B99" w:rsidP="00A25B99">
            <w:pPr>
              <w:pStyle w:val="HIPTabletext"/>
              <w:ind w:left="58" w:right="64"/>
              <w:jc w:val="left"/>
              <w:rPr>
                <w:sz w:val="17"/>
                <w:szCs w:val="17"/>
              </w:rPr>
            </w:pPr>
            <w:r w:rsidRPr="00A25B99">
              <w:rPr>
                <w:sz w:val="17"/>
                <w:szCs w:val="17"/>
              </w:rPr>
              <w:t>Last Mile Initiative</w:t>
            </w:r>
          </w:p>
        </w:tc>
        <w:tc>
          <w:tcPr>
            <w:tcW w:w="1122" w:type="dxa"/>
            <w:vAlign w:val="center"/>
          </w:tcPr>
          <w:p w:rsidR="00A25B99" w:rsidRPr="00A25B99" w:rsidRDefault="00A25B99" w:rsidP="00A25B99">
            <w:pPr>
              <w:pStyle w:val="HIPTabletext"/>
              <w:ind w:left="58" w:right="64"/>
              <w:jc w:val="center"/>
              <w:rPr>
                <w:sz w:val="17"/>
                <w:szCs w:val="17"/>
              </w:rPr>
            </w:pPr>
            <w:r w:rsidRPr="00A25B99">
              <w:rPr>
                <w:sz w:val="17"/>
                <w:szCs w:val="17"/>
              </w:rPr>
              <w:t>Unknown, at least one (1)</w:t>
            </w:r>
          </w:p>
        </w:tc>
        <w:tc>
          <w:tcPr>
            <w:tcW w:w="1109" w:type="dxa"/>
            <w:vAlign w:val="center"/>
          </w:tcPr>
          <w:p w:rsidR="00A25B99" w:rsidRPr="00A25B99" w:rsidRDefault="00A25B99" w:rsidP="00A25B99">
            <w:pPr>
              <w:pStyle w:val="HIPTabletext"/>
              <w:ind w:left="58" w:right="64"/>
              <w:jc w:val="left"/>
              <w:rPr>
                <w:sz w:val="17"/>
                <w:szCs w:val="17"/>
              </w:rPr>
            </w:pPr>
            <w:r w:rsidRPr="00A25B99">
              <w:rPr>
                <w:sz w:val="17"/>
                <w:szCs w:val="17"/>
              </w:rPr>
              <w:t>Competitive, least subsidy requested</w:t>
            </w:r>
          </w:p>
        </w:tc>
        <w:tc>
          <w:tcPr>
            <w:tcW w:w="1309" w:type="dxa"/>
            <w:vAlign w:val="center"/>
          </w:tcPr>
          <w:p w:rsidR="00A25B99" w:rsidRPr="00A25B99" w:rsidRDefault="00A25B99" w:rsidP="00A25B99">
            <w:pPr>
              <w:pStyle w:val="HIPTabletext"/>
              <w:ind w:left="58" w:right="64"/>
              <w:jc w:val="left"/>
              <w:rPr>
                <w:sz w:val="17"/>
                <w:szCs w:val="17"/>
              </w:rPr>
            </w:pPr>
            <w:r w:rsidRPr="00A25B99">
              <w:rPr>
                <w:sz w:val="17"/>
                <w:szCs w:val="17"/>
              </w:rPr>
              <w:t>Competitive, least subsidy requested</w:t>
            </w:r>
          </w:p>
        </w:tc>
        <w:tc>
          <w:tcPr>
            <w:tcW w:w="1193" w:type="dxa"/>
            <w:vAlign w:val="center"/>
          </w:tcPr>
          <w:p w:rsidR="00A25B99" w:rsidRPr="00A25B99" w:rsidRDefault="00A25B99" w:rsidP="00A25B99">
            <w:pPr>
              <w:pStyle w:val="HIPTabletext"/>
              <w:ind w:left="58" w:right="64"/>
              <w:jc w:val="left"/>
              <w:rPr>
                <w:sz w:val="17"/>
                <w:szCs w:val="17"/>
                <w:lang w:val="en-US"/>
              </w:rPr>
            </w:pPr>
            <w:r w:rsidRPr="00A25B99">
              <w:rPr>
                <w:sz w:val="17"/>
                <w:szCs w:val="17"/>
                <w:lang w:val="en-US"/>
              </w:rPr>
              <w:t>Access to ICTs (voice + Internet) by Community MDAs</w:t>
            </w:r>
          </w:p>
        </w:tc>
        <w:tc>
          <w:tcPr>
            <w:tcW w:w="1112" w:type="dxa"/>
            <w:vAlign w:val="center"/>
          </w:tcPr>
          <w:p w:rsidR="00A25B99" w:rsidRPr="00A25B99" w:rsidRDefault="00A25B99" w:rsidP="00A25B99">
            <w:pPr>
              <w:pStyle w:val="HIPTabletext"/>
              <w:ind w:left="58" w:right="64"/>
              <w:jc w:val="left"/>
              <w:rPr>
                <w:sz w:val="17"/>
                <w:szCs w:val="17"/>
              </w:rPr>
            </w:pPr>
            <w:r w:rsidRPr="00A25B99">
              <w:rPr>
                <w:sz w:val="17"/>
                <w:szCs w:val="17"/>
              </w:rPr>
              <w:t>…</w:t>
            </w:r>
          </w:p>
        </w:tc>
        <w:tc>
          <w:tcPr>
            <w:tcW w:w="1411" w:type="dxa"/>
            <w:vAlign w:val="center"/>
          </w:tcPr>
          <w:p w:rsidR="00A25B99" w:rsidRPr="00A25B99" w:rsidRDefault="00A25B99" w:rsidP="00A25B99">
            <w:pPr>
              <w:pStyle w:val="HIPTabletext"/>
              <w:ind w:left="58" w:right="64"/>
              <w:jc w:val="left"/>
              <w:rPr>
                <w:sz w:val="17"/>
                <w:szCs w:val="17"/>
              </w:rPr>
            </w:pPr>
            <w:r w:rsidRPr="00A25B99">
              <w:rPr>
                <w:sz w:val="17"/>
                <w:szCs w:val="17"/>
              </w:rPr>
              <w:t>USAF only</w:t>
            </w:r>
          </w:p>
        </w:tc>
      </w:tr>
      <w:tr w:rsidR="00A25B99" w:rsidRPr="00D0075D" w:rsidTr="00A25B99">
        <w:trPr>
          <w:jc w:val="center"/>
        </w:trPr>
        <w:tc>
          <w:tcPr>
            <w:tcW w:w="1064" w:type="dxa"/>
            <w:vMerge/>
            <w:shd w:val="clear" w:color="auto" w:fill="auto"/>
            <w:vAlign w:val="center"/>
          </w:tcPr>
          <w:p w:rsidR="00A25B99" w:rsidRPr="00A25B99" w:rsidRDefault="00A25B99" w:rsidP="00A25B99">
            <w:pPr>
              <w:pStyle w:val="HIPTabletext"/>
              <w:ind w:left="58" w:right="64"/>
              <w:jc w:val="left"/>
              <w:rPr>
                <w:b/>
                <w:bCs w:val="0"/>
                <w:sz w:val="17"/>
                <w:szCs w:val="17"/>
              </w:rPr>
            </w:pPr>
          </w:p>
        </w:tc>
        <w:tc>
          <w:tcPr>
            <w:tcW w:w="938" w:type="dxa"/>
            <w:vAlign w:val="center"/>
          </w:tcPr>
          <w:p w:rsidR="00A25B99" w:rsidRPr="00A25B99" w:rsidRDefault="00A25B99" w:rsidP="00A25B99">
            <w:pPr>
              <w:pStyle w:val="HIPTabletext"/>
              <w:ind w:left="58" w:right="64"/>
              <w:jc w:val="left"/>
              <w:rPr>
                <w:sz w:val="17"/>
                <w:szCs w:val="17"/>
              </w:rPr>
            </w:pPr>
            <w:r w:rsidRPr="00A25B99">
              <w:rPr>
                <w:sz w:val="17"/>
                <w:szCs w:val="17"/>
              </w:rPr>
              <w:t>Community Informa</w:t>
            </w:r>
            <w:r>
              <w:rPr>
                <w:sz w:val="17"/>
                <w:szCs w:val="17"/>
              </w:rPr>
              <w:softHyphen/>
            </w:r>
            <w:r w:rsidRPr="00A25B99">
              <w:rPr>
                <w:sz w:val="17"/>
                <w:szCs w:val="17"/>
              </w:rPr>
              <w:t>tion Centre</w:t>
            </w:r>
          </w:p>
        </w:tc>
        <w:tc>
          <w:tcPr>
            <w:tcW w:w="1122" w:type="dxa"/>
            <w:vAlign w:val="center"/>
          </w:tcPr>
          <w:p w:rsidR="00A25B99" w:rsidRPr="00A25B99" w:rsidRDefault="00A25B99" w:rsidP="00A25B99">
            <w:pPr>
              <w:pStyle w:val="HIPTabletext"/>
              <w:ind w:left="58" w:right="64"/>
              <w:jc w:val="center"/>
              <w:rPr>
                <w:sz w:val="17"/>
                <w:szCs w:val="17"/>
              </w:rPr>
            </w:pPr>
            <w:r w:rsidRPr="00A25B99">
              <w:rPr>
                <w:sz w:val="17"/>
                <w:szCs w:val="17"/>
              </w:rPr>
              <w:t>Unknown, at least one (1)</w:t>
            </w:r>
          </w:p>
        </w:tc>
        <w:tc>
          <w:tcPr>
            <w:tcW w:w="1109" w:type="dxa"/>
            <w:vAlign w:val="center"/>
          </w:tcPr>
          <w:p w:rsidR="00A25B99" w:rsidRPr="00A25B99" w:rsidRDefault="00A25B99" w:rsidP="00A25B99">
            <w:pPr>
              <w:pStyle w:val="HIPTabletext"/>
              <w:ind w:left="58" w:right="64"/>
              <w:jc w:val="left"/>
              <w:rPr>
                <w:sz w:val="17"/>
                <w:szCs w:val="17"/>
              </w:rPr>
            </w:pPr>
            <w:r w:rsidRPr="00A25B99">
              <w:rPr>
                <w:sz w:val="17"/>
                <w:szCs w:val="17"/>
              </w:rPr>
              <w:t>…</w:t>
            </w:r>
          </w:p>
        </w:tc>
        <w:tc>
          <w:tcPr>
            <w:tcW w:w="1309" w:type="dxa"/>
            <w:vAlign w:val="center"/>
          </w:tcPr>
          <w:p w:rsidR="00A25B99" w:rsidRPr="00A25B99" w:rsidRDefault="00A25B99" w:rsidP="00A25B99">
            <w:pPr>
              <w:pStyle w:val="HIPTabletext"/>
              <w:ind w:left="58" w:right="64"/>
              <w:jc w:val="left"/>
              <w:rPr>
                <w:sz w:val="17"/>
                <w:szCs w:val="17"/>
              </w:rPr>
            </w:pPr>
            <w:r w:rsidRPr="00A25B99">
              <w:rPr>
                <w:sz w:val="17"/>
                <w:szCs w:val="17"/>
              </w:rPr>
              <w:t>Competitive, national</w:t>
            </w:r>
            <w:r w:rsidR="005E5682">
              <w:rPr>
                <w:sz w:val="17"/>
                <w:szCs w:val="17"/>
              </w:rPr>
              <w:t xml:space="preserve"> </w:t>
            </w:r>
            <w:r w:rsidRPr="00A25B99">
              <w:rPr>
                <w:sz w:val="17"/>
                <w:szCs w:val="17"/>
              </w:rPr>
              <w:t>tender</w:t>
            </w:r>
          </w:p>
        </w:tc>
        <w:tc>
          <w:tcPr>
            <w:tcW w:w="1193" w:type="dxa"/>
            <w:vAlign w:val="center"/>
          </w:tcPr>
          <w:p w:rsidR="00A25B99" w:rsidRPr="00A25B99" w:rsidRDefault="00A25B99" w:rsidP="00A25B99">
            <w:pPr>
              <w:pStyle w:val="HIPTabletext"/>
              <w:ind w:left="58" w:right="64"/>
              <w:jc w:val="left"/>
              <w:rPr>
                <w:sz w:val="17"/>
                <w:szCs w:val="17"/>
              </w:rPr>
            </w:pPr>
            <w:r w:rsidRPr="00A25B99">
              <w:rPr>
                <w:sz w:val="17"/>
                <w:szCs w:val="17"/>
              </w:rPr>
              <w:t>Public voice access +</w:t>
            </w:r>
            <w:r w:rsidR="005E5682">
              <w:rPr>
                <w:sz w:val="17"/>
                <w:szCs w:val="17"/>
              </w:rPr>
              <w:t xml:space="preserve"> </w:t>
            </w:r>
            <w:r w:rsidRPr="00A25B99">
              <w:rPr>
                <w:sz w:val="17"/>
                <w:szCs w:val="17"/>
              </w:rPr>
              <w:t>Private voice service</w:t>
            </w:r>
          </w:p>
        </w:tc>
        <w:tc>
          <w:tcPr>
            <w:tcW w:w="1112" w:type="dxa"/>
            <w:vAlign w:val="center"/>
          </w:tcPr>
          <w:p w:rsidR="00A25B99" w:rsidRPr="00A25B99" w:rsidRDefault="00A25B99" w:rsidP="00A25B99">
            <w:pPr>
              <w:pStyle w:val="HIPTabletext"/>
              <w:ind w:left="58" w:right="64"/>
              <w:jc w:val="left"/>
              <w:rPr>
                <w:sz w:val="17"/>
                <w:szCs w:val="17"/>
              </w:rPr>
            </w:pPr>
            <w:r w:rsidRPr="00A25B99">
              <w:rPr>
                <w:sz w:val="17"/>
                <w:szCs w:val="17"/>
              </w:rPr>
              <w:t>…</w:t>
            </w:r>
          </w:p>
        </w:tc>
        <w:tc>
          <w:tcPr>
            <w:tcW w:w="1411" w:type="dxa"/>
            <w:vAlign w:val="center"/>
          </w:tcPr>
          <w:p w:rsidR="00A25B99" w:rsidRPr="00A25B99" w:rsidRDefault="00A25B99" w:rsidP="00A25B99">
            <w:pPr>
              <w:pStyle w:val="HIPTabletext"/>
              <w:ind w:left="58" w:right="64"/>
              <w:jc w:val="left"/>
              <w:rPr>
                <w:sz w:val="17"/>
                <w:szCs w:val="17"/>
              </w:rPr>
            </w:pPr>
            <w:r w:rsidRPr="00A25B99">
              <w:rPr>
                <w:sz w:val="17"/>
                <w:szCs w:val="17"/>
              </w:rPr>
              <w:t>Government of Ghana (100%)</w:t>
            </w:r>
          </w:p>
        </w:tc>
      </w:tr>
      <w:tr w:rsidR="00A25B99" w:rsidRPr="00D0075D" w:rsidTr="00A25B99">
        <w:trPr>
          <w:jc w:val="center"/>
        </w:trPr>
        <w:tc>
          <w:tcPr>
            <w:tcW w:w="1064" w:type="dxa"/>
            <w:vMerge/>
            <w:tcBorders>
              <w:bottom w:val="single" w:sz="4" w:space="0" w:color="auto"/>
            </w:tcBorders>
            <w:shd w:val="clear" w:color="auto" w:fill="auto"/>
            <w:vAlign w:val="center"/>
          </w:tcPr>
          <w:p w:rsidR="00A25B99" w:rsidRPr="00A25B99" w:rsidRDefault="00A25B99" w:rsidP="00A25B99">
            <w:pPr>
              <w:pStyle w:val="HIPTabletext"/>
              <w:ind w:left="58" w:right="64"/>
              <w:jc w:val="left"/>
              <w:rPr>
                <w:b/>
                <w:bCs w:val="0"/>
                <w:sz w:val="17"/>
                <w:szCs w:val="17"/>
              </w:rPr>
            </w:pPr>
          </w:p>
        </w:tc>
        <w:tc>
          <w:tcPr>
            <w:tcW w:w="938" w:type="dxa"/>
            <w:tcBorders>
              <w:bottom w:val="single" w:sz="4" w:space="0" w:color="auto"/>
            </w:tcBorders>
            <w:vAlign w:val="center"/>
          </w:tcPr>
          <w:p w:rsidR="00A25B99" w:rsidRPr="00A25B99" w:rsidRDefault="00A25B99" w:rsidP="00A25B99">
            <w:pPr>
              <w:pStyle w:val="HIPTabletext"/>
              <w:ind w:left="58" w:right="64"/>
              <w:jc w:val="left"/>
              <w:rPr>
                <w:sz w:val="17"/>
                <w:szCs w:val="17"/>
              </w:rPr>
            </w:pPr>
            <w:r w:rsidRPr="00A25B99">
              <w:rPr>
                <w:sz w:val="17"/>
                <w:szCs w:val="17"/>
              </w:rPr>
              <w:t>Schools Connecti</w:t>
            </w:r>
            <w:r>
              <w:rPr>
                <w:sz w:val="17"/>
                <w:szCs w:val="17"/>
              </w:rPr>
              <w:softHyphen/>
            </w:r>
            <w:r w:rsidRPr="00A25B99">
              <w:rPr>
                <w:sz w:val="17"/>
                <w:szCs w:val="17"/>
              </w:rPr>
              <w:t>vity Project</w:t>
            </w:r>
          </w:p>
        </w:tc>
        <w:tc>
          <w:tcPr>
            <w:tcW w:w="1122" w:type="dxa"/>
            <w:tcBorders>
              <w:bottom w:val="single" w:sz="4" w:space="0" w:color="auto"/>
            </w:tcBorders>
            <w:vAlign w:val="center"/>
          </w:tcPr>
          <w:p w:rsidR="00A25B99" w:rsidRPr="00A25B99" w:rsidRDefault="00A25B99" w:rsidP="00A25B99">
            <w:pPr>
              <w:pStyle w:val="HIPTabletext"/>
              <w:ind w:left="58" w:right="64"/>
              <w:jc w:val="center"/>
              <w:rPr>
                <w:sz w:val="17"/>
                <w:szCs w:val="17"/>
              </w:rPr>
            </w:pPr>
            <w:r w:rsidRPr="00A25B99">
              <w:rPr>
                <w:sz w:val="17"/>
                <w:szCs w:val="17"/>
              </w:rPr>
              <w:t>10</w:t>
            </w:r>
          </w:p>
        </w:tc>
        <w:tc>
          <w:tcPr>
            <w:tcW w:w="1109" w:type="dxa"/>
            <w:tcBorders>
              <w:bottom w:val="single" w:sz="4" w:space="0" w:color="auto"/>
            </w:tcBorders>
            <w:vAlign w:val="center"/>
          </w:tcPr>
          <w:p w:rsidR="00A25B99" w:rsidRPr="00A25B99" w:rsidRDefault="00A25B99" w:rsidP="00A25B99">
            <w:pPr>
              <w:pStyle w:val="HIPTabletext"/>
              <w:ind w:left="58" w:right="64"/>
              <w:jc w:val="left"/>
              <w:rPr>
                <w:sz w:val="17"/>
                <w:szCs w:val="17"/>
              </w:rPr>
            </w:pPr>
            <w:r w:rsidRPr="00A25B99">
              <w:rPr>
                <w:sz w:val="17"/>
                <w:szCs w:val="17"/>
              </w:rPr>
              <w:t>Competitive, least subsidy requested</w:t>
            </w:r>
          </w:p>
        </w:tc>
        <w:tc>
          <w:tcPr>
            <w:tcW w:w="1309" w:type="dxa"/>
            <w:tcBorders>
              <w:bottom w:val="single" w:sz="4" w:space="0" w:color="auto"/>
            </w:tcBorders>
            <w:vAlign w:val="center"/>
          </w:tcPr>
          <w:p w:rsidR="00A25B99" w:rsidRPr="00A25B99" w:rsidRDefault="00A25B99" w:rsidP="00A25B99">
            <w:pPr>
              <w:pStyle w:val="HIPTabletext"/>
              <w:ind w:left="58" w:right="64"/>
              <w:jc w:val="left"/>
              <w:rPr>
                <w:sz w:val="17"/>
                <w:szCs w:val="17"/>
              </w:rPr>
            </w:pPr>
            <w:r w:rsidRPr="00A25B99">
              <w:rPr>
                <w:sz w:val="17"/>
                <w:szCs w:val="17"/>
              </w:rPr>
              <w:t>Competitive, national</w:t>
            </w:r>
            <w:r w:rsidR="005E5682">
              <w:rPr>
                <w:sz w:val="17"/>
                <w:szCs w:val="17"/>
              </w:rPr>
              <w:t xml:space="preserve"> </w:t>
            </w:r>
            <w:r w:rsidRPr="00A25B99">
              <w:rPr>
                <w:sz w:val="17"/>
                <w:szCs w:val="17"/>
              </w:rPr>
              <w:t>tender</w:t>
            </w:r>
          </w:p>
        </w:tc>
        <w:tc>
          <w:tcPr>
            <w:tcW w:w="1193" w:type="dxa"/>
            <w:tcBorders>
              <w:bottom w:val="single" w:sz="4" w:space="0" w:color="auto"/>
            </w:tcBorders>
            <w:vAlign w:val="center"/>
          </w:tcPr>
          <w:p w:rsidR="00A25B99" w:rsidRPr="00A25B99" w:rsidRDefault="00A25B99" w:rsidP="00A25B99">
            <w:pPr>
              <w:pStyle w:val="HIPTabletext"/>
              <w:ind w:left="58" w:right="64"/>
              <w:jc w:val="left"/>
              <w:rPr>
                <w:sz w:val="17"/>
                <w:szCs w:val="17"/>
                <w:lang w:val="en-US"/>
              </w:rPr>
            </w:pPr>
            <w:r w:rsidRPr="00A25B99">
              <w:rPr>
                <w:sz w:val="17"/>
                <w:szCs w:val="17"/>
                <w:lang w:val="en-US"/>
              </w:rPr>
              <w:t>Access to ICTs (voice + Internet) by Schools</w:t>
            </w:r>
          </w:p>
        </w:tc>
        <w:tc>
          <w:tcPr>
            <w:tcW w:w="1112" w:type="dxa"/>
            <w:tcBorders>
              <w:bottom w:val="single" w:sz="4" w:space="0" w:color="auto"/>
            </w:tcBorders>
            <w:vAlign w:val="center"/>
          </w:tcPr>
          <w:p w:rsidR="00A25B99" w:rsidRPr="00A25B99" w:rsidRDefault="00A25B99" w:rsidP="00A25B99">
            <w:pPr>
              <w:pStyle w:val="HIPTabletext"/>
              <w:ind w:left="58" w:right="64"/>
              <w:jc w:val="left"/>
              <w:rPr>
                <w:sz w:val="17"/>
                <w:szCs w:val="17"/>
              </w:rPr>
            </w:pPr>
            <w:r w:rsidRPr="00A25B99">
              <w:rPr>
                <w:sz w:val="17"/>
                <w:szCs w:val="17"/>
              </w:rPr>
              <w:t>…</w:t>
            </w:r>
          </w:p>
        </w:tc>
        <w:tc>
          <w:tcPr>
            <w:tcW w:w="1411" w:type="dxa"/>
            <w:tcBorders>
              <w:bottom w:val="single" w:sz="4" w:space="0" w:color="auto"/>
            </w:tcBorders>
            <w:vAlign w:val="center"/>
          </w:tcPr>
          <w:p w:rsidR="00A25B99" w:rsidRPr="00A25B99" w:rsidRDefault="00A25B99" w:rsidP="00A25B99">
            <w:pPr>
              <w:pStyle w:val="HIPTabletext"/>
              <w:ind w:left="58" w:right="64"/>
              <w:jc w:val="left"/>
              <w:rPr>
                <w:sz w:val="17"/>
                <w:szCs w:val="17"/>
              </w:rPr>
            </w:pPr>
            <w:r w:rsidRPr="00A25B99">
              <w:rPr>
                <w:sz w:val="17"/>
                <w:szCs w:val="17"/>
              </w:rPr>
              <w:t>USAF only</w:t>
            </w:r>
          </w:p>
        </w:tc>
      </w:tr>
      <w:tr w:rsidR="00A25B99" w:rsidRPr="00D0075D" w:rsidTr="00A25B99">
        <w:trPr>
          <w:jc w:val="center"/>
        </w:trPr>
        <w:tc>
          <w:tcPr>
            <w:tcW w:w="1064" w:type="dxa"/>
            <w:vMerge w:val="restart"/>
            <w:shd w:val="clear" w:color="auto" w:fill="EAF1DD"/>
            <w:vAlign w:val="center"/>
          </w:tcPr>
          <w:p w:rsidR="00A25B99" w:rsidRPr="00A25B99" w:rsidRDefault="00A25B99" w:rsidP="00A25B99">
            <w:pPr>
              <w:pStyle w:val="HIPTabletext"/>
              <w:ind w:left="58" w:right="64"/>
              <w:jc w:val="left"/>
              <w:rPr>
                <w:b/>
                <w:bCs w:val="0"/>
                <w:sz w:val="17"/>
                <w:szCs w:val="17"/>
              </w:rPr>
            </w:pPr>
            <w:r w:rsidRPr="00A25B99">
              <w:rPr>
                <w:b/>
                <w:bCs w:val="0"/>
                <w:sz w:val="17"/>
                <w:szCs w:val="17"/>
              </w:rPr>
              <w:t>Madagascar</w:t>
            </w:r>
          </w:p>
        </w:tc>
        <w:tc>
          <w:tcPr>
            <w:tcW w:w="938" w:type="dxa"/>
            <w:shd w:val="clear" w:color="auto" w:fill="EAF1DD"/>
            <w:vAlign w:val="center"/>
          </w:tcPr>
          <w:p w:rsidR="00A25B99" w:rsidRPr="00A25B99" w:rsidRDefault="00A25B99" w:rsidP="00A25B99">
            <w:pPr>
              <w:pStyle w:val="HIPTabletext"/>
              <w:ind w:left="58" w:right="64"/>
              <w:jc w:val="left"/>
              <w:rPr>
                <w:sz w:val="17"/>
                <w:szCs w:val="17"/>
              </w:rPr>
            </w:pPr>
            <w:smartTag w:uri="urn:schemas-microsoft-com:office:smarttags" w:element="stockticker">
              <w:r w:rsidRPr="00A25B99">
                <w:rPr>
                  <w:sz w:val="17"/>
                  <w:szCs w:val="17"/>
                </w:rPr>
                <w:t>VSAT</w:t>
              </w:r>
            </w:smartTag>
            <w:r w:rsidRPr="00A25B99">
              <w:rPr>
                <w:sz w:val="17"/>
                <w:szCs w:val="17"/>
              </w:rPr>
              <w:t xml:space="preserve"> for Unserved Communi</w:t>
            </w:r>
            <w:r>
              <w:rPr>
                <w:sz w:val="17"/>
                <w:szCs w:val="17"/>
              </w:rPr>
              <w:softHyphen/>
            </w:r>
            <w:r w:rsidRPr="00A25B99">
              <w:rPr>
                <w:sz w:val="17"/>
                <w:szCs w:val="17"/>
              </w:rPr>
              <w:t>ties</w:t>
            </w:r>
          </w:p>
        </w:tc>
        <w:tc>
          <w:tcPr>
            <w:tcW w:w="1122" w:type="dxa"/>
            <w:shd w:val="clear" w:color="auto" w:fill="EAF1DD"/>
            <w:vAlign w:val="center"/>
          </w:tcPr>
          <w:p w:rsidR="00A25B99" w:rsidRPr="00A25B99" w:rsidRDefault="00A25B99" w:rsidP="00A25B99">
            <w:pPr>
              <w:pStyle w:val="HIPTabletext"/>
              <w:ind w:left="58" w:right="64"/>
              <w:jc w:val="center"/>
              <w:rPr>
                <w:sz w:val="17"/>
                <w:szCs w:val="17"/>
              </w:rPr>
            </w:pPr>
            <w:r w:rsidRPr="00A25B99">
              <w:rPr>
                <w:sz w:val="17"/>
                <w:szCs w:val="17"/>
              </w:rPr>
              <w:t>1</w:t>
            </w:r>
          </w:p>
        </w:tc>
        <w:tc>
          <w:tcPr>
            <w:tcW w:w="1109" w:type="dxa"/>
            <w:shd w:val="clear" w:color="auto" w:fill="EAF1DD"/>
            <w:vAlign w:val="center"/>
          </w:tcPr>
          <w:p w:rsidR="00A25B99" w:rsidRPr="00A25B99" w:rsidRDefault="00A25B99" w:rsidP="00A25B99">
            <w:pPr>
              <w:pStyle w:val="HIPTabletext"/>
              <w:ind w:left="58" w:right="64"/>
              <w:jc w:val="left"/>
              <w:rPr>
                <w:sz w:val="17"/>
                <w:szCs w:val="17"/>
              </w:rPr>
            </w:pPr>
            <w:r w:rsidRPr="00A25B99">
              <w:rPr>
                <w:sz w:val="17"/>
                <w:szCs w:val="17"/>
              </w:rPr>
              <w:t>Competitive, least subsidy requested</w:t>
            </w:r>
          </w:p>
        </w:tc>
        <w:tc>
          <w:tcPr>
            <w:tcW w:w="1309" w:type="dxa"/>
            <w:shd w:val="clear" w:color="auto" w:fill="EAF1DD"/>
            <w:vAlign w:val="center"/>
          </w:tcPr>
          <w:p w:rsidR="00A25B99" w:rsidRPr="00A25B99" w:rsidRDefault="00A25B99" w:rsidP="00A25B99">
            <w:pPr>
              <w:pStyle w:val="HIPTabletext"/>
              <w:ind w:left="58" w:right="64"/>
              <w:jc w:val="left"/>
              <w:rPr>
                <w:sz w:val="17"/>
                <w:szCs w:val="17"/>
              </w:rPr>
            </w:pPr>
            <w:r w:rsidRPr="00A25B99">
              <w:rPr>
                <w:sz w:val="17"/>
                <w:szCs w:val="17"/>
              </w:rPr>
              <w:t>Competitive, least subsidy requested</w:t>
            </w:r>
          </w:p>
        </w:tc>
        <w:tc>
          <w:tcPr>
            <w:tcW w:w="1193" w:type="dxa"/>
            <w:shd w:val="clear" w:color="auto" w:fill="EAF1DD"/>
            <w:vAlign w:val="center"/>
          </w:tcPr>
          <w:p w:rsidR="00A25B99" w:rsidRPr="00A25B99" w:rsidRDefault="00A25B99" w:rsidP="00A25B99">
            <w:pPr>
              <w:pStyle w:val="HIPTabletext"/>
              <w:ind w:left="58" w:right="64"/>
              <w:jc w:val="left"/>
              <w:rPr>
                <w:sz w:val="17"/>
                <w:szCs w:val="17"/>
              </w:rPr>
            </w:pPr>
            <w:r w:rsidRPr="00A25B99">
              <w:rPr>
                <w:sz w:val="17"/>
                <w:szCs w:val="17"/>
              </w:rPr>
              <w:t>Public voice access +</w:t>
            </w:r>
            <w:r w:rsidR="005E5682">
              <w:rPr>
                <w:sz w:val="17"/>
                <w:szCs w:val="17"/>
              </w:rPr>
              <w:t xml:space="preserve"> </w:t>
            </w:r>
            <w:r w:rsidRPr="00A25B99">
              <w:rPr>
                <w:sz w:val="17"/>
                <w:szCs w:val="17"/>
              </w:rPr>
              <w:t>Private voice service</w:t>
            </w:r>
          </w:p>
        </w:tc>
        <w:tc>
          <w:tcPr>
            <w:tcW w:w="1112" w:type="dxa"/>
            <w:shd w:val="clear" w:color="auto" w:fill="EAF1DD"/>
            <w:vAlign w:val="center"/>
          </w:tcPr>
          <w:p w:rsidR="00A25B99" w:rsidRPr="00A25B99" w:rsidRDefault="00A25B99" w:rsidP="00A25B99">
            <w:pPr>
              <w:pStyle w:val="HIPTabletext"/>
              <w:ind w:left="58" w:right="64"/>
              <w:jc w:val="left"/>
              <w:rPr>
                <w:sz w:val="17"/>
                <w:szCs w:val="17"/>
              </w:rPr>
            </w:pPr>
            <w:r w:rsidRPr="00A25B99">
              <w:rPr>
                <w:sz w:val="17"/>
                <w:szCs w:val="17"/>
              </w:rPr>
              <w:t>Incumbent fixed operator</w:t>
            </w:r>
          </w:p>
        </w:tc>
        <w:tc>
          <w:tcPr>
            <w:tcW w:w="1411" w:type="dxa"/>
            <w:shd w:val="clear" w:color="auto" w:fill="EAF1DD"/>
            <w:vAlign w:val="center"/>
          </w:tcPr>
          <w:p w:rsidR="00A25B99" w:rsidRPr="00A25B99" w:rsidRDefault="00A25B99" w:rsidP="00A25B99">
            <w:pPr>
              <w:pStyle w:val="HIPTabletext"/>
              <w:ind w:left="58" w:right="64"/>
              <w:jc w:val="left"/>
              <w:rPr>
                <w:sz w:val="17"/>
                <w:szCs w:val="17"/>
              </w:rPr>
            </w:pPr>
            <w:r w:rsidRPr="00A25B99">
              <w:rPr>
                <w:sz w:val="17"/>
                <w:szCs w:val="17"/>
              </w:rPr>
              <w:t>USAF only</w:t>
            </w:r>
          </w:p>
        </w:tc>
      </w:tr>
      <w:tr w:rsidR="00A25B99" w:rsidRPr="00D0075D" w:rsidTr="00A25B99">
        <w:trPr>
          <w:jc w:val="center"/>
        </w:trPr>
        <w:tc>
          <w:tcPr>
            <w:tcW w:w="1064" w:type="dxa"/>
            <w:vMerge/>
            <w:shd w:val="clear" w:color="auto" w:fill="EAF1DD"/>
            <w:vAlign w:val="center"/>
          </w:tcPr>
          <w:p w:rsidR="00A25B99" w:rsidRPr="00A25B99" w:rsidRDefault="00A25B99" w:rsidP="00A25B99">
            <w:pPr>
              <w:pStyle w:val="HIPTabletext"/>
              <w:ind w:left="58" w:right="64"/>
              <w:jc w:val="left"/>
              <w:rPr>
                <w:b/>
                <w:bCs w:val="0"/>
                <w:sz w:val="17"/>
                <w:szCs w:val="17"/>
              </w:rPr>
            </w:pPr>
          </w:p>
        </w:tc>
        <w:tc>
          <w:tcPr>
            <w:tcW w:w="938" w:type="dxa"/>
            <w:shd w:val="clear" w:color="auto" w:fill="EAF1DD"/>
            <w:vAlign w:val="center"/>
          </w:tcPr>
          <w:p w:rsidR="00A25B99" w:rsidRPr="00A25B99" w:rsidRDefault="00A25B99" w:rsidP="00A25B99">
            <w:pPr>
              <w:pStyle w:val="HIPTabletext"/>
              <w:ind w:left="58" w:right="64"/>
              <w:jc w:val="left"/>
              <w:rPr>
                <w:sz w:val="17"/>
                <w:szCs w:val="17"/>
                <w:lang w:val="en-US"/>
              </w:rPr>
            </w:pPr>
            <w:r w:rsidRPr="00A25B99">
              <w:rPr>
                <w:sz w:val="17"/>
                <w:szCs w:val="17"/>
                <w:lang w:val="en-US"/>
              </w:rPr>
              <w:t>Access Regions, Districts and Communes</w:t>
            </w:r>
          </w:p>
        </w:tc>
        <w:tc>
          <w:tcPr>
            <w:tcW w:w="1122" w:type="dxa"/>
            <w:shd w:val="clear" w:color="auto" w:fill="EAF1DD"/>
            <w:vAlign w:val="center"/>
          </w:tcPr>
          <w:p w:rsidR="00A25B99" w:rsidRPr="00A25B99" w:rsidRDefault="00A25B99" w:rsidP="00A25B99">
            <w:pPr>
              <w:pStyle w:val="HIPTabletext"/>
              <w:ind w:left="58" w:right="64"/>
              <w:jc w:val="center"/>
              <w:rPr>
                <w:sz w:val="17"/>
                <w:szCs w:val="17"/>
              </w:rPr>
            </w:pPr>
            <w:r w:rsidRPr="00A25B99">
              <w:rPr>
                <w:sz w:val="17"/>
                <w:szCs w:val="17"/>
              </w:rPr>
              <w:t>1</w:t>
            </w:r>
          </w:p>
        </w:tc>
        <w:tc>
          <w:tcPr>
            <w:tcW w:w="1109" w:type="dxa"/>
            <w:shd w:val="clear" w:color="auto" w:fill="EAF1DD"/>
            <w:vAlign w:val="center"/>
          </w:tcPr>
          <w:p w:rsidR="00A25B99" w:rsidRPr="00A25B99" w:rsidRDefault="00A25B99" w:rsidP="00A25B99">
            <w:pPr>
              <w:pStyle w:val="HIPTabletext"/>
              <w:ind w:left="58" w:right="64"/>
              <w:jc w:val="left"/>
              <w:rPr>
                <w:sz w:val="17"/>
                <w:szCs w:val="17"/>
                <w:lang w:val="en-US"/>
              </w:rPr>
            </w:pPr>
            <w:r w:rsidRPr="00A25B99">
              <w:rPr>
                <w:sz w:val="17"/>
                <w:szCs w:val="17"/>
                <w:lang w:val="en-US"/>
              </w:rPr>
              <w:t>Sole-Sourced Contract between MinCom and Operator</w:t>
            </w:r>
          </w:p>
        </w:tc>
        <w:tc>
          <w:tcPr>
            <w:tcW w:w="1309" w:type="dxa"/>
            <w:shd w:val="clear" w:color="auto" w:fill="EAF1DD"/>
            <w:vAlign w:val="center"/>
          </w:tcPr>
          <w:p w:rsidR="00A25B99" w:rsidRPr="00A25B99" w:rsidRDefault="00A25B99" w:rsidP="00A25B99">
            <w:pPr>
              <w:pStyle w:val="HIPTabletext"/>
              <w:ind w:left="58" w:right="64"/>
              <w:jc w:val="left"/>
              <w:rPr>
                <w:sz w:val="17"/>
                <w:szCs w:val="17"/>
              </w:rPr>
            </w:pPr>
            <w:r w:rsidRPr="00A25B99">
              <w:rPr>
                <w:sz w:val="17"/>
                <w:szCs w:val="17"/>
              </w:rPr>
              <w:t>Negotiations</w:t>
            </w:r>
          </w:p>
        </w:tc>
        <w:tc>
          <w:tcPr>
            <w:tcW w:w="1193" w:type="dxa"/>
            <w:shd w:val="clear" w:color="auto" w:fill="EAF1DD"/>
            <w:vAlign w:val="center"/>
          </w:tcPr>
          <w:p w:rsidR="00A25B99" w:rsidRPr="00A25B99" w:rsidRDefault="00A25B99" w:rsidP="00A25B99">
            <w:pPr>
              <w:pStyle w:val="HIPTabletext"/>
              <w:ind w:left="58" w:right="64"/>
              <w:jc w:val="left"/>
              <w:rPr>
                <w:sz w:val="17"/>
                <w:szCs w:val="17"/>
                <w:lang w:val="en-US"/>
              </w:rPr>
            </w:pPr>
            <w:r w:rsidRPr="00A25B99">
              <w:rPr>
                <w:sz w:val="17"/>
                <w:szCs w:val="17"/>
                <w:lang w:val="en-US"/>
              </w:rPr>
              <w:t>Public access and Private service to voice + Internet</w:t>
            </w:r>
          </w:p>
        </w:tc>
        <w:tc>
          <w:tcPr>
            <w:tcW w:w="1112" w:type="dxa"/>
            <w:shd w:val="clear" w:color="auto" w:fill="EAF1DD"/>
            <w:vAlign w:val="center"/>
          </w:tcPr>
          <w:p w:rsidR="00A25B99" w:rsidRPr="00A25B99" w:rsidRDefault="00A25B99" w:rsidP="00A25B99">
            <w:pPr>
              <w:pStyle w:val="HIPTabletext"/>
              <w:ind w:left="58" w:right="64"/>
              <w:jc w:val="left"/>
              <w:rPr>
                <w:sz w:val="17"/>
                <w:szCs w:val="17"/>
              </w:rPr>
            </w:pPr>
            <w:r w:rsidRPr="00A25B99">
              <w:rPr>
                <w:sz w:val="17"/>
                <w:szCs w:val="17"/>
              </w:rPr>
              <w:t>Selected Operator</w:t>
            </w:r>
          </w:p>
        </w:tc>
        <w:tc>
          <w:tcPr>
            <w:tcW w:w="1411" w:type="dxa"/>
            <w:shd w:val="clear" w:color="auto" w:fill="EAF1DD"/>
            <w:vAlign w:val="center"/>
          </w:tcPr>
          <w:p w:rsidR="00A25B99" w:rsidRPr="00A25B99" w:rsidRDefault="00A25B99" w:rsidP="00A25B99">
            <w:pPr>
              <w:pStyle w:val="HIPTabletext"/>
              <w:ind w:left="58" w:right="64"/>
              <w:jc w:val="left"/>
              <w:rPr>
                <w:sz w:val="17"/>
                <w:szCs w:val="17"/>
              </w:rPr>
            </w:pPr>
            <w:r w:rsidRPr="00A25B99">
              <w:rPr>
                <w:sz w:val="17"/>
                <w:szCs w:val="17"/>
              </w:rPr>
              <w:t>USAF only</w:t>
            </w:r>
          </w:p>
        </w:tc>
      </w:tr>
      <w:tr w:rsidR="00A25B99" w:rsidRPr="00A3379B" w:rsidTr="00A25B99">
        <w:trPr>
          <w:jc w:val="center"/>
        </w:trPr>
        <w:tc>
          <w:tcPr>
            <w:tcW w:w="1064" w:type="dxa"/>
            <w:vMerge w:val="restart"/>
            <w:shd w:val="clear" w:color="auto" w:fill="auto"/>
            <w:vAlign w:val="center"/>
          </w:tcPr>
          <w:p w:rsidR="00A25B99" w:rsidRPr="00A25B99" w:rsidRDefault="00A25B99" w:rsidP="00A25B99">
            <w:pPr>
              <w:pStyle w:val="HIPTabletext"/>
              <w:ind w:left="58" w:right="64"/>
              <w:jc w:val="left"/>
              <w:rPr>
                <w:b/>
                <w:bCs w:val="0"/>
                <w:sz w:val="17"/>
                <w:szCs w:val="17"/>
              </w:rPr>
            </w:pPr>
            <w:r w:rsidRPr="00A25B99">
              <w:rPr>
                <w:b/>
                <w:bCs w:val="0"/>
                <w:sz w:val="17"/>
                <w:szCs w:val="17"/>
              </w:rPr>
              <w:t>Nigeria</w:t>
            </w:r>
          </w:p>
        </w:tc>
        <w:tc>
          <w:tcPr>
            <w:tcW w:w="938" w:type="dxa"/>
            <w:vAlign w:val="center"/>
          </w:tcPr>
          <w:p w:rsidR="00A25B99" w:rsidRPr="00A25B99" w:rsidRDefault="00A25B99" w:rsidP="00A25B99">
            <w:pPr>
              <w:pStyle w:val="HIPTabletext"/>
              <w:ind w:left="58" w:right="64"/>
              <w:jc w:val="left"/>
              <w:rPr>
                <w:sz w:val="17"/>
                <w:szCs w:val="17"/>
                <w:lang w:val="en-US"/>
              </w:rPr>
            </w:pPr>
            <w:r w:rsidRPr="00A25B99">
              <w:rPr>
                <w:sz w:val="17"/>
                <w:szCs w:val="17"/>
                <w:lang w:val="en-US"/>
              </w:rPr>
              <w:t>School Access Pro</w:t>
            </w:r>
            <w:r>
              <w:rPr>
                <w:sz w:val="17"/>
                <w:szCs w:val="17"/>
                <w:lang w:val="en-US"/>
              </w:rPr>
              <w:softHyphen/>
            </w:r>
            <w:r w:rsidRPr="00A25B99">
              <w:rPr>
                <w:sz w:val="17"/>
                <w:szCs w:val="17"/>
                <w:lang w:val="en-US"/>
              </w:rPr>
              <w:t>gramme (Secondary Schools)</w:t>
            </w:r>
          </w:p>
        </w:tc>
        <w:tc>
          <w:tcPr>
            <w:tcW w:w="1122" w:type="dxa"/>
            <w:vAlign w:val="center"/>
          </w:tcPr>
          <w:p w:rsidR="00A25B99" w:rsidRPr="00A25B99" w:rsidRDefault="00A25B99" w:rsidP="00A25B99">
            <w:pPr>
              <w:pStyle w:val="HIPTabletext"/>
              <w:ind w:left="58" w:right="64"/>
              <w:jc w:val="center"/>
              <w:rPr>
                <w:sz w:val="17"/>
                <w:szCs w:val="17"/>
              </w:rPr>
            </w:pPr>
            <w:r w:rsidRPr="00A25B99">
              <w:rPr>
                <w:sz w:val="17"/>
                <w:szCs w:val="17"/>
              </w:rPr>
              <w:t>1</w:t>
            </w:r>
          </w:p>
        </w:tc>
        <w:tc>
          <w:tcPr>
            <w:tcW w:w="1109" w:type="dxa"/>
            <w:vAlign w:val="center"/>
          </w:tcPr>
          <w:p w:rsidR="00A25B99" w:rsidRPr="00A25B99" w:rsidRDefault="00A25B99" w:rsidP="00A25B99">
            <w:pPr>
              <w:pStyle w:val="HIPTabletext"/>
              <w:ind w:left="58" w:right="64"/>
              <w:jc w:val="left"/>
              <w:rPr>
                <w:sz w:val="17"/>
                <w:szCs w:val="17"/>
                <w:lang w:val="en-US"/>
              </w:rPr>
            </w:pPr>
            <w:r w:rsidRPr="00A25B99">
              <w:rPr>
                <w:sz w:val="17"/>
                <w:szCs w:val="17"/>
                <w:lang w:val="en-US"/>
              </w:rPr>
              <w:t>Competitive, combination quality and cost selection</w:t>
            </w:r>
          </w:p>
        </w:tc>
        <w:tc>
          <w:tcPr>
            <w:tcW w:w="1309" w:type="dxa"/>
            <w:vAlign w:val="center"/>
          </w:tcPr>
          <w:p w:rsidR="00A25B99" w:rsidRPr="00A25B99" w:rsidRDefault="00A25B99" w:rsidP="00A25B99">
            <w:pPr>
              <w:pStyle w:val="HIPTabletext"/>
              <w:ind w:left="58" w:right="64"/>
              <w:jc w:val="left"/>
              <w:rPr>
                <w:sz w:val="17"/>
                <w:szCs w:val="17"/>
                <w:lang w:val="en-US"/>
              </w:rPr>
            </w:pPr>
            <w:r w:rsidRPr="00A25B99">
              <w:rPr>
                <w:sz w:val="17"/>
                <w:szCs w:val="17"/>
                <w:lang w:val="en-US"/>
              </w:rPr>
              <w:t>Competitive, subsidy requested by selected candidate</w:t>
            </w:r>
          </w:p>
        </w:tc>
        <w:tc>
          <w:tcPr>
            <w:tcW w:w="1193" w:type="dxa"/>
            <w:vAlign w:val="center"/>
          </w:tcPr>
          <w:p w:rsidR="00A25B99" w:rsidRPr="00A25B99" w:rsidRDefault="00A25B99" w:rsidP="00A25B99">
            <w:pPr>
              <w:pStyle w:val="HIPTabletext"/>
              <w:ind w:left="58" w:right="64"/>
              <w:jc w:val="left"/>
              <w:rPr>
                <w:sz w:val="17"/>
                <w:szCs w:val="17"/>
                <w:lang w:val="en-US"/>
              </w:rPr>
            </w:pPr>
            <w:r w:rsidRPr="00A25B99">
              <w:rPr>
                <w:sz w:val="17"/>
                <w:szCs w:val="17"/>
                <w:lang w:val="en-US"/>
              </w:rPr>
              <w:t>Access to Internet by Schools</w:t>
            </w:r>
          </w:p>
        </w:tc>
        <w:tc>
          <w:tcPr>
            <w:tcW w:w="1112" w:type="dxa"/>
            <w:vAlign w:val="center"/>
          </w:tcPr>
          <w:p w:rsidR="00A25B99" w:rsidRPr="00A25B99" w:rsidRDefault="00A25B99" w:rsidP="00A25B99">
            <w:pPr>
              <w:pStyle w:val="HIPTabletext"/>
              <w:ind w:left="58" w:right="64"/>
              <w:jc w:val="left"/>
              <w:rPr>
                <w:sz w:val="17"/>
                <w:szCs w:val="17"/>
              </w:rPr>
            </w:pPr>
            <w:r w:rsidRPr="00A25B99">
              <w:rPr>
                <w:sz w:val="17"/>
                <w:szCs w:val="17"/>
              </w:rPr>
              <w:t>Schools</w:t>
            </w:r>
          </w:p>
        </w:tc>
        <w:tc>
          <w:tcPr>
            <w:tcW w:w="1411" w:type="dxa"/>
            <w:vAlign w:val="center"/>
          </w:tcPr>
          <w:p w:rsidR="00A25B99" w:rsidRPr="00A25B99" w:rsidRDefault="00A25B99" w:rsidP="00A25B99">
            <w:pPr>
              <w:pStyle w:val="HIPTabletext"/>
              <w:ind w:left="58" w:right="64"/>
              <w:jc w:val="left"/>
              <w:rPr>
                <w:sz w:val="17"/>
                <w:szCs w:val="17"/>
                <w:lang w:val="en-US"/>
              </w:rPr>
            </w:pPr>
            <w:r w:rsidRPr="00A25B99">
              <w:rPr>
                <w:sz w:val="17"/>
                <w:szCs w:val="17"/>
                <w:lang w:val="en-US"/>
              </w:rPr>
              <w:t>USAF + Intel Corporation</w:t>
            </w:r>
          </w:p>
          <w:p w:rsidR="00A25B99" w:rsidRPr="00A25B99" w:rsidRDefault="00A25B99" w:rsidP="00A25B99">
            <w:pPr>
              <w:pStyle w:val="HIPTabletext"/>
              <w:ind w:left="58" w:right="64"/>
              <w:jc w:val="left"/>
              <w:rPr>
                <w:sz w:val="17"/>
                <w:szCs w:val="17"/>
                <w:lang w:val="en-US"/>
              </w:rPr>
            </w:pPr>
            <w:r w:rsidRPr="00A25B99">
              <w:rPr>
                <w:sz w:val="17"/>
                <w:szCs w:val="17"/>
                <w:lang w:val="en-US"/>
              </w:rPr>
              <w:t>(in kind training)</w:t>
            </w:r>
          </w:p>
        </w:tc>
      </w:tr>
      <w:tr w:rsidR="00A25B99" w:rsidRPr="00D0075D" w:rsidTr="00A25B99">
        <w:trPr>
          <w:jc w:val="center"/>
        </w:trPr>
        <w:tc>
          <w:tcPr>
            <w:tcW w:w="1064" w:type="dxa"/>
            <w:vMerge/>
            <w:shd w:val="clear" w:color="auto" w:fill="auto"/>
            <w:vAlign w:val="center"/>
          </w:tcPr>
          <w:p w:rsidR="00A25B99" w:rsidRPr="00A25B99" w:rsidRDefault="00A25B99" w:rsidP="00A25B99">
            <w:pPr>
              <w:pStyle w:val="HIPTabletext"/>
              <w:ind w:left="58" w:right="64"/>
              <w:jc w:val="left"/>
              <w:rPr>
                <w:b/>
                <w:bCs w:val="0"/>
                <w:sz w:val="17"/>
                <w:szCs w:val="17"/>
                <w:lang w:val="en-US"/>
              </w:rPr>
            </w:pPr>
          </w:p>
        </w:tc>
        <w:tc>
          <w:tcPr>
            <w:tcW w:w="938" w:type="dxa"/>
            <w:vAlign w:val="center"/>
          </w:tcPr>
          <w:p w:rsidR="00A25B99" w:rsidRPr="00A25B99" w:rsidRDefault="00A25B99" w:rsidP="00A25B99">
            <w:pPr>
              <w:pStyle w:val="HIPTabletext"/>
              <w:ind w:left="58" w:right="64"/>
              <w:jc w:val="left"/>
              <w:rPr>
                <w:sz w:val="17"/>
                <w:szCs w:val="17"/>
                <w:lang w:val="en-US"/>
              </w:rPr>
            </w:pPr>
            <w:r w:rsidRPr="00A25B99">
              <w:rPr>
                <w:sz w:val="17"/>
                <w:szCs w:val="17"/>
                <w:lang w:val="en-US"/>
              </w:rPr>
              <w:t>School Access Pro</w:t>
            </w:r>
            <w:r>
              <w:rPr>
                <w:sz w:val="17"/>
                <w:szCs w:val="17"/>
                <w:lang w:val="en-US"/>
              </w:rPr>
              <w:softHyphen/>
            </w:r>
            <w:r w:rsidRPr="00A25B99">
              <w:rPr>
                <w:sz w:val="17"/>
                <w:szCs w:val="17"/>
                <w:lang w:val="en-US"/>
              </w:rPr>
              <w:t>gramme</w:t>
            </w:r>
          </w:p>
          <w:p w:rsidR="00A25B99" w:rsidRPr="00A25B99" w:rsidRDefault="00A25B99" w:rsidP="00A25B99">
            <w:pPr>
              <w:pStyle w:val="HIPTabletext"/>
              <w:ind w:left="58" w:right="64"/>
              <w:jc w:val="left"/>
              <w:rPr>
                <w:sz w:val="17"/>
                <w:szCs w:val="17"/>
                <w:lang w:val="en-US"/>
              </w:rPr>
            </w:pPr>
            <w:r w:rsidRPr="00A25B99">
              <w:rPr>
                <w:sz w:val="17"/>
                <w:szCs w:val="17"/>
                <w:lang w:val="en-US"/>
              </w:rPr>
              <w:t>(Tertiary Schools)</w:t>
            </w:r>
          </w:p>
        </w:tc>
        <w:tc>
          <w:tcPr>
            <w:tcW w:w="1122" w:type="dxa"/>
            <w:vAlign w:val="center"/>
          </w:tcPr>
          <w:p w:rsidR="00A25B99" w:rsidRPr="00A25B99" w:rsidRDefault="00A25B99" w:rsidP="00A25B99">
            <w:pPr>
              <w:pStyle w:val="HIPTabletext"/>
              <w:ind w:left="58" w:right="64"/>
              <w:jc w:val="center"/>
              <w:rPr>
                <w:sz w:val="17"/>
                <w:szCs w:val="17"/>
              </w:rPr>
            </w:pPr>
            <w:r w:rsidRPr="00A25B99">
              <w:rPr>
                <w:sz w:val="17"/>
                <w:szCs w:val="17"/>
              </w:rPr>
              <w:t>1</w:t>
            </w:r>
          </w:p>
        </w:tc>
        <w:tc>
          <w:tcPr>
            <w:tcW w:w="1109" w:type="dxa"/>
            <w:vAlign w:val="center"/>
          </w:tcPr>
          <w:p w:rsidR="00A25B99" w:rsidRPr="00A25B99" w:rsidRDefault="00A25B99" w:rsidP="00A25B99">
            <w:pPr>
              <w:pStyle w:val="HIPTabletext"/>
              <w:ind w:left="58" w:right="64"/>
              <w:jc w:val="left"/>
              <w:rPr>
                <w:sz w:val="17"/>
                <w:szCs w:val="17"/>
                <w:lang w:val="en-US"/>
              </w:rPr>
            </w:pPr>
            <w:r w:rsidRPr="00A25B99">
              <w:rPr>
                <w:sz w:val="17"/>
                <w:szCs w:val="17"/>
                <w:lang w:val="en-US"/>
              </w:rPr>
              <w:t>Competitive, combination quality and cost selection</w:t>
            </w:r>
          </w:p>
        </w:tc>
        <w:tc>
          <w:tcPr>
            <w:tcW w:w="1309" w:type="dxa"/>
            <w:vAlign w:val="center"/>
          </w:tcPr>
          <w:p w:rsidR="00A25B99" w:rsidRPr="00A25B99" w:rsidRDefault="00A25B99" w:rsidP="00A25B99">
            <w:pPr>
              <w:pStyle w:val="HIPTabletext"/>
              <w:ind w:left="58" w:right="64"/>
              <w:jc w:val="left"/>
              <w:rPr>
                <w:sz w:val="17"/>
                <w:szCs w:val="17"/>
                <w:lang w:val="en-US"/>
              </w:rPr>
            </w:pPr>
            <w:r w:rsidRPr="00A25B99">
              <w:rPr>
                <w:sz w:val="17"/>
                <w:szCs w:val="17"/>
                <w:lang w:val="en-US"/>
              </w:rPr>
              <w:t>Competitive, subsidy requested by selected candidate</w:t>
            </w:r>
          </w:p>
        </w:tc>
        <w:tc>
          <w:tcPr>
            <w:tcW w:w="1193" w:type="dxa"/>
            <w:vAlign w:val="center"/>
          </w:tcPr>
          <w:p w:rsidR="00A25B99" w:rsidRPr="00A25B99" w:rsidRDefault="00A25B99" w:rsidP="00A25B99">
            <w:pPr>
              <w:pStyle w:val="HIPTabletext"/>
              <w:ind w:left="58" w:right="64"/>
              <w:jc w:val="left"/>
              <w:rPr>
                <w:sz w:val="17"/>
                <w:szCs w:val="17"/>
                <w:lang w:val="en-US"/>
              </w:rPr>
            </w:pPr>
            <w:r w:rsidRPr="00A25B99">
              <w:rPr>
                <w:sz w:val="17"/>
                <w:szCs w:val="17"/>
                <w:lang w:val="en-US"/>
              </w:rPr>
              <w:t>Access to Internet by Schools</w:t>
            </w:r>
          </w:p>
        </w:tc>
        <w:tc>
          <w:tcPr>
            <w:tcW w:w="1112" w:type="dxa"/>
            <w:vAlign w:val="center"/>
          </w:tcPr>
          <w:p w:rsidR="00A25B99" w:rsidRPr="00A25B99" w:rsidRDefault="00A25B99" w:rsidP="00A25B99">
            <w:pPr>
              <w:pStyle w:val="HIPTabletext"/>
              <w:ind w:left="58" w:right="64"/>
              <w:jc w:val="left"/>
              <w:rPr>
                <w:sz w:val="17"/>
                <w:szCs w:val="17"/>
              </w:rPr>
            </w:pPr>
            <w:r w:rsidRPr="00A25B99">
              <w:rPr>
                <w:sz w:val="17"/>
                <w:szCs w:val="17"/>
              </w:rPr>
              <w:t>Schools</w:t>
            </w:r>
          </w:p>
        </w:tc>
        <w:tc>
          <w:tcPr>
            <w:tcW w:w="1411" w:type="dxa"/>
            <w:vAlign w:val="center"/>
          </w:tcPr>
          <w:p w:rsidR="00A25B99" w:rsidRPr="00A25B99" w:rsidRDefault="00A25B99" w:rsidP="00A25B99">
            <w:pPr>
              <w:pStyle w:val="HIPTabletext"/>
              <w:ind w:left="58" w:right="64"/>
              <w:jc w:val="left"/>
              <w:rPr>
                <w:sz w:val="17"/>
                <w:szCs w:val="17"/>
              </w:rPr>
            </w:pPr>
            <w:r w:rsidRPr="00A25B99">
              <w:rPr>
                <w:sz w:val="17"/>
                <w:szCs w:val="17"/>
              </w:rPr>
              <w:t>USAF only</w:t>
            </w:r>
          </w:p>
        </w:tc>
      </w:tr>
      <w:tr w:rsidR="00A25B99" w:rsidRPr="00D0075D" w:rsidTr="00A25B99">
        <w:trPr>
          <w:jc w:val="center"/>
        </w:trPr>
        <w:tc>
          <w:tcPr>
            <w:tcW w:w="1064" w:type="dxa"/>
            <w:vMerge/>
            <w:shd w:val="clear" w:color="auto" w:fill="auto"/>
            <w:vAlign w:val="center"/>
          </w:tcPr>
          <w:p w:rsidR="00A25B99" w:rsidRPr="00A25B99" w:rsidRDefault="00A25B99" w:rsidP="00A25B99">
            <w:pPr>
              <w:pStyle w:val="HIPTabletext"/>
              <w:ind w:left="58" w:right="64"/>
              <w:jc w:val="left"/>
              <w:rPr>
                <w:b/>
                <w:bCs w:val="0"/>
                <w:sz w:val="17"/>
                <w:szCs w:val="17"/>
              </w:rPr>
            </w:pPr>
          </w:p>
        </w:tc>
        <w:tc>
          <w:tcPr>
            <w:tcW w:w="938" w:type="dxa"/>
            <w:vAlign w:val="center"/>
          </w:tcPr>
          <w:p w:rsidR="00A25B99" w:rsidRPr="00A25B99" w:rsidRDefault="00A25B99" w:rsidP="00A25B99">
            <w:pPr>
              <w:pStyle w:val="HIPTabletext"/>
              <w:ind w:left="58" w:right="64"/>
              <w:jc w:val="left"/>
              <w:rPr>
                <w:sz w:val="17"/>
                <w:szCs w:val="17"/>
              </w:rPr>
            </w:pPr>
            <w:r w:rsidRPr="00A25B99">
              <w:rPr>
                <w:sz w:val="17"/>
                <w:szCs w:val="17"/>
              </w:rPr>
              <w:t>Community Communi</w:t>
            </w:r>
            <w:r>
              <w:rPr>
                <w:sz w:val="17"/>
                <w:szCs w:val="17"/>
              </w:rPr>
              <w:softHyphen/>
            </w:r>
            <w:r w:rsidRPr="00A25B99">
              <w:rPr>
                <w:sz w:val="17"/>
                <w:szCs w:val="17"/>
              </w:rPr>
              <w:t>cations Centre (</w:t>
            </w:r>
            <w:smartTag w:uri="urn:schemas-microsoft-com:office:smarttags" w:element="stockticker">
              <w:r w:rsidRPr="00A25B99">
                <w:rPr>
                  <w:sz w:val="17"/>
                  <w:szCs w:val="17"/>
                </w:rPr>
                <w:t>CCC</w:t>
              </w:r>
            </w:smartTag>
            <w:r w:rsidRPr="00A25B99">
              <w:rPr>
                <w:sz w:val="17"/>
                <w:szCs w:val="17"/>
              </w:rPr>
              <w:t>)</w:t>
            </w:r>
          </w:p>
        </w:tc>
        <w:tc>
          <w:tcPr>
            <w:tcW w:w="1122" w:type="dxa"/>
            <w:vAlign w:val="center"/>
          </w:tcPr>
          <w:p w:rsidR="00A25B99" w:rsidRPr="00A25B99" w:rsidRDefault="00A25B99" w:rsidP="00A25B99">
            <w:pPr>
              <w:pStyle w:val="HIPTabletext"/>
              <w:ind w:left="58" w:right="64"/>
              <w:jc w:val="center"/>
              <w:rPr>
                <w:sz w:val="17"/>
                <w:szCs w:val="17"/>
              </w:rPr>
            </w:pPr>
            <w:r w:rsidRPr="00A25B99">
              <w:rPr>
                <w:sz w:val="17"/>
                <w:szCs w:val="17"/>
              </w:rPr>
              <w:t>1</w:t>
            </w:r>
          </w:p>
        </w:tc>
        <w:tc>
          <w:tcPr>
            <w:tcW w:w="1109" w:type="dxa"/>
            <w:vAlign w:val="center"/>
          </w:tcPr>
          <w:p w:rsidR="00A25B99" w:rsidRPr="00A25B99" w:rsidRDefault="00A25B99" w:rsidP="00A25B99">
            <w:pPr>
              <w:pStyle w:val="HIPTabletext"/>
              <w:ind w:left="58" w:right="64"/>
              <w:jc w:val="left"/>
              <w:rPr>
                <w:sz w:val="17"/>
                <w:szCs w:val="17"/>
              </w:rPr>
            </w:pPr>
            <w:r w:rsidRPr="00A25B99">
              <w:rPr>
                <w:sz w:val="17"/>
                <w:szCs w:val="17"/>
              </w:rPr>
              <w:t>Competitive, least subsidy requested</w:t>
            </w:r>
          </w:p>
        </w:tc>
        <w:tc>
          <w:tcPr>
            <w:tcW w:w="1309" w:type="dxa"/>
            <w:vAlign w:val="center"/>
          </w:tcPr>
          <w:p w:rsidR="00A25B99" w:rsidRPr="00A25B99" w:rsidRDefault="00A25B99" w:rsidP="00A25B99">
            <w:pPr>
              <w:pStyle w:val="HIPTabletext"/>
              <w:ind w:left="58" w:right="64"/>
              <w:jc w:val="left"/>
              <w:rPr>
                <w:sz w:val="17"/>
                <w:szCs w:val="17"/>
                <w:lang w:val="en-US"/>
              </w:rPr>
            </w:pPr>
            <w:r w:rsidRPr="00A25B99">
              <w:rPr>
                <w:sz w:val="17"/>
                <w:szCs w:val="17"/>
                <w:lang w:val="en-US"/>
              </w:rPr>
              <w:t>Competitive, subsidy requested by selected candidate</w:t>
            </w:r>
          </w:p>
        </w:tc>
        <w:tc>
          <w:tcPr>
            <w:tcW w:w="1193" w:type="dxa"/>
            <w:vAlign w:val="center"/>
          </w:tcPr>
          <w:p w:rsidR="00A25B99" w:rsidRPr="00A25B99" w:rsidRDefault="00A25B99" w:rsidP="00A25B99">
            <w:pPr>
              <w:pStyle w:val="HIPTabletext"/>
              <w:ind w:left="58" w:right="64"/>
              <w:jc w:val="left"/>
              <w:rPr>
                <w:sz w:val="17"/>
                <w:szCs w:val="17"/>
              </w:rPr>
            </w:pPr>
            <w:r w:rsidRPr="00A25B99">
              <w:rPr>
                <w:sz w:val="17"/>
                <w:szCs w:val="17"/>
              </w:rPr>
              <w:t>Public access voice + Internet</w:t>
            </w:r>
          </w:p>
        </w:tc>
        <w:tc>
          <w:tcPr>
            <w:tcW w:w="1112" w:type="dxa"/>
            <w:vAlign w:val="center"/>
          </w:tcPr>
          <w:p w:rsidR="00A25B99" w:rsidRPr="00A25B99" w:rsidRDefault="00A25B99" w:rsidP="00A25B99">
            <w:pPr>
              <w:pStyle w:val="HIPTabletext"/>
              <w:ind w:left="58" w:right="64"/>
              <w:jc w:val="left"/>
              <w:rPr>
                <w:sz w:val="17"/>
                <w:szCs w:val="17"/>
              </w:rPr>
            </w:pPr>
            <w:r w:rsidRPr="00A25B99">
              <w:rPr>
                <w:sz w:val="17"/>
                <w:szCs w:val="17"/>
              </w:rPr>
              <w:t>Cybercafé Operators</w:t>
            </w:r>
          </w:p>
        </w:tc>
        <w:tc>
          <w:tcPr>
            <w:tcW w:w="1411" w:type="dxa"/>
            <w:vAlign w:val="center"/>
          </w:tcPr>
          <w:p w:rsidR="00A25B99" w:rsidRPr="00A25B99" w:rsidRDefault="00A25B99" w:rsidP="00A25B99">
            <w:pPr>
              <w:pStyle w:val="HIPTabletext"/>
              <w:ind w:left="58" w:right="64"/>
              <w:jc w:val="left"/>
              <w:rPr>
                <w:sz w:val="17"/>
                <w:szCs w:val="17"/>
              </w:rPr>
            </w:pPr>
            <w:r w:rsidRPr="00A25B99">
              <w:rPr>
                <w:sz w:val="17"/>
                <w:szCs w:val="17"/>
              </w:rPr>
              <w:t>USAF only</w:t>
            </w:r>
          </w:p>
        </w:tc>
      </w:tr>
      <w:tr w:rsidR="00A25B99" w:rsidRPr="00D0075D" w:rsidTr="00A25B99">
        <w:trPr>
          <w:jc w:val="center"/>
        </w:trPr>
        <w:tc>
          <w:tcPr>
            <w:tcW w:w="1064" w:type="dxa"/>
            <w:vMerge/>
            <w:shd w:val="clear" w:color="auto" w:fill="auto"/>
            <w:vAlign w:val="center"/>
          </w:tcPr>
          <w:p w:rsidR="00A25B99" w:rsidRPr="00A25B99" w:rsidRDefault="00A25B99" w:rsidP="00A25B99">
            <w:pPr>
              <w:pStyle w:val="HIPTabletext"/>
              <w:ind w:left="58" w:right="64"/>
              <w:jc w:val="left"/>
              <w:rPr>
                <w:b/>
                <w:bCs w:val="0"/>
                <w:sz w:val="17"/>
                <w:szCs w:val="17"/>
              </w:rPr>
            </w:pPr>
          </w:p>
        </w:tc>
        <w:tc>
          <w:tcPr>
            <w:tcW w:w="938" w:type="dxa"/>
            <w:vAlign w:val="center"/>
          </w:tcPr>
          <w:p w:rsidR="00A25B99" w:rsidRPr="00A25B99" w:rsidRDefault="00A25B99" w:rsidP="00A25B99">
            <w:pPr>
              <w:pStyle w:val="HIPTabletext"/>
              <w:ind w:left="58" w:right="64"/>
              <w:jc w:val="left"/>
              <w:rPr>
                <w:sz w:val="17"/>
                <w:szCs w:val="17"/>
              </w:rPr>
            </w:pPr>
            <w:r w:rsidRPr="00A25B99">
              <w:rPr>
                <w:sz w:val="17"/>
                <w:szCs w:val="17"/>
              </w:rPr>
              <w:t>Accelera</w:t>
            </w:r>
            <w:r>
              <w:rPr>
                <w:sz w:val="17"/>
                <w:szCs w:val="17"/>
              </w:rPr>
              <w:softHyphen/>
            </w:r>
            <w:r w:rsidRPr="00A25B99">
              <w:rPr>
                <w:sz w:val="17"/>
                <w:szCs w:val="17"/>
              </w:rPr>
              <w:t>ted Mobile Phone Ex</w:t>
            </w:r>
            <w:r>
              <w:rPr>
                <w:sz w:val="17"/>
                <w:szCs w:val="17"/>
              </w:rPr>
              <w:softHyphen/>
            </w:r>
            <w:r w:rsidRPr="00A25B99">
              <w:rPr>
                <w:sz w:val="17"/>
                <w:szCs w:val="17"/>
              </w:rPr>
              <w:t>pansion (BTS)</w:t>
            </w:r>
          </w:p>
        </w:tc>
        <w:tc>
          <w:tcPr>
            <w:tcW w:w="1122" w:type="dxa"/>
            <w:vAlign w:val="center"/>
          </w:tcPr>
          <w:p w:rsidR="00A25B99" w:rsidRPr="00A25B99" w:rsidRDefault="00A25B99" w:rsidP="00A25B99">
            <w:pPr>
              <w:pStyle w:val="HIPTabletext"/>
              <w:ind w:left="58" w:right="64"/>
              <w:jc w:val="center"/>
              <w:rPr>
                <w:sz w:val="17"/>
                <w:szCs w:val="17"/>
              </w:rPr>
            </w:pPr>
            <w:r w:rsidRPr="00A25B99">
              <w:rPr>
                <w:sz w:val="17"/>
                <w:szCs w:val="17"/>
              </w:rPr>
              <w:t>1</w:t>
            </w:r>
          </w:p>
        </w:tc>
        <w:tc>
          <w:tcPr>
            <w:tcW w:w="1109" w:type="dxa"/>
            <w:vAlign w:val="center"/>
          </w:tcPr>
          <w:p w:rsidR="00A25B99" w:rsidRPr="00A25B99" w:rsidRDefault="00A25B99" w:rsidP="00A25B99">
            <w:pPr>
              <w:pStyle w:val="HIPTabletext"/>
              <w:ind w:left="58" w:right="64"/>
              <w:jc w:val="left"/>
              <w:rPr>
                <w:sz w:val="17"/>
                <w:szCs w:val="17"/>
                <w:lang w:val="en-US"/>
              </w:rPr>
            </w:pPr>
            <w:r w:rsidRPr="00A25B99">
              <w:rPr>
                <w:sz w:val="17"/>
                <w:szCs w:val="17"/>
                <w:lang w:val="en-US"/>
              </w:rPr>
              <w:t>Proposal by eligible candidates &amp; evaluation by USPF Sole-Sourced Contract between MinCom and Operator</w:t>
            </w:r>
          </w:p>
        </w:tc>
        <w:tc>
          <w:tcPr>
            <w:tcW w:w="1309" w:type="dxa"/>
            <w:vAlign w:val="center"/>
          </w:tcPr>
          <w:p w:rsidR="00A25B99" w:rsidRPr="00A25B99" w:rsidRDefault="00A25B99" w:rsidP="00A25B99">
            <w:pPr>
              <w:pStyle w:val="HIPTabletext"/>
              <w:ind w:left="58" w:right="64"/>
              <w:jc w:val="left"/>
              <w:rPr>
                <w:sz w:val="17"/>
                <w:szCs w:val="17"/>
                <w:lang w:val="en-US"/>
              </w:rPr>
            </w:pPr>
            <w:r w:rsidRPr="00A25B99">
              <w:rPr>
                <w:sz w:val="17"/>
                <w:szCs w:val="17"/>
                <w:lang w:val="en-US"/>
              </w:rPr>
              <w:t>Same subsidy level set by USPF for eligible candidates</w:t>
            </w:r>
          </w:p>
        </w:tc>
        <w:tc>
          <w:tcPr>
            <w:tcW w:w="1193" w:type="dxa"/>
            <w:vAlign w:val="center"/>
          </w:tcPr>
          <w:p w:rsidR="00A25B99" w:rsidRPr="00A25B99" w:rsidRDefault="00A25B99" w:rsidP="00A25B99">
            <w:pPr>
              <w:pStyle w:val="HIPTabletext"/>
              <w:ind w:left="58" w:right="64"/>
              <w:jc w:val="left"/>
              <w:rPr>
                <w:sz w:val="17"/>
                <w:szCs w:val="17"/>
              </w:rPr>
            </w:pPr>
            <w:r w:rsidRPr="00A25B99">
              <w:rPr>
                <w:sz w:val="17"/>
                <w:szCs w:val="17"/>
              </w:rPr>
              <w:t>Public voice and Internet access + Private Internet service</w:t>
            </w:r>
          </w:p>
        </w:tc>
        <w:tc>
          <w:tcPr>
            <w:tcW w:w="1112" w:type="dxa"/>
            <w:vAlign w:val="center"/>
          </w:tcPr>
          <w:p w:rsidR="00A25B99" w:rsidRPr="00A25B99" w:rsidRDefault="00A25B99" w:rsidP="00A25B99">
            <w:pPr>
              <w:pStyle w:val="HIPTabletext"/>
              <w:ind w:left="58" w:right="64"/>
              <w:jc w:val="left"/>
              <w:rPr>
                <w:sz w:val="17"/>
                <w:szCs w:val="17"/>
              </w:rPr>
            </w:pPr>
            <w:r w:rsidRPr="00A25B99">
              <w:rPr>
                <w:sz w:val="17"/>
                <w:szCs w:val="17"/>
              </w:rPr>
              <w:t>All network operators</w:t>
            </w:r>
          </w:p>
        </w:tc>
        <w:tc>
          <w:tcPr>
            <w:tcW w:w="1411" w:type="dxa"/>
            <w:vAlign w:val="center"/>
          </w:tcPr>
          <w:p w:rsidR="00A25B99" w:rsidRPr="00A25B99" w:rsidRDefault="00A25B99" w:rsidP="00A25B99">
            <w:pPr>
              <w:pStyle w:val="HIPTabletext"/>
              <w:ind w:left="58" w:right="64"/>
              <w:jc w:val="left"/>
              <w:rPr>
                <w:sz w:val="17"/>
                <w:szCs w:val="17"/>
              </w:rPr>
            </w:pPr>
            <w:r w:rsidRPr="00A25B99">
              <w:rPr>
                <w:sz w:val="17"/>
                <w:szCs w:val="17"/>
              </w:rPr>
              <w:t>USAF only</w:t>
            </w:r>
          </w:p>
        </w:tc>
      </w:tr>
      <w:tr w:rsidR="00A25B99" w:rsidRPr="00D0075D" w:rsidTr="00A25B99">
        <w:trPr>
          <w:jc w:val="center"/>
        </w:trPr>
        <w:tc>
          <w:tcPr>
            <w:tcW w:w="1064" w:type="dxa"/>
            <w:vMerge/>
            <w:tcBorders>
              <w:bottom w:val="single" w:sz="4" w:space="0" w:color="auto"/>
            </w:tcBorders>
            <w:shd w:val="clear" w:color="auto" w:fill="auto"/>
            <w:vAlign w:val="center"/>
          </w:tcPr>
          <w:p w:rsidR="00A25B99" w:rsidRPr="00A25B99" w:rsidRDefault="00A25B99" w:rsidP="00A25B99">
            <w:pPr>
              <w:pStyle w:val="HIPTabletext"/>
              <w:ind w:left="58" w:right="64"/>
              <w:jc w:val="left"/>
              <w:rPr>
                <w:b/>
                <w:bCs w:val="0"/>
                <w:sz w:val="17"/>
                <w:szCs w:val="17"/>
              </w:rPr>
            </w:pPr>
          </w:p>
        </w:tc>
        <w:tc>
          <w:tcPr>
            <w:tcW w:w="938" w:type="dxa"/>
            <w:tcBorders>
              <w:bottom w:val="single" w:sz="4" w:space="0" w:color="auto"/>
            </w:tcBorders>
            <w:vAlign w:val="center"/>
          </w:tcPr>
          <w:p w:rsidR="00A25B99" w:rsidRPr="00A25B99" w:rsidRDefault="00A25B99" w:rsidP="00A25B99">
            <w:pPr>
              <w:pStyle w:val="HIPTabletext"/>
              <w:ind w:left="58" w:right="64"/>
              <w:jc w:val="left"/>
              <w:rPr>
                <w:sz w:val="17"/>
                <w:szCs w:val="17"/>
              </w:rPr>
            </w:pPr>
            <w:r w:rsidRPr="00A25B99">
              <w:rPr>
                <w:sz w:val="17"/>
                <w:szCs w:val="17"/>
              </w:rPr>
              <w:t>Research Studies / Surveys</w:t>
            </w:r>
          </w:p>
        </w:tc>
        <w:tc>
          <w:tcPr>
            <w:tcW w:w="1122" w:type="dxa"/>
            <w:tcBorders>
              <w:bottom w:val="single" w:sz="4" w:space="0" w:color="auto"/>
            </w:tcBorders>
            <w:vAlign w:val="center"/>
          </w:tcPr>
          <w:p w:rsidR="00A25B99" w:rsidRPr="00A25B99" w:rsidRDefault="00A25B99" w:rsidP="00A25B99">
            <w:pPr>
              <w:pStyle w:val="HIPTabletext"/>
              <w:ind w:left="58" w:right="64"/>
              <w:jc w:val="center"/>
              <w:rPr>
                <w:sz w:val="17"/>
                <w:szCs w:val="17"/>
              </w:rPr>
            </w:pPr>
            <w:r w:rsidRPr="00A25B99">
              <w:rPr>
                <w:sz w:val="17"/>
                <w:szCs w:val="17"/>
              </w:rPr>
              <w:t>1</w:t>
            </w:r>
          </w:p>
        </w:tc>
        <w:tc>
          <w:tcPr>
            <w:tcW w:w="1109" w:type="dxa"/>
            <w:tcBorders>
              <w:bottom w:val="single" w:sz="4" w:space="0" w:color="auto"/>
            </w:tcBorders>
            <w:vAlign w:val="center"/>
          </w:tcPr>
          <w:p w:rsidR="00A25B99" w:rsidRPr="00A25B99" w:rsidRDefault="00A25B99" w:rsidP="00A25B99">
            <w:pPr>
              <w:pStyle w:val="HIPTabletext"/>
              <w:ind w:left="58" w:right="64"/>
              <w:jc w:val="left"/>
              <w:rPr>
                <w:sz w:val="17"/>
                <w:szCs w:val="17"/>
                <w:lang w:val="en-US"/>
              </w:rPr>
            </w:pPr>
            <w:r w:rsidRPr="00A25B99">
              <w:rPr>
                <w:sz w:val="17"/>
                <w:szCs w:val="17"/>
                <w:lang w:val="en-US"/>
              </w:rPr>
              <w:t>Proposal by eligible candidates &amp; evaluation by USPF</w:t>
            </w:r>
          </w:p>
        </w:tc>
        <w:tc>
          <w:tcPr>
            <w:tcW w:w="1309" w:type="dxa"/>
            <w:tcBorders>
              <w:bottom w:val="single" w:sz="4" w:space="0" w:color="auto"/>
            </w:tcBorders>
            <w:vAlign w:val="center"/>
          </w:tcPr>
          <w:p w:rsidR="00A25B99" w:rsidRPr="00A25B99" w:rsidRDefault="00A25B99" w:rsidP="00A25B99">
            <w:pPr>
              <w:pStyle w:val="HIPTabletext"/>
              <w:ind w:left="58" w:right="64"/>
              <w:jc w:val="left"/>
              <w:rPr>
                <w:sz w:val="17"/>
                <w:szCs w:val="17"/>
                <w:lang w:val="en-US"/>
              </w:rPr>
            </w:pPr>
            <w:r w:rsidRPr="00A25B99">
              <w:rPr>
                <w:sz w:val="17"/>
                <w:szCs w:val="17"/>
                <w:lang w:val="en-US"/>
              </w:rPr>
              <w:t>Competitive, subsidy requested by selected candidate</w:t>
            </w:r>
          </w:p>
        </w:tc>
        <w:tc>
          <w:tcPr>
            <w:tcW w:w="1193" w:type="dxa"/>
            <w:tcBorders>
              <w:bottom w:val="single" w:sz="4" w:space="0" w:color="auto"/>
            </w:tcBorders>
            <w:vAlign w:val="center"/>
          </w:tcPr>
          <w:p w:rsidR="00A25B99" w:rsidRPr="00A25B99" w:rsidRDefault="00A25B99" w:rsidP="00A25B99">
            <w:pPr>
              <w:pStyle w:val="HIPTabletext"/>
              <w:ind w:left="58" w:right="64"/>
              <w:jc w:val="left"/>
              <w:rPr>
                <w:sz w:val="17"/>
                <w:szCs w:val="17"/>
              </w:rPr>
            </w:pPr>
            <w:r w:rsidRPr="00A25B99">
              <w:rPr>
                <w:sz w:val="17"/>
                <w:szCs w:val="17"/>
              </w:rPr>
              <w:t>Public voice and Internet access + Private Internet service</w:t>
            </w:r>
          </w:p>
        </w:tc>
        <w:tc>
          <w:tcPr>
            <w:tcW w:w="1112" w:type="dxa"/>
            <w:tcBorders>
              <w:bottom w:val="single" w:sz="4" w:space="0" w:color="auto"/>
            </w:tcBorders>
            <w:vAlign w:val="center"/>
          </w:tcPr>
          <w:p w:rsidR="00A25B99" w:rsidRPr="00A25B99" w:rsidRDefault="00A25B99" w:rsidP="00A25B99">
            <w:pPr>
              <w:pStyle w:val="HIPTabletext"/>
              <w:ind w:left="58" w:right="64"/>
              <w:jc w:val="left"/>
              <w:rPr>
                <w:sz w:val="17"/>
                <w:szCs w:val="17"/>
              </w:rPr>
            </w:pPr>
            <w:r w:rsidRPr="00A25B99">
              <w:rPr>
                <w:sz w:val="17"/>
                <w:szCs w:val="17"/>
              </w:rPr>
              <w:t>All network operators</w:t>
            </w:r>
          </w:p>
        </w:tc>
        <w:tc>
          <w:tcPr>
            <w:tcW w:w="1411" w:type="dxa"/>
            <w:tcBorders>
              <w:bottom w:val="single" w:sz="4" w:space="0" w:color="auto"/>
            </w:tcBorders>
            <w:vAlign w:val="center"/>
          </w:tcPr>
          <w:p w:rsidR="00A25B99" w:rsidRPr="00A25B99" w:rsidRDefault="00A25B99" w:rsidP="00A25B99">
            <w:pPr>
              <w:pStyle w:val="HIPTabletext"/>
              <w:ind w:left="58" w:right="64"/>
              <w:jc w:val="left"/>
              <w:rPr>
                <w:sz w:val="17"/>
                <w:szCs w:val="17"/>
              </w:rPr>
            </w:pPr>
            <w:r w:rsidRPr="00A25B99">
              <w:rPr>
                <w:sz w:val="17"/>
                <w:szCs w:val="17"/>
              </w:rPr>
              <w:t>USAF only</w:t>
            </w:r>
          </w:p>
        </w:tc>
      </w:tr>
      <w:tr w:rsidR="00A25B99" w:rsidRPr="00D0075D" w:rsidTr="00A25B99">
        <w:trPr>
          <w:jc w:val="center"/>
        </w:trPr>
        <w:tc>
          <w:tcPr>
            <w:tcW w:w="1064" w:type="dxa"/>
            <w:vMerge w:val="restart"/>
            <w:shd w:val="clear" w:color="auto" w:fill="EAF1DD"/>
            <w:vAlign w:val="center"/>
          </w:tcPr>
          <w:p w:rsidR="00A25B99" w:rsidRPr="00A25B99" w:rsidRDefault="00A25B99" w:rsidP="00A25B99">
            <w:pPr>
              <w:pStyle w:val="HIPTabletext"/>
              <w:ind w:left="58" w:right="64"/>
              <w:jc w:val="left"/>
              <w:rPr>
                <w:b/>
                <w:bCs w:val="0"/>
                <w:sz w:val="17"/>
                <w:szCs w:val="17"/>
              </w:rPr>
            </w:pPr>
            <w:r w:rsidRPr="00A25B99">
              <w:rPr>
                <w:b/>
                <w:bCs w:val="0"/>
                <w:sz w:val="17"/>
                <w:szCs w:val="17"/>
              </w:rPr>
              <w:t>Rwanda</w:t>
            </w:r>
          </w:p>
        </w:tc>
        <w:tc>
          <w:tcPr>
            <w:tcW w:w="938" w:type="dxa"/>
            <w:shd w:val="clear" w:color="auto" w:fill="EAF1DD"/>
            <w:vAlign w:val="center"/>
          </w:tcPr>
          <w:p w:rsidR="00A25B99" w:rsidRPr="00A25B99" w:rsidRDefault="00A25B99" w:rsidP="00A25B99">
            <w:pPr>
              <w:pStyle w:val="HIPTabletext"/>
              <w:ind w:left="58" w:right="64"/>
              <w:jc w:val="left"/>
              <w:rPr>
                <w:sz w:val="17"/>
                <w:szCs w:val="17"/>
              </w:rPr>
            </w:pPr>
            <w:r w:rsidRPr="00A25B99">
              <w:rPr>
                <w:sz w:val="17"/>
                <w:szCs w:val="17"/>
              </w:rPr>
              <w:t>Rural Telephony Project</w:t>
            </w:r>
          </w:p>
        </w:tc>
        <w:tc>
          <w:tcPr>
            <w:tcW w:w="1122" w:type="dxa"/>
            <w:shd w:val="clear" w:color="auto" w:fill="EAF1DD"/>
            <w:vAlign w:val="center"/>
          </w:tcPr>
          <w:p w:rsidR="00A25B99" w:rsidRPr="00A25B99" w:rsidRDefault="00A25B99" w:rsidP="00A25B99">
            <w:pPr>
              <w:pStyle w:val="HIPTabletext"/>
              <w:ind w:left="58" w:right="64"/>
              <w:jc w:val="center"/>
              <w:rPr>
                <w:sz w:val="17"/>
                <w:szCs w:val="17"/>
              </w:rPr>
            </w:pPr>
            <w:r w:rsidRPr="00A25B99">
              <w:rPr>
                <w:sz w:val="17"/>
                <w:szCs w:val="17"/>
              </w:rPr>
              <w:t>Unknown, at least one (1)</w:t>
            </w:r>
          </w:p>
        </w:tc>
        <w:tc>
          <w:tcPr>
            <w:tcW w:w="1109" w:type="dxa"/>
            <w:shd w:val="clear" w:color="auto" w:fill="EAF1DD"/>
            <w:vAlign w:val="center"/>
          </w:tcPr>
          <w:p w:rsidR="00A25B99" w:rsidRPr="00A25B99" w:rsidRDefault="00A25B99" w:rsidP="00A25B99">
            <w:pPr>
              <w:pStyle w:val="HIPTabletext"/>
              <w:ind w:left="58" w:right="64"/>
              <w:jc w:val="left"/>
              <w:rPr>
                <w:sz w:val="17"/>
                <w:szCs w:val="17"/>
              </w:rPr>
            </w:pPr>
            <w:r w:rsidRPr="00A25B99">
              <w:rPr>
                <w:sz w:val="17"/>
                <w:szCs w:val="17"/>
              </w:rPr>
              <w:t>Competitive, least subsidy requested</w:t>
            </w:r>
          </w:p>
        </w:tc>
        <w:tc>
          <w:tcPr>
            <w:tcW w:w="1309" w:type="dxa"/>
            <w:shd w:val="clear" w:color="auto" w:fill="EAF1DD"/>
            <w:vAlign w:val="center"/>
          </w:tcPr>
          <w:p w:rsidR="00A25B99" w:rsidRPr="00A25B99" w:rsidRDefault="00A25B99" w:rsidP="00A25B99">
            <w:pPr>
              <w:pStyle w:val="HIPTabletext"/>
              <w:ind w:left="58" w:right="64"/>
              <w:jc w:val="left"/>
              <w:rPr>
                <w:sz w:val="17"/>
                <w:szCs w:val="17"/>
                <w:lang w:val="en-US"/>
              </w:rPr>
            </w:pPr>
            <w:r w:rsidRPr="00A25B99">
              <w:rPr>
                <w:sz w:val="17"/>
                <w:szCs w:val="17"/>
                <w:lang w:val="en-US"/>
              </w:rPr>
              <w:t>Competitive, subsidy requested by selected candidate</w:t>
            </w:r>
          </w:p>
        </w:tc>
        <w:tc>
          <w:tcPr>
            <w:tcW w:w="1193" w:type="dxa"/>
            <w:shd w:val="clear" w:color="auto" w:fill="EAF1DD"/>
            <w:vAlign w:val="center"/>
          </w:tcPr>
          <w:p w:rsidR="00A25B99" w:rsidRPr="00A25B99" w:rsidRDefault="00A25B99" w:rsidP="00A25B99">
            <w:pPr>
              <w:pStyle w:val="HIPTabletext"/>
              <w:ind w:left="58" w:right="64"/>
              <w:jc w:val="left"/>
              <w:rPr>
                <w:sz w:val="17"/>
                <w:szCs w:val="17"/>
              </w:rPr>
            </w:pPr>
            <w:r w:rsidRPr="00A25B99">
              <w:rPr>
                <w:sz w:val="17"/>
                <w:szCs w:val="17"/>
              </w:rPr>
              <w:t>Public voice access +</w:t>
            </w:r>
            <w:r w:rsidR="005E5682">
              <w:rPr>
                <w:sz w:val="17"/>
                <w:szCs w:val="17"/>
              </w:rPr>
              <w:t xml:space="preserve"> </w:t>
            </w:r>
            <w:r w:rsidRPr="00A25B99">
              <w:rPr>
                <w:sz w:val="17"/>
                <w:szCs w:val="17"/>
              </w:rPr>
              <w:t>Private voice service</w:t>
            </w:r>
          </w:p>
        </w:tc>
        <w:tc>
          <w:tcPr>
            <w:tcW w:w="1112" w:type="dxa"/>
            <w:shd w:val="clear" w:color="auto" w:fill="EAF1DD"/>
            <w:vAlign w:val="center"/>
          </w:tcPr>
          <w:p w:rsidR="00A25B99" w:rsidRPr="00A25B99" w:rsidRDefault="00A25B99" w:rsidP="00A25B99">
            <w:pPr>
              <w:pStyle w:val="HIPTabletext"/>
              <w:ind w:left="58" w:right="64"/>
              <w:jc w:val="left"/>
              <w:rPr>
                <w:sz w:val="17"/>
                <w:szCs w:val="17"/>
                <w:lang w:val="en-US"/>
              </w:rPr>
            </w:pPr>
            <w:r w:rsidRPr="00A25B99">
              <w:rPr>
                <w:sz w:val="17"/>
                <w:szCs w:val="17"/>
                <w:lang w:val="en-US"/>
              </w:rPr>
              <w:t>All operators, both fixed and mobile</w:t>
            </w:r>
          </w:p>
        </w:tc>
        <w:tc>
          <w:tcPr>
            <w:tcW w:w="1411" w:type="dxa"/>
            <w:shd w:val="clear" w:color="auto" w:fill="EAF1DD"/>
            <w:vAlign w:val="center"/>
          </w:tcPr>
          <w:p w:rsidR="00A25B99" w:rsidRPr="00A25B99" w:rsidRDefault="00A25B99" w:rsidP="00A25B99">
            <w:pPr>
              <w:pStyle w:val="HIPTabletext"/>
              <w:ind w:left="58" w:right="64"/>
              <w:jc w:val="left"/>
              <w:rPr>
                <w:sz w:val="17"/>
                <w:szCs w:val="17"/>
              </w:rPr>
            </w:pPr>
            <w:r w:rsidRPr="00A25B99">
              <w:rPr>
                <w:sz w:val="17"/>
                <w:szCs w:val="17"/>
              </w:rPr>
              <w:t>USAF only</w:t>
            </w:r>
          </w:p>
        </w:tc>
      </w:tr>
      <w:tr w:rsidR="00A25B99" w:rsidRPr="00D0075D" w:rsidTr="00A25B99">
        <w:trPr>
          <w:jc w:val="center"/>
        </w:trPr>
        <w:tc>
          <w:tcPr>
            <w:tcW w:w="1064" w:type="dxa"/>
            <w:vMerge/>
            <w:shd w:val="clear" w:color="auto" w:fill="EAF1DD"/>
            <w:vAlign w:val="center"/>
          </w:tcPr>
          <w:p w:rsidR="00A25B99" w:rsidRPr="00A25B99" w:rsidRDefault="00A25B99" w:rsidP="00A25B99">
            <w:pPr>
              <w:pStyle w:val="HIPTabletext"/>
              <w:ind w:left="58" w:right="64"/>
              <w:jc w:val="left"/>
              <w:rPr>
                <w:b/>
                <w:bCs w:val="0"/>
                <w:sz w:val="17"/>
                <w:szCs w:val="17"/>
              </w:rPr>
            </w:pPr>
          </w:p>
        </w:tc>
        <w:tc>
          <w:tcPr>
            <w:tcW w:w="938" w:type="dxa"/>
            <w:shd w:val="clear" w:color="auto" w:fill="EAF1DD"/>
            <w:vAlign w:val="center"/>
          </w:tcPr>
          <w:p w:rsidR="00A25B99" w:rsidRPr="00A25B99" w:rsidRDefault="00A25B99" w:rsidP="00A25B99">
            <w:pPr>
              <w:pStyle w:val="HIPTabletext"/>
              <w:ind w:left="58" w:right="64"/>
              <w:jc w:val="left"/>
              <w:rPr>
                <w:sz w:val="17"/>
                <w:szCs w:val="17"/>
                <w:lang w:val="en-US"/>
              </w:rPr>
            </w:pPr>
            <w:r w:rsidRPr="00A25B99">
              <w:rPr>
                <w:sz w:val="17"/>
                <w:szCs w:val="17"/>
                <w:lang w:val="en-US"/>
              </w:rPr>
              <w:t>Low prices for Internet connectiv</w:t>
            </w:r>
            <w:r>
              <w:rPr>
                <w:sz w:val="17"/>
                <w:szCs w:val="17"/>
                <w:lang w:val="en-US"/>
              </w:rPr>
              <w:softHyphen/>
            </w:r>
            <w:r w:rsidRPr="00A25B99">
              <w:rPr>
                <w:sz w:val="17"/>
                <w:szCs w:val="17"/>
                <w:lang w:val="en-US"/>
              </w:rPr>
              <w:t>ity</w:t>
            </w:r>
          </w:p>
        </w:tc>
        <w:tc>
          <w:tcPr>
            <w:tcW w:w="1122" w:type="dxa"/>
            <w:shd w:val="clear" w:color="auto" w:fill="EAF1DD"/>
            <w:vAlign w:val="center"/>
          </w:tcPr>
          <w:p w:rsidR="00A25B99" w:rsidRPr="00A25B99" w:rsidRDefault="00A25B99" w:rsidP="00A25B99">
            <w:pPr>
              <w:pStyle w:val="HIPTabletext"/>
              <w:ind w:left="58" w:right="64"/>
              <w:jc w:val="center"/>
              <w:rPr>
                <w:sz w:val="17"/>
                <w:szCs w:val="17"/>
              </w:rPr>
            </w:pPr>
            <w:r w:rsidRPr="00A25B99">
              <w:rPr>
                <w:sz w:val="17"/>
                <w:szCs w:val="17"/>
              </w:rPr>
              <w:t>Unknown, at least one (1)</w:t>
            </w:r>
          </w:p>
        </w:tc>
        <w:tc>
          <w:tcPr>
            <w:tcW w:w="1109" w:type="dxa"/>
            <w:shd w:val="clear" w:color="auto" w:fill="EAF1DD"/>
            <w:vAlign w:val="center"/>
          </w:tcPr>
          <w:p w:rsidR="00A25B99" w:rsidRPr="00A25B99" w:rsidRDefault="00A25B99" w:rsidP="00A25B99">
            <w:pPr>
              <w:pStyle w:val="HIPTabletext"/>
              <w:ind w:left="58" w:right="64"/>
              <w:jc w:val="left"/>
              <w:rPr>
                <w:sz w:val="17"/>
                <w:szCs w:val="17"/>
              </w:rPr>
            </w:pPr>
            <w:r w:rsidRPr="00A25B99">
              <w:rPr>
                <w:sz w:val="17"/>
                <w:szCs w:val="17"/>
              </w:rPr>
              <w:t>Competitive, least subsidy requested</w:t>
            </w:r>
          </w:p>
        </w:tc>
        <w:tc>
          <w:tcPr>
            <w:tcW w:w="1309" w:type="dxa"/>
            <w:shd w:val="clear" w:color="auto" w:fill="EAF1DD"/>
            <w:vAlign w:val="center"/>
          </w:tcPr>
          <w:p w:rsidR="00A25B99" w:rsidRPr="00A25B99" w:rsidRDefault="00A25B99" w:rsidP="00A25B99">
            <w:pPr>
              <w:pStyle w:val="HIPTabletext"/>
              <w:ind w:left="58" w:right="64"/>
              <w:jc w:val="left"/>
              <w:rPr>
                <w:sz w:val="17"/>
                <w:szCs w:val="17"/>
                <w:lang w:val="en-US"/>
              </w:rPr>
            </w:pPr>
            <w:r w:rsidRPr="00A25B99">
              <w:rPr>
                <w:sz w:val="17"/>
                <w:szCs w:val="17"/>
                <w:lang w:val="en-US"/>
              </w:rPr>
              <w:t>Competitive, subsidy requested by selected candidate</w:t>
            </w:r>
          </w:p>
        </w:tc>
        <w:tc>
          <w:tcPr>
            <w:tcW w:w="1193" w:type="dxa"/>
            <w:shd w:val="clear" w:color="auto" w:fill="EAF1DD"/>
            <w:vAlign w:val="center"/>
          </w:tcPr>
          <w:p w:rsidR="00A25B99" w:rsidRPr="00A25B99" w:rsidRDefault="00A25B99" w:rsidP="00A25B99">
            <w:pPr>
              <w:pStyle w:val="HIPTabletext"/>
              <w:ind w:left="58" w:right="64"/>
              <w:jc w:val="left"/>
              <w:rPr>
                <w:sz w:val="17"/>
                <w:szCs w:val="17"/>
              </w:rPr>
            </w:pPr>
            <w:r w:rsidRPr="00A25B99">
              <w:rPr>
                <w:sz w:val="17"/>
                <w:szCs w:val="17"/>
              </w:rPr>
              <w:t>Public access to Internet</w:t>
            </w:r>
          </w:p>
        </w:tc>
        <w:tc>
          <w:tcPr>
            <w:tcW w:w="1112" w:type="dxa"/>
            <w:shd w:val="clear" w:color="auto" w:fill="EAF1DD"/>
            <w:vAlign w:val="center"/>
          </w:tcPr>
          <w:p w:rsidR="00A25B99" w:rsidRPr="00A25B99" w:rsidRDefault="00A25B99" w:rsidP="00A25B99">
            <w:pPr>
              <w:pStyle w:val="HIPTabletext"/>
              <w:ind w:left="58" w:right="64"/>
              <w:jc w:val="left"/>
              <w:rPr>
                <w:sz w:val="17"/>
                <w:szCs w:val="17"/>
              </w:rPr>
            </w:pPr>
            <w:r w:rsidRPr="00A25B99">
              <w:rPr>
                <w:sz w:val="17"/>
                <w:szCs w:val="17"/>
              </w:rPr>
              <w:t>All ISPs</w:t>
            </w:r>
          </w:p>
        </w:tc>
        <w:tc>
          <w:tcPr>
            <w:tcW w:w="1411" w:type="dxa"/>
            <w:shd w:val="clear" w:color="auto" w:fill="EAF1DD"/>
            <w:vAlign w:val="center"/>
          </w:tcPr>
          <w:p w:rsidR="00A25B99" w:rsidRPr="00A25B99" w:rsidRDefault="00A25B99" w:rsidP="00A25B99">
            <w:pPr>
              <w:pStyle w:val="HIPTabletext"/>
              <w:ind w:left="58" w:right="64"/>
              <w:jc w:val="left"/>
              <w:rPr>
                <w:sz w:val="17"/>
                <w:szCs w:val="17"/>
              </w:rPr>
            </w:pPr>
            <w:r w:rsidRPr="00A25B99">
              <w:rPr>
                <w:sz w:val="17"/>
                <w:szCs w:val="17"/>
              </w:rPr>
              <w:t>USAF + ITU subsidy</w:t>
            </w:r>
          </w:p>
        </w:tc>
      </w:tr>
      <w:tr w:rsidR="00A25B99" w:rsidRPr="00D0075D" w:rsidTr="00A25B99">
        <w:trPr>
          <w:jc w:val="center"/>
        </w:trPr>
        <w:tc>
          <w:tcPr>
            <w:tcW w:w="1064" w:type="dxa"/>
            <w:vMerge/>
            <w:shd w:val="clear" w:color="auto" w:fill="EAF1DD"/>
            <w:vAlign w:val="center"/>
          </w:tcPr>
          <w:p w:rsidR="00A25B99" w:rsidRPr="00A25B99" w:rsidRDefault="00A25B99" w:rsidP="00A25B99">
            <w:pPr>
              <w:pStyle w:val="HIPTabletext"/>
              <w:ind w:left="58" w:right="64"/>
              <w:jc w:val="left"/>
              <w:rPr>
                <w:b/>
                <w:bCs w:val="0"/>
                <w:sz w:val="17"/>
                <w:szCs w:val="17"/>
              </w:rPr>
            </w:pPr>
          </w:p>
        </w:tc>
        <w:tc>
          <w:tcPr>
            <w:tcW w:w="938" w:type="dxa"/>
            <w:shd w:val="clear" w:color="auto" w:fill="EAF1DD"/>
            <w:vAlign w:val="center"/>
          </w:tcPr>
          <w:p w:rsidR="00A25B99" w:rsidRPr="00A25B99" w:rsidRDefault="00A25B99" w:rsidP="00A25B99">
            <w:pPr>
              <w:pStyle w:val="HIPTabletext"/>
              <w:ind w:left="58" w:right="64"/>
              <w:jc w:val="left"/>
              <w:rPr>
                <w:sz w:val="17"/>
                <w:szCs w:val="17"/>
                <w:lang w:val="en-US"/>
              </w:rPr>
            </w:pPr>
            <w:r w:rsidRPr="00A25B99">
              <w:rPr>
                <w:sz w:val="17"/>
                <w:szCs w:val="17"/>
                <w:lang w:val="en-US"/>
              </w:rPr>
              <w:t>One Laptop per Child Pro</w:t>
            </w:r>
            <w:r>
              <w:rPr>
                <w:sz w:val="17"/>
                <w:szCs w:val="17"/>
                <w:lang w:val="en-US"/>
              </w:rPr>
              <w:softHyphen/>
            </w:r>
            <w:r w:rsidRPr="00A25B99">
              <w:rPr>
                <w:sz w:val="17"/>
                <w:szCs w:val="17"/>
                <w:lang w:val="en-US"/>
              </w:rPr>
              <w:t>gramme</w:t>
            </w:r>
          </w:p>
        </w:tc>
        <w:tc>
          <w:tcPr>
            <w:tcW w:w="1122" w:type="dxa"/>
            <w:shd w:val="clear" w:color="auto" w:fill="EAF1DD"/>
            <w:vAlign w:val="center"/>
          </w:tcPr>
          <w:p w:rsidR="00A25B99" w:rsidRPr="00A25B99" w:rsidRDefault="00A25B99" w:rsidP="00A25B99">
            <w:pPr>
              <w:pStyle w:val="HIPTabletext"/>
              <w:ind w:left="58" w:right="64"/>
              <w:jc w:val="center"/>
              <w:rPr>
                <w:sz w:val="17"/>
                <w:szCs w:val="17"/>
              </w:rPr>
            </w:pPr>
            <w:r w:rsidRPr="00A25B99">
              <w:rPr>
                <w:sz w:val="17"/>
                <w:szCs w:val="17"/>
              </w:rPr>
              <w:t>Unknown, at least one (1)</w:t>
            </w:r>
          </w:p>
        </w:tc>
        <w:tc>
          <w:tcPr>
            <w:tcW w:w="1109" w:type="dxa"/>
            <w:shd w:val="clear" w:color="auto" w:fill="EAF1DD"/>
            <w:vAlign w:val="center"/>
          </w:tcPr>
          <w:p w:rsidR="00A25B99" w:rsidRPr="00A25B99" w:rsidRDefault="00A25B99" w:rsidP="00A25B99">
            <w:pPr>
              <w:pStyle w:val="HIPTabletext"/>
              <w:ind w:left="58" w:right="64"/>
              <w:jc w:val="left"/>
              <w:rPr>
                <w:sz w:val="17"/>
                <w:szCs w:val="17"/>
                <w:lang w:val="en-US"/>
              </w:rPr>
            </w:pPr>
            <w:r w:rsidRPr="00A25B99">
              <w:rPr>
                <w:sz w:val="17"/>
                <w:szCs w:val="17"/>
                <w:lang w:val="en-US"/>
              </w:rPr>
              <w:t>Through the Ministry of Education</w:t>
            </w:r>
          </w:p>
        </w:tc>
        <w:tc>
          <w:tcPr>
            <w:tcW w:w="1309" w:type="dxa"/>
            <w:shd w:val="clear" w:color="auto" w:fill="EAF1DD"/>
            <w:vAlign w:val="center"/>
          </w:tcPr>
          <w:p w:rsidR="00A25B99" w:rsidRPr="00A25B99" w:rsidRDefault="00A25B99" w:rsidP="00A25B99">
            <w:pPr>
              <w:pStyle w:val="HIPTabletext"/>
              <w:ind w:left="58" w:right="64"/>
              <w:jc w:val="left"/>
              <w:rPr>
                <w:sz w:val="17"/>
                <w:szCs w:val="17"/>
                <w:lang w:val="en-US"/>
              </w:rPr>
            </w:pPr>
            <w:r w:rsidRPr="00A25B99">
              <w:rPr>
                <w:sz w:val="17"/>
                <w:szCs w:val="17"/>
                <w:lang w:val="en-US"/>
              </w:rPr>
              <w:t>Same subsidy level set by USPF for eligible candidates</w:t>
            </w:r>
          </w:p>
        </w:tc>
        <w:tc>
          <w:tcPr>
            <w:tcW w:w="1193" w:type="dxa"/>
            <w:shd w:val="clear" w:color="auto" w:fill="EAF1DD"/>
            <w:vAlign w:val="center"/>
          </w:tcPr>
          <w:p w:rsidR="00A25B99" w:rsidRPr="00A25B99" w:rsidRDefault="00A25B99" w:rsidP="00A25B99">
            <w:pPr>
              <w:pStyle w:val="HIPTabletext"/>
              <w:ind w:left="58" w:right="64"/>
              <w:jc w:val="left"/>
              <w:rPr>
                <w:sz w:val="17"/>
                <w:szCs w:val="17"/>
              </w:rPr>
            </w:pPr>
            <w:r w:rsidRPr="00A25B99">
              <w:rPr>
                <w:sz w:val="17"/>
                <w:szCs w:val="17"/>
              </w:rPr>
              <w:t>Public Internet access +</w:t>
            </w:r>
            <w:r w:rsidR="005E5682">
              <w:rPr>
                <w:sz w:val="17"/>
                <w:szCs w:val="17"/>
              </w:rPr>
              <w:t xml:space="preserve"> </w:t>
            </w:r>
            <w:r w:rsidRPr="00A25B99">
              <w:rPr>
                <w:sz w:val="17"/>
                <w:szCs w:val="17"/>
              </w:rPr>
              <w:t>Private Internet service</w:t>
            </w:r>
          </w:p>
        </w:tc>
        <w:tc>
          <w:tcPr>
            <w:tcW w:w="1112" w:type="dxa"/>
            <w:shd w:val="clear" w:color="auto" w:fill="EAF1DD"/>
            <w:vAlign w:val="center"/>
          </w:tcPr>
          <w:p w:rsidR="00A25B99" w:rsidRPr="00A25B99" w:rsidRDefault="00A25B99" w:rsidP="00A25B99">
            <w:pPr>
              <w:pStyle w:val="HIPTabletext"/>
              <w:ind w:left="58" w:right="64"/>
              <w:jc w:val="left"/>
              <w:rPr>
                <w:sz w:val="17"/>
                <w:szCs w:val="17"/>
              </w:rPr>
            </w:pPr>
            <w:r w:rsidRPr="00A25B99">
              <w:rPr>
                <w:sz w:val="17"/>
                <w:szCs w:val="17"/>
              </w:rPr>
              <w:t>All PC providers</w:t>
            </w:r>
          </w:p>
        </w:tc>
        <w:tc>
          <w:tcPr>
            <w:tcW w:w="1411" w:type="dxa"/>
            <w:shd w:val="clear" w:color="auto" w:fill="EAF1DD"/>
            <w:vAlign w:val="center"/>
          </w:tcPr>
          <w:p w:rsidR="00A25B99" w:rsidRPr="00A25B99" w:rsidRDefault="00A25B99" w:rsidP="00A25B99">
            <w:pPr>
              <w:pStyle w:val="HIPTabletext"/>
              <w:ind w:left="58" w:right="64"/>
              <w:jc w:val="left"/>
              <w:rPr>
                <w:sz w:val="17"/>
                <w:szCs w:val="17"/>
              </w:rPr>
            </w:pPr>
            <w:r w:rsidRPr="00A25B99">
              <w:rPr>
                <w:sz w:val="17"/>
                <w:szCs w:val="17"/>
              </w:rPr>
              <w:t>USAF + Government of Rwanda</w:t>
            </w:r>
          </w:p>
        </w:tc>
      </w:tr>
      <w:tr w:rsidR="00A25B99" w:rsidRPr="00D0075D" w:rsidTr="00A25B99">
        <w:trPr>
          <w:jc w:val="center"/>
        </w:trPr>
        <w:tc>
          <w:tcPr>
            <w:tcW w:w="1064" w:type="dxa"/>
            <w:tcBorders>
              <w:bottom w:val="single" w:sz="4" w:space="0" w:color="auto"/>
            </w:tcBorders>
            <w:shd w:val="clear" w:color="auto" w:fill="auto"/>
            <w:vAlign w:val="center"/>
          </w:tcPr>
          <w:p w:rsidR="00A25B99" w:rsidRPr="00A25B99" w:rsidRDefault="00A25B99" w:rsidP="00A25B99">
            <w:pPr>
              <w:pStyle w:val="HIPTabletext"/>
              <w:ind w:left="58" w:right="64"/>
              <w:jc w:val="left"/>
              <w:rPr>
                <w:b/>
                <w:bCs w:val="0"/>
                <w:sz w:val="17"/>
                <w:szCs w:val="17"/>
              </w:rPr>
            </w:pPr>
            <w:r w:rsidRPr="00A25B99">
              <w:rPr>
                <w:b/>
                <w:bCs w:val="0"/>
                <w:sz w:val="17"/>
                <w:szCs w:val="17"/>
              </w:rPr>
              <w:t>Togo</w:t>
            </w:r>
          </w:p>
        </w:tc>
        <w:tc>
          <w:tcPr>
            <w:tcW w:w="938" w:type="dxa"/>
            <w:tcBorders>
              <w:bottom w:val="single" w:sz="4" w:space="0" w:color="auto"/>
            </w:tcBorders>
            <w:vAlign w:val="center"/>
          </w:tcPr>
          <w:p w:rsidR="00A25B99" w:rsidRPr="00A25B99" w:rsidRDefault="00A25B99" w:rsidP="00A25B99">
            <w:pPr>
              <w:pStyle w:val="HIPTabletext"/>
              <w:ind w:left="58" w:right="64"/>
              <w:jc w:val="left"/>
              <w:rPr>
                <w:sz w:val="17"/>
                <w:szCs w:val="17"/>
                <w:lang w:val="en-US"/>
              </w:rPr>
            </w:pPr>
            <w:r w:rsidRPr="00A25B99">
              <w:rPr>
                <w:sz w:val="17"/>
                <w:szCs w:val="17"/>
                <w:lang w:val="en-US"/>
              </w:rPr>
              <w:t>2008 Pro</w:t>
            </w:r>
            <w:r>
              <w:rPr>
                <w:sz w:val="17"/>
                <w:szCs w:val="17"/>
                <w:lang w:val="en-US"/>
              </w:rPr>
              <w:softHyphen/>
            </w:r>
            <w:r w:rsidRPr="00A25B99">
              <w:rPr>
                <w:sz w:val="17"/>
                <w:szCs w:val="17"/>
                <w:lang w:val="en-US"/>
              </w:rPr>
              <w:t>gramme to provide service in unserved zones</w:t>
            </w:r>
          </w:p>
        </w:tc>
        <w:tc>
          <w:tcPr>
            <w:tcW w:w="1122" w:type="dxa"/>
            <w:tcBorders>
              <w:bottom w:val="single" w:sz="4" w:space="0" w:color="auto"/>
            </w:tcBorders>
            <w:vAlign w:val="center"/>
          </w:tcPr>
          <w:p w:rsidR="00A25B99" w:rsidRPr="00A25B99" w:rsidRDefault="00A25B99" w:rsidP="00A25B99">
            <w:pPr>
              <w:pStyle w:val="HIPTabletext"/>
              <w:ind w:left="58" w:right="64"/>
              <w:jc w:val="center"/>
              <w:rPr>
                <w:sz w:val="17"/>
                <w:szCs w:val="17"/>
              </w:rPr>
            </w:pPr>
            <w:r w:rsidRPr="00A25B99">
              <w:rPr>
                <w:sz w:val="17"/>
                <w:szCs w:val="17"/>
              </w:rPr>
              <w:t>1</w:t>
            </w:r>
          </w:p>
        </w:tc>
        <w:tc>
          <w:tcPr>
            <w:tcW w:w="1109" w:type="dxa"/>
            <w:tcBorders>
              <w:bottom w:val="single" w:sz="4" w:space="0" w:color="auto"/>
            </w:tcBorders>
            <w:vAlign w:val="center"/>
          </w:tcPr>
          <w:p w:rsidR="00A25B99" w:rsidRPr="00A25B99" w:rsidRDefault="00A25B99" w:rsidP="00A25B99">
            <w:pPr>
              <w:pStyle w:val="HIPTabletext"/>
              <w:ind w:left="58" w:right="64"/>
              <w:jc w:val="left"/>
              <w:rPr>
                <w:sz w:val="17"/>
                <w:szCs w:val="17"/>
                <w:lang w:val="en-US"/>
              </w:rPr>
            </w:pPr>
            <w:r w:rsidRPr="00A25B99">
              <w:rPr>
                <w:sz w:val="17"/>
                <w:szCs w:val="17"/>
                <w:lang w:val="en-US"/>
              </w:rPr>
              <w:t>In pay or play” regime, proposal by eligible candidates &amp; evaluation by NRA</w:t>
            </w:r>
          </w:p>
        </w:tc>
        <w:tc>
          <w:tcPr>
            <w:tcW w:w="1309" w:type="dxa"/>
            <w:tcBorders>
              <w:bottom w:val="single" w:sz="4" w:space="0" w:color="auto"/>
            </w:tcBorders>
            <w:vAlign w:val="center"/>
          </w:tcPr>
          <w:p w:rsidR="00A25B99" w:rsidRPr="00A25B99" w:rsidRDefault="00A25B99" w:rsidP="00A25B99">
            <w:pPr>
              <w:pStyle w:val="HIPTabletext"/>
              <w:ind w:left="58" w:right="64"/>
              <w:jc w:val="left"/>
              <w:rPr>
                <w:sz w:val="17"/>
                <w:szCs w:val="17"/>
                <w:lang w:val="en-US"/>
              </w:rPr>
            </w:pPr>
            <w:r w:rsidRPr="00A25B99">
              <w:rPr>
                <w:sz w:val="17"/>
                <w:szCs w:val="17"/>
                <w:lang w:val="en-US"/>
              </w:rPr>
              <w:t>Compensation for first-year losses incurred</w:t>
            </w:r>
          </w:p>
        </w:tc>
        <w:tc>
          <w:tcPr>
            <w:tcW w:w="1193" w:type="dxa"/>
            <w:tcBorders>
              <w:bottom w:val="single" w:sz="4" w:space="0" w:color="auto"/>
            </w:tcBorders>
            <w:vAlign w:val="center"/>
          </w:tcPr>
          <w:p w:rsidR="00A25B99" w:rsidRPr="00A25B99" w:rsidRDefault="00A25B99" w:rsidP="00A25B99">
            <w:pPr>
              <w:pStyle w:val="HIPTabletext"/>
              <w:ind w:left="58" w:right="64"/>
              <w:jc w:val="left"/>
              <w:rPr>
                <w:sz w:val="17"/>
                <w:szCs w:val="17"/>
                <w:lang w:val="en-US"/>
              </w:rPr>
            </w:pPr>
            <w:r w:rsidRPr="00A25B99">
              <w:rPr>
                <w:sz w:val="17"/>
                <w:szCs w:val="17"/>
                <w:lang w:val="en-US"/>
              </w:rPr>
              <w:t>Public and Private voice and Internet access and service</w:t>
            </w:r>
          </w:p>
        </w:tc>
        <w:tc>
          <w:tcPr>
            <w:tcW w:w="1112" w:type="dxa"/>
            <w:tcBorders>
              <w:bottom w:val="single" w:sz="4" w:space="0" w:color="auto"/>
            </w:tcBorders>
            <w:vAlign w:val="center"/>
          </w:tcPr>
          <w:p w:rsidR="00A25B99" w:rsidRPr="00A25B99" w:rsidRDefault="00A25B99" w:rsidP="00A25B99">
            <w:pPr>
              <w:pStyle w:val="HIPTabletext"/>
              <w:ind w:left="58" w:right="64"/>
              <w:jc w:val="left"/>
              <w:rPr>
                <w:sz w:val="17"/>
                <w:szCs w:val="17"/>
              </w:rPr>
            </w:pPr>
            <w:r w:rsidRPr="00A25B99">
              <w:rPr>
                <w:sz w:val="17"/>
                <w:szCs w:val="17"/>
              </w:rPr>
              <w:t>All operators</w:t>
            </w:r>
          </w:p>
        </w:tc>
        <w:tc>
          <w:tcPr>
            <w:tcW w:w="1411" w:type="dxa"/>
            <w:tcBorders>
              <w:bottom w:val="single" w:sz="4" w:space="0" w:color="auto"/>
            </w:tcBorders>
            <w:vAlign w:val="center"/>
          </w:tcPr>
          <w:p w:rsidR="00A25B99" w:rsidRPr="00A25B99" w:rsidRDefault="00A25B99" w:rsidP="00A25B99">
            <w:pPr>
              <w:pStyle w:val="HIPTabletext"/>
              <w:ind w:left="58" w:right="64"/>
              <w:jc w:val="left"/>
              <w:rPr>
                <w:sz w:val="17"/>
                <w:szCs w:val="17"/>
              </w:rPr>
            </w:pPr>
            <w:r w:rsidRPr="00A25B99">
              <w:rPr>
                <w:sz w:val="17"/>
                <w:szCs w:val="17"/>
              </w:rPr>
              <w:t>USAF only</w:t>
            </w:r>
          </w:p>
        </w:tc>
      </w:tr>
      <w:tr w:rsidR="00A25B99" w:rsidRPr="00D0075D" w:rsidTr="00A25B99">
        <w:trPr>
          <w:jc w:val="center"/>
        </w:trPr>
        <w:tc>
          <w:tcPr>
            <w:tcW w:w="1064" w:type="dxa"/>
            <w:shd w:val="clear" w:color="auto" w:fill="EAF1DD"/>
            <w:vAlign w:val="center"/>
          </w:tcPr>
          <w:p w:rsidR="00A25B99" w:rsidRPr="00A25B99" w:rsidRDefault="00A25B99" w:rsidP="00A25B99">
            <w:pPr>
              <w:pStyle w:val="HIPTabletext"/>
              <w:ind w:left="58" w:right="64"/>
              <w:jc w:val="left"/>
              <w:rPr>
                <w:b/>
                <w:bCs w:val="0"/>
                <w:sz w:val="17"/>
                <w:szCs w:val="17"/>
              </w:rPr>
            </w:pPr>
            <w:r w:rsidRPr="00A25B99">
              <w:rPr>
                <w:b/>
                <w:bCs w:val="0"/>
                <w:sz w:val="17"/>
                <w:szCs w:val="17"/>
              </w:rPr>
              <w:t>Mode/</w:t>
            </w:r>
            <w:r>
              <w:rPr>
                <w:b/>
                <w:bCs w:val="0"/>
                <w:sz w:val="17"/>
                <w:szCs w:val="17"/>
              </w:rPr>
              <w:t xml:space="preserve"> </w:t>
            </w:r>
            <w:r w:rsidRPr="00A25B99">
              <w:rPr>
                <w:b/>
                <w:bCs w:val="0"/>
                <w:sz w:val="17"/>
                <w:szCs w:val="17"/>
              </w:rPr>
              <w:t>Average</w:t>
            </w:r>
          </w:p>
        </w:tc>
        <w:tc>
          <w:tcPr>
            <w:tcW w:w="938" w:type="dxa"/>
            <w:shd w:val="clear" w:color="auto" w:fill="EAF1DD"/>
            <w:vAlign w:val="center"/>
          </w:tcPr>
          <w:p w:rsidR="00A25B99" w:rsidRPr="00A25B99" w:rsidRDefault="00A25B99" w:rsidP="00A25B99">
            <w:pPr>
              <w:pStyle w:val="HIPTabletext"/>
              <w:ind w:left="58" w:right="64"/>
              <w:jc w:val="left"/>
              <w:rPr>
                <w:sz w:val="17"/>
                <w:szCs w:val="17"/>
                <w:lang w:val="en-US"/>
              </w:rPr>
            </w:pPr>
            <w:r w:rsidRPr="00A25B99">
              <w:rPr>
                <w:sz w:val="17"/>
                <w:szCs w:val="17"/>
                <w:lang w:val="en-US"/>
              </w:rPr>
              <w:t>3- types of Projects per country</w:t>
            </w:r>
          </w:p>
        </w:tc>
        <w:tc>
          <w:tcPr>
            <w:tcW w:w="1122" w:type="dxa"/>
            <w:shd w:val="clear" w:color="auto" w:fill="EAF1DD"/>
            <w:vAlign w:val="center"/>
          </w:tcPr>
          <w:p w:rsidR="00A25B99" w:rsidRPr="00A25B99" w:rsidRDefault="00A25B99" w:rsidP="00A25B99">
            <w:pPr>
              <w:pStyle w:val="HIPTabletext"/>
              <w:ind w:left="58" w:right="64"/>
              <w:jc w:val="center"/>
              <w:rPr>
                <w:sz w:val="17"/>
                <w:szCs w:val="17"/>
              </w:rPr>
            </w:pPr>
            <w:r w:rsidRPr="00A25B99">
              <w:rPr>
                <w:sz w:val="17"/>
                <w:szCs w:val="17"/>
              </w:rPr>
              <w:t>Several</w:t>
            </w:r>
          </w:p>
        </w:tc>
        <w:tc>
          <w:tcPr>
            <w:tcW w:w="1109" w:type="dxa"/>
            <w:shd w:val="clear" w:color="auto" w:fill="EAF1DD"/>
            <w:vAlign w:val="center"/>
          </w:tcPr>
          <w:p w:rsidR="00A25B99" w:rsidRPr="00A25B99" w:rsidRDefault="00A25B99" w:rsidP="00A25B99">
            <w:pPr>
              <w:pStyle w:val="HIPTabletext"/>
              <w:ind w:left="58" w:right="64"/>
              <w:jc w:val="left"/>
              <w:rPr>
                <w:sz w:val="17"/>
                <w:szCs w:val="17"/>
              </w:rPr>
            </w:pPr>
            <w:r w:rsidRPr="00A25B99">
              <w:rPr>
                <w:sz w:val="17"/>
                <w:szCs w:val="17"/>
              </w:rPr>
              <w:t>Competitive selection (various approaches)</w:t>
            </w:r>
          </w:p>
        </w:tc>
        <w:tc>
          <w:tcPr>
            <w:tcW w:w="1309" w:type="dxa"/>
            <w:shd w:val="clear" w:color="auto" w:fill="EAF1DD"/>
            <w:vAlign w:val="center"/>
          </w:tcPr>
          <w:p w:rsidR="00A25B99" w:rsidRPr="00A25B99" w:rsidRDefault="00A25B99" w:rsidP="00A25B99">
            <w:pPr>
              <w:pStyle w:val="HIPTabletext"/>
              <w:ind w:left="58" w:right="64"/>
              <w:jc w:val="left"/>
              <w:rPr>
                <w:sz w:val="17"/>
                <w:szCs w:val="17"/>
                <w:lang w:val="en-US"/>
              </w:rPr>
            </w:pPr>
            <w:r w:rsidRPr="00A25B99">
              <w:rPr>
                <w:sz w:val="17"/>
                <w:szCs w:val="17"/>
                <w:lang w:val="en-US"/>
              </w:rPr>
              <w:t>Competitive, subsidy requested by selected candidate</w:t>
            </w:r>
          </w:p>
        </w:tc>
        <w:tc>
          <w:tcPr>
            <w:tcW w:w="1193" w:type="dxa"/>
            <w:shd w:val="clear" w:color="auto" w:fill="EAF1DD"/>
            <w:vAlign w:val="center"/>
          </w:tcPr>
          <w:p w:rsidR="00A25B99" w:rsidRPr="00A25B99" w:rsidRDefault="00A25B99" w:rsidP="00A25B99">
            <w:pPr>
              <w:pStyle w:val="HIPTabletext"/>
              <w:ind w:left="58" w:right="64"/>
              <w:jc w:val="left"/>
              <w:rPr>
                <w:sz w:val="17"/>
                <w:szCs w:val="17"/>
              </w:rPr>
            </w:pPr>
            <w:r w:rsidRPr="00A25B99">
              <w:rPr>
                <w:sz w:val="17"/>
                <w:szCs w:val="17"/>
              </w:rPr>
              <w:t>Public voice access +</w:t>
            </w:r>
            <w:r w:rsidR="005E5682">
              <w:rPr>
                <w:sz w:val="17"/>
                <w:szCs w:val="17"/>
              </w:rPr>
              <w:t xml:space="preserve"> </w:t>
            </w:r>
            <w:r w:rsidRPr="00A25B99">
              <w:rPr>
                <w:sz w:val="17"/>
                <w:szCs w:val="17"/>
              </w:rPr>
              <w:t>Private voice service + Public Internet access</w:t>
            </w:r>
          </w:p>
        </w:tc>
        <w:tc>
          <w:tcPr>
            <w:tcW w:w="1112" w:type="dxa"/>
            <w:shd w:val="clear" w:color="auto" w:fill="EAF1DD"/>
            <w:vAlign w:val="center"/>
          </w:tcPr>
          <w:p w:rsidR="00A25B99" w:rsidRPr="00A25B99" w:rsidRDefault="00A25B99" w:rsidP="00A25B99">
            <w:pPr>
              <w:pStyle w:val="HIPTabletext"/>
              <w:ind w:left="58" w:right="64"/>
              <w:jc w:val="left"/>
              <w:rPr>
                <w:sz w:val="17"/>
                <w:szCs w:val="17"/>
              </w:rPr>
            </w:pPr>
            <w:r w:rsidRPr="00A25B99">
              <w:rPr>
                <w:sz w:val="17"/>
                <w:szCs w:val="17"/>
              </w:rPr>
              <w:t>All operators</w:t>
            </w:r>
          </w:p>
        </w:tc>
        <w:tc>
          <w:tcPr>
            <w:tcW w:w="1411" w:type="dxa"/>
            <w:shd w:val="clear" w:color="auto" w:fill="EAF1DD"/>
            <w:vAlign w:val="center"/>
          </w:tcPr>
          <w:p w:rsidR="00A25B99" w:rsidRPr="00A25B99" w:rsidRDefault="00A25B99" w:rsidP="00A25B99">
            <w:pPr>
              <w:pStyle w:val="HIPTabletext"/>
              <w:ind w:left="58" w:right="64"/>
              <w:jc w:val="left"/>
              <w:rPr>
                <w:sz w:val="17"/>
                <w:szCs w:val="17"/>
              </w:rPr>
            </w:pPr>
            <w:r w:rsidRPr="00A25B99">
              <w:rPr>
                <w:sz w:val="17"/>
                <w:szCs w:val="17"/>
              </w:rPr>
              <w:t>USAF only</w:t>
            </w:r>
          </w:p>
        </w:tc>
      </w:tr>
    </w:tbl>
    <w:p w:rsidR="00A25B99" w:rsidRDefault="00A25B99" w:rsidP="00A25B99">
      <w:pPr>
        <w:pStyle w:val="HIPNormal"/>
      </w:pPr>
    </w:p>
    <w:p w:rsidR="005E5682" w:rsidRDefault="005E5682">
      <w:pPr>
        <w:rPr>
          <w:rFonts w:ascii="Calibri" w:hAnsi="Calibri" w:cs="Helvetica"/>
          <w:b/>
          <w:bCs/>
          <w:color w:val="008000"/>
          <w:sz w:val="24"/>
          <w:szCs w:val="32"/>
          <w:lang w:val="en-US"/>
        </w:rPr>
      </w:pPr>
      <w:bookmarkStart w:id="349" w:name="_Toc281459589"/>
      <w:bookmarkStart w:id="350" w:name="_Toc284597986"/>
      <w:bookmarkStart w:id="351" w:name="_Toc281459582"/>
      <w:r>
        <w:br w:type="page"/>
      </w:r>
    </w:p>
    <w:p w:rsidR="00A25B99" w:rsidRDefault="0088668E" w:rsidP="0088668E">
      <w:pPr>
        <w:pStyle w:val="HIPheading4"/>
        <w:rPr>
          <w:lang w:val="en-GB"/>
        </w:rPr>
      </w:pPr>
      <w:r>
        <w:lastRenderedPageBreak/>
        <w:t>3.3.</w:t>
      </w:r>
      <w:r w:rsidR="00A25B99">
        <w:t>1.4</w:t>
      </w:r>
      <w:r w:rsidR="00A25B99">
        <w:tab/>
        <w:t xml:space="preserve">Well Designed Projects are </w:t>
      </w:r>
      <w:r w:rsidR="00A25B99">
        <w:rPr>
          <w:lang w:val="en-GB"/>
        </w:rPr>
        <w:t>Targeted</w:t>
      </w:r>
      <w:bookmarkEnd w:id="349"/>
      <w:bookmarkEnd w:id="350"/>
    </w:p>
    <w:p w:rsidR="00A25B99" w:rsidRPr="000E203F" w:rsidRDefault="0088668E" w:rsidP="0088668E">
      <w:pPr>
        <w:pStyle w:val="HIPBoxquestion"/>
      </w:pPr>
      <w:bookmarkStart w:id="352" w:name="_Toc286146360"/>
      <w:r>
        <w:t xml:space="preserve">Box 3.4: </w:t>
      </w:r>
      <w:r w:rsidR="00A25B99" w:rsidRPr="000E203F">
        <w:t>Information that will assist in the establishmen</w:t>
      </w:r>
      <w:r w:rsidR="00A25B99">
        <w:t>t</w:t>
      </w:r>
      <w:r w:rsidR="00A25B99" w:rsidRPr="000E203F">
        <w:t xml:space="preserve"> of targets</w:t>
      </w:r>
      <w:r w:rsidR="00A25B99" w:rsidRPr="000E203F">
        <w:rPr>
          <w:rStyle w:val="FootnoteReference"/>
          <w:sz w:val="20"/>
          <w:szCs w:val="20"/>
        </w:rPr>
        <w:footnoteReference w:id="55"/>
      </w:r>
      <w:r w:rsidR="00A25B99" w:rsidRPr="000E203F">
        <w:t>:</w:t>
      </w:r>
      <w:bookmarkEnd w:id="352"/>
    </w:p>
    <w:p w:rsidR="00A25B99" w:rsidRPr="000E203F" w:rsidRDefault="00A25B99" w:rsidP="0088668E">
      <w:pPr>
        <w:pStyle w:val="HIPBoxenumlevel"/>
      </w:pPr>
      <w:r w:rsidRPr="00A25B99">
        <w:rPr>
          <w:color w:val="008000"/>
        </w:rPr>
        <w:t>•</w:t>
      </w:r>
      <w:r w:rsidRPr="00A25B99">
        <w:tab/>
      </w:r>
      <w:r w:rsidRPr="000E203F">
        <w:rPr>
          <w:b/>
          <w:bCs/>
          <w:i/>
          <w:iCs/>
        </w:rPr>
        <w:t>Baseline data</w:t>
      </w:r>
      <w:r w:rsidRPr="000E203F">
        <w:t xml:space="preserve"> indicating the situation at the beginning of project implementation.</w:t>
      </w:r>
      <w:r w:rsidR="005E5682">
        <w:t xml:space="preserve"> </w:t>
      </w:r>
      <w:r w:rsidRPr="000E203F">
        <w:t>When such data is not available, the project should include an activity to collect it from the start.</w:t>
      </w:r>
    </w:p>
    <w:p w:rsidR="00A25B99" w:rsidRPr="000E203F" w:rsidRDefault="00A25B99" w:rsidP="0088668E">
      <w:pPr>
        <w:pStyle w:val="HIPBoxenumlevel"/>
      </w:pPr>
      <w:r w:rsidRPr="00A25B99">
        <w:rPr>
          <w:color w:val="008000"/>
        </w:rPr>
        <w:t>•</w:t>
      </w:r>
      <w:r w:rsidRPr="00A25B99">
        <w:tab/>
      </w:r>
      <w:r w:rsidRPr="000E203F">
        <w:rPr>
          <w:b/>
          <w:bCs/>
          <w:i/>
          <w:iCs/>
        </w:rPr>
        <w:t>Historical trends</w:t>
      </w:r>
      <w:r w:rsidRPr="000E203F">
        <w:t xml:space="preserve"> in the indicator value over time.</w:t>
      </w:r>
      <w:r w:rsidR="005E5682">
        <w:t xml:space="preserve"> </w:t>
      </w:r>
      <w:r w:rsidRPr="000E203F">
        <w:t>What pattern of change has been evident in the past? Is this pattern likely to continue?</w:t>
      </w:r>
    </w:p>
    <w:p w:rsidR="00A25B99" w:rsidRPr="000E203F" w:rsidRDefault="00A25B99" w:rsidP="0088668E">
      <w:pPr>
        <w:pStyle w:val="HIPBoxenumlevel"/>
      </w:pPr>
      <w:r w:rsidRPr="00A25B99">
        <w:rPr>
          <w:color w:val="008000"/>
        </w:rPr>
        <w:t>•</w:t>
      </w:r>
      <w:r w:rsidRPr="00A25B99">
        <w:tab/>
      </w:r>
      <w:r w:rsidRPr="000E203F">
        <w:rPr>
          <w:b/>
          <w:bCs/>
          <w:i/>
          <w:iCs/>
        </w:rPr>
        <w:t>Stakeholders’ expectations</w:t>
      </w:r>
      <w:r w:rsidRPr="000E203F">
        <w:t xml:space="preserve"> of progress. Exploring the achievement expectations of all of the partners, as well as the beneficiaries will assist in providing a realistic idea of what can be achieved.</w:t>
      </w:r>
    </w:p>
    <w:p w:rsidR="00A25B99" w:rsidRPr="000E203F" w:rsidRDefault="00A25B99" w:rsidP="0088668E">
      <w:pPr>
        <w:pStyle w:val="HIPBoxenumlevel"/>
      </w:pPr>
      <w:r w:rsidRPr="00A25B99">
        <w:rPr>
          <w:color w:val="008000"/>
        </w:rPr>
        <w:t>•</w:t>
      </w:r>
      <w:r w:rsidRPr="00A25B99">
        <w:tab/>
      </w:r>
      <w:r w:rsidRPr="000E203F">
        <w:rPr>
          <w:b/>
          <w:bCs/>
          <w:i/>
          <w:iCs/>
        </w:rPr>
        <w:t>Universal Access Expert judgements and research findings.</w:t>
      </w:r>
      <w:r w:rsidR="005E5682">
        <w:t xml:space="preserve"> </w:t>
      </w:r>
      <w:r w:rsidRPr="000E203F">
        <w:t>Experts knowledgeable about the programme sector and local conditions as well as research findings are other useful sources of information for target setting.</w:t>
      </w:r>
    </w:p>
    <w:p w:rsidR="00A25B99" w:rsidRPr="000E203F" w:rsidRDefault="00A25B99" w:rsidP="0088668E">
      <w:pPr>
        <w:pStyle w:val="HIPBoxenumlevel"/>
      </w:pPr>
      <w:r w:rsidRPr="00A25B99">
        <w:rPr>
          <w:color w:val="008000"/>
        </w:rPr>
        <w:t>•</w:t>
      </w:r>
      <w:r w:rsidRPr="00A25B99">
        <w:tab/>
      </w:r>
      <w:r w:rsidRPr="000E203F">
        <w:rPr>
          <w:b/>
          <w:bCs/>
          <w:i/>
          <w:iCs/>
        </w:rPr>
        <w:t>Accomplishments of similar programmes (and projects).</w:t>
      </w:r>
      <w:r w:rsidR="005E5682">
        <w:rPr>
          <w:b/>
          <w:bCs/>
          <w:i/>
          <w:iCs/>
        </w:rPr>
        <w:t xml:space="preserve"> </w:t>
      </w:r>
      <w:r w:rsidRPr="000E203F">
        <w:t xml:space="preserve">Information on what is being done under similar conditions by other agencies and organizations who have a reputation for high performance. </w:t>
      </w:r>
    </w:p>
    <w:p w:rsidR="00A25B99" w:rsidRDefault="00A25B99" w:rsidP="00A25B99">
      <w:pPr>
        <w:pStyle w:val="HIPNormal"/>
        <w:rPr>
          <w:lang w:val="en-GB"/>
        </w:rPr>
      </w:pPr>
      <w:r>
        <w:rPr>
          <w:lang w:val="en-GB"/>
        </w:rPr>
        <w:t>Well designed projects are targeted and measurable. It is important for Fund Administrators and financiers to specify outputs against which subsidies will be disbursed at the outset.</w:t>
      </w:r>
      <w:r w:rsidR="005E5682">
        <w:rPr>
          <w:lang w:val="en-GB"/>
        </w:rPr>
        <w:t xml:space="preserve"> </w:t>
      </w:r>
      <w:r>
        <w:rPr>
          <w:lang w:val="en-GB"/>
        </w:rPr>
        <w:t>Assuming that the relevant information is at hand (see box above), there are a number of approaches that can be taken to define targets. In many countries geographic targeting is used, in others means-tests, self selection or community based targeting is used. In the latter examples, the beneficiaries of financing tend to be end users. In the case of geographic targets, although beneficiaries are ultimately end users, the direct recipients of financing are operators who will implement projects in a given area.</w:t>
      </w:r>
      <w:r w:rsidR="005E5682">
        <w:rPr>
          <w:lang w:val="en-GB"/>
        </w:rPr>
        <w:t xml:space="preserve"> </w:t>
      </w:r>
      <w:r>
        <w:rPr>
          <w:lang w:val="en-GB"/>
        </w:rPr>
        <w:t>Below is a description of each targeting approach</w:t>
      </w:r>
      <w:r>
        <w:rPr>
          <w:rStyle w:val="FootnoteReference"/>
          <w:lang w:val="en-GB"/>
        </w:rPr>
        <w:footnoteReference w:id="56"/>
      </w:r>
      <w:r>
        <w:rPr>
          <w:lang w:val="en-GB"/>
        </w:rPr>
        <w:t>:</w:t>
      </w:r>
    </w:p>
    <w:p w:rsidR="00A25B99" w:rsidRDefault="00A25B99" w:rsidP="00A25B99">
      <w:pPr>
        <w:pStyle w:val="HIPEnumlev1"/>
      </w:pPr>
      <w:r w:rsidRPr="00F52AB1">
        <w:rPr>
          <w:b/>
          <w:bCs/>
        </w:rPr>
        <w:t xml:space="preserve">Geographic targeting </w:t>
      </w:r>
      <w:r>
        <w:t xml:space="preserve">– this type of targeting results in projects that are designed to accommodate beneficiaries that are concentrated in certain areas. Because areas tend to be large and movement of individuals within an area cannot be controlled, there may be a few unintended beneficiaries of the subsidy; however the cost of excluding them does not exceed the benefit of isolating a particular area and targeting it. </w:t>
      </w:r>
    </w:p>
    <w:p w:rsidR="00A25B99" w:rsidRDefault="00A25B99" w:rsidP="00A25B99">
      <w:pPr>
        <w:pStyle w:val="HIPEnumlev2"/>
      </w:pPr>
      <w:r>
        <w:t xml:space="preserve">A geographic targeting approach is best implemented using an evidence based approach derived from having conducted market </w:t>
      </w:r>
      <w:r>
        <w:rPr>
          <w:rFonts w:hint="eastAsia"/>
        </w:rPr>
        <w:t>research</w:t>
      </w:r>
      <w:r>
        <w:t xml:space="preserve"> in an area. </w:t>
      </w:r>
    </w:p>
    <w:p w:rsidR="00A25B99" w:rsidRPr="00A25B99" w:rsidRDefault="00A25B99" w:rsidP="00A25B99">
      <w:pPr>
        <w:pStyle w:val="HIPEnumlev2"/>
        <w:rPr>
          <w:lang w:val="en-GB"/>
        </w:rPr>
      </w:pPr>
      <w:r>
        <w:t xml:space="preserve">It is most precise or effective in areas where the wealthy and the poor are geographically isolated; or where infrastructure and service gaps are based on geography. </w:t>
      </w:r>
      <w:r w:rsidRPr="00E67CC8">
        <w:t>Traditional universal access models identify the market access gaps and use Funds to address challenges outside of the market efficiency gap.</w:t>
      </w:r>
      <w:r w:rsidR="005E5682">
        <w:t xml:space="preserve"> </w:t>
      </w:r>
      <w:r w:rsidRPr="00E67CC8">
        <w:t xml:space="preserve">However, in the case of broadband projects, which may require more financing than a Fund can handle, and may require on alternative public </w:t>
      </w:r>
      <w:r w:rsidRPr="00E67CC8">
        <w:rPr>
          <w:rFonts w:hint="eastAsia"/>
        </w:rPr>
        <w:t>financing</w:t>
      </w:r>
      <w:r w:rsidRPr="00E67CC8">
        <w:t>, a new model has been conceptualised. In an EU context, t</w:t>
      </w:r>
      <w:r w:rsidRPr="00A25B99">
        <w:t>he state aid guidelines capture this new model in that they follow a</w:t>
      </w:r>
      <w:r w:rsidRPr="00E67CC8">
        <w:t xml:space="preserve"> colour</w:t>
      </w:r>
      <w:r w:rsidRPr="00A25B99">
        <w:t xml:space="preserve">-coded map of areas that should be awarded funds. Areas with no broadband infrastructure are considered “white” and are more likely to receive aid/financing assistance, while “grey” areas, with just one network, and “black” areas, with at least two or more broadband network providers, may find it harder to pass a state aid market test. This distinction is adapted to the situation of NGNs (whose deployment is still at an early stage), by requiring Member </w:t>
      </w:r>
      <w:r w:rsidRPr="00A25B99">
        <w:rPr>
          <w:rStyle w:val="highlightedsearchterm"/>
        </w:rPr>
        <w:t>State</w:t>
      </w:r>
      <w:r w:rsidRPr="00A25B99">
        <w:t xml:space="preserve">s to take into account not only </w:t>
      </w:r>
      <w:r w:rsidRPr="00A25B99">
        <w:lastRenderedPageBreak/>
        <w:t>existing NGN infrastructures but also concrete investment plans by ICT operators to deploy s</w:t>
      </w:r>
      <w:r>
        <w:t>uch networks in the near future</w:t>
      </w:r>
    </w:p>
    <w:p w:rsidR="00A25B99" w:rsidRDefault="0088668E" w:rsidP="0088668E">
      <w:pPr>
        <w:pStyle w:val="HIPBoxquestion"/>
      </w:pPr>
      <w:bookmarkStart w:id="353" w:name="_Toc286146361"/>
      <w:r>
        <w:t xml:space="preserve">Box 3.5: </w:t>
      </w:r>
      <w:r w:rsidR="00A25B99">
        <w:t>Geographic Targeting:</w:t>
      </w:r>
      <w:r w:rsidR="005E5682">
        <w:t xml:space="preserve"> </w:t>
      </w:r>
      <w:r w:rsidR="00A25B99">
        <w:t>EC Criteria for Determining an</w:t>
      </w:r>
      <w:r w:rsidR="00A25B99" w:rsidRPr="00711CBF">
        <w:t xml:space="preserve"> Areas Eligibility for </w:t>
      </w:r>
      <w:r w:rsidR="00A25B99">
        <w:t>State Aid for Broadband</w:t>
      </w:r>
      <w:bookmarkEnd w:id="353"/>
    </w:p>
    <w:p w:rsidR="00A25B99" w:rsidRPr="00711CBF" w:rsidRDefault="00A25B99" w:rsidP="0088668E">
      <w:pPr>
        <w:pStyle w:val="HIPBoxNormal"/>
      </w:pPr>
      <w:r w:rsidRPr="00F52AB1">
        <w:rPr>
          <w:b/>
          <w:bCs/>
        </w:rPr>
        <w:t>White areas:</w:t>
      </w:r>
      <w:r w:rsidRPr="00711CBF">
        <w:t xml:space="preserve"> no broadband infrastructure exists and none is likely to be developed in the near future. Support measures for broadband deployment in these areas are most likely to be considered compatible with state aid rules.</w:t>
      </w:r>
    </w:p>
    <w:p w:rsidR="00A25B99" w:rsidRPr="00711CBF" w:rsidRDefault="00A25B99" w:rsidP="0088668E">
      <w:pPr>
        <w:pStyle w:val="HIPBoxNormal"/>
      </w:pPr>
      <w:r w:rsidRPr="00F52AB1">
        <w:rPr>
          <w:b/>
          <w:bCs/>
        </w:rPr>
        <w:t>Grey areas:</w:t>
      </w:r>
      <w:r w:rsidRPr="00711CBF">
        <w:t xml:space="preserve"> only one broadband operator exists. Measures may be compatible if no affordable or adequate services are offered or are likely to be offered to satisfy the needs of citizens or business users and if no less distortive measure is available. The Commission accepts that state aid may be the only alternative where the area is underserved and the inherent profitability of investment is low</w:t>
      </w:r>
    </w:p>
    <w:p w:rsidR="00A25B99" w:rsidRDefault="00A25B99" w:rsidP="0088668E">
      <w:pPr>
        <w:pStyle w:val="HIPBoxNormal"/>
      </w:pPr>
      <w:r w:rsidRPr="00F52AB1">
        <w:rPr>
          <w:b/>
          <w:bCs/>
        </w:rPr>
        <w:t xml:space="preserve">Black areas: </w:t>
      </w:r>
      <w:r w:rsidRPr="00711CBF">
        <w:t>at least two or more broadband network providers are present and broadband services are provided under competitive conditions. Any state intervention in these areas will be viewed negatively as there is in principle no need for intervention, unless the member state is able to establish a clear market failure.</w:t>
      </w:r>
    </w:p>
    <w:p w:rsidR="00A25B99" w:rsidRDefault="00A25B99" w:rsidP="00A25B99">
      <w:pPr>
        <w:pStyle w:val="HIPEnumlev1"/>
      </w:pPr>
      <w:r w:rsidRPr="006766CD">
        <w:t>Self selection targeting – projects are de</w:t>
      </w:r>
      <w:r>
        <w:t>s</w:t>
      </w:r>
      <w:r w:rsidRPr="006766CD">
        <w:t>igned to ensure that the outputs that have been chosen by the beneficiaries receive a higher share of subsidies. Thus a ‘sliding scale’ of subsidies is possible in terms of this approach.</w:t>
      </w:r>
      <w:r w:rsidR="005E5682">
        <w:t xml:space="preserve"> </w:t>
      </w:r>
      <w:r w:rsidRPr="006766CD">
        <w:t xml:space="preserve">For example, progressively higher subsidies can be provided for more basic services or services that those who can afford would not necessarily want (e.g. basic and low cost devices or services). This approach can complement the previous approach described, i.e. geographic targeting. </w:t>
      </w:r>
    </w:p>
    <w:p w:rsidR="00A25B99" w:rsidRDefault="00A25B99" w:rsidP="00A25B99">
      <w:pPr>
        <w:pStyle w:val="HIPEnumlev1"/>
      </w:pPr>
      <w:r w:rsidRPr="006766CD">
        <w:t xml:space="preserve">Means test targeting – is an approach </w:t>
      </w:r>
      <w:r>
        <w:t xml:space="preserve">that </w:t>
      </w:r>
      <w:r w:rsidRPr="006766CD">
        <w:t>sees beneficiaries</w:t>
      </w:r>
      <w:r>
        <w:t xml:space="preserve"> determined based on </w:t>
      </w:r>
      <w:r>
        <w:rPr>
          <w:rFonts w:hint="eastAsia"/>
        </w:rPr>
        <w:t>affordability</w:t>
      </w:r>
      <w:r>
        <w:t>.</w:t>
      </w:r>
      <w:r w:rsidR="005E5682">
        <w:t xml:space="preserve"> </w:t>
      </w:r>
      <w:r>
        <w:t xml:space="preserve">This is determine using income, </w:t>
      </w:r>
      <w:r w:rsidRPr="006766CD">
        <w:t>a proxy me</w:t>
      </w:r>
      <w:r>
        <w:t>ans test,or sometimes</w:t>
      </w:r>
      <w:r w:rsidR="005E5682">
        <w:t xml:space="preserve"> </w:t>
      </w:r>
      <w:r>
        <w:t>using living standard measures (LSM)</w:t>
      </w:r>
      <w:r w:rsidRPr="006766CD">
        <w:t xml:space="preserve"> such as availability of a dwell</w:t>
      </w:r>
      <w:r>
        <w:t>ing.</w:t>
      </w:r>
      <w:r w:rsidR="005E5682">
        <w:t xml:space="preserve"> </w:t>
      </w:r>
      <w:r>
        <w:t xml:space="preserve">This approach is most effective in </w:t>
      </w:r>
      <w:r w:rsidRPr="006766CD">
        <w:t xml:space="preserve">middle income countries, particularly where an existing social grant or welfare system </w:t>
      </w:r>
      <w:r>
        <w:t xml:space="preserve">in place which can be used a point of reference. A key risk with this approach , and many user based approaches is that users can move from one </w:t>
      </w:r>
      <w:r>
        <w:rPr>
          <w:rFonts w:hint="eastAsia"/>
        </w:rPr>
        <w:t>‘</w:t>
      </w:r>
      <w:r>
        <w:t>level</w:t>
      </w:r>
      <w:r>
        <w:rPr>
          <w:rFonts w:hint="eastAsia"/>
        </w:rPr>
        <w:t>’</w:t>
      </w:r>
      <w:r>
        <w:t xml:space="preserve"> or </w:t>
      </w:r>
      <w:r>
        <w:rPr>
          <w:rFonts w:hint="eastAsia"/>
        </w:rPr>
        <w:t>‘</w:t>
      </w:r>
      <w:r>
        <w:t>status</w:t>
      </w:r>
      <w:r>
        <w:rPr>
          <w:rFonts w:hint="eastAsia"/>
        </w:rPr>
        <w:t>’</w:t>
      </w:r>
      <w:r>
        <w:t xml:space="preserve"> to another – whether the means is determined by income or access to a social grant, making monitoring and implementation of this type of targeting more complex.</w:t>
      </w:r>
    </w:p>
    <w:p w:rsidR="00A25B99" w:rsidRDefault="00A25B99" w:rsidP="00A25B99">
      <w:pPr>
        <w:pStyle w:val="HIPEnumlev1"/>
      </w:pPr>
      <w:r w:rsidRPr="006766CD">
        <w:t xml:space="preserve">Community based targeting – </w:t>
      </w:r>
      <w:r>
        <w:t>this approach allows</w:t>
      </w:r>
      <w:r w:rsidRPr="006766CD">
        <w:t xml:space="preserve"> beneficiaries</w:t>
      </w:r>
      <w:r>
        <w:t xml:space="preserve"> to be </w:t>
      </w:r>
      <w:r>
        <w:rPr>
          <w:rFonts w:hint="eastAsia"/>
        </w:rPr>
        <w:t>identified</w:t>
      </w:r>
      <w:r>
        <w:t xml:space="preserve"> by the community itself;</w:t>
      </w:r>
      <w:r w:rsidRPr="006766CD">
        <w:t xml:space="preserve"> this increases ownership and buy in with an impact therefore on sustainability. However, this approach may take more time to implement and is at risk of special interests that may exist within communities. </w:t>
      </w:r>
    </w:p>
    <w:p w:rsidR="00A25B99" w:rsidRDefault="00A25B99" w:rsidP="00A25B99">
      <w:pPr>
        <w:pStyle w:val="HIPNormal"/>
        <w:rPr>
          <w:lang w:val="en-GB"/>
        </w:rPr>
      </w:pPr>
      <w:r w:rsidRPr="006766CD">
        <w:rPr>
          <w:lang w:val="en-GB"/>
        </w:rPr>
        <w:t>Geographic and self-selection approaches are most commonly used for outcome based aid projects across sectors</w:t>
      </w:r>
      <w:r>
        <w:rPr>
          <w:lang w:val="en-GB"/>
        </w:rPr>
        <w:t xml:space="preserve">, </w:t>
      </w:r>
      <w:r>
        <w:rPr>
          <w:rFonts w:hint="eastAsia"/>
          <w:lang w:val="en-GB"/>
        </w:rPr>
        <w:t>including</w:t>
      </w:r>
      <w:r>
        <w:rPr>
          <w:lang w:val="en-GB"/>
        </w:rPr>
        <w:t xml:space="preserve"> </w:t>
      </w:r>
      <w:r w:rsidRPr="006766CD">
        <w:rPr>
          <w:lang w:val="en-GB"/>
        </w:rPr>
        <w:t>the ICT sector</w:t>
      </w:r>
      <w:r>
        <w:rPr>
          <w:lang w:val="en-GB"/>
        </w:rPr>
        <w:t>.</w:t>
      </w:r>
      <w:r w:rsidRPr="006766CD">
        <w:rPr>
          <w:lang w:val="en-GB"/>
        </w:rPr>
        <w:t xml:space="preserve"> particularly in low income countries. Means tests are also commonly used in middle income and wealthier countries.</w:t>
      </w:r>
    </w:p>
    <w:p w:rsidR="005E5682" w:rsidRDefault="005E5682">
      <w:pPr>
        <w:rPr>
          <w:rFonts w:ascii="Calibri" w:hAnsi="Calibri" w:cs="Arial"/>
          <w:b/>
          <w:bCs/>
          <w:color w:val="008000"/>
          <w:szCs w:val="24"/>
          <w:lang w:val="en-US"/>
        </w:rPr>
      </w:pPr>
      <w:r w:rsidRPr="00761E74">
        <w:rPr>
          <w:lang w:val="en-US"/>
        </w:rPr>
        <w:br w:type="page"/>
      </w:r>
    </w:p>
    <w:p w:rsidR="00A25B99" w:rsidRPr="00300E74" w:rsidRDefault="00A25B99" w:rsidP="0088668E">
      <w:pPr>
        <w:pStyle w:val="HIPTabletitle"/>
        <w:rPr>
          <w:lang w:val="en-GB"/>
        </w:rPr>
      </w:pPr>
      <w:bookmarkStart w:id="354" w:name="_Toc286146561"/>
      <w:r w:rsidRPr="00B561BD">
        <w:lastRenderedPageBreak/>
        <w:t xml:space="preserve">Table </w:t>
      </w:r>
      <w:r w:rsidR="0088668E">
        <w:t>3.6</w:t>
      </w:r>
      <w:r w:rsidRPr="00B561BD">
        <w:t>: Comparison of Targeting Approaches</w:t>
      </w:r>
      <w:r>
        <w:rPr>
          <w:rStyle w:val="FootnoteReference"/>
          <w:lang w:val="en-GB"/>
        </w:rPr>
        <w:footnoteReference w:id="57"/>
      </w:r>
      <w:bookmarkEnd w:id="3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8"/>
        <w:gridCol w:w="2485"/>
        <w:gridCol w:w="2427"/>
        <w:gridCol w:w="2007"/>
      </w:tblGrid>
      <w:tr w:rsidR="00A25B99" w:rsidRPr="00D75B19" w:rsidTr="00D75B19">
        <w:tc>
          <w:tcPr>
            <w:tcW w:w="2456" w:type="dxa"/>
            <w:shd w:val="clear" w:color="auto" w:fill="008000"/>
          </w:tcPr>
          <w:p w:rsidR="00A25B99" w:rsidRPr="006766CD" w:rsidRDefault="00A25B99" w:rsidP="00D75B19">
            <w:pPr>
              <w:pStyle w:val="HIPTablehead"/>
            </w:pPr>
            <w:r w:rsidRPr="006766CD">
              <w:t xml:space="preserve">Approach </w:t>
            </w:r>
          </w:p>
        </w:tc>
        <w:tc>
          <w:tcPr>
            <w:tcW w:w="2558" w:type="dxa"/>
            <w:shd w:val="clear" w:color="auto" w:fill="008000"/>
          </w:tcPr>
          <w:p w:rsidR="00A25B99" w:rsidRPr="006766CD" w:rsidRDefault="00A25B99" w:rsidP="00D75B19">
            <w:pPr>
              <w:pStyle w:val="HIPTablehead"/>
            </w:pPr>
            <w:r w:rsidRPr="006766CD">
              <w:t>Cost and Administrative Complexity</w:t>
            </w:r>
          </w:p>
        </w:tc>
        <w:tc>
          <w:tcPr>
            <w:tcW w:w="2507" w:type="dxa"/>
            <w:shd w:val="clear" w:color="auto" w:fill="008000"/>
          </w:tcPr>
          <w:p w:rsidR="00A25B99" w:rsidRPr="006766CD" w:rsidRDefault="00A25B99" w:rsidP="00D75B19">
            <w:pPr>
              <w:pStyle w:val="HIPTablehead"/>
            </w:pPr>
            <w:r w:rsidRPr="006766CD">
              <w:t xml:space="preserve">Effectiveness </w:t>
            </w:r>
            <w:r w:rsidR="00D75B19">
              <w:br/>
            </w:r>
            <w:r w:rsidRPr="006766CD">
              <w:t>(OBA General)</w:t>
            </w:r>
          </w:p>
        </w:tc>
        <w:tc>
          <w:tcPr>
            <w:tcW w:w="2055" w:type="dxa"/>
            <w:shd w:val="clear" w:color="auto" w:fill="008000"/>
          </w:tcPr>
          <w:p w:rsidR="00A25B99" w:rsidRPr="006766CD" w:rsidRDefault="00A25B99" w:rsidP="00D75B19">
            <w:pPr>
              <w:pStyle w:val="HIPTablehead"/>
            </w:pPr>
            <w:r w:rsidRPr="006766CD">
              <w:t>Effectiveness (ICT)</w:t>
            </w:r>
          </w:p>
        </w:tc>
      </w:tr>
      <w:tr w:rsidR="00A25B99" w:rsidRPr="00D75B19" w:rsidTr="0088668E">
        <w:tc>
          <w:tcPr>
            <w:tcW w:w="2456" w:type="dxa"/>
            <w:tcBorders>
              <w:bottom w:val="single" w:sz="4" w:space="0" w:color="auto"/>
            </w:tcBorders>
          </w:tcPr>
          <w:p w:rsidR="00A25B99" w:rsidRPr="006766CD" w:rsidRDefault="00A25B99" w:rsidP="00D75B19">
            <w:pPr>
              <w:pStyle w:val="HIPTabletext"/>
              <w:jc w:val="left"/>
              <w:rPr>
                <w:lang w:val="en-GB"/>
              </w:rPr>
            </w:pPr>
            <w:r w:rsidRPr="006766CD">
              <w:rPr>
                <w:lang w:val="en-GB"/>
              </w:rPr>
              <w:t>Geographic Targeting</w:t>
            </w:r>
          </w:p>
        </w:tc>
        <w:tc>
          <w:tcPr>
            <w:tcW w:w="2558" w:type="dxa"/>
            <w:tcBorders>
              <w:bottom w:val="single" w:sz="4" w:space="0" w:color="auto"/>
            </w:tcBorders>
          </w:tcPr>
          <w:p w:rsidR="00A25B99" w:rsidRPr="006766CD" w:rsidRDefault="00A25B99" w:rsidP="00D75B19">
            <w:pPr>
              <w:pStyle w:val="HIPTabletext"/>
              <w:jc w:val="left"/>
              <w:rPr>
                <w:lang w:val="en-GB"/>
              </w:rPr>
            </w:pPr>
            <w:r w:rsidRPr="006766CD">
              <w:rPr>
                <w:lang w:val="en-GB"/>
              </w:rPr>
              <w:t>Low</w:t>
            </w:r>
          </w:p>
        </w:tc>
        <w:tc>
          <w:tcPr>
            <w:tcW w:w="2507" w:type="dxa"/>
            <w:tcBorders>
              <w:bottom w:val="single" w:sz="4" w:space="0" w:color="auto"/>
            </w:tcBorders>
          </w:tcPr>
          <w:p w:rsidR="00A25B99" w:rsidRPr="006766CD" w:rsidRDefault="00A25B99" w:rsidP="00D75B19">
            <w:pPr>
              <w:pStyle w:val="HIPTabletext"/>
              <w:jc w:val="left"/>
              <w:rPr>
                <w:lang w:val="en-GB"/>
              </w:rPr>
            </w:pPr>
            <w:r w:rsidRPr="006766CD">
              <w:rPr>
                <w:lang w:val="en-GB"/>
              </w:rPr>
              <w:t>Low – Moderate</w:t>
            </w:r>
          </w:p>
        </w:tc>
        <w:tc>
          <w:tcPr>
            <w:tcW w:w="2055" w:type="dxa"/>
            <w:tcBorders>
              <w:bottom w:val="single" w:sz="4" w:space="0" w:color="auto"/>
            </w:tcBorders>
          </w:tcPr>
          <w:p w:rsidR="00A25B99" w:rsidRPr="006766CD" w:rsidRDefault="00A25B99" w:rsidP="00D75B19">
            <w:pPr>
              <w:pStyle w:val="HIPTabletext"/>
              <w:jc w:val="left"/>
              <w:rPr>
                <w:lang w:val="en-GB"/>
              </w:rPr>
            </w:pPr>
            <w:r w:rsidRPr="006766CD">
              <w:rPr>
                <w:lang w:val="en-GB"/>
              </w:rPr>
              <w:t>High</w:t>
            </w:r>
          </w:p>
        </w:tc>
      </w:tr>
      <w:tr w:rsidR="00A25B99" w:rsidRPr="00D75B19" w:rsidTr="0088668E">
        <w:tc>
          <w:tcPr>
            <w:tcW w:w="2456" w:type="dxa"/>
            <w:shd w:val="clear" w:color="auto" w:fill="EAF1E7"/>
          </w:tcPr>
          <w:p w:rsidR="00A25B99" w:rsidRPr="006766CD" w:rsidRDefault="00A25B99" w:rsidP="00D75B19">
            <w:pPr>
              <w:pStyle w:val="HIPTabletext"/>
              <w:jc w:val="left"/>
              <w:rPr>
                <w:lang w:val="en-GB"/>
              </w:rPr>
            </w:pPr>
            <w:r w:rsidRPr="006766CD">
              <w:rPr>
                <w:lang w:val="en-GB"/>
              </w:rPr>
              <w:t>Self Selection Targeting</w:t>
            </w:r>
          </w:p>
        </w:tc>
        <w:tc>
          <w:tcPr>
            <w:tcW w:w="2558" w:type="dxa"/>
            <w:shd w:val="clear" w:color="auto" w:fill="EAF1E7"/>
          </w:tcPr>
          <w:p w:rsidR="00A25B99" w:rsidRPr="006766CD" w:rsidRDefault="00A25B99" w:rsidP="00D75B19">
            <w:pPr>
              <w:pStyle w:val="HIPTabletext"/>
              <w:jc w:val="left"/>
              <w:rPr>
                <w:lang w:val="en-GB"/>
              </w:rPr>
            </w:pPr>
            <w:r w:rsidRPr="006766CD">
              <w:rPr>
                <w:lang w:val="en-GB"/>
              </w:rPr>
              <w:t>Low</w:t>
            </w:r>
          </w:p>
        </w:tc>
        <w:tc>
          <w:tcPr>
            <w:tcW w:w="2507" w:type="dxa"/>
            <w:shd w:val="clear" w:color="auto" w:fill="EAF1E7"/>
          </w:tcPr>
          <w:p w:rsidR="00A25B99" w:rsidRPr="006766CD" w:rsidRDefault="00A25B99" w:rsidP="00D75B19">
            <w:pPr>
              <w:pStyle w:val="HIPTabletext"/>
              <w:jc w:val="left"/>
              <w:rPr>
                <w:lang w:val="en-GB"/>
              </w:rPr>
            </w:pPr>
            <w:r w:rsidRPr="006766CD">
              <w:rPr>
                <w:lang w:val="en-GB"/>
              </w:rPr>
              <w:t>High</w:t>
            </w:r>
          </w:p>
        </w:tc>
        <w:tc>
          <w:tcPr>
            <w:tcW w:w="2055" w:type="dxa"/>
            <w:shd w:val="clear" w:color="auto" w:fill="EAF1E7"/>
          </w:tcPr>
          <w:p w:rsidR="00A25B99" w:rsidRPr="006766CD" w:rsidRDefault="00A25B99" w:rsidP="00D75B19">
            <w:pPr>
              <w:pStyle w:val="HIPTabletext"/>
              <w:jc w:val="left"/>
              <w:rPr>
                <w:lang w:val="en-GB"/>
              </w:rPr>
            </w:pPr>
            <w:r w:rsidRPr="006766CD">
              <w:rPr>
                <w:lang w:val="en-GB"/>
              </w:rPr>
              <w:t>Low – Moderate</w:t>
            </w:r>
          </w:p>
        </w:tc>
      </w:tr>
      <w:tr w:rsidR="00A25B99" w:rsidRPr="006766CD" w:rsidTr="0088668E">
        <w:tc>
          <w:tcPr>
            <w:tcW w:w="2456" w:type="dxa"/>
            <w:tcBorders>
              <w:bottom w:val="single" w:sz="4" w:space="0" w:color="auto"/>
            </w:tcBorders>
          </w:tcPr>
          <w:p w:rsidR="00A25B99" w:rsidRPr="006766CD" w:rsidRDefault="00A25B99" w:rsidP="00D75B19">
            <w:pPr>
              <w:pStyle w:val="HIPTabletext"/>
              <w:jc w:val="left"/>
              <w:rPr>
                <w:lang w:val="en-GB"/>
              </w:rPr>
            </w:pPr>
            <w:r w:rsidRPr="006766CD">
              <w:rPr>
                <w:lang w:val="en-GB"/>
              </w:rPr>
              <w:t>Means Test Targeting</w:t>
            </w:r>
          </w:p>
        </w:tc>
        <w:tc>
          <w:tcPr>
            <w:tcW w:w="2558" w:type="dxa"/>
            <w:tcBorders>
              <w:bottom w:val="single" w:sz="4" w:space="0" w:color="auto"/>
            </w:tcBorders>
          </w:tcPr>
          <w:p w:rsidR="00A25B99" w:rsidRPr="006766CD" w:rsidRDefault="00A25B99" w:rsidP="00D75B19">
            <w:pPr>
              <w:pStyle w:val="HIPTabletext"/>
              <w:jc w:val="left"/>
              <w:rPr>
                <w:lang w:val="en-GB"/>
              </w:rPr>
            </w:pPr>
            <w:r w:rsidRPr="006766CD">
              <w:rPr>
                <w:lang w:val="en-GB"/>
              </w:rPr>
              <w:t>High</w:t>
            </w:r>
          </w:p>
        </w:tc>
        <w:tc>
          <w:tcPr>
            <w:tcW w:w="2507" w:type="dxa"/>
            <w:tcBorders>
              <w:bottom w:val="single" w:sz="4" w:space="0" w:color="auto"/>
            </w:tcBorders>
          </w:tcPr>
          <w:p w:rsidR="00A25B99" w:rsidRPr="006766CD" w:rsidRDefault="00A25B99" w:rsidP="00D75B19">
            <w:pPr>
              <w:pStyle w:val="HIPTabletext"/>
              <w:jc w:val="left"/>
              <w:rPr>
                <w:lang w:val="en-GB"/>
              </w:rPr>
            </w:pPr>
            <w:r w:rsidRPr="006766CD">
              <w:rPr>
                <w:lang w:val="en-GB"/>
              </w:rPr>
              <w:t>High</w:t>
            </w:r>
          </w:p>
        </w:tc>
        <w:tc>
          <w:tcPr>
            <w:tcW w:w="2055" w:type="dxa"/>
            <w:tcBorders>
              <w:bottom w:val="single" w:sz="4" w:space="0" w:color="auto"/>
            </w:tcBorders>
          </w:tcPr>
          <w:p w:rsidR="00A25B99" w:rsidRPr="006766CD" w:rsidRDefault="00A25B99" w:rsidP="00D75B19">
            <w:pPr>
              <w:pStyle w:val="HIPTabletext"/>
              <w:jc w:val="left"/>
              <w:rPr>
                <w:lang w:val="en-GB"/>
              </w:rPr>
            </w:pPr>
            <w:r w:rsidRPr="006766CD">
              <w:rPr>
                <w:lang w:val="en-GB"/>
              </w:rPr>
              <w:t>Moderate</w:t>
            </w:r>
          </w:p>
        </w:tc>
      </w:tr>
      <w:tr w:rsidR="00A25B99" w:rsidRPr="006766CD" w:rsidTr="0088668E">
        <w:tc>
          <w:tcPr>
            <w:tcW w:w="2456" w:type="dxa"/>
            <w:shd w:val="clear" w:color="auto" w:fill="EAF1E7"/>
          </w:tcPr>
          <w:p w:rsidR="00A25B99" w:rsidRPr="006766CD" w:rsidRDefault="00A25B99" w:rsidP="00D75B19">
            <w:pPr>
              <w:pStyle w:val="HIPTabletext"/>
              <w:jc w:val="left"/>
              <w:rPr>
                <w:lang w:val="en-GB"/>
              </w:rPr>
            </w:pPr>
            <w:r w:rsidRPr="006766CD">
              <w:rPr>
                <w:lang w:val="en-GB"/>
              </w:rPr>
              <w:t>Proxy Means Test Targeting</w:t>
            </w:r>
          </w:p>
        </w:tc>
        <w:tc>
          <w:tcPr>
            <w:tcW w:w="2558" w:type="dxa"/>
            <w:shd w:val="clear" w:color="auto" w:fill="EAF1E7"/>
          </w:tcPr>
          <w:p w:rsidR="00A25B99" w:rsidRPr="006766CD" w:rsidRDefault="00A25B99" w:rsidP="00D75B19">
            <w:pPr>
              <w:pStyle w:val="HIPTabletext"/>
              <w:jc w:val="left"/>
              <w:rPr>
                <w:lang w:val="en-GB"/>
              </w:rPr>
            </w:pPr>
            <w:r w:rsidRPr="006766CD">
              <w:rPr>
                <w:lang w:val="en-GB"/>
              </w:rPr>
              <w:t>Moderate</w:t>
            </w:r>
          </w:p>
        </w:tc>
        <w:tc>
          <w:tcPr>
            <w:tcW w:w="2507" w:type="dxa"/>
            <w:shd w:val="clear" w:color="auto" w:fill="EAF1E7"/>
          </w:tcPr>
          <w:p w:rsidR="00A25B99" w:rsidRPr="006766CD" w:rsidRDefault="00A25B99" w:rsidP="00D75B19">
            <w:pPr>
              <w:pStyle w:val="HIPTabletext"/>
              <w:jc w:val="left"/>
              <w:rPr>
                <w:lang w:val="en-GB"/>
              </w:rPr>
            </w:pPr>
            <w:r w:rsidRPr="006766CD">
              <w:rPr>
                <w:lang w:val="en-GB"/>
              </w:rPr>
              <w:t>Moderate</w:t>
            </w:r>
          </w:p>
        </w:tc>
        <w:tc>
          <w:tcPr>
            <w:tcW w:w="2055" w:type="dxa"/>
            <w:shd w:val="clear" w:color="auto" w:fill="EAF1E7"/>
          </w:tcPr>
          <w:p w:rsidR="00A25B99" w:rsidRPr="006766CD" w:rsidRDefault="00A25B99" w:rsidP="00D75B19">
            <w:pPr>
              <w:pStyle w:val="HIPTabletext"/>
              <w:jc w:val="left"/>
              <w:rPr>
                <w:lang w:val="en-GB"/>
              </w:rPr>
            </w:pPr>
            <w:r w:rsidRPr="006766CD">
              <w:rPr>
                <w:lang w:val="en-GB"/>
              </w:rPr>
              <w:t>Moderate</w:t>
            </w:r>
          </w:p>
        </w:tc>
      </w:tr>
      <w:tr w:rsidR="00A25B99" w:rsidRPr="006766CD" w:rsidTr="00A72D2A">
        <w:tc>
          <w:tcPr>
            <w:tcW w:w="2456" w:type="dxa"/>
          </w:tcPr>
          <w:p w:rsidR="00A25B99" w:rsidRPr="006766CD" w:rsidRDefault="00A25B99" w:rsidP="00D75B19">
            <w:pPr>
              <w:pStyle w:val="HIPTabletext"/>
              <w:jc w:val="left"/>
              <w:rPr>
                <w:lang w:val="en-GB"/>
              </w:rPr>
            </w:pPr>
            <w:r w:rsidRPr="006766CD">
              <w:rPr>
                <w:lang w:val="en-GB"/>
              </w:rPr>
              <w:t>Community Based Targeting</w:t>
            </w:r>
          </w:p>
        </w:tc>
        <w:tc>
          <w:tcPr>
            <w:tcW w:w="2558" w:type="dxa"/>
          </w:tcPr>
          <w:p w:rsidR="00A25B99" w:rsidRPr="006766CD" w:rsidRDefault="00A25B99" w:rsidP="00D75B19">
            <w:pPr>
              <w:pStyle w:val="HIPTabletext"/>
              <w:jc w:val="left"/>
              <w:rPr>
                <w:lang w:val="en-GB"/>
              </w:rPr>
            </w:pPr>
            <w:r w:rsidRPr="006766CD">
              <w:rPr>
                <w:lang w:val="en-GB"/>
              </w:rPr>
              <w:t xml:space="preserve">Moderate – High </w:t>
            </w:r>
          </w:p>
        </w:tc>
        <w:tc>
          <w:tcPr>
            <w:tcW w:w="2507" w:type="dxa"/>
          </w:tcPr>
          <w:p w:rsidR="00A25B99" w:rsidRPr="006766CD" w:rsidRDefault="00A25B99" w:rsidP="00D75B19">
            <w:pPr>
              <w:pStyle w:val="HIPTabletext"/>
              <w:jc w:val="left"/>
              <w:rPr>
                <w:lang w:val="en-GB"/>
              </w:rPr>
            </w:pPr>
            <w:r w:rsidRPr="006766CD">
              <w:rPr>
                <w:lang w:val="en-GB"/>
              </w:rPr>
              <w:t>Moderate</w:t>
            </w:r>
          </w:p>
        </w:tc>
        <w:tc>
          <w:tcPr>
            <w:tcW w:w="2055" w:type="dxa"/>
          </w:tcPr>
          <w:p w:rsidR="00A25B99" w:rsidRPr="006766CD" w:rsidRDefault="00A25B99" w:rsidP="00D75B19">
            <w:pPr>
              <w:pStyle w:val="HIPTabletext"/>
              <w:jc w:val="left"/>
              <w:rPr>
                <w:lang w:val="en-GB"/>
              </w:rPr>
            </w:pPr>
            <w:r w:rsidRPr="006766CD">
              <w:rPr>
                <w:lang w:val="en-GB"/>
              </w:rPr>
              <w:t>High</w:t>
            </w:r>
          </w:p>
        </w:tc>
      </w:tr>
    </w:tbl>
    <w:p w:rsidR="00A25B99" w:rsidRPr="00A17DB3" w:rsidRDefault="0088668E" w:rsidP="0088668E">
      <w:pPr>
        <w:pStyle w:val="HIPheading4"/>
      </w:pPr>
      <w:bookmarkStart w:id="355" w:name="_Toc281459592"/>
      <w:bookmarkStart w:id="356" w:name="_Toc284597987"/>
      <w:r>
        <w:t>3.3.</w:t>
      </w:r>
      <w:r w:rsidR="00D75B19">
        <w:t>1.5</w:t>
      </w:r>
      <w:r w:rsidR="00D75B19">
        <w:tab/>
      </w:r>
      <w:r w:rsidR="00A25B99" w:rsidRPr="00A17DB3">
        <w:t>Developmental Impact of the Project</w:t>
      </w:r>
      <w:bookmarkEnd w:id="355"/>
      <w:bookmarkEnd w:id="356"/>
    </w:p>
    <w:p w:rsidR="00A25B99" w:rsidRDefault="00A25B99" w:rsidP="00D75B19">
      <w:pPr>
        <w:pStyle w:val="HIPNormal"/>
        <w:rPr>
          <w:lang w:val="en-US"/>
        </w:rPr>
      </w:pPr>
      <w:r w:rsidRPr="007A6E79">
        <w:rPr>
          <w:lang w:val="en-US"/>
        </w:rPr>
        <w:t>This section provides guidance on the manner in which the Fund Administrator can assess the impact of the project on the countr</w:t>
      </w:r>
      <w:r>
        <w:rPr>
          <w:lang w:val="en-US"/>
        </w:rPr>
        <w:t>y</w:t>
      </w:r>
      <w:r>
        <w:rPr>
          <w:rFonts w:hint="eastAsia"/>
          <w:lang w:val="en-US"/>
        </w:rPr>
        <w:t>’</w:t>
      </w:r>
      <w:r w:rsidRPr="007A6E79">
        <w:rPr>
          <w:lang w:val="en-US"/>
        </w:rPr>
        <w:t>s socio-economic objectives and target</w:t>
      </w:r>
      <w:r>
        <w:rPr>
          <w:lang w:val="en-US"/>
        </w:rPr>
        <w:t>s</w:t>
      </w:r>
      <w:r w:rsidRPr="007A6E79">
        <w:rPr>
          <w:lang w:val="en-US"/>
        </w:rPr>
        <w:t>.</w:t>
      </w:r>
      <w:r w:rsidR="005E5682">
        <w:rPr>
          <w:lang w:val="en-US"/>
        </w:rPr>
        <w:t xml:space="preserve"> </w:t>
      </w:r>
      <w:r w:rsidRPr="007A6E79">
        <w:rPr>
          <w:lang w:val="en-US"/>
        </w:rPr>
        <w:t>This requires consideration of the projects</w:t>
      </w:r>
      <w:r>
        <w:rPr>
          <w:rFonts w:hint="eastAsia"/>
          <w:lang w:val="en-US"/>
        </w:rPr>
        <w:t>’</w:t>
      </w:r>
      <w:r w:rsidRPr="007A6E79">
        <w:rPr>
          <w:lang w:val="en-US"/>
        </w:rPr>
        <w:t xml:space="preserve"> intended benefici</w:t>
      </w:r>
      <w:r>
        <w:rPr>
          <w:lang w:val="en-US"/>
        </w:rPr>
        <w:t>aries (see targeting, section 1.4 above</w:t>
      </w:r>
      <w:r w:rsidRPr="007A6E79">
        <w:rPr>
          <w:lang w:val="en-US"/>
        </w:rPr>
        <w:t>), the impact on beneficiaries, the quantification of benefits, and the sustainability of the project.</w:t>
      </w:r>
      <w:r w:rsidR="005E5682">
        <w:rPr>
          <w:lang w:val="en-US"/>
        </w:rPr>
        <w:t xml:space="preserve"> </w:t>
      </w:r>
      <w:r w:rsidRPr="007A6E79">
        <w:rPr>
          <w:lang w:val="en-US"/>
        </w:rPr>
        <w:t>The use of th</w:t>
      </w:r>
      <w:r>
        <w:rPr>
          <w:lang w:val="en-US"/>
        </w:rPr>
        <w:t>ese</w:t>
      </w:r>
      <w:r w:rsidRPr="007A6E79">
        <w:rPr>
          <w:lang w:val="en-US"/>
        </w:rPr>
        <w:t xml:space="preserve"> </w:t>
      </w:r>
      <w:r>
        <w:rPr>
          <w:lang w:val="en-US"/>
        </w:rPr>
        <w:t>G</w:t>
      </w:r>
      <w:r w:rsidRPr="007A6E79">
        <w:rPr>
          <w:lang w:val="en-US"/>
        </w:rPr>
        <w:t>uidelines will vary from project to project although the principles remain the same.</w:t>
      </w:r>
    </w:p>
    <w:p w:rsidR="00A25B99" w:rsidRPr="007A6E79" w:rsidRDefault="00A25B99" w:rsidP="00D75B19">
      <w:pPr>
        <w:pStyle w:val="HIPNormal"/>
        <w:rPr>
          <w:lang w:val="en-US"/>
        </w:rPr>
      </w:pPr>
      <w:r w:rsidRPr="007A6E79">
        <w:rPr>
          <w:lang w:val="en-US"/>
        </w:rPr>
        <w:t>Projects that are most likely to succeed are those that are commercially successful (i.e. successful from a market perspective) as well as from a developmental perspective.</w:t>
      </w:r>
      <w:r w:rsidR="005E5682">
        <w:rPr>
          <w:lang w:val="en-US"/>
        </w:rPr>
        <w:t xml:space="preserve"> </w:t>
      </w:r>
      <w:r w:rsidRPr="007A6E79">
        <w:rPr>
          <w:lang w:val="en-US"/>
        </w:rPr>
        <w:t xml:space="preserve">This means an equal focus on demand and needs as on </w:t>
      </w:r>
      <w:r>
        <w:rPr>
          <w:lang w:val="en-US"/>
        </w:rPr>
        <w:t xml:space="preserve">supply and </w:t>
      </w:r>
      <w:r w:rsidRPr="007A6E79">
        <w:rPr>
          <w:lang w:val="en-US"/>
        </w:rPr>
        <w:t>socio-economic impact.</w:t>
      </w:r>
      <w:r w:rsidR="005E5682">
        <w:rPr>
          <w:lang w:val="en-US"/>
        </w:rPr>
        <w:t xml:space="preserve"> </w:t>
      </w:r>
      <w:r w:rsidRPr="007A6E79">
        <w:rPr>
          <w:lang w:val="en-US"/>
        </w:rPr>
        <w:t>Where the impact is skewed towards the socio-economic impact, as has been seen through several unsuccessful telecentre and multi-purpose community centre projects in the SADC region, and market impact is not given enough weight, sustainability becomes an issue.</w:t>
      </w:r>
    </w:p>
    <w:p w:rsidR="00A25B99" w:rsidRPr="007A6E79" w:rsidRDefault="00A25B99" w:rsidP="00D75B19">
      <w:pPr>
        <w:pStyle w:val="HIPNormal"/>
        <w:rPr>
          <w:lang w:val="en-US"/>
        </w:rPr>
      </w:pPr>
      <w:r w:rsidRPr="007A6E79">
        <w:rPr>
          <w:lang w:val="en-US"/>
        </w:rPr>
        <w:t>Impact assessment requires a qualitative analysis as well as a quantitative analysis. The following checklists</w:t>
      </w:r>
      <w:r w:rsidRPr="005D7D67">
        <w:rPr>
          <w:rStyle w:val="FootnoteReference"/>
        </w:rPr>
        <w:footnoteReference w:id="58"/>
      </w:r>
      <w:r w:rsidRPr="007A6E79">
        <w:rPr>
          <w:lang w:val="en-US"/>
        </w:rPr>
        <w:t xml:space="preserve"> provide an overview of the basic issues to be addressed qualitatively and quantitatively from a developmental and market perspective.</w:t>
      </w:r>
    </w:p>
    <w:p w:rsidR="00A25B99" w:rsidRDefault="00A25B99" w:rsidP="0088668E">
      <w:pPr>
        <w:pStyle w:val="HIPTabletitle"/>
      </w:pPr>
      <w:bookmarkStart w:id="357" w:name="_Toc286146562"/>
      <w:r>
        <w:t xml:space="preserve">Table </w:t>
      </w:r>
      <w:r w:rsidR="0088668E">
        <w:t>3.7</w:t>
      </w:r>
      <w:r>
        <w:t>: Developmental Rationale</w:t>
      </w:r>
      <w:r>
        <w:rPr>
          <w:rStyle w:val="FootnoteReference"/>
        </w:rPr>
        <w:footnoteReference w:id="59"/>
      </w:r>
      <w:bookmarkEnd w:id="3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2"/>
        <w:gridCol w:w="6285"/>
      </w:tblGrid>
      <w:tr w:rsidR="00A25B99" w:rsidRPr="00A3379B" w:rsidTr="00D75B19">
        <w:tc>
          <w:tcPr>
            <w:tcW w:w="3078" w:type="dxa"/>
            <w:shd w:val="clear" w:color="auto" w:fill="EAF1DD"/>
          </w:tcPr>
          <w:p w:rsidR="00A25B99" w:rsidRPr="006766CD" w:rsidRDefault="00A25B99" w:rsidP="00D75B19">
            <w:pPr>
              <w:pStyle w:val="HIPTabletext"/>
            </w:pPr>
            <w:r w:rsidRPr="006766CD">
              <w:t>Vision and Objective</w:t>
            </w:r>
          </w:p>
        </w:tc>
        <w:tc>
          <w:tcPr>
            <w:tcW w:w="6498" w:type="dxa"/>
            <w:shd w:val="clear" w:color="auto" w:fill="EAF1DD"/>
          </w:tcPr>
          <w:p w:rsidR="00A25B99" w:rsidRPr="007A6E79" w:rsidRDefault="00A25B99" w:rsidP="00D75B19">
            <w:pPr>
              <w:pStyle w:val="HIPTabletext"/>
              <w:rPr>
                <w:lang w:val="en-US"/>
              </w:rPr>
            </w:pPr>
            <w:r w:rsidRPr="007A6E79">
              <w:rPr>
                <w:lang w:val="en-US"/>
              </w:rPr>
              <w:t>What are the core idea, objectives and key outputs of the project?</w:t>
            </w:r>
          </w:p>
          <w:p w:rsidR="00A25B99" w:rsidRPr="007A6E79" w:rsidRDefault="00A25B99" w:rsidP="00D75B19">
            <w:pPr>
              <w:pStyle w:val="HIPTabletext"/>
              <w:rPr>
                <w:lang w:val="en-US"/>
              </w:rPr>
            </w:pPr>
            <w:r w:rsidRPr="007A6E79">
              <w:rPr>
                <w:lang w:val="en-US"/>
              </w:rPr>
              <w:t>Describe the before/after picture (e.g. X villages with no access at project inception will have MPCCs, Y institutions will have high speed broadband access to the internet through 5 regional POPs)</w:t>
            </w:r>
          </w:p>
        </w:tc>
      </w:tr>
      <w:tr w:rsidR="00A25B99" w:rsidRPr="00A3379B" w:rsidTr="00D75B19">
        <w:tc>
          <w:tcPr>
            <w:tcW w:w="3078" w:type="dxa"/>
            <w:tcBorders>
              <w:bottom w:val="single" w:sz="4" w:space="0" w:color="auto"/>
            </w:tcBorders>
          </w:tcPr>
          <w:p w:rsidR="00A25B99" w:rsidRPr="006766CD" w:rsidRDefault="00A25B99" w:rsidP="00D75B19">
            <w:pPr>
              <w:pStyle w:val="HIPTabletext"/>
            </w:pPr>
            <w:r w:rsidRPr="006766CD">
              <w:t>General</w:t>
            </w:r>
            <w:r w:rsidRPr="000F1695">
              <w:rPr>
                <w:lang w:val="en-GB"/>
              </w:rPr>
              <w:t xml:space="preserve"> development</w:t>
            </w:r>
            <w:r w:rsidRPr="006766CD">
              <w:t xml:space="preserve"> focus</w:t>
            </w:r>
          </w:p>
        </w:tc>
        <w:tc>
          <w:tcPr>
            <w:tcW w:w="6498" w:type="dxa"/>
            <w:tcBorders>
              <w:bottom w:val="single" w:sz="4" w:space="0" w:color="auto"/>
            </w:tcBorders>
          </w:tcPr>
          <w:p w:rsidR="00A25B99" w:rsidRPr="007A6E79" w:rsidRDefault="00A25B99" w:rsidP="00D75B19">
            <w:pPr>
              <w:pStyle w:val="HIPTabletext"/>
              <w:rPr>
                <w:lang w:val="en-US"/>
              </w:rPr>
            </w:pPr>
            <w:r w:rsidRPr="007A6E79">
              <w:rPr>
                <w:lang w:val="en-US"/>
              </w:rPr>
              <w:t>Is the project aligned with developmental goals set out in policy or other instruments in the country?</w:t>
            </w:r>
          </w:p>
          <w:p w:rsidR="00A25B99" w:rsidRPr="007A6E79" w:rsidRDefault="00A25B99" w:rsidP="00D75B19">
            <w:pPr>
              <w:pStyle w:val="HIPTabletext"/>
              <w:rPr>
                <w:lang w:val="en-US"/>
              </w:rPr>
            </w:pPr>
            <w:r w:rsidRPr="007A6E79">
              <w:rPr>
                <w:lang w:val="en-US"/>
              </w:rPr>
              <w:t>Can the project influence the broader developmental agendas within the ICT sector, or affected sectors (e.g. health, education)</w:t>
            </w:r>
          </w:p>
          <w:p w:rsidR="00A25B99" w:rsidRPr="007A6E79" w:rsidRDefault="00A25B99" w:rsidP="00D75B19">
            <w:pPr>
              <w:pStyle w:val="HIPTabletext"/>
              <w:rPr>
                <w:lang w:val="en-US"/>
              </w:rPr>
            </w:pPr>
            <w:r w:rsidRPr="007A6E79">
              <w:rPr>
                <w:lang w:val="en-US"/>
              </w:rPr>
              <w:t>Will the execution of the project promote sustainable and equitable development?</w:t>
            </w:r>
          </w:p>
        </w:tc>
      </w:tr>
      <w:tr w:rsidR="00A25B99" w:rsidRPr="00A3379B" w:rsidTr="00D75B19">
        <w:tc>
          <w:tcPr>
            <w:tcW w:w="3078" w:type="dxa"/>
            <w:shd w:val="clear" w:color="auto" w:fill="EAF1DD"/>
          </w:tcPr>
          <w:p w:rsidR="00A25B99" w:rsidRPr="006766CD" w:rsidRDefault="00A25B99" w:rsidP="00D75B19">
            <w:pPr>
              <w:pStyle w:val="HIPTabletext"/>
            </w:pPr>
            <w:r w:rsidRPr="006766CD">
              <w:lastRenderedPageBreak/>
              <w:t>Project</w:t>
            </w:r>
            <w:r w:rsidRPr="000F1695">
              <w:rPr>
                <w:lang w:val="en-AU"/>
              </w:rPr>
              <w:t xml:space="preserve"> beneficiaries</w:t>
            </w:r>
          </w:p>
        </w:tc>
        <w:tc>
          <w:tcPr>
            <w:tcW w:w="6498" w:type="dxa"/>
            <w:shd w:val="clear" w:color="auto" w:fill="EAF1DD"/>
          </w:tcPr>
          <w:p w:rsidR="00A25B99" w:rsidRPr="007A6E79" w:rsidRDefault="00A25B99" w:rsidP="00D75B19">
            <w:pPr>
              <w:pStyle w:val="HIPTabletext"/>
              <w:rPr>
                <w:lang w:val="en-US"/>
              </w:rPr>
            </w:pPr>
            <w:r w:rsidRPr="007A6E79">
              <w:rPr>
                <w:lang w:val="en-US"/>
              </w:rPr>
              <w:t>Is the project targeted at specific communities, classes of people, income groups, age groups, gender?</w:t>
            </w:r>
          </w:p>
          <w:p w:rsidR="00A25B99" w:rsidRPr="007A6E79" w:rsidRDefault="00A25B99" w:rsidP="00D75B19">
            <w:pPr>
              <w:pStyle w:val="HIPTabletext"/>
              <w:rPr>
                <w:lang w:val="en-US"/>
              </w:rPr>
            </w:pPr>
            <w:r w:rsidRPr="007A6E79">
              <w:rPr>
                <w:lang w:val="en-US"/>
              </w:rPr>
              <w:t>How will the project meet the needs and demands of its targeted beneficiaries?</w:t>
            </w:r>
          </w:p>
        </w:tc>
      </w:tr>
      <w:tr w:rsidR="00A25B99" w:rsidRPr="00A3379B" w:rsidTr="00D75B19">
        <w:tc>
          <w:tcPr>
            <w:tcW w:w="3078" w:type="dxa"/>
            <w:tcBorders>
              <w:bottom w:val="single" w:sz="4" w:space="0" w:color="auto"/>
            </w:tcBorders>
          </w:tcPr>
          <w:p w:rsidR="00A25B99" w:rsidRPr="006766CD" w:rsidRDefault="00A25B99" w:rsidP="00D75B19">
            <w:pPr>
              <w:pStyle w:val="HIPTabletext"/>
            </w:pPr>
            <w:r w:rsidRPr="006766CD">
              <w:t>Nature of</w:t>
            </w:r>
            <w:r w:rsidRPr="000F1695">
              <w:rPr>
                <w:lang w:val="en-AU"/>
              </w:rPr>
              <w:t xml:space="preserve"> benefits</w:t>
            </w:r>
          </w:p>
        </w:tc>
        <w:tc>
          <w:tcPr>
            <w:tcW w:w="6498" w:type="dxa"/>
            <w:tcBorders>
              <w:bottom w:val="single" w:sz="4" w:space="0" w:color="auto"/>
            </w:tcBorders>
          </w:tcPr>
          <w:p w:rsidR="00A25B99" w:rsidRPr="007A6E79" w:rsidRDefault="00A25B99" w:rsidP="00D75B19">
            <w:pPr>
              <w:pStyle w:val="HIPTabletext"/>
              <w:rPr>
                <w:lang w:val="en-US"/>
              </w:rPr>
            </w:pPr>
            <w:r w:rsidRPr="007A6E79">
              <w:rPr>
                <w:lang w:val="en-US"/>
              </w:rPr>
              <w:t>What is the primary nature of the benefits of the project?</w:t>
            </w:r>
          </w:p>
          <w:p w:rsidR="00A25B99" w:rsidRPr="007A6E79" w:rsidRDefault="00A25B99" w:rsidP="00D75B19">
            <w:pPr>
              <w:pStyle w:val="HIPTabletext"/>
              <w:rPr>
                <w:lang w:val="en-US"/>
              </w:rPr>
            </w:pPr>
            <w:r w:rsidRPr="007A6E79">
              <w:rPr>
                <w:lang w:val="en-US"/>
              </w:rPr>
              <w:t>Will the project have an impact on working conditions, employment or the quality of life?</w:t>
            </w:r>
          </w:p>
          <w:p w:rsidR="00A25B99" w:rsidRPr="007A6E79" w:rsidRDefault="00A25B99" w:rsidP="00D75B19">
            <w:pPr>
              <w:pStyle w:val="HIPTabletext"/>
              <w:rPr>
                <w:lang w:val="en-US"/>
              </w:rPr>
            </w:pPr>
            <w:r w:rsidRPr="007A6E79">
              <w:rPr>
                <w:lang w:val="en-US"/>
              </w:rPr>
              <w:t>What secondary or indirect impacts will the project have (e.g. better service delivery)</w:t>
            </w:r>
          </w:p>
          <w:p w:rsidR="00A25B99" w:rsidRPr="007A6E79" w:rsidRDefault="00A25B99" w:rsidP="00D75B19">
            <w:pPr>
              <w:pStyle w:val="HIPTabletext"/>
              <w:rPr>
                <w:lang w:val="en-US"/>
              </w:rPr>
            </w:pPr>
            <w:r w:rsidRPr="007A6E79">
              <w:rPr>
                <w:lang w:val="en-US"/>
              </w:rPr>
              <w:t>What will the effect of the project be on freedom, values, culture, democracy, etc?</w:t>
            </w:r>
          </w:p>
        </w:tc>
      </w:tr>
      <w:tr w:rsidR="00A25B99" w:rsidRPr="000F1695" w:rsidTr="00D75B19">
        <w:tc>
          <w:tcPr>
            <w:tcW w:w="3078" w:type="dxa"/>
            <w:shd w:val="clear" w:color="auto" w:fill="EAF1DD"/>
          </w:tcPr>
          <w:p w:rsidR="00A25B99" w:rsidRPr="006766CD" w:rsidRDefault="00A25B99" w:rsidP="00D75B19">
            <w:pPr>
              <w:pStyle w:val="HIPTabletext"/>
            </w:pPr>
            <w:r w:rsidRPr="006766CD">
              <w:t>Distribution of</w:t>
            </w:r>
            <w:r w:rsidRPr="000F1695">
              <w:rPr>
                <w:lang w:val="en-AU"/>
              </w:rPr>
              <w:t xml:space="preserve"> benefits</w:t>
            </w:r>
          </w:p>
        </w:tc>
        <w:tc>
          <w:tcPr>
            <w:tcW w:w="6498" w:type="dxa"/>
            <w:shd w:val="clear" w:color="auto" w:fill="EAF1DD"/>
          </w:tcPr>
          <w:p w:rsidR="00A25B99" w:rsidRPr="007A6E79" w:rsidRDefault="00A25B99" w:rsidP="00D75B19">
            <w:pPr>
              <w:pStyle w:val="HIPTabletext"/>
              <w:rPr>
                <w:lang w:val="en-US"/>
              </w:rPr>
            </w:pPr>
            <w:r w:rsidRPr="007A6E79">
              <w:rPr>
                <w:lang w:val="en-US"/>
              </w:rPr>
              <w:t>What special benefits will the poor, and other income groups enjoy?</w:t>
            </w:r>
          </w:p>
          <w:p w:rsidR="00A25B99" w:rsidRPr="006766CD" w:rsidRDefault="00A25B99" w:rsidP="00D75B19">
            <w:pPr>
              <w:pStyle w:val="HIPTabletext"/>
            </w:pPr>
            <w:r w:rsidRPr="007A6E79">
              <w:rPr>
                <w:lang w:val="en-US"/>
              </w:rPr>
              <w:t xml:space="preserve">How much local participation does the project encourage – design? </w:t>
            </w:r>
            <w:r w:rsidRPr="006766CD">
              <w:t>Implementation? Ownership?</w:t>
            </w:r>
          </w:p>
        </w:tc>
      </w:tr>
      <w:tr w:rsidR="00A25B99" w:rsidRPr="00A3379B" w:rsidTr="00A72D2A">
        <w:tc>
          <w:tcPr>
            <w:tcW w:w="3078" w:type="dxa"/>
          </w:tcPr>
          <w:p w:rsidR="00A25B99" w:rsidRPr="006766CD" w:rsidRDefault="00A25B99" w:rsidP="00D75B19">
            <w:pPr>
              <w:pStyle w:val="HIPTabletext"/>
            </w:pPr>
            <w:r w:rsidRPr="000F1695">
              <w:rPr>
                <w:lang w:val="en-AU"/>
              </w:rPr>
              <w:t>Gender</w:t>
            </w:r>
            <w:r w:rsidRPr="006766CD">
              <w:t xml:space="preserve"> consideration</w:t>
            </w:r>
          </w:p>
        </w:tc>
        <w:tc>
          <w:tcPr>
            <w:tcW w:w="6498" w:type="dxa"/>
          </w:tcPr>
          <w:p w:rsidR="00A25B99" w:rsidRPr="007A6E79" w:rsidRDefault="00A25B99" w:rsidP="00D75B19">
            <w:pPr>
              <w:pStyle w:val="HIPTabletext"/>
              <w:rPr>
                <w:lang w:val="en-US"/>
              </w:rPr>
            </w:pPr>
            <w:r w:rsidRPr="007A6E79">
              <w:rPr>
                <w:lang w:val="en-US"/>
              </w:rPr>
              <w:t>Does the project design take into account different gender roles, perspectives, interests and priorities?</w:t>
            </w:r>
          </w:p>
          <w:p w:rsidR="00A25B99" w:rsidRPr="007A6E79" w:rsidRDefault="00A25B99" w:rsidP="00D75B19">
            <w:pPr>
              <w:pStyle w:val="HIPTabletext"/>
              <w:rPr>
                <w:lang w:val="en-US"/>
              </w:rPr>
            </w:pPr>
            <w:r w:rsidRPr="007A6E79">
              <w:rPr>
                <w:lang w:val="en-US"/>
              </w:rPr>
              <w:t>Will research data, demand and expected impacts be reported according to gender?</w:t>
            </w:r>
          </w:p>
          <w:p w:rsidR="00A25B99" w:rsidRPr="007A6E79" w:rsidRDefault="00A25B99" w:rsidP="00D75B19">
            <w:pPr>
              <w:pStyle w:val="HIPTabletext"/>
              <w:rPr>
                <w:lang w:val="en-US"/>
              </w:rPr>
            </w:pPr>
            <w:r w:rsidRPr="007A6E79">
              <w:rPr>
                <w:lang w:val="en-US"/>
              </w:rPr>
              <w:t>Does the capacity building component of the project take into account gender?</w:t>
            </w:r>
          </w:p>
          <w:p w:rsidR="00A25B99" w:rsidRPr="007A6E79" w:rsidRDefault="00A25B99" w:rsidP="00D75B19">
            <w:pPr>
              <w:pStyle w:val="HIPTabletext"/>
              <w:rPr>
                <w:lang w:val="en-US"/>
              </w:rPr>
            </w:pPr>
            <w:r w:rsidRPr="007A6E79">
              <w:rPr>
                <w:lang w:val="en-US"/>
              </w:rPr>
              <w:t>What is the specific value of the services/products arising from the project on women?</w:t>
            </w:r>
          </w:p>
        </w:tc>
      </w:tr>
    </w:tbl>
    <w:p w:rsidR="00A25B99" w:rsidRPr="007A6E79" w:rsidRDefault="00A25B99" w:rsidP="0088668E">
      <w:pPr>
        <w:pStyle w:val="HIPTabletitle"/>
      </w:pPr>
      <w:bookmarkStart w:id="358" w:name="_Toc286146563"/>
      <w:r w:rsidRPr="007A6E79">
        <w:t xml:space="preserve">Table </w:t>
      </w:r>
      <w:r w:rsidR="0088668E">
        <w:rPr>
          <w:noProof/>
        </w:rPr>
        <w:t>3.8</w:t>
      </w:r>
      <w:r w:rsidRPr="007A6E79">
        <w:t>: Market, prices, project sustainability and regulation</w:t>
      </w:r>
      <w:bookmarkEnd w:id="3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0"/>
        <w:gridCol w:w="6287"/>
      </w:tblGrid>
      <w:tr w:rsidR="00A25B99" w:rsidRPr="00A3379B" w:rsidTr="00D75B19">
        <w:trPr>
          <w:trHeight w:val="56"/>
        </w:trPr>
        <w:tc>
          <w:tcPr>
            <w:tcW w:w="3078" w:type="dxa"/>
            <w:shd w:val="clear" w:color="auto" w:fill="EAF1DD"/>
          </w:tcPr>
          <w:p w:rsidR="00A25B99" w:rsidRPr="006766CD" w:rsidRDefault="00A25B99" w:rsidP="00D75B19">
            <w:pPr>
              <w:pStyle w:val="HIPTabletext"/>
            </w:pPr>
            <w:r w:rsidRPr="006766CD">
              <w:t>User needs and demands</w:t>
            </w:r>
          </w:p>
        </w:tc>
        <w:tc>
          <w:tcPr>
            <w:tcW w:w="6498" w:type="dxa"/>
            <w:shd w:val="clear" w:color="auto" w:fill="EAF1DD"/>
          </w:tcPr>
          <w:p w:rsidR="00A25B99" w:rsidRPr="007A6E79" w:rsidRDefault="00A25B99" w:rsidP="00D75B19">
            <w:pPr>
              <w:pStyle w:val="HIPTabletext"/>
              <w:rPr>
                <w:lang w:val="en-US"/>
              </w:rPr>
            </w:pPr>
            <w:r w:rsidRPr="007A6E79">
              <w:rPr>
                <w:lang w:val="en-US"/>
              </w:rPr>
              <w:t>Has the development rationale of the project been confirmed through a baseline study which sets out the demand, and sample/ References for the project services?</w:t>
            </w:r>
          </w:p>
          <w:p w:rsidR="00A25B99" w:rsidRPr="007A6E79" w:rsidRDefault="00A25B99" w:rsidP="00D75B19">
            <w:pPr>
              <w:pStyle w:val="HIPTabletext"/>
              <w:rPr>
                <w:lang w:val="en-US"/>
              </w:rPr>
            </w:pPr>
            <w:r w:rsidRPr="007A6E79">
              <w:rPr>
                <w:lang w:val="en-US"/>
              </w:rPr>
              <w:t>Has detailed research been conducted to support the definition of beneficiaries and target groups?</w:t>
            </w:r>
          </w:p>
        </w:tc>
      </w:tr>
      <w:tr w:rsidR="00A25B99" w:rsidRPr="00A3379B" w:rsidTr="00D75B19">
        <w:tc>
          <w:tcPr>
            <w:tcW w:w="3078" w:type="dxa"/>
            <w:tcBorders>
              <w:bottom w:val="single" w:sz="4" w:space="0" w:color="auto"/>
            </w:tcBorders>
          </w:tcPr>
          <w:p w:rsidR="00A25B99" w:rsidRPr="006766CD" w:rsidRDefault="00A25B99" w:rsidP="00D75B19">
            <w:pPr>
              <w:pStyle w:val="HIPTabletext"/>
            </w:pPr>
            <w:r w:rsidRPr="006766CD">
              <w:t>Services and prices</w:t>
            </w:r>
          </w:p>
        </w:tc>
        <w:tc>
          <w:tcPr>
            <w:tcW w:w="6498" w:type="dxa"/>
            <w:tcBorders>
              <w:bottom w:val="single" w:sz="4" w:space="0" w:color="auto"/>
            </w:tcBorders>
          </w:tcPr>
          <w:p w:rsidR="00A25B99" w:rsidRPr="007A6E79" w:rsidRDefault="00A25B99" w:rsidP="00D75B19">
            <w:pPr>
              <w:pStyle w:val="HIPTabletext"/>
              <w:rPr>
                <w:lang w:val="en-US"/>
              </w:rPr>
            </w:pPr>
            <w:r w:rsidRPr="007A6E79">
              <w:rPr>
                <w:lang w:val="en-US"/>
              </w:rPr>
              <w:t>How will the project outputs be paid for?</w:t>
            </w:r>
          </w:p>
          <w:p w:rsidR="00A25B99" w:rsidRPr="007A6E79" w:rsidRDefault="00A25B99" w:rsidP="00D75B19">
            <w:pPr>
              <w:pStyle w:val="HIPTabletext"/>
              <w:rPr>
                <w:lang w:val="en-US"/>
              </w:rPr>
            </w:pPr>
            <w:r w:rsidRPr="007A6E79">
              <w:rPr>
                <w:lang w:val="en-US"/>
              </w:rPr>
              <w:t>How will the retail process relate to the cost of supply? Subsidy levels?</w:t>
            </w:r>
          </w:p>
          <w:p w:rsidR="00A25B99" w:rsidRPr="007A6E79" w:rsidRDefault="00A25B99" w:rsidP="00D75B19">
            <w:pPr>
              <w:pStyle w:val="HIPTabletext"/>
              <w:rPr>
                <w:lang w:val="en-US"/>
              </w:rPr>
            </w:pPr>
            <w:r w:rsidRPr="007A6E79">
              <w:rPr>
                <w:lang w:val="en-US"/>
              </w:rPr>
              <w:t>If there is a different between cost and price, what is the rationale? How long is the situation expected to persist? Is it an issue of regulation or affordability?</w:t>
            </w:r>
          </w:p>
        </w:tc>
      </w:tr>
      <w:tr w:rsidR="00A25B99" w:rsidRPr="00A3379B" w:rsidTr="00D75B19">
        <w:tc>
          <w:tcPr>
            <w:tcW w:w="3078" w:type="dxa"/>
            <w:shd w:val="clear" w:color="auto" w:fill="EAF1DD"/>
          </w:tcPr>
          <w:p w:rsidR="00A25B99" w:rsidRPr="006766CD" w:rsidRDefault="00A25B99" w:rsidP="00D75B19">
            <w:pPr>
              <w:pStyle w:val="HIPTabletext"/>
            </w:pPr>
            <w:r w:rsidRPr="006766CD">
              <w:t>Affordability</w:t>
            </w:r>
          </w:p>
        </w:tc>
        <w:tc>
          <w:tcPr>
            <w:tcW w:w="6498" w:type="dxa"/>
            <w:shd w:val="clear" w:color="auto" w:fill="EAF1DD"/>
          </w:tcPr>
          <w:p w:rsidR="00A25B99" w:rsidRPr="007A6E79" w:rsidRDefault="00A25B99" w:rsidP="00D75B19">
            <w:pPr>
              <w:pStyle w:val="HIPTabletext"/>
              <w:rPr>
                <w:lang w:val="en-US"/>
              </w:rPr>
            </w:pPr>
            <w:r w:rsidRPr="007A6E79">
              <w:rPr>
                <w:lang w:val="en-US"/>
              </w:rPr>
              <w:t>Has market research been conducted on affordability and willingness to pay?</w:t>
            </w:r>
          </w:p>
          <w:p w:rsidR="00A25B99" w:rsidRPr="007A6E79" w:rsidRDefault="00A25B99" w:rsidP="00D75B19">
            <w:pPr>
              <w:pStyle w:val="HIPTabletext"/>
              <w:rPr>
                <w:lang w:val="en-US"/>
              </w:rPr>
            </w:pPr>
            <w:r w:rsidRPr="007A6E79">
              <w:rPr>
                <w:lang w:val="en-US"/>
              </w:rPr>
              <w:t>What are consumers</w:t>
            </w:r>
            <w:r w:rsidRPr="007A6E79">
              <w:rPr>
                <w:rFonts w:hint="eastAsia"/>
                <w:lang w:val="en-US"/>
              </w:rPr>
              <w:t>’</w:t>
            </w:r>
            <w:r w:rsidRPr="007A6E79">
              <w:rPr>
                <w:lang w:val="en-US"/>
              </w:rPr>
              <w:t xml:space="preserve"> alternatives in the absence of the project?</w:t>
            </w:r>
          </w:p>
        </w:tc>
      </w:tr>
      <w:tr w:rsidR="00A25B99" w:rsidRPr="00A3379B" w:rsidTr="00D75B19">
        <w:tc>
          <w:tcPr>
            <w:tcW w:w="3078" w:type="dxa"/>
            <w:tcBorders>
              <w:bottom w:val="single" w:sz="4" w:space="0" w:color="auto"/>
            </w:tcBorders>
          </w:tcPr>
          <w:p w:rsidR="00A25B99" w:rsidRPr="006766CD" w:rsidRDefault="00A25B99" w:rsidP="00D75B19">
            <w:pPr>
              <w:pStyle w:val="HIPTabletext"/>
            </w:pPr>
            <w:r w:rsidRPr="006766CD">
              <w:t>Costs</w:t>
            </w:r>
          </w:p>
        </w:tc>
        <w:tc>
          <w:tcPr>
            <w:tcW w:w="6498" w:type="dxa"/>
            <w:tcBorders>
              <w:bottom w:val="single" w:sz="4" w:space="0" w:color="auto"/>
            </w:tcBorders>
          </w:tcPr>
          <w:p w:rsidR="00A25B99" w:rsidRPr="007A6E79" w:rsidRDefault="00A25B99" w:rsidP="00D75B19">
            <w:pPr>
              <w:pStyle w:val="HIPTabletext"/>
              <w:rPr>
                <w:lang w:val="en-US"/>
              </w:rPr>
            </w:pPr>
            <w:r w:rsidRPr="007A6E79">
              <w:rPr>
                <w:lang w:val="en-US"/>
              </w:rPr>
              <w:t>Does the project deliver its objectives in the most cost effective manner possible?</w:t>
            </w:r>
          </w:p>
        </w:tc>
      </w:tr>
      <w:tr w:rsidR="00A25B99" w:rsidRPr="006766CD" w:rsidTr="00D75B19">
        <w:tc>
          <w:tcPr>
            <w:tcW w:w="3078" w:type="dxa"/>
            <w:shd w:val="clear" w:color="auto" w:fill="EAF1DD"/>
          </w:tcPr>
          <w:p w:rsidR="00A25B99" w:rsidRPr="006766CD" w:rsidRDefault="00A25B99" w:rsidP="00D75B19">
            <w:pPr>
              <w:pStyle w:val="HIPTabletext"/>
            </w:pPr>
            <w:r w:rsidRPr="006766CD">
              <w:t>Policy and regulation</w:t>
            </w:r>
          </w:p>
        </w:tc>
        <w:tc>
          <w:tcPr>
            <w:tcW w:w="6498" w:type="dxa"/>
            <w:shd w:val="clear" w:color="auto" w:fill="EAF1DD"/>
          </w:tcPr>
          <w:p w:rsidR="00A25B99" w:rsidRPr="007A6E79" w:rsidRDefault="00A25B99" w:rsidP="00D75B19">
            <w:pPr>
              <w:pStyle w:val="HIPTabletext"/>
              <w:rPr>
                <w:lang w:val="en-US"/>
              </w:rPr>
            </w:pPr>
            <w:r w:rsidRPr="007A6E79">
              <w:rPr>
                <w:lang w:val="en-US"/>
              </w:rPr>
              <w:t>Are the prices to be charged regulated?</w:t>
            </w:r>
          </w:p>
          <w:p w:rsidR="00A25B99" w:rsidRPr="00DB0248" w:rsidRDefault="00A25B99" w:rsidP="00D75B19">
            <w:pPr>
              <w:pStyle w:val="HIPTabletext"/>
              <w:rPr>
                <w:lang w:val="en-US"/>
              </w:rPr>
            </w:pPr>
            <w:r w:rsidRPr="007A6E79">
              <w:rPr>
                <w:lang w:val="en-US"/>
              </w:rPr>
              <w:t xml:space="preserve">Are there any regulatory impediments that constrain the project from delivering outcomes in the most cost effective manner? </w:t>
            </w:r>
            <w:r w:rsidRPr="00DB0248">
              <w:rPr>
                <w:lang w:val="en-US"/>
              </w:rPr>
              <w:t>(licensing, interconnection, infrastructure sharing, etc)</w:t>
            </w:r>
          </w:p>
          <w:p w:rsidR="00A25B99" w:rsidRPr="006766CD" w:rsidRDefault="00A25B99" w:rsidP="00D75B19">
            <w:pPr>
              <w:pStyle w:val="HIPTabletext"/>
            </w:pPr>
            <w:r w:rsidRPr="007A6E79">
              <w:rPr>
                <w:lang w:val="en-US"/>
              </w:rPr>
              <w:t xml:space="preserve">Are there regulatory impediments that constrain the project from delivering outcomes in a sustainable manner? </w:t>
            </w:r>
            <w:r w:rsidRPr="006766CD">
              <w:t>(licensing, interconnection, price regulation, etc.)</w:t>
            </w:r>
          </w:p>
        </w:tc>
      </w:tr>
    </w:tbl>
    <w:p w:rsidR="00A25B99" w:rsidRDefault="0088668E" w:rsidP="0088668E">
      <w:pPr>
        <w:pStyle w:val="HIPheading5"/>
      </w:pPr>
      <w:bookmarkStart w:id="359" w:name="_Toc284597988"/>
      <w:bookmarkStart w:id="360" w:name="_Toc281459591"/>
      <w:r>
        <w:lastRenderedPageBreak/>
        <w:t>3.3.</w:t>
      </w:r>
      <w:r w:rsidR="00D75B19">
        <w:t>1.5.1</w:t>
      </w:r>
      <w:r w:rsidR="00D75B19">
        <w:tab/>
      </w:r>
      <w:r w:rsidR="00A25B99">
        <w:t>SADC Experience</w:t>
      </w:r>
      <w:bookmarkEnd w:id="359"/>
    </w:p>
    <w:p w:rsidR="00D75B19" w:rsidRDefault="00A25B99" w:rsidP="00D75B19">
      <w:pPr>
        <w:pStyle w:val="HIPNormal"/>
        <w:rPr>
          <w:lang w:val="en-US"/>
        </w:rPr>
      </w:pPr>
      <w:r>
        <w:rPr>
          <w:lang w:val="en-US"/>
        </w:rPr>
        <w:t xml:space="preserve">The SADC projects that have been implemented to date have used mainly geographic targeting, in some cases based on a market study, and community based targeting. No country has formally used a means test – i.e., a social grant scheme, or welfare system – as a basis for implementing ICT sector </w:t>
      </w:r>
      <w:r>
        <w:rPr>
          <w:rFonts w:hint="eastAsia"/>
          <w:lang w:val="en-US"/>
        </w:rPr>
        <w:t>universal</w:t>
      </w:r>
      <w:r>
        <w:rPr>
          <w:lang w:val="en-US"/>
        </w:rPr>
        <w:t xml:space="preserve"> access projects. This is partially due to the fact </w:t>
      </w:r>
      <w:r>
        <w:rPr>
          <w:rFonts w:hint="eastAsia"/>
          <w:lang w:val="en-US"/>
        </w:rPr>
        <w:t>that</w:t>
      </w:r>
      <w:r>
        <w:rPr>
          <w:lang w:val="en-US"/>
        </w:rPr>
        <w:t xml:space="preserve"> the trend in SADC has been infrastructure projects, as opposed to usage projects, i.e. those targeted at individuals such as people with disabilities, the elderly or low income users. </w:t>
      </w:r>
    </w:p>
    <w:p w:rsidR="00D75B19" w:rsidRDefault="0088668E" w:rsidP="0088668E">
      <w:pPr>
        <w:pStyle w:val="HIPBoxquestion"/>
      </w:pPr>
      <w:bookmarkStart w:id="361" w:name="_Toc286146362"/>
      <w:bookmarkEnd w:id="351"/>
      <w:bookmarkEnd w:id="360"/>
      <w:r>
        <w:t xml:space="preserve">Box 3.6: </w:t>
      </w:r>
      <w:r w:rsidR="00D75B19" w:rsidRPr="009A6A77">
        <w:t>Summary of Best Practices: Designing programmes and projects</w:t>
      </w:r>
      <w:bookmarkEnd w:id="361"/>
    </w:p>
    <w:p w:rsidR="00D75B19" w:rsidRPr="003950B6" w:rsidRDefault="00D75B19" w:rsidP="0088668E">
      <w:pPr>
        <w:pStyle w:val="HIPBoxNormal"/>
      </w:pPr>
      <w:r w:rsidRPr="003950B6">
        <w:t xml:space="preserve">In order for Member States to use proactive best </w:t>
      </w:r>
      <w:r w:rsidRPr="003950B6">
        <w:rPr>
          <w:rFonts w:hint="eastAsia"/>
        </w:rPr>
        <w:t>approaches</w:t>
      </w:r>
      <w:r w:rsidRPr="003950B6">
        <w:t xml:space="preserve"> to project and programme design, the following </w:t>
      </w:r>
      <w:r w:rsidRPr="003950B6">
        <w:rPr>
          <w:rFonts w:hint="eastAsia"/>
        </w:rPr>
        <w:t>guidelines</w:t>
      </w:r>
      <w:r w:rsidRPr="003950B6">
        <w:t xml:space="preserve"> should be borne in mind:</w:t>
      </w:r>
    </w:p>
    <w:p w:rsidR="00D75B19" w:rsidRPr="003950B6" w:rsidRDefault="00D75B19" w:rsidP="0088668E">
      <w:pPr>
        <w:pStyle w:val="HIPBoxenumlevel"/>
      </w:pPr>
      <w:r w:rsidRPr="00D75B19">
        <w:rPr>
          <w:color w:val="008000"/>
        </w:rPr>
        <w:t>•</w:t>
      </w:r>
      <w:r>
        <w:tab/>
      </w:r>
      <w:r w:rsidRPr="003950B6">
        <w:t>Financiers should encourage the development of ‘bottom up’ or hybrid projects that are initiated at the local community level; these projects should inform the design of universal access programmes.</w:t>
      </w:r>
    </w:p>
    <w:p w:rsidR="00D75B19" w:rsidRPr="003950B6" w:rsidRDefault="00D75B19" w:rsidP="0088668E">
      <w:pPr>
        <w:pStyle w:val="HIPBoxenumlevel"/>
      </w:pPr>
      <w:r w:rsidRPr="00D75B19">
        <w:rPr>
          <w:color w:val="008000"/>
        </w:rPr>
        <w:t>•</w:t>
      </w:r>
      <w:r>
        <w:tab/>
      </w:r>
      <w:r w:rsidRPr="003950B6">
        <w:t>Funders should ensure transparency in programme and project design. Public consultation should be built into programme and project design to the extent practicable – this would require input from operators, community members, and equipment suppliers, other affected government departments and relevant institutions such as schools and clinics</w:t>
      </w:r>
      <w:r w:rsidRPr="00177ACC">
        <w:rPr>
          <w:rStyle w:val="FootnoteReference"/>
        </w:rPr>
        <w:footnoteReference w:id="60"/>
      </w:r>
      <w:r w:rsidRPr="003950B6">
        <w:t>.</w:t>
      </w:r>
    </w:p>
    <w:p w:rsidR="00D75B19" w:rsidRPr="003950B6" w:rsidRDefault="00D75B19" w:rsidP="0088668E">
      <w:pPr>
        <w:pStyle w:val="HIPBoxenumlevel"/>
      </w:pPr>
      <w:r w:rsidRPr="00D75B19">
        <w:rPr>
          <w:color w:val="008000"/>
        </w:rPr>
        <w:t>•</w:t>
      </w:r>
      <w:r>
        <w:tab/>
      </w:r>
      <w:r w:rsidRPr="003950B6">
        <w:t>Financiers, including Fund Administrators should learn from previous projects implemented in similar contexts and take into account learnings from other Funds in the region and in the world.</w:t>
      </w:r>
    </w:p>
    <w:p w:rsidR="00D75B19" w:rsidRPr="003950B6" w:rsidRDefault="00D75B19" w:rsidP="0088668E">
      <w:pPr>
        <w:pStyle w:val="HIPBoxenumlevel"/>
      </w:pPr>
      <w:r w:rsidRPr="00D75B19">
        <w:rPr>
          <w:color w:val="008000"/>
        </w:rPr>
        <w:t>•</w:t>
      </w:r>
      <w:r>
        <w:tab/>
      </w:r>
      <w:r w:rsidRPr="003950B6">
        <w:t>Well designed projects should adopt a ‘total cost’ approach and thus should take into account basic criteria for the successful deployment of the project, even where they are not directly ICT related – such as electricity availability, rights of way, localization of content, and training and capacity building;</w:t>
      </w:r>
    </w:p>
    <w:p w:rsidR="00D75B19" w:rsidRPr="003950B6" w:rsidRDefault="00D75B19" w:rsidP="0088668E">
      <w:pPr>
        <w:pStyle w:val="HIPBoxenumlevel"/>
      </w:pPr>
      <w:r w:rsidRPr="00D75B19">
        <w:rPr>
          <w:color w:val="008000"/>
        </w:rPr>
        <w:t>•</w:t>
      </w:r>
      <w:r>
        <w:tab/>
      </w:r>
      <w:r w:rsidRPr="003950B6">
        <w:t>Every project should have well defined project objectives and outcomes that are reflected in the performance indicators associated with it, and captured in the Service Agreement and Contract between the Fund and the project implementer. These include quality of service requirements, quantities of the equipment or service, and other key indicators.</w:t>
      </w:r>
    </w:p>
    <w:p w:rsidR="00D75B19" w:rsidRPr="003950B6" w:rsidRDefault="00D75B19" w:rsidP="0088668E">
      <w:pPr>
        <w:pStyle w:val="HIPBoxenumlevel"/>
      </w:pPr>
      <w:r w:rsidRPr="00D75B19">
        <w:rPr>
          <w:color w:val="008000"/>
        </w:rPr>
        <w:t>•</w:t>
      </w:r>
      <w:r>
        <w:tab/>
      </w:r>
      <w:r w:rsidRPr="003950B6">
        <w:t>Projects should be technology neutral – bidders should be empowered to select the technology that they will deploy as long as the technology meets the Funds’ quality of service requirements, as well as national spectrum and type approval regulations;</w:t>
      </w:r>
    </w:p>
    <w:p w:rsidR="00D75B19" w:rsidRPr="003950B6" w:rsidRDefault="00D75B19" w:rsidP="0088668E">
      <w:pPr>
        <w:pStyle w:val="HIPBoxenumlevel"/>
      </w:pPr>
      <w:r w:rsidRPr="00D75B19">
        <w:rPr>
          <w:color w:val="008000"/>
        </w:rPr>
        <w:t>•</w:t>
      </w:r>
      <w:r>
        <w:tab/>
      </w:r>
      <w:r w:rsidRPr="003950B6">
        <w:t>Projects should not</w:t>
      </w:r>
      <w:r w:rsidR="005E5682">
        <w:t xml:space="preserve"> </w:t>
      </w:r>
      <w:r w:rsidRPr="003950B6">
        <w:t>distort the market and must not create an exclusivity for the provider of the network or service;</w:t>
      </w:r>
    </w:p>
    <w:p w:rsidR="00D75B19" w:rsidRPr="003950B6" w:rsidRDefault="00D75B19" w:rsidP="0088668E">
      <w:pPr>
        <w:pStyle w:val="HIPBoxenumlevel"/>
      </w:pPr>
      <w:r w:rsidRPr="00D75B19">
        <w:rPr>
          <w:color w:val="008000"/>
        </w:rPr>
        <w:t>•</w:t>
      </w:r>
      <w:r>
        <w:tab/>
      </w:r>
      <w:r w:rsidRPr="003950B6">
        <w:t>Project design should take into account</w:t>
      </w:r>
      <w:r w:rsidRPr="003950B6">
        <w:rPr>
          <w:lang w:val="en-ZW"/>
        </w:rPr>
        <w:t xml:space="preserve"> licence</w:t>
      </w:r>
      <w:r w:rsidRPr="003950B6">
        <w:t xml:space="preserve"> requirements and use licensing as an incentive where appropriate;</w:t>
      </w:r>
    </w:p>
    <w:p w:rsidR="00D75B19" w:rsidRPr="003950B6" w:rsidRDefault="00D75B19" w:rsidP="0088668E">
      <w:pPr>
        <w:pStyle w:val="HIPBoxenumlevel"/>
      </w:pPr>
      <w:r w:rsidRPr="00D75B19">
        <w:rPr>
          <w:color w:val="008000"/>
        </w:rPr>
        <w:t>•</w:t>
      </w:r>
      <w:r>
        <w:tab/>
      </w:r>
      <w:r w:rsidRPr="003950B6">
        <w:t xml:space="preserve">Projects should ensure maximum </w:t>
      </w:r>
      <w:r w:rsidRPr="003950B6">
        <w:rPr>
          <w:rFonts w:hint="eastAsia"/>
        </w:rPr>
        <w:t>accessibility</w:t>
      </w:r>
      <w:r w:rsidRPr="003950B6">
        <w:t xml:space="preserve"> – and thus should take into account the needs of all members of communities including People with Disabilities, even if the projects are not specifically </w:t>
      </w:r>
      <w:r w:rsidRPr="003950B6">
        <w:rPr>
          <w:rFonts w:hint="eastAsia"/>
        </w:rPr>
        <w:t>targeted</w:t>
      </w:r>
      <w:r w:rsidRPr="003950B6">
        <w:t xml:space="preserve"> at this beneficiary </w:t>
      </w:r>
      <w:r w:rsidRPr="003950B6">
        <w:rPr>
          <w:rFonts w:hint="eastAsia"/>
        </w:rPr>
        <w:t>group</w:t>
      </w:r>
      <w:r w:rsidRPr="003950B6">
        <w:rPr>
          <w:rStyle w:val="FootnoteReference"/>
        </w:rPr>
        <w:footnoteReference w:id="61"/>
      </w:r>
      <w:r w:rsidRPr="003950B6">
        <w:t xml:space="preserve">. </w:t>
      </w:r>
    </w:p>
    <w:p w:rsidR="005E5682" w:rsidRDefault="005E5682">
      <w:pPr>
        <w:rPr>
          <w:rFonts w:ascii="Calibri" w:hAnsi="Calibri" w:cs="Arial"/>
          <w:b/>
          <w:bCs/>
          <w:color w:val="000000"/>
          <w:sz w:val="21"/>
          <w:lang w:val="en-US"/>
        </w:rPr>
      </w:pPr>
      <w:r w:rsidRPr="00761E74">
        <w:rPr>
          <w:b/>
          <w:bCs/>
          <w:lang w:val="en-US"/>
        </w:rPr>
        <w:br w:type="page"/>
      </w:r>
    </w:p>
    <w:p w:rsidR="00D75B19" w:rsidRPr="0088668E" w:rsidRDefault="0088668E" w:rsidP="0088668E">
      <w:pPr>
        <w:pStyle w:val="HIPBoxquestion"/>
      </w:pPr>
      <w:bookmarkStart w:id="362" w:name="_Toc286146363"/>
      <w:r>
        <w:lastRenderedPageBreak/>
        <w:t xml:space="preserve">Box 3.7: </w:t>
      </w:r>
      <w:r w:rsidR="00D75B19" w:rsidRPr="0088668E">
        <w:t>Sample/Reference documents</w:t>
      </w:r>
      <w:bookmarkEnd w:id="362"/>
    </w:p>
    <w:p w:rsidR="00D75B19" w:rsidRPr="003950B6" w:rsidRDefault="00D75B19" w:rsidP="0088668E">
      <w:pPr>
        <w:pStyle w:val="HIPBoxNormal"/>
      </w:pPr>
      <w:r w:rsidRPr="003950B6">
        <w:t xml:space="preserve">Project </w:t>
      </w:r>
      <w:r w:rsidRPr="00D75B19">
        <w:t>and</w:t>
      </w:r>
      <w:r w:rsidRPr="003950B6">
        <w:t xml:space="preserve"> programme design can take many different approaches. It is recommended that the examples listed below be tested against the guidelines listed above, whenever an appropriate approach is considered.</w:t>
      </w:r>
    </w:p>
    <w:p w:rsidR="00D75B19" w:rsidRPr="00D75B19" w:rsidRDefault="00D75B19" w:rsidP="0088668E">
      <w:pPr>
        <w:pStyle w:val="HIPBoxenumlevel"/>
      </w:pPr>
      <w:r w:rsidRPr="00D75B19">
        <w:rPr>
          <w:color w:val="008000"/>
        </w:rPr>
        <w:t>•</w:t>
      </w:r>
      <w:r>
        <w:tab/>
      </w:r>
      <w:r w:rsidRPr="003950B6">
        <w:t>Ir</w:t>
      </w:r>
      <w:r w:rsidRPr="00D75B19">
        <w:t xml:space="preserve">ish Application Forms for Broadcasting projects </w:t>
      </w:r>
      <w:hyperlink r:id="rId68" w:history="1">
        <w:r w:rsidRPr="00D75B19">
          <w:rPr>
            <w:rStyle w:val="Hyperlink"/>
            <w:szCs w:val="21"/>
          </w:rPr>
          <w:t>www.bai.ie/publications_fundingdocs.html</w:t>
        </w:r>
      </w:hyperlink>
      <w:r w:rsidRPr="00D75B19">
        <w:t xml:space="preserve"> </w:t>
      </w:r>
    </w:p>
    <w:p w:rsidR="00D75B19" w:rsidRPr="00D75B19" w:rsidRDefault="00D75B19" w:rsidP="0088668E">
      <w:pPr>
        <w:pStyle w:val="HIPBoxenumlevel"/>
        <w:jc w:val="left"/>
      </w:pPr>
      <w:r w:rsidRPr="00D75B19">
        <w:rPr>
          <w:color w:val="008000"/>
        </w:rPr>
        <w:t>•</w:t>
      </w:r>
      <w:r w:rsidRPr="00D75B19">
        <w:tab/>
        <w:t xml:space="preserve">Implementation of Universal Service for ICTs in Mauritius, ICTA Consultation Paper 2004/1 – </w:t>
      </w:r>
      <w:hyperlink r:id="rId69" w:history="1">
        <w:r w:rsidRPr="007B1A5B">
          <w:rPr>
            <w:rStyle w:val="Hyperlink"/>
            <w:szCs w:val="21"/>
          </w:rPr>
          <w:t>www.icta.mu/documents/publications/uso-feb04.pdf</w:t>
        </w:r>
      </w:hyperlink>
      <w:r w:rsidRPr="00D75B19">
        <w:t xml:space="preserve"> </w:t>
      </w:r>
    </w:p>
    <w:p w:rsidR="00D75B19" w:rsidRPr="00D75B19" w:rsidRDefault="00D75B19" w:rsidP="0088668E">
      <w:pPr>
        <w:pStyle w:val="HIPBoxenumlevel"/>
        <w:jc w:val="left"/>
      </w:pPr>
      <w:r w:rsidRPr="00D75B19">
        <w:rPr>
          <w:color w:val="008000"/>
        </w:rPr>
        <w:t>•</w:t>
      </w:r>
      <w:r w:rsidRPr="00D75B19">
        <w:tab/>
        <w:t>Nigeria’s USPF Consultation Paper 1: Strategic Plan and Operational Plan</w:t>
      </w:r>
      <w:r w:rsidR="005E5682">
        <w:t xml:space="preserve"> </w:t>
      </w:r>
      <w:r w:rsidRPr="00D75B19">
        <w:br/>
      </w:r>
      <w:hyperlink r:id="rId70" w:history="1">
        <w:r w:rsidRPr="007B1A5B">
          <w:rPr>
            <w:rStyle w:val="Hyperlink"/>
            <w:szCs w:val="21"/>
          </w:rPr>
          <w:t>www.ncc.gov.ng/uspf/USPF%20Consultative%20Paper%20Public%2010-30.pdf</w:t>
        </w:r>
      </w:hyperlink>
      <w:r w:rsidR="005E5682">
        <w:t xml:space="preserve"> </w:t>
      </w:r>
    </w:p>
    <w:p w:rsidR="00D75B19" w:rsidRPr="00D75B19" w:rsidRDefault="00D75B19" w:rsidP="0088668E">
      <w:pPr>
        <w:pStyle w:val="HIPBoxenumlevel"/>
      </w:pPr>
      <w:r w:rsidRPr="00D75B19">
        <w:rPr>
          <w:color w:val="008000"/>
        </w:rPr>
        <w:t>•</w:t>
      </w:r>
      <w:r w:rsidRPr="00D75B19">
        <w:tab/>
        <w:t xml:space="preserve">ITU Connect a School Toolkit </w:t>
      </w:r>
      <w:hyperlink r:id="rId71" w:history="1">
        <w:r w:rsidRPr="00D75B19">
          <w:rPr>
            <w:rStyle w:val="Hyperlink"/>
            <w:szCs w:val="21"/>
          </w:rPr>
          <w:t>www.connectaschool.org/itu-module-list</w:t>
        </w:r>
      </w:hyperlink>
    </w:p>
    <w:p w:rsidR="00D75B19" w:rsidRPr="00D75B19" w:rsidRDefault="00D75B19" w:rsidP="0088668E">
      <w:pPr>
        <w:pStyle w:val="HIPBoxenumlevel"/>
      </w:pPr>
      <w:r w:rsidRPr="00D75B19">
        <w:rPr>
          <w:color w:val="008000"/>
        </w:rPr>
        <w:t>•</w:t>
      </w:r>
      <w:r w:rsidRPr="00D75B19">
        <w:tab/>
        <w:t>ICT Project Superiority Performance through Gender Sensitivity: Last Mile Initiative Cheat Sheet</w:t>
      </w:r>
      <w:r w:rsidR="005E5682">
        <w:t xml:space="preserve"> </w:t>
      </w:r>
      <w:hyperlink r:id="rId72" w:history="1">
        <w:r w:rsidRPr="00D75B19">
          <w:rPr>
            <w:rStyle w:val="Hyperlink"/>
            <w:szCs w:val="21"/>
          </w:rPr>
          <w:t>http://pdf.usaid.gov/pdf_docs/PNADN053.pdf</w:t>
        </w:r>
      </w:hyperlink>
      <w:r w:rsidRPr="00D75B19">
        <w:t xml:space="preserve"> </w:t>
      </w:r>
    </w:p>
    <w:p w:rsidR="00D75B19" w:rsidRPr="0088668E" w:rsidRDefault="00D75B19" w:rsidP="0088668E">
      <w:pPr>
        <w:pStyle w:val="HIPBoxenumlevel"/>
        <w:rPr>
          <w:szCs w:val="21"/>
        </w:rPr>
      </w:pPr>
      <w:r w:rsidRPr="00D75B19">
        <w:rPr>
          <w:color w:val="008000"/>
        </w:rPr>
        <w:t>•</w:t>
      </w:r>
      <w:r>
        <w:tab/>
      </w:r>
      <w:r w:rsidRPr="003950B6">
        <w:t xml:space="preserve">E-Accessibility Policy Handbook for People with Disabilities (ITU, G3ict and the Centre for Internet </w:t>
      </w:r>
      <w:r w:rsidRPr="00D75B19">
        <w:rPr>
          <w:szCs w:val="21"/>
        </w:rPr>
        <w:t xml:space="preserve">and Society) </w:t>
      </w:r>
      <w:r>
        <w:rPr>
          <w:szCs w:val="21"/>
        </w:rPr>
        <w:t>–</w:t>
      </w:r>
      <w:r w:rsidRPr="00D75B19">
        <w:rPr>
          <w:szCs w:val="21"/>
        </w:rPr>
        <w:t xml:space="preserve"> </w:t>
      </w:r>
      <w:hyperlink r:id="rId73" w:history="1">
        <w:r w:rsidRPr="007B1A5B">
          <w:rPr>
            <w:rStyle w:val="Hyperlink"/>
            <w:szCs w:val="21"/>
          </w:rPr>
          <w:t>www.telecentre.org/group/telecentrefordisabilities/forum/topics/eaccessibility-policy-handbook?xg_source=activity</w:t>
        </w:r>
      </w:hyperlink>
      <w:r w:rsidRPr="00D75B19">
        <w:rPr>
          <w:szCs w:val="21"/>
        </w:rPr>
        <w:t xml:space="preserve"> or </w:t>
      </w:r>
      <w:hyperlink r:id="rId74" w:history="1">
        <w:r w:rsidRPr="007B1A5B">
          <w:rPr>
            <w:rStyle w:val="Hyperlink"/>
            <w:szCs w:val="21"/>
          </w:rPr>
          <w:t>www.cis-india.org/advocacy/accessibility/e-accessibility</w:t>
        </w:r>
      </w:hyperlink>
      <w:r w:rsidRPr="00D75B19">
        <w:rPr>
          <w:szCs w:val="21"/>
        </w:rPr>
        <w:t xml:space="preserve"> </w:t>
      </w:r>
    </w:p>
    <w:bookmarkEnd w:id="341"/>
    <w:p w:rsidR="00D75B19" w:rsidRDefault="00D75B19">
      <w:pPr>
        <w:rPr>
          <w:rFonts w:ascii="Calibri" w:hAnsi="Calibri" w:cs="Arial"/>
          <w:color w:val="000000"/>
          <w:sz w:val="21"/>
          <w:lang w:val="en-US"/>
        </w:rPr>
      </w:pPr>
      <w:r>
        <w:rPr>
          <w:lang w:val="en-US"/>
        </w:rPr>
        <w:br w:type="page"/>
      </w:r>
    </w:p>
    <w:p w:rsidR="00D75B19" w:rsidRPr="009A6A77" w:rsidRDefault="0088668E" w:rsidP="0088668E">
      <w:pPr>
        <w:pStyle w:val="HIPHeading2"/>
      </w:pPr>
      <w:bookmarkStart w:id="363" w:name="_Toc281459586"/>
      <w:bookmarkStart w:id="364" w:name="_Toc284597989"/>
      <w:bookmarkStart w:id="365" w:name="_Toc286144979"/>
      <w:r>
        <w:lastRenderedPageBreak/>
        <w:t>3.4</w:t>
      </w:r>
      <w:r>
        <w:tab/>
      </w:r>
      <w:r w:rsidR="00D75B19" w:rsidRPr="00FC3094">
        <w:t>TYPES OF PROJECTS</w:t>
      </w:r>
      <w:bookmarkStart w:id="366" w:name="_Toc281459587"/>
      <w:bookmarkEnd w:id="363"/>
      <w:bookmarkEnd w:id="364"/>
      <w:bookmarkEnd w:id="365"/>
    </w:p>
    <w:p w:rsidR="00D75B19" w:rsidRPr="001953CF" w:rsidRDefault="00D75B19" w:rsidP="00D75B19">
      <w:pPr>
        <w:pStyle w:val="HIPNormal"/>
        <w:rPr>
          <w:sz w:val="16"/>
          <w:szCs w:val="16"/>
          <w:lang w:val="en-US" w:eastAsia="en-US"/>
        </w:rPr>
      </w:pPr>
      <w:r w:rsidRPr="00AC4EE2">
        <w:rPr>
          <w:lang w:val="en-US" w:eastAsia="en-US"/>
        </w:rPr>
        <w:t>Projects designed</w:t>
      </w:r>
      <w:r>
        <w:rPr>
          <w:lang w:val="en-US" w:eastAsia="en-US"/>
        </w:rPr>
        <w:t xml:space="preserve"> well and in line with the g</w:t>
      </w:r>
      <w:r w:rsidRPr="00AC4EE2">
        <w:rPr>
          <w:lang w:val="en-US" w:eastAsia="en-US"/>
        </w:rPr>
        <w:t xml:space="preserve">uidelines </w:t>
      </w:r>
      <w:r>
        <w:rPr>
          <w:lang w:val="en-US" w:eastAsia="en-US"/>
        </w:rPr>
        <w:t>set out in this Toolkit will allow for the</w:t>
      </w:r>
      <w:r w:rsidRPr="00AC4EE2">
        <w:rPr>
          <w:lang w:val="en-US" w:eastAsia="en-US"/>
        </w:rPr>
        <w:t xml:space="preserve"> </w:t>
      </w:r>
      <w:r>
        <w:rPr>
          <w:rFonts w:hint="eastAsia"/>
          <w:lang w:val="en-US" w:eastAsia="en-US"/>
        </w:rPr>
        <w:t>channeling</w:t>
      </w:r>
      <w:r>
        <w:rPr>
          <w:lang w:val="en-US" w:eastAsia="en-US"/>
        </w:rPr>
        <w:t xml:space="preserve"> of</w:t>
      </w:r>
      <w:r w:rsidRPr="00AC4EE2">
        <w:rPr>
          <w:lang w:val="en-US" w:eastAsia="en-US"/>
        </w:rPr>
        <w:t xml:space="preserve"> </w:t>
      </w:r>
      <w:r>
        <w:rPr>
          <w:lang w:val="en-US" w:eastAsia="en-US"/>
        </w:rPr>
        <w:t xml:space="preserve">USAf monies, and where relevant other </w:t>
      </w:r>
      <w:r w:rsidRPr="00AC4EE2">
        <w:rPr>
          <w:lang w:val="en-US" w:eastAsia="en-US"/>
        </w:rPr>
        <w:t>public funds to areas where private operators currently have no commercial incentives to invest and stimulate competition and choice for consumers by ensuring open access of all service providers to the subsidised networks.</w:t>
      </w:r>
      <w:r w:rsidR="005E5682">
        <w:rPr>
          <w:sz w:val="16"/>
          <w:szCs w:val="16"/>
          <w:lang w:val="en-US" w:eastAsia="en-US"/>
        </w:rPr>
        <w:t xml:space="preserve"> </w:t>
      </w:r>
      <w:r w:rsidRPr="00FC3094">
        <w:rPr>
          <w:lang w:val="en-US"/>
        </w:rPr>
        <w:t>The type of project</w:t>
      </w:r>
      <w:r>
        <w:rPr>
          <w:lang w:val="en-US"/>
        </w:rPr>
        <w:t xml:space="preserve"> implemented in a country</w:t>
      </w:r>
      <w:r w:rsidRPr="00FC3094">
        <w:rPr>
          <w:lang w:val="en-US"/>
        </w:rPr>
        <w:t xml:space="preserve"> </w:t>
      </w:r>
      <w:r>
        <w:rPr>
          <w:lang w:val="en-US"/>
        </w:rPr>
        <w:t>d</w:t>
      </w:r>
      <w:r w:rsidRPr="00FC3094">
        <w:rPr>
          <w:lang w:val="en-US"/>
        </w:rPr>
        <w:t>epend</w:t>
      </w:r>
      <w:r>
        <w:rPr>
          <w:lang w:val="en-US"/>
        </w:rPr>
        <w:t>s</w:t>
      </w:r>
      <w:r w:rsidRPr="00FC3094">
        <w:rPr>
          <w:lang w:val="en-US"/>
        </w:rPr>
        <w:t xml:space="preserve"> on national priorities, </w:t>
      </w:r>
      <w:r>
        <w:rPr>
          <w:lang w:val="en-US"/>
        </w:rPr>
        <w:t xml:space="preserve">the </w:t>
      </w:r>
      <w:r w:rsidRPr="00FC3094">
        <w:rPr>
          <w:lang w:val="en-US"/>
        </w:rPr>
        <w:t>scope of the Fund in terms of projects it can cover</w:t>
      </w:r>
      <w:r>
        <w:rPr>
          <w:lang w:val="en-US"/>
        </w:rPr>
        <w:t xml:space="preserve"> (in law)</w:t>
      </w:r>
      <w:r w:rsidRPr="00FC3094">
        <w:rPr>
          <w:lang w:val="en-US"/>
        </w:rPr>
        <w:t xml:space="preserve">, available money for financing projects and market and technology developments in the country. </w:t>
      </w:r>
      <w:r>
        <w:rPr>
          <w:lang w:val="en-US"/>
        </w:rPr>
        <w:t>Projects can typically be divided into two types</w:t>
      </w:r>
      <w:bookmarkEnd w:id="366"/>
      <w:r>
        <w:rPr>
          <w:lang w:val="en-US"/>
        </w:rPr>
        <w:t>:</w:t>
      </w:r>
    </w:p>
    <w:p w:rsidR="00D75B19" w:rsidRDefault="00D75B19" w:rsidP="00D75B19">
      <w:pPr>
        <w:pStyle w:val="HIPEnumlev1"/>
      </w:pPr>
      <w:r>
        <w:t xml:space="preserve">Those aimed at addressing </w:t>
      </w:r>
      <w:r w:rsidRPr="00EB712F">
        <w:rPr>
          <w:b/>
          <w:bCs/>
        </w:rPr>
        <w:t xml:space="preserve">user needs </w:t>
      </w:r>
      <w:r>
        <w:t>which include the needs of institutions (e.g. schools and clinics) as well as targeted population groups such as people with disabilities, low income users and the elderly.</w:t>
      </w:r>
    </w:p>
    <w:p w:rsidR="00D75B19" w:rsidRDefault="00D75B19" w:rsidP="00D75B19">
      <w:pPr>
        <w:pStyle w:val="HIPEnumlev1"/>
      </w:pPr>
      <w:r>
        <w:t xml:space="preserve">Projects addressing </w:t>
      </w:r>
      <w:r w:rsidRPr="00EB712F">
        <w:rPr>
          <w:b/>
          <w:bCs/>
        </w:rPr>
        <w:t>infrastructure gaps</w:t>
      </w:r>
      <w:r>
        <w:t xml:space="preserve"> in high costs areas which typically include rural and remote areas. </w:t>
      </w:r>
    </w:p>
    <w:p w:rsidR="00D75B19" w:rsidRDefault="00D75B19" w:rsidP="00D75B19">
      <w:pPr>
        <w:pStyle w:val="HIPNormal"/>
        <w:rPr>
          <w:lang w:val="en-US"/>
        </w:rPr>
      </w:pPr>
      <w:r>
        <w:rPr>
          <w:lang w:val="en-US"/>
        </w:rPr>
        <w:t xml:space="preserve">These projects must be approached differently by Fund Managers, and must be designed to meet the specified objectives. Most countries have </w:t>
      </w:r>
      <w:r>
        <w:rPr>
          <w:rFonts w:hint="eastAsia"/>
          <w:lang w:val="en-US"/>
        </w:rPr>
        <w:t>prioritized</w:t>
      </w:r>
      <w:r>
        <w:rPr>
          <w:lang w:val="en-US"/>
        </w:rPr>
        <w:t xml:space="preserve"> the latter type of project. However, where Funds allow user needs to be subsidised this approach should be followed and different programmes developed, </w:t>
      </w:r>
      <w:r>
        <w:rPr>
          <w:rFonts w:hint="eastAsia"/>
          <w:lang w:val="en-US"/>
        </w:rPr>
        <w:t>particularly</w:t>
      </w:r>
      <w:r>
        <w:rPr>
          <w:lang w:val="en-US"/>
        </w:rPr>
        <w:t xml:space="preserve"> in a broadband context. It is noted that the implementation, monitoring and evaluation of projects aimed at addressing user needs is often </w:t>
      </w:r>
      <w:r>
        <w:rPr>
          <w:rFonts w:hint="eastAsia"/>
          <w:lang w:val="en-US"/>
        </w:rPr>
        <w:t>challenging</w:t>
      </w:r>
      <w:r>
        <w:rPr>
          <w:lang w:val="en-US"/>
        </w:rPr>
        <w:t xml:space="preserve"> in light of the dynamic nature of beneficiaries and the fact that beneficiaries may move in terms of location (rural to urban), and economic status (poor to middle class), amongst others. Some of the projects that Funds can consider that have been proven are discussed below.</w:t>
      </w:r>
    </w:p>
    <w:p w:rsidR="00D75B19" w:rsidRDefault="00D75B19" w:rsidP="00D75B19">
      <w:pPr>
        <w:pStyle w:val="HIPNormal"/>
        <w:rPr>
          <w:lang w:val="en-US"/>
        </w:rPr>
      </w:pPr>
      <w:r>
        <w:rPr>
          <w:lang w:val="en-US"/>
        </w:rPr>
        <w:t xml:space="preserve">It should be noted that USAFs are not likely to have </w:t>
      </w:r>
      <w:r>
        <w:rPr>
          <w:rFonts w:hint="eastAsia"/>
          <w:lang w:val="en-US"/>
        </w:rPr>
        <w:t>sufficient</w:t>
      </w:r>
      <w:r>
        <w:rPr>
          <w:lang w:val="en-US"/>
        </w:rPr>
        <w:t xml:space="preserve"> </w:t>
      </w:r>
      <w:r>
        <w:rPr>
          <w:rFonts w:hint="eastAsia"/>
          <w:lang w:val="en-US"/>
        </w:rPr>
        <w:t>f</w:t>
      </w:r>
      <w:r>
        <w:rPr>
          <w:lang w:val="en-US"/>
        </w:rPr>
        <w:t xml:space="preserve">inances or expertise to complete large scale infrastructure projects. As </w:t>
      </w:r>
      <w:r>
        <w:rPr>
          <w:rFonts w:hint="eastAsia"/>
          <w:lang w:val="en-US"/>
        </w:rPr>
        <w:t>such</w:t>
      </w:r>
      <w:r>
        <w:rPr>
          <w:lang w:val="en-US"/>
        </w:rPr>
        <w:t xml:space="preserve">, such projects and projects related to competitive areas (possibly within the market efficiency gap) may be approached differently – they might be better financed through other mechanisms than the Fund, such as PPPs. </w:t>
      </w:r>
    </w:p>
    <w:p w:rsidR="00D75B19" w:rsidRPr="00466EA2" w:rsidRDefault="00D75B19" w:rsidP="0088668E">
      <w:pPr>
        <w:pStyle w:val="HIPTabletitle"/>
      </w:pPr>
      <w:bookmarkStart w:id="367" w:name="_Toc286146564"/>
      <w:r w:rsidRPr="00466EA2">
        <w:t>Table</w:t>
      </w:r>
      <w:r w:rsidR="0088668E">
        <w:t xml:space="preserve"> 3.9:</w:t>
      </w:r>
      <w:r>
        <w:t xml:space="preserve"> Snapshot of Some Past SADC Universal Access Projects</w:t>
      </w:r>
      <w:bookmarkEnd w:id="3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9287"/>
      </w:tblGrid>
      <w:tr w:rsidR="00D75B19" w:rsidRPr="00A3379B" w:rsidTr="00A72D2A">
        <w:tc>
          <w:tcPr>
            <w:tcW w:w="9287" w:type="dxa"/>
            <w:shd w:val="clear" w:color="auto" w:fill="EAF1DD"/>
          </w:tcPr>
          <w:p w:rsidR="00D75B19" w:rsidRPr="000E203F" w:rsidRDefault="00D75B19" w:rsidP="00D75B19">
            <w:pPr>
              <w:pStyle w:val="HIPTabletext"/>
              <w:rPr>
                <w:lang w:val="en-US"/>
              </w:rPr>
            </w:pPr>
            <w:r w:rsidRPr="000E203F">
              <w:rPr>
                <w:lang w:val="en-US"/>
              </w:rPr>
              <w:t>SADC Funds</w:t>
            </w:r>
            <w:r w:rsidRPr="000E203F">
              <w:rPr>
                <w:rFonts w:hint="eastAsia"/>
                <w:lang w:val="en-US"/>
              </w:rPr>
              <w:t>’</w:t>
            </w:r>
            <w:r w:rsidRPr="000E203F">
              <w:rPr>
                <w:lang w:val="en-US"/>
              </w:rPr>
              <w:t xml:space="preserve"> experience with project design is limited, however all countries have implemented ICT projects aimed at addressing ICT for development through PPPs, donor led </w:t>
            </w:r>
            <w:r w:rsidRPr="000E203F">
              <w:rPr>
                <w:rFonts w:hint="eastAsia"/>
                <w:lang w:val="en-US"/>
              </w:rPr>
              <w:t>projects</w:t>
            </w:r>
            <w:r w:rsidRPr="000E203F">
              <w:rPr>
                <w:lang w:val="en-US"/>
              </w:rPr>
              <w:t xml:space="preserve"> and private sector initiatives. Only Malawi, Lesotho, South Africa and Mozambique have project design experience in the context of </w:t>
            </w:r>
            <w:r w:rsidRPr="000E203F">
              <w:rPr>
                <w:rFonts w:hint="eastAsia"/>
                <w:lang w:val="en-US"/>
              </w:rPr>
              <w:t>the</w:t>
            </w:r>
            <w:r w:rsidRPr="000E203F">
              <w:rPr>
                <w:lang w:val="en-US"/>
              </w:rPr>
              <w:t xml:space="preserve"> USAF. Other countries have designed projects in the context of universal service obligations imposed in licenses. </w:t>
            </w:r>
          </w:p>
          <w:p w:rsidR="00D75B19" w:rsidRPr="000E203F" w:rsidRDefault="00D75B19" w:rsidP="00D75B19">
            <w:pPr>
              <w:pStyle w:val="HIPTabletext"/>
              <w:ind w:left="709" w:hanging="709"/>
              <w:rPr>
                <w:lang w:val="en-US"/>
              </w:rPr>
            </w:pPr>
            <w:r w:rsidRPr="00D75B19">
              <w:rPr>
                <w:color w:val="008000"/>
                <w:lang w:val="en-US"/>
              </w:rPr>
              <w:t>•</w:t>
            </w:r>
            <w:r w:rsidRPr="00D75B19">
              <w:rPr>
                <w:lang w:val="en-US"/>
              </w:rPr>
              <w:tab/>
            </w:r>
            <w:r w:rsidRPr="000E203F">
              <w:rPr>
                <w:lang w:val="en-US"/>
              </w:rPr>
              <w:t>South Africa</w:t>
            </w:r>
            <w:r w:rsidRPr="000E203F">
              <w:rPr>
                <w:rFonts w:hint="eastAsia"/>
                <w:lang w:val="en-US"/>
              </w:rPr>
              <w:t>’</w:t>
            </w:r>
            <w:r w:rsidRPr="000E203F">
              <w:rPr>
                <w:lang w:val="en-US"/>
              </w:rPr>
              <w:t xml:space="preserve">s Fund developed a </w:t>
            </w:r>
            <w:r w:rsidRPr="000E203F">
              <w:rPr>
                <w:rFonts w:hint="eastAsia"/>
                <w:lang w:val="en-US"/>
              </w:rPr>
              <w:t>telecentre</w:t>
            </w:r>
            <w:r w:rsidRPr="000E203F">
              <w:rPr>
                <w:lang w:val="en-US"/>
              </w:rPr>
              <w:t xml:space="preserve"> project in 1997/8, which was the first USAF project in the SADC region. The Funds</w:t>
            </w:r>
            <w:r w:rsidRPr="000E203F">
              <w:rPr>
                <w:rFonts w:hint="eastAsia"/>
                <w:lang w:val="en-US"/>
              </w:rPr>
              <w:t>’</w:t>
            </w:r>
            <w:r w:rsidRPr="000E203F">
              <w:rPr>
                <w:lang w:val="en-US"/>
              </w:rPr>
              <w:t xml:space="preserve"> evaluation of the programme revealed that it was not successful. A case study is provided in Annex 3.</w:t>
            </w:r>
          </w:p>
          <w:p w:rsidR="00D75B19" w:rsidRPr="000E203F" w:rsidRDefault="00D75B19" w:rsidP="00D75B19">
            <w:pPr>
              <w:pStyle w:val="HIPTabletext"/>
              <w:ind w:left="709" w:hanging="709"/>
              <w:rPr>
                <w:lang w:val="en-GB"/>
              </w:rPr>
            </w:pPr>
            <w:r w:rsidRPr="00D75B19">
              <w:rPr>
                <w:color w:val="008000"/>
                <w:lang w:val="en-US"/>
              </w:rPr>
              <w:t>•</w:t>
            </w:r>
            <w:r w:rsidRPr="00D75B19">
              <w:rPr>
                <w:lang w:val="en-US"/>
              </w:rPr>
              <w:tab/>
            </w:r>
            <w:r w:rsidRPr="000E203F">
              <w:rPr>
                <w:lang w:val="en-GB"/>
              </w:rPr>
              <w:t xml:space="preserve">In addition, projects such as SchoolNets in Malawi, South Africa and Namibia, have been funded by PPPs between education departments, NGOs, ICT departments and </w:t>
            </w:r>
            <w:r w:rsidRPr="000E203F">
              <w:rPr>
                <w:rFonts w:hint="eastAsia"/>
                <w:lang w:val="en-GB"/>
              </w:rPr>
              <w:t>donors</w:t>
            </w:r>
            <w:r w:rsidRPr="000E203F">
              <w:rPr>
                <w:lang w:val="en-GB"/>
              </w:rPr>
              <w:t>. Again, none of the SchoolNets have been funded through the USAF.</w:t>
            </w:r>
          </w:p>
          <w:p w:rsidR="00D75B19" w:rsidRPr="000E203F" w:rsidRDefault="00D75B19" w:rsidP="00D75B19">
            <w:pPr>
              <w:pStyle w:val="HIPTabletext"/>
              <w:ind w:left="709" w:hanging="709"/>
              <w:rPr>
                <w:lang w:val="en-US"/>
              </w:rPr>
            </w:pPr>
            <w:r w:rsidRPr="00D75B19">
              <w:rPr>
                <w:color w:val="008000"/>
                <w:lang w:val="en-US"/>
              </w:rPr>
              <w:t>•</w:t>
            </w:r>
            <w:r w:rsidRPr="00D75B19">
              <w:rPr>
                <w:lang w:val="en-US"/>
              </w:rPr>
              <w:tab/>
            </w:r>
            <w:r w:rsidRPr="000E203F">
              <w:rPr>
                <w:lang w:val="en-US"/>
              </w:rPr>
              <w:t>In South Africa, mobile licensees have obligations to roll out internet connectivity to schools. Although it is a noble project, the requirement only includes a single internet modem, with no requirement for equipment or training.</w:t>
            </w:r>
            <w:r w:rsidR="005E5682">
              <w:rPr>
                <w:lang w:val="en-US"/>
              </w:rPr>
              <w:t xml:space="preserve"> </w:t>
            </w:r>
            <w:r w:rsidRPr="000E203F">
              <w:rPr>
                <w:lang w:val="en-US"/>
              </w:rPr>
              <w:t>In addition, there was no coordination between government departments which resulted in duplication of efforts;</w:t>
            </w:r>
          </w:p>
          <w:p w:rsidR="00D75B19" w:rsidRPr="000E203F" w:rsidRDefault="00D75B19" w:rsidP="00D75B19">
            <w:pPr>
              <w:pStyle w:val="HIPTabletext"/>
              <w:ind w:left="709" w:hanging="709"/>
              <w:rPr>
                <w:lang w:val="en-US"/>
              </w:rPr>
            </w:pPr>
            <w:r w:rsidRPr="00D75B19">
              <w:rPr>
                <w:color w:val="008000"/>
                <w:lang w:val="en-US"/>
              </w:rPr>
              <w:t>•</w:t>
            </w:r>
            <w:r w:rsidRPr="00D75B19">
              <w:rPr>
                <w:lang w:val="en-US"/>
              </w:rPr>
              <w:tab/>
            </w:r>
            <w:r w:rsidRPr="000E203F">
              <w:rPr>
                <w:lang w:val="en-US"/>
              </w:rPr>
              <w:t>In Lesotho projects have been designed and funded with the objective of rolling out infrastructure for GSM coverage;</w:t>
            </w:r>
          </w:p>
          <w:p w:rsidR="00D75B19" w:rsidRDefault="00D75B19" w:rsidP="00D75B19">
            <w:pPr>
              <w:pStyle w:val="HIPTabletext"/>
              <w:ind w:left="709" w:hanging="709"/>
              <w:rPr>
                <w:lang w:val="en-US"/>
              </w:rPr>
            </w:pPr>
            <w:r w:rsidRPr="00D75B19">
              <w:rPr>
                <w:color w:val="008000"/>
                <w:lang w:val="en-US"/>
              </w:rPr>
              <w:t>•</w:t>
            </w:r>
            <w:r w:rsidRPr="00D75B19">
              <w:rPr>
                <w:lang w:val="en-US"/>
              </w:rPr>
              <w:tab/>
            </w:r>
            <w:r w:rsidRPr="000E203F">
              <w:rPr>
                <w:lang w:val="en-US"/>
              </w:rPr>
              <w:t>In South Africa an Underserviced Area License (regional) project was designed in terms of which successful bidders were awarded subsidies of R15 million to rollout infrastructure over three years;</w:t>
            </w:r>
          </w:p>
          <w:p w:rsidR="005E5682" w:rsidRPr="000E203F" w:rsidRDefault="005E5682" w:rsidP="00D75B19">
            <w:pPr>
              <w:pStyle w:val="HIPTabletext"/>
              <w:ind w:left="709" w:hanging="709"/>
              <w:rPr>
                <w:lang w:val="en-US"/>
              </w:rPr>
            </w:pPr>
          </w:p>
          <w:p w:rsidR="00D75B19" w:rsidRPr="000E203F" w:rsidRDefault="00D75B19" w:rsidP="00D75B19">
            <w:pPr>
              <w:pStyle w:val="HIPTabletext"/>
              <w:ind w:left="709" w:hanging="709"/>
              <w:rPr>
                <w:lang w:val="en-US"/>
              </w:rPr>
            </w:pPr>
            <w:r w:rsidRPr="00D75B19">
              <w:rPr>
                <w:color w:val="008000"/>
                <w:lang w:val="en-US"/>
              </w:rPr>
              <w:lastRenderedPageBreak/>
              <w:t>•</w:t>
            </w:r>
            <w:r w:rsidRPr="00D75B19">
              <w:rPr>
                <w:lang w:val="en-US"/>
              </w:rPr>
              <w:tab/>
            </w:r>
            <w:r w:rsidRPr="000E203F">
              <w:rPr>
                <w:lang w:val="en-US"/>
              </w:rPr>
              <w:t xml:space="preserve">Mozambique undertook </w:t>
            </w:r>
            <w:r w:rsidRPr="000E203F">
              <w:rPr>
                <w:lang w:val="en-GB"/>
              </w:rPr>
              <w:t xml:space="preserve">an Internet service pilot project to provide an advanced level of service to four District Centres in the provinces of Zambézia and Nampula through the provision of Internet POPs, with a minimum service radius of 5 km from the District Centre. </w:t>
            </w:r>
          </w:p>
          <w:p w:rsidR="00D75B19" w:rsidRPr="000E203F" w:rsidRDefault="00D75B19" w:rsidP="00D75B19">
            <w:pPr>
              <w:pStyle w:val="HIPTabletext"/>
              <w:ind w:left="709" w:hanging="709"/>
              <w:rPr>
                <w:lang w:val="en-US"/>
              </w:rPr>
            </w:pPr>
            <w:r w:rsidRPr="00D75B19">
              <w:rPr>
                <w:color w:val="008000"/>
                <w:lang w:val="en-US"/>
              </w:rPr>
              <w:t>•</w:t>
            </w:r>
            <w:r w:rsidRPr="00D75B19">
              <w:rPr>
                <w:lang w:val="en-US"/>
              </w:rPr>
              <w:tab/>
            </w:r>
            <w:r w:rsidRPr="000E203F">
              <w:rPr>
                <w:lang w:val="en-GB"/>
              </w:rPr>
              <w:t xml:space="preserve">Tanzania in 2010 rolled out the first phase of its National ICT Backbone Network, through a PPP between ZTE and the Tanzanian </w:t>
            </w:r>
            <w:r w:rsidRPr="000E203F">
              <w:rPr>
                <w:rFonts w:hint="eastAsia"/>
                <w:lang w:val="en-GB"/>
              </w:rPr>
              <w:t>government</w:t>
            </w:r>
            <w:r w:rsidRPr="000E203F">
              <w:rPr>
                <w:lang w:val="en-GB"/>
              </w:rPr>
              <w:t xml:space="preserve">. This will </w:t>
            </w:r>
            <w:r w:rsidRPr="000E203F">
              <w:rPr>
                <w:rFonts w:hint="eastAsia"/>
                <w:lang w:val="en-GB"/>
              </w:rPr>
              <w:t>increase</w:t>
            </w:r>
            <w:r w:rsidRPr="000E203F">
              <w:rPr>
                <w:lang w:val="en-GB"/>
              </w:rPr>
              <w:t xml:space="preserve"> broadband access, and has already had a </w:t>
            </w:r>
            <w:r w:rsidRPr="000E203F">
              <w:rPr>
                <w:rFonts w:hint="eastAsia"/>
                <w:lang w:val="en-GB"/>
              </w:rPr>
              <w:t>significant</w:t>
            </w:r>
            <w:r w:rsidRPr="000E203F">
              <w:rPr>
                <w:lang w:val="en-GB"/>
              </w:rPr>
              <w:t xml:space="preserve"> impact on wholesale pricing. </w:t>
            </w:r>
          </w:p>
          <w:p w:rsidR="00D75B19" w:rsidRPr="000E203F" w:rsidRDefault="00D75B19" w:rsidP="00D75B19">
            <w:pPr>
              <w:pStyle w:val="HIPTabletext"/>
              <w:rPr>
                <w:lang w:val="en-US" w:eastAsia="en-US"/>
              </w:rPr>
            </w:pPr>
          </w:p>
        </w:tc>
      </w:tr>
    </w:tbl>
    <w:p w:rsidR="00D75B19" w:rsidRPr="00942615" w:rsidRDefault="0088668E" w:rsidP="0088668E">
      <w:pPr>
        <w:pStyle w:val="HIPheading3"/>
      </w:pPr>
      <w:bookmarkStart w:id="368" w:name="_Toc284597990"/>
      <w:bookmarkStart w:id="369" w:name="_Toc286144980"/>
      <w:r>
        <w:lastRenderedPageBreak/>
        <w:t>3.4.</w:t>
      </w:r>
      <w:r w:rsidR="00D75B19">
        <w:t>1</w:t>
      </w:r>
      <w:r w:rsidR="00D75B19">
        <w:tab/>
      </w:r>
      <w:r w:rsidR="00D75B19" w:rsidRPr="00942615">
        <w:t>Infrastructure Projects</w:t>
      </w:r>
      <w:bookmarkEnd w:id="368"/>
      <w:bookmarkEnd w:id="369"/>
      <w:r w:rsidR="00D75B19">
        <w:t xml:space="preserve"> </w:t>
      </w:r>
    </w:p>
    <w:p w:rsidR="00D75B19" w:rsidRDefault="00D75B19" w:rsidP="00D75B19">
      <w:pPr>
        <w:pStyle w:val="HIPNormal"/>
        <w:ind w:left="1418" w:hanging="1418"/>
        <w:rPr>
          <w:lang w:val="en-US"/>
        </w:rPr>
      </w:pPr>
      <w:r w:rsidRPr="0088668E">
        <w:rPr>
          <w:b/>
          <w:bCs/>
          <w:lang w:val="en-US"/>
        </w:rPr>
        <w:t>Funder:</w:t>
      </w:r>
      <w:r>
        <w:rPr>
          <w:lang w:val="en-US"/>
        </w:rPr>
        <w:tab/>
        <w:t xml:space="preserve">Private funding, Public Funding Models including Ownership, Financing Incentives (including USAF), and PPPs (national, local, </w:t>
      </w:r>
      <w:r>
        <w:rPr>
          <w:rFonts w:hint="eastAsia"/>
          <w:lang w:val="en-US"/>
        </w:rPr>
        <w:t>municipal</w:t>
      </w:r>
      <w:r>
        <w:rPr>
          <w:lang w:val="en-US"/>
        </w:rPr>
        <w:t>)</w:t>
      </w:r>
    </w:p>
    <w:p w:rsidR="00D75B19" w:rsidRDefault="00D75B19" w:rsidP="00D75B19">
      <w:pPr>
        <w:pStyle w:val="HIPNormal"/>
        <w:rPr>
          <w:lang w:val="en-US"/>
        </w:rPr>
      </w:pPr>
      <w:r w:rsidRPr="0088668E">
        <w:rPr>
          <w:b/>
          <w:bCs/>
          <w:lang w:val="en-US"/>
        </w:rPr>
        <w:t>Funding:</w:t>
      </w:r>
      <w:r>
        <w:rPr>
          <w:lang w:val="en-US"/>
        </w:rPr>
        <w:tab/>
        <w:t>Subsidies, grants, loans, guarantees</w:t>
      </w:r>
    </w:p>
    <w:p w:rsidR="00D75B19" w:rsidRDefault="00D75B19" w:rsidP="00D75B19">
      <w:pPr>
        <w:pStyle w:val="HIPNormal"/>
        <w:rPr>
          <w:lang w:val="en-US"/>
        </w:rPr>
      </w:pPr>
      <w:r>
        <w:rPr>
          <w:lang w:val="en-US"/>
        </w:rPr>
        <w:t xml:space="preserve">All Funds include in their mandate the addressing of access gaps through encouraging infrastructure rollout. Historically, the bulk of Funds have been used on these types of </w:t>
      </w:r>
      <w:r>
        <w:rPr>
          <w:rFonts w:hint="eastAsia"/>
          <w:lang w:val="en-US"/>
        </w:rPr>
        <w:t>projects</w:t>
      </w:r>
      <w:r>
        <w:rPr>
          <w:lang w:val="en-US"/>
        </w:rPr>
        <w:t xml:space="preserve"> only in rural and high cost areas, in light of the fact that mobile technology addressed gaps that previously existed in urban areas through private sector financing.</w:t>
      </w:r>
      <w:r w:rsidR="005E5682">
        <w:rPr>
          <w:lang w:val="en-US"/>
        </w:rPr>
        <w:t xml:space="preserve"> </w:t>
      </w:r>
      <w:r>
        <w:rPr>
          <w:lang w:val="en-US"/>
        </w:rPr>
        <w:t xml:space="preserve">However, </w:t>
      </w:r>
      <w:r>
        <w:rPr>
          <w:rFonts w:hint="eastAsia"/>
          <w:lang w:val="en-US"/>
        </w:rPr>
        <w:t>despite</w:t>
      </w:r>
      <w:r>
        <w:rPr>
          <w:lang w:val="en-US"/>
        </w:rPr>
        <w:t xml:space="preserve"> the prevalence of mobile networks, even in developing countries, a challenge has remained with respect to the rolling out of transmission </w:t>
      </w:r>
      <w:r>
        <w:rPr>
          <w:rFonts w:hint="eastAsia"/>
          <w:lang w:val="en-US"/>
        </w:rPr>
        <w:t>networks</w:t>
      </w:r>
      <w:r>
        <w:rPr>
          <w:lang w:val="en-US"/>
        </w:rPr>
        <w:t>. Wholesale transmission</w:t>
      </w:r>
      <w:r w:rsidR="005E5682">
        <w:rPr>
          <w:lang w:val="en-US"/>
        </w:rPr>
        <w:t xml:space="preserve"> – </w:t>
      </w:r>
      <w:r>
        <w:rPr>
          <w:lang w:val="en-US"/>
        </w:rPr>
        <w:t>available and affordable national and international backbone networks</w:t>
      </w:r>
      <w:r w:rsidR="005E5682">
        <w:rPr>
          <w:lang w:val="en-US"/>
        </w:rPr>
        <w:t xml:space="preserve"> – </w:t>
      </w:r>
      <w:r>
        <w:rPr>
          <w:lang w:val="en-US"/>
        </w:rPr>
        <w:t>has been a key challenge for developing countries.</w:t>
      </w:r>
      <w:r w:rsidR="005E5682">
        <w:rPr>
          <w:lang w:val="en-US"/>
        </w:rPr>
        <w:t xml:space="preserve"> </w:t>
      </w:r>
      <w:r>
        <w:rPr>
          <w:lang w:val="en-US"/>
        </w:rPr>
        <w:t>This includes</w:t>
      </w:r>
      <w:r w:rsidRPr="000F1695">
        <w:rPr>
          <w:lang w:val="en-ZW"/>
        </w:rPr>
        <w:t xml:space="preserve"> fibre</w:t>
      </w:r>
      <w:r>
        <w:rPr>
          <w:lang w:val="en-US"/>
        </w:rPr>
        <w:t xml:space="preserve"> optic cables (terrestrial and undersea), </w:t>
      </w:r>
      <w:r>
        <w:rPr>
          <w:rFonts w:hint="eastAsia"/>
          <w:lang w:val="en-US"/>
        </w:rPr>
        <w:t>satellite</w:t>
      </w:r>
      <w:r>
        <w:rPr>
          <w:lang w:val="en-US"/>
        </w:rPr>
        <w:t xml:space="preserve"> systems and microwave towers, amongst others. In addition to being the most expensive types of projects to implement, these infrastructure projects are also the most complex to cost and implement</w:t>
      </w:r>
      <w:r w:rsidRPr="00177ACC">
        <w:rPr>
          <w:lang w:val="en-US"/>
        </w:rPr>
        <w:t>.</w:t>
      </w:r>
      <w:r w:rsidR="005E5682">
        <w:rPr>
          <w:lang w:val="en-US"/>
        </w:rPr>
        <w:t xml:space="preserve"> </w:t>
      </w:r>
      <w:r>
        <w:rPr>
          <w:lang w:val="en-US"/>
        </w:rPr>
        <w:t xml:space="preserve">Additionally, in Africa, although wireless and </w:t>
      </w:r>
      <w:r>
        <w:rPr>
          <w:rFonts w:hint="eastAsia"/>
          <w:lang w:val="en-US"/>
        </w:rPr>
        <w:t>the</w:t>
      </w:r>
      <w:r>
        <w:rPr>
          <w:lang w:val="en-US"/>
        </w:rPr>
        <w:t xml:space="preserve"> </w:t>
      </w:r>
      <w:r>
        <w:rPr>
          <w:rFonts w:hint="eastAsia"/>
          <w:lang w:val="en-US"/>
        </w:rPr>
        <w:t>‘</w:t>
      </w:r>
      <w:r>
        <w:rPr>
          <w:lang w:val="en-US"/>
        </w:rPr>
        <w:t>mobile miracle</w:t>
      </w:r>
      <w:r>
        <w:rPr>
          <w:rFonts w:hint="eastAsia"/>
          <w:lang w:val="en-US"/>
        </w:rPr>
        <w:t>’</w:t>
      </w:r>
      <w:r>
        <w:rPr>
          <w:lang w:val="en-US"/>
        </w:rPr>
        <w:t xml:space="preserve"> were the solution for access to voice telephony, wireless networks will not be sufficient to provide high speed broadband at globally competitive levels. Hence the need to find ways of financing the roll out of broadband networks, with sources additional to USAFs.</w:t>
      </w:r>
    </w:p>
    <w:p w:rsidR="00D75B19" w:rsidRDefault="00D75B19" w:rsidP="00D75B19">
      <w:pPr>
        <w:pStyle w:val="HIPNormal"/>
        <w:rPr>
          <w:lang w:val="en-US"/>
        </w:rPr>
      </w:pPr>
      <w:r w:rsidRPr="00177ACC">
        <w:rPr>
          <w:lang w:val="en-US"/>
        </w:rPr>
        <w:t xml:space="preserve">Several countries have made government funding available for the development of </w:t>
      </w:r>
      <w:r>
        <w:rPr>
          <w:lang w:val="en-US"/>
        </w:rPr>
        <w:t xml:space="preserve">backbone networks, and most recently </w:t>
      </w:r>
      <w:r w:rsidRPr="00177ACC">
        <w:rPr>
          <w:lang w:val="en-US"/>
        </w:rPr>
        <w:t xml:space="preserve">broadband networks. In developing countries funding tends to form part of a government stimulus package, or financing scheme that is not necessarily provided through a Universal Service Fund. In Germany, France, and Japan, targets have been set to achieve national broadband coverage by 2011. </w:t>
      </w:r>
    </w:p>
    <w:p w:rsidR="00D75B19" w:rsidRPr="001E66C1" w:rsidRDefault="00D75B19" w:rsidP="00D75B19">
      <w:pPr>
        <w:pStyle w:val="HIPNormal"/>
        <w:rPr>
          <w:lang w:val="en-US"/>
        </w:rPr>
      </w:pPr>
      <w:r w:rsidRPr="001E66C1">
        <w:rPr>
          <w:lang w:val="en-US"/>
        </w:rPr>
        <w:t xml:space="preserve">The American Reinvestment and Recovery Act appropriated </w:t>
      </w:r>
      <w:r>
        <w:rPr>
          <w:lang w:val="en-US"/>
        </w:rPr>
        <w:t>US</w:t>
      </w:r>
      <w:r w:rsidRPr="001E66C1">
        <w:rPr>
          <w:lang w:val="en-US"/>
        </w:rPr>
        <w:t>$7.2 billion for the Department of Agriculture's Rural Utilities Service (RUS) and the Department of Commerce's National Telecommunications Information Administration (NTIA) to expand broadband access and adoption in communities across the U.S., which will increase jobs, spur investments in technology and infrastructure, and provide long-term economic benefits. RUS is making loans and grants for broadband infrastructure projects in rural areas via its Broadband Initiatives Program (BIP)</w:t>
      </w:r>
      <w:r>
        <w:rPr>
          <w:lang w:val="en-US"/>
        </w:rPr>
        <w:t xml:space="preserve">; The </w:t>
      </w:r>
      <w:r w:rsidRPr="001E66C1">
        <w:rPr>
          <w:lang w:val="en-US"/>
        </w:rPr>
        <w:t>NTIA is providing grants to fund comprehensive broadband infrastructure projects</w:t>
      </w:r>
      <w:r>
        <w:rPr>
          <w:lang w:val="en-US"/>
        </w:rPr>
        <w:t xml:space="preserve"> through </w:t>
      </w:r>
      <w:r w:rsidRPr="001E66C1">
        <w:rPr>
          <w:lang w:val="en-US"/>
        </w:rPr>
        <w:t xml:space="preserve">its Broadband Technology Opportunities Program (BTOP). </w:t>
      </w:r>
    </w:p>
    <w:p w:rsidR="00D75B19" w:rsidRDefault="00D75B19" w:rsidP="00D75B19">
      <w:pPr>
        <w:pStyle w:val="HIPNormal"/>
        <w:rPr>
          <w:lang w:val="en-US" w:eastAsia="en-US"/>
        </w:rPr>
      </w:pPr>
      <w:r>
        <w:rPr>
          <w:lang w:val="en-US" w:eastAsia="en-US"/>
        </w:rPr>
        <w:t xml:space="preserve">Key </w:t>
      </w:r>
      <w:r>
        <w:rPr>
          <w:rFonts w:hint="eastAsia"/>
          <w:lang w:val="en-US" w:eastAsia="en-US"/>
        </w:rPr>
        <w:t>principles</w:t>
      </w:r>
      <w:r>
        <w:rPr>
          <w:lang w:val="en-US" w:eastAsia="en-US"/>
        </w:rPr>
        <w:t xml:space="preserve"> to be borne in mind when </w:t>
      </w:r>
      <w:r>
        <w:rPr>
          <w:rFonts w:hint="eastAsia"/>
          <w:lang w:val="en-US" w:eastAsia="en-US"/>
        </w:rPr>
        <w:t>infrastructure</w:t>
      </w:r>
      <w:r>
        <w:rPr>
          <w:lang w:val="en-US" w:eastAsia="en-US"/>
        </w:rPr>
        <w:t xml:space="preserve"> projects are financed publically include:</w:t>
      </w:r>
    </w:p>
    <w:p w:rsidR="00D75B19" w:rsidRPr="00D5563D" w:rsidRDefault="00D75B19" w:rsidP="00D75B19">
      <w:pPr>
        <w:pStyle w:val="HIPEnumlev1"/>
        <w:rPr>
          <w:sz w:val="16"/>
          <w:szCs w:val="16"/>
          <w:lang w:eastAsia="en-US"/>
        </w:rPr>
      </w:pPr>
      <w:r>
        <w:rPr>
          <w:lang w:eastAsia="en-US"/>
        </w:rPr>
        <w:t>the network should be</w:t>
      </w:r>
      <w:r w:rsidRPr="00D5563D">
        <w:rPr>
          <w:lang w:eastAsia="en-US"/>
        </w:rPr>
        <w:t xml:space="preserve"> </w:t>
      </w:r>
      <w:r>
        <w:rPr>
          <w:lang w:eastAsia="en-US"/>
        </w:rPr>
        <w:t>open and provide</w:t>
      </w:r>
      <w:r w:rsidRPr="00D5563D">
        <w:rPr>
          <w:lang w:eastAsia="en-US"/>
        </w:rPr>
        <w:t xml:space="preserve"> universal coverage in the </w:t>
      </w:r>
      <w:r>
        <w:rPr>
          <w:lang w:eastAsia="en-US"/>
        </w:rPr>
        <w:t xml:space="preserve">area </w:t>
      </w:r>
      <w:r w:rsidRPr="00D5563D">
        <w:rPr>
          <w:lang w:eastAsia="en-US"/>
        </w:rPr>
        <w:t xml:space="preserve">concerned. </w:t>
      </w:r>
    </w:p>
    <w:p w:rsidR="00D75B19" w:rsidRPr="00D5563D" w:rsidRDefault="00D75B19" w:rsidP="00D75B19">
      <w:pPr>
        <w:pStyle w:val="HIPEnumlev1"/>
        <w:rPr>
          <w:sz w:val="16"/>
          <w:szCs w:val="16"/>
          <w:lang w:eastAsia="en-US"/>
        </w:rPr>
      </w:pPr>
      <w:r w:rsidRPr="00D5563D">
        <w:rPr>
          <w:lang w:eastAsia="en-US"/>
        </w:rPr>
        <w:t xml:space="preserve">the amount of the compensation for </w:t>
      </w:r>
      <w:r>
        <w:rPr>
          <w:lang w:eastAsia="en-US"/>
        </w:rPr>
        <w:t xml:space="preserve">rolling out </w:t>
      </w:r>
      <w:r w:rsidRPr="00D5563D">
        <w:rPr>
          <w:lang w:eastAsia="en-US"/>
        </w:rPr>
        <w:t>the network cannot go beyond what is necessary to cover the additional costs to deploy the network in non-profitable areas.</w:t>
      </w:r>
    </w:p>
    <w:p w:rsidR="005E5682" w:rsidRDefault="005E5682">
      <w:pPr>
        <w:rPr>
          <w:rFonts w:ascii="Calibri" w:hAnsi="Calibri" w:cs="Arial"/>
          <w:b/>
          <w:bCs/>
          <w:color w:val="008000"/>
          <w:szCs w:val="24"/>
          <w:lang w:val="en-US"/>
        </w:rPr>
      </w:pPr>
      <w:r w:rsidRPr="00761E74">
        <w:rPr>
          <w:lang w:val="en-US"/>
        </w:rPr>
        <w:br w:type="page"/>
      </w:r>
    </w:p>
    <w:p w:rsidR="00D75B19" w:rsidRPr="00B9283E" w:rsidRDefault="00D75B19" w:rsidP="0088668E">
      <w:pPr>
        <w:pStyle w:val="HIPTabletitle"/>
      </w:pPr>
      <w:bookmarkStart w:id="370" w:name="_Toc286146565"/>
      <w:r w:rsidRPr="00B9283E">
        <w:lastRenderedPageBreak/>
        <w:t>Table</w:t>
      </w:r>
      <w:r w:rsidR="0088668E">
        <w:t xml:space="preserve"> 3.10</w:t>
      </w:r>
      <w:r>
        <w:t>: Case Study, Swedish Broadband and NGN Financing</w:t>
      </w:r>
      <w:bookmarkEnd w:id="3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9287"/>
      </w:tblGrid>
      <w:tr w:rsidR="00D75B19" w:rsidRPr="00A3379B" w:rsidTr="00A80A3A">
        <w:tc>
          <w:tcPr>
            <w:tcW w:w="9287" w:type="dxa"/>
            <w:shd w:val="clear" w:color="auto" w:fill="EAF1DD"/>
          </w:tcPr>
          <w:p w:rsidR="00D75B19" w:rsidRPr="000E203F" w:rsidRDefault="00D75B19" w:rsidP="00A80A3A">
            <w:pPr>
              <w:pStyle w:val="HIPTabletext"/>
              <w:rPr>
                <w:lang w:val="en-US" w:eastAsia="en-US"/>
              </w:rPr>
            </w:pPr>
            <w:r w:rsidRPr="000E203F">
              <w:rPr>
                <w:lang w:val="en-US" w:eastAsia="en-US"/>
              </w:rPr>
              <w:t xml:space="preserve">In Sweden, </w:t>
            </w:r>
            <w:r w:rsidRPr="000E203F">
              <w:rPr>
                <w:rFonts w:hint="eastAsia"/>
                <w:lang w:val="en-US" w:eastAsia="en-US"/>
              </w:rPr>
              <w:t>financing</w:t>
            </w:r>
            <w:r w:rsidRPr="000E203F">
              <w:rPr>
                <w:lang w:val="en-US" w:eastAsia="en-US"/>
              </w:rPr>
              <w:t xml:space="preserve"> of rural broadband networks is linked to the following conditions:</w:t>
            </w:r>
          </w:p>
          <w:p w:rsidR="00D75B19" w:rsidRPr="000E203F" w:rsidRDefault="00A80A3A" w:rsidP="00A80A3A">
            <w:pPr>
              <w:pStyle w:val="HIPTabletext"/>
              <w:ind w:left="709" w:hanging="709"/>
              <w:rPr>
                <w:lang w:val="en-US" w:eastAsia="en-US"/>
              </w:rPr>
            </w:pPr>
            <w:r w:rsidRPr="00A80A3A">
              <w:rPr>
                <w:color w:val="008000"/>
                <w:lang w:val="en-US"/>
              </w:rPr>
              <w:t>•</w:t>
            </w:r>
            <w:r w:rsidRPr="00A80A3A">
              <w:rPr>
                <w:lang w:val="en-US"/>
              </w:rPr>
              <w:tab/>
            </w:r>
            <w:r w:rsidR="00D75B19" w:rsidRPr="000E203F">
              <w:rPr>
                <w:lang w:val="en-US" w:eastAsia="en-US"/>
              </w:rPr>
              <w:t xml:space="preserve">a </w:t>
            </w:r>
            <w:r w:rsidR="00D75B19" w:rsidRPr="000E203F">
              <w:rPr>
                <w:rFonts w:hint="eastAsia"/>
                <w:lang w:val="en-US" w:eastAsia="en-US"/>
              </w:rPr>
              <w:t>requirement</w:t>
            </w:r>
            <w:r w:rsidR="00D75B19" w:rsidRPr="000E203F">
              <w:rPr>
                <w:lang w:val="en-US" w:eastAsia="en-US"/>
              </w:rPr>
              <w:t xml:space="preserve"> to provide the network on a non-discriminatory, open access basis to </w:t>
            </w:r>
            <w:r w:rsidR="00D75B19" w:rsidRPr="000E203F">
              <w:rPr>
                <w:rFonts w:hint="eastAsia"/>
                <w:lang w:val="en-US" w:eastAsia="en-US"/>
              </w:rPr>
              <w:t>third</w:t>
            </w:r>
            <w:r w:rsidR="00D75B19" w:rsidRPr="000E203F">
              <w:rPr>
                <w:lang w:val="en-US" w:eastAsia="en-US"/>
              </w:rPr>
              <w:t xml:space="preserve"> parties for 7 years from project completion;</w:t>
            </w:r>
          </w:p>
          <w:p w:rsidR="00D75B19" w:rsidRPr="000E203F" w:rsidRDefault="00A80A3A" w:rsidP="00A80A3A">
            <w:pPr>
              <w:pStyle w:val="HIPTabletext"/>
              <w:ind w:left="709" w:hanging="709"/>
              <w:rPr>
                <w:lang w:val="en-US" w:eastAsia="en-US"/>
              </w:rPr>
            </w:pPr>
            <w:r w:rsidRPr="00A80A3A">
              <w:rPr>
                <w:color w:val="008000"/>
                <w:lang w:val="en-US"/>
              </w:rPr>
              <w:t>•</w:t>
            </w:r>
            <w:r w:rsidRPr="00A80A3A">
              <w:rPr>
                <w:lang w:val="en-US"/>
              </w:rPr>
              <w:tab/>
            </w:r>
            <w:r w:rsidR="00D75B19" w:rsidRPr="000E203F">
              <w:rPr>
                <w:lang w:val="en-US" w:eastAsia="en-US"/>
              </w:rPr>
              <w:t xml:space="preserve">a </w:t>
            </w:r>
            <w:r w:rsidR="00D75B19" w:rsidRPr="000E203F">
              <w:rPr>
                <w:rFonts w:hint="eastAsia"/>
                <w:lang w:val="en-US" w:eastAsia="en-US"/>
              </w:rPr>
              <w:t>requirement</w:t>
            </w:r>
            <w:r w:rsidR="00D75B19" w:rsidRPr="000E203F">
              <w:rPr>
                <w:lang w:val="en-US" w:eastAsia="en-US"/>
              </w:rPr>
              <w:t xml:space="preserve"> to provide passive and active </w:t>
            </w:r>
            <w:r w:rsidR="00D75B19" w:rsidRPr="000E203F">
              <w:rPr>
                <w:rFonts w:hint="eastAsia"/>
                <w:lang w:val="en-US" w:eastAsia="en-US"/>
              </w:rPr>
              <w:t>infrastructure</w:t>
            </w:r>
            <w:r w:rsidR="005E5682">
              <w:rPr>
                <w:lang w:val="en-US" w:eastAsia="en-US"/>
              </w:rPr>
              <w:t xml:space="preserve"> </w:t>
            </w:r>
            <w:r w:rsidR="00D75B19" w:rsidRPr="000E203F">
              <w:rPr>
                <w:lang w:val="en-US" w:eastAsia="en-US"/>
              </w:rPr>
              <w:t>(ducts, dark fibre, and bitsream access included)</w:t>
            </w:r>
          </w:p>
          <w:p w:rsidR="00D75B19" w:rsidRPr="000E203F" w:rsidRDefault="00A80A3A" w:rsidP="00A80A3A">
            <w:pPr>
              <w:pStyle w:val="HIPTabletext"/>
              <w:rPr>
                <w:lang w:val="en-US" w:eastAsia="en-US"/>
              </w:rPr>
            </w:pPr>
            <w:r w:rsidRPr="00A80A3A">
              <w:rPr>
                <w:color w:val="008000"/>
                <w:lang w:val="en-US"/>
              </w:rPr>
              <w:t>•</w:t>
            </w:r>
            <w:r w:rsidRPr="00A80A3A">
              <w:rPr>
                <w:lang w:val="en-US"/>
              </w:rPr>
              <w:tab/>
            </w:r>
            <w:r w:rsidR="00D75B19" w:rsidRPr="000E203F">
              <w:rPr>
                <w:lang w:val="en-US" w:eastAsia="en-US"/>
              </w:rPr>
              <w:t>access to a</w:t>
            </w:r>
            <w:r w:rsidR="00D75B19">
              <w:rPr>
                <w:lang w:val="en-US" w:eastAsia="en-US"/>
              </w:rPr>
              <w:t>t</w:t>
            </w:r>
            <w:r w:rsidR="00D75B19" w:rsidRPr="000E203F">
              <w:rPr>
                <w:lang w:val="en-US" w:eastAsia="en-US"/>
              </w:rPr>
              <w:t xml:space="preserve"> least three operators at infrastructure level</w:t>
            </w:r>
          </w:p>
          <w:p w:rsidR="00D75B19" w:rsidRPr="000E203F" w:rsidRDefault="00A80A3A" w:rsidP="00A80A3A">
            <w:pPr>
              <w:pStyle w:val="HIPTabletext"/>
              <w:rPr>
                <w:lang w:val="en-US" w:eastAsia="en-US"/>
              </w:rPr>
            </w:pPr>
            <w:r w:rsidRPr="00A80A3A">
              <w:rPr>
                <w:color w:val="008000"/>
                <w:lang w:val="en-US"/>
              </w:rPr>
              <w:t>•</w:t>
            </w:r>
            <w:r w:rsidRPr="00A80A3A">
              <w:rPr>
                <w:lang w:val="en-US"/>
              </w:rPr>
              <w:tab/>
            </w:r>
            <w:r w:rsidR="00D75B19" w:rsidRPr="000E203F">
              <w:rPr>
                <w:lang w:val="en-US" w:eastAsia="en-US"/>
              </w:rPr>
              <w:t>access to any operator at the highest levels (bitsream access)</w:t>
            </w:r>
          </w:p>
          <w:p w:rsidR="00D75B19" w:rsidRDefault="00A80A3A" w:rsidP="00A80A3A">
            <w:pPr>
              <w:pStyle w:val="HIPTabletext"/>
              <w:ind w:left="709" w:hanging="709"/>
              <w:rPr>
                <w:lang w:val="en-US" w:eastAsia="en-US"/>
              </w:rPr>
            </w:pPr>
            <w:r w:rsidRPr="00A80A3A">
              <w:rPr>
                <w:color w:val="008000"/>
                <w:lang w:val="en-US"/>
              </w:rPr>
              <w:t>•</w:t>
            </w:r>
            <w:r w:rsidRPr="00A80A3A">
              <w:rPr>
                <w:lang w:val="en-US"/>
              </w:rPr>
              <w:tab/>
            </w:r>
            <w:r w:rsidR="00D75B19" w:rsidRPr="000E203F">
              <w:rPr>
                <w:lang w:val="en-US" w:eastAsia="en-US"/>
              </w:rPr>
              <w:t xml:space="preserve">a claw back condition in the contracts which requires the recipient </w:t>
            </w:r>
            <w:r w:rsidR="00D75B19" w:rsidRPr="000E203F">
              <w:rPr>
                <w:rFonts w:hint="eastAsia"/>
                <w:lang w:val="en-US" w:eastAsia="en-US"/>
              </w:rPr>
              <w:t>of the</w:t>
            </w:r>
            <w:r w:rsidR="00D75B19" w:rsidRPr="000E203F">
              <w:rPr>
                <w:lang w:val="en-US" w:eastAsia="en-US"/>
              </w:rPr>
              <w:t xml:space="preserve"> subsidy to pay back part of the financing if the demand in the area exceeds expectations making the subsidy unreasonably high (claw back is maintained for 5 years after the network is operational).</w:t>
            </w:r>
          </w:p>
          <w:p w:rsidR="00D75B19" w:rsidRPr="000E203F" w:rsidRDefault="00D75B19" w:rsidP="00A80A3A">
            <w:pPr>
              <w:pStyle w:val="HIPTabletext"/>
              <w:rPr>
                <w:lang w:val="en-US"/>
              </w:rPr>
            </w:pPr>
          </w:p>
        </w:tc>
      </w:tr>
    </w:tbl>
    <w:p w:rsidR="00D75B19" w:rsidRPr="00FC3094" w:rsidRDefault="00D75B19" w:rsidP="0088668E">
      <w:pPr>
        <w:pStyle w:val="HIPTabletitle"/>
      </w:pPr>
      <w:bookmarkStart w:id="371" w:name="_Toc286146566"/>
      <w:r w:rsidRPr="00FC3094">
        <w:t xml:space="preserve">Table </w:t>
      </w:r>
      <w:r w:rsidR="0088668E">
        <w:t>3.11</w:t>
      </w:r>
      <w:r w:rsidRPr="00FC3094">
        <w:t>: Case Study, German Broadband Financing</w:t>
      </w:r>
      <w:r>
        <w:rPr>
          <w:rStyle w:val="FootnoteReference"/>
        </w:rPr>
        <w:footnoteReference w:id="62"/>
      </w:r>
      <w:bookmarkEnd w:id="3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9287"/>
      </w:tblGrid>
      <w:tr w:rsidR="00D75B19" w:rsidRPr="00A3379B" w:rsidTr="00A80A3A">
        <w:tc>
          <w:tcPr>
            <w:tcW w:w="9576" w:type="dxa"/>
            <w:shd w:val="clear" w:color="auto" w:fill="EAF1DD"/>
          </w:tcPr>
          <w:p w:rsidR="00D75B19" w:rsidRPr="007E0BF7" w:rsidRDefault="00D75B19" w:rsidP="00A80A3A">
            <w:pPr>
              <w:pStyle w:val="HIPTabletext"/>
              <w:rPr>
                <w:lang w:val="en-US"/>
              </w:rPr>
            </w:pPr>
            <w:r w:rsidRPr="007E0BF7">
              <w:rPr>
                <w:lang w:val="en-US"/>
              </w:rPr>
              <w:t>In Germany, broadband expansion is to</w:t>
            </w:r>
            <w:r w:rsidR="005E5682">
              <w:rPr>
                <w:lang w:val="en-US"/>
              </w:rPr>
              <w:t xml:space="preserve"> </w:t>
            </w:r>
            <w:r w:rsidRPr="007E0BF7">
              <w:rPr>
                <w:lang w:val="en-US"/>
              </w:rPr>
              <w:t>be done through:</w:t>
            </w:r>
          </w:p>
          <w:p w:rsidR="00D75B19" w:rsidRPr="00E4197E" w:rsidRDefault="00A80A3A" w:rsidP="00A80A3A">
            <w:pPr>
              <w:pStyle w:val="HIPTabletext"/>
              <w:rPr>
                <w:lang w:val="en-US"/>
              </w:rPr>
            </w:pPr>
            <w:r w:rsidRPr="00A80A3A">
              <w:rPr>
                <w:color w:val="008000"/>
                <w:lang w:val="en-US"/>
              </w:rPr>
              <w:t>•</w:t>
            </w:r>
            <w:r w:rsidRPr="00A80A3A">
              <w:rPr>
                <w:lang w:val="en-US"/>
              </w:rPr>
              <w:tab/>
            </w:r>
            <w:r w:rsidR="00D75B19" w:rsidRPr="00E4197E">
              <w:rPr>
                <w:lang w:val="en-US"/>
              </w:rPr>
              <w:t>Capitalizing on synergies in infrastructure construction across the country</w:t>
            </w:r>
          </w:p>
          <w:p w:rsidR="00D75B19" w:rsidRPr="00A80A3A" w:rsidRDefault="00A80A3A" w:rsidP="00A80A3A">
            <w:pPr>
              <w:pStyle w:val="HIPTabletext"/>
              <w:rPr>
                <w:lang w:val="en-US"/>
              </w:rPr>
            </w:pPr>
            <w:r w:rsidRPr="00A80A3A">
              <w:rPr>
                <w:color w:val="008000"/>
                <w:lang w:val="en-US"/>
              </w:rPr>
              <w:t>•</w:t>
            </w:r>
            <w:r w:rsidRPr="00A80A3A">
              <w:rPr>
                <w:lang w:val="en-US"/>
              </w:rPr>
              <w:tab/>
            </w:r>
            <w:r w:rsidR="00D75B19" w:rsidRPr="00A80A3A">
              <w:rPr>
                <w:lang w:val="en-US"/>
              </w:rPr>
              <w:t>Guaranteeing supportive frequency policies</w:t>
            </w:r>
          </w:p>
          <w:p w:rsidR="00D75B19" w:rsidRPr="00E4197E" w:rsidRDefault="00A80A3A" w:rsidP="00A80A3A">
            <w:pPr>
              <w:pStyle w:val="HIPTabletext"/>
              <w:rPr>
                <w:lang w:val="en-US"/>
              </w:rPr>
            </w:pPr>
            <w:r w:rsidRPr="00A80A3A">
              <w:rPr>
                <w:color w:val="008000"/>
                <w:lang w:val="en-US"/>
              </w:rPr>
              <w:t>•</w:t>
            </w:r>
            <w:r w:rsidRPr="00A80A3A">
              <w:rPr>
                <w:lang w:val="en-US"/>
              </w:rPr>
              <w:tab/>
            </w:r>
            <w:r w:rsidR="00D75B19" w:rsidRPr="00E4197E">
              <w:rPr>
                <w:lang w:val="en-US"/>
              </w:rPr>
              <w:t xml:space="preserve">Committing to growth and innovation-geared regulation </w:t>
            </w:r>
          </w:p>
          <w:p w:rsidR="00D75B19" w:rsidRPr="00A80A3A" w:rsidRDefault="00A80A3A" w:rsidP="00A80A3A">
            <w:pPr>
              <w:pStyle w:val="HIPTabletext"/>
              <w:rPr>
                <w:b/>
                <w:lang w:val="en-US"/>
              </w:rPr>
            </w:pPr>
            <w:r w:rsidRPr="005E5682">
              <w:rPr>
                <w:color w:val="008000"/>
                <w:lang w:val="en-US"/>
              </w:rPr>
              <w:t>•</w:t>
            </w:r>
            <w:r w:rsidRPr="005E5682">
              <w:rPr>
                <w:lang w:val="en-US"/>
              </w:rPr>
              <w:tab/>
            </w:r>
            <w:r w:rsidR="00D75B19" w:rsidRPr="00A80A3A">
              <w:rPr>
                <w:b/>
                <w:lang w:val="en-US"/>
              </w:rPr>
              <w:t xml:space="preserve">Providing appropriate financial support </w:t>
            </w:r>
          </w:p>
          <w:p w:rsidR="00D75B19" w:rsidRPr="007E0BF7" w:rsidRDefault="00D75B19" w:rsidP="00A80A3A">
            <w:pPr>
              <w:pStyle w:val="HIPTabletext"/>
              <w:rPr>
                <w:lang w:val="en-US"/>
              </w:rPr>
            </w:pPr>
            <w:r w:rsidRPr="007E0BF7">
              <w:rPr>
                <w:lang w:val="en-US"/>
              </w:rPr>
              <w:t>As with all financing, broadband financing in Germany exists in the policy and regulatory context. Funding it to meet national targets and as such is for two purposes – (1) connecting households without broadband access; and (2) connecting households with broadband access below 1Mbit/second. The maximum subsidy is 200,000 Euros per project; up to 90 percent of the profit gap can be funded. In addition, funding can be made for technical and consulting services obtained from third parties – a maximum of an additional 100,000 Euros is available for this per project.</w:t>
            </w:r>
            <w:r w:rsidR="005E5682">
              <w:rPr>
                <w:lang w:val="en-US"/>
              </w:rPr>
              <w:t xml:space="preserve"> </w:t>
            </w:r>
          </w:p>
          <w:p w:rsidR="00D75B19" w:rsidRDefault="00D75B19" w:rsidP="00A80A3A">
            <w:pPr>
              <w:pStyle w:val="HIPTabletext"/>
              <w:rPr>
                <w:lang w:val="en-US"/>
              </w:rPr>
            </w:pPr>
            <w:r w:rsidRPr="007E0BF7">
              <w:rPr>
                <w:lang w:val="en-US"/>
              </w:rPr>
              <w:t>In the general fiscus, there is a scheme enabling tradespeople to claim tax deductions for laying cables to homes – the plan is to expand this to any installations connecting broadband to buildings and distributed within houses and apartments.</w:t>
            </w:r>
          </w:p>
          <w:p w:rsidR="00A80A3A" w:rsidRPr="007E0BF7" w:rsidRDefault="00A80A3A" w:rsidP="00A80A3A">
            <w:pPr>
              <w:pStyle w:val="HIPTabletext"/>
              <w:rPr>
                <w:lang w:val="en-US"/>
              </w:rPr>
            </w:pPr>
          </w:p>
        </w:tc>
      </w:tr>
    </w:tbl>
    <w:p w:rsidR="00D75B19" w:rsidRPr="00A80A3A" w:rsidRDefault="00D75B19" w:rsidP="00A80A3A">
      <w:pPr>
        <w:pStyle w:val="HIPNormal"/>
        <w:rPr>
          <w:b/>
          <w:bCs/>
          <w:lang w:val="en-US"/>
        </w:rPr>
      </w:pPr>
      <w:r w:rsidRPr="00A80A3A">
        <w:rPr>
          <w:b/>
          <w:bCs/>
          <w:lang w:val="en-US"/>
        </w:rPr>
        <w:t>Last Mile Access</w:t>
      </w:r>
      <w:r w:rsidR="005E5682">
        <w:rPr>
          <w:b/>
          <w:bCs/>
          <w:lang w:val="en-US"/>
        </w:rPr>
        <w:t xml:space="preserve"> – </w:t>
      </w:r>
      <w:r w:rsidRPr="00A80A3A">
        <w:rPr>
          <w:b/>
          <w:bCs/>
          <w:lang w:val="en-US"/>
        </w:rPr>
        <w:t>Municipal and Local Authority Networks</w:t>
      </w:r>
    </w:p>
    <w:p w:rsidR="00D75B19" w:rsidRDefault="00D75B19" w:rsidP="00A80A3A">
      <w:pPr>
        <w:pStyle w:val="HIPNormal"/>
        <w:ind w:left="1418" w:hanging="1418"/>
        <w:rPr>
          <w:lang w:val="en-US"/>
        </w:rPr>
      </w:pPr>
      <w:r w:rsidRPr="0088668E">
        <w:rPr>
          <w:b/>
          <w:bCs/>
          <w:lang w:val="en-US"/>
        </w:rPr>
        <w:t>Funder:</w:t>
      </w:r>
      <w:r>
        <w:rPr>
          <w:lang w:val="en-US"/>
        </w:rPr>
        <w:tab/>
        <w:t xml:space="preserve">Private funding, Public Funding Models including Ownership, Financing Incentives (including USAF), and PPPs (local, </w:t>
      </w:r>
      <w:r>
        <w:rPr>
          <w:rFonts w:hint="eastAsia"/>
          <w:lang w:val="en-US"/>
        </w:rPr>
        <w:t>municipal</w:t>
      </w:r>
      <w:r>
        <w:rPr>
          <w:lang w:val="en-US"/>
        </w:rPr>
        <w:t>)</w:t>
      </w:r>
    </w:p>
    <w:p w:rsidR="00D75B19" w:rsidRDefault="00D75B19" w:rsidP="00A80A3A">
      <w:pPr>
        <w:pStyle w:val="HIPNormal"/>
        <w:rPr>
          <w:lang w:val="en-US"/>
        </w:rPr>
      </w:pPr>
      <w:r w:rsidRPr="0088668E">
        <w:rPr>
          <w:b/>
          <w:bCs/>
          <w:lang w:val="en-US"/>
        </w:rPr>
        <w:t>Funding:</w:t>
      </w:r>
      <w:r>
        <w:rPr>
          <w:lang w:val="en-US"/>
        </w:rPr>
        <w:tab/>
        <w:t>Subsidies, grants, loans, guarantees, users/community access</w:t>
      </w:r>
    </w:p>
    <w:p w:rsidR="00D75B19" w:rsidRDefault="00D75B19" w:rsidP="00A80A3A">
      <w:pPr>
        <w:pStyle w:val="HIPNormal"/>
        <w:rPr>
          <w:lang w:val="en-US"/>
        </w:rPr>
      </w:pPr>
      <w:r>
        <w:rPr>
          <w:lang w:val="en-US"/>
        </w:rPr>
        <w:t>In many countries, t</w:t>
      </w:r>
      <w:r w:rsidRPr="00826C38">
        <w:rPr>
          <w:lang w:val="en-US"/>
        </w:rPr>
        <w:t xml:space="preserve">he emergence of municipal broadband </w:t>
      </w:r>
      <w:r>
        <w:rPr>
          <w:lang w:val="en-US"/>
        </w:rPr>
        <w:t xml:space="preserve">last mile </w:t>
      </w:r>
      <w:r w:rsidRPr="00826C38">
        <w:rPr>
          <w:lang w:val="en-US"/>
        </w:rPr>
        <w:t>networks provides an additional source of financing</w:t>
      </w:r>
      <w:r w:rsidR="005E5682">
        <w:rPr>
          <w:lang w:val="en-US"/>
        </w:rPr>
        <w:t xml:space="preserve"> – </w:t>
      </w:r>
      <w:r w:rsidRPr="00826C38">
        <w:rPr>
          <w:lang w:val="en-US"/>
        </w:rPr>
        <w:t>from the municipal government</w:t>
      </w:r>
      <w:r>
        <w:rPr>
          <w:lang w:val="en-US"/>
        </w:rPr>
        <w:t>.</w:t>
      </w:r>
      <w:r w:rsidR="005E5682">
        <w:rPr>
          <w:lang w:val="en-US"/>
        </w:rPr>
        <w:t xml:space="preserve"> </w:t>
      </w:r>
      <w:r>
        <w:rPr>
          <w:lang w:val="en-US"/>
        </w:rPr>
        <w:t>According to the ICT Regulation Toolkit:</w:t>
      </w:r>
    </w:p>
    <w:p w:rsidR="00D75B19" w:rsidRPr="00CF0E4E" w:rsidRDefault="00A80A3A" w:rsidP="00A80A3A">
      <w:pPr>
        <w:pStyle w:val="HIPCitation"/>
      </w:pPr>
      <w:r>
        <w:tab/>
      </w:r>
      <w:r w:rsidR="00D75B19" w:rsidRPr="00F51537">
        <w:rPr>
          <w:rFonts w:hint="eastAsia"/>
        </w:rPr>
        <w:t>“</w:t>
      </w:r>
      <w:r w:rsidR="00D75B19" w:rsidRPr="00F51537">
        <w:t xml:space="preserve">On balance, this model is difficult to use for building a strategy for the developing world unless central or local government has both the vision and resources to under-write the initial installation and first few years of operation. But even then, the relationship with private sector interests (e.g., ISPs) must be clarified and it must be proven that the establishment of municipal networks does not run counter to general </w:t>
      </w:r>
      <w:r w:rsidR="00D75B19" w:rsidRPr="00F51537">
        <w:lastRenderedPageBreak/>
        <w:t>market development, which must eventually take place, and the health of private sector operators</w:t>
      </w:r>
      <w:r w:rsidR="00D75B19" w:rsidRPr="00F51537">
        <w:rPr>
          <w:rFonts w:hint="eastAsia"/>
        </w:rPr>
        <w:t>”</w:t>
      </w:r>
      <w:r w:rsidR="00D75B19" w:rsidRPr="00F51537">
        <w:t>.</w:t>
      </w:r>
    </w:p>
    <w:p w:rsidR="00D75B19" w:rsidRDefault="00D75B19" w:rsidP="007B6D1D">
      <w:pPr>
        <w:pStyle w:val="HIPNormal"/>
        <w:rPr>
          <w:lang w:val="en-US" w:eastAsia="en-US"/>
        </w:rPr>
      </w:pPr>
      <w:r w:rsidRPr="00A93596">
        <w:rPr>
          <w:lang w:val="en-US" w:eastAsia="en-US"/>
        </w:rPr>
        <w:t>In a recent German</w:t>
      </w:r>
      <w:r>
        <w:rPr>
          <w:lang w:val="en-US" w:eastAsia="en-US"/>
        </w:rPr>
        <w:t xml:space="preserve"> case (2009)</w:t>
      </w:r>
      <w:r w:rsidRPr="00A93596">
        <w:rPr>
          <w:lang w:val="en-US" w:eastAsia="en-US"/>
        </w:rPr>
        <w:t xml:space="preserve"> municipalities will invest in and own specific ducts to encourage broadband deployment in underserved areas</w:t>
      </w:r>
      <w:r>
        <w:rPr>
          <w:lang w:val="en-US" w:eastAsia="en-US"/>
        </w:rPr>
        <w:t>. S</w:t>
      </w:r>
      <w:r w:rsidRPr="00A93596">
        <w:rPr>
          <w:lang w:val="en-US" w:eastAsia="en-US"/>
        </w:rPr>
        <w:t>uch dedicated</w:t>
      </w:r>
      <w:r>
        <w:rPr>
          <w:lang w:val="en-US" w:eastAsia="en-US"/>
        </w:rPr>
        <w:t xml:space="preserve"> multi-fibre</w:t>
      </w:r>
      <w:r w:rsidRPr="00A93596">
        <w:rPr>
          <w:lang w:val="en-US" w:eastAsia="en-US"/>
        </w:rPr>
        <w:t xml:space="preserve"> ducts are made available to broadband network operators to deploy their networks, thereby encouraging infrastructure based competition.</w:t>
      </w:r>
    </w:p>
    <w:p w:rsidR="007B6D1D" w:rsidRPr="0006693F" w:rsidRDefault="0088668E" w:rsidP="0088668E">
      <w:pPr>
        <w:pStyle w:val="HIPBoxquestion"/>
      </w:pPr>
      <w:bookmarkStart w:id="372" w:name="_Toc286146364"/>
      <w:r>
        <w:t xml:space="preserve">Box 3.8: </w:t>
      </w:r>
      <w:r w:rsidR="007B6D1D" w:rsidRPr="0006693F">
        <w:t>South African Cases</w:t>
      </w:r>
      <w:r w:rsidR="007B6D1D" w:rsidRPr="000E203F">
        <w:rPr>
          <w:rStyle w:val="FootnoteReference"/>
        </w:rPr>
        <w:footnoteReference w:id="63"/>
      </w:r>
      <w:r w:rsidR="007B6D1D" w:rsidRPr="0006693F">
        <w:t>:</w:t>
      </w:r>
      <w:bookmarkEnd w:id="372"/>
    </w:p>
    <w:p w:rsidR="007B6D1D" w:rsidRPr="0006693F" w:rsidRDefault="007B6D1D" w:rsidP="0088668E">
      <w:pPr>
        <w:pStyle w:val="HIPBoxNormal"/>
      </w:pPr>
      <w:r w:rsidRPr="0006693F">
        <w:t>An effective approach that has been used in local access deployment is the guarantee of a certain amount of government telecommunications traffic.</w:t>
      </w:r>
      <w:r w:rsidR="005E5682">
        <w:t xml:space="preserve"> </w:t>
      </w:r>
      <w:r w:rsidRPr="0006693F">
        <w:t>In effect, the local government acts as an anchor tenant that justifies the investment by the private sector in funding and operating a network.</w:t>
      </w:r>
      <w:r w:rsidR="005E5682">
        <w:t xml:space="preserve"> </w:t>
      </w:r>
      <w:r w:rsidRPr="0006693F">
        <w:t xml:space="preserve">This is the approach that has been adopted in the Wireless Philadelphia initiative, Knysna UniFi Project, and the City of Johannesburg. </w:t>
      </w:r>
    </w:p>
    <w:p w:rsidR="00D75B19" w:rsidRPr="007E0BF7" w:rsidRDefault="0088668E" w:rsidP="0088668E">
      <w:pPr>
        <w:pStyle w:val="HIPheading4"/>
      </w:pPr>
      <w:bookmarkStart w:id="373" w:name="_Toc284597991"/>
      <w:r>
        <w:t>3.4.</w:t>
      </w:r>
      <w:r w:rsidR="007B6D1D">
        <w:t>1.1</w:t>
      </w:r>
      <w:r w:rsidR="007B6D1D">
        <w:tab/>
      </w:r>
      <w:r w:rsidR="00D75B19" w:rsidRPr="007E0BF7">
        <w:t>Infrastructure Sharing</w:t>
      </w:r>
      <w:bookmarkEnd w:id="373"/>
      <w:r w:rsidR="00D75B19" w:rsidRPr="007E0BF7">
        <w:t xml:space="preserve"> </w:t>
      </w:r>
    </w:p>
    <w:p w:rsidR="00D75B19" w:rsidRPr="000E70D1" w:rsidRDefault="00D75B19" w:rsidP="007B6D1D">
      <w:pPr>
        <w:pStyle w:val="HIPNormal"/>
        <w:rPr>
          <w:lang w:val="en-US"/>
        </w:rPr>
      </w:pPr>
      <w:r>
        <w:rPr>
          <w:lang w:val="en-US"/>
        </w:rPr>
        <w:t xml:space="preserve">The USAF can promote infrastructure sharing, which will in turn promote operator efficiencies and reduce costs, through the manner in which it designs its infrastructure projects. A good example of this is the Indian </w:t>
      </w:r>
      <w:r w:rsidRPr="007E0BF7">
        <w:rPr>
          <w:lang w:val="en-US"/>
        </w:rPr>
        <w:t>Univ</w:t>
      </w:r>
      <w:r w:rsidRPr="00FC3094">
        <w:rPr>
          <w:lang w:val="en-US"/>
        </w:rPr>
        <w:t xml:space="preserve">ersal Service </w:t>
      </w:r>
      <w:r>
        <w:rPr>
          <w:lang w:val="en-US"/>
        </w:rPr>
        <w:t>Obligation Fund (USOF). The USOF launched a s</w:t>
      </w:r>
      <w:r w:rsidRPr="00FC3094">
        <w:rPr>
          <w:lang w:val="en-US"/>
        </w:rPr>
        <w:t>cheme to provide sufficient back-haul capacity to integrate the voice and data traffic from the access network in the rural areas to their core network by strengthening the O</w:t>
      </w:r>
      <w:r>
        <w:rPr>
          <w:lang w:val="en-US"/>
        </w:rPr>
        <w:t xml:space="preserve">ptical </w:t>
      </w:r>
      <w:r w:rsidRPr="00FC3094">
        <w:rPr>
          <w:lang w:val="en-US"/>
        </w:rPr>
        <w:t>F</w:t>
      </w:r>
      <w:r>
        <w:rPr>
          <w:lang w:val="en-US"/>
        </w:rPr>
        <w:t xml:space="preserve">ibre </w:t>
      </w:r>
      <w:r w:rsidRPr="00FC3094">
        <w:rPr>
          <w:lang w:val="en-US"/>
        </w:rPr>
        <w:t>C</w:t>
      </w:r>
      <w:r>
        <w:rPr>
          <w:lang w:val="en-US"/>
        </w:rPr>
        <w:t>able</w:t>
      </w:r>
      <w:r w:rsidRPr="00FC3094">
        <w:rPr>
          <w:lang w:val="en-US"/>
        </w:rPr>
        <w:t xml:space="preserve"> network.</w:t>
      </w:r>
      <w:r>
        <w:rPr>
          <w:lang w:val="en-US"/>
        </w:rPr>
        <w:t xml:space="preserve"> In terms of this scheme, any infrastructure that is rolled out using money from the Fund must be built on an open access basis as long as it is technically feasible. This ensures </w:t>
      </w:r>
      <w:r>
        <w:rPr>
          <w:rFonts w:hint="eastAsia"/>
          <w:lang w:val="en-US"/>
        </w:rPr>
        <w:t>that</w:t>
      </w:r>
      <w:r>
        <w:rPr>
          <w:lang w:val="en-US"/>
        </w:rPr>
        <w:t xml:space="preserve"> there is competition in the universal service area, and that other operators are able to share their funded infrastructure thus deriving maximum </w:t>
      </w:r>
      <w:r>
        <w:rPr>
          <w:rFonts w:hint="eastAsia"/>
          <w:lang w:val="en-US"/>
        </w:rPr>
        <w:t>benefit</w:t>
      </w:r>
      <w:r>
        <w:rPr>
          <w:lang w:val="en-US"/>
        </w:rPr>
        <w:t xml:space="preserve"> for the funder. </w:t>
      </w:r>
      <w:r w:rsidRPr="00FC3094">
        <w:rPr>
          <w:lang w:val="en-US"/>
        </w:rPr>
        <w:t>At least 70% of the subsidized bandwidth capacity, created under the scheme, shall be shared with the licensed service providers in the area of A</w:t>
      </w:r>
      <w:r>
        <w:rPr>
          <w:lang w:val="en-US"/>
        </w:rPr>
        <w:t xml:space="preserve">SSAM at a rate not more than </w:t>
      </w:r>
      <w:r w:rsidRPr="00FC3094">
        <w:rPr>
          <w:lang w:val="en-US"/>
        </w:rPr>
        <w:t>22% of the current TRAI ceiling tariffs.</w:t>
      </w:r>
    </w:p>
    <w:p w:rsidR="00D75B19" w:rsidRPr="00942615" w:rsidRDefault="0088668E" w:rsidP="0088668E">
      <w:pPr>
        <w:pStyle w:val="HIPheading4"/>
      </w:pPr>
      <w:bookmarkStart w:id="374" w:name="_Toc284597992"/>
      <w:r>
        <w:t>3.4.</w:t>
      </w:r>
      <w:r w:rsidR="007B6D1D">
        <w:t>1.2</w:t>
      </w:r>
      <w:r w:rsidR="007B6D1D">
        <w:tab/>
      </w:r>
      <w:r w:rsidR="00D75B19">
        <w:t>SADC Experience</w:t>
      </w:r>
      <w:r w:rsidR="005E5682">
        <w:t xml:space="preserve"> – </w:t>
      </w:r>
      <w:r w:rsidR="00D75B19" w:rsidRPr="00942615">
        <w:t>Infrastructure Projects</w:t>
      </w:r>
      <w:bookmarkEnd w:id="374"/>
    </w:p>
    <w:p w:rsidR="00D75B19" w:rsidRDefault="00D75B19" w:rsidP="007B6D1D">
      <w:pPr>
        <w:pStyle w:val="HIPNormal"/>
        <w:rPr>
          <w:lang w:val="en-US"/>
        </w:rPr>
      </w:pPr>
      <w:r>
        <w:rPr>
          <w:lang w:val="en-US"/>
        </w:rPr>
        <w:t>Major broadband network projects in the SADC region have not been funded using USAF subsidies. Outside of South Africa (discussed below), Lesotho and Malawi have initiated USAF funded infrastructure projects – both are underway and cannot be reviewed yet.</w:t>
      </w:r>
      <w:r w:rsidR="005E5682">
        <w:rPr>
          <w:lang w:val="en-US"/>
        </w:rPr>
        <w:t xml:space="preserve"> </w:t>
      </w:r>
      <w:r>
        <w:rPr>
          <w:lang w:val="en-US"/>
        </w:rPr>
        <w:t xml:space="preserve">Major infrastructure projects in the region have included the building of a National ICT Backbone (NICTBB) in Tanzania, an open access network developed by Broadband Infraco (a parastatal) in South </w:t>
      </w:r>
      <w:r>
        <w:rPr>
          <w:rFonts w:hint="eastAsia"/>
          <w:lang w:val="en-US"/>
        </w:rPr>
        <w:t>Africa</w:t>
      </w:r>
      <w:r>
        <w:rPr>
          <w:lang w:val="en-US"/>
        </w:rPr>
        <w:t>, and a project being explored by the DRC government in consultation with an equipment vendor.</w:t>
      </w:r>
    </w:p>
    <w:p w:rsidR="00D75B19" w:rsidRPr="00942615" w:rsidRDefault="00D75B19" w:rsidP="007B6D1D">
      <w:pPr>
        <w:pStyle w:val="HIPNormal"/>
        <w:rPr>
          <w:lang w:val="en-US"/>
        </w:rPr>
      </w:pPr>
      <w:r w:rsidRPr="00942615">
        <w:rPr>
          <w:lang w:val="en-US"/>
        </w:rPr>
        <w:t xml:space="preserve">In South Africa, funding of R15 million (approximately $2 million) </w:t>
      </w:r>
      <w:r>
        <w:rPr>
          <w:lang w:val="en-US"/>
        </w:rPr>
        <w:t xml:space="preserve">over a period of three years </w:t>
      </w:r>
      <w:r w:rsidRPr="00942615">
        <w:rPr>
          <w:lang w:val="en-US"/>
        </w:rPr>
        <w:t>was given to Under Service</w:t>
      </w:r>
      <w:r>
        <w:rPr>
          <w:lang w:val="en-US"/>
        </w:rPr>
        <w:t>d</w:t>
      </w:r>
      <w:r w:rsidRPr="00942615">
        <w:rPr>
          <w:lang w:val="en-US"/>
        </w:rPr>
        <w:t xml:space="preserve"> Area Licensees (USALS) who competed to provide service in identified underserved areas. The licensees were given a fixed subsidy to be used on infrastructure. Of the seven USALS that were licensed, 1 is still providing retail services. Critiques of the USAL Framework indicate that it would have benefitted from:</w:t>
      </w:r>
    </w:p>
    <w:p w:rsidR="00D75B19" w:rsidRPr="006B0E1E" w:rsidRDefault="00D75B19" w:rsidP="007B6D1D">
      <w:pPr>
        <w:pStyle w:val="HIPEnumlev1"/>
      </w:pPr>
      <w:r w:rsidRPr="006B0E1E">
        <w:t>Policy support, e.g. asymmetrical interconnection regime</w:t>
      </w:r>
    </w:p>
    <w:p w:rsidR="00D75B19" w:rsidRPr="00FC3094" w:rsidRDefault="00D75B19" w:rsidP="007B6D1D">
      <w:pPr>
        <w:pStyle w:val="HIPEnumlev1"/>
      </w:pPr>
      <w:r w:rsidRPr="00FC3094">
        <w:t>More targeted and increased subsidization policy, the amount set aside appears to have been too little compared to the investment required;</w:t>
      </w:r>
    </w:p>
    <w:p w:rsidR="00D75B19" w:rsidRPr="00FC3094" w:rsidRDefault="00D75B19" w:rsidP="007B6D1D">
      <w:pPr>
        <w:pStyle w:val="HIPEnumlev1"/>
      </w:pPr>
      <w:r w:rsidRPr="00FC3094">
        <w:lastRenderedPageBreak/>
        <w:t>Definition of underserviced – the identified areas included larger cities in order to make them more viable, however they also had competition from all three mobile operators even though fixed teledensity was under 10 percent.</w:t>
      </w:r>
    </w:p>
    <w:p w:rsidR="00D75B19" w:rsidRDefault="00D75B19" w:rsidP="007B6D1D">
      <w:pPr>
        <w:pStyle w:val="HIPEnumlev1"/>
      </w:pPr>
      <w:r w:rsidRPr="00FC3094">
        <w:t>Experience of USALs – due to the requirements of the ITA, the USAL applicants did not necessarily have ICT sector experience although they may have been experience</w:t>
      </w:r>
      <w:r>
        <w:t>d</w:t>
      </w:r>
      <w:r w:rsidRPr="00FC3094">
        <w:t xml:space="preserve"> business people or community leaders; this impacted their ability to navigate the complex ICT sector including roaming and interconnection negotiations with mobile and fixed incumbents;</w:t>
      </w:r>
    </w:p>
    <w:p w:rsidR="00D75B19" w:rsidRPr="00FC3094" w:rsidRDefault="00D75B19" w:rsidP="007B6D1D">
      <w:pPr>
        <w:pStyle w:val="HIPNormal"/>
        <w:rPr>
          <w:lang w:val="en-US"/>
        </w:rPr>
      </w:pPr>
      <w:r>
        <w:rPr>
          <w:lang w:val="en-US"/>
        </w:rPr>
        <w:t xml:space="preserve">No USAFs in SADC have used the Indian model of making </w:t>
      </w:r>
      <w:r>
        <w:rPr>
          <w:rFonts w:hint="eastAsia"/>
          <w:lang w:val="en-US"/>
        </w:rPr>
        <w:t>infrastructure</w:t>
      </w:r>
      <w:r>
        <w:rPr>
          <w:lang w:val="en-US"/>
        </w:rPr>
        <w:t xml:space="preserve"> sharing a condition of funding. However, it should be noted that this model may not be as </w:t>
      </w:r>
      <w:r>
        <w:rPr>
          <w:rFonts w:hint="eastAsia"/>
          <w:lang w:val="en-US"/>
        </w:rPr>
        <w:t>significant</w:t>
      </w:r>
      <w:r>
        <w:rPr>
          <w:lang w:val="en-US"/>
        </w:rPr>
        <w:t xml:space="preserve"> an </w:t>
      </w:r>
      <w:r>
        <w:rPr>
          <w:rFonts w:hint="eastAsia"/>
          <w:lang w:val="en-US"/>
        </w:rPr>
        <w:t>incentive</w:t>
      </w:r>
      <w:r>
        <w:rPr>
          <w:lang w:val="en-US"/>
        </w:rPr>
        <w:t xml:space="preserve"> in SADC in light of already existing infrastructure sharing and facilities leasing regulations and </w:t>
      </w:r>
      <w:r>
        <w:rPr>
          <w:rFonts w:hint="eastAsia"/>
          <w:lang w:val="en-US"/>
        </w:rPr>
        <w:t>legislation</w:t>
      </w:r>
      <w:r>
        <w:rPr>
          <w:lang w:val="en-US"/>
        </w:rPr>
        <w:t xml:space="preserve"> in many countries in the region.</w:t>
      </w:r>
    </w:p>
    <w:p w:rsidR="00D75B19" w:rsidRPr="001E5D76" w:rsidRDefault="0088668E" w:rsidP="0088668E">
      <w:pPr>
        <w:pStyle w:val="HIPheading3"/>
      </w:pPr>
      <w:bookmarkStart w:id="375" w:name="_Toc284597993"/>
      <w:bookmarkStart w:id="376" w:name="_Toc286144981"/>
      <w:r>
        <w:t>3.4.</w:t>
      </w:r>
      <w:r w:rsidR="007B6D1D">
        <w:t>2</w:t>
      </w:r>
      <w:r w:rsidR="007B6D1D">
        <w:tab/>
      </w:r>
      <w:r w:rsidR="00D75B19" w:rsidRPr="001E5D76">
        <w:t xml:space="preserve">School and Library Connectivity </w:t>
      </w:r>
      <w:r w:rsidR="00D75B19">
        <w:t>Projects</w:t>
      </w:r>
      <w:bookmarkEnd w:id="375"/>
      <w:bookmarkEnd w:id="376"/>
    </w:p>
    <w:p w:rsidR="00D75B19" w:rsidRDefault="00D75B19" w:rsidP="00EC43F4">
      <w:pPr>
        <w:pStyle w:val="HIPNormal"/>
        <w:ind w:left="1418" w:hanging="1418"/>
        <w:rPr>
          <w:lang w:val="en-US"/>
        </w:rPr>
      </w:pPr>
      <w:r w:rsidRPr="0088668E">
        <w:rPr>
          <w:b/>
          <w:bCs/>
          <w:lang w:val="en-US"/>
        </w:rPr>
        <w:t>Funder:</w:t>
      </w:r>
      <w:r w:rsidR="00EC43F4">
        <w:rPr>
          <w:lang w:val="en-US"/>
        </w:rPr>
        <w:tab/>
      </w:r>
      <w:r>
        <w:rPr>
          <w:lang w:val="en-US"/>
        </w:rPr>
        <w:t xml:space="preserve">Private funding, Public Funding Models including Financing Incentives (including USAF), and PPPs (national, local, </w:t>
      </w:r>
      <w:r>
        <w:rPr>
          <w:rFonts w:hint="eastAsia"/>
          <w:lang w:val="en-US"/>
        </w:rPr>
        <w:t>municipal</w:t>
      </w:r>
      <w:r>
        <w:rPr>
          <w:lang w:val="en-US"/>
        </w:rPr>
        <w:t>, NGO, donor,etc)</w:t>
      </w:r>
    </w:p>
    <w:p w:rsidR="00D75B19" w:rsidRDefault="00D75B19" w:rsidP="00EC43F4">
      <w:pPr>
        <w:pStyle w:val="HIPNormal"/>
        <w:rPr>
          <w:lang w:val="en-US"/>
        </w:rPr>
      </w:pPr>
      <w:r w:rsidRPr="0088668E">
        <w:rPr>
          <w:b/>
          <w:bCs/>
          <w:lang w:val="en-US"/>
        </w:rPr>
        <w:t>Funding:</w:t>
      </w:r>
      <w:r>
        <w:rPr>
          <w:lang w:val="en-US"/>
        </w:rPr>
        <w:tab/>
        <w:t>Subsidies, in-kind contributions, grants and loans, community access/user revenues</w:t>
      </w:r>
    </w:p>
    <w:p w:rsidR="00D75B19" w:rsidRPr="001E5D76" w:rsidRDefault="00D75B19" w:rsidP="00EC43F4">
      <w:pPr>
        <w:pStyle w:val="HIPNormal"/>
        <w:rPr>
          <w:lang w:val="en-US"/>
        </w:rPr>
      </w:pPr>
      <w:r w:rsidRPr="001E5D76">
        <w:rPr>
          <w:lang w:val="en-US"/>
        </w:rPr>
        <w:t xml:space="preserve">Schools have </w:t>
      </w:r>
      <w:r>
        <w:rPr>
          <w:lang w:val="en-US"/>
        </w:rPr>
        <w:t>come to be seen as a good way of</w:t>
      </w:r>
      <w:r w:rsidRPr="001E5D76">
        <w:rPr>
          <w:lang w:val="en-US"/>
        </w:rPr>
        <w:t xml:space="preserve"> achieving universal access not just for students and the immediate school community, but also for the surrounding community.</w:t>
      </w:r>
      <w:r w:rsidR="005E5682">
        <w:rPr>
          <w:lang w:val="en-US"/>
        </w:rPr>
        <w:t xml:space="preserve"> </w:t>
      </w:r>
      <w:r w:rsidRPr="001E5D76">
        <w:rPr>
          <w:lang w:val="en-US"/>
        </w:rPr>
        <w:t>By connecting schools, countries can connect communities.</w:t>
      </w:r>
      <w:r w:rsidR="005E5682">
        <w:rPr>
          <w:lang w:val="en-US"/>
        </w:rPr>
        <w:t xml:space="preserve"> </w:t>
      </w:r>
      <w:r w:rsidRPr="001E5D76">
        <w:rPr>
          <w:lang w:val="en-US"/>
        </w:rPr>
        <w:t>School Connectivity programmes have been developed in many countries including using a combination of license obligations USF financing, and PPPs, these countries include:</w:t>
      </w:r>
    </w:p>
    <w:p w:rsidR="00D75B19" w:rsidRPr="001E5D76" w:rsidRDefault="00D75B19" w:rsidP="00EC43F4">
      <w:pPr>
        <w:pStyle w:val="HIPEnumlev1"/>
      </w:pPr>
      <w:r w:rsidRPr="001E5D76">
        <w:t>Ecuador</w:t>
      </w:r>
    </w:p>
    <w:p w:rsidR="00D75B19" w:rsidRPr="001E5D76" w:rsidRDefault="00D75B19" w:rsidP="00EC43F4">
      <w:pPr>
        <w:pStyle w:val="HIPEnumlev1"/>
      </w:pPr>
      <w:r w:rsidRPr="001E5D76">
        <w:t>Ireland</w:t>
      </w:r>
    </w:p>
    <w:p w:rsidR="00D75B19" w:rsidRPr="001E5D76" w:rsidRDefault="00D75B19" w:rsidP="00EC43F4">
      <w:pPr>
        <w:pStyle w:val="HIPEnumlev1"/>
      </w:pPr>
      <w:r w:rsidRPr="001E5D76">
        <w:t>Australia</w:t>
      </w:r>
    </w:p>
    <w:p w:rsidR="00D75B19" w:rsidRPr="001E5D76" w:rsidRDefault="00D75B19" w:rsidP="00EC43F4">
      <w:pPr>
        <w:pStyle w:val="HIPEnumlev1"/>
      </w:pPr>
      <w:r w:rsidRPr="001E5D76">
        <w:t>United States</w:t>
      </w:r>
    </w:p>
    <w:p w:rsidR="00D75B19" w:rsidRDefault="00D75B19" w:rsidP="00EC43F4">
      <w:pPr>
        <w:pStyle w:val="HIPNormal"/>
        <w:rPr>
          <w:lang w:val="en-US"/>
        </w:rPr>
      </w:pPr>
      <w:r w:rsidRPr="0006693F">
        <w:rPr>
          <w:lang w:val="en-US"/>
        </w:rPr>
        <w:t>Some of these funds include specific provisions for school connectivity in their mandates.</w:t>
      </w:r>
    </w:p>
    <w:p w:rsidR="00D75B19" w:rsidRPr="00942615" w:rsidRDefault="0088668E" w:rsidP="0088668E">
      <w:pPr>
        <w:pStyle w:val="HIPheading4"/>
      </w:pPr>
      <w:bookmarkStart w:id="377" w:name="_Toc284597994"/>
      <w:r>
        <w:t>3.4.</w:t>
      </w:r>
      <w:r w:rsidR="00EC43F4">
        <w:t>2.1</w:t>
      </w:r>
      <w:r w:rsidR="00EC43F4">
        <w:tab/>
      </w:r>
      <w:r w:rsidR="00D75B19" w:rsidRPr="00942615">
        <w:t>Funding School Connectivity Directly</w:t>
      </w:r>
      <w:bookmarkEnd w:id="377"/>
    </w:p>
    <w:p w:rsidR="00D75B19" w:rsidRPr="0006693F" w:rsidRDefault="00D75B19" w:rsidP="00EC43F4">
      <w:pPr>
        <w:pStyle w:val="HIPNormal"/>
        <w:rPr>
          <w:lang w:val="en-US"/>
        </w:rPr>
      </w:pPr>
      <w:r w:rsidRPr="0006693F">
        <w:rPr>
          <w:lang w:val="en-US"/>
        </w:rPr>
        <w:t>Ecuador offers an example of a country that has used money in the Fund to finance school connectivity, mainly in areas where there is no existing access. This is in line with the national strategy which seeks to provide the majority of schools in the country with Internet connections.</w:t>
      </w:r>
      <w:r w:rsidR="005E5682">
        <w:rPr>
          <w:lang w:val="en-US"/>
        </w:rPr>
        <w:t xml:space="preserve"> </w:t>
      </w:r>
      <w:r w:rsidRPr="0006693F">
        <w:rPr>
          <w:lang w:val="en-US"/>
        </w:rPr>
        <w:t>The telecommunications regulator (</w:t>
      </w:r>
      <w:r w:rsidRPr="0006693F">
        <w:rPr>
          <w:i/>
          <w:iCs/>
          <w:lang w:val="en-US"/>
        </w:rPr>
        <w:t>Commission Nacional de Telecomunicaciones</w:t>
      </w:r>
      <w:r w:rsidRPr="0006693F">
        <w:rPr>
          <w:lang w:val="en-US"/>
        </w:rPr>
        <w:t>, or CONATEL) included school connectivity on the annual plan that identifies universal service and access targets for funding from the Fund.</w:t>
      </w:r>
      <w:r w:rsidRPr="0006693F">
        <w:rPr>
          <w:vertAlign w:val="superscript"/>
          <w:lang w:val="en-US"/>
        </w:rPr>
        <w:t xml:space="preserve"> 62</w:t>
      </w:r>
      <w:r w:rsidRPr="0006693F">
        <w:rPr>
          <w:lang w:val="en-US"/>
        </w:rPr>
        <w:t xml:space="preserve"> The Fund, FODETEL, has financed a number of school connectivity programs, including a US$ 469,000 project providing broadband connections and free Internet access to 74 schools in the Cantón Montúfar Municipality.</w:t>
      </w:r>
      <w:r w:rsidRPr="004E79A0">
        <w:rPr>
          <w:rStyle w:val="FootnoteReference"/>
        </w:rPr>
        <w:footnoteReference w:id="64"/>
      </w:r>
    </w:p>
    <w:p w:rsidR="00D75B19" w:rsidRPr="003E798A" w:rsidRDefault="00D75B19" w:rsidP="00EC43F4">
      <w:pPr>
        <w:pStyle w:val="HIPNormal"/>
        <w:rPr>
          <w:lang w:val="en-US"/>
        </w:rPr>
      </w:pPr>
      <w:r w:rsidRPr="003E798A">
        <w:rPr>
          <w:lang w:val="en-US"/>
        </w:rPr>
        <w:t>Such activity should also be well measured, focused on areas and communities with potential for sustainability in the medium term, and designed to be responsive to market forces, with several types of financial instrument that respond to entrepreneurial need, while not distorting or misdirecting embryonic and still emerging markets.</w:t>
      </w:r>
      <w:r>
        <w:rPr>
          <w:rStyle w:val="FootnoteReference"/>
          <w:lang w:val="en-US"/>
        </w:rPr>
        <w:footnoteReference w:id="65"/>
      </w:r>
    </w:p>
    <w:p w:rsidR="00D75B19" w:rsidRPr="00942615" w:rsidRDefault="0088668E" w:rsidP="0088668E">
      <w:pPr>
        <w:pStyle w:val="HIPheading4"/>
      </w:pPr>
      <w:bookmarkStart w:id="378" w:name="_Toc284597995"/>
      <w:r>
        <w:lastRenderedPageBreak/>
        <w:t>3.4.</w:t>
      </w:r>
      <w:r w:rsidR="00EC43F4">
        <w:t>2.2</w:t>
      </w:r>
      <w:r w:rsidR="00EC43F4">
        <w:tab/>
      </w:r>
      <w:r w:rsidR="00D75B19" w:rsidRPr="00942615">
        <w:t xml:space="preserve">Funding School Connectivity </w:t>
      </w:r>
      <w:r w:rsidR="00D75B19">
        <w:t>Ind</w:t>
      </w:r>
      <w:r w:rsidR="00D75B19" w:rsidRPr="00942615">
        <w:t>irectly</w:t>
      </w:r>
      <w:bookmarkEnd w:id="378"/>
    </w:p>
    <w:p w:rsidR="00D75B19" w:rsidRPr="00FC3094" w:rsidRDefault="00D75B19" w:rsidP="00EC43F4">
      <w:pPr>
        <w:pStyle w:val="HIPNormal"/>
        <w:rPr>
          <w:lang w:val="en-US"/>
        </w:rPr>
      </w:pPr>
      <w:r w:rsidRPr="00FC3094">
        <w:rPr>
          <w:lang w:val="en-US"/>
        </w:rPr>
        <w:t xml:space="preserve">Pakistan’s USF does not fund schools directly, but has effectively aligned its infrastructure financing </w:t>
      </w:r>
      <w:r>
        <w:rPr>
          <w:lang w:val="en-US"/>
        </w:rPr>
        <w:t xml:space="preserve">programme </w:t>
      </w:r>
      <w:r w:rsidRPr="00FC3094">
        <w:rPr>
          <w:lang w:val="en-US"/>
        </w:rPr>
        <w:t>to the financing of school connectivity. In the Pakistani model, as part of the universal access strategy the successful bidder is given obligations regarding connecting educational institutions and communities. Included in this is the obligation to provide each higher secondary school, college and library in the area covered with the subsidy free connection, free broadband access for the first year, 5 PCs in a Local Area Network and the training of 2 trainers.</w:t>
      </w:r>
      <w:r w:rsidRPr="004E79A0">
        <w:rPr>
          <w:rStyle w:val="FootnoteReference"/>
        </w:rPr>
        <w:footnoteReference w:id="66"/>
      </w:r>
      <w:r w:rsidRPr="00FC3094">
        <w:rPr>
          <w:lang w:val="en-US"/>
        </w:rPr>
        <w:t xml:space="preserve"> The same approach can be taken for other public institutions such as clinics and hospitals.</w:t>
      </w:r>
    </w:p>
    <w:p w:rsidR="00D75B19" w:rsidRPr="00942615" w:rsidRDefault="0088668E" w:rsidP="0088668E">
      <w:pPr>
        <w:pStyle w:val="HIPheading5"/>
      </w:pPr>
      <w:bookmarkStart w:id="379" w:name="_Toc284597996"/>
      <w:r>
        <w:t>3.4.</w:t>
      </w:r>
      <w:r w:rsidR="00EC43F4">
        <w:t>2.2.1</w:t>
      </w:r>
      <w:r w:rsidR="00EC43F4">
        <w:tab/>
      </w:r>
      <w:r w:rsidR="00D75B19" w:rsidRPr="00942615">
        <w:t>Funding an “E-rate”</w:t>
      </w:r>
      <w:bookmarkEnd w:id="379"/>
    </w:p>
    <w:p w:rsidR="00D75B19" w:rsidRPr="00870967" w:rsidRDefault="00D75B19" w:rsidP="00EC43F4">
      <w:pPr>
        <w:pStyle w:val="HIPNormal"/>
        <w:rPr>
          <w:lang w:val="en-US"/>
        </w:rPr>
      </w:pPr>
      <w:r w:rsidRPr="00FC3094">
        <w:rPr>
          <w:lang w:val="en-US"/>
        </w:rPr>
        <w:t xml:space="preserve">An Education Rate, or “e-rate” is a way in which Funds can be used to finance users as opposed to infrastructure. An e-rate is an approach that can be used to address universal access challenges for schools that already have an infrastructure connection. Through the setting up of an e-rate the Fund can reduce ongoing usage charges for all schools. Implementation of an e-rate requires a financing method to “pay” operators for the discounts they are providing to schools. </w:t>
      </w:r>
      <w:bookmarkStart w:id="380" w:name="head"/>
      <w:r w:rsidRPr="00FC3094">
        <w:rPr>
          <w:lang w:val="en-US"/>
        </w:rPr>
        <w:t>This can be financed from the Fund and the schools claim the fees from the Fund, or</w:t>
      </w:r>
      <w:r>
        <w:rPr>
          <w:lang w:val="en-US"/>
        </w:rPr>
        <w:t xml:space="preserve"> by the operators, i.e.</w:t>
      </w:r>
      <w:r w:rsidRPr="00FC3094">
        <w:rPr>
          <w:lang w:val="en-US"/>
        </w:rPr>
        <w:t xml:space="preserve"> through discounts directly given by operators – the latter is more feasible in light of the affordability challenges faced by schools that may not be able to afford to wait for reimbursement. The money for the e-rate can be an </w:t>
      </w:r>
      <w:r w:rsidRPr="00870967">
        <w:rPr>
          <w:lang w:val="en-US"/>
        </w:rPr>
        <w:t xml:space="preserve">obligation on operators as in South Africa, or operators can claim the discount back from the Fund as in the United States. </w:t>
      </w:r>
      <w:r w:rsidRPr="007B38FA">
        <w:rPr>
          <w:lang w:val="en-US"/>
        </w:rPr>
        <w:t>The US scheme has six different levels of discount in order to focus the maximum subsidy in poor and rural areas. The method used to measure poverty is the percentage of students eligible for the national school lunch programme that provides a free lunch to poor students.</w:t>
      </w:r>
    </w:p>
    <w:p w:rsidR="00D75B19" w:rsidRPr="00FC3094" w:rsidRDefault="00D75B19" w:rsidP="00EC43F4">
      <w:pPr>
        <w:pStyle w:val="HIPNormal"/>
        <w:rPr>
          <w:lang w:val="en-US"/>
        </w:rPr>
      </w:pPr>
      <w:r w:rsidRPr="00FC3094">
        <w:rPr>
          <w:lang w:val="en-US"/>
        </w:rPr>
        <w:t>Two issues are vital for implementing an e-rate scheme: providing quality bandwidth and a fixed and predictable monthly cost for schools’ users.</w:t>
      </w:r>
      <w:bookmarkEnd w:id="380"/>
      <w:r w:rsidR="005E5682">
        <w:rPr>
          <w:lang w:val="en-US"/>
        </w:rPr>
        <w:t xml:space="preserve"> </w:t>
      </w:r>
      <w:r w:rsidRPr="00FC3094">
        <w:rPr>
          <w:lang w:val="en-US"/>
        </w:rPr>
        <w:t xml:space="preserve">It is recognised that a pre-requisite is the existence of one or several ISPs in the desired geographical areas for the schools to choose from. </w:t>
      </w:r>
    </w:p>
    <w:p w:rsidR="00D75B19" w:rsidRDefault="0088668E" w:rsidP="0088668E">
      <w:pPr>
        <w:pStyle w:val="HIPheading4"/>
      </w:pPr>
      <w:bookmarkStart w:id="381" w:name="_Toc284597997"/>
      <w:r>
        <w:t>3.4.</w:t>
      </w:r>
      <w:r w:rsidR="00EC43F4">
        <w:t>2.3</w:t>
      </w:r>
      <w:r w:rsidR="00EC43F4">
        <w:tab/>
      </w:r>
      <w:r w:rsidR="00D75B19" w:rsidRPr="001E5D76">
        <w:t>SADC Experience w</w:t>
      </w:r>
      <w:r w:rsidR="00D75B19">
        <w:t>ith School Connectivity projects</w:t>
      </w:r>
      <w:bookmarkEnd w:id="381"/>
    </w:p>
    <w:p w:rsidR="00D75B19" w:rsidRDefault="0088668E" w:rsidP="0088668E">
      <w:pPr>
        <w:pStyle w:val="HIPheading5"/>
      </w:pPr>
      <w:bookmarkStart w:id="382" w:name="_Toc284597998"/>
      <w:r>
        <w:t>3.4.</w:t>
      </w:r>
      <w:r w:rsidR="00EC43F4">
        <w:t>2.3.1</w:t>
      </w:r>
      <w:r w:rsidR="00EC43F4">
        <w:tab/>
      </w:r>
      <w:r w:rsidR="00D75B19">
        <w:t>SADC Experience – Direct and Indirect</w:t>
      </w:r>
      <w:bookmarkEnd w:id="382"/>
    </w:p>
    <w:p w:rsidR="00D75B19" w:rsidRPr="0006693F" w:rsidRDefault="00D75B19" w:rsidP="00EC43F4">
      <w:pPr>
        <w:pStyle w:val="HIPNormal"/>
        <w:rPr>
          <w:lang w:val="en-US"/>
        </w:rPr>
      </w:pPr>
      <w:r w:rsidRPr="0006693F">
        <w:rPr>
          <w:lang w:val="en-US"/>
        </w:rPr>
        <w:t>In SADC, Mozambique, Malawi, South Africa and the founding country Namibia has SchoolNet programmes established through PPP</w:t>
      </w:r>
      <w:r w:rsidRPr="00FC3094">
        <w:rPr>
          <w:lang w:val="en-US"/>
        </w:rPr>
        <w:t>s.</w:t>
      </w:r>
      <w:r w:rsidR="005E5682">
        <w:rPr>
          <w:lang w:val="en-US"/>
        </w:rPr>
        <w:t xml:space="preserve"> </w:t>
      </w:r>
      <w:r w:rsidRPr="00FC3094">
        <w:rPr>
          <w:lang w:val="en-US"/>
        </w:rPr>
        <w:t>SchoolNet Africa, established partnerships with a wide range of organizations, donors, development agencies and private sector companies. It developed an African Schoo</w:t>
      </w:r>
      <w:r>
        <w:rPr>
          <w:lang w:val="en-US"/>
        </w:rPr>
        <w:t>l</w:t>
      </w:r>
      <w:r w:rsidRPr="00FC3094">
        <w:rPr>
          <w:lang w:val="en-US"/>
        </w:rPr>
        <w:t>Net Toolkit . which is designed to help education planners and practitioners integrate information and communication technologies (ICTs) into education systems</w:t>
      </w:r>
      <w:r w:rsidRPr="00FC3094">
        <w:rPr>
          <w:color w:val="333333"/>
          <w:sz w:val="19"/>
          <w:szCs w:val="19"/>
          <w:lang w:val="en-US"/>
        </w:rPr>
        <w:t xml:space="preserve">. </w:t>
      </w:r>
      <w:r>
        <w:rPr>
          <w:rStyle w:val="FootnoteReference"/>
        </w:rPr>
        <w:footnoteReference w:id="67"/>
      </w:r>
      <w:r w:rsidRPr="0006693F">
        <w:rPr>
          <w:lang w:val="en-US"/>
        </w:rPr>
        <w:t xml:space="preserve"> </w:t>
      </w:r>
    </w:p>
    <w:p w:rsidR="00D75B19" w:rsidRDefault="0088668E" w:rsidP="0088668E">
      <w:pPr>
        <w:pStyle w:val="HIPheading5"/>
      </w:pPr>
      <w:bookmarkStart w:id="383" w:name="_Toc284597999"/>
      <w:r>
        <w:t>3.4.</w:t>
      </w:r>
      <w:r w:rsidR="00EC43F4">
        <w:t>2.3.2</w:t>
      </w:r>
      <w:r w:rsidR="00EC43F4">
        <w:tab/>
      </w:r>
      <w:r w:rsidR="00D75B19">
        <w:t>SADC Experience – E-rate</w:t>
      </w:r>
      <w:bookmarkEnd w:id="383"/>
    </w:p>
    <w:p w:rsidR="00D75B19" w:rsidRPr="0006693F" w:rsidRDefault="00D75B19" w:rsidP="00EC43F4">
      <w:pPr>
        <w:pStyle w:val="HIPNormal"/>
        <w:rPr>
          <w:lang w:val="en-US"/>
        </w:rPr>
      </w:pPr>
      <w:r w:rsidRPr="00FC3094">
        <w:rPr>
          <w:lang w:val="en-US"/>
        </w:rPr>
        <w:t xml:space="preserve">In SADC, South Africa has a legislated e-rate. E-rates have also been achieved through PPPs in Angola and Zambia. </w:t>
      </w:r>
      <w:r w:rsidRPr="0006693F">
        <w:rPr>
          <w:lang w:val="en-US"/>
        </w:rPr>
        <w:t>Private-public partnership models have also been used to achieve the e-rate objective of discounting internet access in some countries in the region, namely Angola and Zambia.</w:t>
      </w:r>
      <w:r w:rsidR="005E5682">
        <w:rPr>
          <w:lang w:val="en-US"/>
        </w:rPr>
        <w:t xml:space="preserve"> </w:t>
      </w:r>
      <w:r w:rsidRPr="0006693F">
        <w:rPr>
          <w:lang w:val="en-US"/>
        </w:rPr>
        <w:t xml:space="preserve">Zambian ISP Zamnet provided cheaper access rates to SchoolNet members and Angola’s Ebonet agreed to link four schools to the internet using a special rate which was 30% less than the normal rate. However these kinds </w:t>
      </w:r>
      <w:r w:rsidRPr="0006693F">
        <w:rPr>
          <w:lang w:val="en-US"/>
        </w:rPr>
        <w:lastRenderedPageBreak/>
        <w:t>of agreements are historic and as anticipated since they exist outside a formal framework, have tended to be time-limited and only cover a limited number of schools.</w:t>
      </w:r>
      <w:r>
        <w:rPr>
          <w:rStyle w:val="FootnoteReference"/>
        </w:rPr>
        <w:footnoteReference w:id="68"/>
      </w:r>
      <w:r w:rsidRPr="0006693F">
        <w:rPr>
          <w:lang w:val="en-US"/>
        </w:rPr>
        <w:t xml:space="preserve"> </w:t>
      </w:r>
    </w:p>
    <w:p w:rsidR="00D75B19" w:rsidRPr="00DC231B" w:rsidRDefault="0088668E" w:rsidP="0088668E">
      <w:pPr>
        <w:pStyle w:val="HIPheading3"/>
      </w:pPr>
      <w:bookmarkStart w:id="384" w:name="_Toc284598000"/>
      <w:bookmarkStart w:id="385" w:name="_Toc286144982"/>
      <w:r>
        <w:t>3.4.</w:t>
      </w:r>
      <w:r w:rsidR="00EC43F4">
        <w:t>3</w:t>
      </w:r>
      <w:r w:rsidR="00EC43F4">
        <w:tab/>
      </w:r>
      <w:r w:rsidR="00D75B19" w:rsidRPr="001E5D76">
        <w:t>Telecentres/</w:t>
      </w:r>
      <w:r w:rsidR="00D75B19">
        <w:t>Cybercafe/Information</w:t>
      </w:r>
      <w:r w:rsidR="00D75B19" w:rsidRPr="001E5D76">
        <w:t xml:space="preserve"> Access</w:t>
      </w:r>
      <w:r w:rsidR="00D75B19">
        <w:t xml:space="preserve"> Points (Community Access Projects)</w:t>
      </w:r>
      <w:bookmarkEnd w:id="384"/>
      <w:bookmarkEnd w:id="385"/>
    </w:p>
    <w:p w:rsidR="00D75B19" w:rsidRDefault="00D75B19" w:rsidP="00EC43F4">
      <w:pPr>
        <w:pStyle w:val="HIPNormal"/>
        <w:ind w:left="1418" w:hanging="1418"/>
        <w:rPr>
          <w:lang w:val="en-US"/>
        </w:rPr>
      </w:pPr>
      <w:r w:rsidRPr="0088668E">
        <w:rPr>
          <w:b/>
          <w:bCs/>
          <w:lang w:val="en-US"/>
        </w:rPr>
        <w:t>Funder:</w:t>
      </w:r>
      <w:r>
        <w:rPr>
          <w:lang w:val="en-US"/>
        </w:rPr>
        <w:tab/>
        <w:t xml:space="preserve">Private funding, Public Funding Models including Ownership, Financing Incentives (including USAF), and PPPs (national, local, </w:t>
      </w:r>
      <w:r>
        <w:rPr>
          <w:rFonts w:hint="eastAsia"/>
          <w:lang w:val="en-US"/>
        </w:rPr>
        <w:t>municipal</w:t>
      </w:r>
      <w:r>
        <w:rPr>
          <w:lang w:val="en-US"/>
        </w:rPr>
        <w:t>, NGO, donor, cooperatives, etc)</w:t>
      </w:r>
    </w:p>
    <w:p w:rsidR="00D75B19" w:rsidRDefault="00D75B19" w:rsidP="00EC43F4">
      <w:pPr>
        <w:pStyle w:val="HIPNormal"/>
        <w:rPr>
          <w:lang w:val="en-US"/>
        </w:rPr>
      </w:pPr>
      <w:r w:rsidRPr="0088668E">
        <w:rPr>
          <w:b/>
          <w:bCs/>
          <w:lang w:val="en-US"/>
        </w:rPr>
        <w:t>Funding:</w:t>
      </w:r>
      <w:r>
        <w:rPr>
          <w:lang w:val="en-US"/>
        </w:rPr>
        <w:tab/>
        <w:t>Subsidies, in-kind contributions, grants and loans, community access/user revenues</w:t>
      </w:r>
    </w:p>
    <w:p w:rsidR="00D75B19" w:rsidRPr="00921206" w:rsidRDefault="00D75B19" w:rsidP="00EC43F4">
      <w:pPr>
        <w:pStyle w:val="HIPNormal"/>
        <w:rPr>
          <w:lang w:val="en-US"/>
        </w:rPr>
      </w:pPr>
      <w:r w:rsidRPr="00921206">
        <w:rPr>
          <w:lang w:val="en-US"/>
        </w:rPr>
        <w:t>Regardless of</w:t>
      </w:r>
      <w:r>
        <w:rPr>
          <w:lang w:val="en-US"/>
        </w:rPr>
        <w:t xml:space="preserve"> the funding model, whether it </w:t>
      </w:r>
      <w:r w:rsidRPr="00921206">
        <w:rPr>
          <w:lang w:val="en-US"/>
        </w:rPr>
        <w:t xml:space="preserve">is from </w:t>
      </w:r>
      <w:r>
        <w:rPr>
          <w:lang w:val="en-US"/>
        </w:rPr>
        <w:t>donations g</w:t>
      </w:r>
      <w:r w:rsidRPr="00921206">
        <w:rPr>
          <w:lang w:val="en-US"/>
        </w:rPr>
        <w:t>o</w:t>
      </w:r>
      <w:r>
        <w:rPr>
          <w:lang w:val="en-US"/>
        </w:rPr>
        <w:t>v</w:t>
      </w:r>
      <w:r w:rsidRPr="00921206">
        <w:rPr>
          <w:lang w:val="en-US"/>
        </w:rPr>
        <w:t xml:space="preserve">ernment, Funds, community groups, </w:t>
      </w:r>
      <w:r>
        <w:rPr>
          <w:lang w:val="en-US"/>
        </w:rPr>
        <w:t xml:space="preserve">or </w:t>
      </w:r>
      <w:r w:rsidRPr="00921206">
        <w:rPr>
          <w:lang w:val="en-US"/>
        </w:rPr>
        <w:t>payment by users</w:t>
      </w:r>
      <w:r>
        <w:rPr>
          <w:lang w:val="en-US"/>
        </w:rPr>
        <w:t xml:space="preserve"> any sustainable community access project</w:t>
      </w:r>
      <w:r w:rsidR="005E5682">
        <w:rPr>
          <w:lang w:val="en-US"/>
        </w:rPr>
        <w:t xml:space="preserve"> </w:t>
      </w:r>
      <w:r>
        <w:rPr>
          <w:lang w:val="en-US"/>
        </w:rPr>
        <w:t xml:space="preserve">model must be demand driven. If the community in </w:t>
      </w:r>
      <w:r>
        <w:rPr>
          <w:rFonts w:hint="eastAsia"/>
          <w:lang w:val="en-US"/>
        </w:rPr>
        <w:t>which</w:t>
      </w:r>
      <w:r>
        <w:rPr>
          <w:lang w:val="en-US"/>
        </w:rPr>
        <w:t xml:space="preserve"> the telecentre, cyber </w:t>
      </w:r>
      <w:r>
        <w:rPr>
          <w:rFonts w:hint="eastAsia"/>
          <w:lang w:val="en-US"/>
        </w:rPr>
        <w:t>café</w:t>
      </w:r>
      <w:r>
        <w:rPr>
          <w:lang w:val="en-US"/>
        </w:rPr>
        <w:t xml:space="preserve"> or Internet Access Point (collectively referred to as Community Access Projects) is situated has no </w:t>
      </w:r>
      <w:r w:rsidRPr="00921206">
        <w:rPr>
          <w:i/>
          <w:iCs/>
          <w:lang w:val="en-US"/>
        </w:rPr>
        <w:t xml:space="preserve">need </w:t>
      </w:r>
      <w:r>
        <w:rPr>
          <w:lang w:val="en-US"/>
        </w:rPr>
        <w:t xml:space="preserve">for its services, it will not succeed and financing it wil be </w:t>
      </w:r>
      <w:r>
        <w:rPr>
          <w:rFonts w:hint="eastAsia"/>
          <w:lang w:val="en-US"/>
        </w:rPr>
        <w:t>inefficient</w:t>
      </w:r>
      <w:r>
        <w:rPr>
          <w:lang w:val="en-US"/>
        </w:rPr>
        <w:t xml:space="preserve"> and wasteful.</w:t>
      </w:r>
    </w:p>
    <w:p w:rsidR="0088668E" w:rsidRDefault="0088668E" w:rsidP="0088668E">
      <w:pPr>
        <w:pStyle w:val="HIPBoxquestion"/>
      </w:pPr>
      <w:bookmarkStart w:id="386" w:name="_Toc286146365"/>
      <w:r>
        <w:t>Box 3.9</w:t>
      </w:r>
      <w:bookmarkEnd w:id="386"/>
    </w:p>
    <w:p w:rsidR="00EC43F4" w:rsidRPr="000E203F" w:rsidRDefault="00EC43F4" w:rsidP="0088668E">
      <w:pPr>
        <w:pStyle w:val="HIPBoxNormal"/>
      </w:pPr>
      <w:r w:rsidRPr="000E203F">
        <w:t xml:space="preserve">The places in the community with shared access to computers and the Internet have a variety of names and are referred to in this Toolkit as </w:t>
      </w:r>
      <w:r w:rsidRPr="000E203F">
        <w:rPr>
          <w:rFonts w:hint="eastAsia"/>
        </w:rPr>
        <w:t>“</w:t>
      </w:r>
      <w:r w:rsidRPr="000E203F">
        <w:t>Community Access Projects</w:t>
      </w:r>
      <w:r w:rsidRPr="000E203F">
        <w:rPr>
          <w:rFonts w:hint="eastAsia"/>
        </w:rPr>
        <w:t>”</w:t>
      </w:r>
      <w:r w:rsidRPr="000E203F">
        <w:t>. They can be divided into three broad categories</w:t>
      </w:r>
      <w:r>
        <w:t xml:space="preserve">, </w:t>
      </w:r>
      <w:r w:rsidRPr="000E203F">
        <w:t xml:space="preserve">which are defined as follows in the Handbook for Telecentre Staffs </w:t>
      </w:r>
      <w:r w:rsidRPr="000E203F">
        <w:rPr>
          <w:rStyle w:val="FootnoteReference"/>
        </w:rPr>
        <w:footnoteReference w:id="69"/>
      </w:r>
    </w:p>
    <w:p w:rsidR="00EC43F4" w:rsidRPr="000E203F" w:rsidRDefault="00EC43F4" w:rsidP="0088668E">
      <w:pPr>
        <w:pStyle w:val="HIPBoxenumlevel"/>
      </w:pPr>
      <w:r w:rsidRPr="00EC43F4">
        <w:rPr>
          <w:bCs/>
          <w:color w:val="008000"/>
        </w:rPr>
        <w:t>•</w:t>
      </w:r>
      <w:r>
        <w:rPr>
          <w:bCs/>
        </w:rPr>
        <w:tab/>
      </w:r>
      <w:r w:rsidRPr="000E203F">
        <w:rPr>
          <w:b/>
        </w:rPr>
        <w:t>Telecenters.</w:t>
      </w:r>
      <w:r w:rsidR="005E5682">
        <w:rPr>
          <w:b/>
        </w:rPr>
        <w:t xml:space="preserve"> </w:t>
      </w:r>
      <w:r w:rsidRPr="000E203F">
        <w:rPr>
          <w:bCs/>
        </w:rPr>
        <w:t>Multi-purpose community telecenters</w:t>
      </w:r>
      <w:r w:rsidRPr="000E203F">
        <w:t xml:space="preserve"> tend to be in the public sector, operated by governmental bodies or non-governmental organizations (NGOs), serve a low-income clientele, and have a community development mission. Typically, telecenters offer a broad range of communication services related to the needs of the community, some of which are free or subsidized by external bodies such as governments or NGOs. Along with computer and Internet access, these services might include: desktop publishing, community newspapers, sales or rental of audio and video recordings, book lending, training, photocopying, faxing, and telephone services. Some – like the Hungarian telecottages and the Western Australia Telecenter Network telecenters – provide postal, banking and employment services. </w:t>
      </w:r>
    </w:p>
    <w:p w:rsidR="00EC43F4" w:rsidRPr="000E203F" w:rsidRDefault="00EC43F4" w:rsidP="0088668E">
      <w:pPr>
        <w:pStyle w:val="HIPBoxenumlevel"/>
      </w:pPr>
      <w:r w:rsidRPr="00EC43F4">
        <w:rPr>
          <w:bCs/>
          <w:color w:val="008000"/>
        </w:rPr>
        <w:t>•</w:t>
      </w:r>
      <w:r>
        <w:rPr>
          <w:bCs/>
        </w:rPr>
        <w:tab/>
      </w:r>
      <w:r w:rsidRPr="000E203F">
        <w:rPr>
          <w:b/>
        </w:rPr>
        <w:t xml:space="preserve">Cybercafés </w:t>
      </w:r>
      <w:r w:rsidRPr="000E203F">
        <w:t>The commercially-oriented cybercafés that are found on streets adjoining China's Tiananmen Square to the neighborhoods of Buenos Aires. They are usually in the private sector and focus primarily on providing customers with the use of computers and connections to the Internet and the Worldwide Web. Their clients tend to be more urban, more educated, and more economically well off than the clients of telecenters. The principal attractions at the cybercafés are computer games and e-mail. For example, there are 26,000 PC</w:t>
      </w:r>
      <w:r w:rsidRPr="000E203F">
        <w:rPr>
          <w:i/>
        </w:rPr>
        <w:t xml:space="preserve"> baangs</w:t>
      </w:r>
      <w:r w:rsidRPr="000E203F">
        <w:t xml:space="preserve"> in Seoul, Korea where people under 30 go to socialize and play on-line computer games. The PC </w:t>
      </w:r>
      <w:r w:rsidRPr="000E203F">
        <w:rPr>
          <w:i/>
        </w:rPr>
        <w:t>baangs'</w:t>
      </w:r>
      <w:r w:rsidRPr="000E203F">
        <w:t xml:space="preserve"> support comes from consumer fees and sales of refreshments. Similarly, in Peru, almost 3,000 private sector Internet </w:t>
      </w:r>
      <w:r w:rsidRPr="000E203F">
        <w:rPr>
          <w:i/>
        </w:rPr>
        <w:t>cabinas</w:t>
      </w:r>
      <w:r w:rsidRPr="000E203F">
        <w:t xml:space="preserve"> are sustained by charging fees to users (about US$0.40 per hour) for PC, e-mail and Internet services. </w:t>
      </w:r>
    </w:p>
    <w:p w:rsidR="00EC43F4" w:rsidRPr="0088668E" w:rsidRDefault="00EC43F4" w:rsidP="0088668E">
      <w:pPr>
        <w:pStyle w:val="HIPBoxenumlevel"/>
        <w:rPr>
          <w:rFonts w:ascii="Arial" w:hAnsi="Arial"/>
        </w:rPr>
      </w:pPr>
      <w:r w:rsidRPr="00EC43F4">
        <w:rPr>
          <w:bCs/>
          <w:color w:val="008000"/>
        </w:rPr>
        <w:t>•</w:t>
      </w:r>
      <w:r>
        <w:rPr>
          <w:bCs/>
        </w:rPr>
        <w:tab/>
      </w:r>
      <w:r w:rsidRPr="000E203F">
        <w:rPr>
          <w:b/>
        </w:rPr>
        <w:t>IAP</w:t>
      </w:r>
      <w:r w:rsidRPr="000E203F">
        <w:t xml:space="preserve">. Information access points fall between the cybercafé and telecenter approaches. While they focus on the Internet, they emphasize information seeking. The most dramatic example is Canada's Community Access Program that established 10,000 access points in rural and urban areas across the country between 1994 and 2001. Computers and network connections were placed in community centers, libraries, schools, and other public places in order to make Canada “the most interconnected country in the world.” Canada's success has motivated other national </w:t>
      </w:r>
      <w:r w:rsidRPr="000E203F">
        <w:lastRenderedPageBreak/>
        <w:t xml:space="preserve">IAP initiatives: the Government of México designed a network of Centros Comunitarios Digitales (DCCs) as part of its Sistema Nacional e-México. The Government’s plan is to have more than 12,000 DCCs by 2006, covering 75% of the nation’s population. Across the world, in the State of Tamil Nadu, the Sustainable Access in Rural India (SARI) initiated a plan to establish "tele-kiosks" in up to 100 villages in Madurai District as the first phase of an initiative that will see thousands of IAP kiosks flooding villages all over the state. IAP can be used to support sector specific </w:t>
      </w:r>
      <w:r w:rsidRPr="000E203F">
        <w:rPr>
          <w:rFonts w:hint="eastAsia"/>
        </w:rPr>
        <w:t>initiatives</w:t>
      </w:r>
      <w:r w:rsidRPr="000E203F">
        <w:t xml:space="preserve"> in health, education, e-government and the like.</w:t>
      </w:r>
      <w:r w:rsidRPr="000E203F">
        <w:rPr>
          <w:rFonts w:ascii="Arial" w:hAnsi="Arial"/>
        </w:rPr>
        <w:t>.</w:t>
      </w:r>
    </w:p>
    <w:p w:rsidR="00D75B19" w:rsidRPr="001E5D76" w:rsidRDefault="00D75B19" w:rsidP="00EC43F4">
      <w:pPr>
        <w:pStyle w:val="HIPNormal"/>
        <w:rPr>
          <w:lang w:val="en-US"/>
        </w:rPr>
      </w:pPr>
      <w:r>
        <w:rPr>
          <w:lang w:val="en-US"/>
        </w:rPr>
        <w:t xml:space="preserve">The </w:t>
      </w:r>
      <w:r>
        <w:rPr>
          <w:rFonts w:hint="eastAsia"/>
          <w:lang w:val="en-US"/>
        </w:rPr>
        <w:t>telecentre</w:t>
      </w:r>
      <w:r>
        <w:rPr>
          <w:lang w:val="en-US"/>
        </w:rPr>
        <w:t xml:space="preserve"> model, used to provide voice access using money from the Fund in Latin America, proved successful in the mid 1990</w:t>
      </w:r>
      <w:r>
        <w:rPr>
          <w:rFonts w:hint="eastAsia"/>
          <w:lang w:val="en-US"/>
        </w:rPr>
        <w:t>’</w:t>
      </w:r>
      <w:r>
        <w:rPr>
          <w:lang w:val="en-US"/>
        </w:rPr>
        <w:t xml:space="preserve">s when the challenge related to bridging the digital divide related to primarily voice. </w:t>
      </w:r>
      <w:r w:rsidRPr="001E5D76">
        <w:rPr>
          <w:lang w:val="en-US"/>
        </w:rPr>
        <w:t>These centers initially provided shared access to voice and</w:t>
      </w:r>
      <w:r>
        <w:rPr>
          <w:lang w:val="en-US"/>
        </w:rPr>
        <w:t xml:space="preserve"> after a while</w:t>
      </w:r>
      <w:r w:rsidRPr="001E5D76">
        <w:rPr>
          <w:lang w:val="en-US"/>
        </w:rPr>
        <w:t xml:space="preserve"> internet services, as well as basic office administrative services such as fax, photocopying and scanning. Over time, </w:t>
      </w:r>
      <w:r>
        <w:rPr>
          <w:lang w:val="en-US"/>
        </w:rPr>
        <w:t xml:space="preserve">to create demand, </w:t>
      </w:r>
      <w:r w:rsidRPr="001E5D76">
        <w:rPr>
          <w:lang w:val="en-US"/>
        </w:rPr>
        <w:t xml:space="preserve">telecentres have </w:t>
      </w:r>
      <w:r>
        <w:rPr>
          <w:lang w:val="en-US"/>
        </w:rPr>
        <w:t xml:space="preserve">had to </w:t>
      </w:r>
      <w:r w:rsidRPr="001E5D76">
        <w:rPr>
          <w:lang w:val="en-US"/>
        </w:rPr>
        <w:t xml:space="preserve">become more sophisticated in the services they provide (e.g. videoconferencing and VoIP), and have </w:t>
      </w:r>
      <w:r>
        <w:rPr>
          <w:lang w:val="en-US"/>
        </w:rPr>
        <w:t xml:space="preserve">become Information Access Points and </w:t>
      </w:r>
      <w:r w:rsidRPr="001E5D76">
        <w:rPr>
          <w:lang w:val="en-US"/>
        </w:rPr>
        <w:t>partnered with other services and institutions such as schools, post offices and café’s.</w:t>
      </w:r>
      <w:r w:rsidR="005E5682">
        <w:rPr>
          <w:lang w:val="en-US"/>
        </w:rPr>
        <w:t xml:space="preserve"> </w:t>
      </w:r>
      <w:r w:rsidRPr="001E5D76">
        <w:rPr>
          <w:lang w:val="en-US"/>
        </w:rPr>
        <w:t>They can thus deliver a broad range of information resources, technologies and other service</w:t>
      </w:r>
      <w:r>
        <w:rPr>
          <w:lang w:val="en-US"/>
        </w:rPr>
        <w:t>s</w:t>
      </w:r>
      <w:r w:rsidRPr="001E5D76">
        <w:rPr>
          <w:lang w:val="en-US"/>
        </w:rPr>
        <w:t>, particularly in rural and underserviced areas.</w:t>
      </w:r>
      <w:r w:rsidRPr="001E5D76">
        <w:rPr>
          <w:rStyle w:val="FootnoteReference"/>
        </w:rPr>
        <w:footnoteReference w:id="70"/>
      </w:r>
      <w:r>
        <w:rPr>
          <w:lang w:val="en-US"/>
        </w:rPr>
        <w:t xml:space="preserve"> Cyber</w:t>
      </w:r>
      <w:r>
        <w:rPr>
          <w:rFonts w:hint="eastAsia"/>
          <w:lang w:val="en-US"/>
        </w:rPr>
        <w:t>café’</w:t>
      </w:r>
      <w:r>
        <w:rPr>
          <w:lang w:val="en-US"/>
        </w:rPr>
        <w:t>s which tend to be in urban areas and commercially driven, are the least likely to be beneficiaries of universal access financing in light of the fact that they operate in competitive markets with higher demand, but also higher supply.</w:t>
      </w:r>
    </w:p>
    <w:p w:rsidR="00D75B19" w:rsidRPr="00FC3094" w:rsidRDefault="00D75B19" w:rsidP="00EC43F4">
      <w:pPr>
        <w:pStyle w:val="HIPNormal"/>
        <w:rPr>
          <w:lang w:val="en-US"/>
        </w:rPr>
      </w:pPr>
      <w:r>
        <w:rPr>
          <w:lang w:val="en-US"/>
        </w:rPr>
        <w:t>Successful telecentre</w:t>
      </w:r>
      <w:r w:rsidRPr="001E5D76">
        <w:rPr>
          <w:lang w:val="en-US"/>
        </w:rPr>
        <w:t xml:space="preserve"> </w:t>
      </w:r>
      <w:r>
        <w:rPr>
          <w:lang w:val="en-US"/>
        </w:rPr>
        <w:t xml:space="preserve">and Internet Access Point </w:t>
      </w:r>
      <w:r w:rsidRPr="001E5D76">
        <w:rPr>
          <w:lang w:val="en-US"/>
        </w:rPr>
        <w:t>projects have been carried out in Latin America</w:t>
      </w:r>
      <w:r>
        <w:rPr>
          <w:lang w:val="en-US"/>
        </w:rPr>
        <w:t>, particularly by first generation funds, for example</w:t>
      </w:r>
      <w:r w:rsidRPr="001E5D76">
        <w:rPr>
          <w:lang w:val="en-US"/>
        </w:rPr>
        <w:t xml:space="preserve"> in</w:t>
      </w:r>
      <w:r>
        <w:rPr>
          <w:lang w:val="en-US"/>
        </w:rPr>
        <w:t xml:space="preserve"> the</w:t>
      </w:r>
      <w:r w:rsidRPr="001E5D76">
        <w:rPr>
          <w:lang w:val="en-US"/>
        </w:rPr>
        <w:t xml:space="preserve"> Dominican Republic (LINCOs Programme), Brazil (GESAC Programme and Digital Project; and Uruguay (CASI and CASIL programmes). In addition, Hungary has had a successful programme.</w:t>
      </w:r>
      <w:r>
        <w:rPr>
          <w:lang w:val="en-US"/>
        </w:rPr>
        <w:t xml:space="preserve"> In the United States, under the ARRA, the </w:t>
      </w:r>
      <w:r w:rsidRPr="001E66C1">
        <w:rPr>
          <w:lang w:val="en-US"/>
        </w:rPr>
        <w:t>NTIA is providing grants to fund</w:t>
      </w:r>
      <w:r>
        <w:rPr>
          <w:lang w:val="en-US"/>
        </w:rPr>
        <w:t xml:space="preserve"> amongst others</w:t>
      </w:r>
      <w:r w:rsidRPr="001E66C1">
        <w:rPr>
          <w:lang w:val="en-US"/>
        </w:rPr>
        <w:t xml:space="preserve"> public computer centers and sustainable broadband adoption projects via its Broadband Technology Opportunities Program (BTOP).</w:t>
      </w:r>
      <w:r w:rsidR="005E5682">
        <w:rPr>
          <w:lang w:val="en-US"/>
        </w:rPr>
        <w:t xml:space="preserve"> </w:t>
      </w:r>
      <w:r>
        <w:rPr>
          <w:lang w:val="en-US"/>
        </w:rPr>
        <w:t>Important to note, in this era of convergence, is the important role that Information Access Points can play in providing access to the full range of ICTs including rural radio and television services. The Mali, Chad and Sr</w:t>
      </w:r>
      <w:r w:rsidRPr="001B56A0">
        <w:rPr>
          <w:lang w:val="en-US"/>
        </w:rPr>
        <w:t>i Lankan cases which combine radio broadcasting with telecentre and training facilities</w:t>
      </w:r>
      <w:r>
        <w:rPr>
          <w:lang w:val="en-US"/>
        </w:rPr>
        <w:t xml:space="preserve"> are often cited in this regard.</w:t>
      </w:r>
      <w:r>
        <w:rPr>
          <w:rStyle w:val="FootnoteReference"/>
          <w:lang w:val="en-US"/>
        </w:rPr>
        <w:footnoteReference w:id="71"/>
      </w:r>
    </w:p>
    <w:p w:rsidR="00D75B19" w:rsidRDefault="0088668E" w:rsidP="0088668E">
      <w:pPr>
        <w:pStyle w:val="HIPheading4"/>
      </w:pPr>
      <w:bookmarkStart w:id="387" w:name="_Toc284598001"/>
      <w:r>
        <w:t>3.4.</w:t>
      </w:r>
      <w:r w:rsidR="00EC43F4">
        <w:t>3.1.</w:t>
      </w:r>
      <w:r w:rsidR="00EC43F4">
        <w:tab/>
      </w:r>
      <w:r w:rsidR="00D75B19">
        <w:t>SADC Experience with Telecentre Models</w:t>
      </w:r>
      <w:bookmarkEnd w:id="387"/>
    </w:p>
    <w:p w:rsidR="00D75B19" w:rsidRPr="001E5D76" w:rsidRDefault="00D75B19" w:rsidP="00EC43F4">
      <w:pPr>
        <w:pStyle w:val="HIPNormal"/>
        <w:rPr>
          <w:lang w:val="en-US"/>
        </w:rPr>
      </w:pPr>
      <w:r w:rsidRPr="001E5D76">
        <w:rPr>
          <w:lang w:val="en-US"/>
        </w:rPr>
        <w:t xml:space="preserve">In the SADC region, South Africa has an extensive telecentres project rolled out by its Fund in the late 1990’s with mixed results. </w:t>
      </w:r>
      <w:r w:rsidRPr="001E5D76">
        <w:rPr>
          <w:rStyle w:val="FootnoteReference"/>
        </w:rPr>
        <w:footnoteReference w:id="72"/>
      </w:r>
      <w:r w:rsidRPr="001E5D76">
        <w:rPr>
          <w:lang w:val="en-US"/>
        </w:rPr>
        <w:t xml:space="preserve"> Currently Malawi is using its seed funding for telecentre pilot projects.</w:t>
      </w:r>
      <w:r w:rsidR="005E5682">
        <w:rPr>
          <w:lang w:val="en-US"/>
        </w:rPr>
        <w:t xml:space="preserve"> </w:t>
      </w:r>
      <w:r w:rsidRPr="001E5D76">
        <w:rPr>
          <w:lang w:val="en-US"/>
        </w:rPr>
        <w:t>The lessons learned from the Latin American projects and consistent with those learned across Africa</w:t>
      </w:r>
      <w:r>
        <w:rPr>
          <w:lang w:val="en-US"/>
        </w:rPr>
        <w:t xml:space="preserve"> and in particular in South Africa</w:t>
      </w:r>
      <w:r w:rsidRPr="001E5D76">
        <w:rPr>
          <w:lang w:val="en-US"/>
        </w:rPr>
        <w:t>,</w:t>
      </w:r>
    </w:p>
    <w:p w:rsidR="00D75B19" w:rsidRPr="001E5D76" w:rsidRDefault="00D75B19" w:rsidP="00EC43F4">
      <w:pPr>
        <w:pStyle w:val="HIPEnumlev1"/>
      </w:pPr>
      <w:r w:rsidRPr="001E5D76">
        <w:t>A broad spectrum of services, including interactive email, voice, (including VoIP), and chat services promote usage; affordability is key, thus low costs services like chat and VoIP are particularly popular;</w:t>
      </w:r>
    </w:p>
    <w:p w:rsidR="00D75B19" w:rsidRPr="001E5D76" w:rsidRDefault="00D75B19" w:rsidP="00EC43F4">
      <w:pPr>
        <w:pStyle w:val="HIPEnumlev1"/>
      </w:pPr>
      <w:r w:rsidRPr="001E5D76">
        <w:t>Community involvement in the running of the telecentres will play a role in ensuring its sustainability. This includes partnerships with local NGOs, local government authorities, and community members and leaders.</w:t>
      </w:r>
    </w:p>
    <w:p w:rsidR="00D75B19" w:rsidRPr="001E5D76" w:rsidRDefault="00D75B19" w:rsidP="00EC43F4">
      <w:pPr>
        <w:pStyle w:val="HIPEnumlev1"/>
      </w:pPr>
      <w:r w:rsidRPr="001E5D76">
        <w:t>Internet connectivity must be reliable, affordable and of good quality and speeds;</w:t>
      </w:r>
    </w:p>
    <w:p w:rsidR="00D75B19" w:rsidRPr="001E5D76" w:rsidRDefault="00D75B19" w:rsidP="00EC43F4">
      <w:pPr>
        <w:pStyle w:val="HIPEnumlev1"/>
      </w:pPr>
      <w:r w:rsidRPr="001E5D76">
        <w:t xml:space="preserve">Literacy rates will affect uptake, and in particular e-literacy; coupled with sustainability will be affected by availability of training, and the ability of community members to create their own locally relevant content; </w:t>
      </w:r>
    </w:p>
    <w:p w:rsidR="00D75B19" w:rsidRDefault="0088668E" w:rsidP="0088668E">
      <w:pPr>
        <w:pStyle w:val="HIPheading3"/>
      </w:pPr>
      <w:bookmarkStart w:id="388" w:name="_Toc284598002"/>
      <w:bookmarkStart w:id="389" w:name="_Toc286144983"/>
      <w:bookmarkStart w:id="390" w:name="_Toc281459608"/>
      <w:r>
        <w:lastRenderedPageBreak/>
        <w:t>3.4.</w:t>
      </w:r>
      <w:r w:rsidR="00EC43F4">
        <w:t>4</w:t>
      </w:r>
      <w:r w:rsidR="00EC43F4">
        <w:tab/>
      </w:r>
      <w:r w:rsidR="00D75B19">
        <w:t>Content and Applications Projects</w:t>
      </w:r>
      <w:bookmarkEnd w:id="388"/>
      <w:bookmarkEnd w:id="389"/>
    </w:p>
    <w:p w:rsidR="00D75B19" w:rsidRDefault="00D75B19" w:rsidP="00EC43F4">
      <w:pPr>
        <w:pStyle w:val="HIPNormal"/>
        <w:ind w:left="1418" w:hanging="1418"/>
        <w:rPr>
          <w:lang w:val="en-US"/>
        </w:rPr>
      </w:pPr>
      <w:r w:rsidRPr="0088668E">
        <w:rPr>
          <w:b/>
          <w:bCs/>
          <w:lang w:val="en-US"/>
        </w:rPr>
        <w:t>Funder:</w:t>
      </w:r>
      <w:r>
        <w:rPr>
          <w:lang w:val="en-US"/>
        </w:rPr>
        <w:tab/>
        <w:t>Private funding, Public Funding Models including Financing Incentives (including USAF), and PPPs (NGO, donor, IT company, software developers, etc)</w:t>
      </w:r>
    </w:p>
    <w:p w:rsidR="00D75B19" w:rsidRDefault="00D75B19" w:rsidP="00EC43F4">
      <w:pPr>
        <w:pStyle w:val="HIPNormal"/>
        <w:rPr>
          <w:lang w:val="en-US"/>
        </w:rPr>
      </w:pPr>
      <w:r w:rsidRPr="0088668E">
        <w:rPr>
          <w:b/>
          <w:bCs/>
          <w:lang w:val="en-US"/>
        </w:rPr>
        <w:t>Funding:</w:t>
      </w:r>
      <w:r>
        <w:rPr>
          <w:lang w:val="en-US"/>
        </w:rPr>
        <w:tab/>
        <w:t>Subsidies, in-kind contributions, grants and loans</w:t>
      </w:r>
    </w:p>
    <w:p w:rsidR="00D75B19" w:rsidRDefault="00D75B19" w:rsidP="00EC43F4">
      <w:pPr>
        <w:pStyle w:val="HIPNormal"/>
        <w:rPr>
          <w:lang w:val="en-US"/>
        </w:rPr>
      </w:pPr>
      <w:r>
        <w:rPr>
          <w:lang w:val="en-US"/>
        </w:rPr>
        <w:t xml:space="preserve">Most Funds have </w:t>
      </w:r>
      <w:r>
        <w:rPr>
          <w:rFonts w:hint="eastAsia"/>
          <w:lang w:val="en-US"/>
        </w:rPr>
        <w:t>prioritized</w:t>
      </w:r>
      <w:r>
        <w:rPr>
          <w:lang w:val="en-US"/>
        </w:rPr>
        <w:t xml:space="preserve"> the rollout of </w:t>
      </w:r>
      <w:r>
        <w:rPr>
          <w:rFonts w:hint="eastAsia"/>
          <w:lang w:val="en-US"/>
        </w:rPr>
        <w:t>infrastructure</w:t>
      </w:r>
      <w:r>
        <w:rPr>
          <w:lang w:val="en-US"/>
        </w:rPr>
        <w:t xml:space="preserve">, and recently this infrastructure consists of wholesale transmission and broadband networks. In order to </w:t>
      </w:r>
      <w:r>
        <w:rPr>
          <w:rFonts w:hint="eastAsia"/>
          <w:lang w:val="en-US"/>
        </w:rPr>
        <w:t>maximize</w:t>
      </w:r>
      <w:r>
        <w:rPr>
          <w:lang w:val="en-US"/>
        </w:rPr>
        <w:t xml:space="preserve"> the use of these networks, relevant content and applications must be available for consumers to use – this however is an area of funding that most USAFs have not delved into. As ICT sector strategies focus more on broadband uptake, it becomes critical that </w:t>
      </w:r>
      <w:r>
        <w:rPr>
          <w:rFonts w:hint="eastAsia"/>
          <w:lang w:val="en-US"/>
        </w:rPr>
        <w:t>mechanisms</w:t>
      </w:r>
      <w:r>
        <w:rPr>
          <w:lang w:val="en-US"/>
        </w:rPr>
        <w:t xml:space="preserve"> are </w:t>
      </w:r>
      <w:r>
        <w:rPr>
          <w:rFonts w:hint="eastAsia"/>
          <w:lang w:val="en-US"/>
        </w:rPr>
        <w:t>developed</w:t>
      </w:r>
      <w:r>
        <w:rPr>
          <w:lang w:val="en-US"/>
        </w:rPr>
        <w:t xml:space="preserve"> to promote the development of relevant, user friendly, culturally and linguistically sensitive </w:t>
      </w:r>
      <w:r>
        <w:rPr>
          <w:rFonts w:hint="eastAsia"/>
          <w:lang w:val="en-US"/>
        </w:rPr>
        <w:t>information</w:t>
      </w:r>
      <w:r>
        <w:rPr>
          <w:lang w:val="en-US"/>
        </w:rPr>
        <w:t>.</w:t>
      </w:r>
      <w:r w:rsidR="005E5682">
        <w:rPr>
          <w:lang w:val="en-US"/>
        </w:rPr>
        <w:t xml:space="preserve"> </w:t>
      </w:r>
      <w:r>
        <w:rPr>
          <w:lang w:val="en-US"/>
        </w:rPr>
        <w:t>Financing of content and applications can include funding:</w:t>
      </w:r>
    </w:p>
    <w:p w:rsidR="00D75B19" w:rsidRDefault="00D75B19" w:rsidP="00EC43F4">
      <w:pPr>
        <w:pStyle w:val="HIPEnumlev1"/>
      </w:pPr>
      <w:r>
        <w:t>Local content production</w:t>
      </w:r>
    </w:p>
    <w:p w:rsidR="00D75B19" w:rsidRDefault="00D75B19" w:rsidP="00EC43F4">
      <w:pPr>
        <w:pStyle w:val="HIPEnumlev1"/>
      </w:pPr>
      <w:r>
        <w:t xml:space="preserve">User </w:t>
      </w:r>
      <w:r>
        <w:rPr>
          <w:rFonts w:hint="eastAsia"/>
        </w:rPr>
        <w:t>friendly</w:t>
      </w:r>
      <w:r>
        <w:t xml:space="preserve"> and graphics based interfaces</w:t>
      </w:r>
    </w:p>
    <w:p w:rsidR="00D75B19" w:rsidRDefault="00D75B19" w:rsidP="00EC43F4">
      <w:pPr>
        <w:pStyle w:val="HIPEnumlev1"/>
      </w:pPr>
      <w:r>
        <w:t xml:space="preserve">Local content in local </w:t>
      </w:r>
      <w:r>
        <w:rPr>
          <w:rFonts w:hint="eastAsia"/>
        </w:rPr>
        <w:t>languages</w:t>
      </w:r>
    </w:p>
    <w:p w:rsidR="00D75B19" w:rsidRDefault="00D75B19" w:rsidP="00EC43F4">
      <w:pPr>
        <w:pStyle w:val="HIPEnumlev1"/>
      </w:pPr>
      <w:r>
        <w:t xml:space="preserve">Shared content (e.g. </w:t>
      </w:r>
      <w:r>
        <w:rPr>
          <w:rFonts w:hint="eastAsia"/>
        </w:rPr>
        <w:t>tourism</w:t>
      </w:r>
      <w:r>
        <w:t xml:space="preserve">, </w:t>
      </w:r>
      <w:r>
        <w:rPr>
          <w:rFonts w:hint="eastAsia"/>
        </w:rPr>
        <w:t>education</w:t>
      </w:r>
      <w:r>
        <w:t>, e-government)</w:t>
      </w:r>
      <w:r w:rsidR="005E5682">
        <w:t xml:space="preserve"> </w:t>
      </w:r>
      <w:r>
        <w:t>that is locally relevant, where possible to a community level</w:t>
      </w:r>
    </w:p>
    <w:p w:rsidR="00D75B19" w:rsidRDefault="0088668E" w:rsidP="0088668E">
      <w:pPr>
        <w:pStyle w:val="HIPheading4"/>
      </w:pPr>
      <w:bookmarkStart w:id="391" w:name="_Toc284598003"/>
      <w:r>
        <w:t>3.4.</w:t>
      </w:r>
      <w:r w:rsidR="00EC43F4">
        <w:t>4.1</w:t>
      </w:r>
      <w:r w:rsidR="00EC43F4">
        <w:tab/>
      </w:r>
      <w:r w:rsidR="00D75B19">
        <w:t>SADC Experience with Content and Applications</w:t>
      </w:r>
      <w:bookmarkEnd w:id="391"/>
    </w:p>
    <w:p w:rsidR="00D75B19" w:rsidRPr="00D12974" w:rsidRDefault="00D75B19" w:rsidP="00EC43F4">
      <w:pPr>
        <w:pStyle w:val="HIPNormal"/>
        <w:rPr>
          <w:lang w:val="en-US"/>
        </w:rPr>
      </w:pPr>
      <w:r w:rsidRPr="00D12974">
        <w:rPr>
          <w:lang w:val="en-US"/>
        </w:rPr>
        <w:t xml:space="preserve">There is no evidence of SADC funds having funded content or applications, although a separate Media Development and Diversity Agency exists in South Africa, to which broadcasters contribute according to a fixed levey. This fund is use to finance the development of the local media industry. </w:t>
      </w:r>
      <w:r>
        <w:rPr>
          <w:lang w:val="en-US"/>
        </w:rPr>
        <w:t xml:space="preserve">SADC USAFs, in cases </w:t>
      </w:r>
      <w:r>
        <w:rPr>
          <w:rFonts w:hint="eastAsia"/>
          <w:lang w:val="en-US"/>
        </w:rPr>
        <w:t>where</w:t>
      </w:r>
      <w:r>
        <w:rPr>
          <w:lang w:val="en-US"/>
        </w:rPr>
        <w:t xml:space="preserve"> they cover broadcasting (South Africa) or where they have a broad electronic </w:t>
      </w:r>
      <w:r>
        <w:rPr>
          <w:rFonts w:hint="eastAsia"/>
          <w:lang w:val="en-US"/>
        </w:rPr>
        <w:t>communications</w:t>
      </w:r>
      <w:r>
        <w:rPr>
          <w:lang w:val="en-US"/>
        </w:rPr>
        <w:t xml:space="preserve"> mandate (Tanzania, Malawi) can consider using the monies for </w:t>
      </w:r>
      <w:r>
        <w:rPr>
          <w:rFonts w:hint="eastAsia"/>
          <w:lang w:val="en-US"/>
        </w:rPr>
        <w:t>stimulating</w:t>
      </w:r>
      <w:r>
        <w:rPr>
          <w:lang w:val="en-US"/>
        </w:rPr>
        <w:t xml:space="preserve"> demand through investment in content and applications for use with advanced services, assuming the includion of broadband or internet access in their </w:t>
      </w:r>
      <w:r>
        <w:rPr>
          <w:rFonts w:hint="eastAsia"/>
          <w:lang w:val="en-US"/>
        </w:rPr>
        <w:t>universal</w:t>
      </w:r>
      <w:r>
        <w:rPr>
          <w:lang w:val="en-US"/>
        </w:rPr>
        <w:t xml:space="preserve"> access targets.</w:t>
      </w:r>
    </w:p>
    <w:p w:rsidR="00D75B19" w:rsidRPr="00D92738" w:rsidRDefault="0088668E" w:rsidP="0088668E">
      <w:pPr>
        <w:pStyle w:val="HIPheading3"/>
      </w:pPr>
      <w:bookmarkStart w:id="392" w:name="_Toc284598004"/>
      <w:bookmarkStart w:id="393" w:name="_Toc286144984"/>
      <w:r>
        <w:t>3.4.</w:t>
      </w:r>
      <w:r w:rsidR="00EC43F4">
        <w:t>5</w:t>
      </w:r>
      <w:r w:rsidR="00EC43F4">
        <w:tab/>
      </w:r>
      <w:r w:rsidR="00D75B19" w:rsidRPr="00D92738">
        <w:t>Pilot Projects</w:t>
      </w:r>
      <w:bookmarkEnd w:id="390"/>
      <w:bookmarkEnd w:id="392"/>
      <w:bookmarkEnd w:id="393"/>
    </w:p>
    <w:p w:rsidR="00D75B19" w:rsidRDefault="00EC43F4" w:rsidP="00EC43F4">
      <w:pPr>
        <w:pStyle w:val="HIPNormal"/>
        <w:rPr>
          <w:lang w:val="en-US"/>
        </w:rPr>
      </w:pPr>
      <w:r w:rsidRPr="0088668E">
        <w:rPr>
          <w:b/>
          <w:bCs/>
          <w:lang w:val="en-US"/>
        </w:rPr>
        <w:t>Funder:</w:t>
      </w:r>
      <w:r w:rsidRPr="0088668E">
        <w:rPr>
          <w:b/>
          <w:bCs/>
          <w:lang w:val="en-US"/>
        </w:rPr>
        <w:tab/>
      </w:r>
      <w:r>
        <w:rPr>
          <w:lang w:val="en-US"/>
        </w:rPr>
        <w:tab/>
      </w:r>
      <w:r w:rsidR="00D75B19">
        <w:rPr>
          <w:lang w:val="en-US"/>
        </w:rPr>
        <w:t>Private financers, USAF or Other Funding Options including donors, and NGOs</w:t>
      </w:r>
    </w:p>
    <w:p w:rsidR="00D75B19" w:rsidRDefault="00D75B19" w:rsidP="00EC43F4">
      <w:pPr>
        <w:pStyle w:val="HIPNormal"/>
        <w:rPr>
          <w:lang w:val="en-US"/>
        </w:rPr>
      </w:pPr>
      <w:r w:rsidRPr="0088668E">
        <w:rPr>
          <w:b/>
          <w:bCs/>
          <w:lang w:val="en-US"/>
        </w:rPr>
        <w:t>Funding:</w:t>
      </w:r>
      <w:r>
        <w:rPr>
          <w:lang w:val="en-US"/>
        </w:rPr>
        <w:tab/>
        <w:t>Subsidies, in-kind contributions, grants and loans</w:t>
      </w:r>
    </w:p>
    <w:p w:rsidR="00D75B19" w:rsidRDefault="00D75B19" w:rsidP="00EC43F4">
      <w:pPr>
        <w:pStyle w:val="HIPNormal"/>
        <w:rPr>
          <w:lang w:val="en-US"/>
        </w:rPr>
      </w:pPr>
      <w:r w:rsidRPr="00D92738">
        <w:rPr>
          <w:lang w:val="en-US"/>
        </w:rPr>
        <w:t>In order to ensure the development and innovation of the Fund, financing can be reserved for pilot projects in developing areas, or for new ideas that demonstrate potential with respect to addres</w:t>
      </w:r>
      <w:r>
        <w:rPr>
          <w:lang w:val="en-US"/>
        </w:rPr>
        <w:t>sing challenges of access. The F</w:t>
      </w:r>
      <w:r w:rsidRPr="00D92738">
        <w:rPr>
          <w:lang w:val="en-US"/>
        </w:rPr>
        <w:t xml:space="preserve">und </w:t>
      </w:r>
      <w:r>
        <w:rPr>
          <w:lang w:val="en-US"/>
        </w:rPr>
        <w:t xml:space="preserve">working with NGOs and donors, </w:t>
      </w:r>
      <w:r w:rsidRPr="00D92738">
        <w:rPr>
          <w:lang w:val="en-US"/>
        </w:rPr>
        <w:t>can then continually test new approaches and technologies. Ideally the success stories can be carried to the next stage and become projects</w:t>
      </w:r>
      <w:r>
        <w:rPr>
          <w:lang w:val="en-US"/>
        </w:rPr>
        <w:t xml:space="preserve"> (which may be financed by the Fund, PPPs or other public financing)</w:t>
      </w:r>
      <w:r w:rsidRPr="00D92738">
        <w:rPr>
          <w:lang w:val="en-US"/>
        </w:rPr>
        <w:t>.</w:t>
      </w:r>
      <w:r>
        <w:rPr>
          <w:lang w:val="en-US"/>
        </w:rPr>
        <w:t xml:space="preserve"> </w:t>
      </w:r>
    </w:p>
    <w:p w:rsidR="00D75B19" w:rsidRDefault="00D75B19" w:rsidP="00EC43F4">
      <w:pPr>
        <w:pStyle w:val="HIPNormal"/>
        <w:rPr>
          <w:lang w:val="en-US"/>
        </w:rPr>
      </w:pPr>
      <w:r>
        <w:rPr>
          <w:lang w:val="en-US"/>
        </w:rPr>
        <w:t xml:space="preserve">Globally good practice on conducting pilot projects has been identified. It is important that the objectives of the pilot are clear and that an </w:t>
      </w:r>
      <w:r>
        <w:rPr>
          <w:rFonts w:hint="eastAsia"/>
          <w:lang w:val="en-US"/>
        </w:rPr>
        <w:t>“</w:t>
      </w:r>
      <w:r>
        <w:rPr>
          <w:lang w:val="en-US"/>
        </w:rPr>
        <w:t>Objectives Document</w:t>
      </w:r>
      <w:r>
        <w:rPr>
          <w:rFonts w:hint="eastAsia"/>
          <w:lang w:val="en-US"/>
        </w:rPr>
        <w:t>”</w:t>
      </w:r>
      <w:r>
        <w:rPr>
          <w:lang w:val="en-US"/>
        </w:rPr>
        <w:t xml:space="preserve"> is prepared by the Fund before starting the pilot. There is a risk that because a pilot is smaller and is a test, it is not planned as well as a ‘real</w:t>
      </w:r>
      <w:r>
        <w:rPr>
          <w:rFonts w:hint="eastAsia"/>
          <w:lang w:val="en-US"/>
        </w:rPr>
        <w:t>’</w:t>
      </w:r>
      <w:r>
        <w:rPr>
          <w:lang w:val="en-US"/>
        </w:rPr>
        <w:t xml:space="preserve"> or large scale project. </w:t>
      </w:r>
    </w:p>
    <w:p w:rsidR="00D75B19" w:rsidRDefault="00D75B19" w:rsidP="0088668E">
      <w:pPr>
        <w:pStyle w:val="HIPNormal"/>
        <w:keepNext/>
        <w:rPr>
          <w:lang w:val="en-US"/>
        </w:rPr>
      </w:pPr>
      <w:r>
        <w:rPr>
          <w:lang w:val="en-US"/>
        </w:rPr>
        <w:lastRenderedPageBreak/>
        <w:t xml:space="preserve">The Objectives Document for a pilot project should set out the </w:t>
      </w:r>
      <w:r>
        <w:rPr>
          <w:rFonts w:hint="eastAsia"/>
          <w:lang w:val="en-US"/>
        </w:rPr>
        <w:t>purpose</w:t>
      </w:r>
      <w:r>
        <w:rPr>
          <w:lang w:val="en-US"/>
        </w:rPr>
        <w:t xml:space="preserve"> of the project and include the following headings:</w:t>
      </w:r>
    </w:p>
    <w:p w:rsidR="00D75B19" w:rsidRDefault="00D75B19" w:rsidP="0088668E">
      <w:pPr>
        <w:pStyle w:val="HIPEnumlev1"/>
        <w:keepNext/>
      </w:pPr>
      <w:r>
        <w:t>Objectives – what is the thesis being tested</w:t>
      </w:r>
    </w:p>
    <w:p w:rsidR="00D75B19" w:rsidRDefault="00D75B19" w:rsidP="00EC43F4">
      <w:pPr>
        <w:pStyle w:val="HIPEnumlev1"/>
      </w:pPr>
      <w:r>
        <w:t>Project Team – who from the Fund and its partners is involved in the pilot? What are the roles and responsibilities?</w:t>
      </w:r>
    </w:p>
    <w:p w:rsidR="00D75B19" w:rsidRDefault="00D75B19" w:rsidP="00EC43F4">
      <w:pPr>
        <w:pStyle w:val="HIPEnumlev1"/>
      </w:pPr>
      <w:r>
        <w:t>Sample and Sample size – what is the location/</w:t>
      </w:r>
      <w:r>
        <w:rPr>
          <w:rFonts w:hint="eastAsia"/>
        </w:rPr>
        <w:t>population</w:t>
      </w:r>
      <w:r>
        <w:t>/technology/etc being tested and why?</w:t>
      </w:r>
    </w:p>
    <w:p w:rsidR="00D75B19" w:rsidRDefault="00D75B19" w:rsidP="00EC43F4">
      <w:pPr>
        <w:pStyle w:val="HIPEnumlev1"/>
      </w:pPr>
      <w:r>
        <w:t>Timeframe – provide a start date and end date so the project can be managed properly</w:t>
      </w:r>
    </w:p>
    <w:p w:rsidR="00D75B19" w:rsidRDefault="00D75B19" w:rsidP="00EC43F4">
      <w:pPr>
        <w:pStyle w:val="HIPEnumlev1"/>
      </w:pPr>
      <w:r>
        <w:t>Budget – what is the budget? Who is paying for what portions (if a partnership)</w:t>
      </w:r>
    </w:p>
    <w:p w:rsidR="00D75B19" w:rsidRDefault="00D75B19" w:rsidP="00EC43F4">
      <w:pPr>
        <w:pStyle w:val="HIPEnumlev1"/>
      </w:pPr>
      <w:r>
        <w:t>Monitoring and Evaluation Plan – what is being measured? What are the indicators that will be assessed? What is the baseline data?</w:t>
      </w:r>
    </w:p>
    <w:p w:rsidR="00D75B19" w:rsidRDefault="00D75B19" w:rsidP="00EC43F4">
      <w:pPr>
        <w:pStyle w:val="HIPEnumlev1"/>
      </w:pPr>
      <w:r>
        <w:t>Overlapping Projects – Has a thorough analysis of the landscape been conducted to determine if other regulatory bodies are conducting projects that may overlap or interfere with this project? Is there a need for coordination?</w:t>
      </w:r>
    </w:p>
    <w:p w:rsidR="00D75B19" w:rsidRPr="00C063A5" w:rsidRDefault="0088668E" w:rsidP="0088668E">
      <w:pPr>
        <w:pStyle w:val="HIPheading4"/>
      </w:pPr>
      <w:bookmarkStart w:id="394" w:name="_Toc284598005"/>
      <w:r>
        <w:t>3.4.</w:t>
      </w:r>
      <w:r w:rsidR="00EC43F4">
        <w:t>5.1</w:t>
      </w:r>
      <w:r w:rsidR="00EC43F4">
        <w:tab/>
      </w:r>
      <w:r w:rsidR="00D75B19">
        <w:t>SADC Experience with pilot projects</w:t>
      </w:r>
      <w:bookmarkEnd w:id="394"/>
      <w:r w:rsidR="00D75B19">
        <w:t xml:space="preserve"> </w:t>
      </w:r>
    </w:p>
    <w:p w:rsidR="00D75B19" w:rsidRPr="00F71461" w:rsidRDefault="00D75B19" w:rsidP="0088668E">
      <w:pPr>
        <w:pStyle w:val="HIPTabletitle"/>
      </w:pPr>
      <w:bookmarkStart w:id="395" w:name="_Toc286146567"/>
      <w:r w:rsidRPr="00F71461">
        <w:t xml:space="preserve">Table </w:t>
      </w:r>
      <w:r w:rsidR="0088668E">
        <w:t>3.12</w:t>
      </w:r>
      <w:r>
        <w:t>: SADC Pilot Projects, Mozambique case</w:t>
      </w:r>
      <w:bookmarkEnd w:id="3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9180"/>
      </w:tblGrid>
      <w:tr w:rsidR="00D75B19" w:rsidRPr="00A3379B" w:rsidTr="0088668E">
        <w:tc>
          <w:tcPr>
            <w:tcW w:w="9180" w:type="dxa"/>
            <w:shd w:val="clear" w:color="auto" w:fill="EAF1DD"/>
          </w:tcPr>
          <w:p w:rsidR="00EC43F4" w:rsidRPr="00EC43F4" w:rsidRDefault="00D75B19" w:rsidP="0088668E">
            <w:pPr>
              <w:pStyle w:val="HIPTabletext"/>
              <w:rPr>
                <w:lang w:val="en-GB"/>
              </w:rPr>
            </w:pPr>
            <w:r w:rsidRPr="00843A7B">
              <w:rPr>
                <w:lang w:val="en-GB"/>
              </w:rPr>
              <w:t xml:space="preserve">Mozambique </w:t>
            </w:r>
            <w:r w:rsidR="00EC43F4">
              <w:rPr>
                <w:lang w:val="en-GB"/>
              </w:rPr>
              <w:t>–</w:t>
            </w:r>
            <w:r w:rsidRPr="00843A7B">
              <w:rPr>
                <w:lang w:val="en-GB"/>
              </w:rPr>
              <w:t xml:space="preserve"> An Internet service pilot project to provide an advanced level of service to four District Centres in the provinces of Zambézia and Nampula through the provision of Internet POPs, with a minimum service radius of 5 km from the District Centre. The internet tender was won by Mozambican broadband wireless operator INTRA Lda.</w:t>
            </w:r>
          </w:p>
        </w:tc>
      </w:tr>
    </w:tbl>
    <w:p w:rsidR="00D75B19" w:rsidRDefault="00D75B19" w:rsidP="00EC43F4">
      <w:pPr>
        <w:pStyle w:val="HIPNormal"/>
        <w:rPr>
          <w:lang w:val="en-US"/>
        </w:rPr>
      </w:pPr>
      <w:r>
        <w:rPr>
          <w:lang w:val="en-US"/>
        </w:rPr>
        <w:t>There are several pilot projects underway across the region –in fact in all countries. It is expected that Funds will conduct pilots in Malawi, Mozambique, South Africa and Tanzania in 2011. Based on past experience, it appears that it is key that Member States ensure that pilot projects are not treated as stage</w:t>
      </w:r>
      <w:r w:rsidR="00EC43F4">
        <w:rPr>
          <w:lang w:val="en-US"/>
        </w:rPr>
        <w:t> </w:t>
      </w:r>
      <w:r>
        <w:rPr>
          <w:lang w:val="en-US"/>
        </w:rPr>
        <w:t>1 of a larger project, driven by the Fund who coordinates partners and not vice versa, are inclusive of the community, and planned properly. Additionally, training and preparation for the pilot project as well as monitoring and recording every aspect of the project is important for its success, and possible replication in future.</w:t>
      </w:r>
    </w:p>
    <w:p w:rsidR="00D75B19" w:rsidRPr="00337CB0" w:rsidRDefault="00D75B19" w:rsidP="00EC43F4">
      <w:pPr>
        <w:pStyle w:val="HIPNormal"/>
        <w:rPr>
          <w:i/>
          <w:iCs/>
          <w:lang w:val="en-US"/>
        </w:rPr>
      </w:pPr>
      <w:r>
        <w:rPr>
          <w:lang w:val="en-US"/>
        </w:rPr>
        <w:t>T</w:t>
      </w:r>
      <w:r w:rsidRPr="004D01BE">
        <w:rPr>
          <w:lang w:val="en-US"/>
        </w:rPr>
        <w:t xml:space="preserve">he risk with pilots, as has been evidenced in many countries, </w:t>
      </w:r>
      <w:r>
        <w:rPr>
          <w:lang w:val="en-US"/>
        </w:rPr>
        <w:t xml:space="preserve">and discussed above, </w:t>
      </w:r>
      <w:r w:rsidRPr="004D01BE">
        <w:rPr>
          <w:lang w:val="en-US"/>
        </w:rPr>
        <w:t>is that the government, regulator or Fund embarks in many pilots but never</w:t>
      </w:r>
      <w:r>
        <w:rPr>
          <w:lang w:val="en-US"/>
        </w:rPr>
        <w:t xml:space="preserve"> uses the results to develop a project. </w:t>
      </w:r>
      <w:r w:rsidRPr="004D01BE">
        <w:rPr>
          <w:lang w:val="en-US"/>
        </w:rPr>
        <w:t>In addition, if not properly contextualized pilots, which are fully funded, do not alert governments to issues relating to sustainability and long term viability. For example, telecentre pilot projects in South Africa in the late 1990s demonstrated the usefulness of the concept, however, once the pilots became self-standing projects</w:t>
      </w:r>
      <w:r>
        <w:rPr>
          <w:lang w:val="en-US"/>
        </w:rPr>
        <w:t>,</w:t>
      </w:r>
      <w:r w:rsidRPr="004D01BE">
        <w:rPr>
          <w:lang w:val="en-US"/>
        </w:rPr>
        <w:t xml:space="preserve"> problems arose relating to training, community ownership and maintenance.</w:t>
      </w:r>
    </w:p>
    <w:p w:rsidR="00EC43F4" w:rsidRPr="0094088C" w:rsidRDefault="0088668E" w:rsidP="0088668E">
      <w:pPr>
        <w:pStyle w:val="HIPBoxquestion"/>
      </w:pPr>
      <w:bookmarkStart w:id="396" w:name="_Toc286146366"/>
      <w:r>
        <w:t xml:space="preserve">Box 3.10: </w:t>
      </w:r>
      <w:r w:rsidR="00EC43F4" w:rsidRPr="0094088C">
        <w:t>Sample/ Reference Documents: Types of Projects</w:t>
      </w:r>
      <w:bookmarkEnd w:id="396"/>
    </w:p>
    <w:p w:rsidR="00EC43F4" w:rsidRPr="0094088C" w:rsidRDefault="00EC43F4" w:rsidP="0088668E">
      <w:pPr>
        <w:pStyle w:val="HIPBoxNormal"/>
      </w:pPr>
      <w:r w:rsidRPr="0094088C">
        <w:t xml:space="preserve">Projects vary and range from those related to </w:t>
      </w:r>
      <w:r w:rsidRPr="0094088C">
        <w:rPr>
          <w:rFonts w:hint="eastAsia"/>
        </w:rPr>
        <w:t>infrastructure</w:t>
      </w:r>
      <w:r w:rsidRPr="0094088C">
        <w:t xml:space="preserve"> deployment to those dealing with </w:t>
      </w:r>
      <w:r w:rsidRPr="0094088C">
        <w:rPr>
          <w:rFonts w:hint="eastAsia"/>
        </w:rPr>
        <w:t>content</w:t>
      </w:r>
      <w:r w:rsidRPr="0094088C">
        <w:t xml:space="preserve"> development. They include long term projects, as well as pilots. Notwithstanding the variety of projects, a number of key issues must be taken into account inclusing the impact on gender, the </w:t>
      </w:r>
      <w:r w:rsidRPr="0094088C">
        <w:rPr>
          <w:rFonts w:hint="eastAsia"/>
        </w:rPr>
        <w:t>availability</w:t>
      </w:r>
      <w:r w:rsidRPr="0094088C">
        <w:t xml:space="preserve"> and accessability by People with Disabilities, and the sustainability of the projects. Good practice guides on conducting projects, and ensuring that the needs of all users are taken into </w:t>
      </w:r>
      <w:r w:rsidRPr="0094088C">
        <w:rPr>
          <w:rFonts w:hint="eastAsia"/>
        </w:rPr>
        <w:t>account</w:t>
      </w:r>
      <w:r w:rsidRPr="0094088C">
        <w:t>, exist globally. Hereunder are but a few examples of good practice guidelines that are applicable to all types of projects:</w:t>
      </w:r>
    </w:p>
    <w:p w:rsidR="00EC43F4" w:rsidRPr="0094088C" w:rsidRDefault="00EC43F4" w:rsidP="0088668E">
      <w:pPr>
        <w:pStyle w:val="HIPBoxenumlevel"/>
        <w:jc w:val="left"/>
      </w:pPr>
      <w:r w:rsidRPr="00EC43F4">
        <w:rPr>
          <w:color w:val="008000"/>
        </w:rPr>
        <w:t>•</w:t>
      </w:r>
      <w:r>
        <w:tab/>
      </w:r>
      <w:r w:rsidRPr="0094088C">
        <w:t xml:space="preserve">Practical Guide to Pilot Projects and Large Scale Deployment of ICTs in the Education Sector (Global e-Schools and Communities Initiative) </w:t>
      </w:r>
      <w:r>
        <w:t>–</w:t>
      </w:r>
      <w:r w:rsidRPr="0094088C">
        <w:t xml:space="preserve"> </w:t>
      </w:r>
      <w:hyperlink r:id="rId75" w:history="1">
        <w:r w:rsidRPr="007B1A5B">
          <w:rPr>
            <w:rStyle w:val="Hyperlink"/>
            <w:sz w:val="20"/>
            <w:szCs w:val="20"/>
          </w:rPr>
          <w:t>www.gesci.org/assets/files/Knowledge%20Centre/pilot-ICT-projects.pdf</w:t>
        </w:r>
      </w:hyperlink>
      <w:r w:rsidRPr="0094088C">
        <w:t xml:space="preserve"> </w:t>
      </w:r>
    </w:p>
    <w:p w:rsidR="00EC43F4" w:rsidRPr="0094088C" w:rsidRDefault="00EC43F4" w:rsidP="0088668E">
      <w:pPr>
        <w:pStyle w:val="HIPBoxenumlevel"/>
      </w:pPr>
      <w:r w:rsidRPr="00EC43F4">
        <w:rPr>
          <w:color w:val="008000"/>
        </w:rPr>
        <w:lastRenderedPageBreak/>
        <w:t>•</w:t>
      </w:r>
      <w:r>
        <w:tab/>
      </w:r>
      <w:r w:rsidRPr="0094088C">
        <w:t>E-Accessibility Policy Handbook for People with Disabilities (ITU, G3ict and the Ce</w:t>
      </w:r>
      <w:r>
        <w:t>ntre for Internet and Society) –</w:t>
      </w:r>
      <w:r w:rsidRPr="0094088C">
        <w:t xml:space="preserve"> </w:t>
      </w:r>
      <w:hyperlink r:id="rId76" w:history="1">
        <w:r w:rsidRPr="007B1A5B">
          <w:rPr>
            <w:rStyle w:val="Hyperlink"/>
            <w:sz w:val="20"/>
            <w:szCs w:val="20"/>
          </w:rPr>
          <w:t>www.telecentre.org/group/telecentrefordisabilities/forum/topics/eaccessibility-policy-handbook?xg_source=activity</w:t>
        </w:r>
      </w:hyperlink>
      <w:r>
        <w:t xml:space="preserve"> </w:t>
      </w:r>
      <w:r w:rsidRPr="0094088C">
        <w:t xml:space="preserve">or </w:t>
      </w:r>
      <w:hyperlink r:id="rId77" w:history="1">
        <w:r w:rsidRPr="007B1A5B">
          <w:rPr>
            <w:rStyle w:val="Hyperlink"/>
            <w:sz w:val="20"/>
            <w:szCs w:val="20"/>
          </w:rPr>
          <w:t>www.cis-india.org/advocacy/accessibility/e-accessibility</w:t>
        </w:r>
      </w:hyperlink>
      <w:r w:rsidRPr="0094088C">
        <w:t xml:space="preserve"> </w:t>
      </w:r>
    </w:p>
    <w:p w:rsidR="00EC43F4" w:rsidRPr="0094088C" w:rsidRDefault="00EC43F4" w:rsidP="0088668E">
      <w:pPr>
        <w:pStyle w:val="HIPBoxenumlevel"/>
      </w:pPr>
      <w:r w:rsidRPr="00EC43F4">
        <w:rPr>
          <w:color w:val="008000"/>
        </w:rPr>
        <w:t>•</w:t>
      </w:r>
      <w:r>
        <w:tab/>
      </w:r>
      <w:r w:rsidRPr="0094088C">
        <w:t xml:space="preserve">Handbook for Telecentre Staffs </w:t>
      </w:r>
      <w:r>
        <w:t>–</w:t>
      </w:r>
      <w:r w:rsidRPr="0094088C">
        <w:t xml:space="preserve"> </w:t>
      </w:r>
      <w:hyperlink r:id="rId78" w:history="1">
        <w:r w:rsidRPr="0094088C">
          <w:rPr>
            <w:rStyle w:val="Hyperlink"/>
            <w:sz w:val="20"/>
            <w:szCs w:val="20"/>
          </w:rPr>
          <w:t>http://ip.cals.cornell.edu/commdev/handbook.cfm</w:t>
        </w:r>
      </w:hyperlink>
      <w:r w:rsidRPr="0094088C">
        <w:t xml:space="preserve"> </w:t>
      </w:r>
    </w:p>
    <w:p w:rsidR="00EC43F4" w:rsidRPr="0094088C" w:rsidRDefault="00EC43F4" w:rsidP="0088668E">
      <w:pPr>
        <w:pStyle w:val="HIPBoxenumlevel"/>
        <w:jc w:val="left"/>
      </w:pPr>
      <w:r w:rsidRPr="00EC43F4">
        <w:rPr>
          <w:color w:val="008000"/>
        </w:rPr>
        <w:t>•</w:t>
      </w:r>
      <w:r>
        <w:tab/>
      </w:r>
      <w:r w:rsidRPr="0094088C">
        <w:t xml:space="preserve">How to Get Started and Keep Going: A Guide to Community Multimedia Centres: </w:t>
      </w:r>
      <w:hyperlink r:id="rId79" w:history="1">
        <w:r w:rsidRPr="007B1A5B">
          <w:rPr>
            <w:rStyle w:val="Hyperlink"/>
            <w:sz w:val="20"/>
            <w:szCs w:val="20"/>
          </w:rPr>
          <w:t>www.comminit.com/en/node/181530</w:t>
        </w:r>
      </w:hyperlink>
      <w:r w:rsidRPr="0094088C">
        <w:t xml:space="preserve"> </w:t>
      </w:r>
    </w:p>
    <w:p w:rsidR="00D75B19" w:rsidRDefault="00D75B19" w:rsidP="00D75B19">
      <w:pPr>
        <w:pStyle w:val="HIPNormal"/>
        <w:rPr>
          <w:lang w:val="en-US"/>
        </w:rPr>
      </w:pPr>
    </w:p>
    <w:p w:rsidR="00EC43F4" w:rsidRPr="000E203F" w:rsidRDefault="0088668E" w:rsidP="0088668E">
      <w:pPr>
        <w:pStyle w:val="HIPBoxquestion"/>
      </w:pPr>
      <w:bookmarkStart w:id="397" w:name="_Toc284598006"/>
      <w:bookmarkStart w:id="398" w:name="_Toc286146367"/>
      <w:r>
        <w:t xml:space="preserve">Box 3.11: </w:t>
      </w:r>
      <w:r w:rsidR="00EC43F4" w:rsidRPr="000E203F">
        <w:t>RECAP</w:t>
      </w:r>
      <w:r w:rsidR="005E5682">
        <w:t xml:space="preserve"> – </w:t>
      </w:r>
      <w:r w:rsidR="00EC43F4" w:rsidRPr="000E203F">
        <w:t xml:space="preserve">Applying the </w:t>
      </w:r>
      <w:r w:rsidR="00EC43F4" w:rsidRPr="000E203F">
        <w:rPr>
          <w:rFonts w:hint="eastAsia"/>
        </w:rPr>
        <w:t>knowledge</w:t>
      </w:r>
      <w:r w:rsidR="00EC43F4" w:rsidRPr="000E203F">
        <w:t>, Implementation of Projects – Some Experiences</w:t>
      </w:r>
      <w:bookmarkEnd w:id="397"/>
      <w:bookmarkEnd w:id="398"/>
      <w:r w:rsidR="00EC43F4" w:rsidRPr="000E203F">
        <w:t xml:space="preserve"> </w:t>
      </w:r>
    </w:p>
    <w:p w:rsidR="00EC43F4" w:rsidRPr="000E203F" w:rsidRDefault="00EC43F4" w:rsidP="0088668E">
      <w:pPr>
        <w:pStyle w:val="HIPBoxNormal"/>
        <w:rPr>
          <w:highlight w:val="yellow"/>
        </w:rPr>
      </w:pPr>
      <w:r w:rsidRPr="000E203F">
        <w:t>Research on universal service project implementation has enabled Member States to glean some key lessons from the experiences of developed and developing countries that have financed universal access projects. These include that:</w:t>
      </w:r>
      <w:r w:rsidRPr="00B96229">
        <w:rPr>
          <w:rStyle w:val="FootnoteReference"/>
        </w:rPr>
        <w:footnoteReference w:id="73"/>
      </w:r>
    </w:p>
    <w:p w:rsidR="00EC43F4" w:rsidRPr="000E203F" w:rsidRDefault="00EC43F4" w:rsidP="0088668E">
      <w:pPr>
        <w:pStyle w:val="HIPBoxenumlevel"/>
      </w:pPr>
      <w:r w:rsidRPr="00EC43F4">
        <w:rPr>
          <w:color w:val="008000"/>
        </w:rPr>
        <w:t>•</w:t>
      </w:r>
      <w:r>
        <w:tab/>
      </w:r>
      <w:r w:rsidRPr="000E203F">
        <w:rPr>
          <w:b/>
          <w:bCs/>
        </w:rPr>
        <w:t>Projects have a risk of falling into “pilot syndrome.”</w:t>
      </w:r>
      <w:r w:rsidRPr="000E203F">
        <w:t xml:space="preserve"> Pilot projects are important to test the viability of a project in a given area or amongst a given community.</w:t>
      </w:r>
      <w:r w:rsidR="005E5682">
        <w:t xml:space="preserve"> </w:t>
      </w:r>
      <w:r w:rsidRPr="000E203F">
        <w:t>Most countries in the region have commenced a small scale version of what is expected to later turn into a full regional or national rollout, often supported by donor or NGO funding. The risk with pilots, as has been evidenced in many countries, is that the government, regulator or Fund embarks in many pilots but never reaches the ‘real’ project. In addition, if not properly contextualized pilots, which are fully funded, do not alert governments to issues relating to sustainability and long term viability. For example, telecentre pilot projects in South Africa in the late 1990s demonstrated the usefulness of the concept, however, once the pilots became self-standing projects problems arose relating to training, community ownership and maintenance.</w:t>
      </w:r>
    </w:p>
    <w:p w:rsidR="00EC43F4" w:rsidRPr="000E203F" w:rsidRDefault="00EC43F4" w:rsidP="0088668E">
      <w:pPr>
        <w:pStyle w:val="HIPBoxenumlevel"/>
      </w:pPr>
      <w:r w:rsidRPr="00EC43F4">
        <w:rPr>
          <w:color w:val="008000"/>
        </w:rPr>
        <w:t>•</w:t>
      </w:r>
      <w:r>
        <w:tab/>
      </w:r>
      <w:r w:rsidRPr="000E203F">
        <w:t xml:space="preserve">Funding consists not only of provision of financial resources, but funders must play a key role in designing and packaging projects, as well as in monitoring and evaluating them as discussed in the following sections. </w:t>
      </w:r>
      <w:r w:rsidRPr="000E203F">
        <w:rPr>
          <w:b/>
          <w:bCs/>
        </w:rPr>
        <w:t>Funders however, are not responsible for project implementation.</w:t>
      </w:r>
      <w:r w:rsidRPr="000E203F">
        <w:t xml:space="preserve"> In the case of </w:t>
      </w:r>
      <w:r w:rsidRPr="000E203F">
        <w:rPr>
          <w:rFonts w:hint="eastAsia"/>
        </w:rPr>
        <w:t>the</w:t>
      </w:r>
      <w:r w:rsidRPr="000E203F">
        <w:t xml:space="preserve"> USAF, implementation of the Fund is not synonymous with </w:t>
      </w:r>
      <w:r>
        <w:t xml:space="preserve">the </w:t>
      </w:r>
      <w:r w:rsidRPr="000E203F">
        <w:t>implementation of projects and this is a critical distinction to make.</w:t>
      </w:r>
      <w:r w:rsidR="005E5682">
        <w:t xml:space="preserve"> </w:t>
      </w:r>
      <w:r w:rsidRPr="000E203F">
        <w:t>In many instances projects have been unsuccessful because Funds, with no project implementation experience, no community experience, and insufficient capacity, have become project executors or implementers.</w:t>
      </w:r>
      <w:r w:rsidR="005E5682">
        <w:t xml:space="preserve"> </w:t>
      </w:r>
    </w:p>
    <w:p w:rsidR="00EC43F4" w:rsidRPr="000E203F" w:rsidRDefault="00EC43F4" w:rsidP="0088668E">
      <w:pPr>
        <w:pStyle w:val="HIPBoxenumlevel"/>
      </w:pPr>
      <w:r w:rsidRPr="00EC43F4">
        <w:rPr>
          <w:color w:val="008000"/>
        </w:rPr>
        <w:t>•</w:t>
      </w:r>
      <w:r>
        <w:tab/>
      </w:r>
      <w:r w:rsidRPr="000E203F">
        <w:t xml:space="preserve">The use of universal access funds for community telecentres (e.g. South Africa, Malawi, Mozambique pilot) has a mixed track record, because these </w:t>
      </w:r>
      <w:r w:rsidRPr="000E203F">
        <w:rPr>
          <w:b/>
          <w:bCs/>
        </w:rPr>
        <w:t>public access projects require complementary programmes such as those relating to training, education, applications and content, to ensure effective use of the Internet. Partnerships are effective, but all partners must play their role.</w:t>
      </w:r>
    </w:p>
    <w:p w:rsidR="00EC43F4" w:rsidRPr="000E203F" w:rsidRDefault="00EC43F4" w:rsidP="0088668E">
      <w:pPr>
        <w:pStyle w:val="HIPBoxenumlevel"/>
      </w:pPr>
      <w:r w:rsidRPr="00EC43F4">
        <w:rPr>
          <w:color w:val="008000"/>
        </w:rPr>
        <w:t>•</w:t>
      </w:r>
      <w:r>
        <w:tab/>
      </w:r>
      <w:r w:rsidRPr="000E203F">
        <w:t xml:space="preserve">Universal access programmes are not substitutes for sector reform and the periodic updating of the legal, regulatory and institutional framework. Many operators in Latin America indicated that the greatest challenge to providing services in rural areas is not commercial, but rather legal or regulatory barriers. This includes licenses and permits, spectrum management and fees, interconnection, rights-of-way, taxes or other fees imposed by state or local governments, and lack of infrastructure sharing requirements. As discussed in Part 1 (Sector Reform Checklist), sector reform should precede universal access interventions. </w:t>
      </w:r>
    </w:p>
    <w:p w:rsidR="005E5682" w:rsidRPr="000E203F" w:rsidRDefault="00EC43F4" w:rsidP="0088668E">
      <w:pPr>
        <w:pStyle w:val="HIPBoxenumlevel"/>
      </w:pPr>
      <w:r w:rsidRPr="00EC43F4">
        <w:rPr>
          <w:color w:val="008000"/>
        </w:rPr>
        <w:t>•</w:t>
      </w:r>
      <w:r>
        <w:tab/>
      </w:r>
      <w:r w:rsidRPr="000E203F">
        <w:t xml:space="preserve">From an infrastructure perspective, lack of sufficient </w:t>
      </w:r>
      <w:r w:rsidRPr="000E203F">
        <w:rPr>
          <w:rFonts w:hint="eastAsia"/>
        </w:rPr>
        <w:t>wholesale</w:t>
      </w:r>
      <w:r w:rsidRPr="000E203F">
        <w:t xml:space="preserve"> </w:t>
      </w:r>
      <w:r w:rsidRPr="000E203F">
        <w:rPr>
          <w:rFonts w:hint="eastAsia"/>
        </w:rPr>
        <w:t>transmission</w:t>
      </w:r>
      <w:r w:rsidRPr="000E203F">
        <w:t xml:space="preserve">, domestic backbones and last-mile broadband networks are bottlenecks for universal coverage and universal access goals. Mobile last mile access is </w:t>
      </w:r>
      <w:r>
        <w:t xml:space="preserve">of </w:t>
      </w:r>
      <w:r w:rsidRPr="000E203F">
        <w:t xml:space="preserve">a lesser concern in most countries from a network perspective, </w:t>
      </w:r>
      <w:r w:rsidRPr="000E203F">
        <w:lastRenderedPageBreak/>
        <w:t xml:space="preserve">although affordability may be an issue. These gaps in infrastructure are a major roadblock to the provision of last-mile broadband solutions using new wired and wireless technologies. </w:t>
      </w:r>
    </w:p>
    <w:p w:rsidR="00EC43F4" w:rsidRPr="000E203F" w:rsidRDefault="00EC43F4" w:rsidP="0088668E">
      <w:pPr>
        <w:pStyle w:val="HIPBoxenumlevel"/>
      </w:pPr>
      <w:r w:rsidRPr="00EC43F4">
        <w:rPr>
          <w:color w:val="008000"/>
        </w:rPr>
        <w:t>•</w:t>
      </w:r>
      <w:r>
        <w:tab/>
      </w:r>
      <w:r w:rsidRPr="000E203F">
        <w:t xml:space="preserve">Universal access programmes focus largely on stimulating supply, and are largely designed by government agencies to follow a top-down approach. A few countries have recently allowed operators and local communities to propose universal access programmes or pilots. But these bottom-up approaches pose special challenges for financing with public sector funds, without going through a public tender process or some other mechanism to assess the proper subsidy level. </w:t>
      </w:r>
    </w:p>
    <w:p w:rsidR="00EC43F4" w:rsidRPr="000E203F" w:rsidRDefault="00EC43F4" w:rsidP="0088668E">
      <w:pPr>
        <w:pStyle w:val="HIPBoxenumlevel"/>
      </w:pPr>
      <w:r w:rsidRPr="00EC43F4">
        <w:rPr>
          <w:color w:val="008000"/>
        </w:rPr>
        <w:t>•</w:t>
      </w:r>
      <w:r>
        <w:tab/>
      </w:r>
      <w:r w:rsidRPr="000E203F">
        <w:t xml:space="preserve">Many universal access programmes suffer from a lack of clear goals and a lack of adequate metrics, in their design and in their monitoring of progress. These goals mainly related to national universal access goals, such as the average distance people need to travel to reach a payphone or telecenter; or national or regional penetration on a national or sub-national level which provides a basic, but inadequate benchmark to measure the success or failure of universal </w:t>
      </w:r>
      <w:r w:rsidRPr="000E203F">
        <w:rPr>
          <w:i/>
          <w:iCs/>
        </w:rPr>
        <w:t xml:space="preserve">access </w:t>
      </w:r>
      <w:r w:rsidRPr="000E203F">
        <w:t xml:space="preserve">programmes. The definition of measurable targets and the actual evaluation metrics is thus essential (see </w:t>
      </w:r>
      <w:r>
        <w:t>Table 30</w:t>
      </w:r>
      <w:r w:rsidRPr="000E203F">
        <w:t>).</w:t>
      </w:r>
    </w:p>
    <w:p w:rsidR="00EC43F4" w:rsidRPr="000E203F" w:rsidRDefault="00EC43F4" w:rsidP="0088668E">
      <w:pPr>
        <w:pStyle w:val="HIPBoxenumlevel"/>
      </w:pPr>
      <w:r w:rsidRPr="00EC43F4">
        <w:rPr>
          <w:color w:val="008000"/>
        </w:rPr>
        <w:t>•</w:t>
      </w:r>
      <w:r>
        <w:tab/>
      </w:r>
      <w:r w:rsidRPr="000E203F">
        <w:t xml:space="preserve">Universal </w:t>
      </w:r>
      <w:r w:rsidRPr="000E203F">
        <w:rPr>
          <w:b/>
          <w:bCs/>
          <w:i/>
          <w:iCs/>
        </w:rPr>
        <w:t>service</w:t>
      </w:r>
      <w:r w:rsidRPr="000E203F">
        <w:t xml:space="preserve"> is not yet a goal in most developing countries. The focus on universal access rather than universal service is a rational decision in light of limited human and financial resources, and market access gaps in the countries in the region.</w:t>
      </w:r>
    </w:p>
    <w:p w:rsidR="00250036" w:rsidRDefault="00250036" w:rsidP="008978A2">
      <w:pPr>
        <w:pStyle w:val="HIPNormal"/>
        <w:rPr>
          <w:lang w:val="en-US"/>
        </w:rPr>
      </w:pPr>
    </w:p>
    <w:p w:rsidR="00EC43F4" w:rsidRDefault="00EC43F4">
      <w:pPr>
        <w:rPr>
          <w:rFonts w:ascii="Calibri" w:hAnsi="Calibri" w:cs="Arial"/>
          <w:color w:val="000000"/>
          <w:sz w:val="21"/>
          <w:lang w:val="en-US"/>
        </w:rPr>
      </w:pPr>
      <w:r>
        <w:rPr>
          <w:lang w:val="en-US"/>
        </w:rPr>
        <w:br w:type="page"/>
      </w:r>
    </w:p>
    <w:p w:rsidR="00C60A7D" w:rsidRPr="00D92738" w:rsidRDefault="0088668E" w:rsidP="0088668E">
      <w:pPr>
        <w:pStyle w:val="HIPHeading2"/>
      </w:pPr>
      <w:bookmarkStart w:id="399" w:name="_Toc284598007"/>
      <w:bookmarkStart w:id="400" w:name="_Toc286144985"/>
      <w:r>
        <w:lastRenderedPageBreak/>
        <w:t>3.5</w:t>
      </w:r>
      <w:r>
        <w:tab/>
      </w:r>
      <w:r w:rsidR="00C60A7D" w:rsidRPr="00D92738">
        <w:t>CALCULATING THE COSTS OF UNIVERSAL SERVICE AND ACCESS</w:t>
      </w:r>
      <w:bookmarkEnd w:id="399"/>
      <w:bookmarkEnd w:id="400"/>
    </w:p>
    <w:p w:rsidR="00C60A7D" w:rsidRPr="00804F30" w:rsidRDefault="0088668E" w:rsidP="0088668E">
      <w:pPr>
        <w:pStyle w:val="HIPheading3"/>
      </w:pPr>
      <w:bookmarkStart w:id="401" w:name="_Toc284598008"/>
      <w:bookmarkStart w:id="402" w:name="_Toc286144986"/>
      <w:r>
        <w:t>3.5.</w:t>
      </w:r>
      <w:r w:rsidR="00C60A7D">
        <w:t>1</w:t>
      </w:r>
      <w:r w:rsidR="00C60A7D">
        <w:tab/>
      </w:r>
      <w:r w:rsidR="00C60A7D" w:rsidRPr="00804F30">
        <w:t xml:space="preserve">Cost Modeling </w:t>
      </w:r>
      <w:r w:rsidR="00C60A7D">
        <w:t>–</w:t>
      </w:r>
      <w:r w:rsidR="00C60A7D" w:rsidRPr="00804F30">
        <w:t xml:space="preserve"> Global Experience and Good Practice</w:t>
      </w:r>
      <w:bookmarkEnd w:id="401"/>
      <w:bookmarkEnd w:id="402"/>
    </w:p>
    <w:p w:rsidR="00C60A7D" w:rsidRDefault="00C60A7D" w:rsidP="00C60A7D">
      <w:pPr>
        <w:pStyle w:val="HIPNormal"/>
        <w:rPr>
          <w:lang w:val="en-US"/>
        </w:rPr>
      </w:pPr>
      <w:r>
        <w:rPr>
          <w:lang w:val="en-US"/>
        </w:rPr>
        <w:t xml:space="preserve">Once relevant programmes have been </w:t>
      </w:r>
      <w:r>
        <w:rPr>
          <w:rFonts w:hint="eastAsia"/>
          <w:lang w:val="en-US"/>
        </w:rPr>
        <w:t>identifie</w:t>
      </w:r>
      <w:r>
        <w:rPr>
          <w:lang w:val="en-US"/>
        </w:rPr>
        <w:t>d, o</w:t>
      </w:r>
      <w:r w:rsidRPr="00D92738">
        <w:rPr>
          <w:lang w:val="en-US"/>
        </w:rPr>
        <w:t xml:space="preserve">ne of the challenges faced by </w:t>
      </w:r>
      <w:r>
        <w:rPr>
          <w:lang w:val="en-US"/>
        </w:rPr>
        <w:t xml:space="preserve">financiers and </w:t>
      </w:r>
      <w:r w:rsidRPr="00D92738">
        <w:rPr>
          <w:lang w:val="en-US"/>
        </w:rPr>
        <w:t xml:space="preserve">Fund Administrators relates to determining what </w:t>
      </w:r>
      <w:r>
        <w:rPr>
          <w:lang w:val="en-US"/>
        </w:rPr>
        <w:t>level of subsidy is necessary, deciding how much fu</w:t>
      </w:r>
      <w:r w:rsidRPr="00D92738">
        <w:rPr>
          <w:lang w:val="en-US"/>
        </w:rPr>
        <w:t xml:space="preserve">nding to allocate to </w:t>
      </w:r>
      <w:r>
        <w:rPr>
          <w:lang w:val="en-US"/>
        </w:rPr>
        <w:t xml:space="preserve">each programme and </w:t>
      </w:r>
      <w:r w:rsidRPr="00D92738">
        <w:rPr>
          <w:lang w:val="en-US"/>
        </w:rPr>
        <w:t xml:space="preserve">how to distribute </w:t>
      </w:r>
      <w:r>
        <w:rPr>
          <w:lang w:val="en-US"/>
        </w:rPr>
        <w:t>the funding across projects</w:t>
      </w:r>
      <w:r w:rsidRPr="00D92738">
        <w:rPr>
          <w:lang w:val="en-US"/>
        </w:rPr>
        <w:t xml:space="preserve">. As discussed earlier, </w:t>
      </w:r>
      <w:r>
        <w:rPr>
          <w:lang w:val="en-US"/>
        </w:rPr>
        <w:t>in a Fund</w:t>
      </w:r>
      <w:r>
        <w:rPr>
          <w:rFonts w:hint="eastAsia"/>
          <w:lang w:val="en-US"/>
        </w:rPr>
        <w:t>’</w:t>
      </w:r>
      <w:r>
        <w:rPr>
          <w:lang w:val="en-US"/>
        </w:rPr>
        <w:t xml:space="preserve">s context </w:t>
      </w:r>
      <w:r w:rsidRPr="00D92738">
        <w:rPr>
          <w:lang w:val="en-US"/>
        </w:rPr>
        <w:t xml:space="preserve">subsidies are to be provided where it is not economically viable for commercial providers to provide service. Thus, simply stated, </w:t>
      </w:r>
      <w:r w:rsidRPr="00D92738">
        <w:rPr>
          <w:b/>
          <w:bCs/>
          <w:lang w:val="en-US"/>
        </w:rPr>
        <w:t>the subsidy level should match the gap between the level of investment a company would be willing to make and the investment required to provide the service.</w:t>
      </w:r>
      <w:r w:rsidRPr="00D92738">
        <w:rPr>
          <w:lang w:val="en-US"/>
        </w:rPr>
        <w:t xml:space="preserve"> A cost based approach can assist Fund Administrators to determine what this gap is. However, over time, and through experiences in other jurisdictions, it has become clear that the determination of “cost” is </w:t>
      </w:r>
      <w:r>
        <w:rPr>
          <w:lang w:val="en-US"/>
        </w:rPr>
        <w:t xml:space="preserve">not only complex, but not necessarily accurate either. </w:t>
      </w:r>
    </w:p>
    <w:p w:rsidR="00C60A7D" w:rsidRDefault="00C60A7D" w:rsidP="00C60A7D">
      <w:pPr>
        <w:pStyle w:val="HIPNormal"/>
        <w:rPr>
          <w:lang w:val="en-US"/>
        </w:rPr>
      </w:pPr>
      <w:r w:rsidRPr="00D92738">
        <w:rPr>
          <w:lang w:val="en-US"/>
        </w:rPr>
        <w:t>If a USO costing approach is followed, the choice of the costing methodology to be used is important. This decision is likely to require</w:t>
      </w:r>
      <w:r>
        <w:rPr>
          <w:lang w:val="en-US"/>
        </w:rPr>
        <w:t>:</w:t>
      </w:r>
    </w:p>
    <w:p w:rsidR="00C60A7D" w:rsidRPr="00B22269" w:rsidRDefault="00C60A7D" w:rsidP="00C60A7D">
      <w:pPr>
        <w:pStyle w:val="HIPEnumlev1"/>
      </w:pPr>
      <w:r w:rsidRPr="00D92738">
        <w:t>public consultation</w:t>
      </w:r>
      <w:r>
        <w:t>;</w:t>
      </w:r>
      <w:r w:rsidRPr="00D92738">
        <w:t xml:space="preserve"> </w:t>
      </w:r>
    </w:p>
    <w:p w:rsidR="00C60A7D" w:rsidRPr="0006693F" w:rsidRDefault="00C60A7D" w:rsidP="00C60A7D">
      <w:pPr>
        <w:pStyle w:val="HIPEnumlev1"/>
      </w:pPr>
      <w:r w:rsidRPr="00D92738">
        <w:t>specialized accounting systems to be put in place by operators specifically for the purpose</w:t>
      </w:r>
      <w:r>
        <w:t>; and</w:t>
      </w:r>
      <w:r w:rsidRPr="00D92738">
        <w:t xml:space="preserve"> </w:t>
      </w:r>
    </w:p>
    <w:p w:rsidR="00C60A7D" w:rsidRPr="0006693F" w:rsidRDefault="00C60A7D" w:rsidP="00C60A7D">
      <w:pPr>
        <w:pStyle w:val="HIPEnumlev1"/>
      </w:pPr>
      <w:r>
        <w:t xml:space="preserve">Knowledge on the part of the Fund Administrator of cost </w:t>
      </w:r>
      <w:r>
        <w:rPr>
          <w:rFonts w:hint="eastAsia"/>
        </w:rPr>
        <w:t>modeling</w:t>
      </w:r>
      <w:r>
        <w:t xml:space="preserve"> and costs analysis</w:t>
      </w:r>
    </w:p>
    <w:p w:rsidR="00C60A7D" w:rsidRPr="00B22269" w:rsidRDefault="00C60A7D" w:rsidP="00C60A7D">
      <w:pPr>
        <w:pStyle w:val="HIPNormal"/>
        <w:rPr>
          <w:lang w:val="en-US"/>
        </w:rPr>
      </w:pPr>
      <w:r w:rsidRPr="00D92738">
        <w:rPr>
          <w:lang w:val="en-US"/>
        </w:rPr>
        <w:t xml:space="preserve">Experience with cost based approaches to the determination </w:t>
      </w:r>
      <w:r>
        <w:rPr>
          <w:lang w:val="en-US"/>
        </w:rPr>
        <w:t xml:space="preserve">of subsides have shown that the </w:t>
      </w:r>
      <w:r w:rsidRPr="00D92738">
        <w:rPr>
          <w:lang w:val="en-US"/>
        </w:rPr>
        <w:t>information asymmetry that exists between the Fund Administrator and the operators can affect the final determination of cost</w:t>
      </w:r>
      <w:r>
        <w:rPr>
          <w:lang w:val="en-US"/>
        </w:rPr>
        <w:t xml:space="preserve"> and lead to inefficient financing of projects</w:t>
      </w:r>
      <w:r w:rsidRPr="00D92738">
        <w:rPr>
          <w:lang w:val="en-US"/>
        </w:rPr>
        <w:t xml:space="preserve">. The operator has far better knowledge than the Fund Administrator of the costs of its operations. In addition, it is in the operators’ interests to inflate costs in light of the potential subsidy that may result. </w:t>
      </w:r>
    </w:p>
    <w:p w:rsidR="00C60A7D" w:rsidRDefault="0088668E" w:rsidP="0088668E">
      <w:pPr>
        <w:pStyle w:val="HIPheading4"/>
      </w:pPr>
      <w:bookmarkStart w:id="403" w:name="_Toc284598009"/>
      <w:r>
        <w:t>3.5.</w:t>
      </w:r>
      <w:r w:rsidR="00C60A7D">
        <w:t>1.1</w:t>
      </w:r>
      <w:r w:rsidR="00C60A7D">
        <w:tab/>
        <w:t>Different Projects, Different Costs</w:t>
      </w:r>
      <w:bookmarkEnd w:id="403"/>
    </w:p>
    <w:p w:rsidR="00C60A7D" w:rsidRDefault="00C60A7D" w:rsidP="00C60A7D">
      <w:pPr>
        <w:pStyle w:val="HIPNormal"/>
        <w:rPr>
          <w:lang w:val="en-US"/>
        </w:rPr>
      </w:pPr>
      <w:r w:rsidRPr="00B22269">
        <w:rPr>
          <w:lang w:val="en-US"/>
        </w:rPr>
        <w:t xml:space="preserve">In addition to the above concerns with getting accurate cost information, a key concern has been related to the fact that different projects will have different costs and cost structures. A project that </w:t>
      </w:r>
      <w:r>
        <w:rPr>
          <w:lang w:val="en-US"/>
        </w:rPr>
        <w:t xml:space="preserve">is </w:t>
      </w:r>
      <w:r w:rsidRPr="00B22269">
        <w:rPr>
          <w:lang w:val="en-US"/>
        </w:rPr>
        <w:t xml:space="preserve">related to the rolling out of infrastructure will be </w:t>
      </w:r>
      <w:r>
        <w:rPr>
          <w:lang w:val="en-US"/>
        </w:rPr>
        <w:t>cost</w:t>
      </w:r>
      <w:r w:rsidRPr="00B22269">
        <w:rPr>
          <w:lang w:val="en-US"/>
        </w:rPr>
        <w:t>ed different</w:t>
      </w:r>
      <w:r>
        <w:rPr>
          <w:lang w:val="en-US"/>
        </w:rPr>
        <w:t>ly</w:t>
      </w:r>
      <w:r w:rsidRPr="00B22269">
        <w:rPr>
          <w:lang w:val="en-US"/>
        </w:rPr>
        <w:t xml:space="preserve"> from an e-rate project or a project to put computer labs in schools. The cost assumptions, technology deployment choices and revenue estimates will differ from project to project and from country to country.</w:t>
      </w:r>
      <w:r w:rsidR="005E5682">
        <w:rPr>
          <w:lang w:val="en-US"/>
        </w:rPr>
        <w:t xml:space="preserve"> </w:t>
      </w:r>
      <w:r w:rsidRPr="00B22269">
        <w:rPr>
          <w:lang w:val="en-US"/>
        </w:rPr>
        <w:t>In conducting an initial cost analysis, each Member State should recognize that the objective is to get indicative pricing to be confirmed through the bidding or other project allocation processes.</w:t>
      </w:r>
    </w:p>
    <w:p w:rsidR="00C60A7D" w:rsidRDefault="00C60A7D" w:rsidP="00C60A7D">
      <w:pPr>
        <w:pStyle w:val="HIPNormal"/>
      </w:pPr>
      <w:r>
        <w:t>Cost analysis will require:</w:t>
      </w:r>
    </w:p>
    <w:p w:rsidR="00C60A7D" w:rsidRPr="00823174" w:rsidRDefault="00C60A7D" w:rsidP="00C60A7D">
      <w:pPr>
        <w:pStyle w:val="HIPEnumlev1"/>
      </w:pPr>
      <w:r w:rsidRPr="00823174">
        <w:t>Market data which is below national level, preferably on the area in which the service is to be provided.</w:t>
      </w:r>
    </w:p>
    <w:p w:rsidR="00C60A7D" w:rsidRPr="00823174" w:rsidRDefault="00C60A7D" w:rsidP="00C60A7D">
      <w:pPr>
        <w:pStyle w:val="HIPEnumlev1"/>
      </w:pPr>
      <w:r w:rsidRPr="00823174">
        <w:t>ICT access – which is more micro that national penetration levels, i.e. payphones within the project area, telecentres, mobile access (network coverage), mobile service (subscribers), fixed lines, internet access (home, business, shared), and broadband access (home, business, shared).</w:t>
      </w:r>
    </w:p>
    <w:p w:rsidR="00C60A7D" w:rsidRPr="00823174" w:rsidRDefault="00C60A7D" w:rsidP="00C60A7D">
      <w:pPr>
        <w:pStyle w:val="HIPEnumlev1"/>
      </w:pPr>
      <w:r w:rsidRPr="00823174">
        <w:t>Geographical information on the project area – terrain (mountains, hills, valleys, forests, deserts) which will impact network planning and the costs of constructing a network, as well as the technology choice</w:t>
      </w:r>
    </w:p>
    <w:p w:rsidR="00C60A7D" w:rsidRDefault="00C60A7D" w:rsidP="00C60A7D">
      <w:pPr>
        <w:pStyle w:val="HIPEnumlev1"/>
      </w:pPr>
      <w:r w:rsidRPr="00823174">
        <w:t>Population centre’s and population</w:t>
      </w:r>
      <w:r w:rsidR="005E5682">
        <w:t xml:space="preserve"> – </w:t>
      </w:r>
      <w:r w:rsidRPr="00823174">
        <w:t>total population of the region, area, major population centers</w:t>
      </w:r>
      <w:r w:rsidR="005E5682">
        <w:t xml:space="preserve"> </w:t>
      </w:r>
      <w:r w:rsidRPr="00823174">
        <w:t xml:space="preserve">and levels of </w:t>
      </w:r>
      <w:r>
        <w:rPr>
          <w:rFonts w:hint="eastAsia"/>
        </w:rPr>
        <w:t>urbanization</w:t>
      </w:r>
    </w:p>
    <w:p w:rsidR="00C60A7D" w:rsidRDefault="0088668E" w:rsidP="0088668E">
      <w:pPr>
        <w:pStyle w:val="HIPheading4"/>
      </w:pPr>
      <w:bookmarkStart w:id="404" w:name="_Toc284598010"/>
      <w:r>
        <w:lastRenderedPageBreak/>
        <w:t>3.5.</w:t>
      </w:r>
      <w:r w:rsidR="00C60A7D">
        <w:t>1.2</w:t>
      </w:r>
      <w:r w:rsidR="00C60A7D">
        <w:tab/>
        <w:t>Sample Cost Models</w:t>
      </w:r>
      <w:bookmarkEnd w:id="404"/>
    </w:p>
    <w:p w:rsidR="00C60A7D" w:rsidRPr="00A90853" w:rsidRDefault="0088668E" w:rsidP="0088668E">
      <w:pPr>
        <w:pStyle w:val="HIPheading5"/>
      </w:pPr>
      <w:bookmarkStart w:id="405" w:name="_Toc284598011"/>
      <w:r>
        <w:t>3.5.</w:t>
      </w:r>
      <w:r w:rsidR="00C60A7D">
        <w:t>1.2.1</w:t>
      </w:r>
      <w:r w:rsidR="00C60A7D">
        <w:tab/>
      </w:r>
      <w:r w:rsidR="00C60A7D" w:rsidRPr="00A90853">
        <w:t>ICT voice model and public access model</w:t>
      </w:r>
      <w:bookmarkEnd w:id="405"/>
    </w:p>
    <w:p w:rsidR="00C60A7D" w:rsidRPr="00D92738" w:rsidRDefault="00C60A7D" w:rsidP="00C60A7D">
      <w:pPr>
        <w:pStyle w:val="HIPNormal"/>
        <w:rPr>
          <w:lang w:val="en-US"/>
        </w:rPr>
      </w:pPr>
      <w:r>
        <w:rPr>
          <w:lang w:val="en-US"/>
        </w:rPr>
        <w:t>Various m</w:t>
      </w:r>
      <w:r w:rsidRPr="00D92738">
        <w:rPr>
          <w:lang w:val="en-US"/>
        </w:rPr>
        <w:t xml:space="preserve">odels exist to </w:t>
      </w:r>
      <w:r>
        <w:rPr>
          <w:lang w:val="en-US"/>
        </w:rPr>
        <w:t xml:space="preserve">estimate ICT project </w:t>
      </w:r>
      <w:r w:rsidRPr="00D92738">
        <w:rPr>
          <w:lang w:val="en-US"/>
        </w:rPr>
        <w:t xml:space="preserve">costs. Two of the more user-friendly models are the </w:t>
      </w:r>
      <w:r>
        <w:rPr>
          <w:lang w:val="en-US"/>
        </w:rPr>
        <w:t>World Bank</w:t>
      </w:r>
      <w:r>
        <w:rPr>
          <w:rFonts w:hint="eastAsia"/>
          <w:lang w:val="en-US"/>
        </w:rPr>
        <w:t>’</w:t>
      </w:r>
      <w:r>
        <w:rPr>
          <w:lang w:val="en-US"/>
        </w:rPr>
        <w:t xml:space="preserve">s </w:t>
      </w:r>
      <w:r w:rsidRPr="00D92738">
        <w:rPr>
          <w:lang w:val="en-US"/>
        </w:rPr>
        <w:t>ICT voice model</w:t>
      </w:r>
      <w:r>
        <w:rPr>
          <w:rStyle w:val="FootnoteReference"/>
        </w:rPr>
        <w:footnoteReference w:id="74"/>
      </w:r>
      <w:r w:rsidRPr="00D92738">
        <w:rPr>
          <w:lang w:val="en-US"/>
        </w:rPr>
        <w:t xml:space="preserve"> and the Public Access Broadband Model</w:t>
      </w:r>
      <w:r>
        <w:rPr>
          <w:lang w:val="en-US"/>
        </w:rPr>
        <w:t>.</w:t>
      </w:r>
      <w:r>
        <w:rPr>
          <w:rStyle w:val="FootnoteReference"/>
        </w:rPr>
        <w:footnoteReference w:id="75"/>
      </w:r>
      <w:r w:rsidR="005E5682">
        <w:rPr>
          <w:lang w:val="en-US"/>
        </w:rPr>
        <w:t xml:space="preserve"> </w:t>
      </w:r>
      <w:r w:rsidRPr="00D92738">
        <w:rPr>
          <w:lang w:val="en-US"/>
        </w:rPr>
        <w:t>Both models determine commercial viability based on the balan</w:t>
      </w:r>
      <w:r>
        <w:rPr>
          <w:lang w:val="en-US"/>
        </w:rPr>
        <w:t>ce of costs and revenues in every</w:t>
      </w:r>
      <w:r w:rsidRPr="00D92738">
        <w:rPr>
          <w:lang w:val="en-US"/>
        </w:rPr>
        <w:t xml:space="preserve"> pixel of land</w:t>
      </w:r>
      <w:r>
        <w:rPr>
          <w:lang w:val="en-US"/>
        </w:rPr>
        <w:t xml:space="preserve"> in a country</w:t>
      </w:r>
      <w:r w:rsidRPr="00D92738">
        <w:rPr>
          <w:lang w:val="en-US"/>
        </w:rPr>
        <w:t>. The</w:t>
      </w:r>
      <w:r>
        <w:rPr>
          <w:lang w:val="en-US"/>
        </w:rPr>
        <w:t xml:space="preserve"> models</w:t>
      </w:r>
      <w:r w:rsidRPr="00D92738">
        <w:rPr>
          <w:lang w:val="en-US"/>
        </w:rPr>
        <w:t xml:space="preserve"> estimate the revenues associated with any particular area based on</w:t>
      </w:r>
      <w:r>
        <w:rPr>
          <w:lang w:val="en-US"/>
        </w:rPr>
        <w:t>:</w:t>
      </w:r>
      <w:r w:rsidRPr="00D92738">
        <w:rPr>
          <w:lang w:val="en-US"/>
        </w:rPr>
        <w:t xml:space="preserve"> </w:t>
      </w:r>
    </w:p>
    <w:p w:rsidR="00C60A7D" w:rsidRPr="00B22269" w:rsidRDefault="00C60A7D" w:rsidP="00C60A7D">
      <w:pPr>
        <w:pStyle w:val="HIPEnumlev1"/>
      </w:pPr>
      <w:r w:rsidRPr="00B22269">
        <w:t>population density, income distribution, and the assumed budget share going to voice telephony in the case of the ICT Voice Model; and</w:t>
      </w:r>
    </w:p>
    <w:p w:rsidR="00C60A7D" w:rsidRPr="00B22269" w:rsidRDefault="00C60A7D" w:rsidP="00C60A7D">
      <w:pPr>
        <w:pStyle w:val="HIPEnumlev1"/>
      </w:pPr>
      <w:r w:rsidRPr="0006693F">
        <w:t>population density, income distribution, and the assumed budget share going to broadband services</w:t>
      </w:r>
    </w:p>
    <w:p w:rsidR="00C60A7D" w:rsidRDefault="00C60A7D" w:rsidP="00C60A7D">
      <w:pPr>
        <w:pStyle w:val="HIPNormal"/>
        <w:rPr>
          <w:lang w:val="en-US"/>
        </w:rPr>
      </w:pPr>
      <w:r w:rsidRPr="00D92738">
        <w:rPr>
          <w:lang w:val="en-US"/>
        </w:rPr>
        <w:t xml:space="preserve">The costs of serving any particular area </w:t>
      </w:r>
      <w:r>
        <w:rPr>
          <w:lang w:val="en-US"/>
        </w:rPr>
        <w:t>in the models is</w:t>
      </w:r>
      <w:r w:rsidRPr="00D92738">
        <w:rPr>
          <w:lang w:val="en-US"/>
        </w:rPr>
        <w:t xml:space="preserve"> based on </w:t>
      </w:r>
      <w:r>
        <w:rPr>
          <w:lang w:val="en-US"/>
        </w:rPr>
        <w:t xml:space="preserve">amongst other things, </w:t>
      </w:r>
      <w:r w:rsidRPr="00D92738">
        <w:rPr>
          <w:lang w:val="en-US"/>
        </w:rPr>
        <w:t>the terrain</w:t>
      </w:r>
      <w:r>
        <w:rPr>
          <w:lang w:val="en-US"/>
        </w:rPr>
        <w:t>, the network plan needed to cover the area to serve the estimated demand (i.e. cell size)</w:t>
      </w:r>
      <w:r w:rsidRPr="00D92738">
        <w:rPr>
          <w:lang w:val="en-US"/>
        </w:rPr>
        <w:t>, which in tu</w:t>
      </w:r>
      <w:r>
        <w:rPr>
          <w:lang w:val="en-US"/>
        </w:rPr>
        <w:t>rn determine the number of base</w:t>
      </w:r>
      <w:r w:rsidRPr="00D92738">
        <w:rPr>
          <w:lang w:val="en-US"/>
        </w:rPr>
        <w:t xml:space="preserve"> </w:t>
      </w:r>
      <w:r>
        <w:rPr>
          <w:lang w:val="en-US"/>
        </w:rPr>
        <w:t>stations that need to be built, amongst others.</w:t>
      </w:r>
    </w:p>
    <w:p w:rsidR="00C60A7D" w:rsidRPr="0006693F" w:rsidRDefault="00C60A7D" w:rsidP="00C60A7D">
      <w:pPr>
        <w:pStyle w:val="HIPNormal"/>
        <w:rPr>
          <w:lang w:val="en-US"/>
        </w:rPr>
      </w:pPr>
      <w:r w:rsidRPr="00D92738">
        <w:rPr>
          <w:lang w:val="en-US"/>
        </w:rPr>
        <w:t xml:space="preserve">In the Voice Model, </w:t>
      </w:r>
      <w:r>
        <w:rPr>
          <w:rFonts w:hint="eastAsia"/>
          <w:lang w:val="en-US"/>
        </w:rPr>
        <w:t>which</w:t>
      </w:r>
      <w:r>
        <w:rPr>
          <w:lang w:val="en-US"/>
        </w:rPr>
        <w:t xml:space="preserve"> is a </w:t>
      </w:r>
      <w:r w:rsidRPr="00D92738">
        <w:rPr>
          <w:b/>
          <w:bCs/>
          <w:lang w:val="en-US"/>
        </w:rPr>
        <w:t>private service model</w:t>
      </w:r>
      <w:r>
        <w:rPr>
          <w:b/>
          <w:bCs/>
          <w:lang w:val="en-US"/>
        </w:rPr>
        <w:t>,</w:t>
      </w:r>
      <w:r w:rsidRPr="00D92738">
        <w:rPr>
          <w:b/>
          <w:bCs/>
          <w:lang w:val="en-US"/>
        </w:rPr>
        <w:t xml:space="preserve"> </w:t>
      </w:r>
      <w:r w:rsidRPr="00D92738">
        <w:rPr>
          <w:lang w:val="en-US"/>
        </w:rPr>
        <w:t xml:space="preserve">only the costs of providing a voice signal are considered, exclusive of the handsets and chargers and any other </w:t>
      </w:r>
      <w:r>
        <w:rPr>
          <w:lang w:val="en-US"/>
        </w:rPr>
        <w:t xml:space="preserve">consumer premises equipment. </w:t>
      </w:r>
      <w:r w:rsidRPr="00D92738">
        <w:rPr>
          <w:lang w:val="en-US"/>
        </w:rPr>
        <w:t xml:space="preserve">In the broadband model, which is a </w:t>
      </w:r>
      <w:r w:rsidRPr="00D92738">
        <w:rPr>
          <w:b/>
          <w:bCs/>
          <w:lang w:val="en-US"/>
        </w:rPr>
        <w:t xml:space="preserve">public access model, </w:t>
      </w:r>
      <w:r w:rsidRPr="0006693F">
        <w:rPr>
          <w:lang w:val="en-US"/>
        </w:rPr>
        <w:t>only the costs of providing ‘outdoor’ broadband connectivity are considered. These costs exclude costs associated with local retailing of broadband services (via phone shops and Internet cafés) and providing the computers, laptops, keyboards, dongles and other equipment needed to access the internet.</w:t>
      </w:r>
    </w:p>
    <w:p w:rsidR="00C60A7D" w:rsidRDefault="0088668E" w:rsidP="0088668E">
      <w:pPr>
        <w:pStyle w:val="HIPheading5"/>
      </w:pPr>
      <w:bookmarkStart w:id="406" w:name="_Toc284598012"/>
      <w:r>
        <w:t>3.5.</w:t>
      </w:r>
      <w:r w:rsidR="00C60A7D">
        <w:t>1.2.2</w:t>
      </w:r>
      <w:r w:rsidR="00C60A7D">
        <w:tab/>
        <w:t xml:space="preserve">Top down model for tariffs, </w:t>
      </w:r>
      <w:r w:rsidR="00C60A7D">
        <w:rPr>
          <w:rFonts w:hint="eastAsia"/>
        </w:rPr>
        <w:t>interconnection</w:t>
      </w:r>
      <w:r w:rsidR="00C60A7D">
        <w:t xml:space="preserve"> and universal service</w:t>
      </w:r>
      <w:bookmarkEnd w:id="406"/>
    </w:p>
    <w:p w:rsidR="00C60A7D" w:rsidRPr="00A90853" w:rsidRDefault="00C60A7D" w:rsidP="00C60A7D">
      <w:pPr>
        <w:pStyle w:val="HIPNormal"/>
        <w:rPr>
          <w:b/>
          <w:bCs/>
          <w:lang w:val="en-US"/>
        </w:rPr>
      </w:pPr>
      <w:r w:rsidRPr="00A90853">
        <w:rPr>
          <w:b/>
          <w:bCs/>
          <w:lang w:val="en-US"/>
        </w:rPr>
        <w:t xml:space="preserve">COSITU and COSITU SP2 </w:t>
      </w:r>
      <w:r w:rsidRPr="0088668E">
        <w:rPr>
          <w:lang w:val="en-US"/>
        </w:rPr>
        <w:t>are</w:t>
      </w:r>
      <w:r>
        <w:rPr>
          <w:lang w:val="en-US"/>
        </w:rPr>
        <w:t xml:space="preserve"> top down </w:t>
      </w:r>
      <w:r w:rsidRPr="00A90853">
        <w:rPr>
          <w:lang w:val="en-US"/>
        </w:rPr>
        <w:t xml:space="preserve">models which allow Fund Administrators to estimate costs. </w:t>
      </w:r>
      <w:r w:rsidRPr="00CD2219">
        <w:rPr>
          <w:lang w:val="en-US"/>
        </w:rPr>
        <w:t xml:space="preserve">They enable the estimation of costs, sensitivity to market risk (BETA) in the calculation of capital costs; the possibility of excluding the interurban service in the determination of the amount of access deficit where regulatory policies demand (e.g. Venezuela); plus visibility of intangible assets whose treatment is different from tangible assets. COSITU is available from the ITU and a cost concept was deliberately chosen that takes account of the data that may be found in almost all developing countries. </w:t>
      </w:r>
      <w:r>
        <w:rPr>
          <w:lang w:val="en-US"/>
        </w:rPr>
        <w:t xml:space="preserve">COSITU </w:t>
      </w:r>
      <w:r w:rsidRPr="00F06F95">
        <w:rPr>
          <w:lang w:val="en-US"/>
        </w:rPr>
        <w:t>calculat</w:t>
      </w:r>
      <w:r>
        <w:rPr>
          <w:lang w:val="en-US"/>
        </w:rPr>
        <w:t>es the</w:t>
      </w:r>
      <w:r w:rsidRPr="00F06F95">
        <w:rPr>
          <w:lang w:val="en-US"/>
        </w:rPr>
        <w:t xml:space="preserve"> distribution of the cost of universal service obligations;</w:t>
      </w:r>
      <w:r w:rsidRPr="00F06F95">
        <w:rPr>
          <w:sz w:val="18"/>
          <w:szCs w:val="18"/>
          <w:lang w:val="en-US"/>
        </w:rPr>
        <w:t xml:space="preserve"> </w:t>
      </w:r>
      <w:r>
        <w:rPr>
          <w:lang w:val="en-US" w:eastAsia="en-US"/>
        </w:rPr>
        <w:t>and provide information on the d</w:t>
      </w:r>
      <w:r w:rsidRPr="00F06F95">
        <w:rPr>
          <w:lang w:val="en-US" w:eastAsia="en-US"/>
        </w:rPr>
        <w:t>etermination of the impact of universal service policies and formulation of associated policies.</w:t>
      </w:r>
      <w:r w:rsidRPr="00F06F95">
        <w:rPr>
          <w:sz w:val="18"/>
          <w:szCs w:val="18"/>
          <w:lang w:val="en-US" w:eastAsia="en-US"/>
        </w:rPr>
        <w:t xml:space="preserve"> </w:t>
      </w:r>
    </w:p>
    <w:p w:rsidR="00C60A7D" w:rsidRPr="00A90853" w:rsidRDefault="0088668E" w:rsidP="0088668E">
      <w:pPr>
        <w:pStyle w:val="HIPheading5"/>
      </w:pPr>
      <w:bookmarkStart w:id="407" w:name="_Toc284598013"/>
      <w:r>
        <w:t>3.5.</w:t>
      </w:r>
      <w:r w:rsidR="00C60A7D">
        <w:t>1.2.3</w:t>
      </w:r>
      <w:r w:rsidR="00C60A7D">
        <w:tab/>
      </w:r>
      <w:r w:rsidR="00C60A7D" w:rsidRPr="00A90853">
        <w:t>Co</w:t>
      </w:r>
      <w:r w:rsidR="00C60A7D">
        <w:t>st Model for Large Scale School Connectivity Projects</w:t>
      </w:r>
      <w:bookmarkEnd w:id="407"/>
    </w:p>
    <w:p w:rsidR="00C60A7D" w:rsidRPr="005E5682" w:rsidRDefault="00C60A7D" w:rsidP="00C60A7D">
      <w:pPr>
        <w:pStyle w:val="HIPNormal"/>
        <w:rPr>
          <w:lang w:val="en-US"/>
        </w:rPr>
      </w:pPr>
      <w:r w:rsidRPr="00C60A7D">
        <w:rPr>
          <w:lang w:val="en-US"/>
        </w:rPr>
        <w:t xml:space="preserve">GESCi has developed a cost model for regional and national school connectivity </w:t>
      </w:r>
      <w:r w:rsidRPr="00C60A7D">
        <w:rPr>
          <w:rFonts w:hint="eastAsia"/>
          <w:lang w:val="en-US"/>
        </w:rPr>
        <w:t>projects</w:t>
      </w:r>
      <w:r w:rsidRPr="00C60A7D">
        <w:rPr>
          <w:lang w:val="en-US"/>
        </w:rPr>
        <w:t xml:space="preserve"> which are excel based and available at </w:t>
      </w:r>
      <w:hyperlink r:id="rId80" w:anchor="tco" w:history="1">
        <w:r w:rsidRPr="007B1A5B">
          <w:rPr>
            <w:rStyle w:val="Hyperlink"/>
            <w:lang w:val="en-US"/>
          </w:rPr>
          <w:t>www.gesci.org/knowledge-tools.html#tco</w:t>
        </w:r>
      </w:hyperlink>
      <w:r w:rsidRPr="00C60A7D">
        <w:rPr>
          <w:lang w:val="en-US"/>
        </w:rPr>
        <w:t xml:space="preserve">. </w:t>
      </w:r>
      <w:r w:rsidRPr="005E5682">
        <w:rPr>
          <w:lang w:val="en-US"/>
        </w:rPr>
        <w:t xml:space="preserve">It uses a Total Cost of Operations approach which addresses infrastructure and </w:t>
      </w:r>
      <w:r w:rsidRPr="005E5682">
        <w:rPr>
          <w:rFonts w:hint="eastAsia"/>
          <w:lang w:val="en-US"/>
        </w:rPr>
        <w:t>‘</w:t>
      </w:r>
      <w:r w:rsidRPr="005E5682">
        <w:rPr>
          <w:lang w:val="en-US"/>
        </w:rPr>
        <w:t>hidden</w:t>
      </w:r>
      <w:r w:rsidRPr="005E5682">
        <w:rPr>
          <w:rFonts w:hint="eastAsia"/>
          <w:lang w:val="en-US"/>
        </w:rPr>
        <w:t>’</w:t>
      </w:r>
      <w:r w:rsidRPr="005E5682">
        <w:rPr>
          <w:lang w:val="en-US"/>
        </w:rPr>
        <w:t xml:space="preserve"> costs such as training, maintenance and usage, amongst others. It thus </w:t>
      </w:r>
      <w:r w:rsidRPr="005E5682">
        <w:rPr>
          <w:rFonts w:hint="eastAsia"/>
          <w:lang w:val="en-US"/>
        </w:rPr>
        <w:t>provides</w:t>
      </w:r>
      <w:r w:rsidRPr="005E5682">
        <w:rPr>
          <w:lang w:val="en-US"/>
        </w:rPr>
        <w:t xml:space="preserve"> a holistic approach.</w:t>
      </w:r>
    </w:p>
    <w:p w:rsidR="003C5FE7" w:rsidRDefault="003C5FE7">
      <w:pPr>
        <w:rPr>
          <w:rFonts w:ascii="Calibri" w:hAnsi="Calibri" w:cs="Arial"/>
          <w:b/>
          <w:bCs/>
          <w:color w:val="008000"/>
          <w:szCs w:val="24"/>
          <w:lang w:val="en-US"/>
        </w:rPr>
      </w:pPr>
      <w:r w:rsidRPr="00761E74">
        <w:rPr>
          <w:lang w:val="en-US"/>
        </w:rPr>
        <w:br w:type="page"/>
      </w:r>
    </w:p>
    <w:p w:rsidR="00C60A7D" w:rsidRPr="00187C3A" w:rsidRDefault="00C60A7D" w:rsidP="0088668E">
      <w:pPr>
        <w:pStyle w:val="HIPTabletitle"/>
      </w:pPr>
      <w:bookmarkStart w:id="408" w:name="_Toc286146568"/>
      <w:r w:rsidRPr="00187C3A">
        <w:lastRenderedPageBreak/>
        <w:t xml:space="preserve">Table </w:t>
      </w:r>
      <w:r w:rsidR="0088668E">
        <w:rPr>
          <w:noProof/>
        </w:rPr>
        <w:t>3.13</w:t>
      </w:r>
      <w:r>
        <w:t>: Total Cost of Ownership Modelling Tool</w:t>
      </w:r>
      <w:r>
        <w:rPr>
          <w:rStyle w:val="FootnoteReference"/>
        </w:rPr>
        <w:footnoteReference w:id="76"/>
      </w:r>
      <w:bookmarkEnd w:id="408"/>
    </w:p>
    <w:tbl>
      <w:tblPr>
        <w:tblW w:w="8880" w:type="dxa"/>
        <w:jc w:val="center"/>
        <w:tblInd w:w="103" w:type="dxa"/>
        <w:tblBorders>
          <w:top w:val="single" w:sz="4" w:space="0" w:color="auto"/>
          <w:left w:val="single" w:sz="4" w:space="0" w:color="auto"/>
          <w:bottom w:val="single" w:sz="4" w:space="0" w:color="auto"/>
          <w:right w:val="single" w:sz="4" w:space="0" w:color="auto"/>
        </w:tblBorders>
        <w:shd w:val="clear" w:color="auto" w:fill="EAF1DD"/>
        <w:tblLook w:val="04A0"/>
      </w:tblPr>
      <w:tblGrid>
        <w:gridCol w:w="2778"/>
        <w:gridCol w:w="810"/>
        <w:gridCol w:w="821"/>
        <w:gridCol w:w="1087"/>
        <w:gridCol w:w="3384"/>
      </w:tblGrid>
      <w:tr w:rsidR="00C60A7D" w:rsidRPr="0033135E" w:rsidTr="00C60A7D">
        <w:trPr>
          <w:trHeight w:val="436"/>
          <w:jc w:val="center"/>
        </w:trPr>
        <w:tc>
          <w:tcPr>
            <w:tcW w:w="4409" w:type="dxa"/>
            <w:gridSpan w:val="3"/>
            <w:tcBorders>
              <w:top w:val="single" w:sz="4" w:space="0" w:color="auto"/>
              <w:bottom w:val="nil"/>
            </w:tcBorders>
            <w:shd w:val="clear" w:color="auto" w:fill="008000"/>
            <w:noWrap/>
            <w:vAlign w:val="center"/>
            <w:hideMark/>
          </w:tcPr>
          <w:p w:rsidR="00C60A7D" w:rsidRPr="0033135E" w:rsidRDefault="00C60A7D" w:rsidP="00C60A7D">
            <w:pPr>
              <w:pStyle w:val="HIPTablehead"/>
              <w:rPr>
                <w:lang w:eastAsia="en-US"/>
              </w:rPr>
            </w:pPr>
            <w:r w:rsidRPr="0033135E">
              <w:rPr>
                <w:lang w:eastAsia="en-US"/>
              </w:rPr>
              <w:t xml:space="preserve">TCO Tool </w:t>
            </w:r>
            <w:r>
              <w:rPr>
                <w:lang w:eastAsia="en-US"/>
              </w:rPr>
              <w:t>–</w:t>
            </w:r>
            <w:r w:rsidRPr="0033135E">
              <w:rPr>
                <w:lang w:eastAsia="en-US"/>
              </w:rPr>
              <w:t xml:space="preserve"> contents</w:t>
            </w:r>
          </w:p>
        </w:tc>
        <w:tc>
          <w:tcPr>
            <w:tcW w:w="1087" w:type="dxa"/>
            <w:tcBorders>
              <w:top w:val="single" w:sz="4" w:space="0" w:color="auto"/>
              <w:bottom w:val="nil"/>
            </w:tcBorders>
            <w:shd w:val="clear" w:color="auto" w:fill="008000"/>
            <w:noWrap/>
            <w:vAlign w:val="bottom"/>
            <w:hideMark/>
          </w:tcPr>
          <w:p w:rsidR="00C60A7D" w:rsidRPr="0033135E" w:rsidRDefault="00C60A7D" w:rsidP="00C60A7D">
            <w:pPr>
              <w:pStyle w:val="HIPTablehead"/>
              <w:rPr>
                <w:sz w:val="20"/>
                <w:szCs w:val="20"/>
                <w:lang w:eastAsia="en-US"/>
              </w:rPr>
            </w:pPr>
            <w:r w:rsidRPr="0033135E">
              <w:rPr>
                <w:sz w:val="20"/>
                <w:szCs w:val="20"/>
                <w:lang w:eastAsia="en-US"/>
              </w:rPr>
              <w:t> </w:t>
            </w:r>
          </w:p>
        </w:tc>
        <w:tc>
          <w:tcPr>
            <w:tcW w:w="3384" w:type="dxa"/>
            <w:tcBorders>
              <w:top w:val="single" w:sz="4" w:space="0" w:color="auto"/>
              <w:bottom w:val="nil"/>
            </w:tcBorders>
            <w:shd w:val="clear" w:color="auto" w:fill="008000"/>
            <w:noWrap/>
            <w:vAlign w:val="bottom"/>
            <w:hideMark/>
          </w:tcPr>
          <w:p w:rsidR="00C60A7D" w:rsidRPr="0033135E" w:rsidRDefault="00C60A7D" w:rsidP="00C60A7D">
            <w:pPr>
              <w:pStyle w:val="HIPTablehead"/>
              <w:rPr>
                <w:sz w:val="20"/>
                <w:szCs w:val="20"/>
                <w:lang w:eastAsia="en-US"/>
              </w:rPr>
            </w:pPr>
            <w:r w:rsidRPr="0033135E">
              <w:rPr>
                <w:sz w:val="20"/>
                <w:szCs w:val="20"/>
                <w:lang w:eastAsia="en-US"/>
              </w:rPr>
              <w:t> </w:t>
            </w:r>
          </w:p>
        </w:tc>
      </w:tr>
      <w:tr w:rsidR="00C60A7D" w:rsidRPr="00A3379B" w:rsidTr="00C60A7D">
        <w:trPr>
          <w:trHeight w:val="296"/>
          <w:jc w:val="center"/>
        </w:trPr>
        <w:tc>
          <w:tcPr>
            <w:tcW w:w="2778" w:type="dxa"/>
            <w:vMerge w:val="restart"/>
            <w:tcBorders>
              <w:top w:val="nil"/>
            </w:tcBorders>
            <w:shd w:val="clear" w:color="auto" w:fill="EAF1DD"/>
            <w:hideMark/>
          </w:tcPr>
          <w:p w:rsidR="00C60A7D" w:rsidRDefault="00C60A7D" w:rsidP="00C60A7D">
            <w:pPr>
              <w:pStyle w:val="HIPTabletext"/>
              <w:rPr>
                <w:lang w:val="en-US" w:eastAsia="en-US"/>
              </w:rPr>
            </w:pPr>
            <w:r w:rsidRPr="0033135E">
              <w:rPr>
                <w:lang w:val="en-US" w:eastAsia="en-US"/>
              </w:rPr>
              <w:t xml:space="preserve">Step 0: </w:t>
            </w:r>
          </w:p>
          <w:p w:rsidR="00C60A7D" w:rsidRPr="0033135E" w:rsidRDefault="00C60A7D" w:rsidP="00C60A7D">
            <w:pPr>
              <w:pStyle w:val="HIPTabletext"/>
              <w:rPr>
                <w:lang w:val="en-US" w:eastAsia="en-US"/>
              </w:rPr>
            </w:pPr>
            <w:r w:rsidRPr="0033135E">
              <w:rPr>
                <w:lang w:val="en-US" w:eastAsia="en-US"/>
              </w:rPr>
              <w:t>Assumptions</w:t>
            </w:r>
          </w:p>
        </w:tc>
        <w:tc>
          <w:tcPr>
            <w:tcW w:w="6102" w:type="dxa"/>
            <w:gridSpan w:val="4"/>
            <w:vMerge w:val="restart"/>
            <w:tcBorders>
              <w:top w:val="nil"/>
            </w:tcBorders>
            <w:shd w:val="clear" w:color="auto" w:fill="EAF1DD"/>
            <w:hideMark/>
          </w:tcPr>
          <w:p w:rsidR="00C60A7D" w:rsidRPr="0033135E" w:rsidRDefault="00C60A7D" w:rsidP="00C60A7D">
            <w:pPr>
              <w:pStyle w:val="HIPTabletext"/>
              <w:rPr>
                <w:lang w:val="en-US" w:eastAsia="en-US"/>
              </w:rPr>
            </w:pPr>
            <w:r w:rsidRPr="0033135E">
              <w:rPr>
                <w:lang w:val="en-US" w:eastAsia="en-US"/>
              </w:rPr>
              <w:t>Contains basic project parameters used for all the calculations, like the number of schools and students.</w:t>
            </w:r>
          </w:p>
        </w:tc>
      </w:tr>
      <w:tr w:rsidR="00C60A7D" w:rsidRPr="00A3379B" w:rsidTr="00C60A7D">
        <w:trPr>
          <w:trHeight w:val="346"/>
          <w:jc w:val="center"/>
        </w:trPr>
        <w:tc>
          <w:tcPr>
            <w:tcW w:w="2778" w:type="dxa"/>
            <w:vMerge/>
            <w:shd w:val="clear" w:color="auto" w:fill="EAF1DD"/>
            <w:vAlign w:val="center"/>
            <w:hideMark/>
          </w:tcPr>
          <w:p w:rsidR="00C60A7D" w:rsidRPr="0033135E" w:rsidRDefault="00C60A7D" w:rsidP="00C60A7D">
            <w:pPr>
              <w:pStyle w:val="HIPTabletext"/>
              <w:rPr>
                <w:lang w:val="en-US" w:eastAsia="en-US"/>
              </w:rPr>
            </w:pPr>
          </w:p>
        </w:tc>
        <w:tc>
          <w:tcPr>
            <w:tcW w:w="6102" w:type="dxa"/>
            <w:gridSpan w:val="4"/>
            <w:vMerge/>
            <w:shd w:val="clear" w:color="auto" w:fill="EAF1DD"/>
            <w:vAlign w:val="center"/>
            <w:hideMark/>
          </w:tcPr>
          <w:p w:rsidR="00C60A7D" w:rsidRPr="0033135E" w:rsidRDefault="00C60A7D" w:rsidP="00C60A7D">
            <w:pPr>
              <w:pStyle w:val="HIPTabletext"/>
              <w:rPr>
                <w:lang w:val="en-US" w:eastAsia="en-US"/>
              </w:rPr>
            </w:pPr>
          </w:p>
        </w:tc>
      </w:tr>
      <w:tr w:rsidR="00C60A7D" w:rsidRPr="00A3379B" w:rsidTr="00C60A7D">
        <w:trPr>
          <w:trHeight w:val="256"/>
          <w:jc w:val="center"/>
        </w:trPr>
        <w:tc>
          <w:tcPr>
            <w:tcW w:w="2778" w:type="dxa"/>
            <w:shd w:val="clear" w:color="auto" w:fill="EAF1DD"/>
            <w:noWrap/>
            <w:hideMark/>
          </w:tcPr>
          <w:p w:rsidR="00C60A7D" w:rsidRPr="0033135E" w:rsidRDefault="00C60A7D" w:rsidP="00C60A7D">
            <w:pPr>
              <w:pStyle w:val="HIPTabletext"/>
              <w:rPr>
                <w:lang w:val="en-US" w:eastAsia="en-US"/>
              </w:rPr>
            </w:pPr>
            <w:r w:rsidRPr="0033135E">
              <w:rPr>
                <w:lang w:val="en-US" w:eastAsia="en-US"/>
              </w:rPr>
              <w:t> </w:t>
            </w:r>
          </w:p>
        </w:tc>
        <w:tc>
          <w:tcPr>
            <w:tcW w:w="810" w:type="dxa"/>
            <w:shd w:val="clear" w:color="auto" w:fill="EAF1DD"/>
            <w:noWrap/>
            <w:hideMark/>
          </w:tcPr>
          <w:p w:rsidR="00C60A7D" w:rsidRPr="0033135E" w:rsidRDefault="00C60A7D" w:rsidP="00C60A7D">
            <w:pPr>
              <w:pStyle w:val="HIPTabletext"/>
              <w:rPr>
                <w:lang w:val="en-US" w:eastAsia="en-US"/>
              </w:rPr>
            </w:pPr>
            <w:r w:rsidRPr="0033135E">
              <w:rPr>
                <w:lang w:val="en-US" w:eastAsia="en-US"/>
              </w:rPr>
              <w:t> </w:t>
            </w:r>
          </w:p>
        </w:tc>
        <w:tc>
          <w:tcPr>
            <w:tcW w:w="821" w:type="dxa"/>
            <w:shd w:val="clear" w:color="auto" w:fill="EAF1DD"/>
            <w:noWrap/>
            <w:hideMark/>
          </w:tcPr>
          <w:p w:rsidR="00C60A7D" w:rsidRPr="0033135E" w:rsidRDefault="00C60A7D" w:rsidP="00C60A7D">
            <w:pPr>
              <w:pStyle w:val="HIPTabletext"/>
              <w:rPr>
                <w:sz w:val="20"/>
                <w:lang w:val="en-US" w:eastAsia="en-US"/>
              </w:rPr>
            </w:pPr>
            <w:r w:rsidRPr="0033135E">
              <w:rPr>
                <w:sz w:val="20"/>
                <w:lang w:val="en-US" w:eastAsia="en-US"/>
              </w:rPr>
              <w:t> </w:t>
            </w:r>
          </w:p>
        </w:tc>
        <w:tc>
          <w:tcPr>
            <w:tcW w:w="1087" w:type="dxa"/>
            <w:shd w:val="clear" w:color="auto" w:fill="EAF1DD"/>
            <w:noWrap/>
            <w:vAlign w:val="bottom"/>
            <w:hideMark/>
          </w:tcPr>
          <w:p w:rsidR="00C60A7D" w:rsidRPr="0033135E" w:rsidRDefault="00C60A7D" w:rsidP="00C60A7D">
            <w:pPr>
              <w:pStyle w:val="HIPTabletext"/>
              <w:rPr>
                <w:sz w:val="20"/>
                <w:lang w:val="en-US" w:eastAsia="en-US"/>
              </w:rPr>
            </w:pPr>
            <w:r w:rsidRPr="0033135E">
              <w:rPr>
                <w:sz w:val="20"/>
                <w:lang w:val="en-US" w:eastAsia="en-US"/>
              </w:rPr>
              <w:t> </w:t>
            </w:r>
          </w:p>
        </w:tc>
        <w:tc>
          <w:tcPr>
            <w:tcW w:w="3384" w:type="dxa"/>
            <w:shd w:val="clear" w:color="auto" w:fill="EAF1DD"/>
            <w:noWrap/>
            <w:vAlign w:val="bottom"/>
            <w:hideMark/>
          </w:tcPr>
          <w:p w:rsidR="00C60A7D" w:rsidRPr="0033135E" w:rsidRDefault="00C60A7D" w:rsidP="00C60A7D">
            <w:pPr>
              <w:pStyle w:val="HIPTabletext"/>
              <w:rPr>
                <w:sz w:val="20"/>
                <w:lang w:val="en-US" w:eastAsia="en-US"/>
              </w:rPr>
            </w:pPr>
            <w:r w:rsidRPr="0033135E">
              <w:rPr>
                <w:sz w:val="20"/>
                <w:lang w:val="en-US" w:eastAsia="en-US"/>
              </w:rPr>
              <w:t> </w:t>
            </w:r>
          </w:p>
        </w:tc>
      </w:tr>
      <w:tr w:rsidR="00C60A7D" w:rsidRPr="00A3379B" w:rsidTr="00C60A7D">
        <w:trPr>
          <w:trHeight w:val="296"/>
          <w:jc w:val="center"/>
        </w:trPr>
        <w:tc>
          <w:tcPr>
            <w:tcW w:w="2778" w:type="dxa"/>
            <w:vMerge w:val="restart"/>
            <w:shd w:val="clear" w:color="auto" w:fill="EAF1DD"/>
            <w:hideMark/>
          </w:tcPr>
          <w:p w:rsidR="00C60A7D" w:rsidRDefault="00C60A7D" w:rsidP="00C60A7D">
            <w:pPr>
              <w:pStyle w:val="HIPTabletext"/>
              <w:jc w:val="left"/>
              <w:rPr>
                <w:lang w:val="en-US" w:eastAsia="en-US"/>
              </w:rPr>
            </w:pPr>
            <w:r w:rsidRPr="0033135E">
              <w:rPr>
                <w:lang w:val="en-US" w:eastAsia="en-US"/>
              </w:rPr>
              <w:t xml:space="preserve">Step 1: </w:t>
            </w:r>
          </w:p>
          <w:p w:rsidR="00C60A7D" w:rsidRPr="0033135E" w:rsidRDefault="00C60A7D" w:rsidP="00C60A7D">
            <w:pPr>
              <w:pStyle w:val="HIPTabletext"/>
              <w:jc w:val="left"/>
              <w:rPr>
                <w:lang w:val="en-US" w:eastAsia="en-US"/>
              </w:rPr>
            </w:pPr>
            <w:r w:rsidRPr="0033135E">
              <w:rPr>
                <w:lang w:val="en-US" w:eastAsia="en-US"/>
              </w:rPr>
              <w:t xml:space="preserve">Central Costs </w:t>
            </w:r>
          </w:p>
        </w:tc>
        <w:tc>
          <w:tcPr>
            <w:tcW w:w="6102" w:type="dxa"/>
            <w:gridSpan w:val="4"/>
            <w:vMerge w:val="restart"/>
            <w:shd w:val="clear" w:color="auto" w:fill="EAF1DD"/>
            <w:hideMark/>
          </w:tcPr>
          <w:p w:rsidR="00C60A7D" w:rsidRPr="0033135E" w:rsidRDefault="00C60A7D" w:rsidP="00C60A7D">
            <w:pPr>
              <w:pStyle w:val="HIPTabletext"/>
              <w:rPr>
                <w:lang w:val="en-US" w:eastAsia="en-US"/>
              </w:rPr>
            </w:pPr>
            <w:r w:rsidRPr="0033135E">
              <w:rPr>
                <w:lang w:val="en-US" w:eastAsia="en-US"/>
              </w:rPr>
              <w:t>Contains the costing elements related to the central planning and management of the project, both initial and ongoing over a period of 5 years.</w:t>
            </w:r>
          </w:p>
        </w:tc>
      </w:tr>
      <w:tr w:rsidR="00C60A7D" w:rsidRPr="00A3379B" w:rsidTr="00C60A7D">
        <w:trPr>
          <w:trHeight w:val="336"/>
          <w:jc w:val="center"/>
        </w:trPr>
        <w:tc>
          <w:tcPr>
            <w:tcW w:w="2778" w:type="dxa"/>
            <w:vMerge/>
            <w:shd w:val="clear" w:color="auto" w:fill="EAF1DD"/>
            <w:vAlign w:val="center"/>
            <w:hideMark/>
          </w:tcPr>
          <w:p w:rsidR="00C60A7D" w:rsidRPr="0033135E" w:rsidRDefault="00C60A7D" w:rsidP="00C60A7D">
            <w:pPr>
              <w:pStyle w:val="HIPTabletext"/>
              <w:jc w:val="left"/>
              <w:rPr>
                <w:lang w:val="en-US" w:eastAsia="en-US"/>
              </w:rPr>
            </w:pPr>
          </w:p>
        </w:tc>
        <w:tc>
          <w:tcPr>
            <w:tcW w:w="6102" w:type="dxa"/>
            <w:gridSpan w:val="4"/>
            <w:vMerge/>
            <w:shd w:val="clear" w:color="auto" w:fill="EAF1DD"/>
            <w:vAlign w:val="center"/>
            <w:hideMark/>
          </w:tcPr>
          <w:p w:rsidR="00C60A7D" w:rsidRPr="0033135E" w:rsidRDefault="00C60A7D" w:rsidP="00C60A7D">
            <w:pPr>
              <w:pStyle w:val="HIPTabletext"/>
              <w:rPr>
                <w:lang w:val="en-US" w:eastAsia="en-US"/>
              </w:rPr>
            </w:pPr>
          </w:p>
        </w:tc>
      </w:tr>
      <w:tr w:rsidR="00C60A7D" w:rsidRPr="00A3379B" w:rsidTr="00C60A7D">
        <w:trPr>
          <w:trHeight w:val="256"/>
          <w:jc w:val="center"/>
        </w:trPr>
        <w:tc>
          <w:tcPr>
            <w:tcW w:w="2778" w:type="dxa"/>
            <w:shd w:val="clear" w:color="auto" w:fill="EAF1DD"/>
            <w:noWrap/>
            <w:hideMark/>
          </w:tcPr>
          <w:p w:rsidR="00C60A7D" w:rsidRPr="0033135E" w:rsidRDefault="00C60A7D" w:rsidP="00C60A7D">
            <w:pPr>
              <w:pStyle w:val="HIPTabletext"/>
              <w:jc w:val="left"/>
              <w:rPr>
                <w:lang w:val="en-US" w:eastAsia="en-US"/>
              </w:rPr>
            </w:pPr>
            <w:r w:rsidRPr="0033135E">
              <w:rPr>
                <w:lang w:val="en-US" w:eastAsia="en-US"/>
              </w:rPr>
              <w:t> </w:t>
            </w:r>
          </w:p>
        </w:tc>
        <w:tc>
          <w:tcPr>
            <w:tcW w:w="6102" w:type="dxa"/>
            <w:gridSpan w:val="4"/>
            <w:vMerge/>
            <w:shd w:val="clear" w:color="auto" w:fill="EAF1DD"/>
            <w:vAlign w:val="center"/>
            <w:hideMark/>
          </w:tcPr>
          <w:p w:rsidR="00C60A7D" w:rsidRPr="0033135E" w:rsidRDefault="00C60A7D" w:rsidP="00C60A7D">
            <w:pPr>
              <w:pStyle w:val="HIPTabletext"/>
              <w:rPr>
                <w:lang w:val="en-US" w:eastAsia="en-US"/>
              </w:rPr>
            </w:pPr>
          </w:p>
        </w:tc>
      </w:tr>
      <w:tr w:rsidR="00C60A7D" w:rsidRPr="00A3379B" w:rsidTr="00C60A7D">
        <w:trPr>
          <w:trHeight w:val="296"/>
          <w:jc w:val="center"/>
        </w:trPr>
        <w:tc>
          <w:tcPr>
            <w:tcW w:w="2778" w:type="dxa"/>
            <w:vMerge w:val="restart"/>
            <w:shd w:val="clear" w:color="auto" w:fill="EAF1DD"/>
            <w:hideMark/>
          </w:tcPr>
          <w:p w:rsidR="00C60A7D" w:rsidRDefault="00C60A7D" w:rsidP="00C60A7D">
            <w:pPr>
              <w:pStyle w:val="HIPTabletext"/>
              <w:jc w:val="left"/>
              <w:rPr>
                <w:lang w:val="en-US" w:eastAsia="en-US"/>
              </w:rPr>
            </w:pPr>
            <w:r w:rsidRPr="0033135E">
              <w:rPr>
                <w:lang w:val="en-US" w:eastAsia="en-US"/>
              </w:rPr>
              <w:t xml:space="preserve">Step 2: </w:t>
            </w:r>
          </w:p>
          <w:p w:rsidR="00C60A7D" w:rsidRPr="0033135E" w:rsidRDefault="00C60A7D" w:rsidP="00C60A7D">
            <w:pPr>
              <w:pStyle w:val="HIPTabletext"/>
              <w:jc w:val="left"/>
              <w:rPr>
                <w:lang w:val="en-US" w:eastAsia="en-US"/>
              </w:rPr>
            </w:pPr>
            <w:r w:rsidRPr="0033135E">
              <w:rPr>
                <w:lang w:val="en-US" w:eastAsia="en-US"/>
              </w:rPr>
              <w:t>All schools</w:t>
            </w:r>
            <w:r w:rsidR="005E5682">
              <w:rPr>
                <w:lang w:val="en-US" w:eastAsia="en-US"/>
              </w:rPr>
              <w:t xml:space="preserve"> – </w:t>
            </w:r>
            <w:r w:rsidRPr="0033135E">
              <w:rPr>
                <w:lang w:val="en-US" w:eastAsia="en-US"/>
              </w:rPr>
              <w:t>initial costs</w:t>
            </w:r>
          </w:p>
        </w:tc>
        <w:tc>
          <w:tcPr>
            <w:tcW w:w="6102" w:type="dxa"/>
            <w:gridSpan w:val="4"/>
            <w:vMerge w:val="restart"/>
            <w:shd w:val="clear" w:color="auto" w:fill="EAF1DD"/>
            <w:hideMark/>
          </w:tcPr>
          <w:p w:rsidR="00C60A7D" w:rsidRPr="0033135E" w:rsidRDefault="00C60A7D" w:rsidP="00C60A7D">
            <w:pPr>
              <w:pStyle w:val="HIPTabletext"/>
              <w:rPr>
                <w:lang w:val="en-US" w:eastAsia="en-US"/>
              </w:rPr>
            </w:pPr>
            <w:r w:rsidRPr="0033135E">
              <w:rPr>
                <w:lang w:val="en-US" w:eastAsia="en-US"/>
              </w:rPr>
              <w:t xml:space="preserve">Includes all initial (one time) costs for the deployment to all schools. </w:t>
            </w:r>
          </w:p>
        </w:tc>
      </w:tr>
      <w:tr w:rsidR="00C60A7D" w:rsidRPr="00A3379B" w:rsidTr="00C60A7D">
        <w:trPr>
          <w:trHeight w:val="336"/>
          <w:jc w:val="center"/>
        </w:trPr>
        <w:tc>
          <w:tcPr>
            <w:tcW w:w="2778" w:type="dxa"/>
            <w:vMerge/>
            <w:shd w:val="clear" w:color="auto" w:fill="EAF1DD"/>
            <w:vAlign w:val="center"/>
            <w:hideMark/>
          </w:tcPr>
          <w:p w:rsidR="00C60A7D" w:rsidRPr="0033135E" w:rsidRDefault="00C60A7D" w:rsidP="00C60A7D">
            <w:pPr>
              <w:pStyle w:val="HIPTabletext"/>
              <w:jc w:val="left"/>
              <w:rPr>
                <w:lang w:val="en-US" w:eastAsia="en-US"/>
              </w:rPr>
            </w:pPr>
          </w:p>
        </w:tc>
        <w:tc>
          <w:tcPr>
            <w:tcW w:w="6102" w:type="dxa"/>
            <w:gridSpan w:val="4"/>
            <w:vMerge/>
            <w:shd w:val="clear" w:color="auto" w:fill="EAF1DD"/>
            <w:vAlign w:val="center"/>
            <w:hideMark/>
          </w:tcPr>
          <w:p w:rsidR="00C60A7D" w:rsidRPr="0033135E" w:rsidRDefault="00C60A7D" w:rsidP="00C60A7D">
            <w:pPr>
              <w:pStyle w:val="HIPTabletext"/>
              <w:rPr>
                <w:lang w:val="en-US" w:eastAsia="en-US"/>
              </w:rPr>
            </w:pPr>
          </w:p>
        </w:tc>
      </w:tr>
      <w:tr w:rsidR="00C60A7D" w:rsidRPr="00A3379B" w:rsidTr="00C60A7D">
        <w:trPr>
          <w:trHeight w:val="336"/>
          <w:jc w:val="center"/>
        </w:trPr>
        <w:tc>
          <w:tcPr>
            <w:tcW w:w="2778" w:type="dxa"/>
            <w:vMerge/>
            <w:shd w:val="clear" w:color="auto" w:fill="EAF1DD"/>
            <w:vAlign w:val="center"/>
            <w:hideMark/>
          </w:tcPr>
          <w:p w:rsidR="00C60A7D" w:rsidRPr="0033135E" w:rsidRDefault="00C60A7D" w:rsidP="00C60A7D">
            <w:pPr>
              <w:pStyle w:val="HIPTabletext"/>
              <w:jc w:val="left"/>
              <w:rPr>
                <w:lang w:val="en-US" w:eastAsia="en-US"/>
              </w:rPr>
            </w:pPr>
          </w:p>
        </w:tc>
        <w:tc>
          <w:tcPr>
            <w:tcW w:w="6102" w:type="dxa"/>
            <w:gridSpan w:val="4"/>
            <w:vMerge/>
            <w:shd w:val="clear" w:color="auto" w:fill="EAF1DD"/>
            <w:vAlign w:val="center"/>
            <w:hideMark/>
          </w:tcPr>
          <w:p w:rsidR="00C60A7D" w:rsidRPr="0033135E" w:rsidRDefault="00C60A7D" w:rsidP="00C60A7D">
            <w:pPr>
              <w:pStyle w:val="HIPTabletext"/>
              <w:rPr>
                <w:lang w:val="en-US" w:eastAsia="en-US"/>
              </w:rPr>
            </w:pPr>
          </w:p>
        </w:tc>
      </w:tr>
      <w:tr w:rsidR="00C60A7D" w:rsidRPr="00A3379B" w:rsidTr="00C60A7D">
        <w:trPr>
          <w:trHeight w:val="296"/>
          <w:jc w:val="center"/>
        </w:trPr>
        <w:tc>
          <w:tcPr>
            <w:tcW w:w="2778" w:type="dxa"/>
            <w:vMerge w:val="restart"/>
            <w:shd w:val="clear" w:color="auto" w:fill="EAF1DD"/>
            <w:hideMark/>
          </w:tcPr>
          <w:p w:rsidR="00C60A7D" w:rsidRDefault="00C60A7D" w:rsidP="00C60A7D">
            <w:pPr>
              <w:pStyle w:val="HIPTabletext"/>
              <w:jc w:val="left"/>
              <w:rPr>
                <w:lang w:val="en-US" w:eastAsia="en-US"/>
              </w:rPr>
            </w:pPr>
            <w:r w:rsidRPr="0033135E">
              <w:rPr>
                <w:lang w:val="en-US" w:eastAsia="en-US"/>
              </w:rPr>
              <w:t xml:space="preserve">Step 3: </w:t>
            </w:r>
          </w:p>
          <w:p w:rsidR="00C60A7D" w:rsidRPr="0033135E" w:rsidRDefault="00C60A7D" w:rsidP="00C60A7D">
            <w:pPr>
              <w:pStyle w:val="HIPTabletext"/>
              <w:jc w:val="left"/>
              <w:rPr>
                <w:lang w:val="en-US" w:eastAsia="en-US"/>
              </w:rPr>
            </w:pPr>
            <w:r w:rsidRPr="0033135E">
              <w:rPr>
                <w:lang w:val="en-US" w:eastAsia="en-US"/>
              </w:rPr>
              <w:t>All schools</w:t>
            </w:r>
            <w:r w:rsidR="005E5682">
              <w:rPr>
                <w:lang w:val="en-US" w:eastAsia="en-US"/>
              </w:rPr>
              <w:t xml:space="preserve"> – </w:t>
            </w:r>
            <w:r w:rsidRPr="0033135E">
              <w:rPr>
                <w:lang w:val="en-US" w:eastAsia="en-US"/>
              </w:rPr>
              <w:t>running costs</w:t>
            </w:r>
          </w:p>
        </w:tc>
        <w:tc>
          <w:tcPr>
            <w:tcW w:w="6102" w:type="dxa"/>
            <w:gridSpan w:val="4"/>
            <w:vMerge w:val="restart"/>
            <w:shd w:val="clear" w:color="auto" w:fill="EAF1DD"/>
            <w:hideMark/>
          </w:tcPr>
          <w:p w:rsidR="00C60A7D" w:rsidRPr="0033135E" w:rsidRDefault="00C60A7D" w:rsidP="00C60A7D">
            <w:pPr>
              <w:pStyle w:val="HIPTabletext"/>
              <w:rPr>
                <w:lang w:val="en-US" w:eastAsia="en-US"/>
              </w:rPr>
            </w:pPr>
            <w:r w:rsidRPr="0033135E">
              <w:rPr>
                <w:lang w:val="en-US" w:eastAsia="en-US"/>
              </w:rPr>
              <w:t xml:space="preserve">Includes all regular costs related to the execution and maintenance of the project in all schools </w:t>
            </w:r>
          </w:p>
        </w:tc>
      </w:tr>
      <w:tr w:rsidR="00C60A7D" w:rsidRPr="00A3379B" w:rsidTr="00C60A7D">
        <w:trPr>
          <w:trHeight w:val="336"/>
          <w:jc w:val="center"/>
        </w:trPr>
        <w:tc>
          <w:tcPr>
            <w:tcW w:w="2778" w:type="dxa"/>
            <w:vMerge/>
            <w:shd w:val="clear" w:color="auto" w:fill="EAF1DD"/>
            <w:vAlign w:val="center"/>
            <w:hideMark/>
          </w:tcPr>
          <w:p w:rsidR="00C60A7D" w:rsidRPr="0033135E" w:rsidRDefault="00C60A7D" w:rsidP="00C60A7D">
            <w:pPr>
              <w:pStyle w:val="HIPTabletext"/>
              <w:rPr>
                <w:lang w:val="en-US" w:eastAsia="en-US"/>
              </w:rPr>
            </w:pPr>
          </w:p>
        </w:tc>
        <w:tc>
          <w:tcPr>
            <w:tcW w:w="6102" w:type="dxa"/>
            <w:gridSpan w:val="4"/>
            <w:vMerge/>
            <w:shd w:val="clear" w:color="auto" w:fill="EAF1DD"/>
            <w:vAlign w:val="center"/>
            <w:hideMark/>
          </w:tcPr>
          <w:p w:rsidR="00C60A7D" w:rsidRPr="0033135E" w:rsidRDefault="00C60A7D" w:rsidP="00C60A7D">
            <w:pPr>
              <w:pStyle w:val="HIPTabletext"/>
              <w:rPr>
                <w:lang w:val="en-US" w:eastAsia="en-US"/>
              </w:rPr>
            </w:pPr>
          </w:p>
        </w:tc>
      </w:tr>
      <w:tr w:rsidR="00C60A7D" w:rsidRPr="00A3379B" w:rsidTr="00C60A7D">
        <w:trPr>
          <w:trHeight w:val="336"/>
          <w:jc w:val="center"/>
        </w:trPr>
        <w:tc>
          <w:tcPr>
            <w:tcW w:w="2778" w:type="dxa"/>
            <w:vMerge/>
            <w:shd w:val="clear" w:color="auto" w:fill="EAF1DD"/>
            <w:vAlign w:val="center"/>
            <w:hideMark/>
          </w:tcPr>
          <w:p w:rsidR="00C60A7D" w:rsidRPr="0033135E" w:rsidRDefault="00C60A7D" w:rsidP="00C60A7D">
            <w:pPr>
              <w:pStyle w:val="HIPTabletext"/>
              <w:rPr>
                <w:lang w:val="en-US" w:eastAsia="en-US"/>
              </w:rPr>
            </w:pPr>
          </w:p>
        </w:tc>
        <w:tc>
          <w:tcPr>
            <w:tcW w:w="6102" w:type="dxa"/>
            <w:gridSpan w:val="4"/>
            <w:vMerge/>
            <w:shd w:val="clear" w:color="auto" w:fill="EAF1DD"/>
            <w:vAlign w:val="center"/>
            <w:hideMark/>
          </w:tcPr>
          <w:p w:rsidR="00C60A7D" w:rsidRPr="0033135E" w:rsidRDefault="00C60A7D" w:rsidP="00C60A7D">
            <w:pPr>
              <w:pStyle w:val="HIPTabletext"/>
              <w:rPr>
                <w:lang w:val="en-US" w:eastAsia="en-US"/>
              </w:rPr>
            </w:pPr>
          </w:p>
        </w:tc>
      </w:tr>
      <w:tr w:rsidR="00C60A7D" w:rsidRPr="00A3379B" w:rsidTr="00C60A7D">
        <w:trPr>
          <w:trHeight w:val="256"/>
          <w:jc w:val="center"/>
        </w:trPr>
        <w:tc>
          <w:tcPr>
            <w:tcW w:w="2778" w:type="dxa"/>
            <w:shd w:val="clear" w:color="auto" w:fill="EAF1DD"/>
            <w:noWrap/>
            <w:hideMark/>
          </w:tcPr>
          <w:p w:rsidR="00C60A7D" w:rsidRDefault="00C60A7D" w:rsidP="00C60A7D">
            <w:pPr>
              <w:pStyle w:val="HIPTabletext"/>
              <w:rPr>
                <w:lang w:val="en-US" w:eastAsia="en-US"/>
              </w:rPr>
            </w:pPr>
          </w:p>
          <w:p w:rsidR="00C60A7D" w:rsidRPr="0033135E" w:rsidRDefault="00C60A7D" w:rsidP="00C60A7D">
            <w:pPr>
              <w:pStyle w:val="HIPTabletext"/>
              <w:rPr>
                <w:lang w:val="en-US" w:eastAsia="en-US"/>
              </w:rPr>
            </w:pPr>
            <w:r w:rsidRPr="0033135E">
              <w:rPr>
                <w:lang w:val="en-US" w:eastAsia="en-US"/>
              </w:rPr>
              <w:t>TCO Summary</w:t>
            </w:r>
          </w:p>
        </w:tc>
        <w:tc>
          <w:tcPr>
            <w:tcW w:w="6102" w:type="dxa"/>
            <w:gridSpan w:val="4"/>
            <w:vMerge w:val="restart"/>
            <w:shd w:val="clear" w:color="auto" w:fill="EAF1DD"/>
            <w:hideMark/>
          </w:tcPr>
          <w:p w:rsidR="00C60A7D" w:rsidRDefault="00C60A7D" w:rsidP="00C60A7D">
            <w:pPr>
              <w:pStyle w:val="HIPTabletext"/>
              <w:rPr>
                <w:lang w:val="en-US" w:eastAsia="en-US"/>
              </w:rPr>
            </w:pPr>
          </w:p>
          <w:p w:rsidR="00C60A7D" w:rsidRPr="0033135E" w:rsidRDefault="00C60A7D" w:rsidP="00C60A7D">
            <w:pPr>
              <w:pStyle w:val="HIPTabletext"/>
              <w:rPr>
                <w:lang w:val="en-US" w:eastAsia="en-US"/>
              </w:rPr>
            </w:pPr>
            <w:r w:rsidRPr="0033135E">
              <w:rPr>
                <w:lang w:val="en-US" w:eastAsia="en-US"/>
              </w:rPr>
              <w:t>The tool calculates and presents your TCO for up to 5 years in summary format</w:t>
            </w:r>
          </w:p>
        </w:tc>
      </w:tr>
      <w:tr w:rsidR="00C60A7D" w:rsidRPr="00A3379B" w:rsidTr="00C60A7D">
        <w:trPr>
          <w:trHeight w:val="256"/>
          <w:jc w:val="center"/>
        </w:trPr>
        <w:tc>
          <w:tcPr>
            <w:tcW w:w="2778" w:type="dxa"/>
            <w:shd w:val="clear" w:color="auto" w:fill="EAF1DD"/>
            <w:noWrap/>
            <w:hideMark/>
          </w:tcPr>
          <w:p w:rsidR="00C60A7D" w:rsidRPr="0033135E" w:rsidRDefault="00C60A7D" w:rsidP="00A72D2A">
            <w:pPr>
              <w:rPr>
                <w:sz w:val="16"/>
                <w:szCs w:val="16"/>
                <w:lang w:val="en-US" w:eastAsia="en-US"/>
              </w:rPr>
            </w:pPr>
            <w:r w:rsidRPr="0033135E">
              <w:rPr>
                <w:sz w:val="16"/>
                <w:szCs w:val="16"/>
                <w:lang w:val="en-US" w:eastAsia="en-US"/>
              </w:rPr>
              <w:t> </w:t>
            </w:r>
          </w:p>
        </w:tc>
        <w:tc>
          <w:tcPr>
            <w:tcW w:w="6102" w:type="dxa"/>
            <w:gridSpan w:val="4"/>
            <w:vMerge/>
            <w:shd w:val="clear" w:color="auto" w:fill="EAF1DD"/>
            <w:vAlign w:val="center"/>
            <w:hideMark/>
          </w:tcPr>
          <w:p w:rsidR="00C60A7D" w:rsidRPr="0033135E" w:rsidRDefault="00C60A7D" w:rsidP="00A72D2A">
            <w:pPr>
              <w:rPr>
                <w:sz w:val="16"/>
                <w:szCs w:val="16"/>
                <w:lang w:val="en-US" w:eastAsia="en-US"/>
              </w:rPr>
            </w:pPr>
          </w:p>
        </w:tc>
      </w:tr>
    </w:tbl>
    <w:p w:rsidR="00C60A7D" w:rsidRDefault="0088668E" w:rsidP="0088668E">
      <w:pPr>
        <w:pStyle w:val="HIPheading4"/>
      </w:pPr>
      <w:bookmarkStart w:id="409" w:name="_Toc284598014"/>
      <w:r>
        <w:t>3.5.</w:t>
      </w:r>
      <w:r w:rsidR="00C60A7D">
        <w:t>1.3</w:t>
      </w:r>
      <w:r w:rsidR="00C60A7D">
        <w:tab/>
        <w:t>Recent Modeling</w:t>
      </w:r>
      <w:r>
        <w:t xml:space="preserve"> </w:t>
      </w:r>
      <w:r w:rsidR="00C60A7D">
        <w:t>Trends</w:t>
      </w:r>
      <w:bookmarkEnd w:id="409"/>
    </w:p>
    <w:p w:rsidR="00C60A7D" w:rsidRDefault="00C60A7D" w:rsidP="00C60A7D">
      <w:pPr>
        <w:pStyle w:val="HIPNormal"/>
        <w:rPr>
          <w:lang w:val="en-US"/>
        </w:rPr>
      </w:pPr>
      <w:r>
        <w:rPr>
          <w:lang w:val="en-US"/>
        </w:rPr>
        <w:t xml:space="preserve">Because of the complexities related to cost </w:t>
      </w:r>
      <w:r>
        <w:rPr>
          <w:rFonts w:hint="eastAsia"/>
          <w:lang w:val="en-US"/>
        </w:rPr>
        <w:t>modeling</w:t>
      </w:r>
      <w:r>
        <w:rPr>
          <w:lang w:val="en-US"/>
        </w:rPr>
        <w:t xml:space="preserve">, while it is </w:t>
      </w:r>
      <w:r>
        <w:rPr>
          <w:rFonts w:hint="eastAsia"/>
          <w:lang w:val="en-US"/>
        </w:rPr>
        <w:t>acknowledged</w:t>
      </w:r>
      <w:r>
        <w:rPr>
          <w:lang w:val="en-US"/>
        </w:rPr>
        <w:t xml:space="preserve"> that it assist Fund Administrators and Universal Access Project Financiers</w:t>
      </w:r>
      <w:r w:rsidR="005E5682">
        <w:rPr>
          <w:lang w:val="en-US"/>
        </w:rPr>
        <w:t xml:space="preserve"> </w:t>
      </w:r>
      <w:r>
        <w:rPr>
          <w:lang w:val="en-US"/>
        </w:rPr>
        <w:t xml:space="preserve">to assess costs and arrive at the maximum subsidy, it is </w:t>
      </w:r>
      <w:r w:rsidRPr="00D92738">
        <w:rPr>
          <w:lang w:val="en-US"/>
        </w:rPr>
        <w:t>no longer a</w:t>
      </w:r>
      <w:r>
        <w:rPr>
          <w:lang w:val="en-US"/>
        </w:rPr>
        <w:t xml:space="preserve"> </w:t>
      </w:r>
      <w:r>
        <w:rPr>
          <w:rFonts w:hint="eastAsia"/>
          <w:lang w:val="en-US"/>
        </w:rPr>
        <w:t>requirement</w:t>
      </w:r>
      <w:r>
        <w:rPr>
          <w:lang w:val="en-US"/>
        </w:rPr>
        <w:t xml:space="preserve"> for </w:t>
      </w:r>
      <w:r w:rsidRPr="00D92738">
        <w:rPr>
          <w:lang w:val="en-US"/>
        </w:rPr>
        <w:t>the</w:t>
      </w:r>
      <w:r>
        <w:rPr>
          <w:lang w:val="en-US"/>
        </w:rPr>
        <w:t>m</w:t>
      </w:r>
      <w:r w:rsidRPr="00D92738">
        <w:rPr>
          <w:lang w:val="en-US"/>
        </w:rPr>
        <w:t xml:space="preserve"> to engage in costly, time consuming and often complex cost analysis to arrive at a cost-based subsidy; rather reverse auctions </w:t>
      </w:r>
      <w:r>
        <w:rPr>
          <w:lang w:val="en-US"/>
        </w:rPr>
        <w:t xml:space="preserve">coupled with benchmarking, or use of cost </w:t>
      </w:r>
      <w:r>
        <w:rPr>
          <w:rFonts w:hint="eastAsia"/>
          <w:lang w:val="en-US"/>
        </w:rPr>
        <w:t>modeling</w:t>
      </w:r>
      <w:r>
        <w:rPr>
          <w:lang w:val="en-US"/>
        </w:rPr>
        <w:t xml:space="preserve"> tools such as those discussed in the section above, can be used </w:t>
      </w:r>
      <w:r w:rsidRPr="00D92738">
        <w:rPr>
          <w:lang w:val="en-US"/>
        </w:rPr>
        <w:t>to enable the</w:t>
      </w:r>
      <w:r>
        <w:rPr>
          <w:lang w:val="en-US"/>
        </w:rPr>
        <w:t>m</w:t>
      </w:r>
      <w:r w:rsidRPr="00D92738">
        <w:rPr>
          <w:lang w:val="en-US"/>
        </w:rPr>
        <w:t xml:space="preserve"> to award least cost subsidies. As such, two approaches are now the most common in relation to</w:t>
      </w:r>
      <w:r>
        <w:rPr>
          <w:lang w:val="en-US"/>
        </w:rPr>
        <w:t xml:space="preserve"> arriving at</w:t>
      </w:r>
      <w:r w:rsidRPr="00D92738">
        <w:rPr>
          <w:lang w:val="en-US"/>
        </w:rPr>
        <w:t xml:space="preserve"> costs:</w:t>
      </w:r>
    </w:p>
    <w:p w:rsidR="00C60A7D" w:rsidRDefault="00C60A7D" w:rsidP="00C60A7D">
      <w:pPr>
        <w:pStyle w:val="HIPEnumlev1"/>
      </w:pPr>
      <w:r w:rsidRPr="00D92738">
        <w:t>Use of cost information to appr</w:t>
      </w:r>
      <w:r>
        <w:t>oximate the maximum subsidy; and</w:t>
      </w:r>
    </w:p>
    <w:p w:rsidR="00C60A7D" w:rsidRPr="00870967" w:rsidRDefault="00C60A7D" w:rsidP="00C60A7D">
      <w:pPr>
        <w:pStyle w:val="HIPEnumlev1"/>
      </w:pPr>
      <w:r>
        <w:t xml:space="preserve">Use of benchmarks derived from available local, regional and international </w:t>
      </w:r>
      <w:r>
        <w:rPr>
          <w:rFonts w:hint="eastAsia"/>
        </w:rPr>
        <w:t>information</w:t>
      </w:r>
      <w:r w:rsidRPr="00870967">
        <w:t>.</w:t>
      </w:r>
    </w:p>
    <w:p w:rsidR="00C60A7D" w:rsidRPr="00AA66F8" w:rsidRDefault="0088668E" w:rsidP="0088668E">
      <w:pPr>
        <w:pStyle w:val="HIPBoxquestion"/>
      </w:pPr>
      <w:bookmarkStart w:id="410" w:name="_Toc286146368"/>
      <w:r>
        <w:t xml:space="preserve">Box 3.12: </w:t>
      </w:r>
      <w:r w:rsidR="00C60A7D" w:rsidRPr="007B38FA">
        <w:t>Shifting Away from Detailed Cost Modeling</w:t>
      </w:r>
      <w:bookmarkEnd w:id="410"/>
    </w:p>
    <w:p w:rsidR="00C60A7D" w:rsidRPr="00D92738" w:rsidRDefault="00C60A7D" w:rsidP="0088668E">
      <w:pPr>
        <w:pStyle w:val="HIPBoxNormal"/>
      </w:pPr>
      <w:r w:rsidRPr="00D92738">
        <w:t>The United States recently reviewed its US funding system for high-cost areas. Over the past decade, total high-cost funding has quadrupled to US</w:t>
      </w:r>
      <w:r>
        <w:t xml:space="preserve"> $</w:t>
      </w:r>
      <w:r w:rsidRPr="00D92738">
        <w:t xml:space="preserve"> 7 billion per year. As part of the review, the Federal-State Joint Board is considering introducing auctions, based on the experience of developing countries, but modified to suit the United States’ conditions.</w:t>
      </w:r>
      <w:r w:rsidR="005E5682">
        <w:t xml:space="preserve"> </w:t>
      </w:r>
      <w:r w:rsidRPr="00D92738">
        <w:t>This will determine the amount of funding that would be available. Many commentators believe that auctions are better than administrative approaches for this purpose.</w:t>
      </w:r>
    </w:p>
    <w:p w:rsidR="003C5FE7" w:rsidRDefault="003C5FE7">
      <w:pPr>
        <w:rPr>
          <w:rFonts w:ascii="Calibri" w:hAnsi="Calibri" w:cs="Arial"/>
          <w:color w:val="000000"/>
          <w:sz w:val="21"/>
          <w:lang w:val="en-US"/>
        </w:rPr>
      </w:pPr>
      <w:r>
        <w:rPr>
          <w:lang w:val="en-US"/>
        </w:rPr>
        <w:br w:type="page"/>
      </w:r>
    </w:p>
    <w:p w:rsidR="00C60A7D" w:rsidRPr="00D92738" w:rsidRDefault="00C60A7D" w:rsidP="00C60A7D">
      <w:pPr>
        <w:pStyle w:val="HIPNormal"/>
        <w:rPr>
          <w:lang w:val="en-US"/>
        </w:rPr>
      </w:pPr>
      <w:r w:rsidRPr="00D92738">
        <w:rPr>
          <w:lang w:val="en-US"/>
        </w:rPr>
        <w:lastRenderedPageBreak/>
        <w:t>In Australia, the move away from a cost modeling approach in the last decade required a legislative amendment:</w:t>
      </w:r>
    </w:p>
    <w:p w:rsidR="00C60A7D" w:rsidRDefault="00C60A7D" w:rsidP="00C60A7D">
      <w:pPr>
        <w:pStyle w:val="HIPCitation"/>
      </w:pPr>
      <w:r>
        <w:tab/>
      </w:r>
      <w:r w:rsidRPr="00D92738">
        <w:t>In 2000, an important amendment to the legislation was introduced – the formula for calculating the Net Universal Service Cost, which was previously the fundamental element of USO subsidy calculation</w:t>
      </w:r>
      <w:r>
        <w:t>s</w:t>
      </w:r>
      <w:r w:rsidRPr="00D92738">
        <w:t>, was not included in the amended legislation. The amendments do not prescribe any methodology for calculating or otherwise establishing, USO subsidies. Rather, the legislation simply provides for the</w:t>
      </w:r>
      <w:r>
        <w:rPr>
          <w:rStyle w:val="FootnoteReference"/>
          <w:i w:val="0"/>
          <w:iCs w:val="0"/>
        </w:rPr>
        <w:footnoteReference w:id="77"/>
      </w:r>
      <w:r w:rsidRPr="00D92738">
        <w:t xml:space="preserve"> Minister to determine USO subsidies, having regard to advice of the ACMA. The Minister may determine subsidies for the supply of services under the USO in a universal service area for up to three years in advance. </w:t>
      </w:r>
    </w:p>
    <w:p w:rsidR="00C60A7D" w:rsidRPr="00D92738" w:rsidRDefault="00C60A7D" w:rsidP="0088668E">
      <w:pPr>
        <w:pStyle w:val="HIPTabletitle"/>
      </w:pPr>
      <w:bookmarkStart w:id="411" w:name="_Toc286146569"/>
      <w:r w:rsidRPr="00D92738">
        <w:t xml:space="preserve">Table </w:t>
      </w:r>
      <w:r w:rsidR="0088668E">
        <w:t>3.14</w:t>
      </w:r>
      <w:r w:rsidRPr="00D92738">
        <w:t>: USO funding and subsidies arrangements by year, Australia</w:t>
      </w:r>
      <w:r>
        <w:rPr>
          <w:rStyle w:val="FootnoteReference"/>
        </w:rPr>
        <w:footnoteReference w:id="78"/>
      </w:r>
      <w:bookmarkEnd w:id="411"/>
    </w:p>
    <w:tbl>
      <w:tblPr>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1389"/>
        <w:gridCol w:w="1389"/>
        <w:gridCol w:w="1389"/>
        <w:gridCol w:w="1389"/>
        <w:gridCol w:w="1389"/>
      </w:tblGrid>
      <w:tr w:rsidR="00C60A7D" w:rsidRPr="002A4426" w:rsidTr="0088668E">
        <w:trPr>
          <w:jc w:val="center"/>
        </w:trPr>
        <w:tc>
          <w:tcPr>
            <w:tcW w:w="1158" w:type="pct"/>
            <w:shd w:val="clear" w:color="auto" w:fill="008000"/>
            <w:hideMark/>
          </w:tcPr>
          <w:p w:rsidR="00C60A7D" w:rsidRPr="00D92738" w:rsidRDefault="00C60A7D" w:rsidP="007A300E">
            <w:pPr>
              <w:pStyle w:val="HIPTablehead"/>
            </w:pPr>
          </w:p>
        </w:tc>
        <w:tc>
          <w:tcPr>
            <w:tcW w:w="0" w:type="auto"/>
            <w:shd w:val="clear" w:color="auto" w:fill="008000"/>
            <w:hideMark/>
          </w:tcPr>
          <w:p w:rsidR="00C60A7D" w:rsidRPr="002A4426" w:rsidRDefault="00C60A7D" w:rsidP="007A300E">
            <w:pPr>
              <w:pStyle w:val="HIPTablehead"/>
            </w:pPr>
            <w:r w:rsidRPr="002A4426">
              <w:t xml:space="preserve">2005-06 </w:t>
            </w:r>
          </w:p>
        </w:tc>
        <w:tc>
          <w:tcPr>
            <w:tcW w:w="0" w:type="auto"/>
            <w:shd w:val="clear" w:color="auto" w:fill="008000"/>
            <w:hideMark/>
          </w:tcPr>
          <w:p w:rsidR="00C60A7D" w:rsidRPr="002A4426" w:rsidRDefault="00C60A7D" w:rsidP="007A300E">
            <w:pPr>
              <w:pStyle w:val="HIPTablehead"/>
            </w:pPr>
            <w:r w:rsidRPr="002A4426">
              <w:t xml:space="preserve">2006-07 </w:t>
            </w:r>
          </w:p>
        </w:tc>
        <w:tc>
          <w:tcPr>
            <w:tcW w:w="0" w:type="auto"/>
            <w:shd w:val="clear" w:color="auto" w:fill="008000"/>
            <w:hideMark/>
          </w:tcPr>
          <w:p w:rsidR="00C60A7D" w:rsidRPr="002A4426" w:rsidRDefault="00C60A7D" w:rsidP="007A300E">
            <w:pPr>
              <w:pStyle w:val="HIPTablehead"/>
            </w:pPr>
            <w:r w:rsidRPr="002A4426">
              <w:t xml:space="preserve">2007-08 </w:t>
            </w:r>
          </w:p>
        </w:tc>
        <w:tc>
          <w:tcPr>
            <w:tcW w:w="0" w:type="auto"/>
            <w:shd w:val="clear" w:color="auto" w:fill="008000"/>
            <w:hideMark/>
          </w:tcPr>
          <w:p w:rsidR="00C60A7D" w:rsidRPr="002A4426" w:rsidRDefault="00C60A7D" w:rsidP="007A300E">
            <w:pPr>
              <w:pStyle w:val="HIPTablehead"/>
            </w:pPr>
            <w:r w:rsidRPr="002A4426">
              <w:t xml:space="preserve">2008-09 </w:t>
            </w:r>
          </w:p>
        </w:tc>
        <w:tc>
          <w:tcPr>
            <w:tcW w:w="0" w:type="auto"/>
            <w:shd w:val="clear" w:color="auto" w:fill="008000"/>
            <w:hideMark/>
          </w:tcPr>
          <w:p w:rsidR="00C60A7D" w:rsidRPr="002A4426" w:rsidRDefault="00C60A7D" w:rsidP="007A300E">
            <w:pPr>
              <w:pStyle w:val="HIPTablehead"/>
            </w:pPr>
            <w:r w:rsidRPr="002A4426">
              <w:t xml:space="preserve">2009-10 </w:t>
            </w:r>
          </w:p>
        </w:tc>
      </w:tr>
      <w:tr w:rsidR="00C60A7D" w:rsidRPr="002A4426" w:rsidTr="0088668E">
        <w:trPr>
          <w:jc w:val="center"/>
        </w:trPr>
        <w:tc>
          <w:tcPr>
            <w:tcW w:w="1158" w:type="pct"/>
            <w:tcBorders>
              <w:bottom w:val="single" w:sz="4" w:space="0" w:color="auto"/>
            </w:tcBorders>
            <w:hideMark/>
          </w:tcPr>
          <w:p w:rsidR="00C60A7D" w:rsidRPr="002A4426" w:rsidRDefault="00C60A7D" w:rsidP="007A300E">
            <w:pPr>
              <w:pStyle w:val="HIPTabletext"/>
              <w:jc w:val="left"/>
            </w:pPr>
            <w:r w:rsidRPr="002A4426">
              <w:t xml:space="preserve">Extended Zones </w:t>
            </w:r>
          </w:p>
        </w:tc>
        <w:tc>
          <w:tcPr>
            <w:tcW w:w="0" w:type="auto"/>
            <w:tcBorders>
              <w:bottom w:val="single" w:sz="4" w:space="0" w:color="auto"/>
            </w:tcBorders>
            <w:hideMark/>
          </w:tcPr>
          <w:p w:rsidR="00C60A7D" w:rsidRPr="002A4426" w:rsidRDefault="00C60A7D" w:rsidP="007A300E">
            <w:pPr>
              <w:pStyle w:val="HIPTabletext"/>
              <w:jc w:val="left"/>
            </w:pPr>
            <w:r w:rsidRPr="002A4426">
              <w:t xml:space="preserve">$21,266,489 </w:t>
            </w:r>
          </w:p>
        </w:tc>
        <w:tc>
          <w:tcPr>
            <w:tcW w:w="0" w:type="auto"/>
            <w:tcBorders>
              <w:bottom w:val="single" w:sz="4" w:space="0" w:color="auto"/>
            </w:tcBorders>
            <w:hideMark/>
          </w:tcPr>
          <w:p w:rsidR="00C60A7D" w:rsidRPr="002A4426" w:rsidRDefault="00C60A7D" w:rsidP="007A300E">
            <w:pPr>
              <w:pStyle w:val="HIPTabletext"/>
              <w:jc w:val="left"/>
            </w:pPr>
            <w:r w:rsidRPr="002A4426">
              <w:t xml:space="preserve">$19,087,175 </w:t>
            </w:r>
          </w:p>
        </w:tc>
        <w:tc>
          <w:tcPr>
            <w:tcW w:w="0" w:type="auto"/>
            <w:tcBorders>
              <w:bottom w:val="single" w:sz="4" w:space="0" w:color="auto"/>
            </w:tcBorders>
            <w:hideMark/>
          </w:tcPr>
          <w:p w:rsidR="00C60A7D" w:rsidRPr="002A4426" w:rsidRDefault="00C60A7D" w:rsidP="007A300E">
            <w:pPr>
              <w:pStyle w:val="HIPTabletext"/>
              <w:jc w:val="left"/>
            </w:pPr>
            <w:r w:rsidRPr="002A4426">
              <w:t xml:space="preserve">$17,131,189 </w:t>
            </w:r>
          </w:p>
        </w:tc>
        <w:tc>
          <w:tcPr>
            <w:tcW w:w="0" w:type="auto"/>
            <w:tcBorders>
              <w:bottom w:val="single" w:sz="4" w:space="0" w:color="auto"/>
            </w:tcBorders>
            <w:hideMark/>
          </w:tcPr>
          <w:p w:rsidR="00C60A7D" w:rsidRPr="002A4426" w:rsidRDefault="00C60A7D" w:rsidP="007A300E">
            <w:pPr>
              <w:pStyle w:val="HIPTabletext"/>
              <w:jc w:val="left"/>
            </w:pPr>
            <w:r w:rsidRPr="002A4426">
              <w:t xml:space="preserve">$17,131,189 </w:t>
            </w:r>
          </w:p>
        </w:tc>
        <w:tc>
          <w:tcPr>
            <w:tcW w:w="0" w:type="auto"/>
            <w:tcBorders>
              <w:bottom w:val="single" w:sz="4" w:space="0" w:color="auto"/>
            </w:tcBorders>
            <w:hideMark/>
          </w:tcPr>
          <w:p w:rsidR="00C60A7D" w:rsidRPr="002A4426" w:rsidRDefault="00C60A7D" w:rsidP="007A300E">
            <w:pPr>
              <w:pStyle w:val="HIPTabletext"/>
              <w:jc w:val="left"/>
            </w:pPr>
            <w:r w:rsidRPr="002A4426">
              <w:t xml:space="preserve">$17,131,189 </w:t>
            </w:r>
          </w:p>
        </w:tc>
      </w:tr>
      <w:tr w:rsidR="00C60A7D" w:rsidRPr="002A4426" w:rsidTr="0088668E">
        <w:trPr>
          <w:jc w:val="center"/>
        </w:trPr>
        <w:tc>
          <w:tcPr>
            <w:tcW w:w="1158" w:type="pct"/>
            <w:shd w:val="clear" w:color="auto" w:fill="EAF1DD"/>
            <w:hideMark/>
          </w:tcPr>
          <w:p w:rsidR="00C60A7D" w:rsidRPr="002A4426" w:rsidRDefault="00C60A7D" w:rsidP="007A300E">
            <w:pPr>
              <w:pStyle w:val="HIPTabletext"/>
              <w:jc w:val="left"/>
            </w:pPr>
            <w:r w:rsidRPr="002A4426">
              <w:t xml:space="preserve">Extended Zones Payphones </w:t>
            </w:r>
          </w:p>
        </w:tc>
        <w:tc>
          <w:tcPr>
            <w:tcW w:w="0" w:type="auto"/>
            <w:shd w:val="clear" w:color="auto" w:fill="EAF1DD"/>
            <w:hideMark/>
          </w:tcPr>
          <w:p w:rsidR="00C60A7D" w:rsidRPr="002A4426" w:rsidRDefault="00C60A7D" w:rsidP="007A300E">
            <w:pPr>
              <w:pStyle w:val="HIPTabletext"/>
              <w:jc w:val="left"/>
            </w:pPr>
            <w:r w:rsidRPr="002A4426">
              <w:t xml:space="preserve">$2,084,385 </w:t>
            </w:r>
          </w:p>
        </w:tc>
        <w:tc>
          <w:tcPr>
            <w:tcW w:w="0" w:type="auto"/>
            <w:shd w:val="clear" w:color="auto" w:fill="EAF1DD"/>
            <w:hideMark/>
          </w:tcPr>
          <w:p w:rsidR="00C60A7D" w:rsidRPr="002A4426" w:rsidRDefault="00C60A7D" w:rsidP="007A300E">
            <w:pPr>
              <w:pStyle w:val="HIPTabletext"/>
              <w:jc w:val="left"/>
            </w:pPr>
            <w:r w:rsidRPr="002A4426">
              <w:t xml:space="preserve">$2,133,213 </w:t>
            </w:r>
          </w:p>
        </w:tc>
        <w:tc>
          <w:tcPr>
            <w:tcW w:w="0" w:type="auto"/>
            <w:shd w:val="clear" w:color="auto" w:fill="EAF1DD"/>
            <w:hideMark/>
          </w:tcPr>
          <w:p w:rsidR="00C60A7D" w:rsidRPr="002A4426" w:rsidRDefault="00C60A7D" w:rsidP="007A300E">
            <w:pPr>
              <w:pStyle w:val="HIPTabletext"/>
              <w:jc w:val="left"/>
            </w:pPr>
            <w:r w:rsidRPr="002A4426">
              <w:t xml:space="preserve">$2,183,183 </w:t>
            </w:r>
          </w:p>
        </w:tc>
        <w:tc>
          <w:tcPr>
            <w:tcW w:w="0" w:type="auto"/>
            <w:shd w:val="clear" w:color="auto" w:fill="EAF1DD"/>
            <w:hideMark/>
          </w:tcPr>
          <w:p w:rsidR="00C60A7D" w:rsidRPr="002A4426" w:rsidRDefault="00C60A7D" w:rsidP="007A300E">
            <w:pPr>
              <w:pStyle w:val="HIPTabletext"/>
              <w:jc w:val="left"/>
            </w:pPr>
            <w:r w:rsidRPr="002A4426">
              <w:t xml:space="preserve">$2,183,183 </w:t>
            </w:r>
          </w:p>
        </w:tc>
        <w:tc>
          <w:tcPr>
            <w:tcW w:w="0" w:type="auto"/>
            <w:shd w:val="clear" w:color="auto" w:fill="EAF1DD"/>
            <w:hideMark/>
          </w:tcPr>
          <w:p w:rsidR="00C60A7D" w:rsidRPr="002A4426" w:rsidRDefault="00C60A7D" w:rsidP="007A300E">
            <w:pPr>
              <w:pStyle w:val="HIPTabletext"/>
              <w:jc w:val="left"/>
            </w:pPr>
            <w:r w:rsidRPr="002A4426">
              <w:t xml:space="preserve">$2,183,183 </w:t>
            </w:r>
          </w:p>
        </w:tc>
      </w:tr>
      <w:tr w:rsidR="00C60A7D" w:rsidRPr="002A4426" w:rsidTr="0088668E">
        <w:trPr>
          <w:jc w:val="center"/>
        </w:trPr>
        <w:tc>
          <w:tcPr>
            <w:tcW w:w="1158" w:type="pct"/>
            <w:tcBorders>
              <w:bottom w:val="single" w:sz="4" w:space="0" w:color="auto"/>
            </w:tcBorders>
            <w:hideMark/>
          </w:tcPr>
          <w:p w:rsidR="00C60A7D" w:rsidRPr="00D92738" w:rsidRDefault="00C60A7D" w:rsidP="007A300E">
            <w:pPr>
              <w:pStyle w:val="HIPTabletext"/>
              <w:jc w:val="left"/>
              <w:rPr>
                <w:lang w:val="en-US"/>
              </w:rPr>
            </w:pPr>
            <w:r w:rsidRPr="00D92738">
              <w:rPr>
                <w:lang w:val="en-US"/>
              </w:rPr>
              <w:t xml:space="preserve">NSW/Qld and SA/Vic pilot areas </w:t>
            </w:r>
          </w:p>
        </w:tc>
        <w:tc>
          <w:tcPr>
            <w:tcW w:w="0" w:type="auto"/>
            <w:tcBorders>
              <w:bottom w:val="single" w:sz="4" w:space="0" w:color="auto"/>
            </w:tcBorders>
            <w:hideMark/>
          </w:tcPr>
          <w:p w:rsidR="00C60A7D" w:rsidRPr="002A4426" w:rsidRDefault="00C60A7D" w:rsidP="007A300E">
            <w:pPr>
              <w:pStyle w:val="HIPTabletext"/>
              <w:jc w:val="left"/>
            </w:pPr>
            <w:r w:rsidRPr="002A4426">
              <w:t xml:space="preserve">$15,468,902 </w:t>
            </w:r>
          </w:p>
        </w:tc>
        <w:tc>
          <w:tcPr>
            <w:tcW w:w="0" w:type="auto"/>
            <w:tcBorders>
              <w:bottom w:val="single" w:sz="4" w:space="0" w:color="auto"/>
            </w:tcBorders>
            <w:hideMark/>
          </w:tcPr>
          <w:p w:rsidR="00C60A7D" w:rsidRPr="002A4426" w:rsidRDefault="00C60A7D" w:rsidP="007A300E">
            <w:pPr>
              <w:pStyle w:val="HIPTabletext"/>
              <w:jc w:val="left"/>
            </w:pPr>
            <w:r w:rsidRPr="002A4426">
              <w:t xml:space="preserve">$12,689,765 </w:t>
            </w:r>
          </w:p>
        </w:tc>
        <w:tc>
          <w:tcPr>
            <w:tcW w:w="0" w:type="auto"/>
            <w:tcBorders>
              <w:bottom w:val="single" w:sz="4" w:space="0" w:color="auto"/>
            </w:tcBorders>
            <w:hideMark/>
          </w:tcPr>
          <w:p w:rsidR="00C60A7D" w:rsidRPr="002A4426" w:rsidRDefault="00C60A7D" w:rsidP="007A300E">
            <w:pPr>
              <w:pStyle w:val="HIPTabletext"/>
              <w:jc w:val="left"/>
            </w:pPr>
            <w:r w:rsidRPr="002A4426">
              <w:t xml:space="preserve">$10,412,164 </w:t>
            </w:r>
          </w:p>
        </w:tc>
        <w:tc>
          <w:tcPr>
            <w:tcW w:w="0" w:type="auto"/>
            <w:tcBorders>
              <w:bottom w:val="single" w:sz="4" w:space="0" w:color="auto"/>
            </w:tcBorders>
            <w:hideMark/>
          </w:tcPr>
          <w:p w:rsidR="00C60A7D" w:rsidRPr="002A4426" w:rsidRDefault="00C60A7D" w:rsidP="007A300E">
            <w:pPr>
              <w:pStyle w:val="HIPTabletext"/>
              <w:jc w:val="left"/>
            </w:pPr>
            <w:r w:rsidRPr="002A4426">
              <w:t xml:space="preserve">$10,412,164 </w:t>
            </w:r>
          </w:p>
        </w:tc>
        <w:tc>
          <w:tcPr>
            <w:tcW w:w="0" w:type="auto"/>
            <w:tcBorders>
              <w:bottom w:val="single" w:sz="4" w:space="0" w:color="auto"/>
            </w:tcBorders>
            <w:hideMark/>
          </w:tcPr>
          <w:p w:rsidR="00C60A7D" w:rsidRPr="002A4426" w:rsidRDefault="00C60A7D" w:rsidP="007A300E">
            <w:pPr>
              <w:pStyle w:val="HIPTabletext"/>
              <w:jc w:val="left"/>
            </w:pPr>
            <w:r w:rsidRPr="002A4426">
              <w:t xml:space="preserve">$10,412,164 </w:t>
            </w:r>
          </w:p>
        </w:tc>
      </w:tr>
      <w:tr w:rsidR="00C60A7D" w:rsidRPr="002A4426" w:rsidTr="0088668E">
        <w:trPr>
          <w:jc w:val="center"/>
        </w:trPr>
        <w:tc>
          <w:tcPr>
            <w:tcW w:w="1158" w:type="pct"/>
            <w:shd w:val="clear" w:color="auto" w:fill="EAF1DD"/>
            <w:hideMark/>
          </w:tcPr>
          <w:p w:rsidR="00C60A7D" w:rsidRPr="002A4426" w:rsidRDefault="00C60A7D" w:rsidP="007A300E">
            <w:pPr>
              <w:pStyle w:val="HIPTabletext"/>
              <w:jc w:val="left"/>
            </w:pPr>
            <w:r w:rsidRPr="002A4426">
              <w:t xml:space="preserve">Payphones excl Extended Zones </w:t>
            </w:r>
          </w:p>
        </w:tc>
        <w:tc>
          <w:tcPr>
            <w:tcW w:w="0" w:type="auto"/>
            <w:shd w:val="clear" w:color="auto" w:fill="EAF1DD"/>
            <w:hideMark/>
          </w:tcPr>
          <w:p w:rsidR="00C60A7D" w:rsidRPr="002A4426" w:rsidRDefault="00C60A7D" w:rsidP="007A300E">
            <w:pPr>
              <w:pStyle w:val="HIPTabletext"/>
              <w:jc w:val="left"/>
            </w:pPr>
            <w:r w:rsidRPr="002A4426">
              <w:t xml:space="preserve">$11,145,976 </w:t>
            </w:r>
          </w:p>
        </w:tc>
        <w:tc>
          <w:tcPr>
            <w:tcW w:w="0" w:type="auto"/>
            <w:shd w:val="clear" w:color="auto" w:fill="EAF1DD"/>
            <w:hideMark/>
          </w:tcPr>
          <w:p w:rsidR="00C60A7D" w:rsidRPr="002A4426" w:rsidRDefault="00C60A7D" w:rsidP="007A300E">
            <w:pPr>
              <w:pStyle w:val="HIPTabletext"/>
              <w:jc w:val="left"/>
            </w:pPr>
            <w:r w:rsidRPr="002A4426">
              <w:t xml:space="preserve">$11,407,073 </w:t>
            </w:r>
          </w:p>
        </w:tc>
        <w:tc>
          <w:tcPr>
            <w:tcW w:w="0" w:type="auto"/>
            <w:shd w:val="clear" w:color="auto" w:fill="EAF1DD"/>
            <w:hideMark/>
          </w:tcPr>
          <w:p w:rsidR="00C60A7D" w:rsidRPr="002A4426" w:rsidRDefault="00C60A7D" w:rsidP="007A300E">
            <w:pPr>
              <w:pStyle w:val="HIPTabletext"/>
              <w:jc w:val="left"/>
            </w:pPr>
            <w:r w:rsidRPr="002A4426">
              <w:t xml:space="preserve">$11,674,286 </w:t>
            </w:r>
          </w:p>
        </w:tc>
        <w:tc>
          <w:tcPr>
            <w:tcW w:w="0" w:type="auto"/>
            <w:shd w:val="clear" w:color="auto" w:fill="EAF1DD"/>
            <w:hideMark/>
          </w:tcPr>
          <w:p w:rsidR="00C60A7D" w:rsidRPr="002A4426" w:rsidRDefault="00C60A7D" w:rsidP="007A300E">
            <w:pPr>
              <w:pStyle w:val="HIPTabletext"/>
              <w:jc w:val="left"/>
            </w:pPr>
            <w:r w:rsidRPr="002A4426">
              <w:t xml:space="preserve">$11,674,286 </w:t>
            </w:r>
          </w:p>
        </w:tc>
        <w:tc>
          <w:tcPr>
            <w:tcW w:w="0" w:type="auto"/>
            <w:shd w:val="clear" w:color="auto" w:fill="EAF1DD"/>
            <w:hideMark/>
          </w:tcPr>
          <w:p w:rsidR="00C60A7D" w:rsidRPr="002A4426" w:rsidRDefault="00C60A7D" w:rsidP="007A300E">
            <w:pPr>
              <w:pStyle w:val="HIPTabletext"/>
              <w:jc w:val="left"/>
            </w:pPr>
            <w:r w:rsidRPr="002A4426">
              <w:t xml:space="preserve">$11,674,286 </w:t>
            </w:r>
          </w:p>
        </w:tc>
      </w:tr>
      <w:tr w:rsidR="00C60A7D" w:rsidRPr="002A4426" w:rsidTr="0088668E">
        <w:trPr>
          <w:jc w:val="center"/>
        </w:trPr>
        <w:tc>
          <w:tcPr>
            <w:tcW w:w="1158" w:type="pct"/>
            <w:tcBorders>
              <w:bottom w:val="single" w:sz="4" w:space="0" w:color="auto"/>
            </w:tcBorders>
            <w:hideMark/>
          </w:tcPr>
          <w:p w:rsidR="00C60A7D" w:rsidRPr="002A4426" w:rsidRDefault="00C60A7D" w:rsidP="007A300E">
            <w:pPr>
              <w:pStyle w:val="HIPTabletext"/>
              <w:jc w:val="left"/>
            </w:pPr>
            <w:r w:rsidRPr="002A4426">
              <w:t xml:space="preserve">Standard Area </w:t>
            </w:r>
          </w:p>
        </w:tc>
        <w:tc>
          <w:tcPr>
            <w:tcW w:w="0" w:type="auto"/>
            <w:tcBorders>
              <w:bottom w:val="single" w:sz="4" w:space="0" w:color="auto"/>
            </w:tcBorders>
            <w:hideMark/>
          </w:tcPr>
          <w:p w:rsidR="00C60A7D" w:rsidRPr="002A4426" w:rsidRDefault="00C60A7D" w:rsidP="007A300E">
            <w:pPr>
              <w:pStyle w:val="HIPTabletext"/>
              <w:jc w:val="left"/>
            </w:pPr>
            <w:r w:rsidRPr="002A4426">
              <w:t xml:space="preserve">$121,438,120 </w:t>
            </w:r>
          </w:p>
        </w:tc>
        <w:tc>
          <w:tcPr>
            <w:tcW w:w="0" w:type="auto"/>
            <w:tcBorders>
              <w:bottom w:val="single" w:sz="4" w:space="0" w:color="auto"/>
            </w:tcBorders>
            <w:hideMark/>
          </w:tcPr>
          <w:p w:rsidR="00C60A7D" w:rsidRPr="002A4426" w:rsidRDefault="00C60A7D" w:rsidP="007A300E">
            <w:pPr>
              <w:pStyle w:val="HIPTabletext"/>
              <w:jc w:val="left"/>
            </w:pPr>
            <w:r w:rsidRPr="002A4426">
              <w:t xml:space="preserve">$112,374,354 </w:t>
            </w:r>
          </w:p>
        </w:tc>
        <w:tc>
          <w:tcPr>
            <w:tcW w:w="0" w:type="auto"/>
            <w:tcBorders>
              <w:bottom w:val="single" w:sz="4" w:space="0" w:color="auto"/>
            </w:tcBorders>
            <w:hideMark/>
          </w:tcPr>
          <w:p w:rsidR="00C60A7D" w:rsidRPr="002A4426" w:rsidRDefault="00C60A7D" w:rsidP="007A300E">
            <w:pPr>
              <w:pStyle w:val="HIPTabletext"/>
              <w:jc w:val="left"/>
            </w:pPr>
            <w:r w:rsidRPr="002A4426">
              <w:t xml:space="preserve">$103,675,415 </w:t>
            </w:r>
          </w:p>
        </w:tc>
        <w:tc>
          <w:tcPr>
            <w:tcW w:w="0" w:type="auto"/>
            <w:tcBorders>
              <w:bottom w:val="single" w:sz="4" w:space="0" w:color="auto"/>
            </w:tcBorders>
            <w:hideMark/>
          </w:tcPr>
          <w:p w:rsidR="00C60A7D" w:rsidRPr="002A4426" w:rsidRDefault="00C60A7D" w:rsidP="007A300E">
            <w:pPr>
              <w:pStyle w:val="HIPTabletext"/>
              <w:jc w:val="left"/>
            </w:pPr>
            <w:r w:rsidRPr="002A4426">
              <w:t xml:space="preserve">$103,675,415 </w:t>
            </w:r>
          </w:p>
        </w:tc>
        <w:tc>
          <w:tcPr>
            <w:tcW w:w="0" w:type="auto"/>
            <w:tcBorders>
              <w:bottom w:val="single" w:sz="4" w:space="0" w:color="auto"/>
            </w:tcBorders>
            <w:hideMark/>
          </w:tcPr>
          <w:p w:rsidR="00C60A7D" w:rsidRPr="002A4426" w:rsidRDefault="00C60A7D" w:rsidP="007A300E">
            <w:pPr>
              <w:pStyle w:val="HIPTabletext"/>
              <w:jc w:val="left"/>
            </w:pPr>
            <w:r w:rsidRPr="002A4426">
              <w:t xml:space="preserve">$103,675,415 </w:t>
            </w:r>
          </w:p>
        </w:tc>
      </w:tr>
      <w:tr w:rsidR="00C60A7D" w:rsidRPr="002A4426" w:rsidTr="0088668E">
        <w:trPr>
          <w:jc w:val="center"/>
        </w:trPr>
        <w:tc>
          <w:tcPr>
            <w:tcW w:w="1158" w:type="pct"/>
            <w:shd w:val="clear" w:color="auto" w:fill="EAF1DD"/>
            <w:hideMark/>
          </w:tcPr>
          <w:p w:rsidR="00C60A7D" w:rsidRPr="002A4426" w:rsidRDefault="00C60A7D" w:rsidP="007A300E">
            <w:pPr>
              <w:pStyle w:val="HIPTabletext"/>
              <w:jc w:val="left"/>
            </w:pPr>
            <w:r w:rsidRPr="002A4426">
              <w:rPr>
                <w:b/>
              </w:rPr>
              <w:t>TOTAL</w:t>
            </w:r>
            <w:r w:rsidRPr="002A4426">
              <w:t xml:space="preserve"> </w:t>
            </w:r>
          </w:p>
        </w:tc>
        <w:tc>
          <w:tcPr>
            <w:tcW w:w="0" w:type="auto"/>
            <w:shd w:val="clear" w:color="auto" w:fill="EAF1DD"/>
            <w:hideMark/>
          </w:tcPr>
          <w:p w:rsidR="00C60A7D" w:rsidRPr="002A4426" w:rsidRDefault="00C60A7D" w:rsidP="007A300E">
            <w:pPr>
              <w:pStyle w:val="HIPTabletext"/>
              <w:jc w:val="left"/>
            </w:pPr>
            <w:r w:rsidRPr="002A4426">
              <w:rPr>
                <w:b/>
              </w:rPr>
              <w:t>$171,403,872</w:t>
            </w:r>
            <w:r w:rsidRPr="002A4426">
              <w:t xml:space="preserve"> </w:t>
            </w:r>
          </w:p>
        </w:tc>
        <w:tc>
          <w:tcPr>
            <w:tcW w:w="0" w:type="auto"/>
            <w:shd w:val="clear" w:color="auto" w:fill="EAF1DD"/>
            <w:hideMark/>
          </w:tcPr>
          <w:p w:rsidR="00C60A7D" w:rsidRPr="002A4426" w:rsidRDefault="00C60A7D" w:rsidP="007A300E">
            <w:pPr>
              <w:pStyle w:val="HIPTabletext"/>
              <w:jc w:val="left"/>
            </w:pPr>
            <w:r w:rsidRPr="002A4426">
              <w:rPr>
                <w:b/>
              </w:rPr>
              <w:t>$157,691,580</w:t>
            </w:r>
            <w:r w:rsidRPr="002A4426">
              <w:t xml:space="preserve"> </w:t>
            </w:r>
          </w:p>
        </w:tc>
        <w:tc>
          <w:tcPr>
            <w:tcW w:w="0" w:type="auto"/>
            <w:shd w:val="clear" w:color="auto" w:fill="EAF1DD"/>
            <w:hideMark/>
          </w:tcPr>
          <w:p w:rsidR="00C60A7D" w:rsidRPr="002A4426" w:rsidRDefault="00C60A7D" w:rsidP="007A300E">
            <w:pPr>
              <w:pStyle w:val="HIPTabletext"/>
              <w:jc w:val="left"/>
            </w:pPr>
            <w:r w:rsidRPr="002A4426">
              <w:rPr>
                <w:b/>
              </w:rPr>
              <w:t>$145,076,237</w:t>
            </w:r>
            <w:r w:rsidRPr="002A4426">
              <w:t xml:space="preserve"> </w:t>
            </w:r>
          </w:p>
        </w:tc>
        <w:tc>
          <w:tcPr>
            <w:tcW w:w="0" w:type="auto"/>
            <w:shd w:val="clear" w:color="auto" w:fill="EAF1DD"/>
            <w:hideMark/>
          </w:tcPr>
          <w:p w:rsidR="00C60A7D" w:rsidRPr="002A4426" w:rsidRDefault="00C60A7D" w:rsidP="007A300E">
            <w:pPr>
              <w:pStyle w:val="HIPTabletext"/>
              <w:jc w:val="left"/>
            </w:pPr>
            <w:r w:rsidRPr="002A4426">
              <w:rPr>
                <w:b/>
              </w:rPr>
              <w:t>$145,076,237</w:t>
            </w:r>
            <w:r w:rsidRPr="002A4426">
              <w:t xml:space="preserve"> </w:t>
            </w:r>
          </w:p>
        </w:tc>
        <w:tc>
          <w:tcPr>
            <w:tcW w:w="0" w:type="auto"/>
            <w:shd w:val="clear" w:color="auto" w:fill="EAF1DD"/>
            <w:hideMark/>
          </w:tcPr>
          <w:p w:rsidR="00C60A7D" w:rsidRPr="002A4426" w:rsidRDefault="00C60A7D" w:rsidP="007A300E">
            <w:pPr>
              <w:pStyle w:val="HIPTabletext"/>
              <w:jc w:val="left"/>
            </w:pPr>
            <w:r w:rsidRPr="002A4426">
              <w:rPr>
                <w:b/>
              </w:rPr>
              <w:t>$145,076,237</w:t>
            </w:r>
            <w:r w:rsidRPr="002A4426">
              <w:t xml:space="preserve"> </w:t>
            </w:r>
          </w:p>
        </w:tc>
      </w:tr>
    </w:tbl>
    <w:p w:rsidR="00C60A7D" w:rsidRDefault="0088668E" w:rsidP="0088668E">
      <w:pPr>
        <w:pStyle w:val="HIPheading3"/>
      </w:pPr>
      <w:bookmarkStart w:id="412" w:name="_Toc284598015"/>
      <w:bookmarkStart w:id="413" w:name="_Toc286144987"/>
      <w:r>
        <w:t>3.5.</w:t>
      </w:r>
      <w:r w:rsidR="007A300E">
        <w:t>2</w:t>
      </w:r>
      <w:r w:rsidR="007A300E">
        <w:tab/>
      </w:r>
      <w:r w:rsidR="00C60A7D">
        <w:t>SADC Experience</w:t>
      </w:r>
      <w:bookmarkEnd w:id="412"/>
      <w:bookmarkEnd w:id="413"/>
    </w:p>
    <w:p w:rsidR="00C60A7D" w:rsidRDefault="00C60A7D" w:rsidP="007A300E">
      <w:pPr>
        <w:pStyle w:val="HIPNormal"/>
        <w:rPr>
          <w:lang w:val="en-US"/>
        </w:rPr>
      </w:pPr>
      <w:r>
        <w:rPr>
          <w:lang w:val="en-US"/>
        </w:rPr>
        <w:t>In the region, it appears that no countries have developed</w:t>
      </w:r>
      <w:r w:rsidRPr="002E4AE1">
        <w:rPr>
          <w:lang w:val="en-US"/>
        </w:rPr>
        <w:t xml:space="preserve"> cost models to determine universal service costs.</w:t>
      </w:r>
      <w:r>
        <w:rPr>
          <w:lang w:val="en-US"/>
        </w:rPr>
        <w:t xml:space="preserve"> Most Funds have used competitive bidding and least cost subsidies to arrive at </w:t>
      </w:r>
      <w:r>
        <w:rPr>
          <w:rFonts w:hint="eastAsia"/>
          <w:lang w:val="en-US"/>
        </w:rPr>
        <w:t>‘</w:t>
      </w:r>
      <w:r>
        <w:rPr>
          <w:lang w:val="en-US"/>
        </w:rPr>
        <w:t>costs</w:t>
      </w:r>
      <w:r>
        <w:rPr>
          <w:rFonts w:hint="eastAsia"/>
          <w:lang w:val="en-US"/>
        </w:rPr>
        <w:t>’</w:t>
      </w:r>
      <w:r>
        <w:rPr>
          <w:lang w:val="en-US"/>
        </w:rPr>
        <w:t xml:space="preserve"> and thus define the maximum subsidy – this will be described in Part 3 in the section regarding the </w:t>
      </w:r>
      <w:r>
        <w:rPr>
          <w:rFonts w:hint="eastAsia"/>
          <w:lang w:val="en-US"/>
        </w:rPr>
        <w:t>“</w:t>
      </w:r>
      <w:r>
        <w:rPr>
          <w:lang w:val="en-US"/>
        </w:rPr>
        <w:t>Bidding Process</w:t>
      </w:r>
      <w:r>
        <w:rPr>
          <w:rFonts w:hint="eastAsia"/>
          <w:lang w:val="en-US"/>
        </w:rPr>
        <w:t>”</w:t>
      </w:r>
      <w:r>
        <w:rPr>
          <w:lang w:val="en-US"/>
        </w:rPr>
        <w:t>in greater detail.</w:t>
      </w:r>
    </w:p>
    <w:p w:rsidR="00C60A7D" w:rsidRDefault="00C60A7D" w:rsidP="007A300E">
      <w:pPr>
        <w:pStyle w:val="HIPNormal"/>
        <w:rPr>
          <w:lang w:val="en-US"/>
        </w:rPr>
      </w:pPr>
      <w:r>
        <w:rPr>
          <w:lang w:val="en-US"/>
        </w:rPr>
        <w:t xml:space="preserve">Using the World Bank cost model, estimates for </w:t>
      </w:r>
      <w:r>
        <w:rPr>
          <w:rFonts w:hint="eastAsia"/>
          <w:lang w:val="en-US"/>
        </w:rPr>
        <w:t>financing</w:t>
      </w:r>
      <w:r>
        <w:rPr>
          <w:lang w:val="en-US"/>
        </w:rPr>
        <w:t xml:space="preserve"> gaps in selected SADC </w:t>
      </w:r>
      <w:r>
        <w:rPr>
          <w:rFonts w:hint="eastAsia"/>
          <w:lang w:val="en-US"/>
        </w:rPr>
        <w:t>countries</w:t>
      </w:r>
      <w:r>
        <w:rPr>
          <w:lang w:val="en-US"/>
        </w:rPr>
        <w:t xml:space="preserve"> have been made available using 2006 data. The </w:t>
      </w:r>
      <w:r>
        <w:rPr>
          <w:rFonts w:hint="eastAsia"/>
          <w:lang w:val="en-US"/>
        </w:rPr>
        <w:t>estimates</w:t>
      </w:r>
      <w:r>
        <w:rPr>
          <w:lang w:val="en-US"/>
        </w:rPr>
        <w:t xml:space="preserve"> are based on an </w:t>
      </w:r>
      <w:r>
        <w:rPr>
          <w:rFonts w:hint="eastAsia"/>
          <w:lang w:val="en-US"/>
        </w:rPr>
        <w:t>analysis</w:t>
      </w:r>
      <w:r>
        <w:rPr>
          <w:lang w:val="en-US"/>
        </w:rPr>
        <w:t xml:space="preserve"> of the access gaps, and typical GSM and CDMA network costs. This </w:t>
      </w:r>
      <w:r>
        <w:rPr>
          <w:rFonts w:hint="eastAsia"/>
          <w:lang w:val="en-US"/>
        </w:rPr>
        <w:t>information</w:t>
      </w:r>
      <w:r>
        <w:rPr>
          <w:lang w:val="en-US"/>
        </w:rPr>
        <w:t xml:space="preserve"> can be used in </w:t>
      </w:r>
      <w:r>
        <w:rPr>
          <w:rFonts w:hint="eastAsia"/>
          <w:lang w:val="en-US"/>
        </w:rPr>
        <w:t>conjunction</w:t>
      </w:r>
      <w:r>
        <w:rPr>
          <w:lang w:val="en-US"/>
        </w:rPr>
        <w:t xml:space="preserve"> with a bidding process to arrive at a maximum efficient subsidy level informed by the market.</w:t>
      </w:r>
    </w:p>
    <w:p w:rsidR="003C5FE7" w:rsidRDefault="003C5FE7">
      <w:pPr>
        <w:rPr>
          <w:rFonts w:ascii="Calibri" w:hAnsi="Calibri" w:cs="Arial"/>
          <w:b/>
          <w:bCs/>
          <w:color w:val="008000"/>
          <w:szCs w:val="24"/>
          <w:lang w:val="en-US"/>
        </w:rPr>
      </w:pPr>
      <w:r w:rsidRPr="00761E74">
        <w:rPr>
          <w:lang w:val="en-US"/>
        </w:rPr>
        <w:br w:type="page"/>
      </w:r>
    </w:p>
    <w:p w:rsidR="00C60A7D" w:rsidRPr="000B47AA" w:rsidRDefault="00C60A7D" w:rsidP="0088668E">
      <w:pPr>
        <w:pStyle w:val="HIPTabletitle"/>
      </w:pPr>
      <w:bookmarkStart w:id="414" w:name="_Toc286146570"/>
      <w:r w:rsidRPr="000B47AA">
        <w:lastRenderedPageBreak/>
        <w:t xml:space="preserve">Table </w:t>
      </w:r>
      <w:r>
        <w:rPr>
          <w:noProof/>
        </w:rPr>
        <w:t>3</w:t>
      </w:r>
      <w:r w:rsidR="0088668E">
        <w:rPr>
          <w:noProof/>
        </w:rPr>
        <w:t>.15</w:t>
      </w:r>
      <w:r w:rsidRPr="000B47AA">
        <w:t>: Financing the SADC Funding Gap</w:t>
      </w:r>
      <w:r>
        <w:t xml:space="preserve"> (Indicative Maximum Subsidy TOTAL)</w:t>
      </w:r>
      <w:bookmarkEnd w:id="414"/>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8"/>
        <w:gridCol w:w="3222"/>
        <w:gridCol w:w="3480"/>
      </w:tblGrid>
      <w:tr w:rsidR="00C60A7D" w:rsidRPr="00E94E6A" w:rsidTr="007A300E">
        <w:tc>
          <w:tcPr>
            <w:tcW w:w="2538" w:type="dxa"/>
            <w:shd w:val="clear" w:color="auto" w:fill="008000"/>
            <w:hideMark/>
          </w:tcPr>
          <w:p w:rsidR="00C60A7D" w:rsidRPr="000B47AA" w:rsidRDefault="00C60A7D" w:rsidP="007A300E">
            <w:pPr>
              <w:pStyle w:val="HIPTablehead"/>
            </w:pPr>
            <w:r w:rsidRPr="000B47AA">
              <w:t> </w:t>
            </w:r>
          </w:p>
        </w:tc>
        <w:tc>
          <w:tcPr>
            <w:tcW w:w="3222" w:type="dxa"/>
            <w:shd w:val="clear" w:color="auto" w:fill="008000"/>
            <w:hideMark/>
          </w:tcPr>
          <w:p w:rsidR="00C60A7D" w:rsidRPr="00E94E6A" w:rsidRDefault="00C60A7D" w:rsidP="007A300E">
            <w:pPr>
              <w:pStyle w:val="HIPTablehead"/>
            </w:pPr>
            <w:r w:rsidRPr="009E4620">
              <w:t xml:space="preserve">Gaps </w:t>
            </w:r>
            <w:r w:rsidR="007A300E">
              <w:br/>
            </w:r>
            <w:r w:rsidRPr="009E4620">
              <w:t xml:space="preserve">(kms) </w:t>
            </w:r>
          </w:p>
        </w:tc>
        <w:tc>
          <w:tcPr>
            <w:tcW w:w="3480" w:type="dxa"/>
            <w:shd w:val="clear" w:color="auto" w:fill="008000"/>
            <w:hideMark/>
          </w:tcPr>
          <w:p w:rsidR="00C60A7D" w:rsidRPr="00E94E6A" w:rsidRDefault="00C60A7D" w:rsidP="007A300E">
            <w:pPr>
              <w:pStyle w:val="HIPTablehead"/>
            </w:pPr>
            <w:r w:rsidRPr="009E4620">
              <w:t xml:space="preserve">Necessary </w:t>
            </w:r>
            <w:r w:rsidR="007A300E">
              <w:br/>
            </w:r>
            <w:r w:rsidRPr="009E4620">
              <w:t xml:space="preserve">investment </w:t>
            </w:r>
            <w:r w:rsidR="007A300E">
              <w:br/>
            </w:r>
            <w:r w:rsidRPr="009E4620">
              <w:t xml:space="preserve">(US$mn) </w:t>
            </w:r>
          </w:p>
        </w:tc>
      </w:tr>
      <w:tr w:rsidR="00C60A7D" w:rsidRPr="00E94E6A" w:rsidTr="007A300E">
        <w:tc>
          <w:tcPr>
            <w:tcW w:w="2538" w:type="dxa"/>
            <w:tcBorders>
              <w:bottom w:val="single" w:sz="4" w:space="0" w:color="auto"/>
            </w:tcBorders>
            <w:hideMark/>
          </w:tcPr>
          <w:p w:rsidR="00C60A7D" w:rsidRPr="00E94E6A" w:rsidRDefault="00C60A7D" w:rsidP="007A300E">
            <w:pPr>
              <w:pStyle w:val="HIPTabletext"/>
            </w:pPr>
            <w:r w:rsidRPr="00E94E6A">
              <w:t>Angola</w:t>
            </w:r>
          </w:p>
        </w:tc>
        <w:tc>
          <w:tcPr>
            <w:tcW w:w="3222" w:type="dxa"/>
            <w:tcBorders>
              <w:bottom w:val="single" w:sz="4" w:space="0" w:color="auto"/>
            </w:tcBorders>
            <w:hideMark/>
          </w:tcPr>
          <w:p w:rsidR="00C60A7D" w:rsidRPr="00E94E6A" w:rsidRDefault="00C60A7D" w:rsidP="007A300E">
            <w:pPr>
              <w:pStyle w:val="HIPTabletext"/>
            </w:pPr>
            <w:r w:rsidRPr="00E94E6A">
              <w:t>782</w:t>
            </w:r>
          </w:p>
        </w:tc>
        <w:tc>
          <w:tcPr>
            <w:tcW w:w="3480" w:type="dxa"/>
            <w:tcBorders>
              <w:bottom w:val="single" w:sz="4" w:space="0" w:color="auto"/>
            </w:tcBorders>
            <w:hideMark/>
          </w:tcPr>
          <w:p w:rsidR="00C60A7D" w:rsidRPr="00E94E6A" w:rsidRDefault="00C60A7D" w:rsidP="007A300E">
            <w:pPr>
              <w:pStyle w:val="HIPTabletext"/>
            </w:pPr>
            <w:r w:rsidRPr="00E94E6A">
              <w:t>21</w:t>
            </w:r>
          </w:p>
        </w:tc>
      </w:tr>
      <w:tr w:rsidR="00C60A7D" w:rsidRPr="00E94E6A" w:rsidTr="007A300E">
        <w:tc>
          <w:tcPr>
            <w:tcW w:w="2538" w:type="dxa"/>
            <w:shd w:val="clear" w:color="auto" w:fill="EAF1DD"/>
            <w:hideMark/>
          </w:tcPr>
          <w:p w:rsidR="00C60A7D" w:rsidRPr="00E94E6A" w:rsidRDefault="00C60A7D" w:rsidP="007A300E">
            <w:pPr>
              <w:pStyle w:val="HIPTabletext"/>
            </w:pPr>
            <w:r w:rsidRPr="00E94E6A">
              <w:t>Congo DR</w:t>
            </w:r>
          </w:p>
        </w:tc>
        <w:tc>
          <w:tcPr>
            <w:tcW w:w="3222" w:type="dxa"/>
            <w:shd w:val="clear" w:color="auto" w:fill="EAF1DD"/>
            <w:hideMark/>
          </w:tcPr>
          <w:p w:rsidR="00C60A7D" w:rsidRPr="00E94E6A" w:rsidRDefault="00C60A7D" w:rsidP="007A300E">
            <w:pPr>
              <w:pStyle w:val="HIPTabletext"/>
            </w:pPr>
            <w:r w:rsidRPr="00E94E6A">
              <w:t xml:space="preserve">1,781 </w:t>
            </w:r>
          </w:p>
        </w:tc>
        <w:tc>
          <w:tcPr>
            <w:tcW w:w="3480" w:type="dxa"/>
            <w:shd w:val="clear" w:color="auto" w:fill="EAF1DD"/>
            <w:hideMark/>
          </w:tcPr>
          <w:p w:rsidR="00C60A7D" w:rsidRPr="00E94E6A" w:rsidRDefault="00C60A7D" w:rsidP="007A300E">
            <w:pPr>
              <w:pStyle w:val="HIPTabletext"/>
            </w:pPr>
            <w:r w:rsidRPr="00E94E6A">
              <w:t>48</w:t>
            </w:r>
          </w:p>
        </w:tc>
      </w:tr>
      <w:tr w:rsidR="00C60A7D" w:rsidRPr="00E94E6A" w:rsidTr="007A300E">
        <w:tc>
          <w:tcPr>
            <w:tcW w:w="2538" w:type="dxa"/>
            <w:tcBorders>
              <w:bottom w:val="single" w:sz="4" w:space="0" w:color="auto"/>
            </w:tcBorders>
            <w:hideMark/>
          </w:tcPr>
          <w:p w:rsidR="00C60A7D" w:rsidRPr="00E94E6A" w:rsidRDefault="00C60A7D" w:rsidP="007A300E">
            <w:pPr>
              <w:pStyle w:val="HIPTabletext"/>
            </w:pPr>
            <w:r w:rsidRPr="00E94E6A">
              <w:t>Lesotho</w:t>
            </w:r>
          </w:p>
        </w:tc>
        <w:tc>
          <w:tcPr>
            <w:tcW w:w="3222" w:type="dxa"/>
            <w:tcBorders>
              <w:bottom w:val="single" w:sz="4" w:space="0" w:color="auto"/>
            </w:tcBorders>
            <w:hideMark/>
          </w:tcPr>
          <w:p w:rsidR="00C60A7D" w:rsidRPr="00E94E6A" w:rsidRDefault="00C60A7D" w:rsidP="007A300E">
            <w:pPr>
              <w:pStyle w:val="HIPTabletext"/>
            </w:pPr>
            <w:r w:rsidRPr="00E94E6A">
              <w:t>2</w:t>
            </w:r>
          </w:p>
        </w:tc>
        <w:tc>
          <w:tcPr>
            <w:tcW w:w="3480" w:type="dxa"/>
            <w:tcBorders>
              <w:bottom w:val="single" w:sz="4" w:space="0" w:color="auto"/>
            </w:tcBorders>
            <w:hideMark/>
          </w:tcPr>
          <w:p w:rsidR="00C60A7D" w:rsidRPr="00E94E6A" w:rsidRDefault="00C60A7D" w:rsidP="007A300E">
            <w:pPr>
              <w:pStyle w:val="HIPTabletext"/>
            </w:pPr>
            <w:r w:rsidRPr="00E94E6A">
              <w:t xml:space="preserve">&lt;1 </w:t>
            </w:r>
          </w:p>
        </w:tc>
      </w:tr>
      <w:tr w:rsidR="00C60A7D" w:rsidRPr="00E94E6A" w:rsidTr="007A300E">
        <w:tc>
          <w:tcPr>
            <w:tcW w:w="2538" w:type="dxa"/>
            <w:shd w:val="clear" w:color="auto" w:fill="EAF1DD"/>
            <w:hideMark/>
          </w:tcPr>
          <w:p w:rsidR="00C60A7D" w:rsidRPr="00E94E6A" w:rsidRDefault="00C60A7D" w:rsidP="007A300E">
            <w:pPr>
              <w:pStyle w:val="HIPTabletext"/>
            </w:pPr>
            <w:r w:rsidRPr="00E94E6A">
              <w:t>Malawi</w:t>
            </w:r>
          </w:p>
        </w:tc>
        <w:tc>
          <w:tcPr>
            <w:tcW w:w="3222" w:type="dxa"/>
            <w:shd w:val="clear" w:color="auto" w:fill="EAF1DD"/>
            <w:hideMark/>
          </w:tcPr>
          <w:p w:rsidR="00C60A7D" w:rsidRPr="00E94E6A" w:rsidRDefault="00C60A7D" w:rsidP="007A300E">
            <w:pPr>
              <w:pStyle w:val="HIPTabletext"/>
            </w:pPr>
            <w:r w:rsidRPr="00E94E6A">
              <w:t>477</w:t>
            </w:r>
          </w:p>
        </w:tc>
        <w:tc>
          <w:tcPr>
            <w:tcW w:w="3480" w:type="dxa"/>
            <w:shd w:val="clear" w:color="auto" w:fill="EAF1DD"/>
            <w:hideMark/>
          </w:tcPr>
          <w:p w:rsidR="00C60A7D" w:rsidRPr="00E94E6A" w:rsidRDefault="00C60A7D" w:rsidP="007A300E">
            <w:pPr>
              <w:pStyle w:val="HIPTabletext"/>
            </w:pPr>
            <w:r w:rsidRPr="00E94E6A">
              <w:t>13</w:t>
            </w:r>
          </w:p>
        </w:tc>
      </w:tr>
      <w:tr w:rsidR="00C60A7D" w:rsidRPr="00E94E6A" w:rsidTr="007A300E">
        <w:tc>
          <w:tcPr>
            <w:tcW w:w="2538" w:type="dxa"/>
            <w:tcBorders>
              <w:bottom w:val="single" w:sz="4" w:space="0" w:color="auto"/>
            </w:tcBorders>
            <w:hideMark/>
          </w:tcPr>
          <w:p w:rsidR="00C60A7D" w:rsidRPr="00E94E6A" w:rsidRDefault="00C60A7D" w:rsidP="007A300E">
            <w:pPr>
              <w:pStyle w:val="HIPTabletext"/>
            </w:pPr>
            <w:r w:rsidRPr="00E94E6A">
              <w:t>Mozambique</w:t>
            </w:r>
          </w:p>
        </w:tc>
        <w:tc>
          <w:tcPr>
            <w:tcW w:w="3222" w:type="dxa"/>
            <w:tcBorders>
              <w:bottom w:val="single" w:sz="4" w:space="0" w:color="auto"/>
            </w:tcBorders>
            <w:hideMark/>
          </w:tcPr>
          <w:p w:rsidR="00C60A7D" w:rsidRPr="00E94E6A" w:rsidRDefault="00C60A7D" w:rsidP="007A300E">
            <w:pPr>
              <w:pStyle w:val="HIPTabletext"/>
            </w:pPr>
            <w:r w:rsidRPr="00E94E6A">
              <w:t>21</w:t>
            </w:r>
          </w:p>
        </w:tc>
        <w:tc>
          <w:tcPr>
            <w:tcW w:w="3480" w:type="dxa"/>
            <w:tcBorders>
              <w:bottom w:val="single" w:sz="4" w:space="0" w:color="auto"/>
            </w:tcBorders>
            <w:hideMark/>
          </w:tcPr>
          <w:p w:rsidR="00C60A7D" w:rsidRPr="00E94E6A" w:rsidRDefault="00C60A7D" w:rsidP="007A300E">
            <w:pPr>
              <w:pStyle w:val="HIPTabletext"/>
            </w:pPr>
            <w:r w:rsidRPr="00E94E6A">
              <w:t>1</w:t>
            </w:r>
          </w:p>
        </w:tc>
      </w:tr>
      <w:tr w:rsidR="00C60A7D" w:rsidRPr="00E94E6A" w:rsidTr="007A300E">
        <w:tc>
          <w:tcPr>
            <w:tcW w:w="2538" w:type="dxa"/>
            <w:shd w:val="clear" w:color="auto" w:fill="EAF1DD"/>
            <w:hideMark/>
          </w:tcPr>
          <w:p w:rsidR="00C60A7D" w:rsidRPr="00E94E6A" w:rsidRDefault="00C60A7D" w:rsidP="007A300E">
            <w:pPr>
              <w:pStyle w:val="HIPTabletext"/>
            </w:pPr>
            <w:r w:rsidRPr="00E94E6A">
              <w:t>South Africa</w:t>
            </w:r>
          </w:p>
        </w:tc>
        <w:tc>
          <w:tcPr>
            <w:tcW w:w="3222" w:type="dxa"/>
            <w:shd w:val="clear" w:color="auto" w:fill="EAF1DD"/>
            <w:hideMark/>
          </w:tcPr>
          <w:p w:rsidR="00C60A7D" w:rsidRPr="00E94E6A" w:rsidRDefault="00C60A7D" w:rsidP="007A300E">
            <w:pPr>
              <w:pStyle w:val="HIPTabletext"/>
            </w:pPr>
            <w:r w:rsidRPr="00E94E6A">
              <w:t>12</w:t>
            </w:r>
          </w:p>
        </w:tc>
        <w:tc>
          <w:tcPr>
            <w:tcW w:w="3480" w:type="dxa"/>
            <w:shd w:val="clear" w:color="auto" w:fill="EAF1DD"/>
            <w:hideMark/>
          </w:tcPr>
          <w:p w:rsidR="00C60A7D" w:rsidRPr="00E94E6A" w:rsidRDefault="00C60A7D" w:rsidP="007A300E">
            <w:pPr>
              <w:pStyle w:val="HIPTabletext"/>
            </w:pPr>
            <w:r w:rsidRPr="00E94E6A">
              <w:t xml:space="preserve">&lt;1 </w:t>
            </w:r>
          </w:p>
        </w:tc>
      </w:tr>
      <w:tr w:rsidR="00C60A7D" w:rsidRPr="00E94E6A" w:rsidTr="007A300E">
        <w:tc>
          <w:tcPr>
            <w:tcW w:w="2538" w:type="dxa"/>
            <w:tcBorders>
              <w:bottom w:val="single" w:sz="4" w:space="0" w:color="auto"/>
            </w:tcBorders>
            <w:hideMark/>
          </w:tcPr>
          <w:p w:rsidR="00C60A7D" w:rsidRPr="00E94E6A" w:rsidRDefault="00C60A7D" w:rsidP="007A300E">
            <w:pPr>
              <w:pStyle w:val="HIPTabletext"/>
            </w:pPr>
            <w:r w:rsidRPr="00E94E6A">
              <w:t>Tanzania</w:t>
            </w:r>
          </w:p>
        </w:tc>
        <w:tc>
          <w:tcPr>
            <w:tcW w:w="3222" w:type="dxa"/>
            <w:tcBorders>
              <w:bottom w:val="single" w:sz="4" w:space="0" w:color="auto"/>
            </w:tcBorders>
            <w:hideMark/>
          </w:tcPr>
          <w:p w:rsidR="00C60A7D" w:rsidRPr="00E94E6A" w:rsidRDefault="00C60A7D" w:rsidP="007A300E">
            <w:pPr>
              <w:pStyle w:val="HIPTabletext"/>
            </w:pPr>
            <w:r w:rsidRPr="00E94E6A">
              <w:t xml:space="preserve">1,220 </w:t>
            </w:r>
          </w:p>
        </w:tc>
        <w:tc>
          <w:tcPr>
            <w:tcW w:w="3480" w:type="dxa"/>
            <w:tcBorders>
              <w:bottom w:val="single" w:sz="4" w:space="0" w:color="auto"/>
            </w:tcBorders>
            <w:hideMark/>
          </w:tcPr>
          <w:p w:rsidR="00C60A7D" w:rsidRPr="00E94E6A" w:rsidRDefault="00C60A7D" w:rsidP="007A300E">
            <w:pPr>
              <w:pStyle w:val="HIPTabletext"/>
            </w:pPr>
            <w:r w:rsidRPr="00E94E6A">
              <w:t>33</w:t>
            </w:r>
          </w:p>
        </w:tc>
      </w:tr>
      <w:tr w:rsidR="00C60A7D" w:rsidRPr="00E94E6A" w:rsidTr="007A300E">
        <w:tc>
          <w:tcPr>
            <w:tcW w:w="2538" w:type="dxa"/>
            <w:shd w:val="clear" w:color="auto" w:fill="EAF1DD"/>
            <w:hideMark/>
          </w:tcPr>
          <w:p w:rsidR="00C60A7D" w:rsidRPr="00E94E6A" w:rsidRDefault="00C60A7D" w:rsidP="007A300E">
            <w:pPr>
              <w:pStyle w:val="HIPTabletext"/>
            </w:pPr>
            <w:r w:rsidRPr="00E94E6A">
              <w:t>Zimbabwe</w:t>
            </w:r>
          </w:p>
        </w:tc>
        <w:tc>
          <w:tcPr>
            <w:tcW w:w="3222" w:type="dxa"/>
            <w:shd w:val="clear" w:color="auto" w:fill="EAF1DD"/>
            <w:hideMark/>
          </w:tcPr>
          <w:p w:rsidR="00C60A7D" w:rsidRPr="00E94E6A" w:rsidRDefault="00C60A7D" w:rsidP="007A300E">
            <w:pPr>
              <w:pStyle w:val="HIPTabletext"/>
            </w:pPr>
            <w:r w:rsidRPr="00E94E6A">
              <w:t>226</w:t>
            </w:r>
          </w:p>
        </w:tc>
        <w:tc>
          <w:tcPr>
            <w:tcW w:w="3480" w:type="dxa"/>
            <w:shd w:val="clear" w:color="auto" w:fill="EAF1DD"/>
            <w:hideMark/>
          </w:tcPr>
          <w:p w:rsidR="00C60A7D" w:rsidRPr="00E94E6A" w:rsidRDefault="00C60A7D" w:rsidP="007A300E">
            <w:pPr>
              <w:pStyle w:val="HIPTabletext"/>
            </w:pPr>
            <w:r w:rsidRPr="00E94E6A">
              <w:t>6</w:t>
            </w:r>
          </w:p>
        </w:tc>
      </w:tr>
      <w:tr w:rsidR="00C60A7D" w:rsidRPr="00E94E6A" w:rsidTr="007A300E">
        <w:tc>
          <w:tcPr>
            <w:tcW w:w="2538" w:type="dxa"/>
            <w:hideMark/>
          </w:tcPr>
          <w:p w:rsidR="00C60A7D" w:rsidRPr="00E94E6A" w:rsidRDefault="00C60A7D" w:rsidP="007A300E">
            <w:pPr>
              <w:pStyle w:val="HIPTabletext"/>
            </w:pPr>
            <w:r w:rsidRPr="009E4620">
              <w:rPr>
                <w:b/>
              </w:rPr>
              <w:t>Total</w:t>
            </w:r>
          </w:p>
        </w:tc>
        <w:tc>
          <w:tcPr>
            <w:tcW w:w="3222" w:type="dxa"/>
            <w:hideMark/>
          </w:tcPr>
          <w:p w:rsidR="00C60A7D" w:rsidRPr="00E94E6A" w:rsidRDefault="00C60A7D" w:rsidP="007A300E">
            <w:pPr>
              <w:pStyle w:val="HIPTabletext"/>
            </w:pPr>
            <w:r w:rsidRPr="009E4620">
              <w:rPr>
                <w:b/>
              </w:rPr>
              <w:t xml:space="preserve">5,158 </w:t>
            </w:r>
          </w:p>
        </w:tc>
        <w:tc>
          <w:tcPr>
            <w:tcW w:w="3480" w:type="dxa"/>
            <w:hideMark/>
          </w:tcPr>
          <w:p w:rsidR="00C60A7D" w:rsidRPr="00E94E6A" w:rsidRDefault="00C60A7D" w:rsidP="007A300E">
            <w:pPr>
              <w:pStyle w:val="HIPTabletext"/>
            </w:pPr>
            <w:r w:rsidRPr="009E4620">
              <w:rPr>
                <w:b/>
              </w:rPr>
              <w:t>139</w:t>
            </w:r>
          </w:p>
        </w:tc>
      </w:tr>
    </w:tbl>
    <w:p w:rsidR="00C60A7D" w:rsidRPr="0034109E" w:rsidRDefault="00C60A7D" w:rsidP="00C60A7D">
      <w:pPr>
        <w:rPr>
          <w:highlight w:val="yellow"/>
        </w:rPr>
      </w:pPr>
    </w:p>
    <w:p w:rsidR="007A300E" w:rsidRPr="0094088C" w:rsidRDefault="0088668E" w:rsidP="0088668E">
      <w:pPr>
        <w:pStyle w:val="HIPBoxquestion"/>
      </w:pPr>
      <w:bookmarkStart w:id="415" w:name="_Toc286146369"/>
      <w:r>
        <w:t xml:space="preserve">Box 3.13: </w:t>
      </w:r>
      <w:r w:rsidR="007A300E" w:rsidRPr="0094088C">
        <w:t>Sample</w:t>
      </w:r>
      <w:r>
        <w:t xml:space="preserve"> </w:t>
      </w:r>
      <w:r w:rsidR="007A300E" w:rsidRPr="0094088C">
        <w:t>/</w:t>
      </w:r>
      <w:r>
        <w:t xml:space="preserve"> </w:t>
      </w:r>
      <w:r w:rsidR="007A300E" w:rsidRPr="0094088C">
        <w:t>Reference Documents</w:t>
      </w:r>
      <w:bookmarkEnd w:id="415"/>
    </w:p>
    <w:p w:rsidR="007A300E" w:rsidRPr="0094088C" w:rsidRDefault="007A300E" w:rsidP="0088668E">
      <w:pPr>
        <w:pStyle w:val="HIPBoxNormal"/>
      </w:pPr>
      <w:r w:rsidRPr="0094088C">
        <w:t xml:space="preserve">Cost </w:t>
      </w:r>
      <w:r w:rsidRPr="0094088C">
        <w:rPr>
          <w:rFonts w:hint="eastAsia"/>
        </w:rPr>
        <w:t>modeling is a very complex process and careful consideration should be given to the approach followed. Herewith please find useful reference documents regarding the issue:</w:t>
      </w:r>
    </w:p>
    <w:p w:rsidR="007A300E" w:rsidRPr="007A300E" w:rsidRDefault="007A300E" w:rsidP="0088668E">
      <w:pPr>
        <w:pStyle w:val="HIPBoxenumlevel"/>
      </w:pPr>
      <w:r w:rsidRPr="007A300E">
        <w:rPr>
          <w:color w:val="008000"/>
        </w:rPr>
        <w:t>•</w:t>
      </w:r>
      <w:r>
        <w:tab/>
      </w:r>
      <w:r w:rsidRPr="007A300E">
        <w:t xml:space="preserve">World Bank ICT Voice Model </w:t>
      </w:r>
      <w:hyperlink r:id="rId81" w:history="1">
        <w:r w:rsidRPr="007B1A5B">
          <w:rPr>
            <w:rStyle w:val="Hyperlink"/>
            <w:szCs w:val="21"/>
            <w:lang w:val="en-GB"/>
          </w:rPr>
          <w:t>www.infrastructureafrica.org/aicd/tools/models/ict-voice-model</w:t>
        </w:r>
      </w:hyperlink>
      <w:r w:rsidRPr="007A300E">
        <w:rPr>
          <w:lang w:val="en-GB"/>
        </w:rPr>
        <w:t xml:space="preserve"> </w:t>
      </w:r>
    </w:p>
    <w:p w:rsidR="007A300E" w:rsidRPr="007A300E" w:rsidRDefault="007A300E" w:rsidP="0088668E">
      <w:pPr>
        <w:pStyle w:val="HIPBoxenumlevel"/>
        <w:jc w:val="left"/>
        <w:rPr>
          <w:szCs w:val="21"/>
        </w:rPr>
      </w:pPr>
      <w:r w:rsidRPr="007A300E">
        <w:rPr>
          <w:color w:val="008000"/>
        </w:rPr>
        <w:t>•</w:t>
      </w:r>
      <w:r>
        <w:tab/>
      </w:r>
      <w:r w:rsidRPr="0094088C">
        <w:t>World Bank Universal Broadband (public access) Model</w:t>
      </w:r>
      <w:r w:rsidR="005E5682">
        <w:t xml:space="preserve"> </w:t>
      </w:r>
      <w:hyperlink r:id="rId82" w:history="1">
        <w:r w:rsidRPr="007B1A5B">
          <w:rPr>
            <w:rStyle w:val="Hyperlink"/>
            <w:szCs w:val="21"/>
            <w:lang w:val="en-GB"/>
          </w:rPr>
          <w:t>www.infrastructureafrica.org/aicd/tools/models/ict-broadband-universal-coverage-model</w:t>
        </w:r>
      </w:hyperlink>
      <w:r w:rsidR="005E5682">
        <w:rPr>
          <w:szCs w:val="21"/>
        </w:rPr>
        <w:t xml:space="preserve"> </w:t>
      </w:r>
    </w:p>
    <w:p w:rsidR="007A300E" w:rsidRPr="0094088C" w:rsidRDefault="007A300E" w:rsidP="0088668E">
      <w:pPr>
        <w:pStyle w:val="HIPBoxenumlevel"/>
      </w:pPr>
      <w:r w:rsidRPr="007A300E">
        <w:rPr>
          <w:color w:val="008000"/>
        </w:rPr>
        <w:t>•</w:t>
      </w:r>
      <w:r>
        <w:tab/>
      </w:r>
      <w:r w:rsidRPr="0094088C">
        <w:t xml:space="preserve">ITU COSITU and COSITUSP2 </w:t>
      </w:r>
      <w:hyperlink r:id="rId83" w:history="1">
        <w:r w:rsidRPr="007B1A5B">
          <w:rPr>
            <w:rStyle w:val="Hyperlink"/>
          </w:rPr>
          <w:t>www.itu.int/ITU-D/finance/COSITU/index.html</w:t>
        </w:r>
      </w:hyperlink>
    </w:p>
    <w:p w:rsidR="007A300E" w:rsidRPr="0094088C" w:rsidRDefault="007A300E" w:rsidP="0088668E">
      <w:pPr>
        <w:pStyle w:val="HIPBoxenumlevel"/>
      </w:pPr>
      <w:r w:rsidRPr="007A300E">
        <w:rPr>
          <w:color w:val="008000"/>
        </w:rPr>
        <w:t>•</w:t>
      </w:r>
      <w:r>
        <w:tab/>
      </w:r>
      <w:r w:rsidRPr="0094088C">
        <w:t>GESCI School Connectivity cost model</w:t>
      </w:r>
      <w:r w:rsidR="005E5682">
        <w:t xml:space="preserve"> – </w:t>
      </w:r>
      <w:hyperlink r:id="rId84" w:anchor="tco" w:history="1">
        <w:r w:rsidRPr="007B1A5B">
          <w:rPr>
            <w:rStyle w:val="Hyperlink"/>
          </w:rPr>
          <w:t>www.gesci.org/knowledge-tools.html#tco</w:t>
        </w:r>
      </w:hyperlink>
      <w:r w:rsidRPr="0094088C">
        <w:t>.</w:t>
      </w:r>
    </w:p>
    <w:p w:rsidR="007A300E" w:rsidRPr="0094088C" w:rsidRDefault="007A300E" w:rsidP="0088668E">
      <w:pPr>
        <w:pStyle w:val="HIPBoxenumlevel"/>
        <w:jc w:val="left"/>
      </w:pPr>
      <w:r w:rsidRPr="007A300E">
        <w:rPr>
          <w:color w:val="008000"/>
        </w:rPr>
        <w:t>•</w:t>
      </w:r>
      <w:r>
        <w:tab/>
      </w:r>
      <w:r w:rsidRPr="0094088C">
        <w:t>TelcentreToolkit – Making the Connection, Scaling Telecntres for Development</w:t>
      </w:r>
      <w:r w:rsidR="005E5682">
        <w:t xml:space="preserve"> – </w:t>
      </w:r>
      <w:hyperlink r:id="rId85" w:history="1">
        <w:r w:rsidRPr="0094088C">
          <w:rPr>
            <w:rStyle w:val="Hyperlink"/>
          </w:rPr>
          <w:t>http://connection.aed.org/pages/MakingConnections.pdf</w:t>
        </w:r>
      </w:hyperlink>
      <w:r w:rsidRPr="0094088C">
        <w:t xml:space="preserve"> </w:t>
      </w:r>
    </w:p>
    <w:p w:rsidR="00D75B19" w:rsidRDefault="00D75B19" w:rsidP="008978A2">
      <w:pPr>
        <w:pStyle w:val="HIPNormal"/>
        <w:rPr>
          <w:lang w:val="en-US"/>
        </w:rPr>
      </w:pPr>
    </w:p>
    <w:p w:rsidR="007A300E" w:rsidRDefault="007A300E">
      <w:pPr>
        <w:rPr>
          <w:rFonts w:ascii="Calibri" w:hAnsi="Calibri" w:cs="Arial"/>
          <w:color w:val="000000"/>
          <w:sz w:val="21"/>
          <w:lang w:val="en-US"/>
        </w:rPr>
      </w:pPr>
      <w:r>
        <w:rPr>
          <w:lang w:val="en-US"/>
        </w:rPr>
        <w:br w:type="page"/>
      </w:r>
    </w:p>
    <w:p w:rsidR="005B59F7" w:rsidRPr="00C604A4" w:rsidRDefault="0088668E" w:rsidP="0088668E">
      <w:pPr>
        <w:pStyle w:val="HIPHeading2"/>
      </w:pPr>
      <w:bookmarkStart w:id="416" w:name="_Toc284598016"/>
      <w:bookmarkStart w:id="417" w:name="_Toc286144988"/>
      <w:r>
        <w:lastRenderedPageBreak/>
        <w:t>3.6</w:t>
      </w:r>
      <w:r>
        <w:tab/>
      </w:r>
      <w:r w:rsidR="005B59F7" w:rsidRPr="000F5A2C">
        <w:t>ELIGIB</w:t>
      </w:r>
      <w:r w:rsidR="005B59F7">
        <w:t>ILITY CRITERIA</w:t>
      </w:r>
      <w:bookmarkEnd w:id="416"/>
      <w:bookmarkEnd w:id="417"/>
    </w:p>
    <w:p w:rsidR="005B59F7" w:rsidRDefault="0088668E" w:rsidP="0088668E">
      <w:pPr>
        <w:pStyle w:val="HIPheading3"/>
      </w:pPr>
      <w:bookmarkStart w:id="418" w:name="_Toc284598017"/>
      <w:bookmarkStart w:id="419" w:name="_Toc286144989"/>
      <w:r>
        <w:t>3.6.</w:t>
      </w:r>
      <w:r w:rsidR="005B59F7">
        <w:t>1</w:t>
      </w:r>
      <w:r w:rsidR="005B59F7">
        <w:tab/>
        <w:t>Eligible Costs</w:t>
      </w:r>
      <w:bookmarkEnd w:id="418"/>
      <w:bookmarkEnd w:id="419"/>
    </w:p>
    <w:p w:rsidR="005B59F7" w:rsidRPr="000F5A2C" w:rsidRDefault="0088668E" w:rsidP="0088668E">
      <w:pPr>
        <w:pStyle w:val="HIPheading4"/>
      </w:pPr>
      <w:bookmarkStart w:id="420" w:name="_Toc284598018"/>
      <w:r>
        <w:t>3.6.</w:t>
      </w:r>
      <w:r w:rsidR="005B59F7">
        <w:t>1.1</w:t>
      </w:r>
      <w:r w:rsidR="005B59F7">
        <w:tab/>
      </w:r>
      <w:r w:rsidR="005B59F7" w:rsidRPr="000F5A2C">
        <w:t>Funding CAPEX, OPEX or both?</w:t>
      </w:r>
      <w:bookmarkEnd w:id="420"/>
    </w:p>
    <w:p w:rsidR="005B59F7" w:rsidRDefault="005B59F7" w:rsidP="005B59F7">
      <w:pPr>
        <w:pStyle w:val="HIPNormal"/>
        <w:rPr>
          <w:lang w:val="en-US"/>
        </w:rPr>
      </w:pPr>
      <w:r w:rsidRPr="000F5A2C">
        <w:rPr>
          <w:lang w:val="en-US"/>
        </w:rPr>
        <w:t>An important decision, often decided in legislation or the Fund’s mandate related to what subsides may be used for.</w:t>
      </w:r>
      <w:r>
        <w:rPr>
          <w:lang w:val="en-US"/>
        </w:rPr>
        <w:t xml:space="preserve"> This should be captured in a Subsidisation Policy or Eligible Costs G</w:t>
      </w:r>
      <w:r>
        <w:rPr>
          <w:rFonts w:hint="eastAsia"/>
          <w:lang w:val="en-US"/>
        </w:rPr>
        <w:t>uidelines</w:t>
      </w:r>
      <w:r>
        <w:rPr>
          <w:lang w:val="en-US"/>
        </w:rPr>
        <w:t>.</w:t>
      </w:r>
      <w:r w:rsidRPr="000F5A2C">
        <w:rPr>
          <w:lang w:val="en-US"/>
        </w:rPr>
        <w:t xml:space="preserve"> </w:t>
      </w:r>
    </w:p>
    <w:p w:rsidR="005B59F7" w:rsidRPr="00B22269" w:rsidRDefault="005B59F7" w:rsidP="005B59F7">
      <w:pPr>
        <w:pStyle w:val="HIPNormal"/>
        <w:rPr>
          <w:lang w:val="en-US"/>
        </w:rPr>
      </w:pPr>
      <w:r w:rsidRPr="000F5A2C">
        <w:rPr>
          <w:lang w:val="en-US"/>
        </w:rPr>
        <w:t>Many Funds focus on the provision of subsidies for in</w:t>
      </w:r>
      <w:r w:rsidRPr="00B22269">
        <w:rPr>
          <w:lang w:val="en-US"/>
        </w:rPr>
        <w:t>frastructure, with Funds such as that in Pakistan being limited to providing money for CAPEX initially. Recently, in light of the realization that projects must be sustainable, a total cost of operations approach is preferable. Thus where infrastructure is funded, it may also require elements of Opex such as human resource, energy and transmission costs, to be covered in order to make the project sustainable in rural areas where these costs may be higher than in urban networks.</w:t>
      </w:r>
    </w:p>
    <w:p w:rsidR="005B59F7" w:rsidRPr="00B22269" w:rsidRDefault="005B59F7" w:rsidP="005B59F7">
      <w:pPr>
        <w:pStyle w:val="HIPNormal"/>
        <w:rPr>
          <w:lang w:val="en-US"/>
        </w:rPr>
      </w:pPr>
      <w:r w:rsidRPr="00B22269">
        <w:rPr>
          <w:lang w:val="en-US"/>
        </w:rPr>
        <w:t>The USF model in Pakistan has been to subsidise CAPEX. Initial auctions brought a lot of interest and bids from the market. However, high Opex and low revenues in rural areas is discouraging operators in Pakistan for bidding for projects in more remote and more sparsely populated areas.</w:t>
      </w:r>
      <w:r w:rsidR="005E5682">
        <w:rPr>
          <w:lang w:val="en-US"/>
        </w:rPr>
        <w:t xml:space="preserve"> </w:t>
      </w:r>
      <w:r w:rsidRPr="00B22269">
        <w:rPr>
          <w:lang w:val="en-US"/>
        </w:rPr>
        <w:t xml:space="preserve">In response to this dilemma, </w:t>
      </w:r>
      <w:r>
        <w:rPr>
          <w:lang w:val="en-US"/>
        </w:rPr>
        <w:t xml:space="preserve">in </w:t>
      </w:r>
      <w:r w:rsidRPr="00B22269">
        <w:rPr>
          <w:lang w:val="en-US"/>
        </w:rPr>
        <w:t>Pakistan, the USF issued a public consultation document</w:t>
      </w:r>
      <w:r>
        <w:rPr>
          <w:rStyle w:val="FootnoteReference"/>
        </w:rPr>
        <w:footnoteReference w:id="79"/>
      </w:r>
      <w:r w:rsidRPr="00B22269">
        <w:rPr>
          <w:lang w:val="en-US"/>
        </w:rPr>
        <w:t xml:space="preserve"> that provided a high level view on the operational expenditure related to rural infrastructure projects. The USF proposed that Opex costs for a typical GSM or CDMA network in a rural area, which is variable depending on the location, population, traffic, etc, consists of:</w:t>
      </w:r>
    </w:p>
    <w:p w:rsidR="005B59F7" w:rsidRDefault="005B59F7" w:rsidP="005B59F7">
      <w:pPr>
        <w:pStyle w:val="HIPEnumlev1"/>
      </w:pPr>
      <w:r>
        <w:t>Energy Costs (60%), which includes</w:t>
      </w:r>
    </w:p>
    <w:p w:rsidR="005B59F7" w:rsidRDefault="005B59F7" w:rsidP="005B59F7">
      <w:pPr>
        <w:pStyle w:val="HIPEnumlev2"/>
        <w:numPr>
          <w:ilvl w:val="0"/>
          <w:numId w:val="11"/>
        </w:numPr>
        <w:tabs>
          <w:tab w:val="clear" w:pos="1418"/>
        </w:tabs>
        <w:ind w:left="1276"/>
      </w:pPr>
      <w:r>
        <w:t>Commercial (20%)</w:t>
      </w:r>
    </w:p>
    <w:p w:rsidR="005B59F7" w:rsidRDefault="005B59F7" w:rsidP="005B59F7">
      <w:pPr>
        <w:pStyle w:val="HIPEnumlev2"/>
        <w:numPr>
          <w:ilvl w:val="0"/>
          <w:numId w:val="11"/>
        </w:numPr>
        <w:tabs>
          <w:tab w:val="clear" w:pos="1418"/>
        </w:tabs>
        <w:ind w:left="1276"/>
      </w:pPr>
      <w:r>
        <w:t>Generator fuel (40%)</w:t>
      </w:r>
    </w:p>
    <w:p w:rsidR="005B59F7" w:rsidRDefault="005B59F7" w:rsidP="005B59F7">
      <w:pPr>
        <w:pStyle w:val="HIPEnumlev1"/>
      </w:pPr>
      <w:r>
        <w:t>Transmission/backhaul costs (15%)</w:t>
      </w:r>
    </w:p>
    <w:p w:rsidR="005B59F7" w:rsidRDefault="005B59F7" w:rsidP="005B59F7">
      <w:pPr>
        <w:pStyle w:val="HIPEnumlev1"/>
      </w:pPr>
      <w:r>
        <w:t>Other costs (25%), which includes</w:t>
      </w:r>
    </w:p>
    <w:p w:rsidR="005B59F7" w:rsidRDefault="005B59F7" w:rsidP="005B59F7">
      <w:pPr>
        <w:pStyle w:val="HIPEnumlev2"/>
        <w:numPr>
          <w:ilvl w:val="0"/>
          <w:numId w:val="11"/>
        </w:numPr>
        <w:tabs>
          <w:tab w:val="clear" w:pos="1418"/>
        </w:tabs>
        <w:ind w:left="1276"/>
      </w:pPr>
      <w:r>
        <w:t>Security costs</w:t>
      </w:r>
      <w:r w:rsidR="005E5682">
        <w:t xml:space="preserve"> </w:t>
      </w:r>
      <w:r>
        <w:t>(5%)</w:t>
      </w:r>
    </w:p>
    <w:p w:rsidR="005B59F7" w:rsidRPr="002E4AE1" w:rsidRDefault="005B59F7" w:rsidP="005B59F7">
      <w:pPr>
        <w:pStyle w:val="HIPEnumlev2"/>
        <w:numPr>
          <w:ilvl w:val="0"/>
          <w:numId w:val="11"/>
        </w:numPr>
        <w:tabs>
          <w:tab w:val="clear" w:pos="1418"/>
        </w:tabs>
        <w:ind w:left="1276"/>
      </w:pPr>
      <w:r w:rsidRPr="002E4AE1">
        <w:t>Operations and maintenance (O&amp;M) (18%)</w:t>
      </w:r>
    </w:p>
    <w:p w:rsidR="005B59F7" w:rsidRDefault="005B59F7" w:rsidP="005B59F7">
      <w:pPr>
        <w:pStyle w:val="HIPEnumlev2"/>
        <w:numPr>
          <w:ilvl w:val="0"/>
          <w:numId w:val="11"/>
        </w:numPr>
        <w:tabs>
          <w:tab w:val="clear" w:pos="1418"/>
        </w:tabs>
        <w:ind w:left="1276"/>
      </w:pPr>
      <w:r>
        <w:t>Insurance costs</w:t>
      </w:r>
      <w:r w:rsidR="005E5682">
        <w:t xml:space="preserve"> </w:t>
      </w:r>
      <w:r>
        <w:t>(2%)</w:t>
      </w:r>
    </w:p>
    <w:p w:rsidR="005B59F7" w:rsidRPr="00B22269" w:rsidRDefault="005B59F7" w:rsidP="005B59F7">
      <w:pPr>
        <w:pStyle w:val="HIPNormal"/>
        <w:rPr>
          <w:lang w:val="en-US"/>
        </w:rPr>
      </w:pPr>
      <w:r w:rsidRPr="00B22269">
        <w:rPr>
          <w:lang w:val="en-US"/>
        </w:rPr>
        <w:t xml:space="preserve">The above-mentioned costs are considered to be higher in rural areas than in urban areas in light of the characteristics of these areas. </w:t>
      </w:r>
    </w:p>
    <w:p w:rsidR="005B59F7" w:rsidRPr="005B59F7" w:rsidRDefault="0088668E" w:rsidP="0088668E">
      <w:pPr>
        <w:pStyle w:val="HIPheading4"/>
      </w:pPr>
      <w:bookmarkStart w:id="421" w:name="_Toc284598019"/>
      <w:r>
        <w:t>3.6.</w:t>
      </w:r>
      <w:r w:rsidR="005B59F7">
        <w:t>1.2</w:t>
      </w:r>
      <w:r w:rsidR="005B59F7">
        <w:tab/>
      </w:r>
      <w:r w:rsidR="005B59F7" w:rsidRPr="0005608F">
        <w:t>Non-Infrastructure projects</w:t>
      </w:r>
      <w:bookmarkEnd w:id="421"/>
    </w:p>
    <w:p w:rsidR="005B59F7" w:rsidRDefault="005B59F7" w:rsidP="005B59F7">
      <w:pPr>
        <w:pStyle w:val="HIPNormal"/>
        <w:rPr>
          <w:lang w:val="en-US"/>
        </w:rPr>
      </w:pPr>
      <w:r w:rsidRPr="00B22269">
        <w:rPr>
          <w:lang w:val="en-US"/>
        </w:rPr>
        <w:t>Importantly, in making this decision, it should be noted that non-infrastructure projects are</w:t>
      </w:r>
      <w:r>
        <w:rPr>
          <w:lang w:val="en-US"/>
        </w:rPr>
        <w:t xml:space="preserve"> also key. In certain projects</w:t>
      </w:r>
      <w:r w:rsidRPr="00B22269">
        <w:rPr>
          <w:lang w:val="en-US"/>
        </w:rPr>
        <w:t xml:space="preserve"> such as</w:t>
      </w:r>
      <w:r>
        <w:rPr>
          <w:lang w:val="en-US"/>
        </w:rPr>
        <w:t xml:space="preserve"> those promoting applications and content, or those stimulating demand such as </w:t>
      </w:r>
      <w:r w:rsidRPr="00B22269">
        <w:rPr>
          <w:lang w:val="en-US"/>
        </w:rPr>
        <w:t>‘e-rate’</w:t>
      </w:r>
      <w:r>
        <w:rPr>
          <w:lang w:val="en-US"/>
        </w:rPr>
        <w:t>,</w:t>
      </w:r>
      <w:r w:rsidRPr="00B22269">
        <w:rPr>
          <w:lang w:val="en-US"/>
        </w:rPr>
        <w:t xml:space="preserve"> telecenter or schools programmes, ideal funding may not include any infrastructure. CAPEX will relate to equipment and furniture, however in these cases funding of OPEX is even more critical.</w:t>
      </w:r>
    </w:p>
    <w:p w:rsidR="005B59F7" w:rsidRDefault="0088668E" w:rsidP="0088668E">
      <w:pPr>
        <w:pStyle w:val="HIPheading3"/>
      </w:pPr>
      <w:bookmarkStart w:id="422" w:name="_Toc281459599"/>
      <w:bookmarkStart w:id="423" w:name="_Toc284598020"/>
      <w:bookmarkStart w:id="424" w:name="_Toc286144990"/>
      <w:r>
        <w:lastRenderedPageBreak/>
        <w:t>3.6.</w:t>
      </w:r>
      <w:r w:rsidR="005B59F7">
        <w:t>2</w:t>
      </w:r>
      <w:r w:rsidR="005B59F7">
        <w:tab/>
      </w:r>
      <w:r w:rsidR="005B59F7" w:rsidRPr="0005608F">
        <w:t>Eligible bidders</w:t>
      </w:r>
      <w:bookmarkEnd w:id="422"/>
      <w:bookmarkEnd w:id="423"/>
      <w:bookmarkEnd w:id="424"/>
    </w:p>
    <w:p w:rsidR="005B59F7" w:rsidRDefault="005B59F7" w:rsidP="003C5FE7">
      <w:pPr>
        <w:pStyle w:val="HIPNormal"/>
        <w:spacing w:before="140"/>
        <w:rPr>
          <w:lang w:val="en-US"/>
        </w:rPr>
      </w:pPr>
      <w:r>
        <w:rPr>
          <w:lang w:val="en-US"/>
        </w:rPr>
        <w:t xml:space="preserve">The </w:t>
      </w:r>
      <w:r>
        <w:rPr>
          <w:rFonts w:hint="eastAsia"/>
          <w:lang w:val="en-US"/>
        </w:rPr>
        <w:t>requirement</w:t>
      </w:r>
      <w:r>
        <w:rPr>
          <w:lang w:val="en-US"/>
        </w:rPr>
        <w:t xml:space="preserve"> that projects do not distort the market is key and remains the same regardless of the financing model adopted. It is central to the design of bidding processes and the determination of eligible bidders whether in a traditional Fund financing model, or in a PPP exercise.</w:t>
      </w:r>
      <w:r w:rsidR="005E5682">
        <w:rPr>
          <w:lang w:val="en-US"/>
        </w:rPr>
        <w:t xml:space="preserve"> </w:t>
      </w:r>
    </w:p>
    <w:p w:rsidR="005B59F7" w:rsidRDefault="005B59F7" w:rsidP="003C5FE7">
      <w:pPr>
        <w:pStyle w:val="HIPNormal"/>
        <w:spacing w:before="140"/>
        <w:rPr>
          <w:lang w:val="en-US"/>
        </w:rPr>
      </w:pPr>
      <w:r w:rsidRPr="0005608F">
        <w:rPr>
          <w:lang w:val="en-US"/>
        </w:rPr>
        <w:t>In</w:t>
      </w:r>
      <w:r>
        <w:rPr>
          <w:lang w:val="en-US"/>
        </w:rPr>
        <w:t xml:space="preserve"> the case of a Fund in</w:t>
      </w:r>
      <w:r w:rsidRPr="0005608F">
        <w:rPr>
          <w:lang w:val="en-US"/>
        </w:rPr>
        <w:t xml:space="preserve"> determining </w:t>
      </w:r>
      <w:r>
        <w:rPr>
          <w:lang w:val="en-US"/>
        </w:rPr>
        <w:t>bidder e</w:t>
      </w:r>
      <w:r w:rsidRPr="0005608F">
        <w:rPr>
          <w:lang w:val="en-US"/>
        </w:rPr>
        <w:t>ligibility, key questions that the Fund Administrator must answer include whether the following categories of co</w:t>
      </w:r>
      <w:r>
        <w:rPr>
          <w:lang w:val="en-US"/>
        </w:rPr>
        <w:t>mpanies are eligible to compete. Typically the categories that are considered globally include:</w:t>
      </w:r>
    </w:p>
    <w:p w:rsidR="005B59F7" w:rsidRDefault="005B59F7" w:rsidP="003C5FE7">
      <w:pPr>
        <w:pStyle w:val="HIPEnumlev1"/>
        <w:spacing w:before="80"/>
      </w:pPr>
      <w:r>
        <w:t>State owned Entities – in Australia and India state owned entities are Fund beneficiaries and thus amongst those eligible to apply – they must however compete equally with similarly licensed players in the market;</w:t>
      </w:r>
    </w:p>
    <w:p w:rsidR="005B59F7" w:rsidRDefault="005B59F7" w:rsidP="003C5FE7">
      <w:pPr>
        <w:pStyle w:val="HIPEnumlev1"/>
        <w:spacing w:before="80"/>
      </w:pPr>
      <w:r>
        <w:t>New Entrants – in many countries new entrants are excluded through eligibility criteria (implicitly) due to a lack on track record;</w:t>
      </w:r>
    </w:p>
    <w:p w:rsidR="005B59F7" w:rsidRDefault="005B59F7" w:rsidP="003C5FE7">
      <w:pPr>
        <w:pStyle w:val="HIPEnumlev1"/>
        <w:spacing w:before="80"/>
      </w:pPr>
      <w:r>
        <w:t xml:space="preserve">Non-licensed companies, as in the case in Latin American countries where provision of </w:t>
      </w:r>
      <w:r>
        <w:rPr>
          <w:rFonts w:hint="eastAsia"/>
        </w:rPr>
        <w:t>universal</w:t>
      </w:r>
      <w:r>
        <w:t xml:space="preserve"> access was seen as a means to achieve a license in otherwise closed markets – hence bids for some regional projects (and licences) </w:t>
      </w:r>
      <w:bookmarkStart w:id="425" w:name="_Toc281459600"/>
    </w:p>
    <w:p w:rsidR="005B59F7" w:rsidRPr="005B59F7" w:rsidRDefault="0088668E" w:rsidP="0088668E">
      <w:pPr>
        <w:pStyle w:val="HIPheading3"/>
      </w:pPr>
      <w:bookmarkStart w:id="426" w:name="_Toc284598021"/>
      <w:bookmarkStart w:id="427" w:name="_Toc286144991"/>
      <w:r>
        <w:t>3.6.</w:t>
      </w:r>
      <w:r w:rsidR="005B59F7">
        <w:t>3</w:t>
      </w:r>
      <w:r w:rsidR="005B59F7">
        <w:tab/>
        <w:t>Eligible Areas</w:t>
      </w:r>
      <w:bookmarkEnd w:id="426"/>
      <w:bookmarkEnd w:id="427"/>
    </w:p>
    <w:bookmarkEnd w:id="425"/>
    <w:p w:rsidR="005B59F7" w:rsidRPr="0005608F" w:rsidRDefault="005B59F7" w:rsidP="003C5FE7">
      <w:pPr>
        <w:pStyle w:val="HIPNormal"/>
        <w:spacing w:before="140"/>
        <w:rPr>
          <w:lang w:val="en-US"/>
        </w:rPr>
      </w:pPr>
      <w:r w:rsidRPr="0005608F">
        <w:rPr>
          <w:lang w:val="en-US"/>
        </w:rPr>
        <w:t>Fund Administrators must make a critical and strategic decision regarding the designation of areas in which the competition will be held. Amongst the key initial considerations to be made by Fund Administrator</w:t>
      </w:r>
      <w:r>
        <w:rPr>
          <w:lang w:val="en-US"/>
        </w:rPr>
        <w:t xml:space="preserve">s are </w:t>
      </w:r>
      <w:r w:rsidRPr="0005608F">
        <w:rPr>
          <w:lang w:val="en-US"/>
        </w:rPr>
        <w:t>competitive market interests</w:t>
      </w:r>
      <w:r w:rsidR="005E5682">
        <w:rPr>
          <w:lang w:val="en-US"/>
        </w:rPr>
        <w:t xml:space="preserve"> – </w:t>
      </w:r>
      <w:r w:rsidRPr="0005608F">
        <w:rPr>
          <w:lang w:val="en-US"/>
        </w:rPr>
        <w:t>assess the apparent commercial interests of the players likely to bid, and group the UAS areas in such a way as to increase attractiveness and maximise the number of competitors.</w:t>
      </w:r>
    </w:p>
    <w:p w:rsidR="005B59F7" w:rsidRDefault="005B59F7" w:rsidP="003C5FE7">
      <w:pPr>
        <w:pStyle w:val="HIPNormal"/>
        <w:spacing w:before="140"/>
        <w:rPr>
          <w:lang w:val="en-GB"/>
        </w:rPr>
      </w:pPr>
      <w:r>
        <w:rPr>
          <w:lang w:val="en-US"/>
        </w:rPr>
        <w:t xml:space="preserve">Eligible areas may differ depending on the service or network to be provided. As </w:t>
      </w:r>
      <w:r>
        <w:rPr>
          <w:rFonts w:hint="eastAsia"/>
          <w:lang w:val="en-US"/>
        </w:rPr>
        <w:t>discussed</w:t>
      </w:r>
      <w:r>
        <w:rPr>
          <w:lang w:val="en-US"/>
        </w:rPr>
        <w:t xml:space="preserve"> in Part 2, </w:t>
      </w:r>
      <w:r>
        <w:rPr>
          <w:lang w:val="en-GB"/>
        </w:rPr>
        <w:t>the traditional universal access model used is to identify the market access gaps and use the USAF to finance rollout outside of the market efficiency gap.</w:t>
      </w:r>
      <w:r w:rsidR="005E5682">
        <w:rPr>
          <w:lang w:val="en-GB"/>
        </w:rPr>
        <w:t xml:space="preserve"> </w:t>
      </w:r>
    </w:p>
    <w:p w:rsidR="005B59F7" w:rsidRDefault="005B59F7" w:rsidP="003C5FE7">
      <w:pPr>
        <w:pStyle w:val="HIPNormal"/>
        <w:spacing w:before="140"/>
        <w:rPr>
          <w:lang w:val="en-US"/>
        </w:rPr>
      </w:pPr>
      <w:r>
        <w:rPr>
          <w:lang w:val="en-GB"/>
        </w:rPr>
        <w:t xml:space="preserve">However, in the case of next generation network and broadband projects </w:t>
      </w:r>
      <w:r w:rsidRPr="0006693F">
        <w:rPr>
          <w:lang w:val="en-US"/>
        </w:rPr>
        <w:t xml:space="preserve">(whose deployment is still at an early stage, </w:t>
      </w:r>
      <w:r>
        <w:rPr>
          <w:lang w:val="en-GB"/>
        </w:rPr>
        <w:t xml:space="preserve">yet it is critical that the public has access to the services on an urgent basis for them to </w:t>
      </w:r>
      <w:r>
        <w:rPr>
          <w:rFonts w:hint="eastAsia"/>
          <w:lang w:val="en-GB"/>
        </w:rPr>
        <w:t>participate</w:t>
      </w:r>
      <w:r>
        <w:rPr>
          <w:lang w:val="en-GB"/>
        </w:rPr>
        <w:t xml:space="preserve"> effectively in society), assessment of market access, efficiency and true gaps will not lead to the identification of areas needing attention. Rather, broadband and next generation </w:t>
      </w:r>
      <w:r>
        <w:rPr>
          <w:rFonts w:hint="eastAsia"/>
          <w:lang w:val="en-GB"/>
        </w:rPr>
        <w:t>networks</w:t>
      </w:r>
      <w:r>
        <w:rPr>
          <w:lang w:val="en-GB"/>
        </w:rPr>
        <w:t xml:space="preserve">, which have a different rationale for their </w:t>
      </w:r>
      <w:r>
        <w:rPr>
          <w:rFonts w:hint="eastAsia"/>
          <w:lang w:val="en-GB"/>
        </w:rPr>
        <w:t>financing</w:t>
      </w:r>
      <w:r>
        <w:rPr>
          <w:lang w:val="en-GB"/>
        </w:rPr>
        <w:t>, but still should not be financed through market distorting measures should follow a new model. The EU S</w:t>
      </w:r>
      <w:r w:rsidRPr="0006693F">
        <w:rPr>
          <w:lang w:val="en-US"/>
        </w:rPr>
        <w:t xml:space="preserve">tate Aid Guidelines follow a colour-coded map of areas that should be awarded funds. Areas with no broadband infrastructure are considered “white” and are more likely to receive aid, while “black” areas, with at least two or more broadband network providers, and “grey” areas, with just one, may find it harder to pass a state aid market test. Member </w:t>
      </w:r>
      <w:r w:rsidRPr="0006693F">
        <w:rPr>
          <w:rStyle w:val="highlightedsearchterm"/>
          <w:lang w:val="en-US"/>
        </w:rPr>
        <w:t>State</w:t>
      </w:r>
      <w:r w:rsidRPr="0006693F">
        <w:rPr>
          <w:lang w:val="en-US"/>
        </w:rPr>
        <w:t>s have to in the case of NGN take into account not only existing NGN infrastructures but also concrete investment plans by telecom operators to deploy such networks in the near future.</w:t>
      </w:r>
    </w:p>
    <w:p w:rsidR="005B59F7" w:rsidRDefault="0088668E" w:rsidP="0088668E">
      <w:pPr>
        <w:pStyle w:val="HIPheading3"/>
      </w:pPr>
      <w:bookmarkStart w:id="428" w:name="_Toc284598022"/>
      <w:bookmarkStart w:id="429" w:name="_Toc286144992"/>
      <w:r>
        <w:t>3.6.</w:t>
      </w:r>
      <w:r w:rsidR="005B59F7">
        <w:t>4</w:t>
      </w:r>
      <w:r w:rsidR="005B59F7">
        <w:tab/>
        <w:t>SADC Experience: Eligibility Criteria</w:t>
      </w:r>
      <w:bookmarkEnd w:id="428"/>
      <w:bookmarkEnd w:id="429"/>
    </w:p>
    <w:p w:rsidR="005B59F7" w:rsidRPr="00FD3C0B" w:rsidRDefault="0088668E" w:rsidP="0088668E">
      <w:pPr>
        <w:pStyle w:val="HIPheading4"/>
        <w:ind w:left="851" w:hanging="851"/>
      </w:pPr>
      <w:r>
        <w:t>3.6.</w:t>
      </w:r>
      <w:r w:rsidR="005B59F7">
        <w:t>4.1</w:t>
      </w:r>
      <w:r w:rsidR="005B59F7">
        <w:tab/>
      </w:r>
      <w:bookmarkStart w:id="430" w:name="_Toc284598023"/>
      <w:r w:rsidR="005B59F7">
        <w:t xml:space="preserve">Eligibility of </w:t>
      </w:r>
      <w:r w:rsidR="005B59F7" w:rsidRPr="00FD3C0B">
        <w:t xml:space="preserve">State owned entities/ parastatals/ government-owned companies </w:t>
      </w:r>
      <w:r w:rsidR="005B59F7">
        <w:t>to be financed</w:t>
      </w:r>
      <w:bookmarkEnd w:id="430"/>
    </w:p>
    <w:p w:rsidR="005B59F7" w:rsidRPr="0005608F" w:rsidRDefault="005B59F7" w:rsidP="003C5FE7">
      <w:pPr>
        <w:pStyle w:val="HIPNormal"/>
        <w:spacing w:before="140"/>
        <w:rPr>
          <w:lang w:val="en-US"/>
        </w:rPr>
      </w:pPr>
      <w:r w:rsidRPr="0005608F">
        <w:rPr>
          <w:lang w:val="en-US"/>
        </w:rPr>
        <w:t>The main concern with government owned</w:t>
      </w:r>
      <w:r>
        <w:rPr>
          <w:lang w:val="en-US"/>
        </w:rPr>
        <w:t xml:space="preserve"> companies competing for subsidies</w:t>
      </w:r>
      <w:r w:rsidRPr="0005608F">
        <w:rPr>
          <w:lang w:val="en-US"/>
        </w:rPr>
        <w:t xml:space="preserve">, is the potential for conflict of interest as UAS competition is </w:t>
      </w:r>
      <w:r>
        <w:rPr>
          <w:lang w:val="en-US"/>
        </w:rPr>
        <w:t xml:space="preserve">in fact </w:t>
      </w:r>
      <w:r w:rsidRPr="0005608F">
        <w:rPr>
          <w:lang w:val="en-US"/>
        </w:rPr>
        <w:t>the implementation of government policy.</w:t>
      </w:r>
      <w:r w:rsidR="005E5682">
        <w:rPr>
          <w:lang w:val="en-US"/>
        </w:rPr>
        <w:t xml:space="preserve"> </w:t>
      </w:r>
      <w:r w:rsidRPr="0005608F">
        <w:rPr>
          <w:lang w:val="en-US"/>
        </w:rPr>
        <w:t>This raises the question of whether the government can be impartial in awarding a UAS subsidy if a participating firm is owned or partially owned by the government. This scenario would have to be considered in SADC countries such as:</w:t>
      </w:r>
    </w:p>
    <w:p w:rsidR="005B59F7" w:rsidRPr="0005608F" w:rsidRDefault="005B59F7" w:rsidP="003C5FE7">
      <w:pPr>
        <w:pStyle w:val="HIPEnumlev1"/>
        <w:spacing w:before="80"/>
      </w:pPr>
      <w:r w:rsidRPr="0005608F">
        <w:lastRenderedPageBreak/>
        <w:t>South Africa – Sentech, Telkom, Broadband Infraco, SABC</w:t>
      </w:r>
    </w:p>
    <w:p w:rsidR="005B59F7" w:rsidRDefault="005B59F7" w:rsidP="003C5FE7">
      <w:pPr>
        <w:pStyle w:val="HIPEnumlev1"/>
        <w:spacing w:before="80"/>
      </w:pPr>
      <w:r>
        <w:t>Zambia – Zamtel</w:t>
      </w:r>
    </w:p>
    <w:p w:rsidR="005B59F7" w:rsidRPr="0005608F" w:rsidRDefault="005B59F7" w:rsidP="003C5FE7">
      <w:pPr>
        <w:pStyle w:val="HIPEnumlev1"/>
        <w:spacing w:before="80"/>
      </w:pPr>
      <w:r w:rsidRPr="0005608F">
        <w:t xml:space="preserve">Tanzania – TTCL, Airtel (formerly Zain), </w:t>
      </w:r>
    </w:p>
    <w:p w:rsidR="005B59F7" w:rsidRDefault="005B59F7" w:rsidP="003C5FE7">
      <w:pPr>
        <w:pStyle w:val="HIPEnumlev1"/>
        <w:spacing w:before="80"/>
      </w:pPr>
      <w:r>
        <w:t>Swaziland – MTN Swaziland</w:t>
      </w:r>
    </w:p>
    <w:p w:rsidR="005B59F7" w:rsidRDefault="005B59F7" w:rsidP="003C5FE7">
      <w:pPr>
        <w:pStyle w:val="HIPNormal"/>
        <w:spacing w:before="140"/>
        <w:rPr>
          <w:lang w:val="en-US"/>
        </w:rPr>
      </w:pPr>
      <w:r w:rsidRPr="0005608F">
        <w:rPr>
          <w:lang w:val="en-US"/>
        </w:rPr>
        <w:t xml:space="preserve">Best practice dictates that there is no fundamental problem with government owned companies being awarded projects if the process followed has been transparent and fair – this is linked to the </w:t>
      </w:r>
      <w:r w:rsidRPr="00153224">
        <w:rPr>
          <w:lang w:val="en-US"/>
        </w:rPr>
        <w:t xml:space="preserve">institutional framework. The process of selecting the state owned entity as the universal access provider should have been carried out in the public (through consultation processes), should be fair, and the opportunity to </w:t>
      </w:r>
      <w:r w:rsidRPr="00153224">
        <w:rPr>
          <w:rFonts w:hint="eastAsia"/>
          <w:lang w:val="en-US"/>
        </w:rPr>
        <w:t>participate</w:t>
      </w:r>
      <w:r w:rsidRPr="00153224">
        <w:rPr>
          <w:lang w:val="en-US"/>
        </w:rPr>
        <w:t xml:space="preserve"> should have been made available to other </w:t>
      </w:r>
      <w:r w:rsidRPr="00153224">
        <w:rPr>
          <w:rFonts w:hint="eastAsia"/>
          <w:lang w:val="en-US"/>
        </w:rPr>
        <w:t>participants</w:t>
      </w:r>
      <w:r w:rsidRPr="00153224">
        <w:rPr>
          <w:lang w:val="en-US"/>
        </w:rPr>
        <w:t xml:space="preserve"> in a similar situation in the market. In a liberalized environment, the Fund Manger will sit outside of the Ministry, a</w:t>
      </w:r>
      <w:r w:rsidRPr="0005608F">
        <w:rPr>
          <w:lang w:val="en-US"/>
        </w:rPr>
        <w:t>nd thus will not be responsible for conducting the process.</w:t>
      </w:r>
      <w:r w:rsidR="005E5682">
        <w:rPr>
          <w:lang w:val="en-US"/>
        </w:rPr>
        <w:t xml:space="preserve"> </w:t>
      </w:r>
      <w:r w:rsidRPr="0005608F">
        <w:rPr>
          <w:lang w:val="en-US"/>
        </w:rPr>
        <w:t xml:space="preserve">This also assumes that the companies are contributors to the USAF. </w:t>
      </w:r>
    </w:p>
    <w:p w:rsidR="005B59F7" w:rsidRPr="00FD3C0B" w:rsidRDefault="0088668E" w:rsidP="0088668E">
      <w:pPr>
        <w:pStyle w:val="HIPheading4"/>
      </w:pPr>
      <w:bookmarkStart w:id="431" w:name="_Toc284598024"/>
      <w:r>
        <w:t>3.6.</w:t>
      </w:r>
      <w:r w:rsidR="005B59F7">
        <w:t>4.2</w:t>
      </w:r>
      <w:r w:rsidR="005B59F7">
        <w:tab/>
        <w:t xml:space="preserve">Eligibility of </w:t>
      </w:r>
      <w:r w:rsidR="005B59F7" w:rsidRPr="00FD3C0B">
        <w:t>New entrants and smaller players</w:t>
      </w:r>
      <w:bookmarkEnd w:id="431"/>
      <w:r w:rsidR="005B59F7" w:rsidRPr="00FD3C0B">
        <w:t xml:space="preserve"> </w:t>
      </w:r>
    </w:p>
    <w:p w:rsidR="005B59F7" w:rsidRDefault="005B59F7" w:rsidP="003C5FE7">
      <w:pPr>
        <w:pStyle w:val="HIPNormal"/>
        <w:spacing w:before="140"/>
        <w:rPr>
          <w:lang w:val="en-US"/>
        </w:rPr>
      </w:pPr>
      <w:r>
        <w:rPr>
          <w:lang w:val="en-US"/>
        </w:rPr>
        <w:t xml:space="preserve">No SADC countries have explicitly excluded new entrants from their bidding processes. </w:t>
      </w:r>
      <w:r w:rsidRPr="0005608F">
        <w:rPr>
          <w:lang w:val="en-US"/>
        </w:rPr>
        <w:t>New entrants are contributors to the Fund, but in many instances can be excluded from participating in the bidding process on the basis of lack of experience or track record in the market. For example, if one of the criteria is 5 years of network rollout experience, and the newest entrant was licensed 3 years prior. This requirement would effectively disqualify such a company from competing.</w:t>
      </w:r>
      <w:r w:rsidR="005E5682">
        <w:rPr>
          <w:lang w:val="en-US"/>
        </w:rPr>
        <w:t xml:space="preserve"> </w:t>
      </w:r>
    </w:p>
    <w:p w:rsidR="005B59F7" w:rsidRPr="00FD3C0B" w:rsidRDefault="0088668E" w:rsidP="0088668E">
      <w:pPr>
        <w:pStyle w:val="HIPheading4"/>
        <w:ind w:left="851" w:hanging="851"/>
      </w:pPr>
      <w:bookmarkStart w:id="432" w:name="_Toc284598025"/>
      <w:r>
        <w:t>3.6.</w:t>
      </w:r>
      <w:r w:rsidR="005B59F7">
        <w:t>4.3</w:t>
      </w:r>
      <w:r w:rsidR="005B59F7">
        <w:tab/>
        <w:t xml:space="preserve">Eligibility of </w:t>
      </w:r>
      <w:r w:rsidR="005B59F7" w:rsidRPr="00FD3C0B">
        <w:t>Non-licensed companies/ companies who do not contribute to the Fund</w:t>
      </w:r>
      <w:bookmarkEnd w:id="432"/>
    </w:p>
    <w:p w:rsidR="005B59F7" w:rsidRDefault="005B59F7" w:rsidP="003C5FE7">
      <w:pPr>
        <w:pStyle w:val="HIPNormal"/>
        <w:spacing w:before="140"/>
        <w:rPr>
          <w:lang w:val="en-US"/>
        </w:rPr>
      </w:pPr>
      <w:r>
        <w:rPr>
          <w:lang w:val="en-US"/>
        </w:rPr>
        <w:t>In South Africa, the USAL licenses were issued in this manner. No other SADC countries appear to have issued licenses to bidders winning USAF subsidies.</w:t>
      </w:r>
      <w:r>
        <w:rPr>
          <w:rStyle w:val="FootnoteReference"/>
          <w:lang w:val="en-US"/>
        </w:rPr>
        <w:footnoteReference w:id="80"/>
      </w:r>
    </w:p>
    <w:p w:rsidR="005B59F7" w:rsidRDefault="005B59F7" w:rsidP="003C5FE7">
      <w:pPr>
        <w:pStyle w:val="HIPNormal"/>
        <w:spacing w:before="140"/>
        <w:rPr>
          <w:lang w:val="en-US"/>
        </w:rPr>
      </w:pPr>
      <w:r w:rsidRPr="0005608F">
        <w:rPr>
          <w:lang w:val="en-US"/>
        </w:rPr>
        <w:t>There are mixed views and approaches with respect to the eligibility of non-licensed, but experienced companies in the bidding process. There are two categories on non-licensed companies. The first is an international company with experience in an external market, but no license in the country – thus no contribution to the Fund. The second could be a local company providing an unlicensed service (e.g. internet cafes). There is debate about whether such companies, particularly the former, should be included.</w:t>
      </w:r>
      <w:r>
        <w:rPr>
          <w:lang w:val="en-US"/>
        </w:rPr>
        <w:t xml:space="preserve"> </w:t>
      </w:r>
    </w:p>
    <w:p w:rsidR="005B59F7" w:rsidRDefault="005B59F7" w:rsidP="003C5FE7">
      <w:pPr>
        <w:pStyle w:val="HIPNormal"/>
        <w:spacing w:before="140"/>
        <w:rPr>
          <w:lang w:val="en-US"/>
        </w:rPr>
      </w:pPr>
      <w:r w:rsidRPr="0005608F">
        <w:rPr>
          <w:lang w:val="en-US"/>
        </w:rPr>
        <w:t>In some instances, the license is part of the award, as such, this is not an issue in these cases. Where it is not, according the ITU Handbook:</w:t>
      </w:r>
    </w:p>
    <w:p w:rsidR="005B59F7" w:rsidRDefault="005B59F7" w:rsidP="003C5FE7">
      <w:pPr>
        <w:pStyle w:val="HIPCitation"/>
        <w:spacing w:before="80"/>
        <w:ind w:right="1134"/>
      </w:pPr>
      <w:r>
        <w:tab/>
      </w:r>
      <w:r w:rsidRPr="0005608F">
        <w:t>In general, existing operators are likely to be in a better position than local or foreign new entrants to win a UAS competitive bid as they already know the market and have an existing network and service provision operation in the country which they may only need to expand, while new entrants need to set up a network and operations from scratch. Nevertheless, new entrants can win UAS tenders if either the local players are uninterested in participating, or if the new entrant is willing to make a low bid as a part of a long-term strategy for entering the market. A similar situation may emerge when new low cost technologies become available that may render irrelevant any potential competitive advantage that existing local operators may have acquired by virtue o</w:t>
      </w:r>
      <w:r>
        <w:t>f their presence in the market.</w:t>
      </w:r>
      <w:r>
        <w:br w:type="page"/>
      </w:r>
    </w:p>
    <w:p w:rsidR="005B59F7" w:rsidRPr="00A7651B" w:rsidRDefault="0088668E" w:rsidP="0088668E">
      <w:pPr>
        <w:pStyle w:val="HIPHeading2"/>
      </w:pPr>
      <w:bookmarkStart w:id="433" w:name="_Toc284598026"/>
      <w:bookmarkStart w:id="434" w:name="_Toc286144993"/>
      <w:r>
        <w:lastRenderedPageBreak/>
        <w:t>3.7</w:t>
      </w:r>
      <w:r>
        <w:tab/>
      </w:r>
      <w:r w:rsidR="00A7651B">
        <w:t>AWARDING SUBSIDIES</w:t>
      </w:r>
      <w:bookmarkEnd w:id="433"/>
      <w:bookmarkEnd w:id="434"/>
    </w:p>
    <w:p w:rsidR="005B59F7" w:rsidRPr="00153224" w:rsidRDefault="0088668E" w:rsidP="0088668E">
      <w:pPr>
        <w:pStyle w:val="HIPheading3"/>
      </w:pPr>
      <w:bookmarkStart w:id="435" w:name="_Toc284598027"/>
      <w:bookmarkStart w:id="436" w:name="_Toc286144994"/>
      <w:r>
        <w:t>3.7.</w:t>
      </w:r>
      <w:r w:rsidR="00A7651B">
        <w:t>1</w:t>
      </w:r>
      <w:r w:rsidR="00A7651B">
        <w:tab/>
      </w:r>
      <w:r w:rsidR="005B59F7">
        <w:t>Smart Subsidies</w:t>
      </w:r>
      <w:bookmarkEnd w:id="435"/>
      <w:bookmarkEnd w:id="436"/>
    </w:p>
    <w:p w:rsidR="005B59F7" w:rsidRPr="00B561BD" w:rsidRDefault="005B59F7" w:rsidP="00A7651B">
      <w:pPr>
        <w:pStyle w:val="HIPNormal"/>
        <w:rPr>
          <w:lang w:val="en-US"/>
        </w:rPr>
      </w:pPr>
      <w:r w:rsidRPr="0005608F">
        <w:rPr>
          <w:lang w:val="en-US"/>
        </w:rPr>
        <w:t xml:space="preserve">Specific Guidelines for Smart Subsidies, consistent with </w:t>
      </w:r>
      <w:r>
        <w:rPr>
          <w:lang w:val="en-US"/>
        </w:rPr>
        <w:t xml:space="preserve">those presented in </w:t>
      </w:r>
      <w:r w:rsidRPr="0005608F">
        <w:rPr>
          <w:lang w:val="en-US"/>
        </w:rPr>
        <w:t xml:space="preserve">the ICT Regulation Handbook </w:t>
      </w:r>
      <w:r>
        <w:rPr>
          <w:lang w:val="en-US"/>
        </w:rPr>
        <w:t>are that a</w:t>
      </w:r>
      <w:r w:rsidRPr="00B561BD">
        <w:rPr>
          <w:lang w:val="en-US"/>
        </w:rPr>
        <w:t xml:space="preserve"> smart subsidy</w:t>
      </w:r>
      <w:r>
        <w:rPr>
          <w:lang w:val="en-US"/>
        </w:rPr>
        <w:t xml:space="preserve"> provided by a funder of universal access projects should</w:t>
      </w:r>
      <w:r w:rsidRPr="00B561BD">
        <w:rPr>
          <w:lang w:val="en-US"/>
        </w:rPr>
        <w:t>:</w:t>
      </w:r>
    </w:p>
    <w:p w:rsidR="005B59F7" w:rsidRPr="0005608F" w:rsidRDefault="005B59F7" w:rsidP="00A7651B">
      <w:pPr>
        <w:pStyle w:val="HIPEnumlev1"/>
      </w:pPr>
      <w:r w:rsidRPr="0005608F">
        <w:t xml:space="preserve">be </w:t>
      </w:r>
      <w:r>
        <w:t xml:space="preserve">once off </w:t>
      </w:r>
    </w:p>
    <w:p w:rsidR="005B59F7" w:rsidRPr="0005608F" w:rsidRDefault="005B59F7" w:rsidP="00A7651B">
      <w:pPr>
        <w:pStyle w:val="HIPEnumlev1"/>
      </w:pPr>
      <w:r w:rsidRPr="0005608F">
        <w:t xml:space="preserve">encourage cost savings and market growth; </w:t>
      </w:r>
    </w:p>
    <w:p w:rsidR="005B59F7" w:rsidRPr="0005608F" w:rsidRDefault="005B59F7" w:rsidP="00A7651B">
      <w:pPr>
        <w:pStyle w:val="HIPEnumlev1"/>
      </w:pPr>
      <w:r w:rsidRPr="0005608F">
        <w:t xml:space="preserve">kick start a project or service with the objective of ultimately seeing the programme become commercially viable; and </w:t>
      </w:r>
    </w:p>
    <w:p w:rsidR="005B59F7" w:rsidRDefault="005B59F7" w:rsidP="00A7651B">
      <w:pPr>
        <w:pStyle w:val="HIPEnumlev1"/>
      </w:pPr>
      <w:r w:rsidRPr="0005608F">
        <w:t>Encourage service development in regions where, without the subsidy, investors might otherwise have been reluctant to invest.</w:t>
      </w:r>
    </w:p>
    <w:p w:rsidR="005B59F7" w:rsidRPr="009E76BC" w:rsidRDefault="005B59F7" w:rsidP="00A7651B">
      <w:pPr>
        <w:pStyle w:val="HIPEnumlev1"/>
      </w:pPr>
      <w:r w:rsidRPr="009E76BC">
        <w:t xml:space="preserve">link subsidies to optimal results; </w:t>
      </w:r>
    </w:p>
    <w:p w:rsidR="005B59F7" w:rsidRPr="0005608F" w:rsidRDefault="005B59F7" w:rsidP="00A7651B">
      <w:pPr>
        <w:pStyle w:val="HIPEnumlev1"/>
      </w:pPr>
      <w:r w:rsidRPr="0005608F">
        <w:t xml:space="preserve">be designed to support cost-minimization incentives; and </w:t>
      </w:r>
    </w:p>
    <w:p w:rsidR="005B59F7" w:rsidRPr="0005608F" w:rsidRDefault="005B59F7" w:rsidP="00A7651B">
      <w:pPr>
        <w:pStyle w:val="HIPEnumlev1"/>
      </w:pPr>
      <w:r w:rsidRPr="0005608F">
        <w:t>Embody and facilitate good governance.</w:t>
      </w:r>
    </w:p>
    <w:p w:rsidR="005B59F7" w:rsidRPr="00A7651B" w:rsidRDefault="0088668E" w:rsidP="0088668E">
      <w:pPr>
        <w:pStyle w:val="HIPheading3"/>
      </w:pPr>
      <w:bookmarkStart w:id="437" w:name="_Toc284598028"/>
      <w:bookmarkStart w:id="438" w:name="_Toc286144995"/>
      <w:r>
        <w:t>3.7.</w:t>
      </w:r>
      <w:r w:rsidR="00A7651B">
        <w:t>2</w:t>
      </w:r>
      <w:r w:rsidR="00A7651B">
        <w:tab/>
      </w:r>
      <w:r w:rsidR="005B59F7">
        <w:t>Reverse Auctions</w:t>
      </w:r>
      <w:bookmarkEnd w:id="437"/>
      <w:bookmarkEnd w:id="438"/>
    </w:p>
    <w:p w:rsidR="005B59F7" w:rsidRDefault="005B59F7" w:rsidP="00A7651B">
      <w:pPr>
        <w:pStyle w:val="HIPNormal"/>
        <w:rPr>
          <w:lang w:val="en-US"/>
        </w:rPr>
      </w:pPr>
      <w:r>
        <w:rPr>
          <w:lang w:val="en-US"/>
        </w:rPr>
        <w:t xml:space="preserve">In Part 1 it was discussed that private sector players have the option to </w:t>
      </w:r>
      <w:r>
        <w:rPr>
          <w:rFonts w:hint="eastAsia"/>
          <w:lang w:val="en-US"/>
        </w:rPr>
        <w:t>“</w:t>
      </w:r>
      <w:r>
        <w:rPr>
          <w:lang w:val="en-US"/>
        </w:rPr>
        <w:t>play</w:t>
      </w:r>
      <w:r>
        <w:rPr>
          <w:rFonts w:hint="eastAsia"/>
          <w:lang w:val="en-US"/>
        </w:rPr>
        <w:t>”</w:t>
      </w:r>
      <w:r>
        <w:rPr>
          <w:lang w:val="en-US"/>
        </w:rPr>
        <w:t xml:space="preserve"> and contribute to achieving national </w:t>
      </w:r>
      <w:r>
        <w:rPr>
          <w:rFonts w:hint="eastAsia"/>
          <w:lang w:val="en-US"/>
        </w:rPr>
        <w:t>universal</w:t>
      </w:r>
      <w:r>
        <w:rPr>
          <w:lang w:val="en-US"/>
        </w:rPr>
        <w:t xml:space="preserve"> access goals. Financiers must then select operators who will be awarded subsidies or financing through a fair and transparent process.</w:t>
      </w:r>
      <w:r w:rsidR="005E5682">
        <w:rPr>
          <w:lang w:val="en-US"/>
        </w:rPr>
        <w:t xml:space="preserve"> </w:t>
      </w:r>
    </w:p>
    <w:p w:rsidR="005B59F7" w:rsidRDefault="005B59F7" w:rsidP="00A7651B">
      <w:pPr>
        <w:pStyle w:val="HIPNormal"/>
        <w:rPr>
          <w:lang w:val="en-US"/>
        </w:rPr>
      </w:pPr>
      <w:r w:rsidRPr="0005608F">
        <w:rPr>
          <w:lang w:val="en-US"/>
        </w:rPr>
        <w:t xml:space="preserve">Reverse auctions are a means of distributing monies from the Fund. The auction design places the Fund Administrator in a position to receive cost estimates </w:t>
      </w:r>
      <w:r>
        <w:rPr>
          <w:lang w:val="en-US"/>
        </w:rPr>
        <w:t>(such as those obtained through the World Bank model) and check them against</w:t>
      </w:r>
      <w:r w:rsidRPr="0005608F">
        <w:rPr>
          <w:lang w:val="en-US"/>
        </w:rPr>
        <w:t xml:space="preserve"> cost information </w:t>
      </w:r>
      <w:r>
        <w:rPr>
          <w:lang w:val="en-US"/>
        </w:rPr>
        <w:t>divulged by operators in the bidding process.</w:t>
      </w:r>
      <w:r w:rsidRPr="0005608F">
        <w:rPr>
          <w:lang w:val="en-US"/>
        </w:rPr>
        <w:t xml:space="preserve"> In a fair and transparent process with multiple bidders, the bidder who requests the lowest subsidy should “win” and be awarded the project and accompanying subsidy. They are thus incentivized to bid a cost that is as close to the actual cost of service provision (and in some cases, such as India’s 2007 auction, below). Through reverse auctions countries such as India, Colombia and Peru have rolled out projects at a significantly lower cost than originally anticipated. </w:t>
      </w:r>
    </w:p>
    <w:p w:rsidR="005B59F7" w:rsidRPr="0005608F" w:rsidRDefault="005B59F7" w:rsidP="00A7651B">
      <w:pPr>
        <w:pStyle w:val="HIPNormal"/>
        <w:rPr>
          <w:lang w:val="en-US"/>
        </w:rPr>
      </w:pPr>
      <w:r w:rsidRPr="0005608F">
        <w:rPr>
          <w:lang w:val="en-US"/>
        </w:rPr>
        <w:t>A model auction would see the government defining a service in an area</w:t>
      </w:r>
      <w:r>
        <w:rPr>
          <w:lang w:val="en-US"/>
        </w:rPr>
        <w:t>, conducting the relevant demand studies,</w:t>
      </w:r>
      <w:r w:rsidRPr="0005608F">
        <w:rPr>
          <w:lang w:val="en-US"/>
        </w:rPr>
        <w:t xml:space="preserve"> and issuing an invitation to eligible companies to compete for a subsidy to provide such service. The company bidding the lowest subsidy wins. They are thus given the subsidy in order to enable them to provide the service.</w:t>
      </w:r>
    </w:p>
    <w:p w:rsidR="005B59F7" w:rsidRPr="0005608F" w:rsidRDefault="005B59F7" w:rsidP="00A7651B">
      <w:pPr>
        <w:pStyle w:val="HIPNormal"/>
        <w:rPr>
          <w:lang w:val="en-US"/>
        </w:rPr>
      </w:pPr>
      <w:r w:rsidRPr="0005608F">
        <w:rPr>
          <w:lang w:val="en-US"/>
        </w:rPr>
        <w:t xml:space="preserve">A country that has disbursed significant amounts of money from the Fund and has </w:t>
      </w:r>
      <w:r w:rsidRPr="0005608F">
        <w:rPr>
          <w:i/>
          <w:iCs/>
          <w:lang w:val="en-US"/>
        </w:rPr>
        <w:t>not</w:t>
      </w:r>
      <w:r w:rsidRPr="0005608F">
        <w:rPr>
          <w:lang w:val="en-US"/>
        </w:rPr>
        <w:t xml:space="preserve"> used reverse auctions is the United States. Interestingly, the US has been criticized for the manner in which funding for its High Cost Programme is awarded and the level of subsidy which has been growing for the past decade. It is argued </w:t>
      </w:r>
      <w:r>
        <w:rPr>
          <w:lang w:val="en-US"/>
        </w:rPr>
        <w:t xml:space="preserve">that </w:t>
      </w:r>
      <w:r w:rsidRPr="0005608F">
        <w:rPr>
          <w:lang w:val="en-US"/>
        </w:rPr>
        <w:t xml:space="preserve">the US approach </w:t>
      </w:r>
      <w:r>
        <w:rPr>
          <w:lang w:val="en-US"/>
        </w:rPr>
        <w:t xml:space="preserve">of determining amounts available and doing the costing from a financier perspective </w:t>
      </w:r>
      <w:r w:rsidRPr="0005608F">
        <w:rPr>
          <w:lang w:val="en-US"/>
        </w:rPr>
        <w:t xml:space="preserve">is inefficient and thus ineffective. While projects are awarded and delivered, this is not necessarily at the lowest cost and there is potential </w:t>
      </w:r>
      <w:r>
        <w:rPr>
          <w:lang w:val="en-US"/>
        </w:rPr>
        <w:t xml:space="preserve">for </w:t>
      </w:r>
      <w:r w:rsidRPr="0005608F">
        <w:rPr>
          <w:lang w:val="en-US"/>
        </w:rPr>
        <w:t>market distortion.</w:t>
      </w:r>
    </w:p>
    <w:p w:rsidR="005B59F7" w:rsidRPr="0005608F" w:rsidRDefault="005B59F7" w:rsidP="00A7651B">
      <w:pPr>
        <w:pStyle w:val="HIPNormal"/>
        <w:rPr>
          <w:lang w:val="en-US"/>
        </w:rPr>
      </w:pPr>
      <w:r w:rsidRPr="0005608F">
        <w:rPr>
          <w:lang w:val="en-US"/>
        </w:rPr>
        <w:t xml:space="preserve">Not all auction attempts have been successful. A notable case is the Australian case of a ‘failed auction’ in 2000. The Department of Communications Information Technology and the Arts conducted a pilot to issue a tender inviting the incumbent (Telstra) and competitors to bid for an $85 million subsidy to provide services in 2003/4. Bids were to be opened in mid 2001. No bidders came to the party in light of the fact that they argued that the subsidy was too low for them to properly compete with Telstra. Telstra had advantages in the identified areas in terms on access to information, as well as infrastructure advantages which made it cheaper for Telstra to provide the service and thus easier for the company to compete for </w:t>
      </w:r>
      <w:r w:rsidRPr="0005608F">
        <w:rPr>
          <w:lang w:val="en-US"/>
        </w:rPr>
        <w:lastRenderedPageBreak/>
        <w:t>and win the subsidy. Lessons learned from this process include the need to ensure that the role of the incumbent is carefully factored into the design of the auction; in addition, even with an unsuccessful auction, the government was able to comfortably believe that the level of subsidy was not excessive. Lastly, the Australian auction sought to increase competition and not just to reduce the subsidy, two goals which may not have been appropriately achieved using a single process.</w:t>
      </w:r>
      <w:r w:rsidR="005E5682">
        <w:rPr>
          <w:lang w:val="en-US"/>
        </w:rPr>
        <w:t xml:space="preserve"> </w:t>
      </w:r>
      <w:r w:rsidRPr="0005608F">
        <w:rPr>
          <w:lang w:val="en-US"/>
        </w:rPr>
        <w:t>Thus, the goals of the auction should be clear and well defined. The most successful auctions have been carried out in order to achieve the lowest subsidy.</w:t>
      </w:r>
    </w:p>
    <w:p w:rsidR="005B59F7" w:rsidRPr="009E76BC" w:rsidRDefault="005B59F7" w:rsidP="0088668E">
      <w:pPr>
        <w:pStyle w:val="HIPTabletitle"/>
      </w:pPr>
      <w:bookmarkStart w:id="439" w:name="_Toc286146571"/>
      <w:r>
        <w:t xml:space="preserve">Table </w:t>
      </w:r>
      <w:r>
        <w:rPr>
          <w:noProof/>
        </w:rPr>
        <w:t>3</w:t>
      </w:r>
      <w:r w:rsidR="0088668E">
        <w:rPr>
          <w:noProof/>
        </w:rPr>
        <w:t>.16</w:t>
      </w:r>
      <w:r>
        <w:t>: Reverse Auction Lessons</w:t>
      </w:r>
      <w:r>
        <w:rPr>
          <w:rStyle w:val="FootnoteReference"/>
        </w:rPr>
        <w:footnoteReference w:id="81"/>
      </w:r>
      <w:bookmarkEnd w:id="4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9287"/>
      </w:tblGrid>
      <w:tr w:rsidR="005B59F7" w:rsidRPr="00A3379B" w:rsidTr="00A72D2A">
        <w:tc>
          <w:tcPr>
            <w:tcW w:w="9287" w:type="dxa"/>
            <w:shd w:val="clear" w:color="auto" w:fill="EAF1DD"/>
          </w:tcPr>
          <w:p w:rsidR="005B59F7" w:rsidRPr="00153224" w:rsidRDefault="005B59F7" w:rsidP="00A7651B">
            <w:pPr>
              <w:pStyle w:val="HIPTabletext"/>
              <w:rPr>
                <w:lang w:val="en-US"/>
              </w:rPr>
            </w:pPr>
            <w:r w:rsidRPr="00153224">
              <w:rPr>
                <w:lang w:val="en-US"/>
              </w:rPr>
              <w:t>Lessons can be learned from experiences in other jurisdictions about best practice approaches to auction design and processes. The main objectives of a competitive bid are to select a qualified organization (with experience, personnel, track record, etc) that has the necessary capacity (e.g., capital, expertise, manpower, etc.), the long-term motivation (through sustainability or profitable business), and the minimum requirements for funds.</w:t>
            </w:r>
            <w:r w:rsidRPr="00153224">
              <w:rPr>
                <w:rStyle w:val="FootnoteReference"/>
                <w:sz w:val="20"/>
              </w:rPr>
              <w:footnoteReference w:id="82"/>
            </w:r>
            <w:r w:rsidRPr="00153224">
              <w:rPr>
                <w:lang w:val="en-US"/>
              </w:rPr>
              <w:t xml:space="preserve"> A fair, efficient and transparent reverse subsidy process can be carried out if attention is paid from the beginning to the auction design. </w:t>
            </w:r>
          </w:p>
          <w:p w:rsidR="005B59F7" w:rsidRPr="00153224" w:rsidRDefault="00A7651B" w:rsidP="00A7651B">
            <w:pPr>
              <w:pStyle w:val="HIPTabletext"/>
              <w:rPr>
                <w:lang w:val="en-US"/>
              </w:rPr>
            </w:pPr>
            <w:r w:rsidRPr="00A7651B">
              <w:rPr>
                <w:color w:val="008000"/>
                <w:lang w:val="en-US"/>
              </w:rPr>
              <w:t>•</w:t>
            </w:r>
            <w:r>
              <w:rPr>
                <w:lang w:val="en-US"/>
              </w:rPr>
              <w:tab/>
            </w:r>
            <w:r w:rsidR="005B59F7" w:rsidRPr="00153224">
              <w:rPr>
                <w:lang w:val="en-US"/>
              </w:rPr>
              <w:t>the process must be transparent, competitively neutral and technology neutral</w:t>
            </w:r>
          </w:p>
          <w:p w:rsidR="005B59F7" w:rsidRPr="00153224" w:rsidRDefault="00A7651B" w:rsidP="00A7651B">
            <w:pPr>
              <w:pStyle w:val="HIPTabletext"/>
              <w:ind w:left="709" w:hanging="709"/>
              <w:rPr>
                <w:lang w:val="en-US"/>
              </w:rPr>
            </w:pPr>
            <w:r w:rsidRPr="00A7651B">
              <w:rPr>
                <w:color w:val="008000"/>
                <w:lang w:val="en-US"/>
              </w:rPr>
              <w:t>•</w:t>
            </w:r>
            <w:r>
              <w:rPr>
                <w:lang w:val="en-US"/>
              </w:rPr>
              <w:tab/>
            </w:r>
            <w:r w:rsidR="005B59F7" w:rsidRPr="00153224">
              <w:rPr>
                <w:lang w:val="en-US"/>
              </w:rPr>
              <w:t>use reverse auctions to reduce the reliance on detailed cost information, and only to supplement the results of the subsidy</w:t>
            </w:r>
          </w:p>
          <w:p w:rsidR="005B59F7" w:rsidRPr="00153224" w:rsidRDefault="00A7651B" w:rsidP="00A7651B">
            <w:pPr>
              <w:pStyle w:val="HIPTabletext"/>
              <w:ind w:left="709" w:hanging="709"/>
              <w:rPr>
                <w:lang w:val="en-US"/>
              </w:rPr>
            </w:pPr>
            <w:r w:rsidRPr="00A7651B">
              <w:rPr>
                <w:color w:val="008000"/>
                <w:lang w:val="en-US"/>
              </w:rPr>
              <w:t>•</w:t>
            </w:r>
            <w:r>
              <w:rPr>
                <w:lang w:val="en-US"/>
              </w:rPr>
              <w:tab/>
            </w:r>
            <w:r w:rsidR="005B59F7" w:rsidRPr="00153224">
              <w:rPr>
                <w:lang w:val="en-US"/>
              </w:rPr>
              <w:t>the opportunity to collude, signal or game the process should be minimized and if possible eliminated through auction design (Peruvian subsidies increased from 22 percent in the first auctions, to 95 percent in later ones – this has been attributed to operators ‘learning the game’ and starting to take advantage of the process to obtain higher subsidies;</w:t>
            </w:r>
          </w:p>
          <w:p w:rsidR="005B59F7" w:rsidRPr="00153224" w:rsidRDefault="00A7651B" w:rsidP="00A7651B">
            <w:pPr>
              <w:pStyle w:val="HIPTabletext"/>
              <w:rPr>
                <w:lang w:val="en-US"/>
              </w:rPr>
            </w:pPr>
            <w:r w:rsidRPr="00A7651B">
              <w:rPr>
                <w:color w:val="008000"/>
                <w:lang w:val="en-US"/>
              </w:rPr>
              <w:t>•</w:t>
            </w:r>
            <w:r>
              <w:rPr>
                <w:lang w:val="en-US"/>
              </w:rPr>
              <w:tab/>
            </w:r>
            <w:r w:rsidR="005B59F7" w:rsidRPr="00153224">
              <w:rPr>
                <w:lang w:val="en-US"/>
              </w:rPr>
              <w:t>Pilot auctions are useful to refine the auction process.</w:t>
            </w:r>
          </w:p>
          <w:p w:rsidR="005B59F7" w:rsidRPr="00153224" w:rsidRDefault="00A7651B" w:rsidP="00A7651B">
            <w:pPr>
              <w:pStyle w:val="HIPTabletext"/>
              <w:rPr>
                <w:lang w:val="en-US"/>
              </w:rPr>
            </w:pPr>
            <w:r w:rsidRPr="00A7651B">
              <w:rPr>
                <w:color w:val="008000"/>
                <w:lang w:val="en-US"/>
              </w:rPr>
              <w:t>•</w:t>
            </w:r>
            <w:r>
              <w:rPr>
                <w:lang w:val="en-US"/>
              </w:rPr>
              <w:tab/>
            </w:r>
            <w:r w:rsidR="005B59F7" w:rsidRPr="00153224">
              <w:rPr>
                <w:lang w:val="en-US"/>
              </w:rPr>
              <w:t>Key decisions must be taken on:</w:t>
            </w:r>
          </w:p>
          <w:p w:rsidR="005B59F7" w:rsidRPr="00153224" w:rsidRDefault="00A7651B" w:rsidP="00A7651B">
            <w:pPr>
              <w:pStyle w:val="HIPTabletext"/>
              <w:rPr>
                <w:lang w:val="en-US"/>
              </w:rPr>
            </w:pPr>
            <w:r>
              <w:rPr>
                <w:lang w:val="en-US"/>
              </w:rPr>
              <w:tab/>
            </w:r>
            <w:r w:rsidRPr="00A7651B">
              <w:rPr>
                <w:color w:val="008000"/>
                <w:lang w:val="en-US"/>
              </w:rPr>
              <w:t>–</w:t>
            </w:r>
            <w:r>
              <w:rPr>
                <w:lang w:val="en-US"/>
              </w:rPr>
              <w:tab/>
            </w:r>
            <w:r w:rsidR="005B59F7" w:rsidRPr="00153224">
              <w:rPr>
                <w:lang w:val="en-US"/>
              </w:rPr>
              <w:t>The geographic location of the project that is to be subsidised</w:t>
            </w:r>
          </w:p>
          <w:p w:rsidR="005B59F7" w:rsidRPr="00153224" w:rsidRDefault="005B59F7" w:rsidP="00A72D2A">
            <w:pPr>
              <w:rPr>
                <w:sz w:val="20"/>
                <w:szCs w:val="20"/>
                <w:lang w:val="en-US"/>
              </w:rPr>
            </w:pPr>
          </w:p>
        </w:tc>
      </w:tr>
    </w:tbl>
    <w:p w:rsidR="005B59F7" w:rsidRPr="00A7651B" w:rsidRDefault="0088668E" w:rsidP="0088668E">
      <w:pPr>
        <w:pStyle w:val="HIPheading4"/>
      </w:pPr>
      <w:bookmarkStart w:id="440" w:name="_Toc281459606"/>
      <w:bookmarkStart w:id="441" w:name="_Toc284598029"/>
      <w:r>
        <w:t>3.7.</w:t>
      </w:r>
      <w:r w:rsidR="00A7651B">
        <w:t>2.1</w:t>
      </w:r>
      <w:r w:rsidR="00A7651B">
        <w:tab/>
      </w:r>
      <w:r w:rsidR="005B59F7" w:rsidRPr="001554DA">
        <w:t>How Low Can You Go? Getting the least cost subsidy</w:t>
      </w:r>
      <w:bookmarkEnd w:id="440"/>
      <w:bookmarkEnd w:id="441"/>
      <w:r w:rsidR="005B59F7" w:rsidRPr="001554DA">
        <w:t xml:space="preserve"> </w:t>
      </w:r>
    </w:p>
    <w:p w:rsidR="005B59F7" w:rsidRPr="0005608F" w:rsidRDefault="005B59F7" w:rsidP="00A7651B">
      <w:pPr>
        <w:pStyle w:val="HIPNormal"/>
        <w:rPr>
          <w:lang w:val="en-US"/>
        </w:rPr>
      </w:pPr>
      <w:r w:rsidRPr="0005608F">
        <w:rPr>
          <w:lang w:val="en-US"/>
        </w:rPr>
        <w:t>Based on global experiences, primarily in developing countries</w:t>
      </w:r>
      <w:r>
        <w:rPr>
          <w:lang w:val="en-US"/>
        </w:rPr>
        <w:t xml:space="preserve"> and emerging markets</w:t>
      </w:r>
      <w:r w:rsidRPr="0005608F">
        <w:rPr>
          <w:lang w:val="en-US"/>
        </w:rPr>
        <w:t xml:space="preserve">, some key strategies have been identified to get operators to rollout services for as little subsidy as possible – in some countries the subsidy has been as low as zero. This was the case in Chile, where the competitive tender allowed new entrants and offered new licences. Chile’s successful bidder accepted zero subsidies and used the process as a means to enter the market and access spectrum. In this case, linking the universal service objectives to something that the operators wanted (license rights) </w:t>
      </w:r>
      <w:r>
        <w:rPr>
          <w:lang w:val="en-US"/>
        </w:rPr>
        <w:t xml:space="preserve">to </w:t>
      </w:r>
      <w:r w:rsidRPr="0005608F">
        <w:rPr>
          <w:lang w:val="en-US"/>
        </w:rPr>
        <w:t xml:space="preserve">provide to be incentive enough such that the financial incentive (subsidies) was secondary. The Fund thus achieved its objective by working with the regulatory regime and without disbursing funds for that project. </w:t>
      </w:r>
    </w:p>
    <w:p w:rsidR="005B59F7" w:rsidRPr="0005608F" w:rsidRDefault="005B59F7" w:rsidP="00A7651B">
      <w:pPr>
        <w:pStyle w:val="HIPNormal"/>
        <w:rPr>
          <w:lang w:val="en-US"/>
        </w:rPr>
      </w:pPr>
      <w:r w:rsidRPr="0005608F">
        <w:rPr>
          <w:lang w:val="en-US"/>
        </w:rPr>
        <w:t>Other strategies to encourage bidders to compete and bid low subsidies include:</w:t>
      </w:r>
    </w:p>
    <w:p w:rsidR="005B59F7" w:rsidRPr="001554DA" w:rsidRDefault="005B59F7" w:rsidP="00A7651B">
      <w:pPr>
        <w:pStyle w:val="HIPEnumlev1"/>
        <w:rPr>
          <w:rFonts w:ascii="Times New Roman" w:hAnsi="Times New Roman"/>
          <w:b/>
          <w:bCs/>
          <w:sz w:val="24"/>
          <w:szCs w:val="24"/>
        </w:rPr>
      </w:pPr>
      <w:r>
        <w:t>The proper d</w:t>
      </w:r>
      <w:r w:rsidRPr="001554DA">
        <w:t>e</w:t>
      </w:r>
      <w:r>
        <w:t>sign of</w:t>
      </w:r>
      <w:r w:rsidRPr="001554DA">
        <w:t xml:space="preserve"> attractive bidding areas, sometimes called bidding </w:t>
      </w:r>
      <w:r>
        <w:rPr>
          <w:rFonts w:hint="eastAsia"/>
        </w:rPr>
        <w:t>“</w:t>
      </w:r>
      <w:r w:rsidRPr="001554DA">
        <w:t>lots</w:t>
      </w:r>
      <w:r>
        <w:rPr>
          <w:rFonts w:hint="eastAsia"/>
        </w:rPr>
        <w:t>”</w:t>
      </w:r>
      <w:r w:rsidRPr="001554DA">
        <w:t xml:space="preserve"> </w:t>
      </w:r>
    </w:p>
    <w:p w:rsidR="005B59F7" w:rsidRPr="009E76BC" w:rsidRDefault="005B59F7" w:rsidP="00A7651B">
      <w:pPr>
        <w:pStyle w:val="HIPEnumlev1"/>
        <w:rPr>
          <w:rFonts w:ascii="Times New Roman" w:hAnsi="Times New Roman"/>
          <w:b/>
          <w:bCs/>
          <w:sz w:val="24"/>
          <w:szCs w:val="24"/>
        </w:rPr>
      </w:pPr>
      <w:r w:rsidRPr="0005608F">
        <w:t>Bundling opportunities to encourage economies of scale. This would enable successful bidders to provide adjacent services to the one bid. This may not be applicable in many SADC countries, where a converged framework is in place or under development, this is a lesser consideration as licenses are in any event technology and service neutral affording operators rights to provide any service using any technology – as such bundling internet services and voice service</w:t>
      </w:r>
      <w:r>
        <w:t>s</w:t>
      </w:r>
      <w:r w:rsidRPr="0005608F">
        <w:t xml:space="preserve">, or </w:t>
      </w:r>
      <w:r w:rsidRPr="0005608F">
        <w:lastRenderedPageBreak/>
        <w:t>public payphones with internet POPs may be inherent in the licensing regime and thus in the bidding process.</w:t>
      </w:r>
    </w:p>
    <w:p w:rsidR="005B59F7" w:rsidRPr="0005608F" w:rsidRDefault="005B59F7" w:rsidP="00A7651B">
      <w:pPr>
        <w:pStyle w:val="HIPEnumlev1"/>
      </w:pPr>
      <w:r>
        <w:t>Coupling the award of the subsidy with other licence rights. For example, o</w:t>
      </w:r>
      <w:r w:rsidRPr="0005608F">
        <w:t xml:space="preserve">ffering </w:t>
      </w:r>
      <w:r>
        <w:t xml:space="preserve">reduced </w:t>
      </w:r>
      <w:r w:rsidRPr="0005608F">
        <w:t xml:space="preserve">cost use of radio frequencies to the winning bidder. In the SADC region, access to frequencies such as WIMAX in the 2,5 GHZ and 3,5 GHz bands is coveted. In many countries, these technology opportunities could be used to facilitate universal </w:t>
      </w:r>
      <w:r>
        <w:t>service</w:t>
      </w:r>
      <w:r w:rsidRPr="0005608F">
        <w:t>;</w:t>
      </w:r>
    </w:p>
    <w:p w:rsidR="005B59F7" w:rsidRPr="0005608F" w:rsidRDefault="005B59F7" w:rsidP="00A7651B">
      <w:pPr>
        <w:pStyle w:val="HIPEnumlev1"/>
      </w:pPr>
      <w:r w:rsidRPr="0005608F">
        <w:t>Allowing the winning bidder to provide other services (i.e., a service-neutral approach); and</w:t>
      </w:r>
    </w:p>
    <w:p w:rsidR="005B59F7" w:rsidRDefault="005B59F7" w:rsidP="00A7651B">
      <w:pPr>
        <w:pStyle w:val="HIPEnumlev1"/>
      </w:pPr>
      <w:r w:rsidRPr="0005608F">
        <w:t>Mandating infrastructure sharing, both for transmission and access such as wireless towers which will reduce the costs for the successful bidder, and increase efficiency.</w:t>
      </w:r>
    </w:p>
    <w:p w:rsidR="005B59F7" w:rsidRPr="00A7651B" w:rsidRDefault="0088668E" w:rsidP="0088668E">
      <w:pPr>
        <w:pStyle w:val="HIPheading3"/>
      </w:pPr>
      <w:bookmarkStart w:id="442" w:name="_Toc281459607"/>
      <w:bookmarkStart w:id="443" w:name="_Toc284598030"/>
      <w:bookmarkStart w:id="444" w:name="_Toc286144996"/>
      <w:r>
        <w:t>3.7.</w:t>
      </w:r>
      <w:r w:rsidR="00A7651B">
        <w:t>3</w:t>
      </w:r>
      <w:r w:rsidR="00A7651B">
        <w:tab/>
      </w:r>
      <w:r w:rsidR="005B59F7">
        <w:t>Fixed Subsidies</w:t>
      </w:r>
      <w:bookmarkEnd w:id="442"/>
      <w:bookmarkEnd w:id="443"/>
      <w:bookmarkEnd w:id="444"/>
    </w:p>
    <w:p w:rsidR="005B59F7" w:rsidRDefault="005B59F7" w:rsidP="00A7651B">
      <w:pPr>
        <w:pStyle w:val="HIPNormal"/>
        <w:rPr>
          <w:lang w:val="en-US"/>
        </w:rPr>
      </w:pPr>
      <w:r w:rsidRPr="0005608F">
        <w:rPr>
          <w:lang w:val="en-US"/>
        </w:rPr>
        <w:t>While minimum subsidy allocation has been proven to be an effective OBA-based mechanism to finance projects, other approaches can also be improved that encourage efficiency. For example, the Fund can indicate that a certain amount of funding is available for projects relating to a specific universal service challenged. The Fund Administrator sets a fixed subsidy and awards the funds to the operator that provides the most comprehensive service for that subsidy</w:t>
      </w:r>
      <w:r>
        <w:rPr>
          <w:lang w:val="en-US"/>
        </w:rPr>
        <w:t xml:space="preserve"> – this approach is likely to work for smaller projects where the costs can be assessed ahead of time with reasonable accuracy by the Fund Administrator, and for </w:t>
      </w:r>
      <w:r>
        <w:rPr>
          <w:rFonts w:hint="eastAsia"/>
          <w:lang w:val="en-US"/>
        </w:rPr>
        <w:t>“</w:t>
      </w:r>
      <w:r>
        <w:rPr>
          <w:lang w:val="en-US"/>
        </w:rPr>
        <w:t>bottom up</w:t>
      </w:r>
      <w:r>
        <w:rPr>
          <w:rFonts w:hint="eastAsia"/>
          <w:lang w:val="en-US"/>
        </w:rPr>
        <w:t>”</w:t>
      </w:r>
      <w:r>
        <w:rPr>
          <w:lang w:val="en-US"/>
        </w:rPr>
        <w:t xml:space="preserve"> projects where costing information can be provided by the project initiator (usually at community level). </w:t>
      </w:r>
    </w:p>
    <w:p w:rsidR="005B59F7" w:rsidRDefault="005B59F7" w:rsidP="00A7651B">
      <w:pPr>
        <w:pStyle w:val="HIPNormal"/>
        <w:rPr>
          <w:lang w:val="en-US"/>
        </w:rPr>
      </w:pPr>
      <w:r>
        <w:rPr>
          <w:lang w:val="en-US"/>
        </w:rPr>
        <w:t>As such, in the case of a smaller project, if</w:t>
      </w:r>
      <w:r w:rsidRPr="0005608F">
        <w:rPr>
          <w:lang w:val="en-US"/>
        </w:rPr>
        <w:t xml:space="preserve"> X amount is available, the operator that can provide the most internet connections, computer labs, of connect the most clinics, for that amount would be awarded the project. A business plan would have to be provided to allow the Fund Administrator to confirm the viability of the project, and the award would still need to be accompanied by a contract and service agreements as discussed in</w:t>
      </w:r>
      <w:r>
        <w:rPr>
          <w:lang w:val="en-US"/>
        </w:rPr>
        <w:t xml:space="preserve"> Part 3 regarding </w:t>
      </w:r>
      <w:r>
        <w:rPr>
          <w:rFonts w:hint="eastAsia"/>
          <w:lang w:val="en-US"/>
        </w:rPr>
        <w:t>“</w:t>
      </w:r>
      <w:r>
        <w:rPr>
          <w:lang w:val="en-US"/>
        </w:rPr>
        <w:t>Key Bidding Documents</w:t>
      </w:r>
      <w:r>
        <w:rPr>
          <w:rFonts w:hint="eastAsia"/>
          <w:lang w:val="en-US"/>
        </w:rPr>
        <w:t>”</w:t>
      </w:r>
      <w:r w:rsidRPr="0005608F">
        <w:rPr>
          <w:lang w:val="en-US"/>
        </w:rPr>
        <w:t>.</w:t>
      </w:r>
    </w:p>
    <w:p w:rsidR="005B59F7" w:rsidRPr="0005608F" w:rsidRDefault="005B59F7" w:rsidP="00A7651B">
      <w:pPr>
        <w:pStyle w:val="HIPNormal"/>
        <w:rPr>
          <w:lang w:val="en-US"/>
        </w:rPr>
      </w:pPr>
      <w:r>
        <w:rPr>
          <w:lang w:val="en-US"/>
        </w:rPr>
        <w:t>Fixed subsidies are also appropriate when the Fund is dealing with non-infrastructure projects, i.e. projects for financing users</w:t>
      </w:r>
      <w:r>
        <w:rPr>
          <w:rFonts w:hint="eastAsia"/>
          <w:lang w:val="en-US"/>
        </w:rPr>
        <w:t>’</w:t>
      </w:r>
      <w:r>
        <w:rPr>
          <w:lang w:val="en-US"/>
        </w:rPr>
        <w:t xml:space="preserve"> needs. These Funds would include fixed subsidies to elderly people, or people with </w:t>
      </w:r>
      <w:r>
        <w:rPr>
          <w:rFonts w:hint="eastAsia"/>
          <w:lang w:val="en-US"/>
        </w:rPr>
        <w:t>disabilities</w:t>
      </w:r>
      <w:r>
        <w:rPr>
          <w:lang w:val="en-US"/>
        </w:rPr>
        <w:t xml:space="preserve"> who would be entitled to a monthly or annual </w:t>
      </w:r>
      <w:r>
        <w:rPr>
          <w:rFonts w:hint="eastAsia"/>
          <w:lang w:val="en-US"/>
        </w:rPr>
        <w:t>subsidy</w:t>
      </w:r>
      <w:r>
        <w:rPr>
          <w:lang w:val="en-US"/>
        </w:rPr>
        <w:t xml:space="preserve"> to cover usage costs. The subsidy is likely to be given to the operator and a discount issued to the consumer for ease of administration.</w:t>
      </w:r>
    </w:p>
    <w:p w:rsidR="005B59F7" w:rsidRDefault="005B59F7" w:rsidP="00A7651B">
      <w:pPr>
        <w:pStyle w:val="HIPNormal"/>
        <w:rPr>
          <w:lang w:val="en-US"/>
        </w:rPr>
      </w:pPr>
      <w:r>
        <w:rPr>
          <w:lang w:val="en-US"/>
        </w:rPr>
        <w:t xml:space="preserve">The risk with this approach is that it risks being seen as not transparent. This is in light of the fact that finance is likely to be provided on a first come first served basis; or on the basis of subjective criteria such as the impact of the project, the track record of the project initiator, the lowest requested subsidy or the perceived economic and social impact of the project. This, in the case of small, bottom up and user needs projects, should be weighed against the lack of efficiency, potential </w:t>
      </w:r>
      <w:r>
        <w:rPr>
          <w:rFonts w:hint="eastAsia"/>
          <w:lang w:val="en-US"/>
        </w:rPr>
        <w:t>bureaucracy</w:t>
      </w:r>
      <w:r>
        <w:rPr>
          <w:lang w:val="en-US"/>
        </w:rPr>
        <w:t xml:space="preserve"> and complex processes associated with revere auctions and smart </w:t>
      </w:r>
      <w:r>
        <w:rPr>
          <w:rFonts w:hint="eastAsia"/>
          <w:lang w:val="en-US"/>
        </w:rPr>
        <w:t>subsidies</w:t>
      </w:r>
      <w:r>
        <w:rPr>
          <w:lang w:val="en-US"/>
        </w:rPr>
        <w:t xml:space="preserve">. Regardless of the approach, the </w:t>
      </w:r>
      <w:r>
        <w:rPr>
          <w:rFonts w:hint="eastAsia"/>
          <w:lang w:val="en-US"/>
        </w:rPr>
        <w:t>principles</w:t>
      </w:r>
      <w:r>
        <w:rPr>
          <w:lang w:val="en-US"/>
        </w:rPr>
        <w:t xml:space="preserve"> of OBA should be respected.</w:t>
      </w:r>
    </w:p>
    <w:p w:rsidR="005B59F7" w:rsidRPr="005B59F7" w:rsidRDefault="0088668E" w:rsidP="0088668E">
      <w:pPr>
        <w:pStyle w:val="HIPheading3"/>
      </w:pPr>
      <w:bookmarkStart w:id="445" w:name="_Toc284598031"/>
      <w:bookmarkStart w:id="446" w:name="_Toc286144997"/>
      <w:r>
        <w:t>3.7.</w:t>
      </w:r>
      <w:r w:rsidR="00A7651B">
        <w:t>4</w:t>
      </w:r>
      <w:r w:rsidR="00A7651B">
        <w:tab/>
      </w:r>
      <w:r w:rsidR="005B59F7" w:rsidRPr="00E0526D">
        <w:t>Selecting Approa</w:t>
      </w:r>
      <w:r w:rsidR="005B59F7">
        <w:t>c</w:t>
      </w:r>
      <w:r w:rsidR="005B59F7" w:rsidRPr="00E0526D">
        <w:t>hes on a Project by Project Basis</w:t>
      </w:r>
      <w:bookmarkEnd w:id="445"/>
      <w:bookmarkEnd w:id="446"/>
    </w:p>
    <w:p w:rsidR="005B59F7" w:rsidRDefault="005B59F7" w:rsidP="00A7651B">
      <w:pPr>
        <w:pStyle w:val="HIPNormal"/>
        <w:rPr>
          <w:lang w:val="es-ES"/>
        </w:rPr>
      </w:pPr>
      <w:r w:rsidRPr="005B59F7">
        <w:rPr>
          <w:lang w:val="en-US"/>
        </w:rPr>
        <w:t>The disbursement approach will depend on the p</w:t>
      </w:r>
      <w:r w:rsidRPr="005B59F7">
        <w:rPr>
          <w:rFonts w:hint="eastAsia"/>
          <w:lang w:val="en-US"/>
        </w:rPr>
        <w:t>roject</w:t>
      </w:r>
      <w:r w:rsidRPr="005B59F7">
        <w:rPr>
          <w:lang w:val="en-US"/>
        </w:rPr>
        <w:t xml:space="preserve"> being undertaken. This is important to note upfront and in the operating manual to ensure transparency, clarity and stability in the framework. In Uganda the level and process framework was decided upfront, and based on the level of subsidy required. </w:t>
      </w:r>
      <w:r>
        <w:rPr>
          <w:lang w:val="es-ES"/>
        </w:rPr>
        <w:t>A higher subsidy (above $100,000) requires:</w:t>
      </w:r>
    </w:p>
    <w:p w:rsidR="005B59F7" w:rsidRDefault="005B59F7" w:rsidP="00A7651B">
      <w:pPr>
        <w:pStyle w:val="HIPEnumlev1"/>
      </w:pPr>
      <w:r>
        <w:t>A larger p</w:t>
      </w:r>
      <w:r>
        <w:rPr>
          <w:rFonts w:hint="eastAsia"/>
        </w:rPr>
        <w:t>roject</w:t>
      </w:r>
    </w:p>
    <w:p w:rsidR="005B59F7" w:rsidRPr="00A7651B" w:rsidRDefault="005B59F7" w:rsidP="00A7651B">
      <w:pPr>
        <w:pStyle w:val="HIPEnumlev1"/>
      </w:pPr>
      <w:r w:rsidRPr="00A7651B">
        <w:t>A more complex, more open process for larger subsidies (open tender)</w:t>
      </w:r>
    </w:p>
    <w:p w:rsidR="005B59F7" w:rsidRPr="00A7651B" w:rsidRDefault="005B59F7" w:rsidP="00A7651B">
      <w:pPr>
        <w:pStyle w:val="HIPEnumlev1"/>
      </w:pPr>
      <w:r w:rsidRPr="00A7651B">
        <w:t xml:space="preserve">Fewer Bidder eligibility restrictions (international and local) </w:t>
      </w:r>
    </w:p>
    <w:p w:rsidR="005B59F7" w:rsidRPr="00E0526D" w:rsidRDefault="005B59F7" w:rsidP="0088668E">
      <w:pPr>
        <w:pStyle w:val="HIPTabletitle"/>
      </w:pPr>
      <w:bookmarkStart w:id="447" w:name="_Toc286146572"/>
      <w:r w:rsidRPr="00E0526D">
        <w:lastRenderedPageBreak/>
        <w:t xml:space="preserve">Table </w:t>
      </w:r>
      <w:r>
        <w:rPr>
          <w:noProof/>
        </w:rPr>
        <w:t>3</w:t>
      </w:r>
      <w:r w:rsidR="0088668E">
        <w:rPr>
          <w:noProof/>
        </w:rPr>
        <w:t>.17</w:t>
      </w:r>
      <w:r>
        <w:t>: Uganda Disbursement Level &amp; Process Framework</w:t>
      </w:r>
      <w:bookmarkEnd w:id="447"/>
    </w:p>
    <w:tbl>
      <w:tblPr>
        <w:tblW w:w="4763" w:type="pct"/>
        <w:jc w:val="center"/>
        <w:tblCellSpacing w:w="0" w:type="dxa"/>
        <w:tblCellMar>
          <w:left w:w="0" w:type="dxa"/>
          <w:right w:w="0" w:type="dxa"/>
        </w:tblCellMar>
        <w:tblLook w:val="04A0"/>
      </w:tblPr>
      <w:tblGrid>
        <w:gridCol w:w="1160"/>
        <w:gridCol w:w="7510"/>
      </w:tblGrid>
      <w:tr w:rsidR="005B59F7" w:rsidRPr="00F14F4F" w:rsidTr="00A7651B">
        <w:trPr>
          <w:tblCellSpacing w:w="0" w:type="dxa"/>
          <w:jc w:val="center"/>
        </w:trPr>
        <w:tc>
          <w:tcPr>
            <w:tcW w:w="5000" w:type="pct"/>
            <w:gridSpan w:val="2"/>
            <w:tcBorders>
              <w:top w:val="nil"/>
              <w:left w:val="nil"/>
              <w:bottom w:val="single" w:sz="2" w:space="0" w:color="auto"/>
              <w:right w:val="nil"/>
            </w:tcBorders>
            <w:shd w:val="clear" w:color="auto" w:fill="008000"/>
            <w:tcMar>
              <w:top w:w="15" w:type="dxa"/>
              <w:left w:w="15" w:type="dxa"/>
              <w:bottom w:w="15" w:type="dxa"/>
              <w:right w:w="15" w:type="dxa"/>
            </w:tcMar>
            <w:hideMark/>
          </w:tcPr>
          <w:p w:rsidR="005B59F7" w:rsidRPr="00F14F4F" w:rsidRDefault="005B59F7" w:rsidP="00A7651B">
            <w:pPr>
              <w:pStyle w:val="HIPTablehead"/>
              <w:rPr>
                <w:lang w:eastAsia="en-US"/>
              </w:rPr>
            </w:pPr>
            <w:r>
              <w:rPr>
                <w:lang w:eastAsia="en-US"/>
              </w:rPr>
              <w:t>Uganda</w:t>
            </w:r>
            <w:r>
              <w:rPr>
                <w:rFonts w:hint="eastAsia"/>
                <w:lang w:eastAsia="en-US"/>
              </w:rPr>
              <w:t>’</w:t>
            </w:r>
            <w:r>
              <w:rPr>
                <w:lang w:eastAsia="en-US"/>
              </w:rPr>
              <w:t xml:space="preserve">s </w:t>
            </w:r>
            <w:r w:rsidRPr="00F14F4F">
              <w:rPr>
                <w:lang w:eastAsia="en-US"/>
              </w:rPr>
              <w:t>RCDF disbursement levels</w:t>
            </w:r>
          </w:p>
        </w:tc>
      </w:tr>
      <w:tr w:rsidR="005B59F7" w:rsidRPr="00A3379B" w:rsidTr="0088668E">
        <w:trPr>
          <w:tblCellSpacing w:w="0" w:type="dxa"/>
          <w:jc w:val="center"/>
        </w:trPr>
        <w:tc>
          <w:tcPr>
            <w:tcW w:w="669" w:type="pct"/>
            <w:tcBorders>
              <w:top w:val="nil"/>
              <w:left w:val="single" w:sz="2" w:space="0" w:color="auto"/>
              <w:bottom w:val="single" w:sz="4" w:space="0" w:color="auto"/>
              <w:right w:val="single" w:sz="2" w:space="0" w:color="auto"/>
            </w:tcBorders>
            <w:shd w:val="clear" w:color="auto" w:fill="EAF1DD"/>
            <w:tcMar>
              <w:top w:w="15" w:type="dxa"/>
              <w:left w:w="15" w:type="dxa"/>
              <w:bottom w:w="15" w:type="dxa"/>
              <w:right w:w="15" w:type="dxa"/>
            </w:tcMar>
            <w:vAlign w:val="center"/>
            <w:hideMark/>
          </w:tcPr>
          <w:p w:rsidR="005B59F7" w:rsidRPr="00F14F4F" w:rsidRDefault="005B59F7" w:rsidP="00A7651B">
            <w:pPr>
              <w:pStyle w:val="HIPTabletext"/>
              <w:rPr>
                <w:lang w:val="en-US" w:eastAsia="en-US"/>
              </w:rPr>
            </w:pPr>
            <w:r w:rsidRPr="00F14F4F">
              <w:rPr>
                <w:lang w:val="en-US" w:eastAsia="en-US"/>
              </w:rPr>
              <w:t>Level 1</w:t>
            </w:r>
          </w:p>
        </w:tc>
        <w:tc>
          <w:tcPr>
            <w:tcW w:w="4331" w:type="pct"/>
            <w:tcBorders>
              <w:top w:val="nil"/>
              <w:left w:val="nil"/>
              <w:bottom w:val="single" w:sz="4" w:space="0" w:color="auto"/>
              <w:right w:val="single" w:sz="2" w:space="0" w:color="auto"/>
            </w:tcBorders>
            <w:shd w:val="clear" w:color="auto" w:fill="auto"/>
            <w:tcMar>
              <w:top w:w="15" w:type="dxa"/>
              <w:left w:w="15" w:type="dxa"/>
              <w:bottom w:w="15" w:type="dxa"/>
              <w:right w:w="15" w:type="dxa"/>
            </w:tcMar>
            <w:hideMark/>
          </w:tcPr>
          <w:p w:rsidR="005B59F7" w:rsidRPr="00F14F4F" w:rsidRDefault="005B59F7" w:rsidP="003C5FE7">
            <w:pPr>
              <w:pStyle w:val="HIPTabletext"/>
              <w:ind w:left="185" w:right="203"/>
              <w:rPr>
                <w:lang w:val="en-US" w:eastAsia="en-US"/>
              </w:rPr>
            </w:pPr>
            <w:r w:rsidRPr="00F14F4F">
              <w:rPr>
                <w:lang w:val="en-US" w:eastAsia="en-US"/>
              </w:rPr>
              <w:t>Open tender</w:t>
            </w:r>
            <w:r>
              <w:rPr>
                <w:rStyle w:val="FootnoteReference"/>
                <w:lang w:val="en-US" w:eastAsia="en-US"/>
              </w:rPr>
              <w:footnoteReference w:id="83"/>
            </w:r>
            <w:r w:rsidRPr="00F14F4F">
              <w:rPr>
                <w:lang w:val="en-US" w:eastAsia="en-US"/>
              </w:rPr>
              <w:t>: The disbursement of RCDF funds or public telephony projects, with potential total subsidy amounts in excess of US$ 100,000 shall be by international open tender.</w:t>
            </w:r>
          </w:p>
        </w:tc>
      </w:tr>
      <w:tr w:rsidR="005B59F7" w:rsidRPr="00A3379B" w:rsidTr="00A7651B">
        <w:trPr>
          <w:tblCellSpacing w:w="0" w:type="dxa"/>
          <w:jc w:val="center"/>
        </w:trPr>
        <w:tc>
          <w:tcPr>
            <w:tcW w:w="669" w:type="pct"/>
            <w:tcBorders>
              <w:top w:val="single" w:sz="2" w:space="0" w:color="auto"/>
              <w:left w:val="single" w:sz="2" w:space="0" w:color="auto"/>
              <w:bottom w:val="single" w:sz="2" w:space="0" w:color="auto"/>
              <w:right w:val="single" w:sz="2" w:space="0" w:color="auto"/>
            </w:tcBorders>
            <w:shd w:val="clear" w:color="auto" w:fill="EAF1DD"/>
            <w:tcMar>
              <w:top w:w="15" w:type="dxa"/>
              <w:left w:w="15" w:type="dxa"/>
              <w:bottom w:w="15" w:type="dxa"/>
              <w:right w:w="15" w:type="dxa"/>
            </w:tcMar>
            <w:vAlign w:val="center"/>
            <w:hideMark/>
          </w:tcPr>
          <w:p w:rsidR="005B59F7" w:rsidRPr="00F14F4F" w:rsidRDefault="005B59F7" w:rsidP="00A7651B">
            <w:pPr>
              <w:pStyle w:val="HIPTabletext"/>
              <w:rPr>
                <w:lang w:val="en-US" w:eastAsia="en-US"/>
              </w:rPr>
            </w:pPr>
            <w:r w:rsidRPr="00F14F4F">
              <w:rPr>
                <w:lang w:val="en-US" w:eastAsia="en-US"/>
              </w:rPr>
              <w:t>Level 2</w:t>
            </w:r>
          </w:p>
        </w:tc>
        <w:tc>
          <w:tcPr>
            <w:tcW w:w="4331" w:type="pct"/>
            <w:tcBorders>
              <w:top w:val="nil"/>
              <w:left w:val="nil"/>
              <w:bottom w:val="single" w:sz="2" w:space="0" w:color="auto"/>
              <w:right w:val="single" w:sz="2" w:space="0" w:color="auto"/>
            </w:tcBorders>
            <w:shd w:val="clear" w:color="auto" w:fill="auto"/>
            <w:tcMar>
              <w:top w:w="15" w:type="dxa"/>
              <w:left w:w="15" w:type="dxa"/>
              <w:bottom w:w="15" w:type="dxa"/>
              <w:right w:w="15" w:type="dxa"/>
            </w:tcMar>
            <w:hideMark/>
          </w:tcPr>
          <w:p w:rsidR="005B59F7" w:rsidRPr="00F14F4F" w:rsidRDefault="005B59F7" w:rsidP="003C5FE7">
            <w:pPr>
              <w:pStyle w:val="HIPTabletext"/>
              <w:ind w:left="185" w:right="203"/>
              <w:rPr>
                <w:lang w:val="en-US" w:eastAsia="en-US"/>
              </w:rPr>
            </w:pPr>
            <w:r w:rsidRPr="00F14F4F">
              <w:rPr>
                <w:lang w:val="en-US" w:eastAsia="en-US"/>
              </w:rPr>
              <w:t>Open tender: The disbursement of RCDF funds for Internet Points-of-Presence and training contracts, with expected subsidy amounts of less than US$ 100,000, are by open tender but with invitations publicised domestically and simplified procedure.</w:t>
            </w:r>
          </w:p>
        </w:tc>
      </w:tr>
      <w:tr w:rsidR="005B59F7" w:rsidRPr="00A3379B" w:rsidTr="0088668E">
        <w:trPr>
          <w:tblCellSpacing w:w="0" w:type="dxa"/>
          <w:jc w:val="center"/>
        </w:trPr>
        <w:tc>
          <w:tcPr>
            <w:tcW w:w="0" w:type="auto"/>
            <w:tcBorders>
              <w:top w:val="single" w:sz="4" w:space="0" w:color="auto"/>
              <w:left w:val="single" w:sz="2" w:space="0" w:color="auto"/>
              <w:bottom w:val="single" w:sz="4" w:space="0" w:color="auto"/>
              <w:right w:val="single" w:sz="2" w:space="0" w:color="auto"/>
            </w:tcBorders>
            <w:shd w:val="clear" w:color="auto" w:fill="EAF1DD"/>
            <w:tcMar>
              <w:top w:w="15" w:type="dxa"/>
              <w:left w:w="15" w:type="dxa"/>
              <w:bottom w:w="15" w:type="dxa"/>
              <w:right w:w="15" w:type="dxa"/>
            </w:tcMar>
            <w:vAlign w:val="center"/>
            <w:hideMark/>
          </w:tcPr>
          <w:p w:rsidR="005B59F7" w:rsidRPr="00F14F4F" w:rsidRDefault="005B59F7" w:rsidP="00A7651B">
            <w:pPr>
              <w:pStyle w:val="HIPTabletext"/>
              <w:rPr>
                <w:lang w:val="en-US" w:eastAsia="en-US"/>
              </w:rPr>
            </w:pPr>
            <w:r w:rsidRPr="00F14F4F">
              <w:rPr>
                <w:lang w:val="en-US" w:eastAsia="en-US"/>
              </w:rPr>
              <w:t>Level 3</w:t>
            </w:r>
          </w:p>
        </w:tc>
        <w:tc>
          <w:tcPr>
            <w:tcW w:w="4331" w:type="pct"/>
            <w:tcBorders>
              <w:top w:val="single" w:sz="4" w:space="0" w:color="auto"/>
              <w:left w:val="nil"/>
              <w:bottom w:val="single" w:sz="4" w:space="0" w:color="auto"/>
              <w:right w:val="single" w:sz="2" w:space="0" w:color="auto"/>
            </w:tcBorders>
            <w:shd w:val="clear" w:color="auto" w:fill="auto"/>
            <w:tcMar>
              <w:top w:w="15" w:type="dxa"/>
              <w:left w:w="15" w:type="dxa"/>
              <w:bottom w:w="15" w:type="dxa"/>
              <w:right w:w="15" w:type="dxa"/>
            </w:tcMar>
            <w:hideMark/>
          </w:tcPr>
          <w:p w:rsidR="005B59F7" w:rsidRPr="00F14F4F" w:rsidRDefault="005B59F7" w:rsidP="003C5FE7">
            <w:pPr>
              <w:pStyle w:val="HIPTabletext"/>
              <w:ind w:left="185" w:right="203"/>
              <w:rPr>
                <w:lang w:val="en-US" w:eastAsia="en-US"/>
              </w:rPr>
            </w:pPr>
            <w:r w:rsidRPr="00F14F4F">
              <w:rPr>
                <w:lang w:val="en-US" w:eastAsia="en-US"/>
              </w:rPr>
              <w:t>Open tender: This procedure is for outsourcing contracts to facilitate bulk (outsourcing) of Levels 4 and 5 disbursements. The purpose is for offloading the administrative burden from the RCDF, or for the management or franchising of public telephone or ICT businesses.</w:t>
            </w:r>
          </w:p>
        </w:tc>
      </w:tr>
      <w:tr w:rsidR="005B59F7" w:rsidRPr="00A3379B" w:rsidTr="0088668E">
        <w:trPr>
          <w:tblCellSpacing w:w="0" w:type="dxa"/>
          <w:jc w:val="center"/>
        </w:trPr>
        <w:tc>
          <w:tcPr>
            <w:tcW w:w="0" w:type="auto"/>
            <w:tcBorders>
              <w:left w:val="single" w:sz="2" w:space="0" w:color="auto"/>
              <w:bottom w:val="single" w:sz="4" w:space="0" w:color="auto"/>
              <w:right w:val="single" w:sz="2" w:space="0" w:color="auto"/>
            </w:tcBorders>
            <w:shd w:val="clear" w:color="auto" w:fill="EAF1DD"/>
            <w:tcMar>
              <w:top w:w="15" w:type="dxa"/>
              <w:left w:w="15" w:type="dxa"/>
              <w:bottom w:w="15" w:type="dxa"/>
              <w:right w:w="15" w:type="dxa"/>
            </w:tcMar>
            <w:vAlign w:val="center"/>
            <w:hideMark/>
          </w:tcPr>
          <w:p w:rsidR="005B59F7" w:rsidRPr="00F14F4F" w:rsidRDefault="005B59F7" w:rsidP="00A7651B">
            <w:pPr>
              <w:pStyle w:val="HIPTabletext"/>
              <w:rPr>
                <w:lang w:val="en-US" w:eastAsia="en-US"/>
              </w:rPr>
            </w:pPr>
            <w:r w:rsidRPr="00F14F4F">
              <w:rPr>
                <w:lang w:val="en-US" w:eastAsia="en-US"/>
              </w:rPr>
              <w:t>Level 4</w:t>
            </w:r>
          </w:p>
        </w:tc>
        <w:tc>
          <w:tcPr>
            <w:tcW w:w="4331" w:type="pct"/>
            <w:tcBorders>
              <w:left w:val="nil"/>
              <w:bottom w:val="single" w:sz="4" w:space="0" w:color="auto"/>
              <w:right w:val="single" w:sz="2" w:space="0" w:color="auto"/>
            </w:tcBorders>
            <w:shd w:val="clear" w:color="auto" w:fill="auto"/>
            <w:tcMar>
              <w:top w:w="15" w:type="dxa"/>
              <w:left w:w="15" w:type="dxa"/>
              <w:bottom w:w="15" w:type="dxa"/>
              <w:right w:w="15" w:type="dxa"/>
            </w:tcMar>
            <w:hideMark/>
          </w:tcPr>
          <w:p w:rsidR="005B59F7" w:rsidRPr="00F14F4F" w:rsidRDefault="005B59F7" w:rsidP="003C5FE7">
            <w:pPr>
              <w:pStyle w:val="HIPTabletext"/>
              <w:ind w:left="185" w:right="203"/>
              <w:rPr>
                <w:lang w:val="en-US" w:eastAsia="en-US"/>
              </w:rPr>
            </w:pPr>
            <w:r>
              <w:rPr>
                <w:lang w:val="en-US" w:eastAsia="en-US"/>
              </w:rPr>
              <w:t>Open tender</w:t>
            </w:r>
            <w:r>
              <w:rPr>
                <w:rStyle w:val="FootnoteReference"/>
                <w:lang w:val="en-US" w:eastAsia="en-US"/>
              </w:rPr>
              <w:footnoteReference w:id="84"/>
            </w:r>
            <w:r w:rsidRPr="00F14F4F">
              <w:rPr>
                <w:lang w:val="en-US" w:eastAsia="en-US"/>
              </w:rPr>
              <w:t xml:space="preserve">: The disbursement of RCDF funds to institutions seeking to establish 'vanguard' ICT and community telecentre projects (that is, schools, colleges, hospitals, associations, NGOs or other). These will normally be by open tender </w:t>
            </w:r>
            <w:r w:rsidRPr="00F14F4F">
              <w:rPr>
                <w:i/>
                <w:iCs/>
                <w:lang w:val="en-US" w:eastAsia="en-US"/>
              </w:rPr>
              <w:t>within the district</w:t>
            </w:r>
            <w:r w:rsidRPr="00F14F4F">
              <w:rPr>
                <w:lang w:val="en-US" w:eastAsia="en-US"/>
              </w:rPr>
              <w:t>. The key evaluation criteria will be a business plan demonstrating contribution in cash or kind, and financial profitability and/or sustainability following start-up contribution.</w:t>
            </w:r>
          </w:p>
        </w:tc>
      </w:tr>
      <w:tr w:rsidR="005B59F7" w:rsidRPr="00A3379B" w:rsidTr="003C5FE7">
        <w:trPr>
          <w:tblCellSpacing w:w="0" w:type="dxa"/>
          <w:jc w:val="center"/>
        </w:trPr>
        <w:tc>
          <w:tcPr>
            <w:tcW w:w="0" w:type="auto"/>
            <w:tcBorders>
              <w:left w:val="single" w:sz="2" w:space="0" w:color="auto"/>
              <w:bottom w:val="single" w:sz="4" w:space="0" w:color="auto"/>
              <w:right w:val="single" w:sz="2" w:space="0" w:color="auto"/>
            </w:tcBorders>
            <w:shd w:val="clear" w:color="auto" w:fill="EAF1DD"/>
            <w:tcMar>
              <w:top w:w="15" w:type="dxa"/>
              <w:left w:w="15" w:type="dxa"/>
              <w:bottom w:w="15" w:type="dxa"/>
              <w:right w:w="15" w:type="dxa"/>
            </w:tcMar>
            <w:vAlign w:val="center"/>
            <w:hideMark/>
          </w:tcPr>
          <w:p w:rsidR="005B59F7" w:rsidRPr="00F14F4F" w:rsidRDefault="005B59F7" w:rsidP="00A7651B">
            <w:pPr>
              <w:pStyle w:val="HIPTabletext"/>
              <w:rPr>
                <w:lang w:val="en-US" w:eastAsia="en-US"/>
              </w:rPr>
            </w:pPr>
            <w:r w:rsidRPr="00F14F4F">
              <w:rPr>
                <w:lang w:val="en-US" w:eastAsia="en-US"/>
              </w:rPr>
              <w:t>Level 5</w:t>
            </w:r>
          </w:p>
        </w:tc>
        <w:tc>
          <w:tcPr>
            <w:tcW w:w="4331" w:type="pct"/>
            <w:tcBorders>
              <w:left w:val="nil"/>
              <w:bottom w:val="single" w:sz="4" w:space="0" w:color="auto"/>
              <w:right w:val="single" w:sz="2" w:space="0" w:color="auto"/>
            </w:tcBorders>
            <w:shd w:val="clear" w:color="auto" w:fill="auto"/>
            <w:tcMar>
              <w:top w:w="15" w:type="dxa"/>
              <w:left w:w="15" w:type="dxa"/>
              <w:bottom w:w="15" w:type="dxa"/>
              <w:right w:w="15" w:type="dxa"/>
            </w:tcMar>
            <w:hideMark/>
          </w:tcPr>
          <w:p w:rsidR="005B59F7" w:rsidRPr="00F14F4F" w:rsidRDefault="005B59F7" w:rsidP="003C5FE7">
            <w:pPr>
              <w:pStyle w:val="HIPTabletext"/>
              <w:ind w:left="185" w:right="203"/>
              <w:rPr>
                <w:lang w:val="en-US" w:eastAsia="en-US"/>
              </w:rPr>
            </w:pPr>
            <w:r w:rsidRPr="00F14F4F">
              <w:rPr>
                <w:lang w:val="en-US" w:eastAsia="en-US"/>
              </w:rPr>
              <w:t>Direct disbursement: The disbursement of the RCDF funds to applicants seeking support for one or a small number of investments (5 or less) 'rural packages' to enhance signal reception for public telephony kiosks or telecentres, requiring grants equal to or less than $1,000 each. The main criterion for being considered will be a business plan demonstrating financial profitability and/or sustainability following start-up contribution, for provision of services in rural communities that do not have good services.</w:t>
            </w:r>
          </w:p>
        </w:tc>
      </w:tr>
    </w:tbl>
    <w:p w:rsidR="0088668E" w:rsidRDefault="0088668E" w:rsidP="00A7651B">
      <w:pPr>
        <w:pStyle w:val="HIPNormal"/>
        <w:rPr>
          <w:lang w:val="en-US" w:eastAsia="en-US"/>
        </w:rPr>
      </w:pPr>
    </w:p>
    <w:p w:rsidR="00A7651B" w:rsidRPr="0006693F" w:rsidRDefault="00A7651B" w:rsidP="00A7651B">
      <w:pPr>
        <w:pStyle w:val="HIPNormal"/>
        <w:rPr>
          <w:lang w:val="en-US"/>
        </w:rPr>
      </w:pPr>
      <w:r>
        <w:rPr>
          <w:lang w:val="en-US" w:eastAsia="en-US"/>
        </w:rPr>
        <w:t xml:space="preserve">In another case, in Ireland, </w:t>
      </w:r>
      <w:r w:rsidRPr="0006693F">
        <w:rPr>
          <w:lang w:val="en-US"/>
        </w:rPr>
        <w:t>the scheme design for the provision of broadband using public financing involved detailed considerations of the requirements that should be placed on the successful tendered, and how these would affect the broadband market (so as not to distort it). Each requirement combined international practice with a strong understanding of the local market and rigorous analysis to ensure a balanced intervention. Some of the key areas in the scheme design are illustrated in the figure below.</w:t>
      </w:r>
    </w:p>
    <w:p w:rsidR="00A7651B" w:rsidRDefault="0088668E" w:rsidP="00DC5333">
      <w:pPr>
        <w:pStyle w:val="HIPFiguretitle"/>
        <w:keepNext/>
      </w:pPr>
      <w:bookmarkStart w:id="448" w:name="_Toc286145950"/>
      <w:r>
        <w:lastRenderedPageBreak/>
        <w:t>Figure</w:t>
      </w:r>
      <w:r w:rsidR="00A7651B" w:rsidRPr="000C674F">
        <w:t xml:space="preserve"> </w:t>
      </w:r>
      <w:r w:rsidR="00A7651B">
        <w:rPr>
          <w:noProof/>
        </w:rPr>
        <w:t>3</w:t>
      </w:r>
      <w:r>
        <w:rPr>
          <w:noProof/>
        </w:rPr>
        <w:t>.2</w:t>
      </w:r>
      <w:r w:rsidR="00A7651B">
        <w:t xml:space="preserve">: </w:t>
      </w:r>
      <w:r w:rsidR="00A7651B" w:rsidRPr="00850FD9">
        <w:t>Key elements of Irish National Broadband Scheme design</w:t>
      </w:r>
      <w:r w:rsidR="00A7651B">
        <w:rPr>
          <w:rStyle w:val="FootnoteReference"/>
        </w:rPr>
        <w:footnoteReference w:id="85"/>
      </w:r>
      <w:bookmarkEnd w:id="448"/>
    </w:p>
    <w:p w:rsidR="00DC5333" w:rsidRDefault="00DC5333" w:rsidP="00DC5333">
      <w:pPr>
        <w:pStyle w:val="HIPFigure"/>
      </w:pPr>
      <w:r w:rsidRPr="00DC5333">
        <w:rPr>
          <w:noProof/>
          <w:lang w:eastAsia="zh-CN"/>
        </w:rPr>
        <w:drawing>
          <wp:inline distT="0" distB="0" distL="0" distR="0">
            <wp:extent cx="4286250" cy="3457575"/>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srcRect/>
                    <a:stretch>
                      <a:fillRect/>
                    </a:stretch>
                  </pic:blipFill>
                  <pic:spPr bwMode="auto">
                    <a:xfrm>
                      <a:off x="0" y="0"/>
                      <a:ext cx="4286250" cy="3457575"/>
                    </a:xfrm>
                    <a:prstGeom prst="rect">
                      <a:avLst/>
                    </a:prstGeom>
                    <a:noFill/>
                    <a:ln w="9525">
                      <a:noFill/>
                      <a:miter lim="800000"/>
                      <a:headEnd/>
                      <a:tailEnd/>
                    </a:ln>
                  </pic:spPr>
                </pic:pic>
              </a:graphicData>
            </a:graphic>
          </wp:inline>
        </w:drawing>
      </w:r>
    </w:p>
    <w:p w:rsidR="00DC5333" w:rsidRPr="000C674F" w:rsidRDefault="00DC5333" w:rsidP="00DC5333">
      <w:pPr>
        <w:pStyle w:val="HIPfiguresource"/>
      </w:pPr>
    </w:p>
    <w:p w:rsidR="00A7651B" w:rsidRDefault="00A7651B" w:rsidP="00DC5333">
      <w:pPr>
        <w:jc w:val="center"/>
      </w:pPr>
    </w:p>
    <w:p w:rsidR="005B59F7" w:rsidRPr="00A7651B" w:rsidRDefault="0088668E" w:rsidP="0088668E">
      <w:pPr>
        <w:pStyle w:val="HIPheading3"/>
      </w:pPr>
      <w:bookmarkStart w:id="449" w:name="_Toc284598032"/>
      <w:bookmarkStart w:id="450" w:name="_Toc286144998"/>
      <w:r>
        <w:t>3.7.</w:t>
      </w:r>
      <w:r w:rsidR="00A7651B">
        <w:t>5</w:t>
      </w:r>
      <w:r w:rsidR="00A7651B">
        <w:tab/>
      </w:r>
      <w:r w:rsidR="005B59F7" w:rsidRPr="002707A3">
        <w:t>SADC Experience</w:t>
      </w:r>
      <w:bookmarkEnd w:id="449"/>
      <w:bookmarkEnd w:id="450"/>
    </w:p>
    <w:p w:rsidR="005B59F7" w:rsidRDefault="005B59F7" w:rsidP="00A7651B">
      <w:pPr>
        <w:pStyle w:val="HIPNormal"/>
        <w:rPr>
          <w:lang w:val="en-US"/>
        </w:rPr>
      </w:pPr>
      <w:r w:rsidRPr="00C30F92">
        <w:rPr>
          <w:lang w:val="en-US"/>
        </w:rPr>
        <w:t xml:space="preserve">Most Funds in SADC have indicated that they have or will use competitive bidding to issue projects, and that they will use least cost subsidy approaches. </w:t>
      </w:r>
      <w:r>
        <w:rPr>
          <w:lang w:val="en-US"/>
        </w:rPr>
        <w:t>There does not appear to be a least cost subsidy approach that has successfully been carried out. Mozambique</w:t>
      </w:r>
      <w:r>
        <w:rPr>
          <w:rFonts w:hint="eastAsia"/>
          <w:lang w:val="en-US"/>
        </w:rPr>
        <w:t>’</w:t>
      </w:r>
      <w:r>
        <w:rPr>
          <w:lang w:val="en-US"/>
        </w:rPr>
        <w:t xml:space="preserve">s attempt did not elicit any bidders, which is not unheard of – Australia and Pakistan have had </w:t>
      </w:r>
      <w:r>
        <w:rPr>
          <w:rFonts w:hint="eastAsia"/>
          <w:lang w:val="en-US"/>
        </w:rPr>
        <w:t>similar</w:t>
      </w:r>
      <w:r>
        <w:rPr>
          <w:lang w:val="en-US"/>
        </w:rPr>
        <w:t xml:space="preserve"> experiences. The situation </w:t>
      </w:r>
      <w:r>
        <w:rPr>
          <w:rFonts w:hint="eastAsia"/>
          <w:lang w:val="en-US"/>
        </w:rPr>
        <w:t>could</w:t>
      </w:r>
      <w:r>
        <w:rPr>
          <w:lang w:val="en-US"/>
        </w:rPr>
        <w:t xml:space="preserve"> reflect that there is not sufficient demand in </w:t>
      </w:r>
      <w:r>
        <w:rPr>
          <w:rFonts w:hint="eastAsia"/>
          <w:lang w:val="en-US"/>
        </w:rPr>
        <w:t>the identified</w:t>
      </w:r>
      <w:r>
        <w:rPr>
          <w:lang w:val="en-US"/>
        </w:rPr>
        <w:t xml:space="preserve"> area.</w:t>
      </w:r>
    </w:p>
    <w:p w:rsidR="005B59F7" w:rsidRDefault="005B59F7" w:rsidP="00A7651B">
      <w:pPr>
        <w:pStyle w:val="HIPNormal"/>
        <w:rPr>
          <w:lang w:val="en-US"/>
        </w:rPr>
      </w:pPr>
      <w:r>
        <w:rPr>
          <w:lang w:val="en-US"/>
        </w:rPr>
        <w:t xml:space="preserve">Competitive least cost subsidy bidding is used as a project selection method in Malawi, Tanzania, South Africa, Mozambique, Madagascar and Lesotho. While this is a good approach, it should be noted that this approach is not a </w:t>
      </w:r>
      <w:r>
        <w:rPr>
          <w:rFonts w:hint="eastAsia"/>
          <w:lang w:val="en-US"/>
        </w:rPr>
        <w:t>‘</w:t>
      </w:r>
      <w:r>
        <w:rPr>
          <w:lang w:val="en-US"/>
        </w:rPr>
        <w:t>once size fits all</w:t>
      </w:r>
      <w:r>
        <w:rPr>
          <w:rFonts w:hint="eastAsia"/>
          <w:lang w:val="en-US"/>
        </w:rPr>
        <w:t>’</w:t>
      </w:r>
      <w:r>
        <w:rPr>
          <w:lang w:val="en-US"/>
        </w:rPr>
        <w:t xml:space="preserve"> approach, and this seems to be the understanding in SADC. This approach should only be used for certain types of projects such as</w:t>
      </w:r>
      <w:r w:rsidR="005E5682">
        <w:rPr>
          <w:lang w:val="en-US"/>
        </w:rPr>
        <w:t xml:space="preserve"> – </w:t>
      </w:r>
    </w:p>
    <w:p w:rsidR="005B59F7" w:rsidRPr="00C30F92" w:rsidRDefault="005B59F7" w:rsidP="00A7651B">
      <w:pPr>
        <w:pStyle w:val="HIPEnumlev1"/>
      </w:pPr>
      <w:r w:rsidRPr="00C30F92">
        <w:rPr>
          <w:lang w:eastAsia="en-US"/>
        </w:rPr>
        <w:t xml:space="preserve">Large capital investments in networks; </w:t>
      </w:r>
    </w:p>
    <w:p w:rsidR="005B59F7" w:rsidRPr="00C30F92" w:rsidRDefault="005B59F7" w:rsidP="00A7651B">
      <w:pPr>
        <w:pStyle w:val="HIPEnumlev1"/>
        <w:rPr>
          <w:lang w:eastAsia="en-US"/>
        </w:rPr>
      </w:pPr>
      <w:r w:rsidRPr="00C30F92">
        <w:rPr>
          <w:lang w:eastAsia="en-US"/>
        </w:rPr>
        <w:t xml:space="preserve">Large sums of subsidies to be disbursed (e.g., starting from several hundred thousand dollars to several million); and </w:t>
      </w:r>
    </w:p>
    <w:p w:rsidR="005B59F7" w:rsidRPr="00C30F92" w:rsidRDefault="005B59F7" w:rsidP="00A7651B">
      <w:pPr>
        <w:pStyle w:val="HIPEnumlev1"/>
        <w:rPr>
          <w:lang w:eastAsia="en-US"/>
        </w:rPr>
      </w:pPr>
      <w:r w:rsidRPr="00C30F92">
        <w:rPr>
          <w:lang w:eastAsia="en-US"/>
        </w:rPr>
        <w:t>Companies as subsidy recipients.</w:t>
      </w:r>
      <w:r w:rsidR="005E5682">
        <w:rPr>
          <w:lang w:eastAsia="en-US"/>
        </w:rPr>
        <w:t xml:space="preserve"> </w:t>
      </w:r>
    </w:p>
    <w:p w:rsidR="005B59F7" w:rsidRDefault="005B59F7" w:rsidP="00A7651B">
      <w:pPr>
        <w:pStyle w:val="HIPNormal"/>
        <w:rPr>
          <w:lang w:val="en-US"/>
        </w:rPr>
      </w:pPr>
      <w:r>
        <w:rPr>
          <w:lang w:val="en-US"/>
        </w:rPr>
        <w:t xml:space="preserve">For projects such as user subsidies, or smaller scale projects lengthy and expensive least cost </w:t>
      </w:r>
      <w:r>
        <w:rPr>
          <w:rFonts w:hint="eastAsia"/>
          <w:lang w:val="en-US"/>
        </w:rPr>
        <w:t>subsidy</w:t>
      </w:r>
      <w:r>
        <w:rPr>
          <w:lang w:val="en-US"/>
        </w:rPr>
        <w:t xml:space="preserve"> processes may not be necessary – </w:t>
      </w:r>
      <w:r>
        <w:rPr>
          <w:rFonts w:hint="eastAsia"/>
          <w:lang w:val="en-US"/>
        </w:rPr>
        <w:t>telecentres</w:t>
      </w:r>
      <w:r>
        <w:rPr>
          <w:lang w:val="en-US"/>
        </w:rPr>
        <w:t xml:space="preserve"> in certain areas may be an example, especially since the costs are easier to derive. In such cases fixed subsidies may be appropriate.</w:t>
      </w:r>
    </w:p>
    <w:p w:rsidR="003C5FE7" w:rsidRDefault="003C5FE7">
      <w:pPr>
        <w:rPr>
          <w:rFonts w:ascii="Calibri" w:hAnsi="Calibri" w:cs="Arial"/>
          <w:b/>
          <w:color w:val="000000"/>
          <w:sz w:val="21"/>
          <w:lang w:val="en-US"/>
        </w:rPr>
      </w:pPr>
      <w:bookmarkStart w:id="451" w:name="_Toc281459605"/>
      <w:r w:rsidRPr="00761E74">
        <w:rPr>
          <w:lang w:val="en-US"/>
        </w:rPr>
        <w:br w:type="page"/>
      </w:r>
    </w:p>
    <w:p w:rsidR="00A7651B" w:rsidRPr="0094088C" w:rsidRDefault="0088668E" w:rsidP="0088668E">
      <w:pPr>
        <w:pStyle w:val="HIPBoxquestion"/>
      </w:pPr>
      <w:bookmarkStart w:id="452" w:name="_Toc286146370"/>
      <w:r>
        <w:lastRenderedPageBreak/>
        <w:t xml:space="preserve">Box 3.14: </w:t>
      </w:r>
      <w:r w:rsidR="00A7651B" w:rsidRPr="0094088C">
        <w:t>Summary of Best Practices: Awarding Subsidies</w:t>
      </w:r>
      <w:bookmarkEnd w:id="452"/>
      <w:r w:rsidR="00A7651B" w:rsidRPr="0094088C">
        <w:t xml:space="preserve"> </w:t>
      </w:r>
    </w:p>
    <w:bookmarkEnd w:id="451"/>
    <w:p w:rsidR="00A7651B" w:rsidRPr="0094088C" w:rsidRDefault="00A7651B" w:rsidP="0088668E">
      <w:pPr>
        <w:pStyle w:val="HIPBoxenumlevel"/>
      </w:pPr>
      <w:r w:rsidRPr="00A7651B">
        <w:rPr>
          <w:color w:val="008000"/>
        </w:rPr>
        <w:t>•</w:t>
      </w:r>
      <w:r>
        <w:tab/>
      </w:r>
      <w:r w:rsidRPr="0094088C">
        <w:t xml:space="preserve">A mix of approaches to fund allocation is key and is dependent on the type of project being considered. Least cost subsidies are effective for large scale infrastructure projects. Fixed subsidies may be </w:t>
      </w:r>
      <w:r w:rsidRPr="0094088C">
        <w:rPr>
          <w:rFonts w:hint="eastAsia"/>
        </w:rPr>
        <w:t>appropriate</w:t>
      </w:r>
      <w:r w:rsidRPr="0094088C">
        <w:t xml:space="preserve"> for smaller projects with more predictable costs.</w:t>
      </w:r>
    </w:p>
    <w:p w:rsidR="00A7651B" w:rsidRPr="0094088C" w:rsidRDefault="00A7651B" w:rsidP="0088668E">
      <w:pPr>
        <w:pStyle w:val="HIPBoxenumlevel"/>
      </w:pPr>
      <w:r w:rsidRPr="00A7651B">
        <w:rPr>
          <w:color w:val="008000"/>
        </w:rPr>
        <w:t>•</w:t>
      </w:r>
      <w:r>
        <w:tab/>
      </w:r>
      <w:r w:rsidRPr="0094088C">
        <w:t>To minimize the level of subsidy required, and to reduce the potential for market distortion (especially in large scale infrastructure projects), the following components should be included in any bidding process:</w:t>
      </w:r>
    </w:p>
    <w:p w:rsidR="00A7651B" w:rsidRPr="0094088C" w:rsidRDefault="00A7651B" w:rsidP="0088668E">
      <w:pPr>
        <w:pStyle w:val="HIPBoxenumlevel"/>
      </w:pPr>
      <w:r>
        <w:tab/>
      </w:r>
      <w:r>
        <w:rPr>
          <w:color w:val="008000"/>
        </w:rPr>
        <w:t>–</w:t>
      </w:r>
      <w:r>
        <w:tab/>
      </w:r>
      <w:r w:rsidRPr="0094088C">
        <w:t xml:space="preserve">Market </w:t>
      </w:r>
      <w:r w:rsidRPr="0094088C">
        <w:rPr>
          <w:rFonts w:hint="eastAsia"/>
        </w:rPr>
        <w:t>research</w:t>
      </w:r>
      <w:r w:rsidRPr="0094088C">
        <w:t xml:space="preserve"> and public consultation</w:t>
      </w:r>
    </w:p>
    <w:p w:rsidR="00A7651B" w:rsidRPr="0094088C" w:rsidRDefault="00A7651B" w:rsidP="0088668E">
      <w:pPr>
        <w:pStyle w:val="HIPBoxenumlevel"/>
      </w:pPr>
      <w:r>
        <w:tab/>
      </w:r>
      <w:r>
        <w:rPr>
          <w:color w:val="008000"/>
        </w:rPr>
        <w:t>–</w:t>
      </w:r>
      <w:r>
        <w:tab/>
      </w:r>
      <w:r w:rsidRPr="0094088C">
        <w:t>Open tender processes</w:t>
      </w:r>
    </w:p>
    <w:p w:rsidR="00A7651B" w:rsidRPr="0094088C" w:rsidRDefault="00A7651B" w:rsidP="0088668E">
      <w:pPr>
        <w:pStyle w:val="HIPBoxenumlevel"/>
      </w:pPr>
      <w:r>
        <w:tab/>
      </w:r>
      <w:r>
        <w:rPr>
          <w:color w:val="008000"/>
        </w:rPr>
        <w:t>–</w:t>
      </w:r>
      <w:r>
        <w:tab/>
      </w:r>
      <w:r w:rsidRPr="0094088C">
        <w:t>Lowest cost subsidy approach</w:t>
      </w:r>
    </w:p>
    <w:p w:rsidR="00A7651B" w:rsidRPr="0094088C" w:rsidRDefault="00A7651B" w:rsidP="0088668E">
      <w:pPr>
        <w:pStyle w:val="HIPBoxenumlevel"/>
      </w:pPr>
      <w:r>
        <w:tab/>
      </w:r>
      <w:r>
        <w:rPr>
          <w:color w:val="008000"/>
        </w:rPr>
        <w:t>–</w:t>
      </w:r>
      <w:r>
        <w:tab/>
      </w:r>
      <w:r w:rsidRPr="0094088C">
        <w:t>Technology neutrality</w:t>
      </w:r>
    </w:p>
    <w:p w:rsidR="00A7651B" w:rsidRPr="0094088C" w:rsidRDefault="00A7651B" w:rsidP="0088668E">
      <w:pPr>
        <w:pStyle w:val="HIPBoxenumlevel"/>
      </w:pPr>
      <w:r>
        <w:tab/>
      </w:r>
      <w:r>
        <w:rPr>
          <w:color w:val="008000"/>
        </w:rPr>
        <w:t>–</w:t>
      </w:r>
      <w:r>
        <w:tab/>
      </w:r>
      <w:r w:rsidRPr="0094088C">
        <w:t xml:space="preserve">Link award of funding to the use of existing </w:t>
      </w:r>
      <w:r w:rsidRPr="0094088C">
        <w:rPr>
          <w:rFonts w:hint="eastAsia"/>
        </w:rPr>
        <w:t>infrastructure</w:t>
      </w:r>
      <w:r w:rsidRPr="0094088C">
        <w:t xml:space="preserve"> (if there already is some) in the </w:t>
      </w:r>
      <w:r>
        <w:tab/>
      </w:r>
      <w:r w:rsidRPr="0094088C">
        <w:t xml:space="preserve">area which reduces the potential for negative impact on existing operators by creating a </w:t>
      </w:r>
      <w:r>
        <w:tab/>
      </w:r>
      <w:r w:rsidRPr="0094088C">
        <w:t>market for them</w:t>
      </w:r>
    </w:p>
    <w:p w:rsidR="00A7651B" w:rsidRPr="0094088C" w:rsidRDefault="00A7651B" w:rsidP="0088668E">
      <w:pPr>
        <w:pStyle w:val="HIPBoxenumlevel"/>
      </w:pPr>
      <w:r>
        <w:tab/>
      </w:r>
      <w:r>
        <w:rPr>
          <w:color w:val="008000"/>
        </w:rPr>
        <w:t>–</w:t>
      </w:r>
      <w:r>
        <w:tab/>
      </w:r>
      <w:r w:rsidRPr="0094088C">
        <w:t>Link</w:t>
      </w:r>
      <w:r w:rsidR="005E5682">
        <w:t xml:space="preserve"> </w:t>
      </w:r>
      <w:r w:rsidRPr="0094088C">
        <w:t>award of finding to the provision of an open access network</w:t>
      </w:r>
    </w:p>
    <w:p w:rsidR="00A7651B" w:rsidRPr="0094088C" w:rsidRDefault="00A7651B" w:rsidP="0088668E">
      <w:pPr>
        <w:pStyle w:val="HIPBoxenumlevel"/>
      </w:pPr>
      <w:r>
        <w:tab/>
      </w:r>
      <w:r>
        <w:rPr>
          <w:color w:val="008000"/>
        </w:rPr>
        <w:t>–</w:t>
      </w:r>
      <w:r>
        <w:tab/>
      </w:r>
      <w:r w:rsidRPr="0094088C">
        <w:t xml:space="preserve">Ensure a clawback clause to avoid oversubsidisation or </w:t>
      </w:r>
      <w:r w:rsidRPr="0094088C">
        <w:rPr>
          <w:rFonts w:hint="eastAsia"/>
        </w:rPr>
        <w:t>market</w:t>
      </w:r>
      <w:r w:rsidRPr="0094088C">
        <w:t xml:space="preserve"> distortions</w:t>
      </w:r>
    </w:p>
    <w:p w:rsidR="00A7651B" w:rsidRPr="0094088C" w:rsidRDefault="00A7651B" w:rsidP="0088668E">
      <w:pPr>
        <w:pStyle w:val="HIPBoxenumlevel"/>
      </w:pPr>
      <w:r w:rsidRPr="00A7651B">
        <w:rPr>
          <w:color w:val="008000"/>
        </w:rPr>
        <w:t>•</w:t>
      </w:r>
      <w:r>
        <w:tab/>
      </w:r>
      <w:r w:rsidRPr="0094088C">
        <w:t>Where a competitive bidding process is embarked upon, the various steps of the UAS bidding design process are as follows:</w:t>
      </w:r>
    </w:p>
    <w:p w:rsidR="00A7651B" w:rsidRPr="0094088C" w:rsidRDefault="00A7651B" w:rsidP="0088668E">
      <w:pPr>
        <w:pStyle w:val="HIPBoxenumlevel"/>
      </w:pPr>
      <w:r>
        <w:tab/>
      </w:r>
      <w:r>
        <w:rPr>
          <w:color w:val="008000"/>
        </w:rPr>
        <w:t>–</w:t>
      </w:r>
      <w:r>
        <w:tab/>
      </w:r>
      <w:r w:rsidRPr="0094088C">
        <w:t>Formulate the bid objectives and desired outcomes;</w:t>
      </w:r>
    </w:p>
    <w:p w:rsidR="00A7651B" w:rsidRPr="0094088C" w:rsidRDefault="00A7651B" w:rsidP="0088668E">
      <w:pPr>
        <w:pStyle w:val="HIPBoxenumlevel"/>
      </w:pPr>
      <w:r>
        <w:tab/>
      </w:r>
      <w:r>
        <w:rPr>
          <w:color w:val="008000"/>
        </w:rPr>
        <w:t>–</w:t>
      </w:r>
      <w:r>
        <w:tab/>
      </w:r>
      <w:r w:rsidRPr="0094088C">
        <w:t xml:space="preserve">Articulate bidder eligibility, UAS areas, and separate or bundled UAS service provision; </w:t>
      </w:r>
    </w:p>
    <w:p w:rsidR="00A7651B" w:rsidRPr="0094088C" w:rsidRDefault="00A7651B" w:rsidP="0088668E">
      <w:pPr>
        <w:pStyle w:val="HIPBoxenumlevel"/>
      </w:pPr>
      <w:r>
        <w:tab/>
      </w:r>
      <w:r>
        <w:rPr>
          <w:color w:val="008000"/>
        </w:rPr>
        <w:t>–</w:t>
      </w:r>
      <w:r>
        <w:tab/>
      </w:r>
      <w:r w:rsidRPr="0094088C">
        <w:t xml:space="preserve">Present the UAS bidding strategy and detailed projects to potential bidders for discussion </w:t>
      </w:r>
      <w:r>
        <w:tab/>
      </w:r>
      <w:r w:rsidRPr="0094088C">
        <w:t>and integration of feedback;</w:t>
      </w:r>
    </w:p>
    <w:p w:rsidR="00A7651B" w:rsidRPr="0094088C" w:rsidRDefault="00A7651B" w:rsidP="0088668E">
      <w:pPr>
        <w:pStyle w:val="HIPBoxenumlevel"/>
      </w:pPr>
      <w:r>
        <w:tab/>
      </w:r>
      <w:r>
        <w:rPr>
          <w:color w:val="008000"/>
        </w:rPr>
        <w:t>–</w:t>
      </w:r>
      <w:r>
        <w:tab/>
      </w:r>
      <w:r w:rsidRPr="0094088C">
        <w:t xml:space="preserve">Conduct detailed design of the bidding process, including key parameters of the subsidy </w:t>
      </w:r>
      <w:r>
        <w:tab/>
      </w:r>
      <w:r w:rsidRPr="0094088C">
        <w:t>contract and license;</w:t>
      </w:r>
    </w:p>
    <w:p w:rsidR="00A7651B" w:rsidRPr="00790A4A" w:rsidRDefault="00A7651B" w:rsidP="0088668E">
      <w:pPr>
        <w:pStyle w:val="HIPBoxenumlevel"/>
      </w:pPr>
      <w:r>
        <w:tab/>
      </w:r>
      <w:r>
        <w:rPr>
          <w:color w:val="008000"/>
        </w:rPr>
        <w:t>–</w:t>
      </w:r>
      <w:r>
        <w:tab/>
      </w:r>
      <w:r w:rsidRPr="00790A4A">
        <w:t>Prepare detailed bidding documents; and</w:t>
      </w:r>
    </w:p>
    <w:p w:rsidR="00A7651B" w:rsidRPr="0094088C" w:rsidRDefault="00A7651B" w:rsidP="0088668E">
      <w:pPr>
        <w:pStyle w:val="HIPBoxenumlevel"/>
      </w:pPr>
      <w:r>
        <w:tab/>
      </w:r>
      <w:r>
        <w:rPr>
          <w:color w:val="008000"/>
        </w:rPr>
        <w:t>–</w:t>
      </w:r>
      <w:r>
        <w:tab/>
      </w:r>
      <w:r w:rsidRPr="0094088C">
        <w:t>Ensure a transparent bidding process.</w:t>
      </w:r>
    </w:p>
    <w:p w:rsidR="00A7651B" w:rsidRPr="0094088C" w:rsidRDefault="00A7651B" w:rsidP="0088668E">
      <w:pPr>
        <w:pStyle w:val="HIPBoxenumlevel"/>
      </w:pPr>
      <w:r w:rsidRPr="00A7651B">
        <w:rPr>
          <w:color w:val="008000"/>
        </w:rPr>
        <w:t>•</w:t>
      </w:r>
      <w:r>
        <w:tab/>
      </w:r>
      <w:r w:rsidRPr="0094088C">
        <w:t xml:space="preserve">The formulation of bid objectives and desired outcomes </w:t>
      </w:r>
      <w:r w:rsidRPr="0094088C">
        <w:rPr>
          <w:rFonts w:hint="eastAsia"/>
        </w:rPr>
        <w:t>should</w:t>
      </w:r>
      <w:r w:rsidRPr="0094088C">
        <w:t xml:space="preserve"> be based on each Member State’s UAS policy. In addition to achieving the UAS targets, bid objectives could include minimizing subsidies or increasing competition in the market. </w:t>
      </w:r>
    </w:p>
    <w:p w:rsidR="00A7651B" w:rsidRPr="0094088C" w:rsidRDefault="00A7651B" w:rsidP="0088668E">
      <w:pPr>
        <w:pStyle w:val="HIPBoxenumlevel"/>
      </w:pPr>
      <w:r w:rsidRPr="00A7651B">
        <w:rPr>
          <w:color w:val="008000"/>
        </w:rPr>
        <w:t>•</w:t>
      </w:r>
      <w:r>
        <w:tab/>
      </w:r>
      <w:r w:rsidRPr="0094088C">
        <w:t>Decisions on who is eligible for participation in the competitive tender for subsidies have an impact on the objectives and desired outcomes.</w:t>
      </w:r>
    </w:p>
    <w:p w:rsidR="00A7651B" w:rsidRPr="0094088C" w:rsidRDefault="00A7651B" w:rsidP="0088668E">
      <w:pPr>
        <w:pStyle w:val="HIPBoxenumlevel"/>
      </w:pPr>
      <w:r w:rsidRPr="00A7651B">
        <w:rPr>
          <w:color w:val="008000"/>
        </w:rPr>
        <w:t>•</w:t>
      </w:r>
      <w:r>
        <w:tab/>
      </w:r>
      <w:r w:rsidRPr="0094088C">
        <w:t>Define a Disbursement level and process Framework (see Table 27)</w:t>
      </w:r>
    </w:p>
    <w:p w:rsidR="0088668E" w:rsidRPr="00DC5333" w:rsidRDefault="0088668E" w:rsidP="0088668E">
      <w:pPr>
        <w:pStyle w:val="HIPNormal"/>
        <w:rPr>
          <w:lang w:val="en-US"/>
        </w:rPr>
      </w:pPr>
      <w:bookmarkStart w:id="453" w:name="_Toc284598033"/>
      <w:bookmarkStart w:id="454" w:name="_Toc281459601"/>
    </w:p>
    <w:p w:rsidR="0088668E" w:rsidRDefault="0088668E">
      <w:pPr>
        <w:rPr>
          <w:rFonts w:ascii="Calibri" w:hAnsi="Calibri" w:cs="Arial"/>
          <w:b/>
          <w:color w:val="000000"/>
          <w:sz w:val="21"/>
          <w:lang w:val="en-US" w:eastAsia="en-US"/>
        </w:rPr>
      </w:pPr>
      <w:r w:rsidRPr="00DC5333">
        <w:rPr>
          <w:lang w:val="en-US"/>
        </w:rPr>
        <w:br w:type="page"/>
      </w:r>
    </w:p>
    <w:p w:rsidR="0088668E" w:rsidRPr="0088668E" w:rsidRDefault="0088668E" w:rsidP="0088668E">
      <w:pPr>
        <w:pStyle w:val="HIPBoxquestion"/>
      </w:pPr>
      <w:bookmarkStart w:id="455" w:name="_Toc286146371"/>
      <w:r>
        <w:lastRenderedPageBreak/>
        <w:t>Box 3.15:</w:t>
      </w:r>
      <w:r w:rsidRPr="0088668E">
        <w:t>Sample/Reference Documents</w:t>
      </w:r>
      <w:bookmarkEnd w:id="455"/>
    </w:p>
    <w:p w:rsidR="0088668E" w:rsidRPr="0094088C" w:rsidRDefault="0088668E" w:rsidP="0088668E">
      <w:pPr>
        <w:pStyle w:val="HIPBoxNormal"/>
      </w:pPr>
      <w:r w:rsidRPr="0094088C">
        <w:t>As discussed above, there are a large number of considerations in deciding how funds should be allocated. Herewith please find a few examples of approaches and recommendations:</w:t>
      </w:r>
    </w:p>
    <w:p w:rsidR="0088668E" w:rsidRPr="0094088C" w:rsidRDefault="0088668E" w:rsidP="0088668E">
      <w:pPr>
        <w:pStyle w:val="HIPBoxenumlevel"/>
        <w:jc w:val="left"/>
      </w:pPr>
      <w:r w:rsidRPr="00A7651B">
        <w:rPr>
          <w:color w:val="008000"/>
        </w:rPr>
        <w:t>•</w:t>
      </w:r>
      <w:r>
        <w:tab/>
      </w:r>
      <w:r w:rsidRPr="0094088C">
        <w:t xml:space="preserve">EC State Aid Guidelines for Broadband </w:t>
      </w:r>
      <w:hyperlink r:id="rId87" w:history="1">
        <w:r w:rsidRPr="0094088C">
          <w:rPr>
            <w:rStyle w:val="Hyperlink"/>
          </w:rPr>
          <w:t>http://ec.europa.eu/competition/consultations/2009_broadband_guidelines/index.html</w:t>
        </w:r>
      </w:hyperlink>
      <w:r w:rsidRPr="0094088C">
        <w:t xml:space="preserve"> </w:t>
      </w:r>
    </w:p>
    <w:p w:rsidR="0088668E" w:rsidRPr="0094088C" w:rsidRDefault="0088668E" w:rsidP="0088668E">
      <w:pPr>
        <w:pStyle w:val="HIPBoxenumlevel"/>
      </w:pPr>
      <w:r w:rsidRPr="00A7651B">
        <w:rPr>
          <w:color w:val="008000"/>
        </w:rPr>
        <w:t>•</w:t>
      </w:r>
      <w:r>
        <w:tab/>
      </w:r>
      <w:r w:rsidRPr="0094088C">
        <w:t>Universal Access and Universal Service Funds: insights and experience of international best practice</w:t>
      </w:r>
      <w:r>
        <w:br/>
      </w:r>
      <w:hyperlink r:id="rId88" w:history="1">
        <w:r w:rsidRPr="007B1A5B">
          <w:rPr>
            <w:rStyle w:val="Hyperlink"/>
          </w:rPr>
          <w:t>www.inteleconresearch.com/pdf/050713%20-%20universal%20access%20and%20universal%20service%20funds%20v3.pdf</w:t>
        </w:r>
      </w:hyperlink>
      <w:r w:rsidRPr="0094088C">
        <w:t xml:space="preserve"> </w:t>
      </w:r>
    </w:p>
    <w:p w:rsidR="0088668E" w:rsidRPr="0094088C" w:rsidRDefault="0088668E" w:rsidP="0088668E">
      <w:pPr>
        <w:pStyle w:val="HIPBoxenumlevel"/>
        <w:jc w:val="left"/>
      </w:pPr>
      <w:r w:rsidRPr="00A7651B">
        <w:rPr>
          <w:color w:val="008000"/>
        </w:rPr>
        <w:t>•</w:t>
      </w:r>
      <w:r>
        <w:tab/>
      </w:r>
      <w:r w:rsidRPr="0094088C">
        <w:t>Universal Service Obligations: To Incumbents</w:t>
      </w:r>
      <w:r>
        <w:t xml:space="preserve"> </w:t>
      </w:r>
      <w:r>
        <w:br/>
      </w:r>
      <w:hyperlink r:id="rId89" w:history="1">
        <w:r w:rsidRPr="007B1A5B">
          <w:rPr>
            <w:rStyle w:val="Hyperlink"/>
          </w:rPr>
          <w:t>www.idrc.ca/biodiversity/ev-118644-201-1-DO_TOPIC.html</w:t>
        </w:r>
      </w:hyperlink>
      <w:r w:rsidRPr="0094088C">
        <w:t xml:space="preserve"> </w:t>
      </w:r>
    </w:p>
    <w:p w:rsidR="0088668E" w:rsidRDefault="0088668E" w:rsidP="0088668E">
      <w:pPr>
        <w:pStyle w:val="HIPBoxenumlevel"/>
      </w:pPr>
      <w:r w:rsidRPr="00A7651B">
        <w:rPr>
          <w:color w:val="008000"/>
        </w:rPr>
        <w:t>•</w:t>
      </w:r>
      <w:r>
        <w:tab/>
      </w:r>
      <w:r w:rsidRPr="0094088C">
        <w:t xml:space="preserve">Costing and Financing Universal Service Obligations in a competitive Telecommunications Environment in the European Untion (Wissenschaftliches Institut für Kommunikationsdienste (WIK)) </w:t>
      </w:r>
      <w:hyperlink r:id="rId90" w:history="1">
        <w:r w:rsidRPr="0094088C">
          <w:rPr>
            <w:rStyle w:val="Hyperlink"/>
          </w:rPr>
          <w:t>http://ec.europa.eu/archives/ISPO/infosoc/telecompolicy/en/Study-en.html</w:t>
        </w:r>
      </w:hyperlink>
      <w:r>
        <w:t xml:space="preserve"> </w:t>
      </w:r>
    </w:p>
    <w:p w:rsidR="005B59F7" w:rsidRPr="00A7651B" w:rsidRDefault="0088668E" w:rsidP="0088668E">
      <w:pPr>
        <w:pStyle w:val="HIPheading3"/>
      </w:pPr>
      <w:bookmarkStart w:id="456" w:name="_Toc286144999"/>
      <w:r>
        <w:t>3.7.</w:t>
      </w:r>
      <w:r w:rsidR="00A7651B">
        <w:t>6</w:t>
      </w:r>
      <w:r w:rsidR="00A7651B">
        <w:tab/>
        <w:t>How To</w:t>
      </w:r>
      <w:r w:rsidR="005E5682">
        <w:t xml:space="preserve"> </w:t>
      </w:r>
      <w:r w:rsidR="00A7651B">
        <w:t>Invite</w:t>
      </w:r>
      <w:r w:rsidR="005E5682">
        <w:t xml:space="preserve"> </w:t>
      </w:r>
      <w:r w:rsidR="00A7651B">
        <w:t>Bidders</w:t>
      </w:r>
      <w:r w:rsidR="005E5682">
        <w:t xml:space="preserve"> – </w:t>
      </w:r>
      <w:r w:rsidR="00A7651B" w:rsidRPr="001554DA">
        <w:t xml:space="preserve">Key </w:t>
      </w:r>
      <w:r w:rsidR="00A7651B">
        <w:t xml:space="preserve">Bidding </w:t>
      </w:r>
      <w:r w:rsidR="00A7651B" w:rsidRPr="001554DA">
        <w:t>Documents</w:t>
      </w:r>
      <w:bookmarkEnd w:id="453"/>
      <w:bookmarkEnd w:id="456"/>
      <w:r w:rsidR="00A7651B" w:rsidRPr="001554DA">
        <w:t xml:space="preserve"> </w:t>
      </w:r>
    </w:p>
    <w:p w:rsidR="005B59F7" w:rsidRPr="00A7651B" w:rsidRDefault="0088668E" w:rsidP="0088668E">
      <w:pPr>
        <w:pStyle w:val="HIPheading4"/>
      </w:pPr>
      <w:bookmarkStart w:id="457" w:name="_Toc284598034"/>
      <w:r>
        <w:t>3.7.</w:t>
      </w:r>
      <w:r w:rsidR="00A7651B">
        <w:t>6.1</w:t>
      </w:r>
      <w:r w:rsidR="00A7651B">
        <w:tab/>
      </w:r>
      <w:r w:rsidR="005B59F7">
        <w:t>Pre-Process Documents</w:t>
      </w:r>
      <w:bookmarkEnd w:id="454"/>
      <w:bookmarkEnd w:id="457"/>
    </w:p>
    <w:p w:rsidR="005B59F7" w:rsidRDefault="005B59F7" w:rsidP="00A7651B">
      <w:pPr>
        <w:pStyle w:val="HIPNormal"/>
        <w:rPr>
          <w:lang w:val="en-US"/>
        </w:rPr>
      </w:pPr>
      <w:r w:rsidRPr="0005608F">
        <w:rPr>
          <w:lang w:val="en-US"/>
        </w:rPr>
        <w:t xml:space="preserve">Before the bidding process commences it is critical that the bidders have sight of some key documents which will inform their strategy, the bid price and even their interest in the process. </w:t>
      </w:r>
      <w:r>
        <w:rPr>
          <w:lang w:val="en-US"/>
        </w:rPr>
        <w:t xml:space="preserve">This is </w:t>
      </w:r>
      <w:r>
        <w:rPr>
          <w:rFonts w:hint="eastAsia"/>
          <w:lang w:val="en-US"/>
        </w:rPr>
        <w:t>particularly</w:t>
      </w:r>
      <w:r>
        <w:rPr>
          <w:lang w:val="en-US"/>
        </w:rPr>
        <w:t xml:space="preserve"> important in a </w:t>
      </w:r>
      <w:r>
        <w:rPr>
          <w:rFonts w:hint="eastAsia"/>
          <w:lang w:val="en-US"/>
        </w:rPr>
        <w:t>liberalized</w:t>
      </w:r>
      <w:r>
        <w:rPr>
          <w:lang w:val="en-US"/>
        </w:rPr>
        <w:t xml:space="preserve"> and partially competitive market where the funder will need to choose a singe operator to provide the </w:t>
      </w:r>
      <w:r>
        <w:rPr>
          <w:rFonts w:hint="eastAsia"/>
          <w:lang w:val="en-US"/>
        </w:rPr>
        <w:t>service</w:t>
      </w:r>
      <w:r>
        <w:rPr>
          <w:lang w:val="en-US"/>
        </w:rPr>
        <w:t>/network and where there is a risk of anti-competitive outcomes.</w:t>
      </w:r>
    </w:p>
    <w:p w:rsidR="005B59F7" w:rsidRPr="0005608F" w:rsidRDefault="005B59F7" w:rsidP="00A7651B">
      <w:pPr>
        <w:pStyle w:val="HIPNormal"/>
        <w:rPr>
          <w:lang w:val="en-US"/>
        </w:rPr>
      </w:pPr>
      <w:r w:rsidRPr="0005608F">
        <w:rPr>
          <w:lang w:val="en-US"/>
        </w:rPr>
        <w:t xml:space="preserve">Ideally, the bidders will have two opportunities to consider the documents. The first opportunity would be when they are put out for stakeholder comment as part of a public consultation process. The second would be when the ‘final’ documents are issued at the commencement of the bidding process – the documents should be almost final subject to minor changes once the bid is awarded. No substantive changes should be made upon award, as this </w:t>
      </w:r>
      <w:r>
        <w:rPr>
          <w:lang w:val="en-US"/>
        </w:rPr>
        <w:t>w</w:t>
      </w:r>
      <w:r w:rsidRPr="0005608F">
        <w:rPr>
          <w:lang w:val="en-US"/>
        </w:rPr>
        <w:t>ould mean that the bidding process was unfair in that had the other bidders known they may bid differently.</w:t>
      </w:r>
    </w:p>
    <w:p w:rsidR="005B59F7" w:rsidRDefault="005B59F7" w:rsidP="00A7651B">
      <w:pPr>
        <w:pStyle w:val="HIPNormal"/>
      </w:pPr>
      <w:r>
        <w:t>Key documents are:</w:t>
      </w:r>
    </w:p>
    <w:p w:rsidR="005B59F7" w:rsidRPr="0005608F" w:rsidRDefault="005B59F7" w:rsidP="00A7651B">
      <w:pPr>
        <w:pStyle w:val="HIPEnumlev1"/>
      </w:pPr>
      <w:r w:rsidRPr="0005608F">
        <w:t>Expression of Interest or Request to pre-Qualify</w:t>
      </w:r>
      <w:r w:rsidR="005E5682">
        <w:t xml:space="preserve"> – </w:t>
      </w:r>
      <w:r w:rsidRPr="0005608F">
        <w:t>A public notice setting out a description of the services or facilities to be subsidized; the geographic area of the project; the competitive process that will be used to award the subsidy; and key dates in the process, especially the deadline for submitting applications/bids. The responses to this document will serve as an initial screening process for parties that will be permitted to participate in the full competition process initiated by the RFP;</w:t>
      </w:r>
    </w:p>
    <w:p w:rsidR="005B59F7" w:rsidRPr="0005608F" w:rsidRDefault="005B59F7" w:rsidP="00A7651B">
      <w:pPr>
        <w:pStyle w:val="HIPEnumlev1"/>
      </w:pPr>
      <w:r w:rsidRPr="0005608F">
        <w:t xml:space="preserve">Request for Proposals (RFP), </w:t>
      </w:r>
      <w:r>
        <w:t xml:space="preserve">also known as the </w:t>
      </w:r>
      <w:r w:rsidRPr="0005608F">
        <w:t xml:space="preserve">Bid Documents, Tender, or Invitation to Apply (ITA) </w:t>
      </w:r>
    </w:p>
    <w:p w:rsidR="005B59F7" w:rsidRPr="0005608F" w:rsidRDefault="005B59F7" w:rsidP="00A7651B">
      <w:pPr>
        <w:pStyle w:val="HIPEnumlev1"/>
      </w:pPr>
      <w:r w:rsidRPr="0005608F">
        <w:t>Copy of the Draft License -a licence to operate the new network and provide the services</w:t>
      </w:r>
      <w:r>
        <w:t xml:space="preserve"> (if applicable, if non licenced players are allowed to bid)</w:t>
      </w:r>
    </w:p>
    <w:p w:rsidR="005B59F7" w:rsidRPr="0005608F" w:rsidRDefault="005B59F7" w:rsidP="00A7651B">
      <w:pPr>
        <w:pStyle w:val="HIPEnumlev1"/>
      </w:pPr>
      <w:r w:rsidRPr="0005608F">
        <w:t xml:space="preserve">Copy of the Draft Financing Contract– this is the document governing the payment of the subsidy. It provides contractual certainty to permit the financing of </w:t>
      </w:r>
      <w:r>
        <w:t xml:space="preserve">the </w:t>
      </w:r>
      <w:r w:rsidRPr="0005608F">
        <w:t>project – and service requirements.</w:t>
      </w:r>
      <w:r w:rsidR="005E5682">
        <w:t xml:space="preserve"> </w:t>
      </w:r>
    </w:p>
    <w:p w:rsidR="005B59F7" w:rsidRDefault="005B59F7" w:rsidP="00A7651B">
      <w:pPr>
        <w:pStyle w:val="HIPEnumlev1"/>
      </w:pPr>
      <w:r w:rsidRPr="0005608F">
        <w:t>Service Agreement (can be combined with Financing Contract)</w:t>
      </w:r>
      <w:r w:rsidR="005E5682">
        <w:t xml:space="preserve"> – </w:t>
      </w:r>
      <w:r w:rsidRPr="0005608F">
        <w:t xml:space="preserve">specifies targets and milestones (e.g. Network construction milestones, and service rollout, schools connected, cities </w:t>
      </w:r>
      <w:r w:rsidRPr="0005608F">
        <w:lastRenderedPageBreak/>
        <w:t xml:space="preserve">connected); technical performance requirements, including services to be provided, quality of service, etc; and penalties and remedies for failure to perform. </w:t>
      </w:r>
      <w:r>
        <w:t>See Table 33.</w:t>
      </w:r>
    </w:p>
    <w:p w:rsidR="005B59F7" w:rsidRDefault="005B59F7" w:rsidP="00A7651B">
      <w:pPr>
        <w:pStyle w:val="HIPEnumlev1"/>
      </w:pPr>
      <w:r>
        <w:t>Model Performance Guarantee</w:t>
      </w:r>
    </w:p>
    <w:p w:rsidR="005B59F7" w:rsidRPr="0005608F" w:rsidRDefault="005B59F7" w:rsidP="00A7651B">
      <w:pPr>
        <w:pStyle w:val="HIPEnumlev1"/>
      </w:pPr>
      <w:r w:rsidRPr="0005608F">
        <w:t>A bid bond</w:t>
      </w:r>
      <w:r w:rsidR="005E5682">
        <w:t xml:space="preserve"> – </w:t>
      </w:r>
      <w:r w:rsidRPr="0005608F">
        <w:t>The bid bond is a bank guarantee provided by the bidder, ranging from 1 to 5 per cent of the maximum subsidy, which the bidder will have to fortify if the bidder withdraws its bid. The purpose of the bid bond is to deter companie</w:t>
      </w:r>
      <w:r w:rsidR="00A7651B">
        <w:t>s that are not serious bidders.</w:t>
      </w:r>
    </w:p>
    <w:p w:rsidR="005B59F7" w:rsidRPr="00E4197E" w:rsidRDefault="005B59F7" w:rsidP="0088668E">
      <w:pPr>
        <w:pStyle w:val="HIPTabletitle"/>
      </w:pPr>
      <w:bookmarkStart w:id="458" w:name="_Toc286146573"/>
      <w:r w:rsidRPr="00E4197E">
        <w:t xml:space="preserve">Table </w:t>
      </w:r>
      <w:r>
        <w:rPr>
          <w:noProof/>
        </w:rPr>
        <w:t>3</w:t>
      </w:r>
      <w:r w:rsidR="0088668E">
        <w:rPr>
          <w:noProof/>
        </w:rPr>
        <w:t>.18</w:t>
      </w:r>
      <w:r>
        <w:t>: Preparing a Service Agreement/Contract</w:t>
      </w:r>
      <w:bookmarkEnd w:id="4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9180"/>
      </w:tblGrid>
      <w:tr w:rsidR="005B59F7" w:rsidRPr="00A3379B" w:rsidTr="0088668E">
        <w:trPr>
          <w:jc w:val="center"/>
        </w:trPr>
        <w:tc>
          <w:tcPr>
            <w:tcW w:w="9180" w:type="dxa"/>
            <w:shd w:val="clear" w:color="auto" w:fill="EAF1DD"/>
          </w:tcPr>
          <w:p w:rsidR="005B59F7" w:rsidRPr="00F57820" w:rsidRDefault="005B59F7" w:rsidP="00A7651B">
            <w:pPr>
              <w:pStyle w:val="HIPTabletext"/>
              <w:rPr>
                <w:lang w:val="en-US"/>
              </w:rPr>
            </w:pPr>
            <w:r w:rsidRPr="00F57820">
              <w:rPr>
                <w:lang w:val="en-US"/>
              </w:rPr>
              <w:t>Key clauses in a Service Agreement</w:t>
            </w:r>
            <w:r w:rsidRPr="00F57820">
              <w:rPr>
                <w:rStyle w:val="FootnoteReference"/>
                <w:sz w:val="20"/>
              </w:rPr>
              <w:footnoteReference w:id="86"/>
            </w:r>
          </w:p>
          <w:p w:rsidR="005B59F7" w:rsidRPr="00F57820" w:rsidRDefault="00A7651B" w:rsidP="00A7651B">
            <w:pPr>
              <w:pStyle w:val="HIPTabletext"/>
              <w:ind w:left="709" w:hanging="709"/>
              <w:rPr>
                <w:lang w:val="en-US"/>
              </w:rPr>
            </w:pPr>
            <w:r w:rsidRPr="00A7651B">
              <w:rPr>
                <w:color w:val="008000"/>
                <w:lang w:val="en-US"/>
              </w:rPr>
              <w:t>•</w:t>
            </w:r>
            <w:r>
              <w:rPr>
                <w:lang w:val="en-US"/>
              </w:rPr>
              <w:tab/>
            </w:r>
            <w:r w:rsidR="005B59F7" w:rsidRPr="00F57820">
              <w:rPr>
                <w:lang w:val="en-US"/>
              </w:rPr>
              <w:t>Measurable targets (network construction milestones, service rollout, schools connected, cities and population covered, etc)</w:t>
            </w:r>
          </w:p>
          <w:p w:rsidR="005B59F7" w:rsidRPr="00F57820" w:rsidRDefault="00A7651B" w:rsidP="00A7651B">
            <w:pPr>
              <w:pStyle w:val="HIPTabletext"/>
              <w:rPr>
                <w:lang w:val="en-US"/>
              </w:rPr>
            </w:pPr>
            <w:r w:rsidRPr="00A7651B">
              <w:rPr>
                <w:color w:val="008000"/>
                <w:lang w:val="en-US"/>
              </w:rPr>
              <w:t>•</w:t>
            </w:r>
            <w:r>
              <w:rPr>
                <w:lang w:val="en-US"/>
              </w:rPr>
              <w:tab/>
            </w:r>
            <w:r w:rsidR="005B59F7" w:rsidRPr="00F57820">
              <w:rPr>
                <w:lang w:val="en-US"/>
              </w:rPr>
              <w:t>Phases and Procedures for certifying completion of phases of project &amp; subsidy payments</w:t>
            </w:r>
          </w:p>
          <w:p w:rsidR="005B59F7" w:rsidRPr="00F57820" w:rsidRDefault="00A7651B" w:rsidP="00A7651B">
            <w:pPr>
              <w:pStyle w:val="HIPTabletext"/>
              <w:rPr>
                <w:lang w:val="en-US"/>
              </w:rPr>
            </w:pPr>
            <w:r w:rsidRPr="00A7651B">
              <w:rPr>
                <w:color w:val="008000"/>
                <w:lang w:val="en-US"/>
              </w:rPr>
              <w:t>•</w:t>
            </w:r>
            <w:r>
              <w:rPr>
                <w:lang w:val="en-US"/>
              </w:rPr>
              <w:tab/>
            </w:r>
            <w:r w:rsidR="005B59F7" w:rsidRPr="00F57820">
              <w:rPr>
                <w:lang w:val="en-US"/>
              </w:rPr>
              <w:t xml:space="preserve">Technical performance requirements, including services to be provided, quality of service, etc. </w:t>
            </w:r>
          </w:p>
          <w:p w:rsidR="005B59F7" w:rsidRDefault="00A7651B" w:rsidP="00A7651B">
            <w:pPr>
              <w:pStyle w:val="HIPTabletext"/>
              <w:ind w:left="709" w:hanging="709"/>
              <w:rPr>
                <w:lang w:val="en-US"/>
              </w:rPr>
            </w:pPr>
            <w:r w:rsidRPr="00A7651B">
              <w:rPr>
                <w:color w:val="008000"/>
                <w:lang w:val="en-US"/>
              </w:rPr>
              <w:t>•</w:t>
            </w:r>
            <w:r>
              <w:rPr>
                <w:lang w:val="en-US"/>
              </w:rPr>
              <w:tab/>
            </w:r>
            <w:r w:rsidR="005B59F7">
              <w:rPr>
                <w:lang w:val="en-US"/>
              </w:rPr>
              <w:t>Claw back clause – providing for repayment of subsidy (or excess subsidy) should there be higher demand in the area than anticpated, to avoide market distortion</w:t>
            </w:r>
          </w:p>
          <w:p w:rsidR="005B59F7" w:rsidRPr="00F57820" w:rsidRDefault="00A7651B" w:rsidP="00A7651B">
            <w:pPr>
              <w:pStyle w:val="HIPTabletext"/>
              <w:rPr>
                <w:lang w:val="en-US"/>
              </w:rPr>
            </w:pPr>
            <w:r w:rsidRPr="00A7651B">
              <w:rPr>
                <w:color w:val="008000"/>
                <w:lang w:val="en-US"/>
              </w:rPr>
              <w:t>•</w:t>
            </w:r>
            <w:r>
              <w:rPr>
                <w:lang w:val="en-US"/>
              </w:rPr>
              <w:tab/>
            </w:r>
            <w:r w:rsidR="005B59F7" w:rsidRPr="00F57820">
              <w:rPr>
                <w:lang w:val="en-US"/>
              </w:rPr>
              <w:t>Penalties and remedies for failure to perform</w:t>
            </w:r>
          </w:p>
          <w:p w:rsidR="005B59F7" w:rsidRPr="00A7651B" w:rsidRDefault="00A7651B" w:rsidP="00A7651B">
            <w:pPr>
              <w:pStyle w:val="HIPTabletext"/>
              <w:rPr>
                <w:lang w:val="en-US"/>
              </w:rPr>
            </w:pPr>
            <w:r w:rsidRPr="00A7651B">
              <w:rPr>
                <w:color w:val="008000"/>
                <w:lang w:val="en-US"/>
              </w:rPr>
              <w:t>•</w:t>
            </w:r>
            <w:r>
              <w:rPr>
                <w:lang w:val="en-US"/>
              </w:rPr>
              <w:tab/>
            </w:r>
            <w:r w:rsidR="005B59F7" w:rsidRPr="00A7651B">
              <w:rPr>
                <w:lang w:val="en-US"/>
              </w:rPr>
              <w:t>Dispute resolution procedures</w:t>
            </w:r>
          </w:p>
          <w:p w:rsidR="005B59F7" w:rsidRPr="00A7651B" w:rsidRDefault="00A7651B" w:rsidP="00A7651B">
            <w:pPr>
              <w:pStyle w:val="HIPTabletext"/>
              <w:rPr>
                <w:lang w:val="en-US"/>
              </w:rPr>
            </w:pPr>
            <w:r w:rsidRPr="00A7651B">
              <w:rPr>
                <w:color w:val="008000"/>
                <w:lang w:val="en-US"/>
              </w:rPr>
              <w:t>•</w:t>
            </w:r>
            <w:r>
              <w:rPr>
                <w:lang w:val="en-US"/>
              </w:rPr>
              <w:tab/>
            </w:r>
            <w:r w:rsidR="005B59F7" w:rsidRPr="00A7651B">
              <w:rPr>
                <w:lang w:val="en-US"/>
              </w:rPr>
              <w:t>Other commercial provisions</w:t>
            </w:r>
          </w:p>
          <w:p w:rsidR="005B59F7" w:rsidRPr="00A7651B" w:rsidRDefault="00A7651B" w:rsidP="00A7651B">
            <w:pPr>
              <w:pStyle w:val="HIPTabletext"/>
              <w:rPr>
                <w:lang w:val="en-US"/>
              </w:rPr>
            </w:pPr>
            <w:r>
              <w:rPr>
                <w:lang w:val="en-US"/>
              </w:rPr>
              <w:tab/>
              <w:t xml:space="preserve">– </w:t>
            </w:r>
            <w:r w:rsidR="005B59F7" w:rsidRPr="00A7651B">
              <w:rPr>
                <w:lang w:val="en-US"/>
              </w:rPr>
              <w:t>Representations &amp; Warranties</w:t>
            </w:r>
          </w:p>
          <w:p w:rsidR="005B59F7" w:rsidRPr="00A7651B" w:rsidRDefault="00A7651B" w:rsidP="00A7651B">
            <w:pPr>
              <w:pStyle w:val="HIPTabletext"/>
              <w:rPr>
                <w:lang w:val="en-US"/>
              </w:rPr>
            </w:pPr>
            <w:r>
              <w:rPr>
                <w:lang w:val="en-US"/>
              </w:rPr>
              <w:tab/>
              <w:t>–</w:t>
            </w:r>
            <w:r w:rsidR="005B59F7" w:rsidRPr="00A7651B">
              <w:rPr>
                <w:lang w:val="en-US"/>
              </w:rPr>
              <w:t xml:space="preserve"> Performance guarantees</w:t>
            </w:r>
          </w:p>
          <w:p w:rsidR="005B59F7" w:rsidRPr="00A7651B" w:rsidRDefault="00A7651B" w:rsidP="00A7651B">
            <w:pPr>
              <w:pStyle w:val="HIPTabletext"/>
              <w:rPr>
                <w:lang w:val="en-US"/>
              </w:rPr>
            </w:pPr>
            <w:r>
              <w:rPr>
                <w:lang w:val="en-US"/>
              </w:rPr>
              <w:tab/>
              <w:t>–</w:t>
            </w:r>
            <w:r w:rsidR="005B59F7" w:rsidRPr="00A7651B">
              <w:rPr>
                <w:lang w:val="en-US"/>
              </w:rPr>
              <w:t xml:space="preserve"> Term, termination &amp; amendment rules</w:t>
            </w:r>
          </w:p>
          <w:p w:rsidR="005B59F7" w:rsidRPr="00A7651B" w:rsidRDefault="00A7651B" w:rsidP="00A7651B">
            <w:pPr>
              <w:pStyle w:val="HIPTabletext"/>
              <w:rPr>
                <w:lang w:val="en-US"/>
              </w:rPr>
            </w:pPr>
            <w:r>
              <w:rPr>
                <w:lang w:val="en-US"/>
              </w:rPr>
              <w:tab/>
              <w:t>–</w:t>
            </w:r>
            <w:r w:rsidR="005B59F7" w:rsidRPr="00A7651B">
              <w:rPr>
                <w:lang w:val="en-US"/>
              </w:rPr>
              <w:t xml:space="preserve"> Force majeure and non-performance</w:t>
            </w:r>
          </w:p>
          <w:p w:rsidR="005B59F7" w:rsidRPr="00A7651B" w:rsidRDefault="00A7651B" w:rsidP="00A7651B">
            <w:pPr>
              <w:pStyle w:val="HIPTabletext"/>
              <w:rPr>
                <w:lang w:val="en-US"/>
              </w:rPr>
            </w:pPr>
            <w:r>
              <w:rPr>
                <w:lang w:val="en-US"/>
              </w:rPr>
              <w:tab/>
              <w:t>–</w:t>
            </w:r>
            <w:r w:rsidR="005B59F7" w:rsidRPr="00A7651B">
              <w:rPr>
                <w:lang w:val="en-US"/>
              </w:rPr>
              <w:t xml:space="preserve"> Insurance, indemnity, etc.</w:t>
            </w:r>
          </w:p>
          <w:p w:rsidR="005B59F7" w:rsidRPr="00A7651B" w:rsidRDefault="00A7651B" w:rsidP="00A7651B">
            <w:pPr>
              <w:pStyle w:val="HIPTabletext"/>
              <w:rPr>
                <w:lang w:val="en-US"/>
              </w:rPr>
            </w:pPr>
            <w:r>
              <w:rPr>
                <w:lang w:val="en-US"/>
              </w:rPr>
              <w:tab/>
              <w:t>–</w:t>
            </w:r>
            <w:r w:rsidR="005B59F7" w:rsidRPr="00A7651B">
              <w:rPr>
                <w:lang w:val="en-US"/>
              </w:rPr>
              <w:t xml:space="preserve"> Other standard commercial agreement terms</w:t>
            </w:r>
          </w:p>
          <w:p w:rsidR="005B59F7" w:rsidRDefault="005B59F7" w:rsidP="00A7651B">
            <w:pPr>
              <w:pStyle w:val="HIPTabletext"/>
              <w:rPr>
                <w:lang w:val="en-US"/>
              </w:rPr>
            </w:pPr>
            <w:r w:rsidRPr="00F57820">
              <w:rPr>
                <w:lang w:val="en-US"/>
              </w:rPr>
              <w:t>Note: Alternate approaches can include licence conditions and letter of credit from UA Fund instead of a Service Agreement. Another consideration depending on the nature of the project may be to include continuous repair and maintenance requirements for the duration of the licence.</w:t>
            </w:r>
          </w:p>
          <w:p w:rsidR="005B59F7" w:rsidRPr="00F57820" w:rsidRDefault="005B59F7" w:rsidP="00A72D2A">
            <w:pPr>
              <w:rPr>
                <w:sz w:val="20"/>
                <w:szCs w:val="20"/>
                <w:lang w:val="en-US"/>
              </w:rPr>
            </w:pPr>
          </w:p>
        </w:tc>
      </w:tr>
    </w:tbl>
    <w:p w:rsidR="005B59F7" w:rsidRPr="00A7651B" w:rsidRDefault="0088668E" w:rsidP="0088668E">
      <w:pPr>
        <w:pStyle w:val="HIPheading3"/>
      </w:pPr>
      <w:bookmarkStart w:id="459" w:name="_Toc286145000"/>
      <w:bookmarkStart w:id="460" w:name="_Toc281459602"/>
      <w:r>
        <w:t>3.7.</w:t>
      </w:r>
      <w:r w:rsidR="00A7651B">
        <w:t>7</w:t>
      </w:r>
      <w:r w:rsidR="00A7651B">
        <w:tab/>
      </w:r>
      <w:bookmarkStart w:id="461" w:name="_Toc284598035"/>
      <w:r w:rsidR="005B59F7">
        <w:t>In Process Documents</w:t>
      </w:r>
      <w:bookmarkEnd w:id="459"/>
      <w:bookmarkEnd w:id="461"/>
    </w:p>
    <w:p w:rsidR="005B59F7" w:rsidRPr="00A7651B" w:rsidRDefault="0088668E" w:rsidP="0088668E">
      <w:pPr>
        <w:pStyle w:val="HIPheading4"/>
      </w:pPr>
      <w:bookmarkStart w:id="462" w:name="_Toc284598036"/>
      <w:bookmarkEnd w:id="460"/>
      <w:r>
        <w:t>3.7.</w:t>
      </w:r>
      <w:r w:rsidR="00A7651B">
        <w:t>7.1</w:t>
      </w:r>
      <w:r w:rsidR="00A7651B">
        <w:tab/>
      </w:r>
      <w:r w:rsidR="005B59F7">
        <w:t>Business Plans</w:t>
      </w:r>
      <w:bookmarkEnd w:id="462"/>
    </w:p>
    <w:p w:rsidR="005B59F7" w:rsidRPr="00341C07" w:rsidRDefault="005B59F7" w:rsidP="00A7651B">
      <w:pPr>
        <w:pStyle w:val="HIPNormal"/>
        <w:rPr>
          <w:lang w:val="en-US"/>
        </w:rPr>
      </w:pPr>
      <w:r w:rsidRPr="00341C07">
        <w:rPr>
          <w:lang w:val="en-US"/>
        </w:rPr>
        <w:t xml:space="preserve">Any application for </w:t>
      </w:r>
      <w:r>
        <w:rPr>
          <w:lang w:val="en-US"/>
        </w:rPr>
        <w:t>universal access financing</w:t>
      </w:r>
      <w:r w:rsidRPr="00341C07">
        <w:rPr>
          <w:lang w:val="en-US"/>
        </w:rPr>
        <w:t>, including for a pilot project, should be accompanied by a business plan enabling the evaluation of the sustainability of the project, as well as in the case of a comparative bid, to evaluate applications against one another</w:t>
      </w:r>
      <w:r>
        <w:rPr>
          <w:lang w:val="en-US"/>
        </w:rPr>
        <w:t xml:space="preserve">. The process followed by a financier should effectively be a due diligence process, leading to the </w:t>
      </w:r>
      <w:r>
        <w:rPr>
          <w:rFonts w:hint="eastAsia"/>
          <w:lang w:val="en-US"/>
        </w:rPr>
        <w:t>selection</w:t>
      </w:r>
      <w:r>
        <w:rPr>
          <w:lang w:val="en-US"/>
        </w:rPr>
        <w:t xml:space="preserve"> of the best bidders. The</w:t>
      </w:r>
      <w:r w:rsidRPr="00341C07">
        <w:rPr>
          <w:lang w:val="en-US"/>
        </w:rPr>
        <w:t xml:space="preserve"> checklist below sets out the key elements of any business plan that the USAF</w:t>
      </w:r>
      <w:r>
        <w:rPr>
          <w:lang w:val="en-US"/>
        </w:rPr>
        <w:t xml:space="preserve"> or other financier</w:t>
      </w:r>
      <w:r w:rsidRPr="00341C07">
        <w:rPr>
          <w:lang w:val="en-US"/>
        </w:rPr>
        <w:t xml:space="preserve"> may require: </w:t>
      </w:r>
    </w:p>
    <w:p w:rsidR="005B59F7" w:rsidRPr="00341C07" w:rsidRDefault="005B59F7" w:rsidP="00A7651B">
      <w:pPr>
        <w:pStyle w:val="HIPEnumlev1"/>
      </w:pPr>
      <w:r>
        <w:t>The project objectives</w:t>
      </w:r>
      <w:r w:rsidRPr="00341C07">
        <w:t>– a brief introduction to the project idea and how the project addres</w:t>
      </w:r>
      <w:r>
        <w:t>ses the identified opportunity;</w:t>
      </w:r>
    </w:p>
    <w:p w:rsidR="005B59F7" w:rsidRPr="00341C07" w:rsidRDefault="005B59F7" w:rsidP="00A7651B">
      <w:pPr>
        <w:pStyle w:val="HIPEnumlev1"/>
      </w:pPr>
      <w:r w:rsidRPr="00341C07">
        <w:t>Ownership and control</w:t>
      </w:r>
      <w:r w:rsidR="005E5682">
        <w:t xml:space="preserve"> – </w:t>
      </w:r>
      <w:r w:rsidRPr="00341C07">
        <w:t>a clear outline of the ownership structure, as well as supporting legal documents</w:t>
      </w:r>
      <w:r>
        <w:t>;</w:t>
      </w:r>
      <w:r w:rsidRPr="00341C07">
        <w:t xml:space="preserve"> </w:t>
      </w:r>
    </w:p>
    <w:p w:rsidR="005B59F7" w:rsidRDefault="005B59F7" w:rsidP="00A7651B">
      <w:pPr>
        <w:pStyle w:val="HIPEnumlev1"/>
      </w:pPr>
      <w:r w:rsidRPr="00341C07">
        <w:lastRenderedPageBreak/>
        <w:t>Management team – a description of the key participants in the project involved in the da</w:t>
      </w:r>
      <w:r>
        <w:t xml:space="preserve">y-to-day running of the project, their experience and </w:t>
      </w:r>
      <w:r w:rsidRPr="00341C07">
        <w:t>track record</w:t>
      </w:r>
      <w:r>
        <w:t xml:space="preserve"> and that of the founders and managers; </w:t>
      </w:r>
      <w:r w:rsidRPr="00341C07">
        <w:t>An organizational chart with clear responsibilities and a human r</w:t>
      </w:r>
      <w:r>
        <w:t>esource plan should be included;</w:t>
      </w:r>
    </w:p>
    <w:p w:rsidR="005B59F7" w:rsidRPr="00341C07" w:rsidRDefault="005B59F7" w:rsidP="00A7651B">
      <w:pPr>
        <w:pStyle w:val="HIPEnumlev1"/>
      </w:pPr>
      <w:r>
        <w:t>External advisors</w:t>
      </w:r>
      <w:r w:rsidR="005E5682">
        <w:t xml:space="preserve"> – </w:t>
      </w:r>
      <w:r>
        <w:t>b</w:t>
      </w:r>
      <w:r w:rsidRPr="00341C07">
        <w:t>anker</w:t>
      </w:r>
      <w:r>
        <w:t>s</w:t>
      </w:r>
      <w:r w:rsidRPr="00341C07">
        <w:t xml:space="preserve"> and accountant</w:t>
      </w:r>
      <w:r>
        <w:t>s</w:t>
      </w:r>
      <w:r w:rsidRPr="00341C07">
        <w:t xml:space="preserve">, and </w:t>
      </w:r>
      <w:r>
        <w:t xml:space="preserve">their credentials; technical and management consultants; </w:t>
      </w:r>
    </w:p>
    <w:p w:rsidR="005B59F7" w:rsidRPr="00C876D4" w:rsidRDefault="005B59F7" w:rsidP="00A7651B">
      <w:pPr>
        <w:pStyle w:val="HIPEnumlev1"/>
      </w:pPr>
      <w:r w:rsidRPr="00341C07">
        <w:t>Demand assessment/Market Analysis</w:t>
      </w:r>
      <w:r w:rsidR="005E5682">
        <w:t xml:space="preserve"> – </w:t>
      </w:r>
      <w:r w:rsidRPr="00341C07">
        <w:t xml:space="preserve">based on a review of population dispersion, income, available services, unserved </w:t>
      </w:r>
      <w:r>
        <w:t xml:space="preserve">and underserved </w:t>
      </w:r>
      <w:r w:rsidRPr="00341C07">
        <w:t xml:space="preserve">areas, affordability, economics, etc. This should include an assessment of current trends, as well as projections on expected usage (e.g., number of calls, Internet minutes of use, messages, pages printed, photocopies, forms delivered, or whatever mode of information and service is to be offered). </w:t>
      </w:r>
      <w:r w:rsidRPr="00C876D4">
        <w:t>This should als</w:t>
      </w:r>
      <w:r>
        <w:t>o include a competitor analysis;</w:t>
      </w:r>
    </w:p>
    <w:p w:rsidR="005B59F7" w:rsidRPr="00341C07" w:rsidRDefault="005B59F7" w:rsidP="00A7651B">
      <w:pPr>
        <w:pStyle w:val="HIPEnumlev1"/>
      </w:pPr>
      <w:r w:rsidRPr="00341C07">
        <w:t xml:space="preserve">Legal and regulatory framework, licences and authorizations – a summary </w:t>
      </w:r>
      <w:r>
        <w:t xml:space="preserve">(and possibly copies) </w:t>
      </w:r>
      <w:r w:rsidRPr="00341C07">
        <w:t xml:space="preserve">of approvals, authorizations and licenses required, as well as those </w:t>
      </w:r>
      <w:r>
        <w:t xml:space="preserve">that have already been </w:t>
      </w:r>
      <w:r w:rsidRPr="00341C07">
        <w:t>obtained. Licenses and authorizations in the ICT sector, as well as outside should be considere</w:t>
      </w:r>
      <w:r>
        <w:t>d;</w:t>
      </w:r>
      <w:r w:rsidRPr="00341C07">
        <w:t xml:space="preserve"> </w:t>
      </w:r>
    </w:p>
    <w:p w:rsidR="005B59F7" w:rsidRPr="006C213F" w:rsidRDefault="005B59F7" w:rsidP="00A7651B">
      <w:pPr>
        <w:pStyle w:val="HIPEnumlev1"/>
      </w:pPr>
      <w:r w:rsidRPr="006C213F">
        <w:t xml:space="preserve">Marketing, Sales and Distribution plan </w:t>
      </w:r>
      <w:r>
        <w:t xml:space="preserve">– setting out the product and services to be provided, the marketing </w:t>
      </w:r>
      <w:r>
        <w:rPr>
          <w:rFonts w:hint="eastAsia"/>
        </w:rPr>
        <w:t>strategy</w:t>
      </w:r>
      <w:r>
        <w:t xml:space="preserve"> and the main distribution channels.</w:t>
      </w:r>
    </w:p>
    <w:p w:rsidR="005B59F7" w:rsidRPr="00341C07" w:rsidRDefault="005B59F7" w:rsidP="00A7651B">
      <w:pPr>
        <w:pStyle w:val="HIPEnumlev1"/>
      </w:pPr>
      <w:r w:rsidRPr="00341C07">
        <w:t>Technical assessment</w:t>
      </w:r>
      <w:r w:rsidR="005E5682">
        <w:t xml:space="preserve"> – </w:t>
      </w:r>
      <w:r w:rsidRPr="00341C07">
        <w:t>an assessment of the area’s access to communications infrastructure, the topography, the access technology and other</w:t>
      </w:r>
      <w:r>
        <w:t xml:space="preserve"> systems (e.g., power) required; an </w:t>
      </w:r>
      <w:r>
        <w:rPr>
          <w:rFonts w:hint="eastAsia"/>
        </w:rPr>
        <w:t>analysis</w:t>
      </w:r>
      <w:r>
        <w:t xml:space="preserve"> of frequency spectrum </w:t>
      </w:r>
      <w:r>
        <w:rPr>
          <w:rFonts w:hint="eastAsia"/>
        </w:rPr>
        <w:t>requirements</w:t>
      </w:r>
      <w:r>
        <w:t>, if any.</w:t>
      </w:r>
      <w:r w:rsidRPr="00341C07">
        <w:t xml:space="preserve"> This assessment should recommend the most suitable technology and </w:t>
      </w:r>
      <w:r>
        <w:t>related costs;</w:t>
      </w:r>
    </w:p>
    <w:p w:rsidR="005B59F7" w:rsidRPr="00341C07" w:rsidRDefault="005B59F7" w:rsidP="00A7651B">
      <w:pPr>
        <w:pStyle w:val="HIPEnumlev1"/>
      </w:pPr>
      <w:r w:rsidRPr="00341C07">
        <w:t>Financial details – Financial schedules, showing breakdown of costs and revenues for each major item, unit, department or service (e.g., telephone, fax, computer, Internet &amp; email, training, photoco</w:t>
      </w:r>
      <w:r>
        <w:t>pying, etc.) should be included;</w:t>
      </w:r>
      <w:r w:rsidR="005E5682">
        <w:t xml:space="preserve"> </w:t>
      </w:r>
      <w:r w:rsidRPr="00341C07">
        <w:t>Amortization of costs, depreciation and repla</w:t>
      </w:r>
      <w:r>
        <w:t xml:space="preserve">cement strategy should be shown. Additionally, </w:t>
      </w:r>
      <w:r w:rsidRPr="00341C07">
        <w:t>projections of number of users, traffic usage, prices and revenues, expenses, financing costs, operational costs and salaries, etc</w:t>
      </w:r>
      <w:r>
        <w:t xml:space="preserve"> </w:t>
      </w:r>
      <w:r>
        <w:rPr>
          <w:rFonts w:hint="eastAsia"/>
        </w:rPr>
        <w:t>should</w:t>
      </w:r>
      <w:r>
        <w:t xml:space="preserve"> be provided;</w:t>
      </w:r>
    </w:p>
    <w:p w:rsidR="005B59F7" w:rsidRPr="00341C07" w:rsidRDefault="005B59F7" w:rsidP="00A7651B">
      <w:pPr>
        <w:pStyle w:val="HIPEnumlev1"/>
        <w:rPr>
          <w:sz w:val="20"/>
          <w:szCs w:val="20"/>
        </w:rPr>
      </w:pPr>
      <w:r>
        <w:t>Risk Analysis &amp; Sustainability</w:t>
      </w:r>
      <w:r w:rsidRPr="00341C07">
        <w:t xml:space="preserve"> </w:t>
      </w:r>
      <w:r>
        <w:t xml:space="preserve">– </w:t>
      </w:r>
      <w:r w:rsidRPr="00341C07">
        <w:t>Earnings or potential earnings should be detailed and a risk and sensitivity analysis, or “what if analysis” to see how the business model adjusts to changing pr</w:t>
      </w:r>
      <w:r>
        <w:t>ices, expenses and competition;</w:t>
      </w:r>
    </w:p>
    <w:p w:rsidR="005B59F7" w:rsidRPr="00341C07" w:rsidRDefault="005B59F7" w:rsidP="00A7651B">
      <w:pPr>
        <w:pStyle w:val="HIPEnumlev1"/>
      </w:pPr>
      <w:r w:rsidRPr="00341C07">
        <w:t>Funding requirements – a summary of funding requirements and of financial contributions, including in-kind contributions, from all sources. The scale of the investment and the scope of serv</w:t>
      </w:r>
      <w:r>
        <w:t>ices proposed must be justified;</w:t>
      </w:r>
      <w:r w:rsidRPr="00341C07">
        <w:t xml:space="preserve"> </w:t>
      </w:r>
    </w:p>
    <w:p w:rsidR="005B59F7" w:rsidRPr="00341C07" w:rsidRDefault="005B59F7" w:rsidP="00A7651B">
      <w:pPr>
        <w:pStyle w:val="HIPEnumlev1"/>
      </w:pPr>
      <w:r w:rsidRPr="00341C07">
        <w:t>Subsidy details</w:t>
      </w:r>
      <w:r w:rsidR="005E5682">
        <w:t xml:space="preserve"> – </w:t>
      </w:r>
      <w:r w:rsidRPr="00341C07">
        <w:t>Estimated revenues &amp; subsidy requirements.</w:t>
      </w:r>
      <w:r w:rsidR="005E5682">
        <w:t xml:space="preserve"> </w:t>
      </w:r>
      <w:r w:rsidRPr="00341C07">
        <w:t xml:space="preserve">If a network project, subsidy should cover </w:t>
      </w:r>
      <w:r w:rsidRPr="00341C07">
        <w:rPr>
          <w:u w:val="single"/>
        </w:rPr>
        <w:t>net cost</w:t>
      </w:r>
      <w:r w:rsidRPr="00341C07">
        <w:t xml:space="preserve"> of network expansion – i.e. after deducting projected revenues from area to be served</w:t>
      </w:r>
      <w:r>
        <w:t>;</w:t>
      </w:r>
    </w:p>
    <w:p w:rsidR="005B59F7" w:rsidRPr="00341C07" w:rsidRDefault="005B59F7" w:rsidP="00A7651B">
      <w:pPr>
        <w:pStyle w:val="HIPEnumlev1"/>
      </w:pPr>
      <w:r w:rsidRPr="00341C07">
        <w:t xml:space="preserve">Training, capacity building and any other human resource development </w:t>
      </w:r>
      <w:r>
        <w:t xml:space="preserve">plan </w:t>
      </w:r>
      <w:r w:rsidRPr="00341C07">
        <w:t xml:space="preserve">– the needs of the project and the assigned effort, plan, costs and partnership(s) to meet all stated goals for staff or users. </w:t>
      </w:r>
    </w:p>
    <w:p w:rsidR="005B59F7" w:rsidRPr="00341C07" w:rsidRDefault="005B59F7" w:rsidP="00A7651B">
      <w:pPr>
        <w:pStyle w:val="HIPEnumlev1"/>
      </w:pPr>
      <w:r w:rsidRPr="00341C07">
        <w:t>Community inputs</w:t>
      </w:r>
      <w:r w:rsidR="005E5682">
        <w:t xml:space="preserve"> – </w:t>
      </w:r>
      <w:r w:rsidRPr="00341C07">
        <w:t>if appropriate, an assessment of support from the local community to confirm that the requirements are understood by t</w:t>
      </w:r>
      <w:r>
        <w:t>he community and the local sponsor(s);</w:t>
      </w:r>
      <w:r w:rsidRPr="00341C07">
        <w:t xml:space="preserve"> </w:t>
      </w:r>
    </w:p>
    <w:p w:rsidR="005B59F7" w:rsidRPr="00341C07" w:rsidRDefault="005B59F7" w:rsidP="00A7651B">
      <w:pPr>
        <w:pStyle w:val="HIPEnumlev1"/>
      </w:pPr>
      <w:r w:rsidRPr="00341C07">
        <w:t xml:space="preserve">Partnerships – should outline the nature of partnerships required and secured for successful project implementation (NGO, private sector, donor, community, etc). </w:t>
      </w:r>
    </w:p>
    <w:p w:rsidR="005B59F7" w:rsidRPr="00A7651B" w:rsidRDefault="0088668E" w:rsidP="0088668E">
      <w:pPr>
        <w:pStyle w:val="HIPheading3"/>
      </w:pPr>
      <w:bookmarkStart w:id="463" w:name="_Toc281459615"/>
      <w:bookmarkStart w:id="464" w:name="_Toc284598037"/>
      <w:bookmarkStart w:id="465" w:name="_Toc286145001"/>
      <w:r>
        <w:lastRenderedPageBreak/>
        <w:t>3.7.</w:t>
      </w:r>
      <w:r w:rsidR="00A7651B">
        <w:t>8</w:t>
      </w:r>
      <w:r w:rsidR="00A7651B">
        <w:tab/>
      </w:r>
      <w:r w:rsidR="005B59F7">
        <w:t xml:space="preserve">Post Process Documents </w:t>
      </w:r>
      <w:bookmarkEnd w:id="463"/>
      <w:r w:rsidR="005B59F7">
        <w:t>(for Project Implementation)</w:t>
      </w:r>
      <w:bookmarkEnd w:id="464"/>
      <w:bookmarkEnd w:id="465"/>
    </w:p>
    <w:p w:rsidR="005B59F7" w:rsidRPr="00341C07" w:rsidRDefault="005B59F7" w:rsidP="00A7651B">
      <w:pPr>
        <w:pStyle w:val="HIPNormal"/>
        <w:rPr>
          <w:lang w:val="en-US"/>
        </w:rPr>
      </w:pPr>
      <w:r w:rsidRPr="00341C07">
        <w:rPr>
          <w:lang w:val="en-US"/>
        </w:rPr>
        <w:t xml:space="preserve">Section </w:t>
      </w:r>
      <w:r>
        <w:rPr>
          <w:lang w:val="en-US"/>
        </w:rPr>
        <w:t>8</w:t>
      </w:r>
      <w:r w:rsidRPr="00341C07">
        <w:rPr>
          <w:lang w:val="en-US"/>
        </w:rPr>
        <w:t xml:space="preserve"> of </w:t>
      </w:r>
      <w:r>
        <w:rPr>
          <w:lang w:val="en-US"/>
        </w:rPr>
        <w:t xml:space="preserve">Part 3 of </w:t>
      </w:r>
      <w:r w:rsidRPr="00341C07">
        <w:rPr>
          <w:lang w:val="en-US"/>
        </w:rPr>
        <w:t>this Toolkit deals with documents that should be issued to all bidders and interested stakeholders before the bidding process begins, in the interest of predictability and transparency. At the end of the process, the following should be issued to the successful bidder:</w:t>
      </w:r>
    </w:p>
    <w:p w:rsidR="005B59F7" w:rsidRPr="00341C07" w:rsidRDefault="005B59F7" w:rsidP="00A7651B">
      <w:pPr>
        <w:pStyle w:val="HIPEnumlev1"/>
      </w:pPr>
      <w:r w:rsidRPr="00341C07">
        <w:rPr>
          <w:i/>
        </w:rPr>
        <w:t>License</w:t>
      </w:r>
      <w:r>
        <w:rPr>
          <w:i/>
        </w:rPr>
        <w:t xml:space="preserve"> (if applicable, and only if financing is linked to regulatory process)</w:t>
      </w:r>
      <w:r w:rsidR="005E5682">
        <w:t xml:space="preserve"> – </w:t>
      </w:r>
      <w:r w:rsidRPr="00341C07">
        <w:t xml:space="preserve">a licence to </w:t>
      </w:r>
      <w:r>
        <w:t xml:space="preserve">rollout the infrastructure, </w:t>
      </w:r>
      <w:r w:rsidRPr="00341C07">
        <w:t xml:space="preserve">operate the new network </w:t>
      </w:r>
      <w:r>
        <w:t xml:space="preserve">or </w:t>
      </w:r>
      <w:r w:rsidRPr="00341C07">
        <w:t>provide the services if the bidder was not already a licensee, or was not permitted to provide the services or networks in question</w:t>
      </w:r>
      <w:r>
        <w:t xml:space="preserve"> – relevant schedules should be included</w:t>
      </w:r>
      <w:r w:rsidRPr="00341C07">
        <w:t>;</w:t>
      </w:r>
    </w:p>
    <w:p w:rsidR="005B59F7" w:rsidRPr="00341C07" w:rsidRDefault="005B59F7" w:rsidP="00A7651B">
      <w:pPr>
        <w:pStyle w:val="HIPEnumlev1"/>
      </w:pPr>
      <w:r w:rsidRPr="00341C07">
        <w:rPr>
          <w:i/>
        </w:rPr>
        <w:t>Financing Contract</w:t>
      </w:r>
      <w:r w:rsidRPr="00341C07">
        <w:t xml:space="preserve"> – the contract governing the payment of the subsidy by the Fund. It provides contractual certainty to permit the financing of </w:t>
      </w:r>
      <w:r>
        <w:t xml:space="preserve">the </w:t>
      </w:r>
      <w:r w:rsidRPr="00341C07">
        <w:t>project – and service requirements.</w:t>
      </w:r>
      <w:r w:rsidR="005E5682">
        <w:t xml:space="preserve"> </w:t>
      </w:r>
    </w:p>
    <w:p w:rsidR="005B59F7" w:rsidRDefault="005B59F7" w:rsidP="00A7651B">
      <w:pPr>
        <w:pStyle w:val="HIPEnumlev1"/>
      </w:pPr>
      <w:r w:rsidRPr="00EC59EB">
        <w:rPr>
          <w:i/>
          <w:iCs/>
        </w:rPr>
        <w:t>Service Agreement</w:t>
      </w:r>
      <w:r w:rsidRPr="00341C07">
        <w:t xml:space="preserve"> (can be combined with </w:t>
      </w:r>
      <w:r>
        <w:t xml:space="preserve">the </w:t>
      </w:r>
      <w:r w:rsidRPr="00341C07">
        <w:t>Financing Contract)</w:t>
      </w:r>
      <w:r w:rsidR="005E5682">
        <w:t xml:space="preserve"> – </w:t>
      </w:r>
      <w:r w:rsidRPr="00341C07">
        <w:t xml:space="preserve">the contract (or Annex to </w:t>
      </w:r>
      <w:r>
        <w:t xml:space="preserve">the </w:t>
      </w:r>
      <w:r w:rsidRPr="00341C07">
        <w:t xml:space="preserve">Financing Contract) which specifies the targets and milestones, technical performance requirements, services to be provided, quality of service, etc, as well as penalties and remedies for failure to perform. </w:t>
      </w:r>
    </w:p>
    <w:p w:rsidR="005B59F7" w:rsidRPr="00680E4C" w:rsidRDefault="005B59F7" w:rsidP="00A7651B">
      <w:pPr>
        <w:pStyle w:val="HIPEnumlev1"/>
      </w:pPr>
      <w:r w:rsidRPr="00680E4C">
        <w:t xml:space="preserve">The successful bidder must provide the Fund with a </w:t>
      </w:r>
      <w:r w:rsidRPr="00EC59EB">
        <w:rPr>
          <w:i/>
          <w:iCs/>
        </w:rPr>
        <w:t>Performance Guarantee</w:t>
      </w:r>
      <w:r w:rsidRPr="00680E4C">
        <w:t>.</w:t>
      </w:r>
    </w:p>
    <w:p w:rsidR="005B59F7" w:rsidRPr="00341C07" w:rsidRDefault="005B59F7" w:rsidP="00A7651B">
      <w:pPr>
        <w:pStyle w:val="HIPNormal"/>
        <w:rPr>
          <w:lang w:val="en-US"/>
        </w:rPr>
      </w:pPr>
      <w:r w:rsidRPr="00341C07">
        <w:rPr>
          <w:lang w:val="en-US"/>
        </w:rPr>
        <w:t>In light of the fact that the documents would have been made publically available at the commencement of the process</w:t>
      </w:r>
      <w:r>
        <w:rPr>
          <w:lang w:val="en-US"/>
        </w:rPr>
        <w:t xml:space="preserve"> (pre-process documents)</w:t>
      </w:r>
      <w:r w:rsidRPr="00341C07">
        <w:rPr>
          <w:lang w:val="en-US"/>
        </w:rPr>
        <w:t>, the finalization of the above should happen swiftly. Any substantive changes to the above documents may require an additional public process. If substantive changes, such as those set out below, are made without the input of stakeholders, and in particular competitors, it may be argued that the process was unfair and that the terms on which the project was bid are different. Substantive changes would include changes to the following which may have been stipulated upfront</w:t>
      </w:r>
      <w:r>
        <w:rPr>
          <w:lang w:val="en-US"/>
        </w:rPr>
        <w:t xml:space="preserve"> such as</w:t>
      </w:r>
      <w:r w:rsidRPr="00341C07">
        <w:rPr>
          <w:lang w:val="en-US"/>
        </w:rPr>
        <w:t>:</w:t>
      </w:r>
    </w:p>
    <w:p w:rsidR="005B59F7" w:rsidRPr="00341C07" w:rsidRDefault="005B59F7" w:rsidP="00A7651B">
      <w:pPr>
        <w:pStyle w:val="HIPEnumlev1"/>
      </w:pPr>
      <w:r w:rsidRPr="00341C07">
        <w:t xml:space="preserve">network construction milestones and service rollout, </w:t>
      </w:r>
    </w:p>
    <w:p w:rsidR="005B59F7" w:rsidRPr="00341C07" w:rsidRDefault="005B59F7" w:rsidP="00A7651B">
      <w:pPr>
        <w:pStyle w:val="HIPEnumlev1"/>
      </w:pPr>
      <w:r w:rsidRPr="00341C07">
        <w:t xml:space="preserve">numbers of schools/hospitals/clinics/public institutions connected, </w:t>
      </w:r>
    </w:p>
    <w:p w:rsidR="005B59F7" w:rsidRPr="00341C07" w:rsidRDefault="005B59F7" w:rsidP="00A7651B">
      <w:pPr>
        <w:pStyle w:val="HIPEnumlev1"/>
      </w:pPr>
      <w:r w:rsidRPr="00341C07">
        <w:t>numbers of cities connected, or people covered; and</w:t>
      </w:r>
    </w:p>
    <w:p w:rsidR="005B59F7" w:rsidRDefault="005B59F7" w:rsidP="00A7651B">
      <w:pPr>
        <w:pStyle w:val="HIPEnumlev1"/>
      </w:pPr>
      <w:r>
        <w:t>timeframes for delivery;</w:t>
      </w:r>
    </w:p>
    <w:p w:rsidR="005B59F7" w:rsidRPr="00680E4C" w:rsidRDefault="005B59F7" w:rsidP="00A7651B">
      <w:pPr>
        <w:pStyle w:val="HIPNormal"/>
        <w:rPr>
          <w:lang w:val="en-US"/>
        </w:rPr>
      </w:pPr>
      <w:r w:rsidRPr="00680E4C">
        <w:rPr>
          <w:lang w:val="en-US"/>
        </w:rPr>
        <w:t>If any of the above changes are made, public consultation is advised.</w:t>
      </w:r>
    </w:p>
    <w:p w:rsidR="00A7651B" w:rsidRPr="005B59F7" w:rsidRDefault="0088668E" w:rsidP="0088668E">
      <w:pPr>
        <w:pStyle w:val="HIPBoxquestion"/>
      </w:pPr>
      <w:bookmarkStart w:id="466" w:name="_Toc286146372"/>
      <w:r>
        <w:t xml:space="preserve">Box 3.16: </w:t>
      </w:r>
      <w:r w:rsidR="00A7651B" w:rsidRPr="0094088C">
        <w:t>Sample/Recommended Documents</w:t>
      </w:r>
      <w:bookmarkEnd w:id="466"/>
    </w:p>
    <w:p w:rsidR="00A7651B" w:rsidRPr="0094088C" w:rsidRDefault="00A7651B" w:rsidP="0088668E">
      <w:pPr>
        <w:pStyle w:val="HIPBoxNormal"/>
      </w:pPr>
      <w:r w:rsidRPr="0094088C">
        <w:t xml:space="preserve">It is of great importance to follow a sound process in a bidding process. Herewith is an example of the process followed in India: </w:t>
      </w:r>
    </w:p>
    <w:p w:rsidR="00A7651B" w:rsidRPr="0094088C" w:rsidRDefault="00A7651B" w:rsidP="0088668E">
      <w:pPr>
        <w:pStyle w:val="HIPBoxenumlevel"/>
        <w:jc w:val="left"/>
      </w:pPr>
      <w:r w:rsidRPr="00A7651B">
        <w:rPr>
          <w:color w:val="008000"/>
        </w:rPr>
        <w:t>•</w:t>
      </w:r>
      <w:r>
        <w:tab/>
      </w:r>
      <w:r w:rsidRPr="0094088C">
        <w:t xml:space="preserve">Indian USOF Expression of Interest and Tender Documents for Infrastructure project </w:t>
      </w:r>
      <w:hyperlink r:id="rId91" w:history="1">
        <w:r w:rsidRPr="007B1A5B">
          <w:rPr>
            <w:rStyle w:val="Hyperlink"/>
          </w:rPr>
          <w:t>www.dot.gov.in/uso/implementationstatus.htm</w:t>
        </w:r>
      </w:hyperlink>
      <w:r w:rsidRPr="0094088C">
        <w:t xml:space="preserve"> </w:t>
      </w:r>
    </w:p>
    <w:p w:rsidR="00A7651B" w:rsidRDefault="00A7651B" w:rsidP="0088668E">
      <w:pPr>
        <w:pStyle w:val="HIPNormal"/>
        <w:rPr>
          <w:lang w:val="en-US"/>
        </w:rPr>
      </w:pPr>
    </w:p>
    <w:p w:rsidR="00A7651B" w:rsidRDefault="00A7651B" w:rsidP="0088668E">
      <w:pPr>
        <w:pStyle w:val="HIPNormal"/>
        <w:rPr>
          <w:lang w:val="en-US"/>
        </w:rPr>
      </w:pPr>
    </w:p>
    <w:p w:rsidR="00A7651B" w:rsidRPr="005B59F7" w:rsidRDefault="00A7651B" w:rsidP="0088668E">
      <w:pPr>
        <w:pStyle w:val="HIPNormal"/>
        <w:rPr>
          <w:lang w:val="en-US"/>
        </w:rPr>
      </w:pPr>
    </w:p>
    <w:p w:rsidR="005B59F7" w:rsidRPr="005B59F7" w:rsidRDefault="005B59F7" w:rsidP="0088668E">
      <w:pPr>
        <w:pStyle w:val="HIPNormal"/>
        <w:rPr>
          <w:lang w:val="en-US"/>
        </w:rPr>
      </w:pPr>
    </w:p>
    <w:p w:rsidR="00591F90" w:rsidRDefault="00591F90" w:rsidP="00591F90">
      <w:pPr>
        <w:pStyle w:val="HIPNormal"/>
        <w:rPr>
          <w:lang w:val="en-US"/>
        </w:rPr>
        <w:sectPr w:rsidR="00591F90" w:rsidSect="008978A2">
          <w:headerReference w:type="even" r:id="rId92"/>
          <w:headerReference w:type="default" r:id="rId93"/>
          <w:footerReference w:type="even" r:id="rId94"/>
          <w:footerReference w:type="default" r:id="rId95"/>
          <w:headerReference w:type="first" r:id="rId96"/>
          <w:footerReference w:type="first" r:id="rId97"/>
          <w:type w:val="oddPage"/>
          <w:pgSz w:w="11907" w:h="16840" w:code="9"/>
          <w:pgMar w:top="1701" w:right="1418" w:bottom="1418" w:left="1418" w:header="720" w:footer="720" w:gutter="0"/>
          <w:cols w:space="720"/>
          <w:titlePg/>
        </w:sectPr>
      </w:pPr>
    </w:p>
    <w:p w:rsidR="00591F90" w:rsidRPr="003D2DD5" w:rsidRDefault="00591F90" w:rsidP="00591F90">
      <w:pPr>
        <w:pStyle w:val="HIPNormal"/>
        <w:rPr>
          <w:lang w:val="en-US"/>
        </w:rPr>
      </w:pPr>
    </w:p>
    <w:p w:rsidR="00591F90" w:rsidRDefault="00591F90" w:rsidP="00591F90">
      <w:pPr>
        <w:pStyle w:val="HIPNormal"/>
        <w:rPr>
          <w:lang w:val="en-US"/>
        </w:rPr>
      </w:pPr>
    </w:p>
    <w:p w:rsidR="00591F90" w:rsidRDefault="00591F90" w:rsidP="00591F90">
      <w:pPr>
        <w:pStyle w:val="HIPNormal"/>
        <w:rPr>
          <w:lang w:val="en-US"/>
        </w:rPr>
      </w:pPr>
    </w:p>
    <w:p w:rsidR="00591F90" w:rsidRPr="00A11AC1" w:rsidRDefault="00591F90" w:rsidP="00591F90">
      <w:pPr>
        <w:pStyle w:val="HIPNormal"/>
        <w:rPr>
          <w:lang w:val="en-US"/>
        </w:rPr>
      </w:pPr>
    </w:p>
    <w:p w:rsidR="00591F90" w:rsidRPr="00A11AC1" w:rsidRDefault="00591F90" w:rsidP="00591F90">
      <w:pPr>
        <w:pStyle w:val="HIPNormal"/>
        <w:rPr>
          <w:lang w:val="en-US"/>
        </w:rPr>
      </w:pPr>
    </w:p>
    <w:p w:rsidR="00591F90" w:rsidRPr="00A11AC1" w:rsidRDefault="00591F90" w:rsidP="00591F90">
      <w:pPr>
        <w:pStyle w:val="HIPNormal"/>
        <w:rPr>
          <w:lang w:val="en-US"/>
        </w:rPr>
      </w:pPr>
    </w:p>
    <w:p w:rsidR="00591F90" w:rsidRDefault="00591F90" w:rsidP="00591F90">
      <w:pPr>
        <w:pStyle w:val="HIPChaptReportTitle"/>
        <w:numPr>
          <w:ilvl w:val="0"/>
          <w:numId w:val="0"/>
        </w:numPr>
        <w:rPr>
          <w:lang w:val="en-US"/>
        </w:rPr>
      </w:pPr>
      <w:bookmarkStart w:id="467" w:name="_Toc286145002"/>
      <w:r>
        <w:rPr>
          <w:lang w:val="en-US"/>
        </w:rPr>
        <w:t>Part 4</w:t>
      </w:r>
      <w:bookmarkEnd w:id="467"/>
    </w:p>
    <w:p w:rsidR="00591F90" w:rsidRPr="0059419C" w:rsidRDefault="00591F90" w:rsidP="00591F90">
      <w:pPr>
        <w:pStyle w:val="HIPNormal"/>
        <w:rPr>
          <w:lang w:val="en-US"/>
        </w:rPr>
      </w:pPr>
    </w:p>
    <w:p w:rsidR="00591F90" w:rsidRPr="0059419C" w:rsidRDefault="00591F90" w:rsidP="00591F90">
      <w:pPr>
        <w:pStyle w:val="HIPChaptReportTitle"/>
        <w:numPr>
          <w:ilvl w:val="0"/>
          <w:numId w:val="0"/>
        </w:numPr>
        <w:rPr>
          <w:lang w:val="en-US"/>
        </w:rPr>
      </w:pPr>
      <w:bookmarkStart w:id="468" w:name="_Toc286145003"/>
      <w:r w:rsidRPr="00591F90">
        <w:rPr>
          <w:lang w:val="en-US"/>
        </w:rPr>
        <w:t>MONITORING AND EVALUATION</w:t>
      </w:r>
      <w:bookmarkEnd w:id="468"/>
    </w:p>
    <w:p w:rsidR="00591F90" w:rsidRPr="0059419C" w:rsidRDefault="00591F90" w:rsidP="00591F90">
      <w:pPr>
        <w:pStyle w:val="HIPNormal"/>
        <w:rPr>
          <w:lang w:val="en-US"/>
        </w:rPr>
      </w:pPr>
    </w:p>
    <w:p w:rsidR="00D75B19" w:rsidRDefault="00D75B19" w:rsidP="008978A2">
      <w:pPr>
        <w:pStyle w:val="HIPNormal"/>
        <w:rPr>
          <w:lang w:val="en-US"/>
        </w:rPr>
      </w:pPr>
    </w:p>
    <w:p w:rsidR="00591F90" w:rsidRDefault="00591F90" w:rsidP="008978A2">
      <w:pPr>
        <w:pStyle w:val="HIPNormal"/>
        <w:rPr>
          <w:lang w:val="en-US"/>
        </w:rPr>
        <w:sectPr w:rsidR="00591F90" w:rsidSect="008978A2">
          <w:headerReference w:type="even" r:id="rId98"/>
          <w:headerReference w:type="default" r:id="rId99"/>
          <w:footerReference w:type="even" r:id="rId100"/>
          <w:footerReference w:type="default" r:id="rId101"/>
          <w:headerReference w:type="first" r:id="rId102"/>
          <w:footerReference w:type="first" r:id="rId103"/>
          <w:type w:val="oddPage"/>
          <w:pgSz w:w="11907" w:h="16840" w:code="9"/>
          <w:pgMar w:top="1701" w:right="1418" w:bottom="1418" w:left="1418" w:header="720" w:footer="720" w:gutter="0"/>
          <w:cols w:space="720"/>
          <w:titlePg/>
        </w:sectPr>
      </w:pPr>
    </w:p>
    <w:p w:rsidR="00591F90" w:rsidRDefault="00591F90" w:rsidP="00591F90">
      <w:pPr>
        <w:pStyle w:val="HIPNormal"/>
        <w:rPr>
          <w:lang w:val="en-US"/>
        </w:rPr>
      </w:pPr>
      <w:r w:rsidRPr="007D0CDF">
        <w:rPr>
          <w:lang w:val="en-US"/>
        </w:rPr>
        <w:lastRenderedPageBreak/>
        <w:t>The Fund</w:t>
      </w:r>
      <w:r>
        <w:rPr>
          <w:lang w:val="en-US"/>
        </w:rPr>
        <w:t xml:space="preserve">, like the other financial </w:t>
      </w:r>
      <w:r>
        <w:rPr>
          <w:rFonts w:hint="eastAsia"/>
          <w:lang w:val="en-US"/>
        </w:rPr>
        <w:t>mechanisms</w:t>
      </w:r>
      <w:r>
        <w:rPr>
          <w:lang w:val="en-US"/>
        </w:rPr>
        <w:t>,</w:t>
      </w:r>
      <w:r w:rsidRPr="007D0CDF">
        <w:rPr>
          <w:lang w:val="en-US"/>
        </w:rPr>
        <w:t xml:space="preserve"> </w:t>
      </w:r>
      <w:r>
        <w:rPr>
          <w:lang w:val="en-US"/>
        </w:rPr>
        <w:t xml:space="preserve">is outcomes based, and </w:t>
      </w:r>
      <w:r w:rsidRPr="007D0CDF">
        <w:rPr>
          <w:lang w:val="en-US"/>
        </w:rPr>
        <w:t xml:space="preserve">does not finance projects for the mere sake of financing them. It is important for the Fund to </w:t>
      </w:r>
      <w:r>
        <w:rPr>
          <w:lang w:val="en-US"/>
        </w:rPr>
        <w:t xml:space="preserve">get a </w:t>
      </w:r>
      <w:r>
        <w:rPr>
          <w:rFonts w:hint="eastAsia"/>
          <w:lang w:val="en-US"/>
        </w:rPr>
        <w:t>“</w:t>
      </w:r>
      <w:r>
        <w:rPr>
          <w:lang w:val="en-US"/>
        </w:rPr>
        <w:t>return</w:t>
      </w:r>
      <w:r>
        <w:rPr>
          <w:rFonts w:hint="eastAsia"/>
          <w:lang w:val="en-US"/>
        </w:rPr>
        <w:t>”</w:t>
      </w:r>
      <w:r>
        <w:rPr>
          <w:lang w:val="en-US"/>
        </w:rPr>
        <w:t xml:space="preserve"> on its </w:t>
      </w:r>
      <w:r>
        <w:rPr>
          <w:rFonts w:hint="eastAsia"/>
          <w:lang w:val="en-US"/>
        </w:rPr>
        <w:t>investment</w:t>
      </w:r>
      <w:r>
        <w:rPr>
          <w:lang w:val="en-US"/>
        </w:rPr>
        <w:t xml:space="preserve"> even if that return is social or socio-economic as opposed to financial. To achieve this, in addition to good governance, as discussed in Part 2, and good project design which is covered in Part 3, monitoring and evaluation are key. The Fund</w:t>
      </w:r>
      <w:r>
        <w:rPr>
          <w:rFonts w:hint="eastAsia"/>
          <w:lang w:val="en-US"/>
        </w:rPr>
        <w:t>’</w:t>
      </w:r>
      <w:r>
        <w:rPr>
          <w:lang w:val="en-US"/>
        </w:rPr>
        <w:t>s role does not end at the allocation of monies</w:t>
      </w:r>
      <w:r w:rsidR="005E5682">
        <w:rPr>
          <w:lang w:val="en-US"/>
        </w:rPr>
        <w:t xml:space="preserve"> – </w:t>
      </w:r>
      <w:r>
        <w:rPr>
          <w:lang w:val="en-US"/>
        </w:rPr>
        <w:t xml:space="preserve">it must </w:t>
      </w:r>
      <w:r w:rsidRPr="007D0CDF">
        <w:rPr>
          <w:lang w:val="en-US"/>
        </w:rPr>
        <w:t>follow the projec</w:t>
      </w:r>
      <w:r>
        <w:rPr>
          <w:lang w:val="en-US"/>
        </w:rPr>
        <w:t xml:space="preserve">ts, monitor them and evaluate them. This is the subject of this section of the Toolkit. </w:t>
      </w:r>
    </w:p>
    <w:p w:rsidR="00591F90" w:rsidRDefault="0088668E" w:rsidP="0088668E">
      <w:pPr>
        <w:pStyle w:val="HIPFiguretitle"/>
      </w:pPr>
      <w:bookmarkStart w:id="469" w:name="_Toc286145951"/>
      <w:r>
        <w:t>Figure</w:t>
      </w:r>
      <w:r w:rsidR="00591F90" w:rsidRPr="003755CD">
        <w:t xml:space="preserve"> </w:t>
      </w:r>
      <w:r>
        <w:t>4.1</w:t>
      </w:r>
      <w:r w:rsidR="00591F90">
        <w:t>: 10-Step Monitoring and Evaluation Framework</w:t>
      </w:r>
      <w:r w:rsidR="00591F90">
        <w:rPr>
          <w:rStyle w:val="FootnoteReference"/>
        </w:rPr>
        <w:footnoteReference w:id="87"/>
      </w:r>
      <w:bookmarkEnd w:id="469"/>
    </w:p>
    <w:p w:rsidR="0088668E" w:rsidRDefault="0088668E" w:rsidP="0088668E">
      <w:pPr>
        <w:pStyle w:val="HIPFigure"/>
      </w:pPr>
      <w:r w:rsidRPr="0088668E">
        <w:rPr>
          <w:noProof/>
          <w:lang w:eastAsia="zh-CN"/>
        </w:rPr>
        <w:drawing>
          <wp:inline distT="0" distB="0" distL="0" distR="0">
            <wp:extent cx="4781550" cy="3143250"/>
            <wp:effectExtent l="19050" t="0" r="0" b="0"/>
            <wp:docPr id="1" name="Di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104" cstate="print"/>
                    <a:srcRect t="-16129" b="-15015"/>
                    <a:stretch>
                      <a:fillRect/>
                    </a:stretch>
                  </pic:blipFill>
                  <pic:spPr bwMode="auto">
                    <a:xfrm>
                      <a:off x="0" y="0"/>
                      <a:ext cx="4781550" cy="3143250"/>
                    </a:xfrm>
                    <a:prstGeom prst="rect">
                      <a:avLst/>
                    </a:prstGeom>
                    <a:noFill/>
                    <a:ln w="6350" cmpd="sng">
                      <a:noFill/>
                      <a:miter lim="800000"/>
                      <a:headEnd/>
                      <a:tailEnd/>
                    </a:ln>
                    <a:effectLst/>
                  </pic:spPr>
                </pic:pic>
              </a:graphicData>
            </a:graphic>
          </wp:inline>
        </w:drawing>
      </w:r>
    </w:p>
    <w:p w:rsidR="0088668E" w:rsidRDefault="0088668E" w:rsidP="0088668E">
      <w:pPr>
        <w:pStyle w:val="HIPfiguresource"/>
      </w:pPr>
    </w:p>
    <w:p w:rsidR="00591F90" w:rsidRDefault="00591F90" w:rsidP="00591F90">
      <w:pPr>
        <w:jc w:val="center"/>
        <w:rPr>
          <w:lang w:val="en-US"/>
        </w:rPr>
      </w:pPr>
    </w:p>
    <w:p w:rsidR="00591F90" w:rsidRDefault="00591F90" w:rsidP="00591F90">
      <w:pPr>
        <w:pStyle w:val="HIPNormal"/>
        <w:rPr>
          <w:lang w:val="en-US"/>
        </w:rPr>
      </w:pPr>
      <w:r>
        <w:rPr>
          <w:lang w:val="en-US"/>
        </w:rPr>
        <w:t>The World Bank provides a 10-step Monitoring and Evaluation (</w:t>
      </w:r>
      <w:r>
        <w:rPr>
          <w:rFonts w:hint="eastAsia"/>
          <w:lang w:val="en-US"/>
        </w:rPr>
        <w:t>“</w:t>
      </w:r>
      <w:r>
        <w:rPr>
          <w:lang w:val="en-US"/>
        </w:rPr>
        <w:t>M &amp; E</w:t>
      </w:r>
      <w:r>
        <w:rPr>
          <w:rFonts w:hint="eastAsia"/>
          <w:lang w:val="en-US"/>
        </w:rPr>
        <w:t>”</w:t>
      </w:r>
      <w:r>
        <w:rPr>
          <w:lang w:val="en-US"/>
        </w:rPr>
        <w:t>) model and handbook</w:t>
      </w:r>
      <w:r>
        <w:rPr>
          <w:rStyle w:val="FootnoteReference"/>
          <w:lang w:val="en-US"/>
        </w:rPr>
        <w:footnoteReference w:id="88"/>
      </w:r>
      <w:r w:rsidR="005E5682">
        <w:rPr>
          <w:lang w:val="en-US"/>
        </w:rPr>
        <w:t xml:space="preserve"> </w:t>
      </w:r>
      <w:r>
        <w:rPr>
          <w:lang w:val="en-US"/>
        </w:rPr>
        <w:t xml:space="preserve">which is illustrated above and should be borne in mind when reading this section. M&amp;E involves everything from project initiation and conducting a readiness assessment, to selecting </w:t>
      </w:r>
      <w:r>
        <w:rPr>
          <w:rFonts w:hint="eastAsia"/>
          <w:lang w:val="en-US"/>
        </w:rPr>
        <w:t>indicators</w:t>
      </w:r>
      <w:r>
        <w:rPr>
          <w:lang w:val="en-US"/>
        </w:rPr>
        <w:t xml:space="preserve"> and eventually having findings, using them and feeding them back into the </w:t>
      </w:r>
      <w:r>
        <w:rPr>
          <w:rFonts w:hint="eastAsia"/>
          <w:lang w:val="en-US"/>
        </w:rPr>
        <w:t>organization</w:t>
      </w:r>
      <w:r>
        <w:rPr>
          <w:lang w:val="en-US"/>
        </w:rPr>
        <w:t xml:space="preserve">. </w:t>
      </w:r>
    </w:p>
    <w:p w:rsidR="00591F90" w:rsidRDefault="00591F90" w:rsidP="00591F90">
      <w:pPr>
        <w:pStyle w:val="HIPNormal"/>
        <w:rPr>
          <w:lang w:val="en-US"/>
        </w:rPr>
      </w:pPr>
      <w:r>
        <w:rPr>
          <w:lang w:val="en-US"/>
        </w:rPr>
        <w:t xml:space="preserve">In discussing M &amp; E some key terms </w:t>
      </w:r>
      <w:r>
        <w:rPr>
          <w:rFonts w:hint="eastAsia"/>
          <w:lang w:val="en-US"/>
        </w:rPr>
        <w:t>should</w:t>
      </w:r>
      <w:r>
        <w:rPr>
          <w:lang w:val="en-US"/>
        </w:rPr>
        <w:t xml:space="preserve"> be understood:</w:t>
      </w:r>
    </w:p>
    <w:p w:rsidR="00591F90" w:rsidRDefault="00591F90" w:rsidP="00591F90">
      <w:pPr>
        <w:pStyle w:val="HIPEnumlev1"/>
      </w:pPr>
      <w:r w:rsidRPr="007D0CDF">
        <w:t xml:space="preserve">Monitoring is the </w:t>
      </w:r>
      <w:r w:rsidRPr="00597130">
        <w:rPr>
          <w:b/>
          <w:bCs/>
        </w:rPr>
        <w:t xml:space="preserve">continuous assessment of project implementation </w:t>
      </w:r>
      <w:r w:rsidRPr="007D0CDF">
        <w:t xml:space="preserve">in relation to agreed </w:t>
      </w:r>
      <w:r>
        <w:t xml:space="preserve">contracts and agreements (as discussed in </w:t>
      </w:r>
      <w:r w:rsidRPr="00341C07">
        <w:t xml:space="preserve">Section </w:t>
      </w:r>
      <w:r>
        <w:t>8</w:t>
      </w:r>
      <w:r w:rsidRPr="00341C07">
        <w:t xml:space="preserve"> of </w:t>
      </w:r>
      <w:r>
        <w:t xml:space="preserve">Part 3 of </w:t>
      </w:r>
      <w:r w:rsidRPr="00341C07">
        <w:t>this Toolkit</w:t>
      </w:r>
      <w:r>
        <w:t>)</w:t>
      </w:r>
      <w:r w:rsidRPr="007D0CDF">
        <w:t>, and of the use of inputs, infrastructure, and services by project beneficiaries. It provides Fund Administrators and internal and external stakeholders</w:t>
      </w:r>
      <w:r>
        <w:t>, including project implementers,</w:t>
      </w:r>
      <w:r w:rsidRPr="007D0CDF">
        <w:t xml:space="preserve"> with continuous feedback on implementation of USAF financed projects, and of identified programmes. It is only through monitoring that actual or potential successes and problems can be easily and quickly identified – this enables the adjustment of the project or programme as may be required.</w:t>
      </w:r>
    </w:p>
    <w:p w:rsidR="00591F90" w:rsidRPr="003755CD" w:rsidRDefault="00591F90" w:rsidP="00591F90">
      <w:pPr>
        <w:pStyle w:val="HIPEnumlev1"/>
      </w:pPr>
      <w:r w:rsidRPr="00597130">
        <w:lastRenderedPageBreak/>
        <w:t xml:space="preserve">Evaluation is the </w:t>
      </w:r>
      <w:r w:rsidRPr="00597130">
        <w:rPr>
          <w:b/>
          <w:bCs/>
        </w:rPr>
        <w:t>periodic assessment of a programme or project's relevance, performance, efficiency, and impact</w:t>
      </w:r>
      <w:r w:rsidRPr="00597130">
        <w:t xml:space="preserve"> in relation to stated objectives</w:t>
      </w:r>
      <w:r>
        <w:t xml:space="preserve"> (as discussed in </w:t>
      </w:r>
      <w:r w:rsidRPr="00341C07">
        <w:t xml:space="preserve">Section </w:t>
      </w:r>
      <w:r>
        <w:t>1.4</w:t>
      </w:r>
      <w:r w:rsidRPr="00341C07">
        <w:t xml:space="preserve"> of </w:t>
      </w:r>
      <w:r>
        <w:t xml:space="preserve">Part 3 of </w:t>
      </w:r>
      <w:r w:rsidRPr="00341C07">
        <w:t>this Toolkit</w:t>
      </w:r>
      <w:r>
        <w:t xml:space="preserve">, under </w:t>
      </w:r>
      <w:r>
        <w:rPr>
          <w:rFonts w:hint="eastAsia"/>
        </w:rPr>
        <w:t>“</w:t>
      </w:r>
      <w:r>
        <w:t>Developing Programmes and Projects</w:t>
      </w:r>
      <w:r>
        <w:rPr>
          <w:rFonts w:hint="eastAsia"/>
        </w:rPr>
        <w:t>”</w:t>
      </w:r>
      <w:r>
        <w:t>)</w:t>
      </w:r>
      <w:r w:rsidRPr="00597130">
        <w:t xml:space="preserve">. It is important to note that evaluation occurs throughout the project and not just at the end. On-going evaluation enables Fund Administrators to assess a project's likely effects early on and to identify risks or unintended consequences which might necessitate adjustments in project design. Final evaluation reports are geared at closing a project and culminate in project completion reports. They include an assessment of a </w:t>
      </w:r>
      <w:r>
        <w:rPr>
          <w:rFonts w:hint="eastAsia"/>
        </w:rPr>
        <w:t>subsidized</w:t>
      </w:r>
      <w:r>
        <w:t xml:space="preserve"> </w:t>
      </w:r>
      <w:r w:rsidRPr="00597130">
        <w:t xml:space="preserve">project's effects and its potential sustainability. </w:t>
      </w:r>
    </w:p>
    <w:p w:rsidR="00591F90" w:rsidRDefault="0088668E" w:rsidP="0088668E">
      <w:pPr>
        <w:pStyle w:val="HIPHeading2"/>
      </w:pPr>
      <w:bookmarkStart w:id="470" w:name="_Toc284598039"/>
      <w:bookmarkStart w:id="471" w:name="_Toc286145004"/>
      <w:r>
        <w:t>4.1</w:t>
      </w:r>
      <w:r w:rsidR="00591F90">
        <w:tab/>
        <w:t>Objectives</w:t>
      </w:r>
      <w:bookmarkEnd w:id="470"/>
      <w:bookmarkEnd w:id="471"/>
      <w:r w:rsidR="00591F90">
        <w:t xml:space="preserve"> </w:t>
      </w:r>
    </w:p>
    <w:p w:rsidR="00591F90" w:rsidRDefault="00591F90" w:rsidP="00591F90">
      <w:pPr>
        <w:pStyle w:val="HIPNormal"/>
        <w:rPr>
          <w:lang w:val="en-US"/>
        </w:rPr>
      </w:pPr>
      <w:r>
        <w:rPr>
          <w:lang w:val="en-US"/>
        </w:rPr>
        <w:t xml:space="preserve">Evaluation is critical for many reasons and to achive very clear objectives. </w:t>
      </w:r>
      <w:r w:rsidRPr="007D0CDF">
        <w:rPr>
          <w:lang w:val="en-US"/>
        </w:rPr>
        <w:t xml:space="preserve">The core evaluation concerns to assess </w:t>
      </w:r>
      <w:r>
        <w:rPr>
          <w:lang w:val="en-US"/>
        </w:rPr>
        <w:t xml:space="preserve">universal access </w:t>
      </w:r>
      <w:r w:rsidRPr="007D0CDF">
        <w:rPr>
          <w:lang w:val="en-US"/>
        </w:rPr>
        <w:t xml:space="preserve">programme </w:t>
      </w:r>
      <w:r>
        <w:rPr>
          <w:lang w:val="en-US"/>
        </w:rPr>
        <w:t xml:space="preserve">and project </w:t>
      </w:r>
      <w:r w:rsidRPr="007D0CDF">
        <w:rPr>
          <w:lang w:val="en-US"/>
        </w:rPr>
        <w:t xml:space="preserve">performance </w:t>
      </w:r>
      <w:r>
        <w:rPr>
          <w:lang w:val="en-US"/>
        </w:rPr>
        <w:t xml:space="preserve">include to assess effectiveness of the project, its efficiency, any unexpected results (positive and negative) and to assess sustainability, amongst </w:t>
      </w:r>
      <w:r>
        <w:rPr>
          <w:rFonts w:hint="eastAsia"/>
          <w:lang w:val="en-US"/>
        </w:rPr>
        <w:t>others</w:t>
      </w:r>
      <w:r>
        <w:rPr>
          <w:lang w:val="en-US"/>
        </w:rPr>
        <w:t xml:space="preserve">. Ultimately it tests the validity of the seign and whether alternative </w:t>
      </w:r>
      <w:r>
        <w:rPr>
          <w:rFonts w:hint="eastAsia"/>
          <w:lang w:val="en-US"/>
        </w:rPr>
        <w:t>strategies</w:t>
      </w:r>
      <w:r>
        <w:rPr>
          <w:lang w:val="en-US"/>
        </w:rPr>
        <w:t xml:space="preserve"> may be relevant. The range of objectives and overall evaluation objectives framewokr is</w:t>
      </w:r>
      <w:r w:rsidRPr="007D0CDF">
        <w:rPr>
          <w:lang w:val="en-US"/>
        </w:rPr>
        <w:t xml:space="preserve"> illustrated below.</w:t>
      </w:r>
    </w:p>
    <w:p w:rsidR="00591F90" w:rsidRDefault="0088668E" w:rsidP="0088668E">
      <w:pPr>
        <w:pStyle w:val="HIPFiguretitle"/>
      </w:pPr>
      <w:bookmarkStart w:id="472" w:name="_Toc286145952"/>
      <w:r>
        <w:t>Figure 4.2</w:t>
      </w:r>
      <w:r w:rsidR="00591F90">
        <w:t>: Obectives of Evaluation</w:t>
      </w:r>
      <w:r w:rsidR="00591F90">
        <w:rPr>
          <w:rStyle w:val="FootnoteReference"/>
        </w:rPr>
        <w:footnoteReference w:id="89"/>
      </w:r>
      <w:bookmarkEnd w:id="472"/>
    </w:p>
    <w:p w:rsidR="0088668E" w:rsidRDefault="0088668E" w:rsidP="0088668E">
      <w:pPr>
        <w:pStyle w:val="HIPFigure"/>
      </w:pPr>
      <w:r w:rsidRPr="007F7BB4">
        <w:object w:dxaOrig="7205"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25pt;height:226.5pt" o:ole="" o:bordertopcolor="this" o:borderleftcolor="this" o:borderbottomcolor="this" o:borderrightcolor="this">
            <v:imagedata r:id="rId105" o:title=""/>
            <w10:bordertop type="single" width="4"/>
            <w10:borderleft type="single" width="4"/>
            <w10:borderbottom type="single" width="4"/>
            <w10:borderright type="single" width="4"/>
          </v:shape>
          <o:OLEObject Type="Embed" ProgID="PowerPoint.Slide.12" ShapeID="_x0000_i1025" DrawAspect="Content" ObjectID="_1360650629" r:id="rId106"/>
        </w:object>
      </w:r>
    </w:p>
    <w:p w:rsidR="0088668E" w:rsidRDefault="0088668E" w:rsidP="0088668E">
      <w:pPr>
        <w:pStyle w:val="HIPfiguresource"/>
      </w:pPr>
    </w:p>
    <w:p w:rsidR="0088668E" w:rsidRDefault="0088668E" w:rsidP="00591F90">
      <w:pPr>
        <w:pStyle w:val="HIPNormal"/>
        <w:rPr>
          <w:lang w:val="en-US"/>
        </w:rPr>
      </w:pPr>
    </w:p>
    <w:p w:rsidR="00591F90" w:rsidRDefault="00591F90" w:rsidP="00591F90">
      <w:pPr>
        <w:pStyle w:val="HIPNormal"/>
        <w:rPr>
          <w:lang w:val="en-US"/>
        </w:rPr>
      </w:pPr>
      <w:r w:rsidRPr="007D0CDF">
        <w:rPr>
          <w:lang w:val="en-US"/>
        </w:rPr>
        <w:t>Used carefully at all stages of the project cycle, monitoring and evaluation can help to strengthen project design and implementation and stimulate partnership with project stakeholders.</w:t>
      </w:r>
      <w:r w:rsidR="005E5682">
        <w:rPr>
          <w:lang w:val="en-US"/>
        </w:rPr>
        <w:t xml:space="preserve"> </w:t>
      </w:r>
      <w:r w:rsidRPr="00EA21BE">
        <w:rPr>
          <w:lang w:val="en-US"/>
        </w:rPr>
        <w:t xml:space="preserve">It can: </w:t>
      </w:r>
    </w:p>
    <w:p w:rsidR="00591F90" w:rsidRDefault="00591F90" w:rsidP="00591F90">
      <w:pPr>
        <w:pStyle w:val="HIPEnumlev1"/>
      </w:pPr>
      <w:r w:rsidRPr="00597130">
        <w:rPr>
          <w:b/>
          <w:bCs/>
        </w:rPr>
        <w:t xml:space="preserve">Influence </w:t>
      </w:r>
      <w:r>
        <w:rPr>
          <w:b/>
          <w:bCs/>
        </w:rPr>
        <w:t xml:space="preserve">decisions relating to market reform and the </w:t>
      </w:r>
      <w:r w:rsidRPr="00597130">
        <w:rPr>
          <w:b/>
          <w:bCs/>
        </w:rPr>
        <w:t xml:space="preserve">sector </w:t>
      </w:r>
      <w:r>
        <w:rPr>
          <w:b/>
          <w:bCs/>
        </w:rPr>
        <w:t xml:space="preserve">financing </w:t>
      </w:r>
      <w:r w:rsidRPr="00597130">
        <w:rPr>
          <w:b/>
          <w:bCs/>
        </w:rPr>
        <w:t>strategy</w:t>
      </w:r>
      <w:r w:rsidR="005E5682">
        <w:rPr>
          <w:b/>
          <w:bCs/>
        </w:rPr>
        <w:t xml:space="preserve"> – </w:t>
      </w:r>
      <w:r w:rsidRPr="007D0CDF">
        <w:t>Relevant analysis from project and policy evaluation can highlight the outcomes of previous interventions</w:t>
      </w:r>
      <w:r>
        <w:t xml:space="preserve"> (non-financial)</w:t>
      </w:r>
      <w:r w:rsidRPr="007D0CDF">
        <w:t>,</w:t>
      </w:r>
      <w:r>
        <w:t xml:space="preserve"> for example the outcomes of regulation, of </w:t>
      </w:r>
      <w:r>
        <w:rPr>
          <w:rFonts w:hint="eastAsia"/>
        </w:rPr>
        <w:t>similar</w:t>
      </w:r>
      <w:r>
        <w:t xml:space="preserve"> projects in other countries within the region, or in countries with similar contexts,</w:t>
      </w:r>
      <w:r w:rsidRPr="007D0CDF">
        <w:t xml:space="preserve"> and the strengths and weaknesses of their implementation. </w:t>
      </w:r>
    </w:p>
    <w:p w:rsidR="00591F90" w:rsidRDefault="00591F90" w:rsidP="00591F90">
      <w:pPr>
        <w:pStyle w:val="HIPEnumlev1"/>
      </w:pPr>
      <w:r w:rsidRPr="00597130">
        <w:rPr>
          <w:b/>
          <w:bCs/>
        </w:rPr>
        <w:lastRenderedPageBreak/>
        <w:t>Improve project design</w:t>
      </w:r>
      <w:r w:rsidR="005E5682">
        <w:t xml:space="preserve"> – </w:t>
      </w:r>
      <w:r>
        <w:t>effective M&amp;E</w:t>
      </w:r>
      <w:r w:rsidRPr="007D0CDF">
        <w:t xml:space="preserve"> </w:t>
      </w:r>
      <w:r>
        <w:rPr>
          <w:rFonts w:hint="eastAsia"/>
        </w:rPr>
        <w:t>facilitated</w:t>
      </w:r>
      <w:r>
        <w:t xml:space="preserve"> by the use of relevant </w:t>
      </w:r>
      <w:r w:rsidRPr="007D0CDF">
        <w:t xml:space="preserve">indicators for </w:t>
      </w:r>
      <w:r>
        <w:t>monitoring project performance. c</w:t>
      </w:r>
      <w:r w:rsidRPr="007D0CDF">
        <w:t xml:space="preserve">an lead to improvements in project design. </w:t>
      </w:r>
      <w:r>
        <w:t xml:space="preserve">In order for this to work, however, basic data needs to be collected on a regular basis, and baseline data should be available </w:t>
      </w:r>
      <w:r>
        <w:rPr>
          <w:rFonts w:hint="eastAsia"/>
        </w:rPr>
        <w:t>giants</w:t>
      </w:r>
      <w:r>
        <w:t xml:space="preserve"> which to measure progress.</w:t>
      </w:r>
    </w:p>
    <w:p w:rsidR="00591F90" w:rsidRPr="007D0CDF" w:rsidRDefault="00591F90" w:rsidP="00591F90">
      <w:pPr>
        <w:pStyle w:val="HIPEnumlev1"/>
      </w:pPr>
      <w:r w:rsidRPr="00597130">
        <w:rPr>
          <w:b/>
          <w:bCs/>
        </w:rPr>
        <w:t>Incorporate views of stakeholders</w:t>
      </w:r>
      <w:r w:rsidR="005E5682">
        <w:t xml:space="preserve"> – </w:t>
      </w:r>
      <w:r w:rsidRPr="007D0CDF">
        <w:t>"ownership" of project objectives</w:t>
      </w:r>
      <w:r>
        <w:t xml:space="preserve"> and stakeholder buy-in will only arise from consultation, </w:t>
      </w:r>
      <w:r>
        <w:rPr>
          <w:rFonts w:hint="eastAsia"/>
        </w:rPr>
        <w:t>particularly</w:t>
      </w:r>
      <w:r>
        <w:t xml:space="preserve"> in </w:t>
      </w:r>
      <w:r>
        <w:rPr>
          <w:rFonts w:hint="eastAsia"/>
        </w:rPr>
        <w:t>the</w:t>
      </w:r>
      <w:r>
        <w:t xml:space="preserve"> ICT sector which has diverse interests. This in turn increases accountability and </w:t>
      </w:r>
      <w:r w:rsidRPr="007D0CDF">
        <w:t xml:space="preserve">encourages the sustainability of </w:t>
      </w:r>
      <w:r>
        <w:t>universal access projects</w:t>
      </w:r>
      <w:r w:rsidRPr="007D0CDF">
        <w:t>. Objectives should be set and indicators selected in consultation with stakeholders, so that objectives and targets are jointly "owned". A reliable flow of information during</w:t>
      </w:r>
      <w:r>
        <w:t xml:space="preserve"> implementation enables funders</w:t>
      </w:r>
      <w:r w:rsidRPr="007D0CDF">
        <w:t xml:space="preserve"> to keep track of progress and adjust operations to take account of </w:t>
      </w:r>
      <w:r>
        <w:t xml:space="preserve">actual implementation </w:t>
      </w:r>
      <w:r w:rsidRPr="007D0CDF">
        <w:t>experience.</w:t>
      </w:r>
    </w:p>
    <w:p w:rsidR="00591F90" w:rsidRPr="00D84BD4" w:rsidRDefault="0088668E" w:rsidP="0088668E">
      <w:pPr>
        <w:pStyle w:val="HIPHeading2"/>
      </w:pPr>
      <w:bookmarkStart w:id="473" w:name="_Toc284598040"/>
      <w:bookmarkStart w:id="474" w:name="_Toc286145005"/>
      <w:r>
        <w:t>4.</w:t>
      </w:r>
      <w:r w:rsidR="00591F90">
        <w:t>2</w:t>
      </w:r>
      <w:r w:rsidR="00591F90">
        <w:tab/>
        <w:t>Linking M&amp;E to Universal Access Project Design</w:t>
      </w:r>
      <w:bookmarkEnd w:id="473"/>
      <w:bookmarkEnd w:id="474"/>
    </w:p>
    <w:p w:rsidR="00591F90" w:rsidRDefault="00591F90" w:rsidP="00591F90">
      <w:pPr>
        <w:pStyle w:val="HIPNormal"/>
        <w:rPr>
          <w:lang w:val="en-US"/>
        </w:rPr>
      </w:pPr>
      <w:r>
        <w:rPr>
          <w:lang w:val="en-US"/>
        </w:rPr>
        <w:t xml:space="preserve">Earlier in the Toolkit (Part 3) the need for the project to be targeted was discussed, as was the need to develop an exit strategy upfront. The decisions made at that stage of project development, have an impact on M&amp;E. Needless to say, a well designed project is easier to assess. </w:t>
      </w:r>
      <w:r w:rsidRPr="00D45F1E">
        <w:rPr>
          <w:lang w:val="en-US"/>
        </w:rPr>
        <w:t xml:space="preserve">Good design has five </w:t>
      </w:r>
      <w:r>
        <w:rPr>
          <w:lang w:val="en-US"/>
        </w:rPr>
        <w:t xml:space="preserve">critical </w:t>
      </w:r>
      <w:r w:rsidRPr="00D45F1E">
        <w:rPr>
          <w:lang w:val="en-US"/>
        </w:rPr>
        <w:t xml:space="preserve">components: </w:t>
      </w:r>
    </w:p>
    <w:p w:rsidR="00591F90" w:rsidRDefault="00591F90" w:rsidP="00591F90">
      <w:pPr>
        <w:pStyle w:val="HIPEnumlev1"/>
      </w:pPr>
      <w:r>
        <w:rPr>
          <w:b/>
          <w:bCs/>
        </w:rPr>
        <w:t>M</w:t>
      </w:r>
      <w:r w:rsidRPr="00377FAF">
        <w:rPr>
          <w:b/>
          <w:bCs/>
        </w:rPr>
        <w:t>easurable objectives</w:t>
      </w:r>
      <w:r w:rsidRPr="00377FAF">
        <w:t xml:space="preserve"> for the project, for w</w:t>
      </w:r>
      <w:r>
        <w:t>hich indicators can be defined</w:t>
      </w:r>
    </w:p>
    <w:p w:rsidR="00591F90" w:rsidRDefault="00591F90" w:rsidP="00591F90">
      <w:pPr>
        <w:pStyle w:val="HIPEnumlev1"/>
      </w:pPr>
      <w:r w:rsidRPr="00377FAF">
        <w:rPr>
          <w:b/>
          <w:bCs/>
        </w:rPr>
        <w:t>A structured set of indicators</w:t>
      </w:r>
      <w:r w:rsidRPr="00377FAF">
        <w:t xml:space="preserve">, covering outputs of </w:t>
      </w:r>
      <w:r>
        <w:rPr>
          <w:rFonts w:hint="eastAsia"/>
        </w:rPr>
        <w:t>network</w:t>
      </w:r>
      <w:r>
        <w:t xml:space="preserve"> or services provided in terms of </w:t>
      </w:r>
      <w:r w:rsidRPr="00377FAF">
        <w:t>the project and</w:t>
      </w:r>
      <w:r>
        <w:t xml:space="preserve"> their impact on </w:t>
      </w:r>
      <w:r>
        <w:rPr>
          <w:rFonts w:hint="eastAsia"/>
        </w:rPr>
        <w:t>identified</w:t>
      </w:r>
      <w:r>
        <w:t xml:space="preserve"> beneficiaries</w:t>
      </w:r>
    </w:p>
    <w:p w:rsidR="00591F90" w:rsidRDefault="00591F90" w:rsidP="00591F90">
      <w:pPr>
        <w:pStyle w:val="HIPEnumlev1"/>
      </w:pPr>
      <w:r w:rsidRPr="00377FAF">
        <w:rPr>
          <w:b/>
          <w:bCs/>
        </w:rPr>
        <w:t>Provisions for collecting data and managing project records</w:t>
      </w:r>
      <w:r w:rsidRPr="00377FAF">
        <w:t xml:space="preserve"> so that the d</w:t>
      </w:r>
      <w:r>
        <w:t xml:space="preserve">ata required for indicators is </w:t>
      </w:r>
      <w:r w:rsidRPr="00377FAF">
        <w:t xml:space="preserve">compatible </w:t>
      </w:r>
      <w:r>
        <w:t xml:space="preserve">with existing statistics, and available at reasonable cost (where the funder is not the regulator this is one area where partnerships become useful, since this will require coordination between the entities to get data from operators if not specified in </w:t>
      </w:r>
      <w:r>
        <w:rPr>
          <w:rFonts w:hint="eastAsia"/>
        </w:rPr>
        <w:t>the</w:t>
      </w:r>
      <w:r>
        <w:t xml:space="preserve"> SLAs signed at project commencement)</w:t>
      </w:r>
    </w:p>
    <w:p w:rsidR="00591F90" w:rsidRDefault="00591F90" w:rsidP="00591F90">
      <w:pPr>
        <w:pStyle w:val="HIPEnumlev1"/>
      </w:pPr>
      <w:r w:rsidRPr="00377FAF">
        <w:rPr>
          <w:b/>
          <w:bCs/>
        </w:rPr>
        <w:t>Institutional arrangements for gathering, analyzing, and reporting project data, and for investing in capacity building</w:t>
      </w:r>
      <w:r w:rsidRPr="00377FAF">
        <w:t>, t</w:t>
      </w:r>
      <w:r>
        <w:t>o sustain the M&amp;E service (where Funds are separate from regulators this may require coordination between the entities to get data from operators)</w:t>
      </w:r>
    </w:p>
    <w:p w:rsidR="00591F90" w:rsidRDefault="00591F90" w:rsidP="00591F90">
      <w:pPr>
        <w:pStyle w:val="HIPEnumlev1"/>
      </w:pPr>
      <w:r w:rsidRPr="00377FAF">
        <w:rPr>
          <w:b/>
          <w:bCs/>
        </w:rPr>
        <w:t xml:space="preserve">Proposals for the ways in which M&amp;E findings will be fed back </w:t>
      </w:r>
      <w:r>
        <w:rPr>
          <w:b/>
          <w:bCs/>
        </w:rPr>
        <w:t xml:space="preserve">to </w:t>
      </w:r>
      <w:r>
        <w:rPr>
          <w:rFonts w:hint="eastAsia"/>
          <w:b/>
          <w:bCs/>
        </w:rPr>
        <w:t>stakeholders</w:t>
      </w:r>
      <w:r>
        <w:rPr>
          <w:b/>
          <w:bCs/>
        </w:rPr>
        <w:t>, financiers, and other affected parties.</w:t>
      </w:r>
    </w:p>
    <w:p w:rsidR="00591F90" w:rsidRPr="007D0CDF" w:rsidRDefault="00591F90" w:rsidP="00591F90">
      <w:pPr>
        <w:pStyle w:val="HIPNormal"/>
        <w:rPr>
          <w:lang w:val="en-US"/>
        </w:rPr>
      </w:pPr>
      <w:r w:rsidRPr="007D0CDF">
        <w:rPr>
          <w:lang w:val="en-US"/>
        </w:rPr>
        <w:t xml:space="preserve">These five components help to ensure that M&amp;E is relevant, within the capacity of the </w:t>
      </w:r>
      <w:r>
        <w:rPr>
          <w:lang w:val="en-US"/>
        </w:rPr>
        <w:t xml:space="preserve">Fund and effective. </w:t>
      </w:r>
    </w:p>
    <w:p w:rsidR="00591F90" w:rsidRPr="0021109E" w:rsidRDefault="0088668E" w:rsidP="0088668E">
      <w:pPr>
        <w:pStyle w:val="HIPHeading2"/>
      </w:pPr>
      <w:bookmarkStart w:id="475" w:name="_Toc284598041"/>
      <w:bookmarkStart w:id="476" w:name="_Toc286145006"/>
      <w:r>
        <w:t>4.</w:t>
      </w:r>
      <w:r w:rsidR="00591F90">
        <w:t>3</w:t>
      </w:r>
      <w:r w:rsidR="00591F90">
        <w:tab/>
      </w:r>
      <w:r w:rsidR="00591F90" w:rsidRPr="008410F0">
        <w:t xml:space="preserve">Measuring </w:t>
      </w:r>
      <w:r w:rsidR="00591F90" w:rsidRPr="008410F0">
        <w:rPr>
          <w:rFonts w:hint="eastAsia"/>
        </w:rPr>
        <w:t>the</w:t>
      </w:r>
      <w:r w:rsidR="00591F90" w:rsidRPr="008410F0">
        <w:t xml:space="preserve"> Impact</w:t>
      </w:r>
      <w:r w:rsidR="00591F90">
        <w:t xml:space="preserve"> – Common challenges faced</w:t>
      </w:r>
      <w:bookmarkEnd w:id="475"/>
      <w:bookmarkEnd w:id="476"/>
    </w:p>
    <w:p w:rsidR="00591F90" w:rsidRPr="007D0CDF" w:rsidRDefault="00591F90" w:rsidP="00591F90">
      <w:pPr>
        <w:pStyle w:val="HIPNormal"/>
        <w:rPr>
          <w:lang w:val="en-US"/>
        </w:rPr>
      </w:pPr>
      <w:r w:rsidRPr="007D0CDF">
        <w:rPr>
          <w:lang w:val="en-US"/>
        </w:rPr>
        <w:t xml:space="preserve">To identify appropriate indicators to track these outputs </w:t>
      </w:r>
      <w:r>
        <w:rPr>
          <w:lang w:val="en-US"/>
        </w:rPr>
        <w:t>Fund Administrators</w:t>
      </w:r>
      <w:r w:rsidRPr="007D0CDF">
        <w:rPr>
          <w:lang w:val="en-US"/>
        </w:rPr>
        <w:t xml:space="preserve"> need to know:</w:t>
      </w:r>
    </w:p>
    <w:p w:rsidR="00591F90" w:rsidRDefault="00591F90" w:rsidP="00591F90">
      <w:pPr>
        <w:pStyle w:val="HIPEnumlev1"/>
      </w:pPr>
      <w:r>
        <w:t>The target area</w:t>
      </w:r>
    </w:p>
    <w:p w:rsidR="00591F90" w:rsidRDefault="00591F90" w:rsidP="00591F90">
      <w:pPr>
        <w:pStyle w:val="HIPEnumlev1"/>
      </w:pPr>
      <w:r>
        <w:t>The target population/beneficiaries</w:t>
      </w:r>
    </w:p>
    <w:p w:rsidR="00591F90" w:rsidRDefault="00591F90" w:rsidP="00591F90">
      <w:pPr>
        <w:pStyle w:val="HIPEnumlev1"/>
      </w:pPr>
      <w:r>
        <w:t xml:space="preserve">The specific services </w:t>
      </w:r>
    </w:p>
    <w:p w:rsidR="00591F90" w:rsidRDefault="00591F90" w:rsidP="00591F90">
      <w:pPr>
        <w:pStyle w:val="HIPEnumlev1"/>
      </w:pPr>
      <w:r>
        <w:t xml:space="preserve">The kind of access </w:t>
      </w:r>
    </w:p>
    <w:p w:rsidR="00591F90" w:rsidRDefault="00591F90" w:rsidP="00591F90">
      <w:pPr>
        <w:pStyle w:val="HIPEnumlev1"/>
      </w:pPr>
      <w:r w:rsidRPr="007D0CDF">
        <w:t xml:space="preserve">The quality standards </w:t>
      </w:r>
    </w:p>
    <w:p w:rsidR="00591F90" w:rsidRPr="007D0CDF" w:rsidRDefault="00591F90" w:rsidP="00591F90">
      <w:pPr>
        <w:pStyle w:val="HIPEnumlev1"/>
      </w:pPr>
      <w:r>
        <w:t>The content or applications to be affected?</w:t>
      </w:r>
    </w:p>
    <w:p w:rsidR="00591F90" w:rsidRPr="007D0CDF" w:rsidRDefault="00591F90" w:rsidP="00591F90">
      <w:pPr>
        <w:pStyle w:val="HIPEnumlev1"/>
      </w:pPr>
      <w:r w:rsidRPr="007D0CDF">
        <w:t>The specific awareness or knowledge to be developed.</w:t>
      </w:r>
    </w:p>
    <w:p w:rsidR="00591F90" w:rsidRDefault="00591F90" w:rsidP="00591F90">
      <w:pPr>
        <w:pStyle w:val="HIPNormal"/>
        <w:rPr>
          <w:lang w:val="en-GB"/>
        </w:rPr>
      </w:pPr>
      <w:r>
        <w:rPr>
          <w:lang w:val="en-GB"/>
        </w:rPr>
        <w:lastRenderedPageBreak/>
        <w:t>Member States should seek to avoid some of the common project management problems that arise when Member States do not properly design projects or specify objectives and targets include:</w:t>
      </w:r>
      <w:r>
        <w:rPr>
          <w:rStyle w:val="FootnoteReference"/>
          <w:lang w:val="en-GB"/>
        </w:rPr>
        <w:footnoteReference w:id="90"/>
      </w:r>
    </w:p>
    <w:p w:rsidR="00591F90" w:rsidRDefault="00591F90" w:rsidP="00591F90">
      <w:pPr>
        <w:pStyle w:val="HIPEnumlev1"/>
      </w:pPr>
      <w:r>
        <w:t>T</w:t>
      </w:r>
      <w:r>
        <w:rPr>
          <w:rFonts w:hint="eastAsia"/>
        </w:rPr>
        <w:t>argets</w:t>
      </w:r>
      <w:r>
        <w:t xml:space="preserve"> and i</w:t>
      </w:r>
      <w:r w:rsidRPr="007D0CDF">
        <w:t xml:space="preserve">ndicators </w:t>
      </w:r>
      <w:r w:rsidRPr="007D0CDF">
        <w:rPr>
          <w:b/>
          <w:bCs/>
          <w:i/>
          <w:iCs/>
        </w:rPr>
        <w:t>do not include an objective standard</w:t>
      </w:r>
      <w:r w:rsidRPr="007D0CDF">
        <w:t xml:space="preserve"> against which achievement can be assessed.</w:t>
      </w:r>
      <w:r w:rsidR="005E5682">
        <w:t xml:space="preserve"> </w:t>
      </w:r>
      <w:r w:rsidRPr="007D0CDF">
        <w:t>For example, an indicator of “system developed” is used for an output such as “system for coordination, monitor</w:t>
      </w:r>
      <w:r>
        <w:t>ing and evaluation of school connectivity</w:t>
      </w:r>
      <w:r w:rsidRPr="007D0CDF">
        <w:t xml:space="preserve"> programmes”.</w:t>
      </w:r>
      <w:r w:rsidR="005E5682">
        <w:t xml:space="preserve"> </w:t>
      </w:r>
      <w:r w:rsidRPr="008410F0">
        <w:t>The standard needs to be defined explicitly.</w:t>
      </w:r>
    </w:p>
    <w:p w:rsidR="00591F90" w:rsidRDefault="00591F90" w:rsidP="00591F90">
      <w:pPr>
        <w:pStyle w:val="HIPEnumlev1"/>
      </w:pPr>
      <w:r>
        <w:t xml:space="preserve">Targets do not make </w:t>
      </w:r>
      <w:r w:rsidRPr="008410F0">
        <w:rPr>
          <w:b/>
          <w:bCs/>
          <w:i/>
          <w:iCs/>
        </w:rPr>
        <w:t>reference to a baseline</w:t>
      </w:r>
      <w:r>
        <w:rPr>
          <w:b/>
          <w:bCs/>
          <w:i/>
          <w:iCs/>
        </w:rPr>
        <w:t xml:space="preserve"> or starting point </w:t>
      </w:r>
      <w:r w:rsidRPr="008410F0">
        <w:rPr>
          <w:i/>
          <w:iCs/>
        </w:rPr>
        <w:t xml:space="preserve">and this </w:t>
      </w:r>
      <w:r w:rsidRPr="008410F0">
        <w:rPr>
          <w:rFonts w:hint="eastAsia"/>
          <w:i/>
          <w:iCs/>
        </w:rPr>
        <w:t>provide</w:t>
      </w:r>
      <w:r>
        <w:rPr>
          <w:i/>
          <w:iCs/>
        </w:rPr>
        <w:t>s</w:t>
      </w:r>
      <w:r w:rsidRPr="008410F0">
        <w:rPr>
          <w:i/>
          <w:iCs/>
        </w:rPr>
        <w:t xml:space="preserve"> no basis for comparison or analysis</w:t>
      </w:r>
      <w:r w:rsidRPr="008410F0">
        <w:t xml:space="preserve">. </w:t>
      </w:r>
    </w:p>
    <w:p w:rsidR="00591F90" w:rsidRDefault="00591F90" w:rsidP="00591F90">
      <w:pPr>
        <w:pStyle w:val="HIPEnumlev1"/>
      </w:pPr>
      <w:r w:rsidRPr="008410F0">
        <w:rPr>
          <w:b/>
          <w:bCs/>
          <w:i/>
          <w:iCs/>
        </w:rPr>
        <w:t>Too many indicators</w:t>
      </w:r>
      <w:r w:rsidRPr="008410F0">
        <w:t xml:space="preserve"> with little consideration of the time, human resources and cost required to collect the indicator data. </w:t>
      </w:r>
      <w:r>
        <w:t>The risk is that some of the indicators may not be related to the objectives sought to be achieved.</w:t>
      </w:r>
    </w:p>
    <w:p w:rsidR="00591F90" w:rsidRDefault="00591F90" w:rsidP="00591F90">
      <w:pPr>
        <w:pStyle w:val="HIPEnumlev1"/>
      </w:pPr>
      <w:r w:rsidRPr="008410F0">
        <w:t xml:space="preserve">Indicators that seem </w:t>
      </w:r>
      <w:r w:rsidRPr="008410F0">
        <w:rPr>
          <w:b/>
          <w:bCs/>
          <w:i/>
          <w:iCs/>
        </w:rPr>
        <w:t xml:space="preserve">unrealistic </w:t>
      </w:r>
      <w:r w:rsidRPr="008410F0">
        <w:t xml:space="preserve">due to lack of data to construct the specified indicator and/or because the indicator is very difficult to measure. </w:t>
      </w:r>
    </w:p>
    <w:p w:rsidR="00591F90" w:rsidRDefault="00591F90" w:rsidP="00591F90">
      <w:pPr>
        <w:pStyle w:val="HIPEnumlev1"/>
      </w:pPr>
      <w:r w:rsidRPr="008410F0">
        <w:rPr>
          <w:b/>
          <w:bCs/>
          <w:i/>
          <w:iCs/>
        </w:rPr>
        <w:t>Inconsistency between the universe of the output and the indicators</w:t>
      </w:r>
      <w:r w:rsidRPr="008410F0">
        <w:t xml:space="preserve">. For example, the </w:t>
      </w:r>
      <w:r w:rsidRPr="008410F0">
        <w:rPr>
          <w:b/>
          <w:bCs/>
          <w:i/>
          <w:iCs/>
        </w:rPr>
        <w:t xml:space="preserve">output </w:t>
      </w:r>
      <w:r w:rsidRPr="008410F0">
        <w:t xml:space="preserve">relating to a few sample areas but the specified </w:t>
      </w:r>
      <w:r w:rsidRPr="008410F0">
        <w:rPr>
          <w:b/>
          <w:bCs/>
          <w:i/>
          <w:iCs/>
        </w:rPr>
        <w:t>indicators</w:t>
      </w:r>
      <w:r w:rsidRPr="008410F0">
        <w:t xml:space="preserve"> relating to the entire country. </w:t>
      </w:r>
    </w:p>
    <w:p w:rsidR="00591F90" w:rsidRDefault="00591F90" w:rsidP="00591F90">
      <w:pPr>
        <w:pStyle w:val="HIPEnumlev1"/>
      </w:pPr>
      <w:r w:rsidRPr="00CB7502">
        <w:rPr>
          <w:b/>
          <w:bCs/>
          <w:i/>
          <w:iCs/>
        </w:rPr>
        <w:t>Copying of indicators</w:t>
      </w:r>
      <w:r w:rsidRPr="00CB7502">
        <w:t xml:space="preserve"> </w:t>
      </w:r>
      <w:r w:rsidRPr="00CB7502">
        <w:rPr>
          <w:b/>
          <w:bCs/>
          <w:i/>
          <w:iCs/>
        </w:rPr>
        <w:t xml:space="preserve">contained in </w:t>
      </w:r>
      <w:r>
        <w:rPr>
          <w:b/>
          <w:bCs/>
          <w:i/>
          <w:iCs/>
        </w:rPr>
        <w:t>CRASA, NEPAD, ITU or other</w:t>
      </w:r>
      <w:r w:rsidRPr="00CB7502">
        <w:rPr>
          <w:b/>
          <w:bCs/>
          <w:i/>
          <w:iCs/>
        </w:rPr>
        <w:t xml:space="preserve"> guidelines</w:t>
      </w:r>
      <w:r w:rsidRPr="00CB7502">
        <w:t xml:space="preserve"> without consideration of their relevance to the </w:t>
      </w:r>
      <w:r>
        <w:t xml:space="preserve">country </w:t>
      </w:r>
      <w:r w:rsidRPr="00CB7502">
        <w:t>specific programme</w:t>
      </w:r>
      <w:r>
        <w:t xml:space="preserve"> or project </w:t>
      </w:r>
      <w:r w:rsidRPr="00CB7502">
        <w:t>context.</w:t>
      </w:r>
    </w:p>
    <w:p w:rsidR="00591F90" w:rsidRDefault="00591F90" w:rsidP="00591F90">
      <w:pPr>
        <w:pStyle w:val="HIPEnumlev1"/>
      </w:pPr>
      <w:r>
        <w:rPr>
          <w:b/>
          <w:bCs/>
          <w:i/>
          <w:iCs/>
        </w:rPr>
        <w:t xml:space="preserve">Inadequate or </w:t>
      </w:r>
      <w:r w:rsidRPr="00CB7502">
        <w:rPr>
          <w:b/>
          <w:bCs/>
          <w:i/>
          <w:iCs/>
        </w:rPr>
        <w:t>Infrequent</w:t>
      </w:r>
      <w:r w:rsidRPr="00CB7502">
        <w:t xml:space="preserve"> use of </w:t>
      </w:r>
      <w:r w:rsidRPr="00CB7502">
        <w:rPr>
          <w:b/>
          <w:bCs/>
          <w:i/>
          <w:iCs/>
        </w:rPr>
        <w:t>gender sensitive</w:t>
      </w:r>
      <w:r w:rsidRPr="00CB7502">
        <w:t xml:space="preserve"> </w:t>
      </w:r>
      <w:r w:rsidRPr="00CB7502">
        <w:rPr>
          <w:b/>
          <w:bCs/>
          <w:i/>
          <w:iCs/>
        </w:rPr>
        <w:t>indicators</w:t>
      </w:r>
      <w:r w:rsidRPr="00CB7502">
        <w:t>.</w:t>
      </w:r>
      <w:r>
        <w:t>.</w:t>
      </w:r>
    </w:p>
    <w:p w:rsidR="00591F90" w:rsidRPr="0021109E" w:rsidRDefault="0088668E" w:rsidP="0088668E">
      <w:pPr>
        <w:pStyle w:val="HIPHeading2"/>
      </w:pPr>
      <w:bookmarkStart w:id="477" w:name="_Toc284598042"/>
      <w:bookmarkStart w:id="478" w:name="_Toc286145007"/>
      <w:r>
        <w:t>4.</w:t>
      </w:r>
      <w:r w:rsidR="00591F90">
        <w:t>4</w:t>
      </w:r>
      <w:r w:rsidR="00591F90">
        <w:tab/>
        <w:t>Using the results</w:t>
      </w:r>
      <w:bookmarkEnd w:id="477"/>
      <w:bookmarkEnd w:id="478"/>
    </w:p>
    <w:p w:rsidR="00591F90" w:rsidRDefault="00591F90" w:rsidP="00591F90">
      <w:pPr>
        <w:pStyle w:val="HIPNormal"/>
        <w:rPr>
          <w:lang w:val="en-US"/>
        </w:rPr>
      </w:pPr>
      <w:r w:rsidRPr="0088170F">
        <w:rPr>
          <w:lang w:val="en-US"/>
        </w:rPr>
        <w:t>One of the weaknesses in the region is the lack of information sharing and the absence of public</w:t>
      </w:r>
      <w:r>
        <w:rPr>
          <w:lang w:val="en-US"/>
        </w:rPr>
        <w:t>ally available information on Fund Administrators</w:t>
      </w:r>
      <w:r>
        <w:rPr>
          <w:rFonts w:hint="eastAsia"/>
          <w:lang w:val="en-US"/>
        </w:rPr>
        <w:t>’</w:t>
      </w:r>
      <w:r>
        <w:rPr>
          <w:lang w:val="en-US"/>
        </w:rPr>
        <w:t xml:space="preserve"> websites. </w:t>
      </w:r>
      <w:r w:rsidRPr="0088170F">
        <w:rPr>
          <w:lang w:val="en-US"/>
        </w:rPr>
        <w:t xml:space="preserve">It is not sufficient to merely conduct evaluation as an information-gathering activity. It is also important to disseminate and communicate evaluation results to key stakeholders and interested parties </w:t>
      </w:r>
      <w:r>
        <w:rPr>
          <w:lang w:val="en-US"/>
        </w:rPr>
        <w:t xml:space="preserve">in a consistent format and to monitor and report trends. </w:t>
      </w:r>
    </w:p>
    <w:p w:rsidR="00591F90" w:rsidRDefault="00591F90" w:rsidP="00591F90">
      <w:pPr>
        <w:pStyle w:val="HIPNormal"/>
        <w:rPr>
          <w:lang w:val="en-US"/>
        </w:rPr>
      </w:pPr>
      <w:r>
        <w:rPr>
          <w:lang w:val="en-US"/>
        </w:rPr>
        <w:t xml:space="preserve">As indicated earlier in the Toolkit, consultation is key. </w:t>
      </w:r>
      <w:r w:rsidRPr="0088170F">
        <w:rPr>
          <w:lang w:val="en-US"/>
        </w:rPr>
        <w:t>In addition to delivering a final report, it is useful to organize meetings</w:t>
      </w:r>
      <w:r>
        <w:rPr>
          <w:lang w:val="en-US"/>
        </w:rPr>
        <w:t xml:space="preserve"> first with project implementers and additionally </w:t>
      </w:r>
      <w:r w:rsidRPr="0088170F">
        <w:rPr>
          <w:lang w:val="en-US"/>
        </w:rPr>
        <w:t xml:space="preserve">with </w:t>
      </w:r>
      <w:r>
        <w:rPr>
          <w:rFonts w:hint="eastAsia"/>
          <w:lang w:val="en-US"/>
        </w:rPr>
        <w:t>interested</w:t>
      </w:r>
      <w:r>
        <w:rPr>
          <w:lang w:val="en-US"/>
        </w:rPr>
        <w:t xml:space="preserve"> </w:t>
      </w:r>
      <w:r w:rsidRPr="0088170F">
        <w:rPr>
          <w:lang w:val="en-US"/>
        </w:rPr>
        <w:t>stakeholders</w:t>
      </w:r>
      <w:r>
        <w:rPr>
          <w:lang w:val="en-US"/>
        </w:rPr>
        <w:t>. Consultation</w:t>
      </w:r>
      <w:r w:rsidRPr="0088170F">
        <w:rPr>
          <w:lang w:val="en-US"/>
        </w:rPr>
        <w:t xml:space="preserve"> </w:t>
      </w:r>
      <w:r>
        <w:rPr>
          <w:lang w:val="en-US"/>
        </w:rPr>
        <w:t xml:space="preserve">allows all stakeholders </w:t>
      </w:r>
      <w:r w:rsidRPr="0088170F">
        <w:rPr>
          <w:lang w:val="en-US"/>
        </w:rPr>
        <w:t>to hear about evaluation findings, but also interpret them and construct meaning – these are opportunities for learning</w:t>
      </w:r>
      <w:r>
        <w:rPr>
          <w:lang w:val="en-US"/>
        </w:rPr>
        <w:t>, exchanging ideas and improving models</w:t>
      </w:r>
      <w:r w:rsidRPr="0088170F">
        <w:rPr>
          <w:lang w:val="en-US"/>
        </w:rPr>
        <w:t>. Ensuring openness and a wider access to evaluation results increases their credibility and use.</w:t>
      </w:r>
      <w:r>
        <w:rPr>
          <w:lang w:val="en-US"/>
        </w:rPr>
        <w:t xml:space="preserve"> See box below.</w:t>
      </w:r>
    </w:p>
    <w:p w:rsidR="00591F90" w:rsidRDefault="00591F90" w:rsidP="0088668E">
      <w:pPr>
        <w:pStyle w:val="HIPTabletitle"/>
      </w:pPr>
      <w:bookmarkStart w:id="479" w:name="_Toc286146574"/>
      <w:r>
        <w:t xml:space="preserve">Table </w:t>
      </w:r>
      <w:r w:rsidR="0088668E">
        <w:t>4.1</w:t>
      </w:r>
      <w:r>
        <w:t>: Providing Feedback</w:t>
      </w:r>
      <w:bookmarkEnd w:id="4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9287"/>
      </w:tblGrid>
      <w:tr w:rsidR="00591F90" w:rsidRPr="00A3379B" w:rsidTr="00A72D2A">
        <w:tc>
          <w:tcPr>
            <w:tcW w:w="9287" w:type="dxa"/>
            <w:shd w:val="clear" w:color="auto" w:fill="EAF1DD"/>
          </w:tcPr>
          <w:p w:rsidR="00591F90" w:rsidRPr="003950B6" w:rsidRDefault="00591F90" w:rsidP="00591F90">
            <w:pPr>
              <w:pStyle w:val="HIPTabletext"/>
              <w:rPr>
                <w:lang w:val="en-US"/>
              </w:rPr>
            </w:pPr>
            <w:r w:rsidRPr="003950B6">
              <w:rPr>
                <w:lang w:val="en-US"/>
              </w:rPr>
              <w:t>Reporting Back</w:t>
            </w:r>
            <w:r w:rsidRPr="003950B6">
              <w:rPr>
                <w:rFonts w:hint="eastAsia"/>
                <w:lang w:val="en-US"/>
              </w:rPr>
              <w:t>…</w:t>
            </w:r>
            <w:r w:rsidRPr="003950B6">
              <w:rPr>
                <w:lang w:val="en-US"/>
              </w:rPr>
              <w:t>ways to be accountable and transaprent post M&amp;E</w:t>
            </w:r>
          </w:p>
          <w:p w:rsidR="00591F90" w:rsidRPr="003950B6" w:rsidRDefault="00591F90" w:rsidP="00591F90">
            <w:pPr>
              <w:pStyle w:val="HIPTabletext"/>
              <w:rPr>
                <w:b/>
                <w:lang w:val="en-US"/>
              </w:rPr>
            </w:pPr>
            <w:r w:rsidRPr="00591F90">
              <w:rPr>
                <w:color w:val="008000"/>
                <w:lang w:val="en-US"/>
              </w:rPr>
              <w:t>•</w:t>
            </w:r>
            <w:r>
              <w:rPr>
                <w:lang w:val="en-US"/>
              </w:rPr>
              <w:tab/>
            </w:r>
            <w:r w:rsidRPr="003950B6">
              <w:rPr>
                <w:lang w:val="en-US"/>
              </w:rPr>
              <w:t>Submit a publically availbale Annual report and audited financials</w:t>
            </w:r>
          </w:p>
          <w:p w:rsidR="00591F90" w:rsidRPr="003950B6" w:rsidRDefault="00591F90" w:rsidP="00591F90">
            <w:pPr>
              <w:pStyle w:val="HIPTabletext"/>
              <w:rPr>
                <w:b/>
                <w:lang w:val="en-US"/>
              </w:rPr>
            </w:pPr>
            <w:r w:rsidRPr="00591F90">
              <w:rPr>
                <w:color w:val="008000"/>
                <w:lang w:val="en-US"/>
              </w:rPr>
              <w:t>•</w:t>
            </w:r>
            <w:r>
              <w:rPr>
                <w:lang w:val="en-US"/>
              </w:rPr>
              <w:tab/>
            </w:r>
            <w:r w:rsidRPr="003950B6">
              <w:rPr>
                <w:lang w:val="en-US"/>
              </w:rPr>
              <w:t>Prepare a detailed written report for management and all project stakeholders</w:t>
            </w:r>
          </w:p>
          <w:p w:rsidR="00591F90" w:rsidRPr="003950B6" w:rsidRDefault="00591F90" w:rsidP="00591F90">
            <w:pPr>
              <w:pStyle w:val="HIPTabletext"/>
              <w:rPr>
                <w:b/>
                <w:lang w:val="en-US"/>
              </w:rPr>
            </w:pPr>
            <w:r w:rsidRPr="00591F90">
              <w:rPr>
                <w:color w:val="008000"/>
                <w:lang w:val="en-US"/>
              </w:rPr>
              <w:t>•</w:t>
            </w:r>
            <w:r>
              <w:rPr>
                <w:lang w:val="en-US"/>
              </w:rPr>
              <w:tab/>
            </w:r>
            <w:r w:rsidRPr="003950B6">
              <w:rPr>
                <w:lang w:val="en-US"/>
              </w:rPr>
              <w:t>Make a brochure on the principal evaluation lessons and recommendations</w:t>
            </w:r>
          </w:p>
          <w:p w:rsidR="00591F90" w:rsidRPr="00591F90" w:rsidRDefault="00591F90" w:rsidP="00591F90">
            <w:pPr>
              <w:pStyle w:val="HIPTabletext"/>
              <w:rPr>
                <w:lang w:val="en-US"/>
              </w:rPr>
            </w:pPr>
            <w:r w:rsidRPr="00591F90">
              <w:rPr>
                <w:color w:val="008000"/>
                <w:lang w:val="en-US"/>
              </w:rPr>
              <w:t>•</w:t>
            </w:r>
            <w:r>
              <w:rPr>
                <w:lang w:val="en-US"/>
              </w:rPr>
              <w:tab/>
            </w:r>
            <w:r w:rsidRPr="00591F90">
              <w:rPr>
                <w:lang w:val="en-US"/>
              </w:rPr>
              <w:t>News release, Press Conference, Articles</w:t>
            </w:r>
          </w:p>
          <w:p w:rsidR="00591F90" w:rsidRPr="00591F90" w:rsidRDefault="00591F90" w:rsidP="00591F90">
            <w:pPr>
              <w:pStyle w:val="HIPTabletext"/>
              <w:rPr>
                <w:lang w:val="en-US"/>
              </w:rPr>
            </w:pPr>
            <w:r w:rsidRPr="00591F90">
              <w:rPr>
                <w:color w:val="008000"/>
                <w:lang w:val="en-US"/>
              </w:rPr>
              <w:t>•</w:t>
            </w:r>
            <w:r>
              <w:rPr>
                <w:lang w:val="en-US"/>
              </w:rPr>
              <w:tab/>
            </w:r>
            <w:r w:rsidRPr="00591F90">
              <w:rPr>
                <w:lang w:val="en-US"/>
              </w:rPr>
              <w:t xml:space="preserve">Stakeholder consultation/briefing </w:t>
            </w:r>
          </w:p>
          <w:p w:rsidR="00591F90" w:rsidRPr="00591F90" w:rsidRDefault="00591F90" w:rsidP="00591F90">
            <w:pPr>
              <w:pStyle w:val="HIPTabletext"/>
              <w:rPr>
                <w:lang w:val="en-US"/>
              </w:rPr>
            </w:pPr>
            <w:r w:rsidRPr="00591F90">
              <w:rPr>
                <w:color w:val="008000"/>
                <w:lang w:val="en-US"/>
              </w:rPr>
              <w:t>•</w:t>
            </w:r>
            <w:r>
              <w:rPr>
                <w:lang w:val="en-US"/>
              </w:rPr>
              <w:tab/>
            </w:r>
            <w:r w:rsidRPr="00591F90">
              <w:rPr>
                <w:lang w:val="en-US"/>
              </w:rPr>
              <w:t>Seminar, workshop, or group discussion</w:t>
            </w:r>
          </w:p>
          <w:p w:rsidR="00591F90" w:rsidRPr="003950B6" w:rsidRDefault="00591F90" w:rsidP="00591F90">
            <w:pPr>
              <w:pStyle w:val="HIPTabletext"/>
              <w:rPr>
                <w:lang w:val="en-US"/>
              </w:rPr>
            </w:pPr>
            <w:r w:rsidRPr="003950B6">
              <w:rPr>
                <w:lang w:val="en-US"/>
              </w:rPr>
              <w:t>Electronically publications (e-mail, Internet, websites</w:t>
            </w:r>
            <w:r>
              <w:rPr>
                <w:lang w:val="en-US"/>
              </w:rPr>
              <w:t>)</w:t>
            </w:r>
          </w:p>
        </w:tc>
      </w:tr>
    </w:tbl>
    <w:p w:rsidR="00591F90" w:rsidRPr="008410F0" w:rsidRDefault="0088668E" w:rsidP="0088668E">
      <w:pPr>
        <w:pStyle w:val="HIPHeading2"/>
      </w:pPr>
      <w:bookmarkStart w:id="480" w:name="_Toc284598043"/>
      <w:bookmarkStart w:id="481" w:name="_Toc286145008"/>
      <w:r>
        <w:lastRenderedPageBreak/>
        <w:t>4.</w:t>
      </w:r>
      <w:r w:rsidR="00591F90">
        <w:t>5</w:t>
      </w:r>
      <w:r w:rsidR="00591F90">
        <w:tab/>
        <w:t>Implementation</w:t>
      </w:r>
      <w:bookmarkEnd w:id="480"/>
      <w:bookmarkEnd w:id="481"/>
      <w:r w:rsidR="00591F90">
        <w:t xml:space="preserve"> </w:t>
      </w:r>
    </w:p>
    <w:p w:rsidR="00591F90" w:rsidRPr="007D0CDF" w:rsidRDefault="00591F90" w:rsidP="00591F90">
      <w:pPr>
        <w:pStyle w:val="HIPNormal"/>
        <w:rPr>
          <w:lang w:val="en-US"/>
        </w:rPr>
      </w:pPr>
      <w:r w:rsidRPr="007D0CDF">
        <w:rPr>
          <w:lang w:val="en-US"/>
        </w:rPr>
        <w:t xml:space="preserve">Disseminating evaluation results does not ensure </w:t>
      </w:r>
      <w:r>
        <w:rPr>
          <w:lang w:val="en-US"/>
        </w:rPr>
        <w:t xml:space="preserve">that </w:t>
      </w:r>
      <w:r>
        <w:rPr>
          <w:rFonts w:hint="eastAsia"/>
          <w:lang w:val="en-US"/>
        </w:rPr>
        <w:t>recommendations</w:t>
      </w:r>
      <w:r>
        <w:rPr>
          <w:lang w:val="en-US"/>
        </w:rPr>
        <w:t xml:space="preserve"> will be implemented, now does it guarantee that </w:t>
      </w:r>
      <w:r w:rsidRPr="007D0CDF">
        <w:rPr>
          <w:lang w:val="en-US"/>
        </w:rPr>
        <w:t>lessons learned</w:t>
      </w:r>
      <w:r>
        <w:rPr>
          <w:lang w:val="en-US"/>
        </w:rPr>
        <w:t xml:space="preserve"> will be followed</w:t>
      </w:r>
      <w:r w:rsidRPr="007D0CDF">
        <w:rPr>
          <w:lang w:val="en-US"/>
        </w:rPr>
        <w:t>.</w:t>
      </w:r>
      <w:r>
        <w:rPr>
          <w:lang w:val="en-US"/>
        </w:rPr>
        <w:t xml:space="preserve"> It is important to </w:t>
      </w:r>
      <w:r>
        <w:rPr>
          <w:rFonts w:hint="eastAsia"/>
          <w:lang w:val="en-US"/>
        </w:rPr>
        <w:t>understand</w:t>
      </w:r>
      <w:r>
        <w:rPr>
          <w:lang w:val="en-US"/>
        </w:rPr>
        <w:t xml:space="preserve"> the important role of Funds in pro-actively following </w:t>
      </w:r>
      <w:r w:rsidRPr="007D0CDF">
        <w:rPr>
          <w:lang w:val="en-US"/>
        </w:rPr>
        <w:t xml:space="preserve">up </w:t>
      </w:r>
      <w:r>
        <w:rPr>
          <w:lang w:val="en-US"/>
        </w:rPr>
        <w:t>in order to ensure incroportation of r</w:t>
      </w:r>
      <w:r w:rsidRPr="007D0CDF">
        <w:rPr>
          <w:lang w:val="en-US"/>
        </w:rPr>
        <w:t>ecommendations</w:t>
      </w:r>
      <w:r>
        <w:rPr>
          <w:lang w:val="en-US"/>
        </w:rPr>
        <w:t xml:space="preserve">, or of </w:t>
      </w:r>
      <w:r w:rsidRPr="007D0CDF">
        <w:rPr>
          <w:lang w:val="en-US"/>
        </w:rPr>
        <w:t xml:space="preserve">lessons learned in future decision-making processes such as the </w:t>
      </w:r>
      <w:r>
        <w:rPr>
          <w:lang w:val="en-US"/>
        </w:rPr>
        <w:t xml:space="preserve">design and </w:t>
      </w:r>
      <w:r w:rsidRPr="007D0CDF">
        <w:rPr>
          <w:lang w:val="en-US"/>
        </w:rPr>
        <w:t>development of a new programme</w:t>
      </w:r>
      <w:r>
        <w:rPr>
          <w:lang w:val="en-US"/>
        </w:rPr>
        <w:t xml:space="preserve"> or project, or the allocation of funds</w:t>
      </w:r>
      <w:r w:rsidRPr="007D0CDF">
        <w:rPr>
          <w:lang w:val="en-US"/>
        </w:rPr>
        <w:t>.</w:t>
      </w:r>
      <w:r w:rsidR="005E5682">
        <w:rPr>
          <w:lang w:val="en-US"/>
        </w:rPr>
        <w:t xml:space="preserve"> </w:t>
      </w:r>
      <w:r>
        <w:rPr>
          <w:lang w:val="en-US"/>
        </w:rPr>
        <w:t xml:space="preserve">Once a project has been evaluated, </w:t>
      </w:r>
      <w:r w:rsidRPr="007D0CDF">
        <w:rPr>
          <w:lang w:val="en-US"/>
        </w:rPr>
        <w:t xml:space="preserve">it is good practice </w:t>
      </w:r>
      <w:r>
        <w:rPr>
          <w:lang w:val="en-US"/>
        </w:rPr>
        <w:t>for the Fund</w:t>
      </w:r>
      <w:r w:rsidRPr="007D0CDF">
        <w:rPr>
          <w:lang w:val="en-US"/>
        </w:rPr>
        <w:t xml:space="preserve"> to establish an implementation plan based on the recommendations with a timetable and identification of parties responsible for follow-up actions</w:t>
      </w:r>
      <w:r>
        <w:rPr>
          <w:lang w:val="en-US"/>
        </w:rPr>
        <w:t>.</w:t>
      </w:r>
      <w:r w:rsidRPr="007D0CDF">
        <w:rPr>
          <w:lang w:val="en-US"/>
        </w:rPr>
        <w:t xml:space="preserve"> </w:t>
      </w:r>
    </w:p>
    <w:p w:rsidR="00591F90" w:rsidRPr="0094088C" w:rsidRDefault="0088668E" w:rsidP="0088668E">
      <w:pPr>
        <w:pStyle w:val="HIPBoxquestion"/>
      </w:pPr>
      <w:bookmarkStart w:id="482" w:name="_Toc286146373"/>
      <w:r>
        <w:t xml:space="preserve">Box 4.1: </w:t>
      </w:r>
      <w:r w:rsidR="00591F90" w:rsidRPr="0094088C">
        <w:t>Samples/References</w:t>
      </w:r>
      <w:bookmarkEnd w:id="482"/>
    </w:p>
    <w:p w:rsidR="00591F90" w:rsidRPr="0094088C" w:rsidRDefault="00591F90" w:rsidP="0088668E">
      <w:pPr>
        <w:pStyle w:val="HIPBoxNormal"/>
        <w:jc w:val="left"/>
      </w:pPr>
      <w:r w:rsidRPr="0094088C">
        <w:t>Ten Steps to a Results Based Monitoring and Evaluation System (World Bank)</w:t>
      </w:r>
      <w:r w:rsidR="005E5682">
        <w:t xml:space="preserve"> – </w:t>
      </w:r>
      <w:hyperlink r:id="rId107" w:history="1">
        <w:r w:rsidRPr="007B1A5B">
          <w:rPr>
            <w:rStyle w:val="Hyperlink"/>
          </w:rPr>
          <w:t>www.oecd.org/dataoecd/23/27/35281194.pdf</w:t>
        </w:r>
      </w:hyperlink>
      <w:r>
        <w:t xml:space="preserve"> </w:t>
      </w:r>
    </w:p>
    <w:p w:rsidR="00591F90" w:rsidRPr="0094088C" w:rsidRDefault="00591F90" w:rsidP="00A72D2A">
      <w:pPr>
        <w:rPr>
          <w:lang w:val="en-US"/>
        </w:rPr>
      </w:pPr>
    </w:p>
    <w:p w:rsidR="005B59F7" w:rsidRDefault="005B59F7" w:rsidP="008978A2">
      <w:pPr>
        <w:pStyle w:val="HIPNormal"/>
        <w:rPr>
          <w:lang w:val="en-US"/>
        </w:rPr>
      </w:pPr>
    </w:p>
    <w:p w:rsidR="00591F90" w:rsidRDefault="00591F90" w:rsidP="008978A2">
      <w:pPr>
        <w:pStyle w:val="HIPNormal"/>
        <w:rPr>
          <w:lang w:val="en-US"/>
        </w:rPr>
      </w:pPr>
    </w:p>
    <w:p w:rsidR="00591F90" w:rsidRDefault="00591F90" w:rsidP="00591F90">
      <w:pPr>
        <w:pStyle w:val="HIPNormal"/>
        <w:rPr>
          <w:lang w:val="en-US"/>
        </w:rPr>
        <w:sectPr w:rsidR="00591F90" w:rsidSect="008978A2">
          <w:headerReference w:type="even" r:id="rId108"/>
          <w:headerReference w:type="default" r:id="rId109"/>
          <w:footerReference w:type="even" r:id="rId110"/>
          <w:footerReference w:type="default" r:id="rId111"/>
          <w:headerReference w:type="first" r:id="rId112"/>
          <w:footerReference w:type="first" r:id="rId113"/>
          <w:type w:val="oddPage"/>
          <w:pgSz w:w="11907" w:h="16840" w:code="9"/>
          <w:pgMar w:top="1701" w:right="1418" w:bottom="1418" w:left="1418" w:header="720" w:footer="720" w:gutter="0"/>
          <w:cols w:space="720"/>
          <w:titlePg/>
        </w:sectPr>
      </w:pPr>
    </w:p>
    <w:p w:rsidR="00591F90" w:rsidRPr="003D2DD5" w:rsidRDefault="00591F90" w:rsidP="00591F90">
      <w:pPr>
        <w:pStyle w:val="HIPNormal"/>
        <w:rPr>
          <w:lang w:val="en-US"/>
        </w:rPr>
      </w:pPr>
    </w:p>
    <w:p w:rsidR="00591F90" w:rsidRDefault="00591F90" w:rsidP="00591F90">
      <w:pPr>
        <w:pStyle w:val="HIPNormal"/>
        <w:rPr>
          <w:lang w:val="en-US"/>
        </w:rPr>
      </w:pPr>
    </w:p>
    <w:p w:rsidR="00591F90" w:rsidRDefault="00591F90" w:rsidP="00591F90">
      <w:pPr>
        <w:pStyle w:val="HIPNormal"/>
        <w:rPr>
          <w:lang w:val="en-US"/>
        </w:rPr>
      </w:pPr>
    </w:p>
    <w:p w:rsidR="00591F90" w:rsidRPr="00A11AC1" w:rsidRDefault="00591F90" w:rsidP="00591F90">
      <w:pPr>
        <w:pStyle w:val="HIPNormal"/>
        <w:rPr>
          <w:lang w:val="en-US"/>
        </w:rPr>
      </w:pPr>
    </w:p>
    <w:p w:rsidR="00591F90" w:rsidRPr="00A11AC1" w:rsidRDefault="00591F90" w:rsidP="00591F90">
      <w:pPr>
        <w:pStyle w:val="HIPNormal"/>
        <w:rPr>
          <w:lang w:val="en-US"/>
        </w:rPr>
      </w:pPr>
    </w:p>
    <w:p w:rsidR="00591F90" w:rsidRPr="00A11AC1" w:rsidRDefault="00591F90" w:rsidP="00591F90">
      <w:pPr>
        <w:pStyle w:val="HIPNormal"/>
        <w:rPr>
          <w:lang w:val="en-US"/>
        </w:rPr>
      </w:pPr>
    </w:p>
    <w:p w:rsidR="00591F90" w:rsidRDefault="00591F90" w:rsidP="00591F90">
      <w:pPr>
        <w:pStyle w:val="HIPChaptReportTitle"/>
        <w:numPr>
          <w:ilvl w:val="0"/>
          <w:numId w:val="0"/>
        </w:numPr>
        <w:rPr>
          <w:lang w:val="en-US"/>
        </w:rPr>
      </w:pPr>
      <w:bookmarkStart w:id="483" w:name="_Toc286145009"/>
      <w:r>
        <w:rPr>
          <w:lang w:val="en-US"/>
        </w:rPr>
        <w:t>Part 5</w:t>
      </w:r>
      <w:bookmarkEnd w:id="483"/>
    </w:p>
    <w:p w:rsidR="00591F90" w:rsidRPr="0059419C" w:rsidRDefault="00591F90" w:rsidP="00591F90">
      <w:pPr>
        <w:pStyle w:val="HIPNormal"/>
        <w:rPr>
          <w:lang w:val="en-US"/>
        </w:rPr>
      </w:pPr>
    </w:p>
    <w:p w:rsidR="00591F90" w:rsidRPr="0059419C" w:rsidRDefault="00591F90" w:rsidP="00F87B47">
      <w:pPr>
        <w:pStyle w:val="HIPChaptReportTitle"/>
        <w:numPr>
          <w:ilvl w:val="0"/>
          <w:numId w:val="0"/>
        </w:numPr>
        <w:rPr>
          <w:lang w:val="en-US"/>
        </w:rPr>
      </w:pPr>
      <w:bookmarkStart w:id="484" w:name="_Toc286145010"/>
      <w:r w:rsidRPr="00591F90">
        <w:rPr>
          <w:lang w:val="en-US"/>
        </w:rPr>
        <w:t>REGIONAL HARMON</w:t>
      </w:r>
      <w:r w:rsidR="00F87B47">
        <w:rPr>
          <w:lang w:val="en-US"/>
        </w:rPr>
        <w:t>I</w:t>
      </w:r>
      <w:r w:rsidRPr="00591F90">
        <w:rPr>
          <w:lang w:val="en-US"/>
        </w:rPr>
        <w:t xml:space="preserve">SATION, </w:t>
      </w:r>
      <w:r>
        <w:rPr>
          <w:lang w:val="en-US"/>
        </w:rPr>
        <w:br/>
      </w:r>
      <w:r w:rsidRPr="00591F90">
        <w:rPr>
          <w:lang w:val="en-US"/>
        </w:rPr>
        <w:t>THE ROLE OF CRASA</w:t>
      </w:r>
      <w:bookmarkEnd w:id="484"/>
    </w:p>
    <w:p w:rsidR="00591F90" w:rsidRPr="0059419C" w:rsidRDefault="00591F90" w:rsidP="00591F90">
      <w:pPr>
        <w:pStyle w:val="HIPNormal"/>
        <w:tabs>
          <w:tab w:val="left" w:pos="5055"/>
        </w:tabs>
        <w:rPr>
          <w:lang w:val="en-US"/>
        </w:rPr>
      </w:pPr>
    </w:p>
    <w:p w:rsidR="00591F90" w:rsidRDefault="00591F90" w:rsidP="00591F90">
      <w:pPr>
        <w:pStyle w:val="HIPNormal"/>
        <w:rPr>
          <w:lang w:val="en-US"/>
        </w:rPr>
      </w:pPr>
    </w:p>
    <w:p w:rsidR="00591F90" w:rsidRDefault="00591F90" w:rsidP="00591F90">
      <w:pPr>
        <w:pStyle w:val="HIPNormal"/>
        <w:rPr>
          <w:lang w:val="en-US"/>
        </w:rPr>
        <w:sectPr w:rsidR="00591F90" w:rsidSect="008978A2">
          <w:headerReference w:type="even" r:id="rId114"/>
          <w:headerReference w:type="default" r:id="rId115"/>
          <w:footerReference w:type="even" r:id="rId116"/>
          <w:footerReference w:type="default" r:id="rId117"/>
          <w:headerReference w:type="first" r:id="rId118"/>
          <w:footerReference w:type="first" r:id="rId119"/>
          <w:type w:val="oddPage"/>
          <w:pgSz w:w="11907" w:h="16840" w:code="9"/>
          <w:pgMar w:top="1701" w:right="1418" w:bottom="1418" w:left="1418" w:header="720" w:footer="720" w:gutter="0"/>
          <w:cols w:space="720"/>
          <w:titlePg/>
        </w:sectPr>
      </w:pPr>
    </w:p>
    <w:p w:rsidR="00591F90" w:rsidRDefault="0088668E" w:rsidP="0088668E">
      <w:pPr>
        <w:pStyle w:val="HIPHeading2"/>
      </w:pPr>
      <w:bookmarkStart w:id="485" w:name="_Toc284598045"/>
      <w:bookmarkStart w:id="486" w:name="_Toc286145011"/>
      <w:r>
        <w:lastRenderedPageBreak/>
        <w:t>5.</w:t>
      </w:r>
      <w:r w:rsidR="00591F90">
        <w:t>1</w:t>
      </w:r>
      <w:r w:rsidR="00591F90">
        <w:tab/>
        <w:t>Harmonisation and Regional Integrations</w:t>
      </w:r>
      <w:bookmarkEnd w:id="485"/>
      <w:bookmarkEnd w:id="486"/>
    </w:p>
    <w:p w:rsidR="00591F90" w:rsidRDefault="00591F90" w:rsidP="00591F90">
      <w:pPr>
        <w:pStyle w:val="HIPNormal"/>
        <w:rPr>
          <w:lang w:val="en-US"/>
        </w:rPr>
      </w:pPr>
      <w:r w:rsidRPr="007D0CDF">
        <w:rPr>
          <w:lang w:val="en-US"/>
        </w:rPr>
        <w:t xml:space="preserve">CRASA has a critical role to play in the SADC ICT sector in promoting the harmonization of universal service and access regimes. Annual reports requested from members request high level information on universal access policy frameworks, </w:t>
      </w:r>
      <w:r>
        <w:rPr>
          <w:lang w:val="en-US"/>
        </w:rPr>
        <w:t>F</w:t>
      </w:r>
      <w:r w:rsidRPr="007D0CDF">
        <w:rPr>
          <w:lang w:val="en-US"/>
        </w:rPr>
        <w:t>und management and project implementation.</w:t>
      </w:r>
      <w:r w:rsidR="005E5682">
        <w:rPr>
          <w:lang w:val="en-US"/>
        </w:rPr>
        <w:t xml:space="preserve"> </w:t>
      </w:r>
      <w:r w:rsidRPr="007D0CDF">
        <w:rPr>
          <w:lang w:val="en-US"/>
        </w:rPr>
        <w:t>In conducting the research and analysis regarding USAFs in the SADC region, it became clear that although Member States are engaged in various activities which seek to facilitate universal access, and in some cases universal service, these initiatives are not documented in a consistent manner across countries.</w:t>
      </w:r>
    </w:p>
    <w:p w:rsidR="00591F90" w:rsidRPr="00D4445C" w:rsidRDefault="00591F90" w:rsidP="00591F90">
      <w:pPr>
        <w:pStyle w:val="HIPNormal"/>
        <w:rPr>
          <w:lang w:val="en-US"/>
        </w:rPr>
      </w:pPr>
      <w:r w:rsidRPr="007D0CDF">
        <w:rPr>
          <w:lang w:val="en-US"/>
        </w:rPr>
        <w:t xml:space="preserve">In addition, an interesting observation is the impact of the formation of an association of universal access funds with the support of the CTO. This provides a </w:t>
      </w:r>
      <w:r w:rsidRPr="00D4445C">
        <w:rPr>
          <w:lang w:val="en-US"/>
        </w:rPr>
        <w:t>forum for those funds, namely South Africa’s USAASA, Tanzania’s UCAF and Mauritius’ ICTA, that may not be members of CRASA as they do not fit within a regulatory body to meet and exchange experiences. It is important that there is close collaboration between CRASA and this organization to avoid gaps in knowledge exchange, the sharing of experience and documentation and to promote regional harmonization.</w:t>
      </w:r>
    </w:p>
    <w:p w:rsidR="00591F90" w:rsidRPr="00E443C5" w:rsidRDefault="00591F90" w:rsidP="0088668E">
      <w:pPr>
        <w:pStyle w:val="HIPTabletitle"/>
      </w:pPr>
      <w:bookmarkStart w:id="487" w:name="_Toc286146575"/>
      <w:r w:rsidRPr="00E443C5">
        <w:t xml:space="preserve">Table </w:t>
      </w:r>
      <w:r w:rsidR="0088668E">
        <w:t>5.1</w:t>
      </w:r>
      <w:r>
        <w:t>: AUSAFA</w:t>
      </w:r>
      <w:r w:rsidR="005E5682">
        <w:t xml:space="preserve"> – </w:t>
      </w:r>
      <w:r>
        <w:t>African Funds' Association</w:t>
      </w:r>
      <w:r>
        <w:rPr>
          <w:rStyle w:val="FootnoteReference"/>
        </w:rPr>
        <w:footnoteReference w:id="91"/>
      </w:r>
      <w:bookmarkEnd w:id="4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tblPr>
      <w:tblGrid>
        <w:gridCol w:w="9287"/>
      </w:tblGrid>
      <w:tr w:rsidR="00591F90" w:rsidRPr="00A3379B" w:rsidTr="00A72D2A">
        <w:tc>
          <w:tcPr>
            <w:tcW w:w="9287" w:type="dxa"/>
            <w:shd w:val="clear" w:color="auto" w:fill="EAF1DD"/>
          </w:tcPr>
          <w:p w:rsidR="00591F90" w:rsidRPr="007D2842" w:rsidRDefault="00591F90" w:rsidP="00591F90">
            <w:pPr>
              <w:pStyle w:val="HIPTabletext"/>
              <w:rPr>
                <w:rFonts w:ascii="Times New Roman" w:hAnsi="Times New Roman"/>
                <w:lang w:val="en-US"/>
              </w:rPr>
            </w:pPr>
            <w:r w:rsidRPr="007D2842">
              <w:rPr>
                <w:lang w:val="en-US"/>
              </w:rPr>
              <w:t>The African Universal Service and Access Fund Association, established in 2008, aims to help African Universal Service and Access Funds to fulfill their collective mission to improve rural ICT access. The association is a platform for members to collaborate, share knowledge and pool resources.</w:t>
            </w:r>
          </w:p>
          <w:p w:rsidR="00591F90" w:rsidRPr="007D2842" w:rsidRDefault="00591F90" w:rsidP="00591F90">
            <w:pPr>
              <w:pStyle w:val="HIPTabletext"/>
              <w:rPr>
                <w:lang w:val="en-US"/>
              </w:rPr>
            </w:pPr>
            <w:r w:rsidRPr="007D2842">
              <w:rPr>
                <w:lang w:val="en-US"/>
              </w:rPr>
              <w:t>AUSAFA was established in Lilongwe, Malawi when representatives of 12 USAFs issued a Declaration, adopted the Constitution and elected the office bearers.</w:t>
            </w:r>
            <w:r w:rsidR="005E5682">
              <w:rPr>
                <w:lang w:val="en-US"/>
              </w:rPr>
              <w:t xml:space="preserve"> </w:t>
            </w:r>
            <w:r w:rsidRPr="007D2842">
              <w:rPr>
                <w:lang w:val="en-US"/>
              </w:rPr>
              <w:t>All USAFs promote rural connectivity through developing, funding and supporting appropriate projects. There are numerous examples of USAF success stories in Africa and Latin America; but they are rarely told. AUSAFA collects and disseminates information about these rural connectivity projects so that they can by analysed, adapted and replicated by stakeholders around the world. As a central repository for global USAF activities, AUSAFA will formulate a set of best practices for the use of all stakeholders.</w:t>
            </w:r>
          </w:p>
          <w:p w:rsidR="00591F90" w:rsidRPr="007D2842" w:rsidRDefault="00591F90" w:rsidP="00591F90">
            <w:pPr>
              <w:pStyle w:val="HIPTabletext"/>
              <w:rPr>
                <w:lang w:val="en-US"/>
              </w:rPr>
            </w:pPr>
            <w:r w:rsidRPr="007D2842">
              <w:rPr>
                <w:lang w:val="en-US"/>
              </w:rPr>
              <w:t>Due to the specialised nature of their work, USAFs have unique needs in terms of advisory and training. Many have found it difficult to meet these needs because appropriate services are not readily available, and when they are available, they are often extremely expensive.</w:t>
            </w:r>
          </w:p>
          <w:p w:rsidR="00591F90" w:rsidRPr="007D2842" w:rsidRDefault="00591F90" w:rsidP="00591F90">
            <w:pPr>
              <w:pStyle w:val="HIPTabletext"/>
              <w:rPr>
                <w:lang w:val="en-US"/>
              </w:rPr>
            </w:pPr>
            <w:r w:rsidRPr="007D2842">
              <w:rPr>
                <w:lang w:val="en-US"/>
              </w:rPr>
              <w:t>AUSAFA aims to ensure that all its actions are demand driven and is therefore gathering information related to advisory services and training as part of a needs assessment exercise. The most demanded advisory services and training will be procured by AUSAFA under a common pool. </w:t>
            </w:r>
          </w:p>
        </w:tc>
      </w:tr>
    </w:tbl>
    <w:p w:rsidR="00591F90" w:rsidRDefault="0088668E" w:rsidP="0088668E">
      <w:pPr>
        <w:pStyle w:val="HIPHeading2"/>
      </w:pPr>
      <w:bookmarkStart w:id="488" w:name="_Toc284598046"/>
      <w:bookmarkStart w:id="489" w:name="_Toc286145012"/>
      <w:r>
        <w:t>5.</w:t>
      </w:r>
      <w:r w:rsidR="00591F90">
        <w:t>2</w:t>
      </w:r>
      <w:r w:rsidR="00591F90">
        <w:tab/>
        <w:t>Lessons for CRASA</w:t>
      </w:r>
      <w:bookmarkEnd w:id="488"/>
      <w:bookmarkEnd w:id="489"/>
    </w:p>
    <w:p w:rsidR="00591F90" w:rsidRPr="007D0CDF" w:rsidRDefault="00591F90" w:rsidP="00591F90">
      <w:pPr>
        <w:pStyle w:val="HIPNormal"/>
        <w:rPr>
          <w:lang w:val="en-US"/>
        </w:rPr>
      </w:pPr>
      <w:r w:rsidRPr="007D0CDF">
        <w:rPr>
          <w:lang w:val="en-US"/>
        </w:rPr>
        <w:t>Further to the guidelines for Member States arising from this report, it is recommended that CRASA’s role with respect to the important topic of universal access policy, and specifically with regard to the management of Funds, should be aligne</w:t>
      </w:r>
      <w:r>
        <w:rPr>
          <w:lang w:val="en-US"/>
        </w:rPr>
        <w:t>d with the following guidelines:</w:t>
      </w:r>
    </w:p>
    <w:p w:rsidR="00591F90" w:rsidRPr="007D0CDF" w:rsidRDefault="00591F90" w:rsidP="00591F90">
      <w:pPr>
        <w:pStyle w:val="HIPEnumlev1"/>
      </w:pPr>
      <w:r w:rsidRPr="007D0CDF">
        <w:t xml:space="preserve">CRASA should be responsible for gathering information from Member States on </w:t>
      </w:r>
      <w:r>
        <w:t xml:space="preserve">an ongoing basis, through its Universal Access Committee, on the practices set out below. In addition to gathering information, CRASA </w:t>
      </w:r>
      <w:r>
        <w:rPr>
          <w:rFonts w:hint="eastAsia"/>
        </w:rPr>
        <w:t>should</w:t>
      </w:r>
      <w:r>
        <w:t xml:space="preserve"> analyse it and provide</w:t>
      </w:r>
      <w:r w:rsidRPr="007D0CDF">
        <w:t xml:space="preserve"> Members with best practice information and lessons learned on:</w:t>
      </w:r>
    </w:p>
    <w:p w:rsidR="00591F90" w:rsidRDefault="00591F90" w:rsidP="00591F90">
      <w:pPr>
        <w:pStyle w:val="HIPEnumlev2"/>
        <w:numPr>
          <w:ilvl w:val="0"/>
          <w:numId w:val="35"/>
        </w:numPr>
        <w:ind w:left="1276"/>
      </w:pPr>
      <w:r>
        <w:t>Universal access policies, programmes and strategies;</w:t>
      </w:r>
    </w:p>
    <w:p w:rsidR="00591F90" w:rsidRPr="00652305" w:rsidRDefault="00591F90" w:rsidP="00591F90">
      <w:pPr>
        <w:pStyle w:val="HIPEnumlev2"/>
        <w:numPr>
          <w:ilvl w:val="0"/>
          <w:numId w:val="35"/>
        </w:numPr>
        <w:ind w:left="1276"/>
      </w:pPr>
      <w:r w:rsidRPr="00652305">
        <w:t>The manner of collection of Funds,, and monies collected annually</w:t>
      </w:r>
    </w:p>
    <w:p w:rsidR="00591F90" w:rsidRPr="00652305" w:rsidRDefault="00591F90" w:rsidP="00591F90">
      <w:pPr>
        <w:pStyle w:val="HIPEnumlev2"/>
        <w:numPr>
          <w:ilvl w:val="0"/>
          <w:numId w:val="35"/>
        </w:numPr>
        <w:ind w:left="1276"/>
      </w:pPr>
      <w:r w:rsidRPr="00652305">
        <w:t>The application of Funds and levels of disbursement</w:t>
      </w:r>
    </w:p>
    <w:p w:rsidR="00591F90" w:rsidRPr="00652305" w:rsidRDefault="00591F90" w:rsidP="00591F90">
      <w:pPr>
        <w:pStyle w:val="HIPEnumlev2"/>
        <w:numPr>
          <w:ilvl w:val="0"/>
          <w:numId w:val="35"/>
        </w:numPr>
        <w:ind w:left="1276"/>
      </w:pPr>
      <w:r w:rsidRPr="00652305">
        <w:lastRenderedPageBreak/>
        <w:t>Successful projects regionally and globally, including key issues on technology, policy frameworks, bidding processes, and other aspects of project design</w:t>
      </w:r>
    </w:p>
    <w:p w:rsidR="00591F90" w:rsidRPr="00652305" w:rsidRDefault="00591F90" w:rsidP="00591F90">
      <w:pPr>
        <w:pStyle w:val="HIPEnumlev2"/>
        <w:numPr>
          <w:ilvl w:val="0"/>
          <w:numId w:val="35"/>
        </w:numPr>
        <w:ind w:left="1276"/>
      </w:pPr>
      <w:r w:rsidRPr="00652305">
        <w:t xml:space="preserve">New universal access models based on innovations globally and regionally in the areas on technology, finance, licensing and bidding processes, and project design </w:t>
      </w:r>
    </w:p>
    <w:p w:rsidR="00591F90" w:rsidRPr="00652305" w:rsidRDefault="00591F90" w:rsidP="00591F90">
      <w:pPr>
        <w:pStyle w:val="HIPEnumlev2"/>
        <w:numPr>
          <w:ilvl w:val="0"/>
          <w:numId w:val="35"/>
        </w:numPr>
        <w:ind w:left="1276"/>
      </w:pPr>
      <w:r w:rsidRPr="00652305">
        <w:t>Partnerships that may be replicated across the region</w:t>
      </w:r>
    </w:p>
    <w:p w:rsidR="00591F90" w:rsidRDefault="00591F90" w:rsidP="00591F90">
      <w:pPr>
        <w:pStyle w:val="HIPEnumlev1"/>
      </w:pPr>
      <w:r w:rsidRPr="007D0CDF">
        <w:t>CRASA should ensure that there is adequate training available for Member States to generally promote universal access policies, but specifically provide capacity building on fund management , project design and monitoring and evaluation;</w:t>
      </w:r>
    </w:p>
    <w:p w:rsidR="00591F90" w:rsidRDefault="00591F90" w:rsidP="00591F90">
      <w:pPr>
        <w:pStyle w:val="HIPEnumlev1"/>
      </w:pPr>
      <w:r w:rsidRPr="00E443C5">
        <w:t>CRASA should compile annual statistics and indicators to assist the 14 members to measure the success or otherwise of the Funds;</w:t>
      </w:r>
    </w:p>
    <w:p w:rsidR="00591F90" w:rsidRPr="00E443C5" w:rsidRDefault="00591F90" w:rsidP="00591F90">
      <w:pPr>
        <w:pStyle w:val="HIPEnumlev1"/>
      </w:pPr>
      <w:r w:rsidRPr="00E443C5">
        <w:t>CRASA should work in consultation with the USAF Forum to promote collaboration and regional harmonization with respect to fund management.</w:t>
      </w:r>
    </w:p>
    <w:p w:rsidR="00591F90" w:rsidRPr="003D2DD5" w:rsidRDefault="00591F90" w:rsidP="00591F90">
      <w:pPr>
        <w:pStyle w:val="HIPNormal"/>
        <w:rPr>
          <w:lang w:val="en-US"/>
        </w:rPr>
      </w:pPr>
    </w:p>
    <w:p w:rsidR="008978A2" w:rsidRPr="003D2DD5" w:rsidRDefault="008978A2" w:rsidP="008978A2">
      <w:pPr>
        <w:pStyle w:val="HIPNormal"/>
        <w:rPr>
          <w:lang w:val="en-US"/>
        </w:rPr>
      </w:pPr>
    </w:p>
    <w:p w:rsidR="00DE524F" w:rsidRPr="003000B4" w:rsidRDefault="00DE524F" w:rsidP="00591F90">
      <w:pPr>
        <w:pStyle w:val="HIPProjectTitle"/>
        <w:rPr>
          <w:lang w:val="en-US"/>
        </w:rPr>
      </w:pPr>
    </w:p>
    <w:sectPr w:rsidR="00DE524F" w:rsidRPr="003000B4" w:rsidSect="00023929">
      <w:headerReference w:type="even" r:id="rId120"/>
      <w:headerReference w:type="default" r:id="rId121"/>
      <w:footerReference w:type="even" r:id="rId122"/>
      <w:footerReference w:type="default" r:id="rId123"/>
      <w:headerReference w:type="first" r:id="rId124"/>
      <w:footerReference w:type="first" r:id="rId125"/>
      <w:type w:val="oddPage"/>
      <w:pgSz w:w="11907" w:h="16840" w:code="9"/>
      <w:pgMar w:top="1701" w:right="1418" w:bottom="1418" w:left="1418"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70CE" w:rsidRDefault="001370CE">
      <w:r>
        <w:separator/>
      </w:r>
    </w:p>
    <w:p w:rsidR="001370CE" w:rsidRDefault="001370CE"/>
    <w:p w:rsidR="001370CE" w:rsidRDefault="001370CE"/>
    <w:p w:rsidR="001370CE" w:rsidRDefault="001370CE"/>
  </w:endnote>
  <w:endnote w:type="continuationSeparator" w:id="0">
    <w:p w:rsidR="001370CE" w:rsidRDefault="001370CE">
      <w:r>
        <w:continuationSeparator/>
      </w:r>
    </w:p>
    <w:p w:rsidR="001370CE" w:rsidRDefault="001370CE"/>
    <w:p w:rsidR="001370CE" w:rsidRDefault="001370CE"/>
    <w:p w:rsidR="001370CE" w:rsidRDefault="001370CE"/>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embedRegular r:id="rId1" w:subsetted="1" w:fontKey="{93851A88-2A58-44BB-B914-F2AE928D43B5}"/>
  </w:font>
  <w:font w:name="Helvetica-Narrow">
    <w:panose1 w:val="00000000000000000000"/>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Zurich UBlkEx BT">
    <w:altName w:val="MS PGothic"/>
    <w:charset w:val="00"/>
    <w:family w:val="swiss"/>
    <w:pitch w:val="variable"/>
    <w:sig w:usb0="00000001" w:usb1="00000000" w:usb2="00000000" w:usb3="00000000" w:csb0="0000001B" w:csb1="00000000"/>
  </w:font>
  <w:font w:name="Helvetica 55 Roman">
    <w:altName w:val="Arial"/>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Zurich BdXCn BT">
    <w:altName w:val="Impact"/>
    <w:charset w:val="00"/>
    <w:family w:val="swiss"/>
    <w:pitch w:val="variable"/>
    <w:sig w:usb0="00000001" w:usb1="00000000" w:usb2="00000000" w:usb3="00000000" w:csb0="0000001B" w:csb1="00000000"/>
  </w:font>
  <w:font w:name="Zurich BT">
    <w:altName w:val="Trebuchet MS"/>
    <w:charset w:val="00"/>
    <w:family w:val="swiss"/>
    <w:pitch w:val="variable"/>
    <w:sig w:usb0="00000001" w:usb1="00000000"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170" w:rsidRPr="005965AD" w:rsidRDefault="006A6170" w:rsidP="002F09C9">
    <w:pPr>
      <w:pStyle w:val="HIPFooter"/>
    </w:pPr>
    <w:r>
      <w:tab/>
    </w:r>
    <w:r>
      <w:tab/>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B47" w:rsidRPr="00BC1EC4" w:rsidRDefault="00F87B47" w:rsidP="00F87B47">
    <w:pPr>
      <w:pStyle w:val="HIPFooter"/>
      <w:tabs>
        <w:tab w:val="right" w:pos="9071"/>
      </w:tabs>
    </w:pPr>
    <w:r w:rsidRPr="00BC1EC4">
      <w:rPr>
        <w:rFonts w:ascii="Zurich UBlkEx BT" w:hAnsi="Zurich UBlkEx BT"/>
        <w:b/>
        <w:bCs/>
        <w:color w:val="008000"/>
      </w:rPr>
      <w:t>&gt;</w:t>
    </w:r>
    <w:r w:rsidRPr="009E2BB9">
      <w:rPr>
        <w:rStyle w:val="HIPFooterTitleChar"/>
      </w:rPr>
      <w:t xml:space="preserve"> </w:t>
    </w:r>
    <w:r>
      <w:rPr>
        <w:rStyle w:val="HIPFooterTitleChar"/>
      </w:rPr>
      <w:t>Table of contents</w:t>
    </w:r>
    <w:r>
      <w:rPr>
        <w:rStyle w:val="HIPFooterTitleChar"/>
      </w:rPr>
      <w:tab/>
    </w:r>
    <w:fldSimple w:instr=" PAGE ">
      <w:r w:rsidR="00A3379B">
        <w:rPr>
          <w:noProof/>
        </w:rPr>
        <w:t>xix</w:t>
      </w:r>
    </w:fldSimple>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6C7" w:rsidRPr="00BC1EC4" w:rsidRDefault="00BC1EC4" w:rsidP="00BC1EC4">
    <w:pPr>
      <w:pStyle w:val="HIPFooter"/>
      <w:tabs>
        <w:tab w:val="right" w:pos="9071"/>
      </w:tabs>
    </w:pPr>
    <w:r w:rsidRPr="00BC1EC4">
      <w:rPr>
        <w:rFonts w:ascii="Zurich UBlkEx BT" w:hAnsi="Zurich UBlkEx BT"/>
        <w:b/>
        <w:bCs/>
        <w:color w:val="008000"/>
      </w:rPr>
      <w:t>&gt;</w:t>
    </w:r>
    <w:r w:rsidRPr="009E2BB9">
      <w:rPr>
        <w:rStyle w:val="HIPFooterTitleChar"/>
      </w:rPr>
      <w:t xml:space="preserve"> </w:t>
    </w:r>
    <w:r>
      <w:rPr>
        <w:rStyle w:val="HIPFooterTitleChar"/>
      </w:rPr>
      <w:t>Table of contents</w:t>
    </w:r>
    <w:r>
      <w:rPr>
        <w:rStyle w:val="HIPFooterTitleChar"/>
      </w:rPr>
      <w:tab/>
    </w:r>
    <w:fldSimple w:instr=" PAGE ">
      <w:r w:rsidR="00A3379B">
        <w:rPr>
          <w:noProof/>
        </w:rPr>
        <w:t>xv</w:t>
      </w:r>
    </w:fldSimple>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EC4" w:rsidRPr="00BC1EC4" w:rsidRDefault="00BC1EC4" w:rsidP="00F87B47">
    <w:pPr>
      <w:pStyle w:val="HIPFooter"/>
      <w:tabs>
        <w:tab w:val="right" w:pos="9071"/>
      </w:tabs>
    </w:pPr>
    <w:r w:rsidRPr="00BC1EC4">
      <w:rPr>
        <w:rFonts w:ascii="Zurich UBlkEx BT" w:hAnsi="Zurich UBlkEx BT"/>
        <w:b/>
        <w:bCs/>
        <w:color w:val="008000"/>
      </w:rPr>
      <w:t>&gt;</w:t>
    </w:r>
    <w:r w:rsidRPr="009E2BB9">
      <w:rPr>
        <w:rStyle w:val="HIPFooterTitleChar"/>
      </w:rPr>
      <w:t xml:space="preserve"> </w:t>
    </w:r>
    <w:r>
      <w:rPr>
        <w:rStyle w:val="HIPFooterTitleChar"/>
      </w:rPr>
      <w:t>Part 1</w:t>
    </w:r>
    <w:r w:rsidR="00F87B47">
      <w:rPr>
        <w:rStyle w:val="HIPFooterTitleChar"/>
      </w:rPr>
      <w:t xml:space="preserve"> – </w:t>
    </w:r>
    <w:r w:rsidR="00F87B47" w:rsidRPr="00F87B47">
      <w:t>UNDERSTANDING FUNDS AND UNIVERSAL ACCESS FINANCING</w:t>
    </w:r>
    <w:r>
      <w:rPr>
        <w:rStyle w:val="HIPFooterTitleChar"/>
      </w:rPr>
      <w:tab/>
    </w:r>
    <w:fldSimple w:instr=" PAGE ">
      <w:r w:rsidR="00A3379B">
        <w:rPr>
          <w:noProof/>
        </w:rPr>
        <w:t>1</w:t>
      </w:r>
    </w:fldSimple>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919" w:rsidRPr="009E2BB9" w:rsidRDefault="000816B7" w:rsidP="00F87B47">
    <w:pPr>
      <w:pStyle w:val="HIPFooterTitle"/>
      <w:tabs>
        <w:tab w:val="right" w:pos="9071"/>
      </w:tabs>
    </w:pPr>
    <w:fldSimple w:instr=" PAGE ">
      <w:r w:rsidR="00A3379B">
        <w:rPr>
          <w:noProof/>
        </w:rPr>
        <w:t>10</w:t>
      </w:r>
    </w:fldSimple>
    <w:r w:rsidR="00FF6919" w:rsidRPr="009E2BB9">
      <w:tab/>
    </w:r>
    <w:r w:rsidR="00FF6919" w:rsidRPr="009E2BB9">
      <w:tab/>
    </w:r>
    <w:r w:rsidR="00FF6919" w:rsidRPr="002F09C9">
      <w:rPr>
        <w:rFonts w:ascii="Zurich UBlkEx BT" w:hAnsi="Zurich UBlkEx BT"/>
        <w:b/>
        <w:bCs/>
        <w:color w:val="008000"/>
      </w:rPr>
      <w:t>&gt;</w:t>
    </w:r>
    <w:r w:rsidR="00FF6919">
      <w:t xml:space="preserve"> </w:t>
    </w:r>
    <w:r w:rsidR="00F87B47">
      <w:rPr>
        <w:rStyle w:val="HIPFooterTitleChar"/>
      </w:rPr>
      <w:t xml:space="preserve">Part 1 – </w:t>
    </w:r>
    <w:r w:rsidR="00F87B47" w:rsidRPr="00F87B47">
      <w:t>UNDERSTANDING FUNDS AND UNIVERSAL ACCESS FINANCING</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8A2" w:rsidRPr="008978A2" w:rsidRDefault="008978A2" w:rsidP="00F87B47">
    <w:pPr>
      <w:pStyle w:val="HIPFooter"/>
      <w:tabs>
        <w:tab w:val="right" w:pos="9071"/>
      </w:tabs>
    </w:pPr>
    <w:r w:rsidRPr="00BC1EC4">
      <w:rPr>
        <w:rFonts w:ascii="Zurich UBlkEx BT" w:hAnsi="Zurich UBlkEx BT"/>
        <w:b/>
        <w:bCs/>
        <w:color w:val="008000"/>
      </w:rPr>
      <w:t>&gt;</w:t>
    </w:r>
    <w:r w:rsidRPr="009E2BB9">
      <w:rPr>
        <w:rStyle w:val="HIPFooterTitleChar"/>
      </w:rPr>
      <w:t xml:space="preserve"> </w:t>
    </w:r>
    <w:r w:rsidR="00F87B47">
      <w:rPr>
        <w:rStyle w:val="HIPFooterTitleChar"/>
      </w:rPr>
      <w:t xml:space="preserve">Part 1 – </w:t>
    </w:r>
    <w:r w:rsidR="00F87B47" w:rsidRPr="00F87B47">
      <w:t>UNDERSTANDING FUNDS AND UNIVERSAL ACCESS FINANCING</w:t>
    </w:r>
    <w:r>
      <w:rPr>
        <w:rStyle w:val="HIPFooterTitleChar"/>
      </w:rPr>
      <w:tab/>
    </w:r>
    <w:fldSimple w:instr=" PAGE ">
      <w:r w:rsidR="00A3379B">
        <w:rPr>
          <w:noProof/>
        </w:rPr>
        <w:t>9</w:t>
      </w:r>
    </w:fldSimple>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8A2" w:rsidRPr="00BC1EC4" w:rsidRDefault="008978A2" w:rsidP="00F87B47">
    <w:pPr>
      <w:pStyle w:val="HIPFooter"/>
      <w:tabs>
        <w:tab w:val="right" w:pos="9071"/>
      </w:tabs>
    </w:pPr>
    <w:r w:rsidRPr="00BC1EC4">
      <w:rPr>
        <w:rFonts w:ascii="Zurich UBlkEx BT" w:hAnsi="Zurich UBlkEx BT"/>
        <w:b/>
        <w:bCs/>
        <w:color w:val="008000"/>
      </w:rPr>
      <w:t>&gt;</w:t>
    </w:r>
    <w:r w:rsidRPr="009E2BB9">
      <w:rPr>
        <w:rStyle w:val="HIPFooterTitleChar"/>
      </w:rPr>
      <w:t xml:space="preserve"> </w:t>
    </w:r>
    <w:r w:rsidR="00F87B47">
      <w:rPr>
        <w:rStyle w:val="HIPFooterTitleChar"/>
      </w:rPr>
      <w:t xml:space="preserve">Part 1 – </w:t>
    </w:r>
    <w:r w:rsidR="00F87B47" w:rsidRPr="00F87B47">
      <w:t>UNDERSTANDING FUNDS AND UNIVERSAL ACCESS FINANCING</w:t>
    </w:r>
    <w:r w:rsidR="00932167">
      <w:tab/>
    </w:r>
    <w:fldSimple w:instr=" PAGE ">
      <w:r w:rsidR="00A3379B">
        <w:rPr>
          <w:noProof/>
        </w:rPr>
        <w:t>3</w:t>
      </w:r>
    </w:fldSimple>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8A2" w:rsidRPr="00BC1EC4" w:rsidRDefault="008978A2" w:rsidP="00F87B47">
    <w:pPr>
      <w:pStyle w:val="HIPFooter"/>
      <w:tabs>
        <w:tab w:val="right" w:pos="9071"/>
      </w:tabs>
    </w:pPr>
    <w:r w:rsidRPr="00BC1EC4">
      <w:rPr>
        <w:rFonts w:ascii="Zurich UBlkEx BT" w:hAnsi="Zurich UBlkEx BT"/>
        <w:b/>
        <w:bCs/>
        <w:color w:val="008000"/>
      </w:rPr>
      <w:t>&gt;</w:t>
    </w:r>
    <w:r w:rsidRPr="009E2BB9">
      <w:rPr>
        <w:rStyle w:val="HIPFooterTitleChar"/>
      </w:rPr>
      <w:t xml:space="preserve"> </w:t>
    </w:r>
    <w:r w:rsidR="002D3643">
      <w:rPr>
        <w:rStyle w:val="HIPFooterTitleChar"/>
      </w:rPr>
      <w:t>Part 2</w:t>
    </w:r>
    <w:r w:rsidR="00F87B47">
      <w:rPr>
        <w:rStyle w:val="HIPFooterTitleChar"/>
      </w:rPr>
      <w:t xml:space="preserve"> – </w:t>
    </w:r>
    <w:r w:rsidR="00F87B47" w:rsidRPr="00F87B47">
      <w:t>SETTING UP A UNIVERSAL SERVICE AND ACCESS FUND</w:t>
    </w:r>
    <w:r>
      <w:rPr>
        <w:rStyle w:val="HIPFooterTitleChar"/>
      </w:rPr>
      <w:tab/>
    </w:r>
    <w:fldSimple w:instr=" PAGE ">
      <w:r w:rsidR="00A3379B">
        <w:rPr>
          <w:noProof/>
        </w:rPr>
        <w:t>11</w:t>
      </w:r>
    </w:fldSimple>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919" w:rsidRPr="009E2BB9" w:rsidRDefault="000816B7" w:rsidP="00F87B47">
    <w:pPr>
      <w:pStyle w:val="HIPFooterTitle"/>
      <w:tabs>
        <w:tab w:val="right" w:pos="9071"/>
      </w:tabs>
    </w:pPr>
    <w:fldSimple w:instr=" PAGE ">
      <w:r w:rsidR="00A3379B">
        <w:rPr>
          <w:noProof/>
        </w:rPr>
        <w:t>34</w:t>
      </w:r>
    </w:fldSimple>
    <w:r w:rsidR="00FF6919" w:rsidRPr="009E2BB9">
      <w:tab/>
    </w:r>
    <w:r w:rsidR="00FF6919" w:rsidRPr="009E2BB9">
      <w:tab/>
    </w:r>
    <w:r w:rsidR="00FF6919" w:rsidRPr="002F09C9">
      <w:rPr>
        <w:rFonts w:ascii="Zurich UBlkEx BT" w:hAnsi="Zurich UBlkEx BT"/>
        <w:b/>
        <w:bCs/>
        <w:color w:val="008000"/>
      </w:rPr>
      <w:t>&gt;</w:t>
    </w:r>
    <w:r w:rsidR="00FF6919">
      <w:t xml:space="preserve"> </w:t>
    </w:r>
    <w:r w:rsidR="00F87B47">
      <w:rPr>
        <w:rStyle w:val="HIPFooterTitleChar"/>
      </w:rPr>
      <w:t xml:space="preserve">Part 2 – </w:t>
    </w:r>
    <w:r w:rsidR="00F87B47" w:rsidRPr="00F87B47">
      <w:t>SETTING UP A UNIVERSAL SERVICE AND ACCESS FUND</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919" w:rsidRPr="008978A2" w:rsidRDefault="00FF6919" w:rsidP="00F87B47">
    <w:pPr>
      <w:pStyle w:val="HIPFooter"/>
      <w:tabs>
        <w:tab w:val="right" w:pos="9071"/>
      </w:tabs>
    </w:pPr>
    <w:r w:rsidRPr="00BC1EC4">
      <w:rPr>
        <w:rFonts w:ascii="Zurich UBlkEx BT" w:hAnsi="Zurich UBlkEx BT"/>
        <w:b/>
        <w:bCs/>
        <w:color w:val="008000"/>
      </w:rPr>
      <w:t>&gt;</w:t>
    </w:r>
    <w:r w:rsidRPr="009E2BB9">
      <w:rPr>
        <w:rStyle w:val="HIPFooterTitleChar"/>
      </w:rPr>
      <w:t xml:space="preserve"> </w:t>
    </w:r>
    <w:r w:rsidR="00F87B47">
      <w:rPr>
        <w:rStyle w:val="HIPFooterTitleChar"/>
      </w:rPr>
      <w:t xml:space="preserve">Part 2 – </w:t>
    </w:r>
    <w:r w:rsidR="00F87B47" w:rsidRPr="00F87B47">
      <w:t>SETTING UP A UNIVERSAL SERVICE AND ACCESS FUND</w:t>
    </w:r>
    <w:r>
      <w:rPr>
        <w:rStyle w:val="HIPFooterTitleChar"/>
      </w:rPr>
      <w:tab/>
    </w:r>
    <w:fldSimple w:instr=" PAGE ">
      <w:r w:rsidR="00A3379B">
        <w:rPr>
          <w:noProof/>
        </w:rPr>
        <w:t>35</w:t>
      </w:r>
    </w:fldSimple>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0036" w:rsidRPr="00BC1EC4" w:rsidRDefault="00250036" w:rsidP="00F87B47">
    <w:pPr>
      <w:pStyle w:val="HIPFooter"/>
      <w:tabs>
        <w:tab w:val="right" w:pos="9071"/>
      </w:tabs>
    </w:pPr>
    <w:r w:rsidRPr="00BC1EC4">
      <w:rPr>
        <w:rFonts w:ascii="Zurich UBlkEx BT" w:hAnsi="Zurich UBlkEx BT"/>
        <w:b/>
        <w:bCs/>
        <w:color w:val="008000"/>
      </w:rPr>
      <w:t>&gt;</w:t>
    </w:r>
    <w:r w:rsidRPr="009E2BB9">
      <w:rPr>
        <w:rStyle w:val="HIPFooterTitleChar"/>
      </w:rPr>
      <w:t xml:space="preserve"> </w:t>
    </w:r>
    <w:r w:rsidR="00F87B47">
      <w:rPr>
        <w:rStyle w:val="HIPFooterTitleChar"/>
      </w:rPr>
      <w:t xml:space="preserve">Part 2 – </w:t>
    </w:r>
    <w:r w:rsidR="00F87B47" w:rsidRPr="00F87B47">
      <w:t>SETTING UP A UNIVERSAL SERVICE AND ACCESS FUND</w:t>
    </w:r>
    <w:r w:rsidR="00932167">
      <w:tab/>
    </w:r>
    <w:fldSimple w:instr=" PAGE ">
      <w:r w:rsidR="00A3379B">
        <w:rPr>
          <w:noProof/>
        </w:rPr>
        <w:t>12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EC4" w:rsidRPr="009E2BB9" w:rsidRDefault="000816B7" w:rsidP="008C579A">
    <w:pPr>
      <w:pStyle w:val="HIPFooterTitle"/>
      <w:tabs>
        <w:tab w:val="right" w:pos="9071"/>
      </w:tabs>
    </w:pPr>
    <w:fldSimple w:instr=" PAGE ">
      <w:r w:rsidR="00A3379B">
        <w:rPr>
          <w:noProof/>
        </w:rPr>
        <w:t>x</w:t>
      </w:r>
    </w:fldSimple>
    <w:r w:rsidR="00BC1EC4" w:rsidRPr="009E2BB9">
      <w:tab/>
    </w:r>
    <w:r w:rsidR="00BC1EC4" w:rsidRPr="009E2BB9">
      <w:tab/>
    </w:r>
    <w:r w:rsidR="00BC1EC4" w:rsidRPr="002F09C9">
      <w:rPr>
        <w:rFonts w:ascii="Zurich UBlkEx BT" w:hAnsi="Zurich UBlkEx BT"/>
        <w:b/>
        <w:bCs/>
        <w:color w:val="008000"/>
      </w:rPr>
      <w:t>&gt;</w:t>
    </w:r>
    <w:r w:rsidR="00FF6919">
      <w:t xml:space="preserve"> Summary</w: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0036" w:rsidRPr="00BC1EC4" w:rsidRDefault="00250036" w:rsidP="00F87B47">
    <w:pPr>
      <w:pStyle w:val="HIPFooter"/>
      <w:tabs>
        <w:tab w:val="right" w:pos="9071"/>
      </w:tabs>
    </w:pPr>
    <w:r w:rsidRPr="00BC1EC4">
      <w:rPr>
        <w:rFonts w:ascii="Zurich UBlkEx BT" w:hAnsi="Zurich UBlkEx BT"/>
        <w:b/>
        <w:bCs/>
        <w:color w:val="008000"/>
      </w:rPr>
      <w:t>&gt;</w:t>
    </w:r>
    <w:r w:rsidRPr="009E2BB9">
      <w:rPr>
        <w:rStyle w:val="HIPFooterTitleChar"/>
      </w:rPr>
      <w:t xml:space="preserve"> </w:t>
    </w:r>
    <w:r>
      <w:rPr>
        <w:rStyle w:val="HIPFooterTitleChar"/>
      </w:rPr>
      <w:t>Part 3</w:t>
    </w:r>
    <w:r w:rsidR="00F87B47">
      <w:rPr>
        <w:rStyle w:val="HIPFooterTitleChar"/>
      </w:rPr>
      <w:t xml:space="preserve"> – </w:t>
    </w:r>
    <w:r w:rsidR="00F87B47" w:rsidRPr="00F87B47">
      <w:rPr>
        <w:lang w:val="fr-FR"/>
      </w:rPr>
      <w:t>FINANCING UNIVERSAL ACCESS PROJECTS</w:t>
    </w:r>
    <w:r>
      <w:rPr>
        <w:rStyle w:val="HIPFooterTitleChar"/>
      </w:rPr>
      <w:tab/>
    </w:r>
    <w:fldSimple w:instr=" PAGE ">
      <w:r w:rsidR="00A3379B">
        <w:rPr>
          <w:noProof/>
        </w:rPr>
        <w:t>37</w:t>
      </w:r>
    </w:fldSimple>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682" w:rsidRPr="009E2BB9" w:rsidRDefault="000816B7" w:rsidP="00F87B47">
    <w:pPr>
      <w:pStyle w:val="HIPFooterTitle"/>
      <w:tabs>
        <w:tab w:val="right" w:pos="9071"/>
      </w:tabs>
    </w:pPr>
    <w:fldSimple w:instr=" PAGE ">
      <w:r w:rsidR="00A3379B">
        <w:rPr>
          <w:noProof/>
        </w:rPr>
        <w:t>86</w:t>
      </w:r>
    </w:fldSimple>
    <w:r w:rsidR="005E5682" w:rsidRPr="009E2BB9">
      <w:tab/>
    </w:r>
    <w:r w:rsidR="005E5682" w:rsidRPr="009E2BB9">
      <w:tab/>
    </w:r>
    <w:r w:rsidR="005E5682" w:rsidRPr="002F09C9">
      <w:rPr>
        <w:rFonts w:ascii="Zurich UBlkEx BT" w:hAnsi="Zurich UBlkEx BT"/>
        <w:b/>
        <w:bCs/>
        <w:color w:val="008000"/>
      </w:rPr>
      <w:t>&gt;</w:t>
    </w:r>
    <w:r w:rsidR="005E5682">
      <w:t xml:space="preserve"> </w:t>
    </w:r>
    <w:r w:rsidR="00F87B47">
      <w:rPr>
        <w:rStyle w:val="HIPFooterTitleChar"/>
      </w:rPr>
      <w:t xml:space="preserve">Part 3 – </w:t>
    </w:r>
    <w:r w:rsidR="00F87B47" w:rsidRPr="00F87B47">
      <w:rPr>
        <w:lang w:val="fr-FR"/>
      </w:rPr>
      <w:t>FINANCING UNIVERSAL ACCESS PROJECTS</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682" w:rsidRPr="008978A2" w:rsidRDefault="005E5682" w:rsidP="00F87B47">
    <w:pPr>
      <w:pStyle w:val="HIPFooter"/>
      <w:tabs>
        <w:tab w:val="right" w:pos="9071"/>
      </w:tabs>
    </w:pPr>
    <w:r w:rsidRPr="00BC1EC4">
      <w:rPr>
        <w:rFonts w:ascii="Zurich UBlkEx BT" w:hAnsi="Zurich UBlkEx BT"/>
        <w:b/>
        <w:bCs/>
        <w:color w:val="008000"/>
      </w:rPr>
      <w:t>&gt;</w:t>
    </w:r>
    <w:r w:rsidRPr="009E2BB9">
      <w:rPr>
        <w:rStyle w:val="HIPFooterTitleChar"/>
      </w:rPr>
      <w:t xml:space="preserve"> </w:t>
    </w:r>
    <w:r w:rsidR="00F87B47">
      <w:rPr>
        <w:rStyle w:val="HIPFooterTitleChar"/>
      </w:rPr>
      <w:t xml:space="preserve">Part 3 – </w:t>
    </w:r>
    <w:r w:rsidR="00F87B47" w:rsidRPr="00F87B47">
      <w:rPr>
        <w:lang w:val="fr-FR"/>
      </w:rPr>
      <w:t>FINANCING UNIVERSAL ACCESS PROJECTS</w:t>
    </w:r>
    <w:r>
      <w:rPr>
        <w:rStyle w:val="HIPFooterTitleChar"/>
      </w:rPr>
      <w:tab/>
    </w:r>
    <w:fldSimple w:instr=" PAGE ">
      <w:r w:rsidR="00A3379B">
        <w:rPr>
          <w:noProof/>
        </w:rPr>
        <w:t>85</w:t>
      </w:r>
    </w:fldSimple>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F90" w:rsidRPr="00BC1EC4" w:rsidRDefault="00591F90" w:rsidP="00F87B47">
    <w:pPr>
      <w:pStyle w:val="HIPFooter"/>
      <w:tabs>
        <w:tab w:val="right" w:pos="9071"/>
      </w:tabs>
    </w:pPr>
    <w:r w:rsidRPr="00BC1EC4">
      <w:rPr>
        <w:rFonts w:ascii="Zurich UBlkEx BT" w:hAnsi="Zurich UBlkEx BT"/>
        <w:b/>
        <w:bCs/>
        <w:color w:val="008000"/>
      </w:rPr>
      <w:t>&gt;</w:t>
    </w:r>
    <w:r w:rsidRPr="009E2BB9">
      <w:rPr>
        <w:rStyle w:val="HIPFooterTitleChar"/>
      </w:rPr>
      <w:t xml:space="preserve"> </w:t>
    </w:r>
    <w:r w:rsidR="00F87B47">
      <w:rPr>
        <w:rStyle w:val="HIPFooterTitleChar"/>
      </w:rPr>
      <w:t xml:space="preserve">Part 3 – </w:t>
    </w:r>
    <w:r w:rsidR="00F87B47" w:rsidRPr="00F87B47">
      <w:rPr>
        <w:lang w:val="fr-FR"/>
      </w:rPr>
      <w:t>FINANCING UNIVERSAL ACCESS PROJECTS</w:t>
    </w:r>
    <w:r>
      <w:rPr>
        <w:rStyle w:val="HIPFooterTitleChar"/>
      </w:rPr>
      <w:tab/>
    </w:r>
    <w:fldSimple w:instr=" PAGE ">
      <w:r w:rsidR="00A3379B">
        <w:rPr>
          <w:noProof/>
        </w:rPr>
        <w:t>39</w:t>
      </w:r>
    </w:fldSimple>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DD5" w:rsidRPr="009E2BB9" w:rsidRDefault="000816B7" w:rsidP="00250036">
    <w:pPr>
      <w:pStyle w:val="HIPFooterTitle"/>
      <w:tabs>
        <w:tab w:val="right" w:pos="9071"/>
      </w:tabs>
    </w:pPr>
    <w:fldSimple w:instr=" PAGE ">
      <w:r w:rsidR="00591F90">
        <w:rPr>
          <w:noProof/>
        </w:rPr>
        <w:t>106</w:t>
      </w:r>
    </w:fldSimple>
    <w:r w:rsidR="003D2DD5" w:rsidRPr="009E2BB9">
      <w:tab/>
    </w:r>
    <w:r w:rsidR="003D2DD5" w:rsidRPr="009E2BB9">
      <w:tab/>
    </w:r>
    <w:r w:rsidR="003D2DD5" w:rsidRPr="002F09C9">
      <w:rPr>
        <w:rFonts w:ascii="Zurich UBlkEx BT" w:hAnsi="Zurich UBlkEx BT"/>
        <w:b/>
        <w:bCs/>
        <w:color w:val="008000"/>
      </w:rPr>
      <w:t>&gt;</w:t>
    </w:r>
    <w:r w:rsidR="003D2DD5">
      <w:rPr>
        <w:rFonts w:ascii="Zurich UBlkEx BT" w:hAnsi="Zurich UBlkEx BT"/>
        <w:color w:val="E36C0A"/>
      </w:rPr>
      <w:t xml:space="preserve"> </w:t>
    </w:r>
    <w:r w:rsidR="003D2DD5">
      <w:t xml:space="preserve">Part </w:t>
    </w:r>
    <w:r w:rsidR="00250036">
      <w:t>3</w: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DD5" w:rsidRPr="008978A2" w:rsidRDefault="003D2DD5" w:rsidP="008978A2">
    <w:pPr>
      <w:pStyle w:val="HIPFooter"/>
      <w:tabs>
        <w:tab w:val="right" w:pos="9071"/>
      </w:tabs>
    </w:pPr>
    <w:r w:rsidRPr="00BC1EC4">
      <w:rPr>
        <w:rFonts w:ascii="Zurich UBlkEx BT" w:hAnsi="Zurich UBlkEx BT"/>
        <w:b/>
        <w:bCs/>
        <w:color w:val="008000"/>
      </w:rPr>
      <w:t>&gt;</w:t>
    </w:r>
    <w:r w:rsidRPr="009E2BB9">
      <w:rPr>
        <w:rStyle w:val="HIPFooterTitleChar"/>
      </w:rPr>
      <w:t xml:space="preserve"> </w:t>
    </w:r>
    <w:r>
      <w:rPr>
        <w:rStyle w:val="HIPFooterTitleChar"/>
      </w:rPr>
      <w:t xml:space="preserve">Part </w:t>
    </w:r>
    <w:r w:rsidR="00250036">
      <w:rPr>
        <w:rStyle w:val="HIPFooterTitleChar"/>
      </w:rPr>
      <w:t>3</w:t>
    </w:r>
    <w:r>
      <w:rPr>
        <w:rStyle w:val="HIPFooterTitleChar"/>
      </w:rPr>
      <w:tab/>
    </w:r>
    <w:fldSimple w:instr=" PAGE ">
      <w:r w:rsidR="00591F90">
        <w:rPr>
          <w:noProof/>
        </w:rPr>
        <w:t>107</w:t>
      </w:r>
    </w:fldSimple>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0036" w:rsidRPr="00BC1EC4" w:rsidRDefault="00250036" w:rsidP="008978A2">
    <w:pPr>
      <w:pStyle w:val="HIPFooter"/>
      <w:tabs>
        <w:tab w:val="right" w:pos="9071"/>
      </w:tabs>
    </w:pPr>
    <w:r w:rsidRPr="00BC1EC4">
      <w:rPr>
        <w:rFonts w:ascii="Zurich UBlkEx BT" w:hAnsi="Zurich UBlkEx BT"/>
        <w:b/>
        <w:bCs/>
        <w:color w:val="008000"/>
      </w:rPr>
      <w:t>&gt;</w:t>
    </w:r>
    <w:r w:rsidRPr="009E2BB9">
      <w:rPr>
        <w:rStyle w:val="HIPFooterTitleChar"/>
      </w:rPr>
      <w:t xml:space="preserve"> </w:t>
    </w:r>
    <w:r>
      <w:rPr>
        <w:rStyle w:val="HIPFooterTitleChar"/>
      </w:rPr>
      <w:t xml:space="preserve">Part </w:t>
    </w:r>
    <w:r w:rsidR="00591F90">
      <w:rPr>
        <w:rStyle w:val="HIPFooterTitleChar"/>
      </w:rPr>
      <w:t>4</w:t>
    </w:r>
    <w:r w:rsidR="00F87B47">
      <w:rPr>
        <w:rStyle w:val="HIPFooterTitleChar"/>
      </w:rPr>
      <w:t xml:space="preserve"> – </w:t>
    </w:r>
    <w:r w:rsidR="00F87B47" w:rsidRPr="00591F90">
      <w:t>MONITORING AND EVALUATION</w:t>
    </w:r>
    <w:r>
      <w:rPr>
        <w:rStyle w:val="HIPFooterTitleChar"/>
      </w:rPr>
      <w:tab/>
    </w:r>
    <w:fldSimple w:instr=" PAGE ">
      <w:r w:rsidR="00A3379B">
        <w:rPr>
          <w:noProof/>
        </w:rPr>
        <w:t>87</w:t>
      </w:r>
    </w:fldSimple>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F90" w:rsidRPr="009E2BB9" w:rsidRDefault="000816B7" w:rsidP="00F87B47">
    <w:pPr>
      <w:pStyle w:val="HIPFooterTitle"/>
      <w:tabs>
        <w:tab w:val="right" w:pos="9071"/>
      </w:tabs>
    </w:pPr>
    <w:fldSimple w:instr=" PAGE ">
      <w:r w:rsidR="00A3379B">
        <w:rPr>
          <w:noProof/>
        </w:rPr>
        <w:t>92</w:t>
      </w:r>
    </w:fldSimple>
    <w:r w:rsidR="00591F90" w:rsidRPr="009E2BB9">
      <w:tab/>
    </w:r>
    <w:r w:rsidR="00591F90" w:rsidRPr="009E2BB9">
      <w:tab/>
    </w:r>
    <w:r w:rsidR="00591F90" w:rsidRPr="002F09C9">
      <w:rPr>
        <w:rFonts w:ascii="Zurich UBlkEx BT" w:hAnsi="Zurich UBlkEx BT"/>
        <w:b/>
        <w:bCs/>
        <w:color w:val="008000"/>
      </w:rPr>
      <w:t>&gt;</w:t>
    </w:r>
    <w:r w:rsidR="00591F90">
      <w:rPr>
        <w:rFonts w:ascii="Zurich UBlkEx BT" w:hAnsi="Zurich UBlkEx BT"/>
        <w:color w:val="E36C0A"/>
      </w:rPr>
      <w:t xml:space="preserve"> </w:t>
    </w:r>
    <w:r w:rsidR="00F87B47">
      <w:rPr>
        <w:rStyle w:val="HIPFooterTitleChar"/>
      </w:rPr>
      <w:t xml:space="preserve">Part 4 – </w:t>
    </w:r>
    <w:r w:rsidR="00F87B47" w:rsidRPr="00591F90">
      <w:t>MONITORING AND EVALUATION</w: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F90" w:rsidRPr="008978A2" w:rsidRDefault="00591F90" w:rsidP="00F87B47">
    <w:pPr>
      <w:pStyle w:val="HIPFooter"/>
      <w:tabs>
        <w:tab w:val="right" w:pos="9071"/>
      </w:tabs>
    </w:pPr>
    <w:r w:rsidRPr="00BC1EC4">
      <w:rPr>
        <w:rFonts w:ascii="Zurich UBlkEx BT" w:hAnsi="Zurich UBlkEx BT"/>
        <w:b/>
        <w:bCs/>
        <w:color w:val="008000"/>
      </w:rPr>
      <w:t>&gt;</w:t>
    </w:r>
    <w:r w:rsidRPr="009E2BB9">
      <w:rPr>
        <w:rStyle w:val="HIPFooterTitleChar"/>
      </w:rPr>
      <w:t xml:space="preserve"> </w:t>
    </w:r>
    <w:r w:rsidR="00F87B47">
      <w:rPr>
        <w:rStyle w:val="HIPFooterTitleChar"/>
      </w:rPr>
      <w:t xml:space="preserve">Part 4 – </w:t>
    </w:r>
    <w:r w:rsidR="00F87B47" w:rsidRPr="00591F90">
      <w:t>MONITORING AND EVALUATION</w:t>
    </w:r>
    <w:r>
      <w:rPr>
        <w:rStyle w:val="HIPFooterTitleChar"/>
      </w:rPr>
      <w:tab/>
    </w:r>
    <w:fldSimple w:instr=" PAGE ">
      <w:r w:rsidR="00A3379B">
        <w:rPr>
          <w:noProof/>
        </w:rPr>
        <w:t>93</w:t>
      </w:r>
    </w:fldSimple>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F90" w:rsidRPr="00BC1EC4" w:rsidRDefault="00591F90" w:rsidP="00F87B47">
    <w:pPr>
      <w:pStyle w:val="HIPFooter"/>
      <w:tabs>
        <w:tab w:val="right" w:pos="9071"/>
      </w:tabs>
    </w:pPr>
    <w:r w:rsidRPr="00BC1EC4">
      <w:rPr>
        <w:rFonts w:ascii="Zurich UBlkEx BT" w:hAnsi="Zurich UBlkEx BT"/>
        <w:b/>
        <w:bCs/>
        <w:color w:val="008000"/>
      </w:rPr>
      <w:t>&gt;</w:t>
    </w:r>
    <w:r w:rsidRPr="009E2BB9">
      <w:rPr>
        <w:rStyle w:val="HIPFooterTitleChar"/>
      </w:rPr>
      <w:t xml:space="preserve"> </w:t>
    </w:r>
    <w:r w:rsidR="00F87B47">
      <w:rPr>
        <w:rStyle w:val="HIPFooterTitleChar"/>
      </w:rPr>
      <w:t xml:space="preserve">Part 4 – </w:t>
    </w:r>
    <w:r w:rsidR="00F87B47" w:rsidRPr="00591F90">
      <w:t>MONITORING AND EVALUATION</w:t>
    </w:r>
    <w:r>
      <w:rPr>
        <w:rStyle w:val="HIPFooterTitleChar"/>
      </w:rPr>
      <w:tab/>
    </w:r>
    <w:fldSimple w:instr=" PAGE ">
      <w:r w:rsidR="00A3379B">
        <w:rPr>
          <w:noProof/>
        </w:rPr>
        <w:t>89</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EC4" w:rsidRPr="00BC1EC4" w:rsidRDefault="00BC1EC4" w:rsidP="00BC1EC4">
    <w:pPr>
      <w:pStyle w:val="HIPFooter"/>
      <w:tabs>
        <w:tab w:val="right" w:pos="9071"/>
      </w:tabs>
    </w:pPr>
    <w:r w:rsidRPr="00BC1EC4">
      <w:rPr>
        <w:rFonts w:ascii="Zurich UBlkEx BT" w:hAnsi="Zurich UBlkEx BT"/>
        <w:b/>
        <w:bCs/>
        <w:color w:val="008000"/>
      </w:rPr>
      <w:t>&gt;</w:t>
    </w:r>
    <w:r w:rsidRPr="009E2BB9">
      <w:rPr>
        <w:rStyle w:val="HIPFooterTitleChar"/>
      </w:rPr>
      <w:t xml:space="preserve"> </w:t>
    </w:r>
    <w:r>
      <w:rPr>
        <w:rStyle w:val="HIPFooterTitleChar"/>
      </w:rPr>
      <w:t>Summary</w:t>
    </w:r>
    <w:r>
      <w:rPr>
        <w:rStyle w:val="HIPFooterTitleChar"/>
      </w:rPr>
      <w:tab/>
    </w:r>
    <w:fldSimple w:instr=" PAGE ">
      <w:r w:rsidR="00A3379B">
        <w:rPr>
          <w:noProof/>
        </w:rPr>
        <w:t>ix</w:t>
      </w:r>
    </w:fldSimple>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F90" w:rsidRPr="009E2BB9" w:rsidRDefault="000816B7" w:rsidP="00250036">
    <w:pPr>
      <w:pStyle w:val="HIPFooterTitle"/>
      <w:tabs>
        <w:tab w:val="right" w:pos="9071"/>
      </w:tabs>
    </w:pPr>
    <w:fldSimple w:instr=" PAGE ">
      <w:r w:rsidR="00591F90">
        <w:rPr>
          <w:noProof/>
        </w:rPr>
        <w:t>104</w:t>
      </w:r>
    </w:fldSimple>
    <w:r w:rsidR="00591F90" w:rsidRPr="009E2BB9">
      <w:tab/>
    </w:r>
    <w:r w:rsidR="00591F90" w:rsidRPr="009E2BB9">
      <w:tab/>
    </w:r>
    <w:r w:rsidR="00591F90" w:rsidRPr="002F09C9">
      <w:rPr>
        <w:rFonts w:ascii="Zurich UBlkEx BT" w:hAnsi="Zurich UBlkEx BT"/>
        <w:b/>
        <w:bCs/>
        <w:color w:val="008000"/>
      </w:rPr>
      <w:t>&gt;</w:t>
    </w:r>
    <w:r w:rsidR="00591F90">
      <w:rPr>
        <w:rFonts w:ascii="Zurich UBlkEx BT" w:hAnsi="Zurich UBlkEx BT"/>
        <w:color w:val="E36C0A"/>
      </w:rPr>
      <w:t xml:space="preserve"> </w:t>
    </w:r>
    <w:r w:rsidR="00591F90">
      <w:t>Part 3</w: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F90" w:rsidRPr="008978A2" w:rsidRDefault="00591F90" w:rsidP="008978A2">
    <w:pPr>
      <w:pStyle w:val="HIPFooter"/>
      <w:tabs>
        <w:tab w:val="right" w:pos="9071"/>
      </w:tabs>
    </w:pPr>
    <w:r w:rsidRPr="00BC1EC4">
      <w:rPr>
        <w:rFonts w:ascii="Zurich UBlkEx BT" w:hAnsi="Zurich UBlkEx BT"/>
        <w:b/>
        <w:bCs/>
        <w:color w:val="008000"/>
      </w:rPr>
      <w:t>&gt;</w:t>
    </w:r>
    <w:r w:rsidRPr="009E2BB9">
      <w:rPr>
        <w:rStyle w:val="HIPFooterTitleChar"/>
      </w:rPr>
      <w:t xml:space="preserve"> </w:t>
    </w:r>
    <w:r>
      <w:rPr>
        <w:rStyle w:val="HIPFooterTitleChar"/>
      </w:rPr>
      <w:t>Part 3</w:t>
    </w:r>
    <w:r>
      <w:rPr>
        <w:rStyle w:val="HIPFooterTitleChar"/>
      </w:rPr>
      <w:tab/>
    </w:r>
    <w:fldSimple w:instr=" PAGE ">
      <w:r>
        <w:rPr>
          <w:noProof/>
        </w:rPr>
        <w:t>105</w:t>
      </w:r>
    </w:fldSimple>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F90" w:rsidRPr="00BC1EC4" w:rsidRDefault="00591F90" w:rsidP="00F87B47">
    <w:pPr>
      <w:pStyle w:val="HIPFooter"/>
      <w:tabs>
        <w:tab w:val="right" w:pos="9071"/>
      </w:tabs>
    </w:pPr>
    <w:r w:rsidRPr="00BC1EC4">
      <w:rPr>
        <w:rFonts w:ascii="Zurich UBlkEx BT" w:hAnsi="Zurich UBlkEx BT"/>
        <w:b/>
        <w:bCs/>
        <w:color w:val="008000"/>
      </w:rPr>
      <w:t>&gt;</w:t>
    </w:r>
    <w:r w:rsidRPr="009E2BB9">
      <w:rPr>
        <w:rStyle w:val="HIPFooterTitleChar"/>
      </w:rPr>
      <w:t xml:space="preserve"> </w:t>
    </w:r>
    <w:r>
      <w:rPr>
        <w:rStyle w:val="HIPFooterTitleChar"/>
      </w:rPr>
      <w:t>Part 5</w:t>
    </w:r>
    <w:r w:rsidR="00F87B47">
      <w:rPr>
        <w:rStyle w:val="HIPFooterTitleChar"/>
      </w:rPr>
      <w:t xml:space="preserve"> – </w:t>
    </w:r>
    <w:r w:rsidR="00F87B47" w:rsidRPr="00F87B47">
      <w:t>REGIONAL HARMONISATION, THE ROLE OF CRASA</w:t>
    </w:r>
    <w:r>
      <w:rPr>
        <w:rStyle w:val="HIPFooterTitleChar"/>
      </w:rPr>
      <w:tab/>
    </w:r>
    <w:fldSimple w:instr=" PAGE ">
      <w:r w:rsidR="00A3379B">
        <w:rPr>
          <w:noProof/>
        </w:rPr>
        <w:t>95</w:t>
      </w:r>
    </w:fldSimple>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170" w:rsidRPr="00023929" w:rsidRDefault="000816B7" w:rsidP="00F87B47">
    <w:pPr>
      <w:pStyle w:val="HIPFooter"/>
      <w:tabs>
        <w:tab w:val="right" w:pos="9071"/>
      </w:tabs>
    </w:pPr>
    <w:fldSimple w:instr=" PAGE ">
      <w:r w:rsidR="00A3379B">
        <w:rPr>
          <w:noProof/>
        </w:rPr>
        <w:t>98</w:t>
      </w:r>
    </w:fldSimple>
    <w:r w:rsidR="00023929">
      <w:tab/>
    </w:r>
    <w:r w:rsidR="00023929">
      <w:tab/>
    </w:r>
    <w:r w:rsidR="00023929" w:rsidRPr="00BC1EC4">
      <w:rPr>
        <w:rFonts w:ascii="Zurich UBlkEx BT" w:hAnsi="Zurich UBlkEx BT"/>
        <w:b/>
        <w:bCs/>
        <w:color w:val="008000"/>
      </w:rPr>
      <w:t>&gt;</w:t>
    </w:r>
    <w:r w:rsidR="00023929" w:rsidRPr="009E2BB9">
      <w:rPr>
        <w:rStyle w:val="HIPFooterTitleChar"/>
      </w:rPr>
      <w:t xml:space="preserve"> </w:t>
    </w:r>
    <w:r w:rsidR="00F87B47">
      <w:rPr>
        <w:rStyle w:val="HIPFooterTitleChar"/>
      </w:rPr>
      <w:t xml:space="preserve">Part 5 – </w:t>
    </w:r>
    <w:r w:rsidR="00F87B47" w:rsidRPr="00F87B47">
      <w:t>REGIONAL HARMONISATION, THE ROLE OF CRASA</w: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170" w:rsidRPr="004C71E0" w:rsidRDefault="006A6170" w:rsidP="002F09C9">
    <w:pPr>
      <w:pStyle w:val="HIPFooter"/>
    </w:pPr>
    <w:r>
      <w:rPr>
        <w:color w:val="003399"/>
      </w:rPr>
      <w:t xml:space="preserve">&gt; </w:t>
    </w:r>
    <w:r w:rsidRPr="0025181A">
      <w:t>Annexe 1</w:t>
    </w:r>
    <w:r w:rsidRPr="00EF3C6F">
      <w:t xml:space="preserve"> </w:t>
    </w:r>
    <w:r>
      <w:tab/>
    </w:r>
    <w:r>
      <w:tab/>
    </w:r>
    <w:fldSimple w:instr=" PAGE ">
      <w:r w:rsidR="00023929">
        <w:rPr>
          <w:noProof/>
        </w:rPr>
        <w:t>21</w:t>
      </w:r>
    </w:fldSimple>
  </w:p>
  <w:p w:rsidR="006A6170" w:rsidRDefault="006A6170" w:rsidP="0004319A"/>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170" w:rsidRPr="00023929" w:rsidRDefault="00023929" w:rsidP="00F87B47">
    <w:pPr>
      <w:pStyle w:val="HIPFooter"/>
      <w:tabs>
        <w:tab w:val="right" w:pos="9071"/>
      </w:tabs>
    </w:pPr>
    <w:r w:rsidRPr="00BC1EC4">
      <w:rPr>
        <w:rFonts w:ascii="Zurich UBlkEx BT" w:hAnsi="Zurich UBlkEx BT"/>
        <w:b/>
        <w:bCs/>
        <w:color w:val="008000"/>
      </w:rPr>
      <w:t>&gt;</w:t>
    </w:r>
    <w:r w:rsidRPr="009E2BB9">
      <w:rPr>
        <w:rStyle w:val="HIPFooterTitleChar"/>
      </w:rPr>
      <w:t xml:space="preserve"> </w:t>
    </w:r>
    <w:r w:rsidR="00F87B47">
      <w:rPr>
        <w:rStyle w:val="HIPFooterTitleChar"/>
      </w:rPr>
      <w:t xml:space="preserve">Part 5 – </w:t>
    </w:r>
    <w:r w:rsidR="00F87B47" w:rsidRPr="00F87B47">
      <w:t>REGIONAL HARMONISATION, THE ROLE OF CRASA</w:t>
    </w:r>
    <w:r>
      <w:rPr>
        <w:rStyle w:val="HIPFooterTitleChar"/>
      </w:rPr>
      <w:tab/>
    </w:r>
    <w:fldSimple w:instr=" PAGE ">
      <w:r w:rsidR="00A3379B">
        <w:rPr>
          <w:noProof/>
        </w:rPr>
        <w:t>96</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6C7" w:rsidRPr="009006C7" w:rsidRDefault="009006C7" w:rsidP="0088668E">
    <w:pPr>
      <w:pStyle w:val="HIPFooter"/>
      <w:tabs>
        <w:tab w:val="right" w:pos="9071"/>
      </w:tabs>
    </w:pPr>
    <w:r w:rsidRPr="00BC1EC4">
      <w:rPr>
        <w:rFonts w:ascii="Zurich UBlkEx BT" w:hAnsi="Zurich UBlkEx BT"/>
        <w:b/>
        <w:bCs/>
        <w:color w:val="008000"/>
      </w:rPr>
      <w:t>&gt;</w:t>
    </w:r>
    <w:r w:rsidRPr="009E2BB9">
      <w:rPr>
        <w:rStyle w:val="HIPFooterTitleChar"/>
      </w:rPr>
      <w:t xml:space="preserve"> </w:t>
    </w:r>
    <w:r w:rsidR="0088668E">
      <w:rPr>
        <w:rStyle w:val="HIPFooterTitleChar"/>
      </w:rPr>
      <w:t>Acknowledgements</w:t>
    </w:r>
    <w:r w:rsidR="00BC1EC4">
      <w:rPr>
        <w:rStyle w:val="HIPFooterTitleChar"/>
      </w:rPr>
      <w:tab/>
    </w:r>
    <w:fldSimple w:instr=" PAGE ">
      <w:r w:rsidR="00A3379B">
        <w:rPr>
          <w:noProof/>
        </w:rPr>
        <w:t>v</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68E" w:rsidRPr="009006C7" w:rsidRDefault="0088668E" w:rsidP="00BC1EC4">
    <w:pPr>
      <w:pStyle w:val="HIPFooter"/>
      <w:tabs>
        <w:tab w:val="right" w:pos="9071"/>
      </w:tabs>
    </w:pPr>
    <w:r w:rsidRPr="00BC1EC4">
      <w:rPr>
        <w:rFonts w:ascii="Zurich UBlkEx BT" w:hAnsi="Zurich UBlkEx BT"/>
        <w:b/>
        <w:bCs/>
        <w:color w:val="008000"/>
      </w:rPr>
      <w:t>&gt;</w:t>
    </w:r>
    <w:r w:rsidRPr="009E2BB9">
      <w:rPr>
        <w:rStyle w:val="HIPFooterTitleChar"/>
      </w:rPr>
      <w:t xml:space="preserve"> </w:t>
    </w:r>
    <w:r>
      <w:rPr>
        <w:rStyle w:val="HIPFooterTitleChar"/>
      </w:rPr>
      <w:t>Summary</w:t>
    </w:r>
    <w:r>
      <w:rPr>
        <w:rStyle w:val="HIPFooterTitleChar"/>
      </w:rPr>
      <w:tab/>
    </w:r>
    <w:fldSimple w:instr=" PAGE ">
      <w:r w:rsidR="00A3379B">
        <w:rPr>
          <w:noProof/>
        </w:rPr>
        <w:t>vii</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919" w:rsidRPr="009E2BB9" w:rsidRDefault="000816B7" w:rsidP="00FF6919">
    <w:pPr>
      <w:pStyle w:val="HIPFooterTitle"/>
      <w:tabs>
        <w:tab w:val="right" w:pos="9071"/>
      </w:tabs>
    </w:pPr>
    <w:fldSimple w:instr=" PAGE ">
      <w:r w:rsidR="00A3379B">
        <w:rPr>
          <w:noProof/>
        </w:rPr>
        <w:t>xiv</w:t>
      </w:r>
    </w:fldSimple>
    <w:r w:rsidR="00FF6919" w:rsidRPr="009E2BB9">
      <w:tab/>
    </w:r>
    <w:r w:rsidR="00FF6919" w:rsidRPr="009E2BB9">
      <w:tab/>
    </w:r>
    <w:r w:rsidR="00FF6919" w:rsidRPr="002F09C9">
      <w:rPr>
        <w:rFonts w:ascii="Zurich UBlkEx BT" w:hAnsi="Zurich UBlkEx BT"/>
        <w:b/>
        <w:bCs/>
        <w:color w:val="008000"/>
      </w:rPr>
      <w:t>&gt;</w:t>
    </w:r>
    <w:r w:rsidR="00FF6919">
      <w:t xml:space="preserve"> Glossary</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EC4" w:rsidRPr="00BC1EC4" w:rsidRDefault="00BC1EC4" w:rsidP="00BC1EC4">
    <w:pPr>
      <w:pStyle w:val="HIPFooter"/>
      <w:tabs>
        <w:tab w:val="right" w:pos="9071"/>
      </w:tabs>
    </w:pPr>
    <w:r w:rsidRPr="00BC1EC4">
      <w:rPr>
        <w:rFonts w:ascii="Zurich UBlkEx BT" w:hAnsi="Zurich UBlkEx BT"/>
        <w:b/>
        <w:bCs/>
        <w:color w:val="008000"/>
      </w:rPr>
      <w:t>&gt;</w:t>
    </w:r>
    <w:r w:rsidRPr="009E2BB9">
      <w:rPr>
        <w:rStyle w:val="HIPFooterTitleChar"/>
      </w:rPr>
      <w:t xml:space="preserve"> </w:t>
    </w:r>
    <w:r>
      <w:rPr>
        <w:rStyle w:val="HIPFooterTitleChar"/>
      </w:rPr>
      <w:t>Glossary</w:t>
    </w:r>
    <w:r>
      <w:rPr>
        <w:rStyle w:val="HIPFooterTitleChar"/>
      </w:rPr>
      <w:tab/>
    </w:r>
    <w:fldSimple w:instr=" PAGE ">
      <w:r w:rsidR="00A3379B">
        <w:rPr>
          <w:noProof/>
        </w:rPr>
        <w:t>xiii</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C71" w:rsidRPr="00BC1EC4" w:rsidRDefault="00BC1EC4" w:rsidP="00BC1EC4">
    <w:pPr>
      <w:pStyle w:val="HIPFooter"/>
      <w:tabs>
        <w:tab w:val="right" w:pos="9071"/>
      </w:tabs>
    </w:pPr>
    <w:r w:rsidRPr="00BC1EC4">
      <w:rPr>
        <w:rFonts w:ascii="Zurich UBlkEx BT" w:hAnsi="Zurich UBlkEx BT"/>
        <w:b/>
        <w:bCs/>
        <w:color w:val="008000"/>
      </w:rPr>
      <w:t>&gt;</w:t>
    </w:r>
    <w:r w:rsidRPr="009E2BB9">
      <w:rPr>
        <w:rStyle w:val="HIPFooterTitleChar"/>
      </w:rPr>
      <w:t xml:space="preserve"> </w:t>
    </w:r>
    <w:r>
      <w:rPr>
        <w:rStyle w:val="HIPFooterTitleChar"/>
      </w:rPr>
      <w:t>Glossary</w:t>
    </w:r>
    <w:r w:rsidR="0088668E">
      <w:rPr>
        <w:rStyle w:val="HIPFooterTitleChar"/>
      </w:rPr>
      <w:tab/>
    </w:r>
    <w:fldSimple w:instr=" PAGE ">
      <w:r w:rsidR="00A3379B">
        <w:rPr>
          <w:noProof/>
        </w:rPr>
        <w:t>xi</w:t>
      </w:r>
    </w:fldSimple>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E74" w:rsidRPr="009E2BB9" w:rsidRDefault="000816B7" w:rsidP="00761E74">
    <w:pPr>
      <w:pStyle w:val="HIPFooterTitle"/>
      <w:tabs>
        <w:tab w:val="right" w:pos="9071"/>
      </w:tabs>
    </w:pPr>
    <w:fldSimple w:instr=" PAGE ">
      <w:r w:rsidR="00A3379B">
        <w:rPr>
          <w:noProof/>
        </w:rPr>
        <w:t>xviii</w:t>
      </w:r>
    </w:fldSimple>
    <w:r w:rsidR="00761E74" w:rsidRPr="009E2BB9">
      <w:tab/>
    </w:r>
    <w:r w:rsidR="00761E74" w:rsidRPr="009E2BB9">
      <w:tab/>
    </w:r>
    <w:r w:rsidR="00761E74" w:rsidRPr="002F09C9">
      <w:rPr>
        <w:rFonts w:ascii="Zurich UBlkEx BT" w:hAnsi="Zurich UBlkEx BT"/>
        <w:b/>
        <w:bCs/>
        <w:color w:val="008000"/>
      </w:rPr>
      <w:t>&gt;</w:t>
    </w:r>
    <w:r w:rsidR="00761E74">
      <w:t xml:space="preserve"> Table of contents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70CE" w:rsidRDefault="001370CE">
      <w:r>
        <w:separator/>
      </w:r>
    </w:p>
    <w:p w:rsidR="001370CE" w:rsidRDefault="001370CE"/>
  </w:footnote>
  <w:footnote w:type="continuationSeparator" w:id="0">
    <w:p w:rsidR="001370CE" w:rsidRDefault="001370CE">
      <w:r>
        <w:continuationSeparator/>
      </w:r>
    </w:p>
    <w:p w:rsidR="001370CE" w:rsidRDefault="001370CE"/>
    <w:p w:rsidR="001370CE" w:rsidRDefault="001370CE"/>
    <w:p w:rsidR="001370CE" w:rsidRDefault="001370CE"/>
  </w:footnote>
  <w:footnote w:id="1">
    <w:p w:rsidR="00011AAB" w:rsidRPr="00440BA2" w:rsidRDefault="00011AAB" w:rsidP="00011AAB">
      <w:pPr>
        <w:pStyle w:val="HIPfootnote"/>
        <w:rPr>
          <w:lang w:val="en-US"/>
        </w:rPr>
      </w:pPr>
      <w:r>
        <w:rPr>
          <w:rStyle w:val="FootnoteReference"/>
        </w:rPr>
        <w:footnoteRef/>
      </w:r>
      <w:r w:rsidRPr="00440BA2">
        <w:rPr>
          <w:lang w:val="en-US"/>
        </w:rPr>
        <w:t xml:space="preserve"> </w:t>
      </w:r>
      <w:r>
        <w:rPr>
          <w:lang w:val="en-US"/>
        </w:rPr>
        <w:tab/>
      </w:r>
      <w:r w:rsidRPr="00440BA2">
        <w:rPr>
          <w:lang w:val="en-US"/>
        </w:rPr>
        <w:t>Australia, USA, Canada, France, Italy, Czech Republic, Bulgaria, South Korea and Oman (see GSM Association Universal Service Report).</w:t>
      </w:r>
    </w:p>
  </w:footnote>
  <w:footnote w:id="2">
    <w:p w:rsidR="00011AAB" w:rsidRPr="00440BA2" w:rsidRDefault="00011AAB" w:rsidP="00011AAB">
      <w:pPr>
        <w:pStyle w:val="HIPfootnote"/>
        <w:rPr>
          <w:lang w:val="en-US"/>
        </w:rPr>
      </w:pPr>
      <w:r>
        <w:rPr>
          <w:rStyle w:val="FootnoteReference"/>
        </w:rPr>
        <w:footnoteRef/>
      </w:r>
      <w:r w:rsidRPr="00440BA2">
        <w:rPr>
          <w:lang w:val="en-US"/>
        </w:rPr>
        <w:t xml:space="preserve"> </w:t>
      </w:r>
      <w:r>
        <w:rPr>
          <w:lang w:val="en-US"/>
        </w:rPr>
        <w:tab/>
      </w:r>
      <w:r w:rsidRPr="00440BA2">
        <w:rPr>
          <w:lang w:val="en-US"/>
        </w:rPr>
        <w:t xml:space="preserve">Fund </w:t>
      </w:r>
      <w:r>
        <w:rPr>
          <w:lang w:val="en-US"/>
        </w:rPr>
        <w:t xml:space="preserve">Administrator </w:t>
      </w:r>
      <w:r w:rsidRPr="00440BA2">
        <w:rPr>
          <w:lang w:val="en-US"/>
        </w:rPr>
        <w:t>refers to whoever is responsible for the management of the USAF whether it is an independent agency, within the regulator or within the Ministry. The Fund Manager is the accounting officer for the USAF and responsible for its day-to-day running and reporting on its performance.</w:t>
      </w:r>
    </w:p>
  </w:footnote>
  <w:footnote w:id="3">
    <w:p w:rsidR="00011AAB" w:rsidRPr="00440BA2" w:rsidRDefault="00011AAB" w:rsidP="00011AAB">
      <w:pPr>
        <w:pStyle w:val="HIPfootnote"/>
        <w:rPr>
          <w:lang w:val="en-US"/>
        </w:rPr>
      </w:pPr>
      <w:r>
        <w:rPr>
          <w:rStyle w:val="FootnoteReference"/>
        </w:rPr>
        <w:footnoteRef/>
      </w:r>
      <w:r w:rsidRPr="00440BA2">
        <w:rPr>
          <w:lang w:val="en-US"/>
        </w:rPr>
        <w:t xml:space="preserve"> </w:t>
      </w:r>
      <w:r>
        <w:rPr>
          <w:lang w:val="en-US"/>
        </w:rPr>
        <w:tab/>
      </w:r>
      <w:r w:rsidRPr="00440BA2">
        <w:rPr>
          <w:lang w:val="en-US"/>
        </w:rPr>
        <w:t>Angola, Botswana, Democratic Republic of the Congo, Lesotho, Malawi, Mauritius, Mozambique, Namibia, Seychelles, South Africa, Swaziland, Tanzania, Zambia and Zimbabwe.</w:t>
      </w:r>
    </w:p>
  </w:footnote>
  <w:footnote w:id="4">
    <w:p w:rsidR="00011AAB" w:rsidRDefault="00011AAB" w:rsidP="00011AAB">
      <w:pPr>
        <w:pStyle w:val="HIPfootnote"/>
        <w:rPr>
          <w:lang w:val="en-US"/>
        </w:rPr>
      </w:pPr>
      <w:r>
        <w:rPr>
          <w:rStyle w:val="FootnoteReference"/>
        </w:rPr>
        <w:footnoteRef/>
      </w:r>
      <w:r w:rsidRPr="0006693F">
        <w:rPr>
          <w:lang w:val="en-US"/>
        </w:rPr>
        <w:t xml:space="preserve"> </w:t>
      </w:r>
      <w:r>
        <w:rPr>
          <w:lang w:val="en-US"/>
        </w:rPr>
        <w:tab/>
      </w:r>
      <w:r w:rsidRPr="007B38FA">
        <w:rPr>
          <w:lang w:val="en-US"/>
        </w:rPr>
        <w:t>HIPSSA</w:t>
      </w:r>
      <w:r>
        <w:rPr>
          <w:lang w:val="en-US"/>
        </w:rPr>
        <w:t>4</w:t>
      </w:r>
      <w:r w:rsidRPr="007B38FA">
        <w:rPr>
          <w:lang w:val="en-US"/>
        </w:rPr>
        <w:t>/SA-1 SADC ICT policy and legal framework review and update</w:t>
      </w:r>
      <w:r w:rsidRPr="007B38FA">
        <w:rPr>
          <w:rFonts w:hint="eastAsia"/>
          <w:lang w:val="en-US"/>
        </w:rPr>
        <w:t>–</w:t>
      </w:r>
      <w:r w:rsidRPr="007B38FA">
        <w:rPr>
          <w:lang w:val="en-US"/>
        </w:rPr>
        <w:t xml:space="preserve"> SADC Policy Guidelines on Convergence</w:t>
      </w:r>
      <w:r>
        <w:rPr>
          <w:lang w:val="en-US"/>
        </w:rPr>
        <w:t xml:space="preserve">; version to stakeholders 2010, </w:t>
      </w:r>
      <w:smartTag w:uri="urn:schemas-microsoft-com:office:smarttags" w:element="PersonName">
        <w:r w:rsidRPr="007B38FA">
          <w:rPr>
            <w:lang w:val="en-US"/>
          </w:rPr>
          <w:t>D</w:t>
        </w:r>
        <w:r w:rsidRPr="007B38FA">
          <w:rPr>
            <w:rFonts w:hint="eastAsia"/>
            <w:lang w:val="en-US"/>
          </w:rPr>
          <w:t>ü</w:t>
        </w:r>
        <w:r w:rsidRPr="007B38FA">
          <w:rPr>
            <w:lang w:val="en-US"/>
          </w:rPr>
          <w:t>sseldorf</w:t>
        </w:r>
      </w:smartTag>
    </w:p>
  </w:footnote>
  <w:footnote w:id="5">
    <w:p w:rsidR="00011AAB" w:rsidRPr="006B3DE2" w:rsidRDefault="00011AAB" w:rsidP="00011AAB">
      <w:pPr>
        <w:pStyle w:val="HIPfootnote"/>
        <w:rPr>
          <w:lang w:val="en-US"/>
        </w:rPr>
      </w:pPr>
      <w:r>
        <w:rPr>
          <w:rStyle w:val="FootnoteReference"/>
        </w:rPr>
        <w:footnoteRef/>
      </w:r>
      <w:r w:rsidRPr="0006693F">
        <w:rPr>
          <w:lang w:val="en-US"/>
        </w:rPr>
        <w:t xml:space="preserve"> </w:t>
      </w:r>
      <w:r>
        <w:rPr>
          <w:lang w:val="en-US"/>
        </w:rPr>
        <w:tab/>
      </w:r>
      <w:r w:rsidRPr="007B38FA">
        <w:rPr>
          <w:lang w:val="en-US"/>
        </w:rPr>
        <w:t xml:space="preserve">SADC Telecommunications Model Bill (Proposal: reword to </w:t>
      </w:r>
      <w:r w:rsidRPr="007B38FA">
        <w:rPr>
          <w:rFonts w:hint="eastAsia"/>
          <w:lang w:val="en-US"/>
        </w:rPr>
        <w:t>“</w:t>
      </w:r>
      <w:r w:rsidRPr="007B38FA">
        <w:rPr>
          <w:lang w:val="en-US"/>
        </w:rPr>
        <w:t>SA</w:t>
      </w:r>
      <w:r>
        <w:rPr>
          <w:lang w:val="en-US"/>
        </w:rPr>
        <w:t>D</w:t>
      </w:r>
      <w:r w:rsidRPr="007B38FA">
        <w:rPr>
          <w:lang w:val="en-US"/>
        </w:rPr>
        <w:t>C ICT Model Bill</w:t>
      </w:r>
      <w:r w:rsidRPr="007B38FA">
        <w:rPr>
          <w:rFonts w:hint="eastAsia"/>
          <w:lang w:val="en-US"/>
        </w:rPr>
        <w:t>”</w:t>
      </w:r>
      <w:r w:rsidRPr="007B38FA">
        <w:rPr>
          <w:lang w:val="en-US"/>
        </w:rPr>
        <w:t>)</w:t>
      </w:r>
      <w:r>
        <w:rPr>
          <w:lang w:val="en-US"/>
        </w:rPr>
        <w:t>; version to stakeholders, 2010, Angola</w:t>
      </w:r>
    </w:p>
  </w:footnote>
  <w:footnote w:id="6">
    <w:p w:rsidR="00011AAB" w:rsidRPr="00440BA2" w:rsidRDefault="00011AAB" w:rsidP="00011AAB">
      <w:pPr>
        <w:pStyle w:val="HIPfootnote"/>
        <w:rPr>
          <w:lang w:val="en-US"/>
        </w:rPr>
      </w:pPr>
      <w:r>
        <w:rPr>
          <w:rStyle w:val="FootnoteReference"/>
        </w:rPr>
        <w:footnoteRef/>
      </w:r>
      <w:r w:rsidRPr="00440BA2">
        <w:rPr>
          <w:lang w:val="en-US"/>
        </w:rPr>
        <w:t xml:space="preserve"> </w:t>
      </w:r>
      <w:r>
        <w:rPr>
          <w:lang w:val="en-US"/>
        </w:rPr>
        <w:tab/>
      </w:r>
      <w:r w:rsidR="000816B7">
        <w:fldChar w:fldCharType="begin"/>
      </w:r>
      <w:r w:rsidR="000816B7" w:rsidRPr="00A3379B">
        <w:rPr>
          <w:lang w:val="en-US"/>
        </w:rPr>
        <w:instrText>HYPERLINK "http://www.ucc.co.ug/rcdf/"</w:instrText>
      </w:r>
      <w:r w:rsidR="000816B7">
        <w:fldChar w:fldCharType="separate"/>
      </w:r>
      <w:r w:rsidRPr="00F1150F">
        <w:rPr>
          <w:rStyle w:val="Hyperlink"/>
          <w:lang w:val="en-US"/>
        </w:rPr>
        <w:t>www.ucc.co.ug/rcdf/</w:t>
      </w:r>
      <w:r w:rsidR="000816B7">
        <w:fldChar w:fldCharType="end"/>
      </w:r>
      <w:r w:rsidRPr="00440BA2">
        <w:rPr>
          <w:lang w:val="en-US"/>
        </w:rPr>
        <w:t xml:space="preserve"> </w:t>
      </w:r>
    </w:p>
  </w:footnote>
  <w:footnote w:id="7">
    <w:p w:rsidR="008E340F" w:rsidRPr="00537E83" w:rsidRDefault="008E340F" w:rsidP="008E340F">
      <w:pPr>
        <w:pStyle w:val="HIPfootnote"/>
        <w:rPr>
          <w:lang w:val="en-US"/>
        </w:rPr>
      </w:pPr>
      <w:r>
        <w:rPr>
          <w:rStyle w:val="FootnoteReference"/>
        </w:rPr>
        <w:footnoteRef/>
      </w:r>
      <w:r w:rsidRPr="00537E83">
        <w:rPr>
          <w:lang w:val="en-US"/>
        </w:rPr>
        <w:t xml:space="preserve"> </w:t>
      </w:r>
      <w:r>
        <w:rPr>
          <w:lang w:val="en-US"/>
        </w:rPr>
        <w:tab/>
      </w:r>
      <w:r w:rsidR="000816B7">
        <w:fldChar w:fldCharType="begin"/>
      </w:r>
      <w:r w:rsidR="000816B7" w:rsidRPr="00A3379B">
        <w:rPr>
          <w:lang w:val="en-US"/>
        </w:rPr>
        <w:instrText>HYPERLINK "http://infodev-study.oplan.org/the-study/folder.2006-02-02.6810074519/5-3-overview-of-types-of-financing-models/"</w:instrText>
      </w:r>
      <w:r w:rsidR="000816B7">
        <w:fldChar w:fldCharType="separate"/>
      </w:r>
      <w:r w:rsidRPr="00B56689">
        <w:rPr>
          <w:rStyle w:val="Hyperlink"/>
          <w:lang w:val="en-US"/>
        </w:rPr>
        <w:t>http://infodev-study.oplan.org/the-study/folder.2006-02-02.6810074519/5-3-overview-of-types-of-financing-models/</w:t>
      </w:r>
      <w:r w:rsidR="000816B7">
        <w:fldChar w:fldCharType="end"/>
      </w:r>
      <w:r>
        <w:rPr>
          <w:lang w:val="en-US"/>
        </w:rPr>
        <w:t xml:space="preserve"> </w:t>
      </w:r>
    </w:p>
  </w:footnote>
  <w:footnote w:id="8">
    <w:p w:rsidR="008E340F" w:rsidRPr="00483DC6" w:rsidRDefault="008E340F" w:rsidP="008E340F">
      <w:pPr>
        <w:pStyle w:val="HIPfootnote"/>
        <w:rPr>
          <w:lang w:val="en-US"/>
        </w:rPr>
      </w:pPr>
      <w:r>
        <w:rPr>
          <w:rStyle w:val="FootnoteReference"/>
        </w:rPr>
        <w:footnoteRef/>
      </w:r>
      <w:r w:rsidRPr="00483DC6">
        <w:rPr>
          <w:lang w:val="en-US"/>
        </w:rPr>
        <w:t xml:space="preserve"> </w:t>
      </w:r>
      <w:r>
        <w:rPr>
          <w:lang w:val="en-US"/>
        </w:rPr>
        <w:tab/>
      </w:r>
      <w:r w:rsidR="000816B7">
        <w:fldChar w:fldCharType="begin"/>
      </w:r>
      <w:r w:rsidR="000816B7" w:rsidRPr="00A3379B">
        <w:rPr>
          <w:lang w:val="en-US"/>
        </w:rPr>
        <w:instrText>HYPERLINK "http://www.ucc.co.ug/rcdf/index.php"</w:instrText>
      </w:r>
      <w:r w:rsidR="000816B7">
        <w:fldChar w:fldCharType="separate"/>
      </w:r>
      <w:r w:rsidRPr="007B38FA">
        <w:rPr>
          <w:rStyle w:val="Hyperlink"/>
          <w:lang w:val="en-US"/>
        </w:rPr>
        <w:t>www.ucc.co.ug/rcdf/index.php</w:t>
      </w:r>
      <w:r w:rsidR="000816B7">
        <w:fldChar w:fldCharType="end"/>
      </w:r>
      <w:r>
        <w:rPr>
          <w:rStyle w:val="HTMLCite"/>
          <w:rFonts w:ascii="Arial" w:hAnsi="Arial" w:cs="Arial"/>
          <w:lang w:val="en-US"/>
        </w:rPr>
        <w:t xml:space="preserve"> </w:t>
      </w:r>
    </w:p>
  </w:footnote>
  <w:footnote w:id="9">
    <w:p w:rsidR="008E340F" w:rsidRPr="0006693F" w:rsidRDefault="008E340F" w:rsidP="008E340F">
      <w:pPr>
        <w:pStyle w:val="HIPfootnote"/>
        <w:rPr>
          <w:lang w:val="en-US"/>
        </w:rPr>
      </w:pPr>
      <w:r>
        <w:rPr>
          <w:rStyle w:val="FootnoteReference"/>
        </w:rPr>
        <w:footnoteRef/>
      </w:r>
      <w:r w:rsidRPr="00025ECC">
        <w:rPr>
          <w:lang w:val="en-US"/>
        </w:rPr>
        <w:t xml:space="preserve"> </w:t>
      </w:r>
      <w:r>
        <w:rPr>
          <w:lang w:val="en-US"/>
        </w:rPr>
        <w:tab/>
      </w:r>
      <w:r w:rsidR="000816B7">
        <w:fldChar w:fldCharType="begin"/>
      </w:r>
      <w:r w:rsidR="000816B7" w:rsidRPr="00A3379B">
        <w:rPr>
          <w:lang w:val="en-US"/>
        </w:rPr>
        <w:instrText>HYPERLINK "http://www.broadband.gc.ca/pub/program/%20index.html"</w:instrText>
      </w:r>
      <w:r w:rsidR="000816B7">
        <w:fldChar w:fldCharType="separate"/>
      </w:r>
      <w:r w:rsidRPr="009E6BF3">
        <w:rPr>
          <w:rStyle w:val="Hyperlink"/>
          <w:lang w:val="en-US"/>
        </w:rPr>
        <w:t>www.broadband.gc.ca/pub/program/ index.html</w:t>
      </w:r>
      <w:r w:rsidR="000816B7">
        <w:fldChar w:fldCharType="end"/>
      </w:r>
    </w:p>
  </w:footnote>
  <w:footnote w:id="10">
    <w:p w:rsidR="008E340F" w:rsidRPr="008E340F" w:rsidRDefault="008E340F" w:rsidP="008E340F">
      <w:pPr>
        <w:pStyle w:val="HIPfootnote"/>
        <w:rPr>
          <w:lang w:val="en-US"/>
        </w:rPr>
      </w:pPr>
      <w:r>
        <w:rPr>
          <w:rStyle w:val="FootnoteReference"/>
        </w:rPr>
        <w:footnoteRef/>
      </w:r>
      <w:r w:rsidRPr="008E340F">
        <w:rPr>
          <w:lang w:val="en-US"/>
        </w:rPr>
        <w:tab/>
      </w:r>
      <w:r w:rsidR="000816B7">
        <w:fldChar w:fldCharType="begin"/>
      </w:r>
      <w:r w:rsidR="000816B7" w:rsidRPr="00A3379B">
        <w:rPr>
          <w:lang w:val="en-US"/>
        </w:rPr>
        <w:instrText>HYPERLINK "http://ec.europa.eu/competition/consultations/2009_broadband_guidelines/index.html"</w:instrText>
      </w:r>
      <w:r w:rsidR="000816B7">
        <w:fldChar w:fldCharType="separate"/>
      </w:r>
      <w:r w:rsidRPr="00B56689">
        <w:rPr>
          <w:rStyle w:val="Hyperlink"/>
          <w:lang w:val="en-US"/>
        </w:rPr>
        <w:t>http://ec.europa.eu/competition/consultations/2009_broadband_guidelines/index.html</w:t>
      </w:r>
      <w:r w:rsidR="000816B7">
        <w:fldChar w:fldCharType="end"/>
      </w:r>
      <w:r>
        <w:rPr>
          <w:lang w:val="en-US"/>
        </w:rPr>
        <w:t xml:space="preserve"> </w:t>
      </w:r>
    </w:p>
  </w:footnote>
  <w:footnote w:id="11">
    <w:p w:rsidR="008E340F" w:rsidRPr="009D3E91" w:rsidRDefault="008E340F" w:rsidP="008E340F">
      <w:pPr>
        <w:pStyle w:val="HIPfootnote"/>
        <w:rPr>
          <w:lang w:val="en-US"/>
        </w:rPr>
      </w:pPr>
      <w:r>
        <w:rPr>
          <w:rStyle w:val="FootnoteReference"/>
        </w:rPr>
        <w:footnoteRef/>
      </w:r>
      <w:r w:rsidRPr="009D3E91">
        <w:rPr>
          <w:lang w:val="en-US"/>
        </w:rPr>
        <w:t xml:space="preserve"> </w:t>
      </w:r>
      <w:r>
        <w:rPr>
          <w:lang w:val="en-US"/>
        </w:rPr>
        <w:tab/>
        <w:t xml:space="preserve">TO BE COMPLETED AND CONFIRMED WITH COUNTRY INPUT DURING INITIAL ROUND OF COMMENTS, AND VALIDATION WORKSHOP </w:t>
      </w:r>
    </w:p>
  </w:footnote>
  <w:footnote w:id="12">
    <w:p w:rsidR="00DB4F07" w:rsidRPr="00440BA2" w:rsidRDefault="00DB4F07" w:rsidP="00DB4F07">
      <w:pPr>
        <w:pStyle w:val="HIPfootnote"/>
        <w:rPr>
          <w:lang w:val="en-US"/>
        </w:rPr>
      </w:pPr>
      <w:r>
        <w:rPr>
          <w:rStyle w:val="FootnoteReference"/>
        </w:rPr>
        <w:footnoteRef/>
      </w:r>
      <w:r w:rsidRPr="00440BA2">
        <w:rPr>
          <w:lang w:val="en-US"/>
        </w:rPr>
        <w:t xml:space="preserve"> </w:t>
      </w:r>
      <w:r>
        <w:rPr>
          <w:lang w:val="en-US"/>
        </w:rPr>
        <w:tab/>
      </w:r>
      <w:r w:rsidRPr="00440BA2">
        <w:rPr>
          <w:lang w:val="en-US"/>
        </w:rPr>
        <w:t>New Models for Universal Access, page 202</w:t>
      </w:r>
    </w:p>
  </w:footnote>
  <w:footnote w:id="13">
    <w:p w:rsidR="00DB4F07" w:rsidRPr="00440BA2" w:rsidRDefault="00DB4F07" w:rsidP="00DB4F07">
      <w:pPr>
        <w:pStyle w:val="HIPfootnote"/>
        <w:rPr>
          <w:lang w:val="en-US"/>
        </w:rPr>
      </w:pPr>
      <w:r>
        <w:rPr>
          <w:rStyle w:val="FootnoteReference"/>
        </w:rPr>
        <w:footnoteRef/>
      </w:r>
      <w:r w:rsidRPr="00440BA2">
        <w:rPr>
          <w:lang w:val="en-US"/>
        </w:rPr>
        <w:t xml:space="preserve"> </w:t>
      </w:r>
      <w:r>
        <w:rPr>
          <w:lang w:val="en-US"/>
        </w:rPr>
        <w:tab/>
      </w:r>
      <w:r w:rsidRPr="00440BA2">
        <w:rPr>
          <w:lang w:val="en-US"/>
        </w:rPr>
        <w:t>New Models for Universal Access, page 203</w:t>
      </w:r>
    </w:p>
  </w:footnote>
  <w:footnote w:id="14">
    <w:p w:rsidR="00DB4F07" w:rsidRPr="00440BA2" w:rsidRDefault="00DB4F07" w:rsidP="0088668E">
      <w:pPr>
        <w:pStyle w:val="HIPfootnote"/>
        <w:rPr>
          <w:lang w:val="en-US"/>
        </w:rPr>
      </w:pPr>
      <w:r>
        <w:rPr>
          <w:rStyle w:val="FootnoteReference"/>
        </w:rPr>
        <w:footnoteRef/>
      </w:r>
      <w:r w:rsidR="0088668E">
        <w:rPr>
          <w:lang w:val="en-US"/>
        </w:rPr>
        <w:tab/>
      </w:r>
      <w:r w:rsidR="000816B7">
        <w:fldChar w:fldCharType="begin"/>
      </w:r>
      <w:r w:rsidR="000816B7" w:rsidRPr="00A3379B">
        <w:rPr>
          <w:lang w:val="en-US"/>
        </w:rPr>
        <w:instrText>HYPERLINK "http://www.ictregulationtoolkit.org/en/Section.3296.html"</w:instrText>
      </w:r>
      <w:r w:rsidR="000816B7">
        <w:fldChar w:fldCharType="separate"/>
      </w:r>
      <w:r w:rsidR="0088668E" w:rsidRPr="00A1145F">
        <w:rPr>
          <w:rStyle w:val="Hyperlink"/>
          <w:lang w:val="en-US"/>
        </w:rPr>
        <w:t>www.ictregulationtoolkit.org/en/Section.3296.html</w:t>
      </w:r>
      <w:r w:rsidR="000816B7">
        <w:fldChar w:fldCharType="end"/>
      </w:r>
      <w:r w:rsidRPr="00440BA2">
        <w:rPr>
          <w:lang w:val="en-US"/>
        </w:rPr>
        <w:t xml:space="preserve"> </w:t>
      </w:r>
    </w:p>
  </w:footnote>
  <w:footnote w:id="15">
    <w:p w:rsidR="00DB4F07" w:rsidRPr="003E798A" w:rsidRDefault="00DB4F07" w:rsidP="0059419C">
      <w:pPr>
        <w:pStyle w:val="HIPfootnote"/>
        <w:rPr>
          <w:lang w:val="en-US"/>
        </w:rPr>
      </w:pPr>
      <w:r>
        <w:rPr>
          <w:rStyle w:val="FootnoteReference"/>
        </w:rPr>
        <w:footnoteRef/>
      </w:r>
      <w:r w:rsidR="0059419C">
        <w:rPr>
          <w:lang w:val="en-US"/>
        </w:rPr>
        <w:tab/>
      </w:r>
      <w:r w:rsidR="000816B7">
        <w:fldChar w:fldCharType="begin"/>
      </w:r>
      <w:r w:rsidR="000816B7" w:rsidRPr="00A3379B">
        <w:rPr>
          <w:lang w:val="en-US"/>
        </w:rPr>
        <w:instrText>HYPERLINK "http://www.ictregulationtoolkit.org/en/Section.3286.html"</w:instrText>
      </w:r>
      <w:r w:rsidR="000816B7">
        <w:fldChar w:fldCharType="separate"/>
      </w:r>
      <w:r w:rsidR="0059419C" w:rsidRPr="009E6BF3">
        <w:rPr>
          <w:rStyle w:val="Hyperlink"/>
          <w:lang w:val="en-US"/>
        </w:rPr>
        <w:t>www.ictregulationtoolkit.org/en/Section.3286.html</w:t>
      </w:r>
      <w:r w:rsidR="000816B7">
        <w:fldChar w:fldCharType="end"/>
      </w:r>
      <w:r>
        <w:rPr>
          <w:lang w:val="en-US"/>
        </w:rPr>
        <w:t xml:space="preserve"> </w:t>
      </w:r>
    </w:p>
  </w:footnote>
  <w:footnote w:id="16">
    <w:p w:rsidR="00DB4F07" w:rsidRPr="00301558" w:rsidRDefault="00DB4F07" w:rsidP="0059419C">
      <w:pPr>
        <w:pStyle w:val="HIPfootnote"/>
        <w:rPr>
          <w:lang w:val="en-US"/>
        </w:rPr>
      </w:pPr>
      <w:r>
        <w:rPr>
          <w:rStyle w:val="FootnoteReference"/>
        </w:rPr>
        <w:footnoteRef/>
      </w:r>
      <w:r w:rsidRPr="00301558">
        <w:rPr>
          <w:lang w:val="en-US"/>
        </w:rPr>
        <w:t xml:space="preserve"> </w:t>
      </w:r>
      <w:r w:rsidR="0059419C">
        <w:rPr>
          <w:lang w:val="en-US"/>
        </w:rPr>
        <w:tab/>
      </w:r>
      <w:r>
        <w:rPr>
          <w:lang w:val="en-US"/>
        </w:rPr>
        <w:t>ICT Regulation Handbook, Section 5.4.1.</w:t>
      </w:r>
    </w:p>
  </w:footnote>
  <w:footnote w:id="17">
    <w:p w:rsidR="0059419C" w:rsidRPr="007A6E79" w:rsidRDefault="0059419C" w:rsidP="0059419C">
      <w:pPr>
        <w:pStyle w:val="HIPfootnote"/>
        <w:rPr>
          <w:lang w:val="en-US"/>
        </w:rPr>
      </w:pPr>
      <w:r>
        <w:rPr>
          <w:rStyle w:val="FootnoteReference"/>
        </w:rPr>
        <w:footnoteRef/>
      </w:r>
      <w:r>
        <w:rPr>
          <w:lang w:val="en-US"/>
        </w:rPr>
        <w:tab/>
        <w:t>OECD (reference properly</w:t>
      </w:r>
      <w:r w:rsidRPr="007A6E79">
        <w:rPr>
          <w:lang w:val="en-US"/>
        </w:rPr>
        <w:t>)</w:t>
      </w:r>
    </w:p>
  </w:footnote>
  <w:footnote w:id="18">
    <w:p w:rsidR="0059419C" w:rsidRPr="00440BA2" w:rsidRDefault="0059419C" w:rsidP="0059419C">
      <w:pPr>
        <w:pStyle w:val="HIPfootnote"/>
        <w:rPr>
          <w:lang w:val="en-US"/>
        </w:rPr>
      </w:pPr>
      <w:r>
        <w:rPr>
          <w:rStyle w:val="FootnoteReference"/>
        </w:rPr>
        <w:footnoteRef/>
      </w:r>
      <w:r w:rsidRPr="00440BA2">
        <w:rPr>
          <w:lang w:val="en-US"/>
        </w:rPr>
        <w:t xml:space="preserve"> </w:t>
      </w:r>
      <w:r>
        <w:rPr>
          <w:lang w:val="en-US"/>
        </w:rPr>
        <w:tab/>
      </w:r>
      <w:r w:rsidRPr="00440BA2">
        <w:rPr>
          <w:lang w:val="en-US"/>
        </w:rPr>
        <w:t>The Fund has been created in terms of the Communications Act 8 of 2009, however the Communications Act is not yet operational, and thus the Fund is not yet operational.</w:t>
      </w:r>
    </w:p>
  </w:footnote>
  <w:footnote w:id="19">
    <w:p w:rsidR="0059419C" w:rsidRPr="00440BA2" w:rsidRDefault="0059419C" w:rsidP="0059419C">
      <w:pPr>
        <w:pStyle w:val="HIPfootnote"/>
        <w:rPr>
          <w:lang w:val="en-US"/>
        </w:rPr>
      </w:pPr>
      <w:r>
        <w:rPr>
          <w:rStyle w:val="FootnoteReference"/>
        </w:rPr>
        <w:footnoteRef/>
      </w:r>
      <w:r w:rsidRPr="00440BA2">
        <w:rPr>
          <w:lang w:val="en-US"/>
        </w:rPr>
        <w:t xml:space="preserve"> </w:t>
      </w:r>
      <w:r>
        <w:rPr>
          <w:lang w:val="en-US"/>
        </w:rPr>
        <w:tab/>
      </w:r>
      <w:r w:rsidRPr="00440BA2">
        <w:rPr>
          <w:lang w:val="en-US"/>
        </w:rPr>
        <w:t>Zambia’s Fund is established in law (2009) however at this point in time, a Universal Access Programme has been established to work on projects, but not the Fund.</w:t>
      </w:r>
    </w:p>
  </w:footnote>
  <w:footnote w:id="20">
    <w:p w:rsidR="00D578A8" w:rsidRPr="009D3E91" w:rsidRDefault="00D578A8" w:rsidP="00D578A8">
      <w:pPr>
        <w:pStyle w:val="HIPfootnote"/>
        <w:rPr>
          <w:lang w:val="en-US"/>
        </w:rPr>
      </w:pPr>
      <w:r>
        <w:rPr>
          <w:rStyle w:val="FootnoteReference"/>
        </w:rPr>
        <w:footnoteRef/>
      </w:r>
      <w:r>
        <w:rPr>
          <w:lang w:val="en-US"/>
        </w:rPr>
        <w:tab/>
      </w:r>
      <w:r w:rsidRPr="009D3E91">
        <w:rPr>
          <w:lang w:val="en-US"/>
        </w:rPr>
        <w:t>“market efficiency gap” and “true</w:t>
      </w:r>
      <w:r>
        <w:rPr>
          <w:lang w:val="en-US"/>
        </w:rPr>
        <w:t xml:space="preserve"> access gap” as discussed</w:t>
      </w:r>
    </w:p>
  </w:footnote>
  <w:footnote w:id="21">
    <w:p w:rsidR="00D578A8" w:rsidRPr="009D3E91" w:rsidRDefault="00D578A8" w:rsidP="00D578A8">
      <w:pPr>
        <w:pStyle w:val="HIPfootnote"/>
        <w:rPr>
          <w:lang w:val="en-US"/>
        </w:rPr>
      </w:pPr>
      <w:r>
        <w:rPr>
          <w:rStyle w:val="FootnoteReference"/>
        </w:rPr>
        <w:footnoteRef/>
      </w:r>
      <w:r w:rsidRPr="009D3E91">
        <w:rPr>
          <w:lang w:val="en-US"/>
        </w:rPr>
        <w:t xml:space="preserve"> </w:t>
      </w:r>
      <w:r>
        <w:rPr>
          <w:lang w:val="en-US"/>
        </w:rPr>
        <w:tab/>
      </w:r>
      <w:r w:rsidRPr="009D3E91">
        <w:rPr>
          <w:lang w:val="en-US"/>
        </w:rPr>
        <w:t>OECD leveraging Telecommunications Policies for Pro-Poor Growth Universal Access Funds with Minimum Subsidy Auctions (2004)</w:t>
      </w:r>
    </w:p>
  </w:footnote>
  <w:footnote w:id="22">
    <w:p w:rsidR="00D578A8" w:rsidRPr="009D3E91" w:rsidRDefault="00D578A8" w:rsidP="00D578A8">
      <w:pPr>
        <w:pStyle w:val="HIPfootnote"/>
        <w:rPr>
          <w:lang w:val="en-US"/>
        </w:rPr>
      </w:pPr>
      <w:r>
        <w:rPr>
          <w:rStyle w:val="FootnoteReference"/>
        </w:rPr>
        <w:footnoteRef/>
      </w:r>
      <w:r>
        <w:rPr>
          <w:lang w:val="en-US"/>
        </w:rPr>
        <w:tab/>
      </w:r>
      <w:r w:rsidR="000816B7">
        <w:fldChar w:fldCharType="begin"/>
      </w:r>
      <w:r w:rsidR="000816B7" w:rsidRPr="00A3379B">
        <w:rPr>
          <w:lang w:val="en-US"/>
        </w:rPr>
        <w:instrText>HYPERLINK "http://www.wto.org/english/tratop_e/serv_e/telecom_e/tel23_e.htm"</w:instrText>
      </w:r>
      <w:r w:rsidR="000816B7">
        <w:fldChar w:fldCharType="separate"/>
      </w:r>
      <w:r w:rsidRPr="009E6BF3">
        <w:rPr>
          <w:rStyle w:val="Hyperlink"/>
          <w:lang w:val="en-US"/>
        </w:rPr>
        <w:t>www.wto.org/english/tratop_e/serv_e/telecom_e/tel23_e.htm</w:t>
      </w:r>
      <w:r w:rsidR="000816B7">
        <w:fldChar w:fldCharType="end"/>
      </w:r>
    </w:p>
  </w:footnote>
  <w:footnote w:id="23">
    <w:p w:rsidR="00D578A8" w:rsidRPr="00D578A8" w:rsidRDefault="00D578A8" w:rsidP="00D578A8">
      <w:pPr>
        <w:pStyle w:val="HIPfootnote"/>
        <w:rPr>
          <w:i/>
          <w:iCs/>
          <w:lang w:val="en-US"/>
        </w:rPr>
      </w:pPr>
      <w:r>
        <w:rPr>
          <w:rStyle w:val="FootnoteReference"/>
        </w:rPr>
        <w:footnoteRef/>
      </w:r>
      <w:r w:rsidRPr="009D3E91">
        <w:rPr>
          <w:lang w:val="en-US"/>
        </w:rPr>
        <w:t xml:space="preserve"> </w:t>
      </w:r>
      <w:r>
        <w:rPr>
          <w:lang w:val="en-US"/>
        </w:rPr>
        <w:tab/>
      </w:r>
      <w:r w:rsidRPr="009D3E91">
        <w:rPr>
          <w:lang w:val="en-US"/>
        </w:rPr>
        <w:t>Annexure 7 of CRASA Report, as updated</w:t>
      </w:r>
      <w:r>
        <w:rPr>
          <w:lang w:val="en-US"/>
        </w:rPr>
        <w:t xml:space="preserve">, </w:t>
      </w:r>
      <w:r w:rsidRPr="00D578A8">
        <w:rPr>
          <w:i/>
          <w:iCs/>
          <w:lang w:val="en-US"/>
        </w:rPr>
        <w:t>to be completed and confirmed with country input during initial round of comments, and validation workshop</w:t>
      </w:r>
    </w:p>
  </w:footnote>
  <w:footnote w:id="24">
    <w:p w:rsidR="00D578A8" w:rsidRPr="009D3E91" w:rsidRDefault="00D578A8" w:rsidP="00D578A8">
      <w:pPr>
        <w:pStyle w:val="HIPfootnote"/>
        <w:rPr>
          <w:lang w:val="en-US"/>
        </w:rPr>
      </w:pPr>
      <w:r>
        <w:rPr>
          <w:rStyle w:val="FootnoteReference"/>
        </w:rPr>
        <w:footnoteRef/>
      </w:r>
      <w:r w:rsidRPr="009D3E91">
        <w:rPr>
          <w:lang w:val="en-US"/>
        </w:rPr>
        <w:t xml:space="preserve"> </w:t>
      </w:r>
      <w:r>
        <w:rPr>
          <w:lang w:val="en-US"/>
        </w:rPr>
        <w:tab/>
      </w:r>
      <w:r w:rsidRPr="009D3E91">
        <w:rPr>
          <w:lang w:val="en-US"/>
        </w:rPr>
        <w:t>HIPSSA Review</w:t>
      </w:r>
    </w:p>
  </w:footnote>
  <w:footnote w:id="25">
    <w:p w:rsidR="00D578A8" w:rsidRPr="009D3E91" w:rsidRDefault="00D578A8" w:rsidP="00D578A8">
      <w:pPr>
        <w:pStyle w:val="HIPfootnote"/>
        <w:rPr>
          <w:lang w:val="en-US"/>
        </w:rPr>
      </w:pPr>
      <w:r>
        <w:rPr>
          <w:rStyle w:val="FootnoteReference"/>
        </w:rPr>
        <w:footnoteRef/>
      </w:r>
      <w:r w:rsidRPr="009D3E91">
        <w:rPr>
          <w:lang w:val="en-US"/>
        </w:rPr>
        <w:t xml:space="preserve"> </w:t>
      </w:r>
      <w:r>
        <w:rPr>
          <w:lang w:val="en-US"/>
        </w:rPr>
        <w:tab/>
      </w:r>
      <w:r w:rsidRPr="009D3E91">
        <w:rPr>
          <w:lang w:val="en-US"/>
        </w:rPr>
        <w:t>HIPSSA Review and Update</w:t>
      </w:r>
    </w:p>
  </w:footnote>
  <w:footnote w:id="26">
    <w:p w:rsidR="002F6B83" w:rsidRPr="00D648F1" w:rsidRDefault="002F6B83" w:rsidP="00DF469E">
      <w:pPr>
        <w:pStyle w:val="HIPfootnote"/>
        <w:rPr>
          <w:lang w:val="en-US"/>
        </w:rPr>
      </w:pPr>
      <w:r>
        <w:rPr>
          <w:rStyle w:val="FootnoteReference"/>
        </w:rPr>
        <w:footnoteRef/>
      </w:r>
      <w:r w:rsidRPr="00D648F1">
        <w:rPr>
          <w:lang w:val="en-US"/>
        </w:rPr>
        <w:t xml:space="preserve"> </w:t>
      </w:r>
      <w:r w:rsidR="00DF469E">
        <w:rPr>
          <w:lang w:val="en-US"/>
        </w:rPr>
        <w:tab/>
      </w:r>
      <w:r w:rsidRPr="00D648F1">
        <w:rPr>
          <w:lang w:val="en-US"/>
        </w:rPr>
        <w:t>HIPSSA Review, Seychelles Questionnaire Response</w:t>
      </w:r>
    </w:p>
  </w:footnote>
  <w:footnote w:id="27">
    <w:p w:rsidR="008C579A" w:rsidRPr="00C142FD" w:rsidRDefault="008C579A" w:rsidP="008C579A">
      <w:pPr>
        <w:pStyle w:val="HIPfootnote"/>
        <w:rPr>
          <w:lang w:val="en-US"/>
        </w:rPr>
      </w:pPr>
      <w:r>
        <w:rPr>
          <w:rStyle w:val="FootnoteReference"/>
        </w:rPr>
        <w:footnoteRef/>
      </w:r>
      <w:r w:rsidRPr="00C142FD">
        <w:rPr>
          <w:lang w:val="en-US"/>
        </w:rPr>
        <w:t xml:space="preserve"> </w:t>
      </w:r>
      <w:r>
        <w:rPr>
          <w:lang w:val="en-US"/>
        </w:rPr>
        <w:tab/>
      </w:r>
      <w:r w:rsidRPr="00C142FD">
        <w:rPr>
          <w:lang w:val="en-US"/>
        </w:rPr>
        <w:t xml:space="preserve">USF Pakistan Success Story, Pravez Iftikhar, USF CEO, presentation </w:t>
      </w:r>
      <w:r>
        <w:rPr>
          <w:lang w:val="en-US"/>
        </w:rPr>
        <w:br/>
      </w:r>
      <w:r w:rsidRPr="00C142FD">
        <w:rPr>
          <w:lang w:val="en-US"/>
        </w:rPr>
        <w:t>(</w:t>
      </w:r>
      <w:r w:rsidR="000816B7">
        <w:fldChar w:fldCharType="begin"/>
      </w:r>
      <w:r w:rsidR="000816B7" w:rsidRPr="00A3379B">
        <w:rPr>
          <w:lang w:val="en-US"/>
        </w:rPr>
        <w:instrText>HYPERLINK "http://www.itu.int/ITU-D/asp/CMS/Events/2010/Thailand-Broadband/Session4_Parvez_Iftikhar.pdf"</w:instrText>
      </w:r>
      <w:r w:rsidR="000816B7">
        <w:fldChar w:fldCharType="separate"/>
      </w:r>
      <w:r w:rsidRPr="007B1A5B">
        <w:rPr>
          <w:rStyle w:val="Hyperlink"/>
          <w:lang w:val="en-US"/>
        </w:rPr>
        <w:t>www.itu.int/ITU-D/asp/CMS/Events/2010/Thailand-Broadband/Session4_Parvez_Iftikhar.pdf</w:t>
      </w:r>
      <w:r w:rsidR="000816B7">
        <w:fldChar w:fldCharType="end"/>
      </w:r>
      <w:r w:rsidRPr="0006693F">
        <w:rPr>
          <w:lang w:val="en-US"/>
        </w:rPr>
        <w:t>)</w:t>
      </w:r>
      <w:r w:rsidRPr="00C142FD">
        <w:rPr>
          <w:lang w:val="en-US"/>
        </w:rPr>
        <w:t xml:space="preserve"> </w:t>
      </w:r>
    </w:p>
  </w:footnote>
  <w:footnote w:id="28">
    <w:p w:rsidR="008C579A" w:rsidRPr="00C142FD" w:rsidRDefault="008C579A" w:rsidP="008C579A">
      <w:pPr>
        <w:pStyle w:val="HIPfootnote"/>
        <w:rPr>
          <w:lang w:val="en-US"/>
        </w:rPr>
      </w:pPr>
      <w:r>
        <w:rPr>
          <w:rStyle w:val="FootnoteReference"/>
        </w:rPr>
        <w:footnoteRef/>
      </w:r>
      <w:r w:rsidRPr="00C142FD">
        <w:rPr>
          <w:lang w:val="en-US"/>
        </w:rPr>
        <w:t xml:space="preserve"> </w:t>
      </w:r>
      <w:r>
        <w:rPr>
          <w:lang w:val="en-US"/>
        </w:rPr>
        <w:tab/>
      </w:r>
      <w:r w:rsidRPr="00C142FD">
        <w:rPr>
          <w:lang w:val="en-US"/>
        </w:rPr>
        <w:t>EC COM 96/608</w:t>
      </w:r>
    </w:p>
  </w:footnote>
  <w:footnote w:id="29">
    <w:p w:rsidR="008C579A" w:rsidRPr="00C142FD" w:rsidRDefault="008C579A" w:rsidP="008C579A">
      <w:pPr>
        <w:pStyle w:val="HIPfootnote"/>
        <w:rPr>
          <w:lang w:val="en-US"/>
        </w:rPr>
      </w:pPr>
      <w:r>
        <w:rPr>
          <w:rStyle w:val="FootnoteReference"/>
        </w:rPr>
        <w:footnoteRef/>
      </w:r>
      <w:r w:rsidRPr="00C142FD">
        <w:rPr>
          <w:lang w:val="en-US"/>
        </w:rPr>
        <w:t xml:space="preserve"> </w:t>
      </w:r>
      <w:r>
        <w:rPr>
          <w:lang w:val="en-US"/>
        </w:rPr>
        <w:tab/>
      </w:r>
      <w:r w:rsidRPr="00C142FD">
        <w:rPr>
          <w:lang w:val="en-US"/>
        </w:rPr>
        <w:t>Mauritius Country Report to CRASA, 2009</w:t>
      </w:r>
    </w:p>
  </w:footnote>
  <w:footnote w:id="30">
    <w:p w:rsidR="008C579A" w:rsidRPr="008C579A" w:rsidRDefault="008C579A" w:rsidP="008C579A">
      <w:pPr>
        <w:pStyle w:val="HIPfootnote"/>
        <w:rPr>
          <w:i/>
          <w:iCs/>
          <w:lang w:val="en-US"/>
        </w:rPr>
      </w:pPr>
      <w:r>
        <w:rPr>
          <w:rStyle w:val="FootnoteReference"/>
        </w:rPr>
        <w:footnoteRef/>
      </w:r>
      <w:r w:rsidRPr="00C142FD">
        <w:rPr>
          <w:lang w:val="en-US"/>
        </w:rPr>
        <w:t xml:space="preserve"> </w:t>
      </w:r>
      <w:r>
        <w:rPr>
          <w:lang w:val="en-US"/>
        </w:rPr>
        <w:tab/>
      </w:r>
      <w:r w:rsidRPr="00C142FD">
        <w:rPr>
          <w:lang w:val="en-US"/>
        </w:rPr>
        <w:t>Annexure 7 of CRASA Report, as updated</w:t>
      </w:r>
      <w:r>
        <w:rPr>
          <w:lang w:val="en-US"/>
        </w:rPr>
        <w:t xml:space="preserve">, </w:t>
      </w:r>
      <w:r w:rsidRPr="008C579A">
        <w:rPr>
          <w:i/>
          <w:iCs/>
          <w:lang w:val="en-US"/>
        </w:rPr>
        <w:t>to be completed and confirmed with country input during initial round of comments, and validation workshop</w:t>
      </w:r>
    </w:p>
  </w:footnote>
  <w:footnote w:id="31">
    <w:p w:rsidR="008C579A" w:rsidRPr="008C579A" w:rsidRDefault="008C579A" w:rsidP="008C579A">
      <w:pPr>
        <w:pStyle w:val="HIPfootnote"/>
        <w:rPr>
          <w:lang w:val="en-US"/>
        </w:rPr>
      </w:pPr>
      <w:r>
        <w:rPr>
          <w:rStyle w:val="FootnoteReference"/>
        </w:rPr>
        <w:footnoteRef/>
      </w:r>
      <w:r w:rsidRPr="008C579A">
        <w:rPr>
          <w:lang w:val="en-US"/>
        </w:rPr>
        <w:tab/>
      </w:r>
      <w:r w:rsidR="000816B7">
        <w:fldChar w:fldCharType="begin"/>
      </w:r>
      <w:r w:rsidR="000816B7" w:rsidRPr="00A3379B">
        <w:rPr>
          <w:lang w:val="en-US"/>
        </w:rPr>
        <w:instrText>HYPERLINK "http://propakistani.pk/2010/08/31/usf-becomes-non-functional-no-new-projects-no-salaries-for-employees-for-months/"</w:instrText>
      </w:r>
      <w:r w:rsidR="000816B7">
        <w:fldChar w:fldCharType="separate"/>
      </w:r>
      <w:r w:rsidRPr="008C579A">
        <w:rPr>
          <w:rStyle w:val="Hyperlink"/>
          <w:lang w:val="en-US"/>
        </w:rPr>
        <w:t>http://propakistani.pk/2010/08/31/USAF-becomes-non-functional-no-new-projects-no-salaries-for-employees-for-months/</w:t>
      </w:r>
      <w:r w:rsidR="000816B7">
        <w:fldChar w:fldCharType="end"/>
      </w:r>
    </w:p>
  </w:footnote>
  <w:footnote w:id="32">
    <w:p w:rsidR="008C579A" w:rsidRPr="008C579A" w:rsidRDefault="008C579A" w:rsidP="008C579A">
      <w:pPr>
        <w:pStyle w:val="HIPfootnote"/>
        <w:rPr>
          <w:i/>
          <w:iCs/>
          <w:lang w:val="en-US"/>
        </w:rPr>
      </w:pPr>
      <w:r>
        <w:rPr>
          <w:rStyle w:val="FootnoteReference"/>
        </w:rPr>
        <w:footnoteRef/>
      </w:r>
      <w:r w:rsidRPr="004971EE">
        <w:rPr>
          <w:lang w:val="en-US"/>
        </w:rPr>
        <w:t xml:space="preserve"> </w:t>
      </w:r>
      <w:r>
        <w:rPr>
          <w:lang w:val="en-US"/>
        </w:rPr>
        <w:tab/>
      </w:r>
      <w:r w:rsidRPr="008C579A">
        <w:rPr>
          <w:i/>
          <w:iCs/>
          <w:lang w:val="en-US"/>
        </w:rPr>
        <w:t>to be completed and confirmed with country input during initial round of comments, and validation workshop</w:t>
      </w:r>
    </w:p>
  </w:footnote>
  <w:footnote w:id="33">
    <w:p w:rsidR="008C579A" w:rsidRPr="00C142FD" w:rsidRDefault="008C579A" w:rsidP="008C579A">
      <w:pPr>
        <w:pStyle w:val="HIPfootnote"/>
        <w:rPr>
          <w:lang w:val="en-US"/>
        </w:rPr>
      </w:pPr>
      <w:r>
        <w:rPr>
          <w:rStyle w:val="FootnoteReference"/>
        </w:rPr>
        <w:footnoteRef/>
      </w:r>
      <w:r w:rsidRPr="00C142FD">
        <w:rPr>
          <w:lang w:val="en-US"/>
        </w:rPr>
        <w:t xml:space="preserve"> </w:t>
      </w:r>
      <w:r>
        <w:rPr>
          <w:lang w:val="en-US"/>
        </w:rPr>
        <w:tab/>
      </w:r>
      <w:r w:rsidRPr="00C142FD">
        <w:rPr>
          <w:lang w:val="en-US"/>
        </w:rPr>
        <w:t>There will be an Independent Agency upon the ICT Act becoming operational, currently first disbursement to LinkNet done by Regulator</w:t>
      </w:r>
    </w:p>
  </w:footnote>
  <w:footnote w:id="34">
    <w:p w:rsidR="003D2DD5" w:rsidRPr="00C92AE0" w:rsidRDefault="003D2DD5" w:rsidP="005E5682">
      <w:pPr>
        <w:pStyle w:val="HIPfootnote"/>
        <w:rPr>
          <w:lang w:val="en-US"/>
        </w:rPr>
      </w:pPr>
      <w:r>
        <w:rPr>
          <w:rStyle w:val="FootnoteReference"/>
        </w:rPr>
        <w:footnoteRef/>
      </w:r>
      <w:r w:rsidRPr="0006693F">
        <w:rPr>
          <w:lang w:val="en-US"/>
        </w:rPr>
        <w:t xml:space="preserve"> </w:t>
      </w:r>
      <w:r>
        <w:rPr>
          <w:lang w:val="en-US"/>
        </w:rPr>
        <w:tab/>
      </w:r>
      <w:r w:rsidRPr="0006693F">
        <w:rPr>
          <w:rFonts w:hint="eastAsia"/>
          <w:lang w:val="en-US"/>
        </w:rPr>
        <w:t>«</w:t>
      </w:r>
      <w:r>
        <w:rPr>
          <w:lang w:val="en-US"/>
        </w:rPr>
        <w:t>Intel eLearning Deployment Guide: How to integrate ICT in Education for the 21</w:t>
      </w:r>
      <w:r w:rsidRPr="007B38FA">
        <w:rPr>
          <w:vertAlign w:val="superscript"/>
          <w:lang w:val="en-US"/>
        </w:rPr>
        <w:t>st</w:t>
      </w:r>
      <w:r>
        <w:rPr>
          <w:lang w:val="en-US"/>
        </w:rPr>
        <w:t xml:space="preserve"> Century</w:t>
      </w:r>
      <w:r>
        <w:rPr>
          <w:rFonts w:hint="eastAsia"/>
          <w:lang w:val="en-US"/>
        </w:rPr>
        <w:t>”</w:t>
      </w:r>
      <w:r>
        <w:rPr>
          <w:lang w:val="en-US"/>
        </w:rPr>
        <w:t xml:space="preserve"> published on </w:t>
      </w:r>
      <w:r w:rsidR="000816B7">
        <w:fldChar w:fldCharType="begin"/>
      </w:r>
      <w:r w:rsidR="000816B7" w:rsidRPr="00A3379B">
        <w:rPr>
          <w:lang w:val="en-US"/>
        </w:rPr>
        <w:instrText>HYPERLINK "http://www.intel.biz/Assets/PDF/designguide/Intel_elearning_Deployment_Guide.pdf"</w:instrText>
      </w:r>
      <w:r w:rsidR="000816B7">
        <w:fldChar w:fldCharType="separate"/>
      </w:r>
      <w:r w:rsidRPr="007B1A5B">
        <w:rPr>
          <w:rStyle w:val="Hyperlink"/>
          <w:lang w:val="en-US"/>
        </w:rPr>
        <w:t>www.intel.biz/Assets/PDF/designguide/Intel_elearning_Deployment_Guide.pdf</w:t>
      </w:r>
      <w:r w:rsidR="000816B7">
        <w:fldChar w:fldCharType="end"/>
      </w:r>
      <w:r>
        <w:rPr>
          <w:lang w:val="en-US"/>
        </w:rPr>
        <w:t xml:space="preserve"> and accessed on 31/01/2011</w:t>
      </w:r>
    </w:p>
  </w:footnote>
  <w:footnote w:id="35">
    <w:p w:rsidR="003D2DD5" w:rsidRPr="00F95631" w:rsidRDefault="003D2DD5" w:rsidP="003D2DD5">
      <w:pPr>
        <w:pStyle w:val="HIPfootnote"/>
        <w:rPr>
          <w:lang w:val="en-US"/>
        </w:rPr>
      </w:pPr>
      <w:r>
        <w:rPr>
          <w:rStyle w:val="FootnoteReference"/>
        </w:rPr>
        <w:footnoteRef/>
      </w:r>
      <w:r w:rsidRPr="00F95631">
        <w:rPr>
          <w:lang w:val="en-US"/>
        </w:rPr>
        <w:t xml:space="preserve"> </w:t>
      </w:r>
      <w:r>
        <w:rPr>
          <w:lang w:val="en-US"/>
        </w:rPr>
        <w:tab/>
      </w:r>
      <w:r w:rsidRPr="00F95631">
        <w:rPr>
          <w:lang w:val="en-US"/>
        </w:rPr>
        <w:t>In Lesotho, since 2009 the Fund collects 1 percent of the network operators’ net operating income. It furthermore started with a R10 million contribution from the LTA and 25 percent of the Regulator’s operating surplus.</w:t>
      </w:r>
    </w:p>
  </w:footnote>
  <w:footnote w:id="36">
    <w:p w:rsidR="003D2DD5" w:rsidRPr="00F95631" w:rsidRDefault="003D2DD5" w:rsidP="003D2DD5">
      <w:pPr>
        <w:pStyle w:val="HIPfootnote"/>
        <w:rPr>
          <w:lang w:val="en-US"/>
        </w:rPr>
      </w:pPr>
      <w:r>
        <w:rPr>
          <w:rStyle w:val="FootnoteReference"/>
        </w:rPr>
        <w:footnoteRef/>
      </w:r>
      <w:r w:rsidRPr="00F95631">
        <w:rPr>
          <w:lang w:val="en-US"/>
        </w:rPr>
        <w:t xml:space="preserve"> </w:t>
      </w:r>
      <w:r>
        <w:rPr>
          <w:lang w:val="en-US"/>
        </w:rPr>
        <w:tab/>
      </w:r>
      <w:r w:rsidRPr="00F95631">
        <w:rPr>
          <w:lang w:val="en-US"/>
        </w:rPr>
        <w:t>Seed funding of $1.2 million (R 10 million)</w:t>
      </w:r>
    </w:p>
  </w:footnote>
  <w:footnote w:id="37">
    <w:p w:rsidR="003D2DD5" w:rsidRPr="00F95631" w:rsidRDefault="003D2DD5" w:rsidP="003D2DD5">
      <w:pPr>
        <w:pStyle w:val="HIPfootnote"/>
        <w:rPr>
          <w:lang w:val="en-US"/>
        </w:rPr>
      </w:pPr>
      <w:r>
        <w:rPr>
          <w:rStyle w:val="FootnoteReference"/>
        </w:rPr>
        <w:footnoteRef/>
      </w:r>
      <w:r w:rsidRPr="00F95631">
        <w:rPr>
          <w:lang w:val="en-US"/>
        </w:rPr>
        <w:t xml:space="preserve"> </w:t>
      </w:r>
      <w:r>
        <w:rPr>
          <w:lang w:val="en-US"/>
        </w:rPr>
        <w:tab/>
      </w:r>
      <w:r w:rsidRPr="00F95631">
        <w:rPr>
          <w:lang w:val="en-US"/>
        </w:rPr>
        <w:t>According to section 42(8) of the 2009 ICT Bill, Swaziland’ Commission shall contribute all remaining unused funds or revenue to the Universal Service/Access Programme.</w:t>
      </w:r>
    </w:p>
  </w:footnote>
  <w:footnote w:id="38">
    <w:p w:rsidR="003D2DD5" w:rsidRPr="00F95631" w:rsidRDefault="003D2DD5" w:rsidP="003D2DD5">
      <w:pPr>
        <w:pStyle w:val="HIPfootnote"/>
        <w:rPr>
          <w:lang w:val="en-US"/>
        </w:rPr>
      </w:pPr>
      <w:r>
        <w:rPr>
          <w:rStyle w:val="FootnoteReference"/>
        </w:rPr>
        <w:footnoteRef/>
      </w:r>
      <w:r w:rsidRPr="00F95631">
        <w:rPr>
          <w:lang w:val="en-US"/>
        </w:rPr>
        <w:t xml:space="preserve"> </w:t>
      </w:r>
      <w:r>
        <w:rPr>
          <w:lang w:val="en-US"/>
        </w:rPr>
        <w:tab/>
      </w:r>
      <w:r w:rsidRPr="00F95631">
        <w:rPr>
          <w:lang w:val="en-US"/>
        </w:rPr>
        <w:t>Rethinking Universal Service for a Next Generation Network Environment, OECD 2006</w:t>
      </w:r>
    </w:p>
  </w:footnote>
  <w:footnote w:id="39">
    <w:p w:rsidR="00D61598" w:rsidRPr="00A2166D" w:rsidRDefault="00D61598" w:rsidP="00D61598">
      <w:pPr>
        <w:pStyle w:val="HIPfootnote"/>
        <w:rPr>
          <w:lang w:val="en-US"/>
        </w:rPr>
      </w:pPr>
      <w:r>
        <w:rPr>
          <w:rStyle w:val="FootnoteReference"/>
        </w:rPr>
        <w:footnoteRef/>
      </w:r>
      <w:r w:rsidRPr="00A2166D">
        <w:rPr>
          <w:lang w:val="en-US"/>
        </w:rPr>
        <w:t xml:space="preserve"> </w:t>
      </w:r>
      <w:r>
        <w:rPr>
          <w:lang w:val="en-US"/>
        </w:rPr>
        <w:tab/>
      </w:r>
      <w:r w:rsidRPr="00A2166D">
        <w:rPr>
          <w:lang w:val="en-US"/>
        </w:rPr>
        <w:t>Hudson H, Defining Universal Service Funds (Intermedia, March</w:t>
      </w:r>
      <w:r w:rsidR="005E5682">
        <w:rPr>
          <w:lang w:val="en-US"/>
        </w:rPr>
        <w:t xml:space="preserve"> </w:t>
      </w:r>
      <w:r w:rsidRPr="00A2166D">
        <w:rPr>
          <w:lang w:val="en-US"/>
        </w:rPr>
        <w:t>2010)</w:t>
      </w:r>
    </w:p>
  </w:footnote>
  <w:footnote w:id="40">
    <w:p w:rsidR="00D61598" w:rsidRPr="00F150D2" w:rsidRDefault="00D61598" w:rsidP="00D61598">
      <w:pPr>
        <w:pStyle w:val="HIPfootnote"/>
      </w:pPr>
      <w:r>
        <w:rPr>
          <w:rStyle w:val="FootnoteReference"/>
        </w:rPr>
        <w:footnoteRef/>
      </w:r>
      <w:r>
        <w:rPr>
          <w:lang w:val="en-US"/>
        </w:rPr>
        <w:t xml:space="preserve"> </w:t>
      </w:r>
      <w:r>
        <w:rPr>
          <w:lang w:val="en-US"/>
        </w:rPr>
        <w:tab/>
        <w:t xml:space="preserve">See Options to Increase Access to Telecommunications Services in Rural and Low Income Areas, Muente-Kunigami &amp; Navas-Sabater, World Bank, 2010. </w:t>
      </w:r>
      <w:r w:rsidR="000816B7">
        <w:fldChar w:fldCharType="begin"/>
      </w:r>
      <w:r w:rsidR="000816B7" w:rsidRPr="00A3379B">
        <w:rPr>
          <w:lang w:val="en-US"/>
        </w:rPr>
        <w:instrText>HYPERLINK "http://siteresources.worldbank.org/EXTINFORMATIONANDCOMMUNICATIONANDTECHNOLOGIES/Resources/282822-1208273252769/Options_to_Increase_Access_to_Telecommunications_Services_in_rural_and_Low-Income_Areas.pdf"</w:instrText>
      </w:r>
      <w:r w:rsidR="000816B7">
        <w:fldChar w:fldCharType="separate"/>
      </w:r>
      <w:r w:rsidRPr="00F150D2">
        <w:rPr>
          <w:rStyle w:val="Hyperlink"/>
        </w:rPr>
        <w:t>http://siteresources.worldbank.org/EXTINFORMATIONANDCOMMUNICATIONANDTECHNOLOGIES/Resources/282822-1208273252769/Options_to_Increase_Access_to_Telecommunications_Services_in_rural_and_Low-Income_Areas.pdf</w:t>
      </w:r>
      <w:r w:rsidR="000816B7">
        <w:fldChar w:fldCharType="end"/>
      </w:r>
      <w:r w:rsidRPr="00F150D2">
        <w:t xml:space="preserve"> </w:t>
      </w:r>
    </w:p>
  </w:footnote>
  <w:footnote w:id="41">
    <w:p w:rsidR="00D61598" w:rsidRPr="00D61598" w:rsidRDefault="00D61598" w:rsidP="00D61598">
      <w:pPr>
        <w:pStyle w:val="HIPfootnote"/>
        <w:rPr>
          <w:i/>
          <w:iCs/>
          <w:lang w:val="en-US"/>
        </w:rPr>
      </w:pPr>
      <w:r>
        <w:rPr>
          <w:rStyle w:val="FootnoteReference"/>
        </w:rPr>
        <w:footnoteRef/>
      </w:r>
      <w:r w:rsidRPr="00A2166D">
        <w:rPr>
          <w:lang w:val="en-US"/>
        </w:rPr>
        <w:t xml:space="preserve"> </w:t>
      </w:r>
      <w:r>
        <w:rPr>
          <w:lang w:val="en-US"/>
        </w:rPr>
        <w:tab/>
      </w:r>
      <w:r w:rsidRPr="00A2166D">
        <w:rPr>
          <w:lang w:val="en-US"/>
        </w:rPr>
        <w:t xml:space="preserve">HIPSSA </w:t>
      </w:r>
      <w:r w:rsidRPr="00D61598">
        <w:rPr>
          <w:i/>
          <w:iCs/>
          <w:lang w:val="en-US"/>
        </w:rPr>
        <w:t>Review, to be completed and confirmed with country input during initial round of comments, and validation workshop</w:t>
      </w:r>
    </w:p>
  </w:footnote>
  <w:footnote w:id="42">
    <w:p w:rsidR="00D61598" w:rsidRPr="00A2166D" w:rsidRDefault="00D61598" w:rsidP="00D61598">
      <w:pPr>
        <w:pStyle w:val="HIPfootnote"/>
        <w:rPr>
          <w:lang w:val="en-US"/>
        </w:rPr>
      </w:pPr>
      <w:r>
        <w:rPr>
          <w:rStyle w:val="FootnoteReference"/>
        </w:rPr>
        <w:footnoteRef/>
      </w:r>
      <w:r w:rsidRPr="00A2166D">
        <w:rPr>
          <w:lang w:val="en-US"/>
        </w:rPr>
        <w:t xml:space="preserve"> </w:t>
      </w:r>
      <w:r>
        <w:rPr>
          <w:lang w:val="en-US"/>
        </w:rPr>
        <w:tab/>
      </w:r>
      <w:r w:rsidRPr="00A2166D">
        <w:rPr>
          <w:lang w:val="en-US"/>
        </w:rPr>
        <w:t>Sepulveda, 2009</w:t>
      </w:r>
    </w:p>
  </w:footnote>
  <w:footnote w:id="43">
    <w:p w:rsidR="00D61598" w:rsidRPr="00A2166D" w:rsidRDefault="00D61598" w:rsidP="00D61598">
      <w:pPr>
        <w:pStyle w:val="HIPfootnote"/>
        <w:rPr>
          <w:lang w:val="en-US"/>
        </w:rPr>
      </w:pPr>
      <w:r>
        <w:rPr>
          <w:rStyle w:val="FootnoteReference"/>
        </w:rPr>
        <w:footnoteRef/>
      </w:r>
      <w:r>
        <w:rPr>
          <w:lang w:val="en-US"/>
        </w:rPr>
        <w:t xml:space="preserve"> </w:t>
      </w:r>
      <w:r>
        <w:rPr>
          <w:lang w:val="en-US"/>
        </w:rPr>
        <w:tab/>
        <w:t xml:space="preserve">Available at </w:t>
      </w:r>
      <w:r w:rsidR="000816B7">
        <w:fldChar w:fldCharType="begin"/>
      </w:r>
      <w:r w:rsidR="000816B7" w:rsidRPr="00A3379B">
        <w:rPr>
          <w:lang w:val="en-US"/>
        </w:rPr>
        <w:instrText>HYPERLINK "http://www.potraz.gov.zw/index.php/component/blog_calendar/?year=2010&amp;month=03&amp;modid=80&amp;start=40"</w:instrText>
      </w:r>
      <w:r w:rsidR="000816B7">
        <w:fldChar w:fldCharType="separate"/>
      </w:r>
      <w:r w:rsidRPr="007B1A5B">
        <w:rPr>
          <w:rStyle w:val="Hyperlink"/>
          <w:lang w:val="en-US"/>
        </w:rPr>
        <w:t>www.potraz.gov.zw/index.php/component/blog_calendar/?year=2010&amp;month=03&amp;modid=80&amp;start=40</w:t>
      </w:r>
      <w:r w:rsidR="000816B7">
        <w:fldChar w:fldCharType="end"/>
      </w:r>
      <w:r w:rsidRPr="00A2166D">
        <w:rPr>
          <w:lang w:val="en-US"/>
        </w:rPr>
        <w:t xml:space="preserve"> </w:t>
      </w:r>
      <w:r>
        <w:rPr>
          <w:lang w:val="en-US"/>
        </w:rPr>
        <w:t>as reflected on 2/02/2011</w:t>
      </w:r>
    </w:p>
  </w:footnote>
  <w:footnote w:id="44">
    <w:p w:rsidR="00250036" w:rsidRPr="008479E2" w:rsidRDefault="00250036" w:rsidP="00250036">
      <w:pPr>
        <w:pStyle w:val="HIPfootnote"/>
        <w:rPr>
          <w:lang w:val="en-US"/>
        </w:rPr>
      </w:pPr>
      <w:r>
        <w:rPr>
          <w:rStyle w:val="FootnoteReference"/>
        </w:rPr>
        <w:footnoteRef/>
      </w:r>
      <w:r w:rsidRPr="008479E2">
        <w:rPr>
          <w:lang w:val="en-US"/>
        </w:rPr>
        <w:t xml:space="preserve"> </w:t>
      </w:r>
      <w:r>
        <w:rPr>
          <w:lang w:val="en-US"/>
        </w:rPr>
        <w:tab/>
        <w:t>GSM Association , 2009</w:t>
      </w:r>
    </w:p>
  </w:footnote>
  <w:footnote w:id="45">
    <w:p w:rsidR="00250036" w:rsidRPr="00BB1905" w:rsidRDefault="00250036" w:rsidP="00250036">
      <w:pPr>
        <w:pStyle w:val="HIPfootnote"/>
        <w:rPr>
          <w:lang w:val="en-US"/>
        </w:rPr>
      </w:pPr>
      <w:r>
        <w:rPr>
          <w:rStyle w:val="FootnoteReference"/>
        </w:rPr>
        <w:footnoteRef/>
      </w:r>
      <w:r w:rsidRPr="00BB1905">
        <w:rPr>
          <w:lang w:val="en-US"/>
        </w:rPr>
        <w:t xml:space="preserve"> </w:t>
      </w:r>
      <w:r>
        <w:rPr>
          <w:lang w:val="en-US"/>
        </w:rPr>
        <w:tab/>
        <w:t xml:space="preserve">See Complete list of EC decisions at </w:t>
      </w:r>
      <w:r w:rsidR="000816B7">
        <w:fldChar w:fldCharType="begin"/>
      </w:r>
      <w:r w:rsidR="000816B7" w:rsidRPr="00A3379B">
        <w:rPr>
          <w:lang w:val="en-US"/>
        </w:rPr>
        <w:instrText>HYPERLINK "http://ec.europa.eu/competition/sectors/telecommunications/broadband_decisions.pdf"</w:instrText>
      </w:r>
      <w:r w:rsidR="000816B7">
        <w:fldChar w:fldCharType="separate"/>
      </w:r>
      <w:r w:rsidRPr="00C87AEB">
        <w:rPr>
          <w:rStyle w:val="Hyperlink"/>
          <w:lang w:val="en-US"/>
        </w:rPr>
        <w:t>http://ec.europa.eu/competition/sectors/telecommunications/broadband_decisions.pdf</w:t>
      </w:r>
      <w:r w:rsidR="000816B7">
        <w:fldChar w:fldCharType="end"/>
      </w:r>
      <w:r>
        <w:rPr>
          <w:lang w:val="en-US"/>
        </w:rPr>
        <w:t xml:space="preserve"> </w:t>
      </w:r>
    </w:p>
  </w:footnote>
  <w:footnote w:id="46">
    <w:p w:rsidR="00250036" w:rsidRPr="00E94C78" w:rsidRDefault="00250036" w:rsidP="00250036">
      <w:pPr>
        <w:pStyle w:val="HIPfootnote"/>
        <w:rPr>
          <w:lang w:val="en-US"/>
        </w:rPr>
      </w:pPr>
      <w:r>
        <w:rPr>
          <w:rStyle w:val="FootnoteReference"/>
        </w:rPr>
        <w:footnoteRef/>
      </w:r>
      <w:r>
        <w:rPr>
          <w:lang w:val="en-US"/>
        </w:rPr>
        <w:t xml:space="preserve"> </w:t>
      </w:r>
      <w:r>
        <w:rPr>
          <w:lang w:val="en-US"/>
        </w:rPr>
        <w:tab/>
        <w:t>Available</w:t>
      </w:r>
      <w:r w:rsidR="005E5682">
        <w:rPr>
          <w:lang w:val="en-US"/>
        </w:rPr>
        <w:t xml:space="preserve"> </w:t>
      </w:r>
      <w:r w:rsidR="000816B7">
        <w:fldChar w:fldCharType="begin"/>
      </w:r>
      <w:r w:rsidR="000816B7" w:rsidRPr="00A3379B">
        <w:rPr>
          <w:lang w:val="en-US"/>
        </w:rPr>
        <w:instrText>HYPERLINK "http://europa.eu/rapid/pressReleasesAction.do?reference=IP/11/54&amp;format=HTML&amp;aged=0&amp;language=EN&amp;guiLanguage=en"</w:instrText>
      </w:r>
      <w:r w:rsidR="000816B7">
        <w:fldChar w:fldCharType="separate"/>
      </w:r>
      <w:r w:rsidRPr="0095719F">
        <w:rPr>
          <w:rStyle w:val="Hyperlink"/>
          <w:lang w:val="en-US"/>
        </w:rPr>
        <w:t>http://europa.eu/rapid/pressReleasesAction.do?reference=IP/11/54&amp;format=HTML&amp;aged=0&amp;language=EN&amp;guiLanguage=en</w:t>
      </w:r>
      <w:r w:rsidR="000816B7">
        <w:fldChar w:fldCharType="end"/>
      </w:r>
      <w:r>
        <w:rPr>
          <w:lang w:val="en-US"/>
        </w:rPr>
        <w:t xml:space="preserve"> as reflected on 2/02/2011</w:t>
      </w:r>
    </w:p>
  </w:footnote>
  <w:footnote w:id="47">
    <w:p w:rsidR="00250036" w:rsidRPr="00250036" w:rsidRDefault="00250036" w:rsidP="00250036">
      <w:pPr>
        <w:pStyle w:val="HIPfootnote"/>
        <w:rPr>
          <w:i/>
          <w:iCs/>
          <w:lang w:val="en-US"/>
        </w:rPr>
      </w:pPr>
      <w:r>
        <w:rPr>
          <w:rStyle w:val="FootnoteReference"/>
        </w:rPr>
        <w:footnoteRef/>
      </w:r>
      <w:r w:rsidRPr="00B37DAE">
        <w:rPr>
          <w:lang w:val="en-US"/>
        </w:rPr>
        <w:t xml:space="preserve"> </w:t>
      </w:r>
      <w:r>
        <w:rPr>
          <w:lang w:val="en-US"/>
        </w:rPr>
        <w:tab/>
      </w:r>
      <w:r w:rsidRPr="00B37DAE">
        <w:rPr>
          <w:lang w:val="en-US"/>
        </w:rPr>
        <w:t>RIA Sector Performance Review, Mozambique (2009/10); uses August 2010 exchange rates to arrive a</w:t>
      </w:r>
      <w:r>
        <w:rPr>
          <w:lang w:val="en-US"/>
        </w:rPr>
        <w:t xml:space="preserve">t dollar amounts, </w:t>
      </w:r>
      <w:r w:rsidRPr="00250036">
        <w:rPr>
          <w:i/>
          <w:iCs/>
          <w:lang w:val="en-US"/>
        </w:rPr>
        <w:t>2009 values to be completed and confirmed with country input during initial round of comments, and validation workshop</w:t>
      </w:r>
    </w:p>
  </w:footnote>
  <w:footnote w:id="48">
    <w:p w:rsidR="00250036" w:rsidRPr="00B37DAE" w:rsidRDefault="00250036" w:rsidP="00250036">
      <w:pPr>
        <w:pStyle w:val="HIPfootnote"/>
        <w:rPr>
          <w:lang w:val="en-US"/>
        </w:rPr>
      </w:pPr>
      <w:r>
        <w:rPr>
          <w:rStyle w:val="FootnoteReference"/>
        </w:rPr>
        <w:footnoteRef/>
      </w:r>
      <w:r w:rsidRPr="00B37DAE">
        <w:rPr>
          <w:lang w:val="en-US"/>
        </w:rPr>
        <w:t xml:space="preserve"> </w:t>
      </w:r>
      <w:r>
        <w:rPr>
          <w:lang w:val="en-US"/>
        </w:rPr>
        <w:tab/>
      </w:r>
      <w:r w:rsidRPr="00B37DAE">
        <w:rPr>
          <w:lang w:val="en-US"/>
        </w:rPr>
        <w:t>HIPSSA Review</w:t>
      </w:r>
    </w:p>
  </w:footnote>
  <w:footnote w:id="49">
    <w:p w:rsidR="00250036" w:rsidRPr="00B37DAE" w:rsidRDefault="00250036" w:rsidP="00250036">
      <w:pPr>
        <w:pStyle w:val="HIPfootnote"/>
        <w:rPr>
          <w:lang w:val="en-US"/>
        </w:rPr>
      </w:pPr>
      <w:r>
        <w:rPr>
          <w:rStyle w:val="FootnoteReference"/>
        </w:rPr>
        <w:footnoteRef/>
      </w:r>
      <w:r w:rsidRPr="00B37DAE">
        <w:rPr>
          <w:lang w:val="en-US"/>
        </w:rPr>
        <w:t xml:space="preserve"> </w:t>
      </w:r>
      <w:r>
        <w:rPr>
          <w:lang w:val="en-US"/>
        </w:rPr>
        <w:tab/>
      </w:r>
      <w:r w:rsidRPr="00B37DAE">
        <w:rPr>
          <w:lang w:val="en-US"/>
        </w:rPr>
        <w:t>Fund has not started collecting from operators yet – seed funding was provided by regulator</w:t>
      </w:r>
    </w:p>
  </w:footnote>
  <w:footnote w:id="50">
    <w:p w:rsidR="00250036" w:rsidRPr="00250036" w:rsidRDefault="00250036" w:rsidP="00250036">
      <w:pPr>
        <w:pStyle w:val="HIPfootnote"/>
        <w:rPr>
          <w:i/>
          <w:iCs/>
          <w:lang w:val="en-US"/>
        </w:rPr>
      </w:pPr>
      <w:r>
        <w:rPr>
          <w:rStyle w:val="FootnoteReference"/>
        </w:rPr>
        <w:footnoteRef/>
      </w:r>
      <w:r w:rsidRPr="00D0075D">
        <w:rPr>
          <w:lang w:val="en-US"/>
        </w:rPr>
        <w:t xml:space="preserve"> </w:t>
      </w:r>
      <w:r>
        <w:rPr>
          <w:lang w:val="en-US"/>
        </w:rPr>
        <w:tab/>
      </w:r>
      <w:r w:rsidRPr="00250036">
        <w:rPr>
          <w:i/>
          <w:iCs/>
          <w:lang w:val="en-US"/>
        </w:rPr>
        <w:t>to be confirmed with country input during initial round of comments, and validation workshop</w:t>
      </w:r>
    </w:p>
  </w:footnote>
  <w:footnote w:id="51">
    <w:p w:rsidR="00250036" w:rsidRPr="00B37DAE" w:rsidRDefault="00250036" w:rsidP="00250036">
      <w:pPr>
        <w:pStyle w:val="HIPfootnote"/>
        <w:rPr>
          <w:lang w:val="en-US"/>
        </w:rPr>
      </w:pPr>
      <w:r>
        <w:rPr>
          <w:rStyle w:val="FootnoteReference"/>
        </w:rPr>
        <w:footnoteRef/>
      </w:r>
      <w:r w:rsidRPr="00B37DAE">
        <w:rPr>
          <w:lang w:val="en-US"/>
        </w:rPr>
        <w:t xml:space="preserve"> </w:t>
      </w:r>
      <w:r>
        <w:rPr>
          <w:lang w:val="en-US"/>
        </w:rPr>
        <w:tab/>
      </w:r>
      <w:r w:rsidRPr="00B37DAE">
        <w:rPr>
          <w:lang w:val="en-US"/>
        </w:rPr>
        <w:t>HIPSSA Review</w:t>
      </w:r>
      <w:r>
        <w:rPr>
          <w:lang w:val="en-US"/>
        </w:rPr>
        <w:t xml:space="preserve">, </w:t>
      </w:r>
      <w:r w:rsidRPr="00250036">
        <w:rPr>
          <w:i/>
          <w:iCs/>
          <w:lang w:val="en-US"/>
        </w:rPr>
        <w:t>to be confirmed with country input during initial round of comments, and validation workshop</w:t>
      </w:r>
    </w:p>
  </w:footnote>
  <w:footnote w:id="52">
    <w:p w:rsidR="0075785A" w:rsidRPr="004D01BE" w:rsidRDefault="0075785A" w:rsidP="0075785A">
      <w:pPr>
        <w:pStyle w:val="HIPfootnote"/>
        <w:rPr>
          <w:lang w:val="en-US"/>
        </w:rPr>
      </w:pPr>
      <w:r>
        <w:rPr>
          <w:rStyle w:val="FootnoteReference"/>
        </w:rPr>
        <w:footnoteRef/>
      </w:r>
      <w:r w:rsidRPr="004D01BE">
        <w:rPr>
          <w:lang w:val="en-US"/>
        </w:rPr>
        <w:t xml:space="preserve"> </w:t>
      </w:r>
      <w:r>
        <w:rPr>
          <w:lang w:val="en-US"/>
        </w:rPr>
        <w:tab/>
        <w:t xml:space="preserve">Available at </w:t>
      </w:r>
      <w:r w:rsidR="000816B7">
        <w:fldChar w:fldCharType="begin"/>
      </w:r>
      <w:r w:rsidR="000816B7" w:rsidRPr="00A3379B">
        <w:rPr>
          <w:lang w:val="en-US"/>
        </w:rPr>
        <w:instrText>HYPERLINK "http://www.ucc.co.ug/rcdf/"</w:instrText>
      </w:r>
      <w:r w:rsidR="000816B7">
        <w:fldChar w:fldCharType="separate"/>
      </w:r>
      <w:r w:rsidRPr="007B1A5B">
        <w:rPr>
          <w:rStyle w:val="Hyperlink"/>
          <w:lang w:val="en-US"/>
        </w:rPr>
        <w:t>www.ucc.co.ug/rcdf/</w:t>
      </w:r>
      <w:r w:rsidR="000816B7">
        <w:fldChar w:fldCharType="end"/>
      </w:r>
      <w:r w:rsidRPr="0006693F">
        <w:rPr>
          <w:lang w:val="en-US"/>
        </w:rPr>
        <w:t xml:space="preserve"> as accessed on 2/02/2011</w:t>
      </w:r>
      <w:r w:rsidRPr="004D01BE">
        <w:rPr>
          <w:lang w:val="en-US"/>
        </w:rPr>
        <w:t xml:space="preserve"> </w:t>
      </w:r>
    </w:p>
  </w:footnote>
  <w:footnote w:id="53">
    <w:p w:rsidR="00A25B99" w:rsidRPr="00FC3094" w:rsidRDefault="00A25B99" w:rsidP="00A25B99">
      <w:pPr>
        <w:pStyle w:val="HIPfootnote"/>
        <w:rPr>
          <w:lang w:val="en-US"/>
        </w:rPr>
      </w:pPr>
      <w:r>
        <w:rPr>
          <w:rStyle w:val="FootnoteReference"/>
        </w:rPr>
        <w:footnoteRef/>
      </w:r>
      <w:r w:rsidRPr="00FC3094">
        <w:rPr>
          <w:lang w:val="en-US"/>
        </w:rPr>
        <w:t xml:space="preserve"> </w:t>
      </w:r>
      <w:r>
        <w:rPr>
          <w:lang w:val="en-US"/>
        </w:rPr>
        <w:tab/>
      </w:r>
      <w:r w:rsidRPr="00FC3094">
        <w:rPr>
          <w:lang w:val="en-US"/>
        </w:rPr>
        <w:t xml:space="preserve">Andrew Dymond &amp; Sonja Oestmann, “Universal Access and Rural Communication Development Funds: Success factors world-wide and practical insights from Uganda”, Intelecon Research &amp; Consultancy Ltd, 5August 2002. </w:t>
      </w:r>
    </w:p>
  </w:footnote>
  <w:footnote w:id="54">
    <w:p w:rsidR="00A25B99" w:rsidRPr="004D01BE" w:rsidRDefault="00A25B99" w:rsidP="00A25B99">
      <w:pPr>
        <w:pStyle w:val="HIPfootnote"/>
        <w:rPr>
          <w:lang w:val="en-US"/>
        </w:rPr>
      </w:pPr>
      <w:r>
        <w:rPr>
          <w:rStyle w:val="FootnoteReference"/>
        </w:rPr>
        <w:footnoteRef/>
      </w:r>
      <w:r w:rsidRPr="004D01BE">
        <w:rPr>
          <w:lang w:val="en-US"/>
        </w:rPr>
        <w:t xml:space="preserve"> </w:t>
      </w:r>
      <w:r>
        <w:rPr>
          <w:lang w:val="en-US"/>
        </w:rPr>
        <w:tab/>
      </w:r>
      <w:r w:rsidRPr="004D01BE">
        <w:rPr>
          <w:lang w:val="en-US"/>
        </w:rPr>
        <w:t>Sepulveda, Report on USFs in Sub Saharan Africa</w:t>
      </w:r>
    </w:p>
  </w:footnote>
  <w:footnote w:id="55">
    <w:p w:rsidR="00A25B99" w:rsidRPr="00622063" w:rsidRDefault="00A25B99" w:rsidP="00A25B99">
      <w:pPr>
        <w:pStyle w:val="HIPfootnote"/>
        <w:rPr>
          <w:lang w:val="en-US"/>
        </w:rPr>
      </w:pPr>
      <w:r>
        <w:rPr>
          <w:rStyle w:val="FootnoteReference"/>
        </w:rPr>
        <w:footnoteRef/>
      </w:r>
      <w:r w:rsidRPr="0046428C">
        <w:rPr>
          <w:lang w:val="en-US"/>
        </w:rPr>
        <w:t xml:space="preserve"> </w:t>
      </w:r>
      <w:r>
        <w:rPr>
          <w:lang w:val="en-US"/>
        </w:rPr>
        <w:tab/>
      </w:r>
      <w:r w:rsidRPr="0046428C">
        <w:rPr>
          <w:lang w:val="en-US"/>
        </w:rPr>
        <w:t>Adapted from USAID, TIPS Reort, 1997</w:t>
      </w:r>
    </w:p>
  </w:footnote>
  <w:footnote w:id="56">
    <w:p w:rsidR="00A25B99" w:rsidRPr="0006693F" w:rsidRDefault="00A25B99" w:rsidP="00A25B99">
      <w:pPr>
        <w:pStyle w:val="HIPfootnote"/>
        <w:rPr>
          <w:b/>
          <w:caps/>
          <w:sz w:val="28"/>
          <w:lang w:val="en-US"/>
        </w:rPr>
      </w:pPr>
      <w:r>
        <w:rPr>
          <w:rStyle w:val="FootnoteReference"/>
        </w:rPr>
        <w:footnoteRef/>
      </w:r>
      <w:r w:rsidRPr="00352CCA">
        <w:rPr>
          <w:lang w:val="en-US"/>
        </w:rPr>
        <w:t xml:space="preserve"> </w:t>
      </w:r>
      <w:r>
        <w:rPr>
          <w:lang w:val="en-US"/>
        </w:rPr>
        <w:tab/>
      </w:r>
      <w:r>
        <w:rPr>
          <w:rFonts w:hint="eastAsia"/>
          <w:lang w:val="en-US"/>
        </w:rPr>
        <w:t>“</w:t>
      </w:r>
      <w:r w:rsidRPr="007B38FA">
        <w:rPr>
          <w:lang w:val="en-US"/>
        </w:rPr>
        <w:t>GUIDELINES ON criteria and modalities of implementation of structural funds in support of</w:t>
      </w:r>
      <w:r w:rsidR="005E5682">
        <w:rPr>
          <w:lang w:val="en-US"/>
        </w:rPr>
        <w:t xml:space="preserve"> </w:t>
      </w:r>
      <w:r w:rsidRPr="007B38FA">
        <w:rPr>
          <w:lang w:val="en-US"/>
        </w:rPr>
        <w:t>electronic communications</w:t>
      </w:r>
      <w:r>
        <w:rPr>
          <w:rFonts w:hint="eastAsia"/>
          <w:lang w:val="en-US"/>
        </w:rPr>
        <w:t>”</w:t>
      </w:r>
      <w:r>
        <w:rPr>
          <w:lang w:val="en-US"/>
        </w:rPr>
        <w:t xml:space="preserve">, Commission of the European Communities, Brussels 2003 </w:t>
      </w:r>
    </w:p>
    <w:p w:rsidR="00A25B99" w:rsidRPr="00A17DB3" w:rsidRDefault="00A25B99" w:rsidP="00A25B99">
      <w:pPr>
        <w:pStyle w:val="FootnoteText"/>
        <w:rPr>
          <w:lang w:val="en-US"/>
        </w:rPr>
      </w:pPr>
    </w:p>
  </w:footnote>
  <w:footnote w:id="57">
    <w:p w:rsidR="00A25B99" w:rsidRPr="00A17DB3" w:rsidRDefault="00A25B99" w:rsidP="00D75B19">
      <w:pPr>
        <w:pStyle w:val="HIPfootnote"/>
        <w:rPr>
          <w:lang w:val="en-US"/>
        </w:rPr>
      </w:pPr>
      <w:r>
        <w:rPr>
          <w:rStyle w:val="FootnoteReference"/>
        </w:rPr>
        <w:footnoteRef/>
      </w:r>
      <w:r w:rsidRPr="00352CCA">
        <w:rPr>
          <w:lang w:val="en-US"/>
        </w:rPr>
        <w:t xml:space="preserve"> </w:t>
      </w:r>
      <w:r w:rsidR="00D75B19">
        <w:rPr>
          <w:lang w:val="en-US"/>
        </w:rPr>
        <w:tab/>
      </w:r>
      <w:r>
        <w:rPr>
          <w:lang w:val="en-US"/>
        </w:rPr>
        <w:t>Baker &amp; Grosh, Measuring the Effects of Geographic Targeting on Poverty Reduction (World Bank), Living Standards Measurement Study, Working Paper No 99.</w:t>
      </w:r>
    </w:p>
  </w:footnote>
  <w:footnote w:id="58">
    <w:p w:rsidR="00A25B99" w:rsidRPr="007A6E79" w:rsidRDefault="00A25B99" w:rsidP="00D75B19">
      <w:pPr>
        <w:pStyle w:val="HIPfootnote"/>
        <w:rPr>
          <w:lang w:val="en-US"/>
        </w:rPr>
      </w:pPr>
      <w:r>
        <w:rPr>
          <w:rStyle w:val="FootnoteReference"/>
        </w:rPr>
        <w:footnoteRef/>
      </w:r>
      <w:r w:rsidRPr="007A6E79">
        <w:rPr>
          <w:lang w:val="en-US"/>
        </w:rPr>
        <w:t xml:space="preserve"> </w:t>
      </w:r>
      <w:r w:rsidR="00D75B19">
        <w:rPr>
          <w:lang w:val="en-US"/>
        </w:rPr>
        <w:tab/>
      </w:r>
      <w:r w:rsidRPr="007A6E79">
        <w:rPr>
          <w:lang w:val="en-US"/>
        </w:rPr>
        <w:t>African Connection, Rural ICT Toolkit (page 44 – 45)</w:t>
      </w:r>
    </w:p>
  </w:footnote>
  <w:footnote w:id="59">
    <w:p w:rsidR="00A25B99" w:rsidRPr="00550613" w:rsidRDefault="00A25B99" w:rsidP="00D75B19">
      <w:pPr>
        <w:pStyle w:val="HIPfootnote"/>
        <w:rPr>
          <w:lang w:val="en-US"/>
        </w:rPr>
      </w:pPr>
      <w:r>
        <w:rPr>
          <w:rStyle w:val="FootnoteReference"/>
        </w:rPr>
        <w:footnoteRef/>
      </w:r>
      <w:r w:rsidRPr="003D1456">
        <w:rPr>
          <w:lang w:val="en-US"/>
        </w:rPr>
        <w:t xml:space="preserve"> </w:t>
      </w:r>
      <w:r w:rsidR="00D75B19">
        <w:rPr>
          <w:lang w:val="en-US"/>
        </w:rPr>
        <w:tab/>
      </w:r>
      <w:r w:rsidRPr="003D1456">
        <w:rPr>
          <w:lang w:val="en-US"/>
        </w:rPr>
        <w:t xml:space="preserve">Table sourced from </w:t>
      </w:r>
      <w:r>
        <w:rPr>
          <w:lang w:val="en-US"/>
        </w:rPr>
        <w:t>Baker &amp; Grosh, Measuring the Effects of Geographic Targeting on Poverty Reduction (World Bank), Living Standards Measurement Study, Working Paper No 99.</w:t>
      </w:r>
    </w:p>
  </w:footnote>
  <w:footnote w:id="60">
    <w:p w:rsidR="00D75B19" w:rsidRPr="003E1C32" w:rsidRDefault="00D75B19" w:rsidP="00D75B19">
      <w:pPr>
        <w:pStyle w:val="HIPfootnote"/>
        <w:rPr>
          <w:lang w:val="en-US"/>
        </w:rPr>
      </w:pPr>
      <w:r>
        <w:rPr>
          <w:rStyle w:val="FootnoteReference"/>
        </w:rPr>
        <w:footnoteRef/>
      </w:r>
      <w:r w:rsidRPr="003E1C32">
        <w:rPr>
          <w:lang w:val="en-US"/>
        </w:rPr>
        <w:t xml:space="preserve"> </w:t>
      </w:r>
      <w:r>
        <w:rPr>
          <w:lang w:val="en-US"/>
        </w:rPr>
        <w:tab/>
      </w:r>
      <w:r w:rsidRPr="0046428C">
        <w:rPr>
          <w:lang w:val="en-US"/>
        </w:rPr>
        <w:t>See Nigerian USPC Consultation 1: Strategic Plan and Operational Plan.</w:t>
      </w:r>
    </w:p>
  </w:footnote>
  <w:footnote w:id="61">
    <w:p w:rsidR="00D75B19" w:rsidRPr="00915E3B" w:rsidRDefault="00D75B19" w:rsidP="00D75B19">
      <w:pPr>
        <w:pStyle w:val="HIPfootnote"/>
        <w:rPr>
          <w:lang w:val="en-US"/>
        </w:rPr>
      </w:pPr>
      <w:r>
        <w:rPr>
          <w:rStyle w:val="FootnoteReference"/>
        </w:rPr>
        <w:footnoteRef/>
      </w:r>
      <w:r w:rsidRPr="00915E3B">
        <w:rPr>
          <w:lang w:val="en-US"/>
        </w:rPr>
        <w:t xml:space="preserve"> </w:t>
      </w:r>
      <w:r>
        <w:rPr>
          <w:lang w:val="en-US"/>
        </w:rPr>
        <w:tab/>
        <w:t xml:space="preserve">Consistant with the objectives of </w:t>
      </w:r>
      <w:r>
        <w:rPr>
          <w:rFonts w:hint="eastAsia"/>
          <w:lang w:val="en-US"/>
        </w:rPr>
        <w:t>the</w:t>
      </w:r>
      <w:r>
        <w:rPr>
          <w:lang w:val="en-US"/>
        </w:rPr>
        <w:t xml:space="preserve"> Convention on the Rights of Persons With Disabilities</w:t>
      </w:r>
    </w:p>
  </w:footnote>
  <w:footnote w:id="62">
    <w:p w:rsidR="00D75B19" w:rsidRPr="00FC3094" w:rsidRDefault="00D75B19" w:rsidP="00A80A3A">
      <w:pPr>
        <w:pStyle w:val="HIPfootnote"/>
        <w:rPr>
          <w:lang w:val="en-US"/>
        </w:rPr>
      </w:pPr>
      <w:r>
        <w:rPr>
          <w:rStyle w:val="FootnoteReference"/>
        </w:rPr>
        <w:footnoteRef/>
      </w:r>
      <w:r w:rsidRPr="00FC3094">
        <w:rPr>
          <w:lang w:val="en-US"/>
        </w:rPr>
        <w:t xml:space="preserve"> </w:t>
      </w:r>
      <w:r w:rsidR="00A80A3A">
        <w:rPr>
          <w:lang w:val="en-US"/>
        </w:rPr>
        <w:tab/>
      </w:r>
      <w:r w:rsidRPr="00FC3094">
        <w:rPr>
          <w:lang w:val="en-US"/>
        </w:rPr>
        <w:t xml:space="preserve">The Federal Government’s Broadband Strategy (Germany) </w:t>
      </w:r>
      <w:r w:rsidR="000816B7">
        <w:fldChar w:fldCharType="begin"/>
      </w:r>
      <w:r w:rsidR="000816B7" w:rsidRPr="00A3379B">
        <w:rPr>
          <w:lang w:val="en-US"/>
        </w:rPr>
        <w:instrText>HYPERLINK "http://www.bmwi.de/English/Redaktion/Pdf/broadband-strategy,property=pdf,bereich=bmwi,sprache=en,rwb=true.pdf"</w:instrText>
      </w:r>
      <w:r w:rsidR="000816B7">
        <w:fldChar w:fldCharType="separate"/>
      </w:r>
      <w:r w:rsidR="00A80A3A" w:rsidRPr="007B1A5B">
        <w:rPr>
          <w:rStyle w:val="Hyperlink"/>
          <w:lang w:val="en-US"/>
        </w:rPr>
        <w:t>www.bmwi.de/English/Redaktion/Pdf/broadband-strategy,property=pdf,bereich=bmwi,sprache=en,rwb=true.pdf</w:t>
      </w:r>
      <w:r w:rsidR="000816B7">
        <w:fldChar w:fldCharType="end"/>
      </w:r>
      <w:r w:rsidRPr="00FC3094">
        <w:rPr>
          <w:lang w:val="en-US"/>
        </w:rPr>
        <w:t xml:space="preserve"> </w:t>
      </w:r>
    </w:p>
  </w:footnote>
  <w:footnote w:id="63">
    <w:p w:rsidR="007B6D1D" w:rsidRPr="006A307B" w:rsidRDefault="007B6D1D" w:rsidP="00EC43F4">
      <w:pPr>
        <w:pStyle w:val="HIPfootnote"/>
        <w:rPr>
          <w:lang w:val="en-US"/>
        </w:rPr>
      </w:pPr>
      <w:r>
        <w:rPr>
          <w:rStyle w:val="FootnoteReference"/>
        </w:rPr>
        <w:footnoteRef/>
      </w:r>
      <w:r w:rsidRPr="006A307B">
        <w:rPr>
          <w:lang w:val="en-US"/>
        </w:rPr>
        <w:t xml:space="preserve"> </w:t>
      </w:r>
      <w:r w:rsidR="00EC43F4">
        <w:rPr>
          <w:lang w:val="en-US"/>
        </w:rPr>
        <w:tab/>
      </w:r>
      <w:r w:rsidR="000816B7">
        <w:fldChar w:fldCharType="begin"/>
      </w:r>
      <w:r w:rsidR="000816B7" w:rsidRPr="00A3379B">
        <w:rPr>
          <w:lang w:val="en-US"/>
        </w:rPr>
        <w:instrText>HYPERLINK "http://infodev-study.oplan.org/the-study/folder.2006-02-02.6810074519/5-5-ROLE-OF-PUBLIC-PRIVATE-PARTNERSHIP/"</w:instrText>
      </w:r>
      <w:r w:rsidR="000816B7">
        <w:fldChar w:fldCharType="separate"/>
      </w:r>
      <w:r w:rsidRPr="00B56689">
        <w:rPr>
          <w:rStyle w:val="Hyperlink"/>
          <w:lang w:val="en-US"/>
        </w:rPr>
        <w:t>http://infodev-study.oplan.org/the-study/folder.2006-02-02.6810074519/5-5-ROLE-OF-PUBLIC-PRIVATE-PARTNERSHIP/</w:t>
      </w:r>
      <w:r w:rsidR="000816B7">
        <w:fldChar w:fldCharType="end"/>
      </w:r>
      <w:r>
        <w:rPr>
          <w:lang w:val="en-US"/>
        </w:rPr>
        <w:t xml:space="preserve"> </w:t>
      </w:r>
    </w:p>
  </w:footnote>
  <w:footnote w:id="64">
    <w:p w:rsidR="00D75B19" w:rsidRPr="00FC3094" w:rsidRDefault="00D75B19" w:rsidP="00EC43F4">
      <w:pPr>
        <w:pStyle w:val="HIPfootnote"/>
        <w:rPr>
          <w:lang w:val="en-US"/>
        </w:rPr>
      </w:pPr>
      <w:r>
        <w:rPr>
          <w:rStyle w:val="FootnoteReference"/>
        </w:rPr>
        <w:footnoteRef/>
      </w:r>
      <w:r w:rsidR="00EC43F4">
        <w:rPr>
          <w:lang w:val="en-US"/>
        </w:rPr>
        <w:tab/>
      </w:r>
      <w:r w:rsidRPr="00FC3094">
        <w:rPr>
          <w:lang w:val="en-US"/>
        </w:rPr>
        <w:t xml:space="preserve">Connect a School, Connect a Community </w:t>
      </w:r>
      <w:r w:rsidR="00EC43F4">
        <w:rPr>
          <w:lang w:val="en-US"/>
        </w:rPr>
        <w:t>–</w:t>
      </w:r>
      <w:r w:rsidRPr="00FC3094">
        <w:rPr>
          <w:lang w:val="en-US"/>
        </w:rPr>
        <w:t xml:space="preserve"> </w:t>
      </w:r>
      <w:r w:rsidR="000816B7">
        <w:fldChar w:fldCharType="begin"/>
      </w:r>
      <w:r w:rsidR="000816B7" w:rsidRPr="00A3379B">
        <w:rPr>
          <w:lang w:val="en-US"/>
        </w:rPr>
        <w:instrText>HYPERLINK "http://www.connectaschool.org/itu-module/1/60/en/schools/connectivity/regulation/Section_3.5.1.1_USF/"</w:instrText>
      </w:r>
      <w:r w:rsidR="000816B7">
        <w:fldChar w:fldCharType="separate"/>
      </w:r>
      <w:r w:rsidR="00EC43F4" w:rsidRPr="007B1A5B">
        <w:rPr>
          <w:rStyle w:val="Hyperlink"/>
          <w:lang w:val="en-US"/>
        </w:rPr>
        <w:br/>
        <w:t>www.connectaschool.org/itu-module/1/60/en/schools/connectivity/regulation/Section_3.5.1.1_USF/</w:t>
      </w:r>
      <w:r w:rsidR="000816B7">
        <w:fldChar w:fldCharType="end"/>
      </w:r>
      <w:r w:rsidRPr="00FC3094">
        <w:rPr>
          <w:lang w:val="en-US"/>
        </w:rPr>
        <w:t xml:space="preserve"> </w:t>
      </w:r>
    </w:p>
  </w:footnote>
  <w:footnote w:id="65">
    <w:p w:rsidR="00D75B19" w:rsidRPr="003E798A" w:rsidRDefault="00D75B19" w:rsidP="00EC43F4">
      <w:pPr>
        <w:pStyle w:val="HIPfootnote"/>
        <w:rPr>
          <w:lang w:val="en-US"/>
        </w:rPr>
      </w:pPr>
      <w:r>
        <w:rPr>
          <w:rStyle w:val="FootnoteReference"/>
        </w:rPr>
        <w:footnoteRef/>
      </w:r>
      <w:r w:rsidR="00EC43F4" w:rsidRPr="00EC43F4">
        <w:rPr>
          <w:lang w:val="en-US"/>
        </w:rPr>
        <w:tab/>
      </w:r>
      <w:r w:rsidR="000816B7">
        <w:fldChar w:fldCharType="begin"/>
      </w:r>
      <w:r w:rsidR="000816B7" w:rsidRPr="00A3379B">
        <w:rPr>
          <w:lang w:val="en-US"/>
        </w:rPr>
        <w:instrText>HYPERLINK "http://www.ictregulationtoolkit.org/en/Section.3286.html"</w:instrText>
      </w:r>
      <w:r w:rsidR="000816B7">
        <w:fldChar w:fldCharType="separate"/>
      </w:r>
      <w:r w:rsidR="00EC43F4" w:rsidRPr="007B1A5B">
        <w:rPr>
          <w:rStyle w:val="Hyperlink"/>
          <w:lang w:val="en-US"/>
        </w:rPr>
        <w:t>www.ictregulationtoolkit.org/en/Section.3286.html</w:t>
      </w:r>
      <w:r w:rsidR="000816B7">
        <w:fldChar w:fldCharType="end"/>
      </w:r>
      <w:r w:rsidR="00EC43F4">
        <w:rPr>
          <w:lang w:val="en-US"/>
        </w:rPr>
        <w:t xml:space="preserve"> </w:t>
      </w:r>
    </w:p>
  </w:footnote>
  <w:footnote w:id="66">
    <w:p w:rsidR="00D75B19" w:rsidRPr="00FC3094" w:rsidRDefault="00D75B19" w:rsidP="00EC43F4">
      <w:pPr>
        <w:pStyle w:val="HIPfootnote"/>
        <w:rPr>
          <w:lang w:val="en-US"/>
        </w:rPr>
      </w:pPr>
      <w:r>
        <w:rPr>
          <w:rStyle w:val="FootnoteReference"/>
        </w:rPr>
        <w:footnoteRef/>
      </w:r>
      <w:r w:rsidRPr="00FC3094">
        <w:rPr>
          <w:lang w:val="en-US"/>
        </w:rPr>
        <w:t xml:space="preserve"> </w:t>
      </w:r>
      <w:r w:rsidR="00EC43F4">
        <w:rPr>
          <w:lang w:val="en-US"/>
        </w:rPr>
        <w:tab/>
      </w:r>
      <w:r w:rsidRPr="00FC3094">
        <w:rPr>
          <w:lang w:val="en-US"/>
        </w:rPr>
        <w:t xml:space="preserve">USF Pakistan Success Story, Pravez Iftikhar, USF CEO, presentation </w:t>
      </w:r>
      <w:r w:rsidR="00EC43F4">
        <w:rPr>
          <w:lang w:val="en-US"/>
        </w:rPr>
        <w:br/>
      </w:r>
      <w:r w:rsidRPr="00FC3094">
        <w:rPr>
          <w:lang w:val="en-US"/>
        </w:rPr>
        <w:t>(</w:t>
      </w:r>
      <w:r w:rsidR="000816B7">
        <w:fldChar w:fldCharType="begin"/>
      </w:r>
      <w:r w:rsidR="000816B7" w:rsidRPr="00A3379B">
        <w:rPr>
          <w:lang w:val="en-US"/>
        </w:rPr>
        <w:instrText>HYPERLINK "http://www.itu.int/ITU-D/asp/CMS/Events/2010/Thailand-Broadband/Session4_Parvez_Iftikhar.pdf"</w:instrText>
      </w:r>
      <w:r w:rsidR="000816B7">
        <w:fldChar w:fldCharType="separate"/>
      </w:r>
      <w:r w:rsidR="00EC43F4" w:rsidRPr="007B1A5B">
        <w:rPr>
          <w:rStyle w:val="Hyperlink"/>
          <w:lang w:val="en-US"/>
        </w:rPr>
        <w:t>www.itu.int/ITU-D/asp/CMS/Events/2010/Thailand-Broadband/Session4_Parvez_Iftikhar.pdf</w:t>
      </w:r>
      <w:r w:rsidR="000816B7">
        <w:fldChar w:fldCharType="end"/>
      </w:r>
      <w:r w:rsidRPr="00FC3094">
        <w:rPr>
          <w:lang w:val="en-US"/>
        </w:rPr>
        <w:t xml:space="preserve"> </w:t>
      </w:r>
    </w:p>
  </w:footnote>
  <w:footnote w:id="67">
    <w:p w:rsidR="00D75B19" w:rsidRPr="00FC3094" w:rsidRDefault="00D75B19" w:rsidP="00EC43F4">
      <w:pPr>
        <w:pStyle w:val="HIPfootnote"/>
        <w:rPr>
          <w:lang w:val="en-US"/>
        </w:rPr>
      </w:pPr>
      <w:r>
        <w:rPr>
          <w:rStyle w:val="FootnoteReference"/>
        </w:rPr>
        <w:footnoteRef/>
      </w:r>
      <w:r w:rsidR="00EC43F4" w:rsidRPr="00EC43F4">
        <w:rPr>
          <w:lang w:val="en-US"/>
        </w:rPr>
        <w:tab/>
      </w:r>
      <w:r w:rsidR="000816B7">
        <w:fldChar w:fldCharType="begin"/>
      </w:r>
      <w:r w:rsidR="000816B7" w:rsidRPr="00A3379B">
        <w:rPr>
          <w:lang w:val="en-US"/>
        </w:rPr>
        <w:instrText>HYPERLINK "http://www.schoolnetafrica.org/english/africansn_toolkit.html"</w:instrText>
      </w:r>
      <w:r w:rsidR="000816B7">
        <w:fldChar w:fldCharType="separate"/>
      </w:r>
      <w:r w:rsidR="00EC43F4" w:rsidRPr="007B1A5B">
        <w:rPr>
          <w:rStyle w:val="Hyperlink"/>
          <w:lang w:val="en-US"/>
        </w:rPr>
        <w:t>www.schoolnetafrica.org/english/africansn_toolkit.html</w:t>
      </w:r>
      <w:r w:rsidR="000816B7">
        <w:fldChar w:fldCharType="end"/>
      </w:r>
      <w:r w:rsidR="005E5682">
        <w:rPr>
          <w:lang w:val="en-US"/>
        </w:rPr>
        <w:t xml:space="preserve"> </w:t>
      </w:r>
    </w:p>
  </w:footnote>
  <w:footnote w:id="68">
    <w:p w:rsidR="00D75B19" w:rsidRPr="00FC3094" w:rsidRDefault="00D75B19" w:rsidP="00EC43F4">
      <w:pPr>
        <w:pStyle w:val="HIPfootnote"/>
        <w:rPr>
          <w:lang w:val="en-US"/>
        </w:rPr>
      </w:pPr>
      <w:r>
        <w:rPr>
          <w:rStyle w:val="FootnoteReference"/>
        </w:rPr>
        <w:footnoteRef/>
      </w:r>
      <w:r w:rsidRPr="00FC3094">
        <w:rPr>
          <w:lang w:val="en-US"/>
        </w:rPr>
        <w:t xml:space="preserve"> </w:t>
      </w:r>
      <w:r w:rsidR="00EC43F4">
        <w:rPr>
          <w:lang w:val="en-US"/>
        </w:rPr>
        <w:tab/>
      </w:r>
      <w:r w:rsidR="000816B7">
        <w:fldChar w:fldCharType="begin"/>
      </w:r>
      <w:r w:rsidR="000816B7" w:rsidRPr="00A3379B">
        <w:rPr>
          <w:lang w:val="en-US"/>
        </w:rPr>
        <w:instrText>HYPERLINK "http://www.balancingact-africa.com/news/en/issue-no-159/top-story/e-rate-for-african-schools-shy-how-would-it-work-and-who-pays"</w:instrText>
      </w:r>
      <w:r w:rsidR="000816B7">
        <w:fldChar w:fldCharType="separate"/>
      </w:r>
      <w:r w:rsidR="00EC43F4" w:rsidRPr="007B1A5B">
        <w:rPr>
          <w:rStyle w:val="Hyperlink"/>
          <w:lang w:val="en-US"/>
        </w:rPr>
        <w:t>www.balancingact-africa.com/news/en/issue-no-159/top-story/e-rate-for-african-schools-shy-how-would-it-work-and-who-pays</w:t>
      </w:r>
      <w:r w:rsidR="000816B7">
        <w:fldChar w:fldCharType="end"/>
      </w:r>
      <w:r w:rsidRPr="00FC3094">
        <w:rPr>
          <w:lang w:val="en-US"/>
        </w:rPr>
        <w:t xml:space="preserve"> </w:t>
      </w:r>
    </w:p>
  </w:footnote>
  <w:footnote w:id="69">
    <w:p w:rsidR="00EC43F4" w:rsidRPr="00921206" w:rsidRDefault="00EC43F4" w:rsidP="00EC43F4">
      <w:pPr>
        <w:pStyle w:val="HIPfootnote"/>
        <w:rPr>
          <w:lang w:val="en-US"/>
        </w:rPr>
      </w:pPr>
      <w:r>
        <w:rPr>
          <w:rStyle w:val="FootnoteReference"/>
        </w:rPr>
        <w:footnoteRef/>
      </w:r>
      <w:r w:rsidRPr="00921206">
        <w:rPr>
          <w:lang w:val="en-US"/>
        </w:rPr>
        <w:t xml:space="preserve"> </w:t>
      </w:r>
      <w:r>
        <w:rPr>
          <w:lang w:val="en-US"/>
        </w:rPr>
        <w:tab/>
        <w:t xml:space="preserve">Definitions of Telecentres, Cybercafes, and IAPs adapted from Handbook for Telecentre Staffs, Module 1: </w:t>
      </w:r>
      <w:r w:rsidR="000816B7">
        <w:fldChar w:fldCharType="begin"/>
      </w:r>
      <w:r w:rsidR="000816B7" w:rsidRPr="00A3379B">
        <w:rPr>
          <w:lang w:val="en-US"/>
        </w:rPr>
        <w:instrText>HYPERLINK "http://ip.cals.cornell.edu/commdev/handbook.cfm"</w:instrText>
      </w:r>
      <w:r w:rsidR="000816B7">
        <w:fldChar w:fldCharType="separate"/>
      </w:r>
      <w:r w:rsidRPr="00B56689">
        <w:rPr>
          <w:rStyle w:val="Hyperlink"/>
          <w:lang w:val="en-US"/>
        </w:rPr>
        <w:t>http://ip.cals.cornell.edu/commdev/handbook.cfm</w:t>
      </w:r>
      <w:r w:rsidR="000816B7">
        <w:fldChar w:fldCharType="end"/>
      </w:r>
      <w:r>
        <w:rPr>
          <w:lang w:val="en-US"/>
        </w:rPr>
        <w:t xml:space="preserve"> </w:t>
      </w:r>
    </w:p>
  </w:footnote>
  <w:footnote w:id="70">
    <w:p w:rsidR="00D75B19" w:rsidRPr="00FC3094" w:rsidRDefault="00D75B19" w:rsidP="00EC43F4">
      <w:pPr>
        <w:pStyle w:val="HIPfootnote"/>
        <w:rPr>
          <w:lang w:val="en-US"/>
        </w:rPr>
      </w:pPr>
      <w:r>
        <w:rPr>
          <w:rStyle w:val="FootnoteReference"/>
        </w:rPr>
        <w:footnoteRef/>
      </w:r>
      <w:r w:rsidRPr="00FC3094">
        <w:rPr>
          <w:lang w:val="en-US"/>
        </w:rPr>
        <w:t xml:space="preserve"> </w:t>
      </w:r>
      <w:r w:rsidR="00EC43F4">
        <w:rPr>
          <w:lang w:val="en-US"/>
        </w:rPr>
        <w:tab/>
      </w:r>
      <w:r w:rsidRPr="00FC3094">
        <w:rPr>
          <w:lang w:val="en-US"/>
        </w:rPr>
        <w:t>New Models for Universal Access, page 223</w:t>
      </w:r>
    </w:p>
  </w:footnote>
  <w:footnote w:id="71">
    <w:p w:rsidR="00D75B19" w:rsidRPr="001B56A0" w:rsidRDefault="00D75B19" w:rsidP="00EC43F4">
      <w:pPr>
        <w:pStyle w:val="HIPfootnote"/>
        <w:rPr>
          <w:lang w:val="en-US"/>
        </w:rPr>
      </w:pPr>
      <w:r>
        <w:rPr>
          <w:rStyle w:val="FootnoteReference"/>
        </w:rPr>
        <w:footnoteRef/>
      </w:r>
      <w:r w:rsidRPr="001B56A0">
        <w:rPr>
          <w:lang w:val="en-US"/>
        </w:rPr>
        <w:t xml:space="preserve"> </w:t>
      </w:r>
      <w:r w:rsidR="00EC43F4">
        <w:rPr>
          <w:lang w:val="en-US"/>
        </w:rPr>
        <w:tab/>
      </w:r>
      <w:r>
        <w:rPr>
          <w:lang w:val="en-US"/>
        </w:rPr>
        <w:t xml:space="preserve">See </w:t>
      </w:r>
      <w:r w:rsidR="000816B7">
        <w:fldChar w:fldCharType="begin"/>
      </w:r>
      <w:r w:rsidR="000816B7" w:rsidRPr="00A3379B">
        <w:rPr>
          <w:lang w:val="en-US"/>
        </w:rPr>
        <w:instrText>HYPERLINK "http://www.kothmale.org/"</w:instrText>
      </w:r>
      <w:r w:rsidR="000816B7">
        <w:fldChar w:fldCharType="separate"/>
      </w:r>
      <w:r w:rsidR="00EC43F4" w:rsidRPr="007B1A5B">
        <w:rPr>
          <w:rStyle w:val="Hyperlink"/>
          <w:lang w:val="en-US"/>
        </w:rPr>
        <w:t>www.kothmale.org/</w:t>
      </w:r>
      <w:r w:rsidR="000816B7">
        <w:fldChar w:fldCharType="end"/>
      </w:r>
      <w:r>
        <w:rPr>
          <w:lang w:val="en-US"/>
        </w:rPr>
        <w:t xml:space="preserve"> on successful Sri Lankan Multimedia Community Access Projects including broadcasting</w:t>
      </w:r>
      <w:r w:rsidR="005E5682">
        <w:rPr>
          <w:lang w:val="en-US"/>
        </w:rPr>
        <w:t xml:space="preserve"> </w:t>
      </w:r>
    </w:p>
  </w:footnote>
  <w:footnote w:id="72">
    <w:p w:rsidR="00D75B19" w:rsidRPr="00FC3094" w:rsidRDefault="00D75B19" w:rsidP="00EC43F4">
      <w:pPr>
        <w:pStyle w:val="HIPfootnote"/>
        <w:rPr>
          <w:lang w:val="en-US"/>
        </w:rPr>
      </w:pPr>
      <w:r>
        <w:rPr>
          <w:rStyle w:val="FootnoteReference"/>
        </w:rPr>
        <w:footnoteRef/>
      </w:r>
      <w:r w:rsidRPr="00FC3094">
        <w:rPr>
          <w:lang w:val="en-US"/>
        </w:rPr>
        <w:t xml:space="preserve"> </w:t>
      </w:r>
      <w:r w:rsidR="00EC43F4">
        <w:rPr>
          <w:lang w:val="en-US"/>
        </w:rPr>
        <w:tab/>
      </w:r>
      <w:r w:rsidRPr="00FC3094">
        <w:rPr>
          <w:lang w:val="en-US"/>
        </w:rPr>
        <w:t>See Peter Benjamin Report</w:t>
      </w:r>
    </w:p>
  </w:footnote>
  <w:footnote w:id="73">
    <w:p w:rsidR="00EC43F4" w:rsidRPr="004D01BE" w:rsidRDefault="00EC43F4" w:rsidP="00EC43F4">
      <w:pPr>
        <w:pStyle w:val="HIPfootnote"/>
        <w:rPr>
          <w:lang w:val="en-US"/>
        </w:rPr>
      </w:pPr>
      <w:r>
        <w:rPr>
          <w:rStyle w:val="FootnoteReference"/>
        </w:rPr>
        <w:footnoteRef/>
      </w:r>
      <w:r w:rsidRPr="004D01BE">
        <w:rPr>
          <w:lang w:val="en-US"/>
        </w:rPr>
        <w:t xml:space="preserve"> </w:t>
      </w:r>
      <w:r>
        <w:rPr>
          <w:lang w:val="en-US"/>
        </w:rPr>
        <w:tab/>
      </w:r>
      <w:r w:rsidRPr="007B38FA">
        <w:rPr>
          <w:lang w:val="en-US"/>
        </w:rPr>
        <w:t>Adapted from</w:t>
      </w:r>
      <w:r w:rsidR="005E5682">
        <w:rPr>
          <w:lang w:val="en-US"/>
        </w:rPr>
        <w:t xml:space="preserve"> </w:t>
      </w:r>
      <w:r w:rsidRPr="007B38FA">
        <w:rPr>
          <w:rFonts w:hint="eastAsia"/>
          <w:lang w:val="en-US"/>
        </w:rPr>
        <w:t>“</w:t>
      </w:r>
      <w:r w:rsidRPr="007B38FA">
        <w:rPr>
          <w:lang w:val="en-US"/>
        </w:rPr>
        <w:t>New Models for Universal Access to Telecommunications Access in Latin America</w:t>
      </w:r>
      <w:r w:rsidRPr="007B38FA">
        <w:rPr>
          <w:rFonts w:hint="eastAsia"/>
          <w:lang w:val="en-US"/>
        </w:rPr>
        <w:t>”</w:t>
      </w:r>
      <w:r w:rsidRPr="007B38FA">
        <w:rPr>
          <w:lang w:val="en-US"/>
        </w:rPr>
        <w:t>, 2007</w:t>
      </w:r>
    </w:p>
    <w:p w:rsidR="00EC43F4" w:rsidRPr="004D01BE" w:rsidRDefault="00EC43F4" w:rsidP="00D75B19">
      <w:pPr>
        <w:pStyle w:val="FootnoteText"/>
        <w:rPr>
          <w:lang w:val="en-US"/>
        </w:rPr>
      </w:pPr>
    </w:p>
  </w:footnote>
  <w:footnote w:id="74">
    <w:p w:rsidR="00C60A7D" w:rsidRPr="00D92738" w:rsidRDefault="00C60A7D" w:rsidP="00C60A7D">
      <w:pPr>
        <w:pStyle w:val="HIPfootnote"/>
        <w:rPr>
          <w:lang w:val="en-US"/>
        </w:rPr>
      </w:pPr>
      <w:r>
        <w:rPr>
          <w:rStyle w:val="FootnoteReference"/>
        </w:rPr>
        <w:footnoteRef/>
      </w:r>
      <w:r w:rsidRPr="00D92738">
        <w:rPr>
          <w:lang w:val="en-US"/>
        </w:rPr>
        <w:t xml:space="preserve"> </w:t>
      </w:r>
      <w:r>
        <w:rPr>
          <w:lang w:val="en-US"/>
        </w:rPr>
        <w:tab/>
      </w:r>
      <w:r w:rsidR="000816B7">
        <w:fldChar w:fldCharType="begin"/>
      </w:r>
      <w:r w:rsidR="000816B7" w:rsidRPr="00A3379B">
        <w:rPr>
          <w:lang w:val="en-US"/>
        </w:rPr>
        <w:instrText>HYPERLINK "http://www.infrastructureafrica.org/tools/models/ict-voice-model"</w:instrText>
      </w:r>
      <w:r w:rsidR="000816B7">
        <w:fldChar w:fldCharType="separate"/>
      </w:r>
      <w:r w:rsidRPr="007B1A5B">
        <w:rPr>
          <w:rStyle w:val="Hyperlink"/>
          <w:lang w:val="en-US"/>
        </w:rPr>
        <w:t>www.infrastructureafrica.org/tools/models/ict-voice-model</w:t>
      </w:r>
      <w:r w:rsidR="000816B7">
        <w:fldChar w:fldCharType="end"/>
      </w:r>
      <w:r w:rsidR="005E5682">
        <w:rPr>
          <w:lang w:val="en-US"/>
        </w:rPr>
        <w:t xml:space="preserve"> </w:t>
      </w:r>
    </w:p>
  </w:footnote>
  <w:footnote w:id="75">
    <w:p w:rsidR="00C60A7D" w:rsidRPr="00D92738" w:rsidRDefault="00C60A7D" w:rsidP="00C60A7D">
      <w:pPr>
        <w:pStyle w:val="HIPfootnote"/>
        <w:rPr>
          <w:lang w:val="en-US"/>
        </w:rPr>
      </w:pPr>
      <w:r>
        <w:rPr>
          <w:rStyle w:val="FootnoteReference"/>
        </w:rPr>
        <w:footnoteRef/>
      </w:r>
      <w:r w:rsidRPr="00D92738">
        <w:rPr>
          <w:lang w:val="en-US"/>
        </w:rPr>
        <w:t xml:space="preserve"> </w:t>
      </w:r>
      <w:r>
        <w:rPr>
          <w:lang w:val="en-US"/>
        </w:rPr>
        <w:tab/>
      </w:r>
      <w:r w:rsidR="000816B7">
        <w:fldChar w:fldCharType="begin"/>
      </w:r>
      <w:r w:rsidR="000816B7" w:rsidRPr="00A3379B">
        <w:rPr>
          <w:lang w:val="en-US"/>
        </w:rPr>
        <w:instrText>HYPERLINK "http://www.infrastructureafrica.org/aicd/tools/models/ict-broadband-universal-coverage-model"</w:instrText>
      </w:r>
      <w:r w:rsidR="000816B7">
        <w:fldChar w:fldCharType="separate"/>
      </w:r>
      <w:r w:rsidRPr="007B1A5B">
        <w:rPr>
          <w:rStyle w:val="Hyperlink"/>
          <w:lang w:val="en-GB"/>
        </w:rPr>
        <w:t>www.infrastructureafrica.org/aicd/tools/models/ict-broadband-universal-coverage-model</w:t>
      </w:r>
      <w:r w:rsidR="000816B7">
        <w:fldChar w:fldCharType="end"/>
      </w:r>
      <w:r w:rsidR="005E5682">
        <w:rPr>
          <w:lang w:val="en-US"/>
        </w:rPr>
        <w:t xml:space="preserve"> </w:t>
      </w:r>
    </w:p>
  </w:footnote>
  <w:footnote w:id="76">
    <w:p w:rsidR="00C60A7D" w:rsidRPr="00187C3A" w:rsidRDefault="00C60A7D" w:rsidP="00C60A7D">
      <w:pPr>
        <w:pStyle w:val="HIPfootnote"/>
        <w:rPr>
          <w:lang w:val="en-US"/>
        </w:rPr>
      </w:pPr>
      <w:r>
        <w:rPr>
          <w:rStyle w:val="FootnoteReference"/>
        </w:rPr>
        <w:footnoteRef/>
      </w:r>
      <w:r w:rsidRPr="00187C3A">
        <w:rPr>
          <w:lang w:val="en-US"/>
        </w:rPr>
        <w:t xml:space="preserve"> </w:t>
      </w:r>
      <w:r w:rsidR="000816B7">
        <w:fldChar w:fldCharType="begin"/>
      </w:r>
      <w:r w:rsidR="000816B7" w:rsidRPr="00A3379B">
        <w:rPr>
          <w:lang w:val="en-US"/>
        </w:rPr>
        <w:instrText>HYPERLINK</w:instrText>
      </w:r>
      <w:r w:rsidR="000816B7">
        <w:fldChar w:fldCharType="separate"/>
      </w:r>
      <w:r w:rsidRPr="007B1A5B">
        <w:rPr>
          <w:rStyle w:val="Hyperlink"/>
          <w:lang w:val="en-US"/>
        </w:rPr>
        <w:tab/>
        <w:t>www.gesci.org/knowledge-tools.html#tco</w:t>
      </w:r>
      <w:r w:rsidR="000816B7">
        <w:fldChar w:fldCharType="end"/>
      </w:r>
      <w:r w:rsidRPr="00E7092B">
        <w:rPr>
          <w:lang w:val="en-US"/>
        </w:rPr>
        <w:t xml:space="preserve"> </w:t>
      </w:r>
    </w:p>
  </w:footnote>
  <w:footnote w:id="77">
    <w:p w:rsidR="00C60A7D" w:rsidRPr="00D92738" w:rsidRDefault="00C60A7D" w:rsidP="00C60A7D">
      <w:pPr>
        <w:pStyle w:val="HIPfootnote"/>
        <w:rPr>
          <w:lang w:val="en-US"/>
        </w:rPr>
      </w:pPr>
      <w:r>
        <w:rPr>
          <w:rStyle w:val="FootnoteReference"/>
        </w:rPr>
        <w:footnoteRef/>
      </w:r>
      <w:r w:rsidRPr="00D92738">
        <w:rPr>
          <w:lang w:val="en-US"/>
        </w:rPr>
        <w:t xml:space="preserve"> </w:t>
      </w:r>
      <w:r w:rsidR="000816B7">
        <w:fldChar w:fldCharType="begin"/>
      </w:r>
      <w:r w:rsidR="000816B7" w:rsidRPr="00A3379B">
        <w:rPr>
          <w:lang w:val="en-US"/>
        </w:rPr>
        <w:instrText>HYPERLINK</w:instrText>
      </w:r>
      <w:r w:rsidR="000816B7">
        <w:fldChar w:fldCharType="separate"/>
      </w:r>
      <w:r w:rsidRPr="007B1A5B">
        <w:rPr>
          <w:rStyle w:val="Hyperlink"/>
          <w:lang w:val="en-US"/>
        </w:rPr>
        <w:tab/>
        <w:t>www.acma.gov.au/WEB/STANDARD/pc=PC_312204</w:t>
      </w:r>
      <w:r w:rsidR="000816B7">
        <w:fldChar w:fldCharType="end"/>
      </w:r>
      <w:r w:rsidRPr="00D92738">
        <w:rPr>
          <w:lang w:val="en-US"/>
        </w:rPr>
        <w:t xml:space="preserve"> </w:t>
      </w:r>
    </w:p>
  </w:footnote>
  <w:footnote w:id="78">
    <w:p w:rsidR="00C60A7D" w:rsidRPr="00D92738" w:rsidRDefault="00C60A7D" w:rsidP="007A300E">
      <w:pPr>
        <w:pStyle w:val="HIPfootnote"/>
        <w:rPr>
          <w:lang w:val="en-US"/>
        </w:rPr>
      </w:pPr>
      <w:r>
        <w:rPr>
          <w:rStyle w:val="FootnoteReference"/>
        </w:rPr>
        <w:footnoteRef/>
      </w:r>
      <w:r w:rsidRPr="00D92738">
        <w:rPr>
          <w:lang w:val="en-US"/>
        </w:rPr>
        <w:t xml:space="preserve"> </w:t>
      </w:r>
      <w:r w:rsidR="007A300E">
        <w:rPr>
          <w:lang w:val="en-US"/>
        </w:rPr>
        <w:tab/>
      </w:r>
      <w:r w:rsidR="000816B7">
        <w:fldChar w:fldCharType="begin"/>
      </w:r>
      <w:r w:rsidR="000816B7" w:rsidRPr="00A3379B">
        <w:rPr>
          <w:lang w:val="en-US"/>
        </w:rPr>
        <w:instrText>HYPERLINK "http://www.acma.gov.au/WEB/STANDARD/pc=PC_2483" \l "uso"</w:instrText>
      </w:r>
      <w:r w:rsidR="000816B7">
        <w:fldChar w:fldCharType="separate"/>
      </w:r>
      <w:r w:rsidR="007A300E" w:rsidRPr="007B1A5B">
        <w:rPr>
          <w:rStyle w:val="Hyperlink"/>
          <w:lang w:val="en-US"/>
        </w:rPr>
        <w:t>www.acma.gov.au/WEB/STANDARD/pc=PC_2483#uso</w:t>
      </w:r>
      <w:r w:rsidR="000816B7">
        <w:fldChar w:fldCharType="end"/>
      </w:r>
      <w:r w:rsidRPr="00D92738">
        <w:rPr>
          <w:lang w:val="en-US"/>
        </w:rPr>
        <w:t xml:space="preserve"> </w:t>
      </w:r>
    </w:p>
  </w:footnote>
  <w:footnote w:id="79">
    <w:p w:rsidR="005B59F7" w:rsidRPr="00B22269" w:rsidRDefault="005B59F7" w:rsidP="005B59F7">
      <w:pPr>
        <w:pStyle w:val="HIPfootnote"/>
        <w:rPr>
          <w:lang w:val="en-US"/>
        </w:rPr>
      </w:pPr>
      <w:r>
        <w:rPr>
          <w:rStyle w:val="FootnoteReference"/>
        </w:rPr>
        <w:footnoteRef/>
      </w:r>
      <w:r w:rsidRPr="00B22269">
        <w:rPr>
          <w:lang w:val="en-US"/>
        </w:rPr>
        <w:t xml:space="preserve"> </w:t>
      </w:r>
      <w:r>
        <w:rPr>
          <w:lang w:val="en-US"/>
        </w:rPr>
        <w:tab/>
      </w:r>
      <w:r w:rsidR="000816B7">
        <w:fldChar w:fldCharType="begin"/>
      </w:r>
      <w:r w:rsidR="000816B7" w:rsidRPr="00A3379B">
        <w:rPr>
          <w:lang w:val="en-US"/>
        </w:rPr>
        <w:instrText>HYPERLINK "http://www.usf.org.pk/FCKeditor/editor/filemanager/connectors/aspx/UserFiles/resources/rtes/RTeS%20Consultation/%20RTeS%20Subsidy%20Consultation%20Paper%2018Nov09%20-%20Ver007.pdf"</w:instrText>
      </w:r>
      <w:r w:rsidR="000816B7">
        <w:fldChar w:fldCharType="separate"/>
      </w:r>
      <w:r w:rsidRPr="007B1A5B">
        <w:rPr>
          <w:rStyle w:val="Hyperlink"/>
          <w:lang w:val="en-US"/>
        </w:rPr>
        <w:t>www.usf.org.pk/FCKeditor/editor/filemanager/connectors/aspx/UserFiles/resources/rtes/RTeS%20Consultation/ RTeS%20Subsidy%20Consultation%20Paper%2018Nov09%20-%20Ver007.pdf</w:t>
      </w:r>
      <w:r w:rsidR="000816B7">
        <w:fldChar w:fldCharType="end"/>
      </w:r>
      <w:r w:rsidRPr="00B22269">
        <w:rPr>
          <w:lang w:val="en-US"/>
        </w:rPr>
        <w:t xml:space="preserve"> </w:t>
      </w:r>
    </w:p>
  </w:footnote>
  <w:footnote w:id="80">
    <w:p w:rsidR="005B59F7" w:rsidRPr="00D0075D" w:rsidRDefault="005B59F7" w:rsidP="005B59F7">
      <w:pPr>
        <w:pStyle w:val="HIPfootnote"/>
        <w:rPr>
          <w:lang w:val="en-US"/>
        </w:rPr>
      </w:pPr>
      <w:r>
        <w:rPr>
          <w:rStyle w:val="FootnoteReference"/>
        </w:rPr>
        <w:footnoteRef/>
      </w:r>
      <w:r w:rsidRPr="00D0075D">
        <w:rPr>
          <w:lang w:val="en-US"/>
        </w:rPr>
        <w:t xml:space="preserve"> </w:t>
      </w:r>
      <w:r>
        <w:rPr>
          <w:lang w:val="en-US"/>
        </w:rPr>
        <w:tab/>
      </w:r>
      <w:r w:rsidRPr="005B59F7">
        <w:rPr>
          <w:i/>
          <w:iCs/>
          <w:lang w:val="en-US"/>
        </w:rPr>
        <w:t>to be confirmed with country input during initial round of comments, and validation workshop</w:t>
      </w:r>
    </w:p>
  </w:footnote>
  <w:footnote w:id="81">
    <w:p w:rsidR="005B59F7" w:rsidRPr="0005608F" w:rsidRDefault="005B59F7" w:rsidP="00A7651B">
      <w:pPr>
        <w:pStyle w:val="HIPfootnote"/>
        <w:rPr>
          <w:lang w:val="en-US"/>
        </w:rPr>
      </w:pPr>
      <w:r>
        <w:rPr>
          <w:rStyle w:val="FootnoteReference"/>
        </w:rPr>
        <w:footnoteRef/>
      </w:r>
      <w:r w:rsidR="00A7651B" w:rsidRPr="00A7651B">
        <w:rPr>
          <w:lang w:val="en-US"/>
        </w:rPr>
        <w:tab/>
      </w:r>
      <w:r w:rsidR="000816B7">
        <w:fldChar w:fldCharType="begin"/>
      </w:r>
      <w:r w:rsidR="000816B7" w:rsidRPr="00A3379B">
        <w:rPr>
          <w:lang w:val="en-US"/>
        </w:rPr>
        <w:instrText>HYPERLINK "http://www.ictregulationtoolkit.org/en/Section.3296.html"</w:instrText>
      </w:r>
      <w:r w:rsidR="000816B7">
        <w:fldChar w:fldCharType="separate"/>
      </w:r>
      <w:r w:rsidR="00A7651B" w:rsidRPr="007B1A5B">
        <w:rPr>
          <w:rStyle w:val="Hyperlink"/>
          <w:lang w:val="en-US"/>
        </w:rPr>
        <w:t>www.ictregulationtoolkit.org/en/Section.3296.html</w:t>
      </w:r>
      <w:r w:rsidR="000816B7">
        <w:fldChar w:fldCharType="end"/>
      </w:r>
      <w:r w:rsidRPr="0005608F">
        <w:rPr>
          <w:lang w:val="en-US"/>
        </w:rPr>
        <w:t xml:space="preserve"> </w:t>
      </w:r>
    </w:p>
  </w:footnote>
  <w:footnote w:id="82">
    <w:p w:rsidR="005B59F7" w:rsidRPr="0005608F" w:rsidRDefault="005B59F7" w:rsidP="00A7651B">
      <w:pPr>
        <w:pStyle w:val="HIPfootnote"/>
        <w:rPr>
          <w:lang w:val="en-US"/>
        </w:rPr>
      </w:pPr>
      <w:r>
        <w:rPr>
          <w:rStyle w:val="FootnoteReference"/>
        </w:rPr>
        <w:footnoteRef/>
      </w:r>
      <w:r w:rsidR="00A7651B" w:rsidRPr="00A7651B">
        <w:rPr>
          <w:lang w:val="en-US"/>
        </w:rPr>
        <w:tab/>
      </w:r>
      <w:r w:rsidR="000816B7">
        <w:fldChar w:fldCharType="begin"/>
      </w:r>
      <w:r w:rsidR="000816B7" w:rsidRPr="00A3379B">
        <w:rPr>
          <w:lang w:val="en-US"/>
        </w:rPr>
        <w:instrText>HYPERLINK "http://www.ictregulationtoolkit.org/en/Section.3296.html"</w:instrText>
      </w:r>
      <w:r w:rsidR="000816B7">
        <w:fldChar w:fldCharType="separate"/>
      </w:r>
      <w:r w:rsidR="00A7651B" w:rsidRPr="007B1A5B">
        <w:rPr>
          <w:rStyle w:val="Hyperlink"/>
          <w:lang w:val="en-US"/>
        </w:rPr>
        <w:t>www.ictregulationtoolkit.org/en/Section.3296.html</w:t>
      </w:r>
      <w:r w:rsidR="000816B7">
        <w:fldChar w:fldCharType="end"/>
      </w:r>
      <w:r w:rsidRPr="0005608F">
        <w:rPr>
          <w:lang w:val="en-US"/>
        </w:rPr>
        <w:t xml:space="preserve"> </w:t>
      </w:r>
    </w:p>
  </w:footnote>
  <w:footnote w:id="83">
    <w:p w:rsidR="005B59F7" w:rsidRPr="000C674F" w:rsidRDefault="005B59F7" w:rsidP="00A7651B">
      <w:pPr>
        <w:pStyle w:val="HIPfootnote"/>
        <w:rPr>
          <w:lang w:val="en-US"/>
        </w:rPr>
      </w:pPr>
      <w:r>
        <w:rPr>
          <w:rStyle w:val="FootnoteReference"/>
        </w:rPr>
        <w:footnoteRef/>
      </w:r>
      <w:r w:rsidRPr="000C674F">
        <w:rPr>
          <w:lang w:val="en-US"/>
        </w:rPr>
        <w:t xml:space="preserve"> </w:t>
      </w:r>
      <w:r w:rsidR="00A7651B">
        <w:rPr>
          <w:lang w:val="en-US"/>
        </w:rPr>
        <w:tab/>
      </w:r>
      <w:r w:rsidRPr="00F14F4F">
        <w:rPr>
          <w:lang w:val="en-US" w:eastAsia="en-US"/>
        </w:rPr>
        <w:t>Telephony tenders will typically require a subsidy of much more than US$ 100,000 (for example, over US$ 1 Million) however, any subsidy over US$100,000 is considered major.</w:t>
      </w:r>
    </w:p>
  </w:footnote>
  <w:footnote w:id="84">
    <w:p w:rsidR="005B59F7" w:rsidRPr="000C674F" w:rsidRDefault="005B59F7" w:rsidP="00A7651B">
      <w:pPr>
        <w:pStyle w:val="HIPfootnote"/>
        <w:rPr>
          <w:lang w:val="en-US"/>
        </w:rPr>
      </w:pPr>
      <w:r>
        <w:rPr>
          <w:rStyle w:val="FootnoteReference"/>
        </w:rPr>
        <w:footnoteRef/>
      </w:r>
      <w:r w:rsidRPr="000C674F">
        <w:rPr>
          <w:lang w:val="en-US"/>
        </w:rPr>
        <w:t xml:space="preserve"> </w:t>
      </w:r>
      <w:r w:rsidR="00A7651B">
        <w:rPr>
          <w:lang w:val="en-US"/>
        </w:rPr>
        <w:tab/>
      </w:r>
      <w:r w:rsidRPr="00F14F4F">
        <w:rPr>
          <w:lang w:val="en-US" w:eastAsia="en-US"/>
        </w:rPr>
        <w:t>Under certain circumstances, small sized subsidies (less than $15,000) may be disbursed directly through approval of a sound business plan</w:t>
      </w:r>
    </w:p>
  </w:footnote>
  <w:footnote w:id="85">
    <w:p w:rsidR="00A7651B" w:rsidRPr="000C674F" w:rsidRDefault="00A7651B" w:rsidP="00A7651B">
      <w:pPr>
        <w:pStyle w:val="HIPfootnote"/>
        <w:rPr>
          <w:lang w:val="en-US"/>
        </w:rPr>
      </w:pPr>
      <w:r>
        <w:rPr>
          <w:rStyle w:val="FootnoteReference"/>
        </w:rPr>
        <w:footnoteRef/>
      </w:r>
      <w:r w:rsidRPr="000C674F">
        <w:rPr>
          <w:lang w:val="en-US"/>
        </w:rPr>
        <w:t xml:space="preserve"> </w:t>
      </w:r>
      <w:r>
        <w:rPr>
          <w:lang w:val="en-US"/>
        </w:rPr>
        <w:tab/>
        <w:t>Analysys Mason, 2010</w:t>
      </w:r>
    </w:p>
  </w:footnote>
  <w:footnote w:id="86">
    <w:p w:rsidR="005B59F7" w:rsidRPr="0005608F" w:rsidRDefault="005B59F7" w:rsidP="00A7651B">
      <w:pPr>
        <w:pStyle w:val="HIPfootnote"/>
        <w:rPr>
          <w:lang w:val="en-US"/>
        </w:rPr>
      </w:pPr>
      <w:r>
        <w:rPr>
          <w:rStyle w:val="FootnoteReference"/>
        </w:rPr>
        <w:footnoteRef/>
      </w:r>
      <w:r w:rsidR="00A7651B">
        <w:rPr>
          <w:lang w:val="en-US"/>
        </w:rPr>
        <w:tab/>
      </w:r>
      <w:r>
        <w:rPr>
          <w:lang w:val="en-US"/>
        </w:rPr>
        <w:t xml:space="preserve">Adapted from </w:t>
      </w:r>
      <w:r w:rsidRPr="0005608F">
        <w:rPr>
          <w:lang w:val="en-US"/>
        </w:rPr>
        <w:t>Presentation entitled “Least-Cost Subsidy Auctions for Universal Access Telecom Projects</w:t>
      </w:r>
      <w:r>
        <w:rPr>
          <w:lang w:val="en-CA"/>
        </w:rPr>
        <w:t xml:space="preserve">: </w:t>
      </w:r>
      <w:r w:rsidRPr="00F92E57">
        <w:rPr>
          <w:b/>
          <w:bCs/>
          <w:lang w:val="en-CA"/>
        </w:rPr>
        <w:t>A Practical Implementation Guide</w:t>
      </w:r>
      <w:r>
        <w:rPr>
          <w:b/>
          <w:bCs/>
          <w:lang w:val="en-CA"/>
        </w:rPr>
        <w:t xml:space="preserve">,” </w:t>
      </w:r>
      <w:r w:rsidRPr="00F92E57">
        <w:rPr>
          <w:lang w:val="en-CA"/>
        </w:rPr>
        <w:t>Hank Intven &amp; Curt Howard</w:t>
      </w:r>
      <w:r>
        <w:rPr>
          <w:lang w:val="en-CA"/>
        </w:rPr>
        <w:t xml:space="preserve"> (2004).</w:t>
      </w:r>
    </w:p>
    <w:p w:rsidR="005B59F7" w:rsidRPr="0005608F" w:rsidRDefault="005B59F7" w:rsidP="005B59F7">
      <w:pPr>
        <w:pStyle w:val="FootnoteText"/>
        <w:rPr>
          <w:lang w:val="en-US"/>
        </w:rPr>
      </w:pPr>
    </w:p>
  </w:footnote>
  <w:footnote w:id="87">
    <w:p w:rsidR="00591F90" w:rsidRPr="003755CD" w:rsidRDefault="00591F90" w:rsidP="00591F90">
      <w:pPr>
        <w:pStyle w:val="HIPfootnote"/>
        <w:rPr>
          <w:lang w:val="en-US"/>
        </w:rPr>
      </w:pPr>
      <w:r>
        <w:rPr>
          <w:rStyle w:val="FootnoteReference"/>
        </w:rPr>
        <w:footnoteRef/>
      </w:r>
      <w:r>
        <w:rPr>
          <w:lang w:val="en-US"/>
        </w:rPr>
        <w:t xml:space="preserve"> </w:t>
      </w:r>
      <w:r>
        <w:rPr>
          <w:lang w:val="en-US"/>
        </w:rPr>
        <w:tab/>
        <w:t xml:space="preserve">See </w:t>
      </w:r>
      <w:r w:rsidRPr="00E05B13">
        <w:rPr>
          <w:lang w:val="en-US"/>
        </w:rPr>
        <w:t>Ten Steps to a Results Based Monitoring and Evaluation System</w:t>
      </w:r>
      <w:r w:rsidR="005E5682">
        <w:rPr>
          <w:lang w:val="en-US"/>
        </w:rPr>
        <w:t xml:space="preserve"> – </w:t>
      </w:r>
      <w:r w:rsidR="000816B7">
        <w:fldChar w:fldCharType="begin"/>
      </w:r>
      <w:r w:rsidR="000816B7" w:rsidRPr="00A3379B">
        <w:rPr>
          <w:lang w:val="en-US"/>
        </w:rPr>
        <w:instrText>HYPERLINK "http://www.oecd.org/dataoecd/23/27/35281194.pdf"</w:instrText>
      </w:r>
      <w:r w:rsidR="000816B7">
        <w:fldChar w:fldCharType="separate"/>
      </w:r>
      <w:r w:rsidRPr="007B1A5B">
        <w:rPr>
          <w:rStyle w:val="Hyperlink"/>
          <w:lang w:val="en-US"/>
        </w:rPr>
        <w:t>www.oecd.org/dataoecd/23/27/35281194.pdf</w:t>
      </w:r>
      <w:r w:rsidR="000816B7">
        <w:fldChar w:fldCharType="end"/>
      </w:r>
      <w:r>
        <w:rPr>
          <w:lang w:val="en-US"/>
        </w:rPr>
        <w:t xml:space="preserve"> which sets out the </w:t>
      </w:r>
      <w:r>
        <w:rPr>
          <w:rFonts w:hint="eastAsia"/>
          <w:lang w:val="en-US"/>
        </w:rPr>
        <w:t>“</w:t>
      </w:r>
      <w:r>
        <w:rPr>
          <w:lang w:val="en-US"/>
        </w:rPr>
        <w:t>10 steps</w:t>
      </w:r>
      <w:r>
        <w:rPr>
          <w:rFonts w:hint="eastAsia"/>
          <w:lang w:val="en-US"/>
        </w:rPr>
        <w:t>”</w:t>
      </w:r>
      <w:r>
        <w:rPr>
          <w:lang w:val="en-US"/>
        </w:rPr>
        <w:t xml:space="preserve"> and provides a detailed analysis of the </w:t>
      </w:r>
      <w:r>
        <w:rPr>
          <w:rFonts w:hint="eastAsia"/>
          <w:lang w:val="en-US"/>
        </w:rPr>
        <w:t>implementation</w:t>
      </w:r>
      <w:r>
        <w:rPr>
          <w:lang w:val="en-US"/>
        </w:rPr>
        <w:t xml:space="preserve"> of each step, as well as case studies.</w:t>
      </w:r>
      <w:r w:rsidR="005E5682">
        <w:rPr>
          <w:lang w:val="en-US"/>
        </w:rPr>
        <w:t xml:space="preserve"> </w:t>
      </w:r>
    </w:p>
  </w:footnote>
  <w:footnote w:id="88">
    <w:p w:rsidR="00591F90" w:rsidRPr="003755CD" w:rsidRDefault="00591F90" w:rsidP="00591F90">
      <w:pPr>
        <w:pStyle w:val="HIPfootnote"/>
        <w:rPr>
          <w:lang w:val="en-US"/>
        </w:rPr>
      </w:pPr>
      <w:r>
        <w:rPr>
          <w:rStyle w:val="FootnoteReference"/>
        </w:rPr>
        <w:footnoteRef/>
      </w:r>
      <w:r>
        <w:rPr>
          <w:lang w:val="en-US"/>
        </w:rPr>
        <w:t xml:space="preserve"> </w:t>
      </w:r>
      <w:r>
        <w:rPr>
          <w:lang w:val="en-US"/>
        </w:rPr>
        <w:tab/>
        <w:t>Ibid.</w:t>
      </w:r>
      <w:r w:rsidR="005E5682">
        <w:rPr>
          <w:lang w:val="en-US"/>
        </w:rPr>
        <w:t xml:space="preserve"> </w:t>
      </w:r>
    </w:p>
  </w:footnote>
  <w:footnote w:id="89">
    <w:p w:rsidR="00591F90" w:rsidRPr="003755CD" w:rsidRDefault="00591F90" w:rsidP="00591F90">
      <w:pPr>
        <w:pStyle w:val="HIPfootnote"/>
        <w:rPr>
          <w:lang w:val="en-US"/>
        </w:rPr>
      </w:pPr>
      <w:r>
        <w:rPr>
          <w:rStyle w:val="FootnoteReference"/>
        </w:rPr>
        <w:footnoteRef/>
      </w:r>
      <w:r w:rsidRPr="003755CD">
        <w:rPr>
          <w:lang w:val="en-US"/>
        </w:rPr>
        <w:t xml:space="preserve"> </w:t>
      </w:r>
      <w:r>
        <w:rPr>
          <w:lang w:val="en-US"/>
        </w:rPr>
        <w:tab/>
        <w:t>Adapted from Core Evaluation Objevtives,</w:t>
      </w:r>
      <w:r w:rsidR="005E5682">
        <w:rPr>
          <w:lang w:val="en-US"/>
        </w:rPr>
        <w:t xml:space="preserve"> </w:t>
      </w:r>
      <w:r>
        <w:rPr>
          <w:lang w:val="en-US"/>
        </w:rPr>
        <w:t xml:space="preserve">ILO, 2007, </w:t>
      </w:r>
    </w:p>
  </w:footnote>
  <w:footnote w:id="90">
    <w:p w:rsidR="00591F90" w:rsidRPr="00CB7502" w:rsidRDefault="00591F90" w:rsidP="00591F90">
      <w:pPr>
        <w:pStyle w:val="HIPfootnote"/>
        <w:rPr>
          <w:lang w:val="en-US"/>
        </w:rPr>
      </w:pPr>
      <w:r>
        <w:rPr>
          <w:rStyle w:val="FootnoteReference"/>
        </w:rPr>
        <w:footnoteRef/>
      </w:r>
      <w:r w:rsidRPr="00CB7502">
        <w:rPr>
          <w:lang w:val="en-US"/>
        </w:rPr>
        <w:t xml:space="preserve"> </w:t>
      </w:r>
      <w:r>
        <w:rPr>
          <w:lang w:val="en-US"/>
        </w:rPr>
        <w:tab/>
        <w:t>Adapted from UNFPA project management framework</w:t>
      </w:r>
    </w:p>
  </w:footnote>
  <w:footnote w:id="91">
    <w:p w:rsidR="00591F90" w:rsidRPr="00E443C5" w:rsidRDefault="00591F90" w:rsidP="00591F90">
      <w:pPr>
        <w:pStyle w:val="HIPfootnote"/>
        <w:rPr>
          <w:lang w:val="en-US"/>
        </w:rPr>
      </w:pPr>
      <w:r>
        <w:rPr>
          <w:rStyle w:val="FootnoteReference"/>
        </w:rPr>
        <w:footnoteRef/>
      </w:r>
      <w:r w:rsidRPr="00591F90">
        <w:rPr>
          <w:lang w:val="en-US"/>
        </w:rPr>
        <w:tab/>
      </w:r>
      <w:r w:rsidR="000816B7">
        <w:fldChar w:fldCharType="begin"/>
      </w:r>
      <w:r w:rsidR="000816B7" w:rsidRPr="00A3379B">
        <w:rPr>
          <w:lang w:val="en-US"/>
        </w:rPr>
        <w:instrText>HYPERLINK "http://www.cto.int/Default.aspx?tabid=230"</w:instrText>
      </w:r>
      <w:r w:rsidR="000816B7">
        <w:fldChar w:fldCharType="separate"/>
      </w:r>
      <w:r w:rsidRPr="007B1A5B">
        <w:rPr>
          <w:rStyle w:val="Hyperlink"/>
          <w:lang w:val="en-US"/>
        </w:rPr>
        <w:t>www.cto.int/Default.aspx?tabid=230</w:t>
      </w:r>
      <w:r w:rsidR="000816B7">
        <w:fldChar w:fldCharType="end"/>
      </w:r>
      <w:r w:rsidRPr="00E443C5">
        <w:rPr>
          <w:lang w:val="en-US"/>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DD5" w:rsidRPr="003D2DD5" w:rsidRDefault="003D2DD5" w:rsidP="003D2DD5">
    <w:pPr>
      <w:jc w:val="center"/>
      <w:rPr>
        <w:rFonts w:ascii="Calibri" w:hAnsi="Calibri"/>
        <w:color w:val="008000"/>
        <w:sz w:val="21"/>
        <w:szCs w:val="21"/>
        <w:lang w:val="en-US"/>
      </w:rPr>
    </w:pPr>
    <w:r w:rsidRPr="008E340F">
      <w:rPr>
        <w:rFonts w:ascii="Calibri" w:hAnsi="Calibri"/>
        <w:color w:val="008000"/>
        <w:sz w:val="21"/>
        <w:szCs w:val="21"/>
        <w:lang w:val="en-US"/>
      </w:rPr>
      <w:t xml:space="preserve">HIPSSA – </w:t>
    </w:r>
    <w:r w:rsidRPr="003D2DD5">
      <w:rPr>
        <w:rFonts w:ascii="Calibri" w:hAnsi="Calibri"/>
        <w:color w:val="008000"/>
        <w:sz w:val="21"/>
        <w:szCs w:val="21"/>
        <w:lang w:val="en-US"/>
      </w:rPr>
      <w:t>SADC Toolkit on Universal Access Funding and Universal Service Fund Implementation</w:t>
    </w:r>
  </w:p>
  <w:p w:rsidR="00BC1EC4" w:rsidRPr="009006C7" w:rsidRDefault="000816B7" w:rsidP="00983262">
    <w:pPr>
      <w:pBdr>
        <w:bottom w:val="single" w:sz="18" w:space="1" w:color="008000"/>
      </w:pBdr>
      <w:jc w:val="center"/>
      <w:rPr>
        <w:color w:val="00589F"/>
        <w:sz w:val="4"/>
        <w:szCs w:val="4"/>
        <w:lang w:val="en-US"/>
      </w:rPr>
    </w:pPr>
    <w:r>
      <w:rPr>
        <w:noProof/>
        <w:color w:val="00589F"/>
        <w:sz w:val="4"/>
        <w:szCs w:val="4"/>
        <w:lang w:val="en-US" w:eastAsia="zh-CN"/>
      </w:rPr>
      <w:pict>
        <v:shapetype id="_x0000_t202" coordsize="21600,21600" o:spt="202" path="m,l,21600r21600,l21600,xe">
          <v:stroke joinstyle="miter"/>
          <v:path gradientshapeok="t" o:connecttype="rect"/>
        </v:shapetype>
        <v:shape id="_x0000_s2204" type="#_x0000_t202" style="position:absolute;left:0;text-align:left;margin-left:-51.6pt;margin-top:46.45pt;width:48.7pt;height:207.75pt;z-index:251697664" filled="f" stroked="f">
          <v:textbox style="layout-flow:vertical;mso-layout-flow-alt:bottom-to-top;mso-next-textbox:#_x0000_s2204">
            <w:txbxContent>
              <w:p w:rsidR="00023929" w:rsidRPr="009006C7" w:rsidRDefault="00023929" w:rsidP="00023929">
                <w:pPr>
                  <w:pStyle w:val="HIPDarkVerticalTitle"/>
                  <w:rPr>
                    <w:lang w:val="fr-CH"/>
                  </w:rPr>
                </w:pPr>
                <w:r>
                  <w:rPr>
                    <w:lang w:val="fr-CH"/>
                  </w:rPr>
                  <w:t>Summary</w:t>
                </w:r>
              </w:p>
            </w:txbxContent>
          </v:textbox>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DD5" w:rsidRPr="003D2DD5" w:rsidRDefault="003D2DD5" w:rsidP="003D2DD5">
    <w:pPr>
      <w:jc w:val="center"/>
      <w:rPr>
        <w:rFonts w:ascii="Calibri" w:hAnsi="Calibri"/>
        <w:color w:val="008000"/>
        <w:sz w:val="21"/>
        <w:szCs w:val="21"/>
        <w:lang w:val="en-US"/>
      </w:rPr>
    </w:pPr>
    <w:r w:rsidRPr="008E340F">
      <w:rPr>
        <w:rFonts w:ascii="Calibri" w:hAnsi="Calibri"/>
        <w:color w:val="008000"/>
        <w:sz w:val="21"/>
        <w:szCs w:val="21"/>
        <w:lang w:val="en-US"/>
      </w:rPr>
      <w:t xml:space="preserve">HIPSSA – </w:t>
    </w:r>
    <w:r w:rsidRPr="003D2DD5">
      <w:rPr>
        <w:rFonts w:ascii="Calibri" w:hAnsi="Calibri"/>
        <w:color w:val="008000"/>
        <w:sz w:val="21"/>
        <w:szCs w:val="21"/>
        <w:lang w:val="en-US"/>
      </w:rPr>
      <w:t>SADC Toolkit on Universal Access Funding and Universal Service Fund Implementation</w:t>
    </w:r>
  </w:p>
  <w:p w:rsidR="00983262" w:rsidRPr="009006C7" w:rsidRDefault="00983262" w:rsidP="00983262">
    <w:pPr>
      <w:pBdr>
        <w:bottom w:val="single" w:sz="18" w:space="1" w:color="008000"/>
      </w:pBdr>
      <w:jc w:val="center"/>
      <w:rPr>
        <w:color w:val="00589F"/>
        <w:sz w:val="4"/>
        <w:szCs w:val="4"/>
        <w:lang w:val="en-US"/>
      </w:rPr>
    </w:pPr>
  </w:p>
  <w:p w:rsidR="009006C7" w:rsidRPr="00983262" w:rsidRDefault="000816B7" w:rsidP="00983262">
    <w:pPr>
      <w:rPr>
        <w:szCs w:val="4"/>
        <w:lang w:val="en-US"/>
      </w:rPr>
    </w:pPr>
    <w:r>
      <w:rPr>
        <w:noProof/>
        <w:szCs w:val="4"/>
        <w:lang w:val="en-US" w:eastAsia="zh-CN"/>
      </w:rPr>
      <w:pict>
        <v:shapetype id="_x0000_t202" coordsize="21600,21600" o:spt="202" path="m,l,21600r21600,l21600,xe">
          <v:stroke joinstyle="miter"/>
          <v:path gradientshapeok="t" o:connecttype="rect"/>
        </v:shapetype>
        <v:shape id="_x0000_s2160" type="#_x0000_t202" style="position:absolute;margin-left:-53.1pt;margin-top:28.9pt;width:48.7pt;height:207.75pt;z-index:251685376" filled="f" stroked="f">
          <v:textbox style="layout-flow:vertical;mso-layout-flow-alt:bottom-to-top;mso-next-textbox:#_x0000_s2160">
            <w:txbxContent>
              <w:p w:rsidR="00983262" w:rsidRPr="009006C7" w:rsidRDefault="00983262" w:rsidP="00983262">
                <w:pPr>
                  <w:pStyle w:val="HIPDarkVerticalTitle"/>
                  <w:rPr>
                    <w:lang w:val="fr-CH"/>
                  </w:rPr>
                </w:pPr>
                <w:r>
                  <w:rPr>
                    <w:lang w:val="fr-CH"/>
                  </w:rPr>
                  <w:t>Table of contents</w:t>
                </w:r>
              </w:p>
            </w:txbxContent>
          </v:textbox>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DD5" w:rsidRPr="003D2DD5" w:rsidRDefault="003D2DD5" w:rsidP="003D2DD5">
    <w:pPr>
      <w:jc w:val="center"/>
      <w:rPr>
        <w:rFonts w:ascii="Calibri" w:hAnsi="Calibri"/>
        <w:color w:val="008000"/>
        <w:sz w:val="21"/>
        <w:szCs w:val="21"/>
        <w:lang w:val="en-US"/>
      </w:rPr>
    </w:pPr>
    <w:r w:rsidRPr="008E340F">
      <w:rPr>
        <w:rFonts w:ascii="Calibri" w:hAnsi="Calibri"/>
        <w:color w:val="008000"/>
        <w:sz w:val="21"/>
        <w:szCs w:val="21"/>
        <w:lang w:val="en-US"/>
      </w:rPr>
      <w:t xml:space="preserve">HIPSSA – </w:t>
    </w:r>
    <w:r w:rsidRPr="003D2DD5">
      <w:rPr>
        <w:rFonts w:ascii="Calibri" w:hAnsi="Calibri"/>
        <w:color w:val="008000"/>
        <w:sz w:val="21"/>
        <w:szCs w:val="21"/>
        <w:lang w:val="en-US"/>
      </w:rPr>
      <w:t>SADC Toolkit on Universal Access Funding and Universal Service Fund Implementation</w:t>
    </w:r>
  </w:p>
  <w:p w:rsidR="00BC1EC4" w:rsidRPr="009006C7" w:rsidRDefault="00BC1EC4" w:rsidP="00BC1EC4">
    <w:pPr>
      <w:pBdr>
        <w:bottom w:val="single" w:sz="18" w:space="1" w:color="008000"/>
      </w:pBdr>
      <w:jc w:val="center"/>
      <w:rPr>
        <w:color w:val="00589F"/>
        <w:sz w:val="4"/>
        <w:szCs w:val="4"/>
        <w:lang w:val="en-US"/>
      </w:rPr>
    </w:pPr>
  </w:p>
  <w:p w:rsidR="00BC1EC4" w:rsidRPr="00BC1EC4" w:rsidRDefault="000816B7" w:rsidP="00BC1EC4">
    <w:pPr>
      <w:rPr>
        <w:szCs w:val="4"/>
        <w:lang w:val="en-US"/>
      </w:rPr>
    </w:pPr>
    <w:r>
      <w:rPr>
        <w:noProof/>
        <w:szCs w:val="4"/>
        <w:lang w:val="en-US" w:eastAsia="zh-CN"/>
      </w:rPr>
      <w:pict>
        <v:shapetype id="_x0000_t202" coordsize="21600,21600" o:spt="202" path="m,l,21600r21600,l21600,xe">
          <v:stroke joinstyle="miter"/>
          <v:path gradientshapeok="t" o:connecttype="rect"/>
        </v:shapetype>
        <v:shape id="_x0000_s2177" type="#_x0000_t202" style="position:absolute;margin-left:-54.6pt;margin-top:40.35pt;width:48.7pt;height:207.75pt;z-index:251690496" filled="f" stroked="f">
          <v:textbox style="layout-flow:vertical;mso-layout-flow-alt:bottom-to-top;mso-next-textbox:#_x0000_s2177">
            <w:txbxContent>
              <w:p w:rsidR="00BC1EC4" w:rsidRPr="009006C7" w:rsidRDefault="008978A2" w:rsidP="008978A2">
                <w:pPr>
                  <w:pStyle w:val="HIPDarkVerticalTitle"/>
                  <w:rPr>
                    <w:lang w:val="fr-CH"/>
                  </w:rPr>
                </w:pPr>
                <w:r>
                  <w:rPr>
                    <w:lang w:val="fr-CH"/>
                  </w:rPr>
                  <w:t>Part 1</w:t>
                </w:r>
              </w:p>
            </w:txbxContent>
          </v:textbox>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DD5" w:rsidRPr="003D2DD5" w:rsidRDefault="003D2DD5" w:rsidP="003D2DD5">
    <w:pPr>
      <w:jc w:val="center"/>
      <w:rPr>
        <w:rFonts w:ascii="Calibri" w:hAnsi="Calibri"/>
        <w:color w:val="008000"/>
        <w:sz w:val="21"/>
        <w:szCs w:val="21"/>
        <w:lang w:val="en-US"/>
      </w:rPr>
    </w:pPr>
    <w:r w:rsidRPr="008E340F">
      <w:rPr>
        <w:rFonts w:ascii="Calibri" w:hAnsi="Calibri"/>
        <w:color w:val="008000"/>
        <w:sz w:val="21"/>
        <w:szCs w:val="21"/>
        <w:lang w:val="en-US"/>
      </w:rPr>
      <w:t xml:space="preserve">HIPSSA – </w:t>
    </w:r>
    <w:r w:rsidRPr="003D2DD5">
      <w:rPr>
        <w:rFonts w:ascii="Calibri" w:hAnsi="Calibri"/>
        <w:color w:val="008000"/>
        <w:sz w:val="21"/>
        <w:szCs w:val="21"/>
        <w:lang w:val="en-US"/>
      </w:rPr>
      <w:t>SADC Toolkit on Universal Access Funding and Universal Service Fund Implementation</w:t>
    </w:r>
  </w:p>
  <w:p w:rsidR="00DB4F07" w:rsidRPr="009006C7" w:rsidRDefault="000816B7" w:rsidP="00983262">
    <w:pPr>
      <w:pBdr>
        <w:bottom w:val="single" w:sz="18" w:space="1" w:color="008000"/>
      </w:pBdr>
      <w:jc w:val="center"/>
      <w:rPr>
        <w:color w:val="00589F"/>
        <w:sz w:val="4"/>
        <w:szCs w:val="4"/>
        <w:lang w:val="en-US"/>
      </w:rPr>
    </w:pPr>
    <w:r>
      <w:rPr>
        <w:noProof/>
        <w:color w:val="00589F"/>
        <w:sz w:val="4"/>
        <w:szCs w:val="4"/>
        <w:lang w:val="en-US" w:eastAsia="zh-CN"/>
      </w:rPr>
      <w:pict>
        <v:shapetype id="_x0000_t202" coordsize="21600,21600" o:spt="202" path="m,l,21600r21600,l21600,xe">
          <v:stroke joinstyle="miter"/>
          <v:path gradientshapeok="t" o:connecttype="rect"/>
        </v:shapetype>
        <v:shape id="_x0000_s2223" type="#_x0000_t202" style="position:absolute;left:0;text-align:left;margin-left:-51.6pt;margin-top:38.2pt;width:48.7pt;height:207.75pt;z-index:251707904" filled="f" stroked="f">
          <v:textbox style="layout-flow:vertical;mso-layout-flow-alt:bottom-to-top;mso-next-textbox:#_x0000_s2223">
            <w:txbxContent>
              <w:p w:rsidR="00DB4F07" w:rsidRPr="009006C7" w:rsidRDefault="00DB4F07" w:rsidP="003D2DD5">
                <w:pPr>
                  <w:pStyle w:val="HIPDarkVerticalTitle"/>
                  <w:rPr>
                    <w:lang w:val="fr-CH"/>
                  </w:rPr>
                </w:pPr>
                <w:r>
                  <w:rPr>
                    <w:lang w:val="fr-CH"/>
                  </w:rPr>
                  <w:t xml:space="preserve">Part </w:t>
                </w:r>
                <w:r w:rsidR="00FF6919">
                  <w:rPr>
                    <w:lang w:val="fr-CH"/>
                  </w:rPr>
                  <w:t>1</w:t>
                </w:r>
              </w:p>
              <w:p w:rsidR="00DB4F07" w:rsidRPr="00DB4F07" w:rsidRDefault="00DB4F07" w:rsidP="00DB4F07"/>
            </w:txbxContent>
          </v:textbox>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DD5" w:rsidRPr="003D2DD5" w:rsidRDefault="003D2DD5" w:rsidP="003D2DD5">
    <w:pPr>
      <w:jc w:val="center"/>
      <w:rPr>
        <w:rFonts w:ascii="Calibri" w:hAnsi="Calibri"/>
        <w:color w:val="008000"/>
        <w:sz w:val="21"/>
        <w:szCs w:val="21"/>
        <w:lang w:val="en-US"/>
      </w:rPr>
    </w:pPr>
    <w:r w:rsidRPr="008E340F">
      <w:rPr>
        <w:rFonts w:ascii="Calibri" w:hAnsi="Calibri"/>
        <w:color w:val="008000"/>
        <w:sz w:val="21"/>
        <w:szCs w:val="21"/>
        <w:lang w:val="en-US"/>
      </w:rPr>
      <w:t xml:space="preserve">HIPSSA – </w:t>
    </w:r>
    <w:r w:rsidRPr="003D2DD5">
      <w:rPr>
        <w:rFonts w:ascii="Calibri" w:hAnsi="Calibri"/>
        <w:color w:val="008000"/>
        <w:sz w:val="21"/>
        <w:szCs w:val="21"/>
        <w:lang w:val="en-US"/>
      </w:rPr>
      <w:t>SADC Toolkit on Universal Access Funding and Universal Service Fund Implementation</w:t>
    </w:r>
  </w:p>
  <w:p w:rsidR="002D3643" w:rsidRPr="009006C7" w:rsidRDefault="002D3643" w:rsidP="00BC1EC4">
    <w:pPr>
      <w:pBdr>
        <w:bottom w:val="single" w:sz="18" w:space="1" w:color="008000"/>
      </w:pBdr>
      <w:jc w:val="center"/>
      <w:rPr>
        <w:color w:val="00589F"/>
        <w:sz w:val="4"/>
        <w:szCs w:val="4"/>
        <w:lang w:val="en-US"/>
      </w:rPr>
    </w:pPr>
  </w:p>
  <w:p w:rsidR="002D3643" w:rsidRPr="00BC1EC4" w:rsidRDefault="000816B7" w:rsidP="00BC1EC4">
    <w:pPr>
      <w:rPr>
        <w:lang w:val="en-US"/>
      </w:rPr>
    </w:pPr>
    <w:r>
      <w:rPr>
        <w:noProof/>
        <w:lang w:val="en-US" w:eastAsia="zh-CN"/>
      </w:rPr>
      <w:pict>
        <v:shapetype id="_x0000_t202" coordsize="21600,21600" o:spt="202" path="m,l,21600r21600,l21600,xe">
          <v:stroke joinstyle="miter"/>
          <v:path gradientshapeok="t" o:connecttype="rect"/>
        </v:shapetype>
        <v:shape id="_x0000_s2209" type="#_x0000_t202" style="position:absolute;margin-left:-48.6pt;margin-top:33.6pt;width:48.7pt;height:207.75pt;z-index:251705856" filled="f" stroked="f">
          <v:textbox style="layout-flow:vertical;mso-layout-flow-alt:bottom-to-top;mso-next-textbox:#_x0000_s2209">
            <w:txbxContent>
              <w:p w:rsidR="002D3643" w:rsidRPr="009006C7" w:rsidRDefault="003D2DD5" w:rsidP="002D3643">
                <w:pPr>
                  <w:pStyle w:val="HIPDarkVerticalTitle"/>
                  <w:rPr>
                    <w:lang w:val="fr-CH"/>
                  </w:rPr>
                </w:pPr>
                <w:r>
                  <w:rPr>
                    <w:lang w:val="fr-CH"/>
                  </w:rPr>
                  <w:t xml:space="preserve">Part </w:t>
                </w:r>
                <w:r w:rsidR="00FF6919">
                  <w:rPr>
                    <w:lang w:val="fr-CH"/>
                  </w:rPr>
                  <w:t>1</w:t>
                </w:r>
              </w:p>
            </w:txbxContent>
          </v:textbox>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8A2" w:rsidRPr="008E340F" w:rsidRDefault="008978A2" w:rsidP="00F150D2">
    <w:pPr>
      <w:jc w:val="center"/>
      <w:rPr>
        <w:rFonts w:ascii="Calibri" w:hAnsi="Calibri"/>
        <w:color w:val="008000"/>
        <w:sz w:val="21"/>
        <w:szCs w:val="21"/>
        <w:lang w:val="en-US"/>
      </w:rPr>
    </w:pPr>
    <w:r w:rsidRPr="008E340F">
      <w:rPr>
        <w:rFonts w:ascii="Calibri" w:hAnsi="Calibri"/>
        <w:color w:val="008000"/>
        <w:sz w:val="21"/>
        <w:szCs w:val="21"/>
        <w:lang w:val="en-US"/>
      </w:rPr>
      <w:t xml:space="preserve">HIPSSA – </w:t>
    </w:r>
    <w:r w:rsidR="00F150D2" w:rsidRPr="003D2DD5">
      <w:rPr>
        <w:rFonts w:ascii="Calibri" w:hAnsi="Calibri"/>
        <w:color w:val="008000"/>
        <w:sz w:val="21"/>
        <w:szCs w:val="21"/>
        <w:lang w:val="en-US"/>
      </w:rPr>
      <w:t>SADC Toolkit on Universal Access Funding and Universal Service Fund Implementation</w:t>
    </w:r>
  </w:p>
  <w:p w:rsidR="008978A2" w:rsidRPr="009006C7" w:rsidRDefault="008978A2" w:rsidP="00BC1EC4">
    <w:pPr>
      <w:pBdr>
        <w:bottom w:val="single" w:sz="18" w:space="1" w:color="008000"/>
      </w:pBdr>
      <w:jc w:val="center"/>
      <w:rPr>
        <w:color w:val="00589F"/>
        <w:sz w:val="4"/>
        <w:szCs w:val="4"/>
        <w:lang w:val="en-US"/>
      </w:rPr>
    </w:pPr>
  </w:p>
  <w:p w:rsidR="008978A2" w:rsidRPr="00BC1EC4" w:rsidRDefault="000816B7" w:rsidP="00BC1EC4">
    <w:pPr>
      <w:rPr>
        <w:szCs w:val="4"/>
        <w:lang w:val="en-US"/>
      </w:rPr>
    </w:pPr>
    <w:r>
      <w:rPr>
        <w:noProof/>
        <w:szCs w:val="4"/>
        <w:lang w:val="en-US" w:eastAsia="zh-CN"/>
      </w:rPr>
      <w:pict>
        <v:shapetype id="_x0000_t202" coordsize="21600,21600" o:spt="202" path="m,l,21600r21600,l21600,xe">
          <v:stroke joinstyle="miter"/>
          <v:path gradientshapeok="t" o:connecttype="rect"/>
        </v:shapetype>
        <v:shape id="_x0000_s2191" type="#_x0000_t202" style="position:absolute;margin-left:-54.6pt;margin-top:32.85pt;width:48.7pt;height:207.75pt;z-index:251694592" filled="f" stroked="f">
          <v:textbox style="layout-flow:vertical;mso-layout-flow-alt:bottom-to-top;mso-next-textbox:#_x0000_s2191">
            <w:txbxContent>
              <w:p w:rsidR="008978A2" w:rsidRPr="009006C7" w:rsidRDefault="008978A2" w:rsidP="008978A2">
                <w:pPr>
                  <w:pStyle w:val="HIPDarkVerticalTitle"/>
                  <w:rPr>
                    <w:lang w:val="fr-CH"/>
                  </w:rPr>
                </w:pPr>
                <w:r>
                  <w:rPr>
                    <w:lang w:val="fr-CH"/>
                  </w:rPr>
                  <w:t>Part 2</w:t>
                </w:r>
              </w:p>
            </w:txbxContent>
          </v:textbox>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919" w:rsidRPr="003D2DD5" w:rsidRDefault="00FF6919" w:rsidP="003D2DD5">
    <w:pPr>
      <w:jc w:val="center"/>
      <w:rPr>
        <w:rFonts w:ascii="Calibri" w:hAnsi="Calibri"/>
        <w:color w:val="008000"/>
        <w:sz w:val="21"/>
        <w:szCs w:val="21"/>
        <w:lang w:val="en-US"/>
      </w:rPr>
    </w:pPr>
    <w:r w:rsidRPr="008E340F">
      <w:rPr>
        <w:rFonts w:ascii="Calibri" w:hAnsi="Calibri"/>
        <w:color w:val="008000"/>
        <w:sz w:val="21"/>
        <w:szCs w:val="21"/>
        <w:lang w:val="en-US"/>
      </w:rPr>
      <w:t xml:space="preserve">HIPSSA – </w:t>
    </w:r>
    <w:r w:rsidRPr="003D2DD5">
      <w:rPr>
        <w:rFonts w:ascii="Calibri" w:hAnsi="Calibri"/>
        <w:color w:val="008000"/>
        <w:sz w:val="21"/>
        <w:szCs w:val="21"/>
        <w:lang w:val="en-US"/>
      </w:rPr>
      <w:t>SADC Toolkit on Universal Access Funding and Universal Service Fund Implementation</w:t>
    </w:r>
  </w:p>
  <w:p w:rsidR="00FF6919" w:rsidRPr="009006C7" w:rsidRDefault="000816B7" w:rsidP="00983262">
    <w:pPr>
      <w:pBdr>
        <w:bottom w:val="single" w:sz="18" w:space="1" w:color="008000"/>
      </w:pBdr>
      <w:jc w:val="center"/>
      <w:rPr>
        <w:color w:val="00589F"/>
        <w:sz w:val="4"/>
        <w:szCs w:val="4"/>
        <w:lang w:val="en-US"/>
      </w:rPr>
    </w:pPr>
    <w:r>
      <w:rPr>
        <w:noProof/>
        <w:color w:val="00589F"/>
        <w:sz w:val="4"/>
        <w:szCs w:val="4"/>
        <w:lang w:val="en-US" w:eastAsia="zh-CN"/>
      </w:rPr>
      <w:pict>
        <v:shapetype id="_x0000_t202" coordsize="21600,21600" o:spt="202" path="m,l,21600r21600,l21600,xe">
          <v:stroke joinstyle="miter"/>
          <v:path gradientshapeok="t" o:connecttype="rect"/>
        </v:shapetype>
        <v:shape id="_x0000_s2258" type="#_x0000_t202" style="position:absolute;left:0;text-align:left;margin-left:-51.6pt;margin-top:38.2pt;width:48.7pt;height:207.75pt;z-index:251735552" filled="f" stroked="f">
          <v:textbox style="layout-flow:vertical;mso-layout-flow-alt:bottom-to-top;mso-next-textbox:#_x0000_s2258">
            <w:txbxContent>
              <w:p w:rsidR="00FF6919" w:rsidRPr="009006C7" w:rsidRDefault="00FF6919" w:rsidP="003D2DD5">
                <w:pPr>
                  <w:pStyle w:val="HIPDarkVerticalTitle"/>
                  <w:rPr>
                    <w:lang w:val="fr-CH"/>
                  </w:rPr>
                </w:pPr>
                <w:r>
                  <w:rPr>
                    <w:lang w:val="fr-CH"/>
                  </w:rPr>
                  <w:t>Part 2</w:t>
                </w:r>
              </w:p>
              <w:p w:rsidR="00FF6919" w:rsidRPr="00DB4F07" w:rsidRDefault="00FF6919" w:rsidP="00DB4F07"/>
            </w:txbxContent>
          </v:textbox>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919" w:rsidRPr="003D2DD5" w:rsidRDefault="00FF6919" w:rsidP="003D2DD5">
    <w:pPr>
      <w:jc w:val="center"/>
      <w:rPr>
        <w:rFonts w:ascii="Calibri" w:hAnsi="Calibri"/>
        <w:color w:val="008000"/>
        <w:sz w:val="21"/>
        <w:szCs w:val="21"/>
        <w:lang w:val="en-US"/>
      </w:rPr>
    </w:pPr>
    <w:r w:rsidRPr="008E340F">
      <w:rPr>
        <w:rFonts w:ascii="Calibri" w:hAnsi="Calibri"/>
        <w:color w:val="008000"/>
        <w:sz w:val="21"/>
        <w:szCs w:val="21"/>
        <w:lang w:val="en-US"/>
      </w:rPr>
      <w:t xml:space="preserve">HIPSSA – </w:t>
    </w:r>
    <w:r w:rsidRPr="003D2DD5">
      <w:rPr>
        <w:rFonts w:ascii="Calibri" w:hAnsi="Calibri"/>
        <w:color w:val="008000"/>
        <w:sz w:val="21"/>
        <w:szCs w:val="21"/>
        <w:lang w:val="en-US"/>
      </w:rPr>
      <w:t>SADC Toolkit on Universal Access Funding and Universal Service Fund Implementation</w:t>
    </w:r>
  </w:p>
  <w:p w:rsidR="00FF6919" w:rsidRPr="009006C7" w:rsidRDefault="00FF6919" w:rsidP="00BC1EC4">
    <w:pPr>
      <w:pBdr>
        <w:bottom w:val="single" w:sz="18" w:space="1" w:color="008000"/>
      </w:pBdr>
      <w:jc w:val="center"/>
      <w:rPr>
        <w:color w:val="00589F"/>
        <w:sz w:val="4"/>
        <w:szCs w:val="4"/>
        <w:lang w:val="en-US"/>
      </w:rPr>
    </w:pPr>
  </w:p>
  <w:p w:rsidR="00FF6919" w:rsidRPr="00BC1EC4" w:rsidRDefault="000816B7" w:rsidP="00BC1EC4">
    <w:pPr>
      <w:rPr>
        <w:lang w:val="en-US"/>
      </w:rPr>
    </w:pPr>
    <w:r>
      <w:rPr>
        <w:noProof/>
        <w:lang w:val="en-US" w:eastAsia="zh-CN"/>
      </w:rPr>
      <w:pict>
        <v:shapetype id="_x0000_t202" coordsize="21600,21600" o:spt="202" path="m,l,21600r21600,l21600,xe">
          <v:stroke joinstyle="miter"/>
          <v:path gradientshapeok="t" o:connecttype="rect"/>
        </v:shapetype>
        <v:shape id="_x0000_s2259" type="#_x0000_t202" style="position:absolute;margin-left:-48.6pt;margin-top:33.6pt;width:48.7pt;height:207.75pt;z-index:251737600" filled="f" stroked="f">
          <v:textbox style="layout-flow:vertical;mso-layout-flow-alt:bottom-to-top;mso-next-textbox:#_x0000_s2259">
            <w:txbxContent>
              <w:p w:rsidR="00FF6919" w:rsidRPr="009006C7" w:rsidRDefault="00FF6919" w:rsidP="002D3643">
                <w:pPr>
                  <w:pStyle w:val="HIPDarkVerticalTitle"/>
                  <w:rPr>
                    <w:lang w:val="fr-CH"/>
                  </w:rPr>
                </w:pPr>
                <w:r>
                  <w:rPr>
                    <w:lang w:val="fr-CH"/>
                  </w:rPr>
                  <w:t>Part 2</w:t>
                </w:r>
              </w:p>
            </w:txbxContent>
          </v:textbox>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0036" w:rsidRPr="008E340F" w:rsidRDefault="00250036" w:rsidP="00F150D2">
    <w:pPr>
      <w:jc w:val="center"/>
      <w:rPr>
        <w:rFonts w:ascii="Calibri" w:hAnsi="Calibri"/>
        <w:color w:val="008000"/>
        <w:sz w:val="21"/>
        <w:szCs w:val="21"/>
        <w:lang w:val="en-US"/>
      </w:rPr>
    </w:pPr>
    <w:r w:rsidRPr="008E340F">
      <w:rPr>
        <w:rFonts w:ascii="Calibri" w:hAnsi="Calibri"/>
        <w:color w:val="008000"/>
        <w:sz w:val="21"/>
        <w:szCs w:val="21"/>
        <w:lang w:val="en-US"/>
      </w:rPr>
      <w:t xml:space="preserve">HIPSSA – </w:t>
    </w:r>
    <w:r w:rsidR="00F150D2" w:rsidRPr="003D2DD5">
      <w:rPr>
        <w:rFonts w:ascii="Calibri" w:hAnsi="Calibri"/>
        <w:color w:val="008000"/>
        <w:sz w:val="21"/>
        <w:szCs w:val="21"/>
        <w:lang w:val="en-US"/>
      </w:rPr>
      <w:t>SADC Toolkit on Universal Access Funding and Universal Service Fund Implementation</w:t>
    </w:r>
  </w:p>
  <w:p w:rsidR="00250036" w:rsidRPr="009006C7" w:rsidRDefault="00250036" w:rsidP="00BC1EC4">
    <w:pPr>
      <w:pBdr>
        <w:bottom w:val="single" w:sz="18" w:space="1" w:color="008000"/>
      </w:pBdr>
      <w:jc w:val="center"/>
      <w:rPr>
        <w:color w:val="00589F"/>
        <w:sz w:val="4"/>
        <w:szCs w:val="4"/>
        <w:lang w:val="en-US"/>
      </w:rPr>
    </w:pPr>
  </w:p>
  <w:p w:rsidR="00250036" w:rsidRPr="00BC1EC4" w:rsidRDefault="000816B7" w:rsidP="00BC1EC4">
    <w:pPr>
      <w:rPr>
        <w:szCs w:val="4"/>
        <w:lang w:val="en-US"/>
      </w:rPr>
    </w:pPr>
    <w:r>
      <w:rPr>
        <w:noProof/>
        <w:szCs w:val="4"/>
        <w:lang w:val="en-US" w:eastAsia="zh-CN"/>
      </w:rPr>
      <w:pict>
        <v:shapetype id="_x0000_t202" coordsize="21600,21600" o:spt="202" path="m,l,21600r21600,l21600,xe">
          <v:stroke joinstyle="miter"/>
          <v:path gradientshapeok="t" o:connecttype="rect"/>
        </v:shapetype>
        <v:shape id="_x0000_s2239" type="#_x0000_t202" style="position:absolute;margin-left:-54.6pt;margin-top:32.85pt;width:48.7pt;height:207.75pt;z-index:251712000" filled="f" stroked="f">
          <v:textbox style="layout-flow:vertical;mso-layout-flow-alt:bottom-to-top;mso-next-textbox:#_x0000_s2239">
            <w:txbxContent>
              <w:p w:rsidR="00250036" w:rsidRPr="009006C7" w:rsidRDefault="00250036" w:rsidP="008978A2">
                <w:pPr>
                  <w:pStyle w:val="HIPDarkVerticalTitle"/>
                  <w:rPr>
                    <w:lang w:val="fr-CH"/>
                  </w:rPr>
                </w:pPr>
                <w:r>
                  <w:rPr>
                    <w:lang w:val="fr-CH"/>
                  </w:rPr>
                  <w:t>Part 2</w:t>
                </w:r>
              </w:p>
            </w:txbxContent>
          </v:textbox>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0036" w:rsidRPr="008E340F" w:rsidRDefault="00250036" w:rsidP="00F150D2">
    <w:pPr>
      <w:jc w:val="center"/>
      <w:rPr>
        <w:rFonts w:ascii="Calibri" w:hAnsi="Calibri"/>
        <w:color w:val="008000"/>
        <w:sz w:val="21"/>
        <w:szCs w:val="21"/>
        <w:lang w:val="en-US"/>
      </w:rPr>
    </w:pPr>
    <w:r w:rsidRPr="008E340F">
      <w:rPr>
        <w:rFonts w:ascii="Calibri" w:hAnsi="Calibri"/>
        <w:color w:val="008000"/>
        <w:sz w:val="21"/>
        <w:szCs w:val="21"/>
        <w:lang w:val="en-US"/>
      </w:rPr>
      <w:t xml:space="preserve">HIPSSA – </w:t>
    </w:r>
    <w:r w:rsidR="00F150D2" w:rsidRPr="003D2DD5">
      <w:rPr>
        <w:rFonts w:ascii="Calibri" w:hAnsi="Calibri"/>
        <w:color w:val="008000"/>
        <w:sz w:val="21"/>
        <w:szCs w:val="21"/>
        <w:lang w:val="en-US"/>
      </w:rPr>
      <w:t>SADC Toolkit on Universal Access Funding and Universal Service Fund Implementation</w:t>
    </w:r>
  </w:p>
  <w:p w:rsidR="00250036" w:rsidRPr="009006C7" w:rsidRDefault="00250036" w:rsidP="00BC1EC4">
    <w:pPr>
      <w:pBdr>
        <w:bottom w:val="single" w:sz="18" w:space="1" w:color="008000"/>
      </w:pBdr>
      <w:jc w:val="center"/>
      <w:rPr>
        <w:color w:val="00589F"/>
        <w:sz w:val="4"/>
        <w:szCs w:val="4"/>
        <w:lang w:val="en-US"/>
      </w:rPr>
    </w:pPr>
  </w:p>
  <w:p w:rsidR="00250036" w:rsidRPr="00BC1EC4" w:rsidRDefault="000816B7" w:rsidP="00BC1EC4">
    <w:pPr>
      <w:rPr>
        <w:szCs w:val="4"/>
        <w:lang w:val="en-US"/>
      </w:rPr>
    </w:pPr>
    <w:r>
      <w:rPr>
        <w:noProof/>
        <w:szCs w:val="4"/>
        <w:lang w:val="en-US" w:eastAsia="zh-CN"/>
      </w:rPr>
      <w:pict>
        <v:shapetype id="_x0000_t202" coordsize="21600,21600" o:spt="202" path="m,l,21600r21600,l21600,xe">
          <v:stroke joinstyle="miter"/>
          <v:path gradientshapeok="t" o:connecttype="rect"/>
        </v:shapetype>
        <v:shape id="_x0000_s2240" type="#_x0000_t202" style="position:absolute;margin-left:-54.6pt;margin-top:40.35pt;width:48.7pt;height:207.75pt;z-index:251714048" filled="f" stroked="f">
          <v:textbox style="layout-flow:vertical;mso-layout-flow-alt:bottom-to-top;mso-next-textbox:#_x0000_s2240">
            <w:txbxContent>
              <w:p w:rsidR="00250036" w:rsidRPr="009006C7" w:rsidRDefault="00250036" w:rsidP="00250036">
                <w:pPr>
                  <w:pStyle w:val="HIPDarkVerticalTitle"/>
                  <w:rPr>
                    <w:lang w:val="fr-CH"/>
                  </w:rPr>
                </w:pPr>
                <w:r>
                  <w:rPr>
                    <w:lang w:val="fr-CH"/>
                  </w:rPr>
                  <w:t>Part 3</w:t>
                </w:r>
              </w:p>
            </w:txbxContent>
          </v:textbox>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682" w:rsidRPr="003D2DD5" w:rsidRDefault="005E5682" w:rsidP="003D2DD5">
    <w:pPr>
      <w:jc w:val="center"/>
      <w:rPr>
        <w:rFonts w:ascii="Calibri" w:hAnsi="Calibri"/>
        <w:color w:val="008000"/>
        <w:sz w:val="21"/>
        <w:szCs w:val="21"/>
        <w:lang w:val="en-US"/>
      </w:rPr>
    </w:pPr>
    <w:r w:rsidRPr="008E340F">
      <w:rPr>
        <w:rFonts w:ascii="Calibri" w:hAnsi="Calibri"/>
        <w:color w:val="008000"/>
        <w:sz w:val="21"/>
        <w:szCs w:val="21"/>
        <w:lang w:val="en-US"/>
      </w:rPr>
      <w:t xml:space="preserve">HIPSSA – </w:t>
    </w:r>
    <w:r w:rsidRPr="003D2DD5">
      <w:rPr>
        <w:rFonts w:ascii="Calibri" w:hAnsi="Calibri"/>
        <w:color w:val="008000"/>
        <w:sz w:val="21"/>
        <w:szCs w:val="21"/>
        <w:lang w:val="en-US"/>
      </w:rPr>
      <w:t>SADC Toolkit on Universal Access Funding and Universal Service Fund Implementation</w:t>
    </w:r>
  </w:p>
  <w:p w:rsidR="005E5682" w:rsidRPr="009006C7" w:rsidRDefault="000816B7" w:rsidP="00983262">
    <w:pPr>
      <w:pBdr>
        <w:bottom w:val="single" w:sz="18" w:space="1" w:color="008000"/>
      </w:pBdr>
      <w:jc w:val="center"/>
      <w:rPr>
        <w:color w:val="00589F"/>
        <w:sz w:val="4"/>
        <w:szCs w:val="4"/>
        <w:lang w:val="en-US"/>
      </w:rPr>
    </w:pPr>
    <w:r>
      <w:rPr>
        <w:noProof/>
        <w:color w:val="00589F"/>
        <w:sz w:val="4"/>
        <w:szCs w:val="4"/>
        <w:lang w:val="en-US" w:eastAsia="zh-CN"/>
      </w:rPr>
      <w:pict>
        <v:shapetype id="_x0000_t202" coordsize="21600,21600" o:spt="202" path="m,l,21600r21600,l21600,xe">
          <v:stroke joinstyle="miter"/>
          <v:path gradientshapeok="t" o:connecttype="rect"/>
        </v:shapetype>
        <v:shape id="_x0000_s2261" type="#_x0000_t202" style="position:absolute;left:0;text-align:left;margin-left:-51.6pt;margin-top:38.2pt;width:48.7pt;height:207.75pt;z-index:251741696" filled="f" stroked="f">
          <v:textbox style="layout-flow:vertical;mso-layout-flow-alt:bottom-to-top;mso-next-textbox:#_x0000_s2261">
            <w:txbxContent>
              <w:p w:rsidR="005E5682" w:rsidRPr="009006C7" w:rsidRDefault="005E5682" w:rsidP="003D2DD5">
                <w:pPr>
                  <w:pStyle w:val="HIPDarkVerticalTitle"/>
                  <w:rPr>
                    <w:lang w:val="fr-CH"/>
                  </w:rPr>
                </w:pPr>
                <w:r>
                  <w:rPr>
                    <w:lang w:val="fr-CH"/>
                  </w:rPr>
                  <w:t>Part 3</w:t>
                </w:r>
              </w:p>
              <w:p w:rsidR="005E5682" w:rsidRPr="00DB4F07" w:rsidRDefault="005E5682" w:rsidP="00DB4F07"/>
            </w:txbxContent>
          </v:textbox>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DD5" w:rsidRPr="003D2DD5" w:rsidRDefault="003D2DD5" w:rsidP="003D2DD5">
    <w:pPr>
      <w:jc w:val="center"/>
      <w:rPr>
        <w:rFonts w:ascii="Calibri" w:hAnsi="Calibri"/>
        <w:color w:val="008000"/>
        <w:sz w:val="21"/>
        <w:szCs w:val="21"/>
        <w:lang w:val="en-US"/>
      </w:rPr>
    </w:pPr>
    <w:r w:rsidRPr="008E340F">
      <w:rPr>
        <w:rFonts w:ascii="Calibri" w:hAnsi="Calibri"/>
        <w:color w:val="008000"/>
        <w:sz w:val="21"/>
        <w:szCs w:val="21"/>
        <w:lang w:val="en-US"/>
      </w:rPr>
      <w:t xml:space="preserve">HIPSSA – </w:t>
    </w:r>
    <w:r w:rsidRPr="003D2DD5">
      <w:rPr>
        <w:rFonts w:ascii="Calibri" w:hAnsi="Calibri"/>
        <w:color w:val="008000"/>
        <w:sz w:val="21"/>
        <w:szCs w:val="21"/>
        <w:lang w:val="en-US"/>
      </w:rPr>
      <w:t>SADC Toolkit on Universal Access Funding and Universal Service Fund Implementation</w:t>
    </w:r>
  </w:p>
  <w:p w:rsidR="00BC1EC4" w:rsidRPr="009006C7" w:rsidRDefault="00BC1EC4" w:rsidP="00BC1EC4">
    <w:pPr>
      <w:pBdr>
        <w:bottom w:val="single" w:sz="18" w:space="1" w:color="008000"/>
      </w:pBdr>
      <w:jc w:val="center"/>
      <w:rPr>
        <w:color w:val="00589F"/>
        <w:sz w:val="4"/>
        <w:szCs w:val="4"/>
        <w:lang w:val="en-US"/>
      </w:rPr>
    </w:pPr>
  </w:p>
  <w:p w:rsidR="00BC1EC4" w:rsidRPr="00BC1EC4" w:rsidRDefault="000816B7" w:rsidP="00BC1EC4">
    <w:pPr>
      <w:rPr>
        <w:lang w:val="en-US"/>
      </w:rPr>
    </w:pPr>
    <w:r w:rsidRPr="000816B7">
      <w:rPr>
        <w:rFonts w:ascii="Calibri" w:hAnsi="Calibri"/>
        <w:noProof/>
        <w:sz w:val="21"/>
        <w:szCs w:val="21"/>
        <w:lang w:val="en-US" w:eastAsia="zh-CN"/>
      </w:rPr>
      <w:pict>
        <v:shapetype id="_x0000_t202" coordsize="21600,21600" o:spt="202" path="m,l,21600r21600,l21600,xe">
          <v:stroke joinstyle="miter"/>
          <v:path gradientshapeok="t" o:connecttype="rect"/>
        </v:shapetype>
        <v:shape id="_x0000_s2205" type="#_x0000_t202" style="position:absolute;margin-left:-51.6pt;margin-top:40.9pt;width:48.7pt;height:207.75pt;z-index:251698688" filled="f" stroked="f">
          <v:textbox style="layout-flow:vertical;mso-layout-flow-alt:bottom-to-top;mso-next-textbox:#_x0000_s2205">
            <w:txbxContent>
              <w:p w:rsidR="00023929" w:rsidRPr="009006C7" w:rsidRDefault="00023929" w:rsidP="00023929">
                <w:pPr>
                  <w:pStyle w:val="HIPDarkVerticalTitle"/>
                  <w:rPr>
                    <w:lang w:val="fr-CH"/>
                  </w:rPr>
                </w:pPr>
                <w:r>
                  <w:rPr>
                    <w:lang w:val="fr-CH"/>
                  </w:rPr>
                  <w:t>Summary</w:t>
                </w:r>
              </w:p>
            </w:txbxContent>
          </v:textbox>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682" w:rsidRPr="003D2DD5" w:rsidRDefault="005E5682" w:rsidP="003D2DD5">
    <w:pPr>
      <w:jc w:val="center"/>
      <w:rPr>
        <w:rFonts w:ascii="Calibri" w:hAnsi="Calibri"/>
        <w:color w:val="008000"/>
        <w:sz w:val="21"/>
        <w:szCs w:val="21"/>
        <w:lang w:val="en-US"/>
      </w:rPr>
    </w:pPr>
    <w:r w:rsidRPr="008E340F">
      <w:rPr>
        <w:rFonts w:ascii="Calibri" w:hAnsi="Calibri"/>
        <w:color w:val="008000"/>
        <w:sz w:val="21"/>
        <w:szCs w:val="21"/>
        <w:lang w:val="en-US"/>
      </w:rPr>
      <w:t xml:space="preserve">HIPSSA – </w:t>
    </w:r>
    <w:r w:rsidRPr="003D2DD5">
      <w:rPr>
        <w:rFonts w:ascii="Calibri" w:hAnsi="Calibri"/>
        <w:color w:val="008000"/>
        <w:sz w:val="21"/>
        <w:szCs w:val="21"/>
        <w:lang w:val="en-US"/>
      </w:rPr>
      <w:t>SADC Toolkit on Universal Access Funding and Universal Service Fund Implementation</w:t>
    </w:r>
  </w:p>
  <w:p w:rsidR="005E5682" w:rsidRPr="009006C7" w:rsidRDefault="005E5682" w:rsidP="00BC1EC4">
    <w:pPr>
      <w:pBdr>
        <w:bottom w:val="single" w:sz="18" w:space="1" w:color="008000"/>
      </w:pBdr>
      <w:jc w:val="center"/>
      <w:rPr>
        <w:color w:val="00589F"/>
        <w:sz w:val="4"/>
        <w:szCs w:val="4"/>
        <w:lang w:val="en-US"/>
      </w:rPr>
    </w:pPr>
  </w:p>
  <w:p w:rsidR="005E5682" w:rsidRPr="00BC1EC4" w:rsidRDefault="000816B7" w:rsidP="00BC1EC4">
    <w:pPr>
      <w:rPr>
        <w:lang w:val="en-US"/>
      </w:rPr>
    </w:pPr>
    <w:r>
      <w:rPr>
        <w:noProof/>
        <w:lang w:val="en-US" w:eastAsia="zh-CN"/>
      </w:rPr>
      <w:pict>
        <v:shapetype id="_x0000_t202" coordsize="21600,21600" o:spt="202" path="m,l,21600r21600,l21600,xe">
          <v:stroke joinstyle="miter"/>
          <v:path gradientshapeok="t" o:connecttype="rect"/>
        </v:shapetype>
        <v:shape id="_x0000_s2262" type="#_x0000_t202" style="position:absolute;margin-left:-48.6pt;margin-top:33.6pt;width:48.7pt;height:207.75pt;z-index:251743744" filled="f" stroked="f">
          <v:textbox style="layout-flow:vertical;mso-layout-flow-alt:bottom-to-top;mso-next-textbox:#_x0000_s2262">
            <w:txbxContent>
              <w:p w:rsidR="005E5682" w:rsidRPr="009006C7" w:rsidRDefault="005E5682" w:rsidP="002D3643">
                <w:pPr>
                  <w:pStyle w:val="HIPDarkVerticalTitle"/>
                  <w:rPr>
                    <w:lang w:val="fr-CH"/>
                  </w:rPr>
                </w:pPr>
                <w:r>
                  <w:rPr>
                    <w:lang w:val="fr-CH"/>
                  </w:rPr>
                  <w:t>Part 3</w:t>
                </w:r>
              </w:p>
            </w:txbxContent>
          </v:textbox>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F90" w:rsidRPr="008E340F" w:rsidRDefault="00591F90" w:rsidP="00F150D2">
    <w:pPr>
      <w:jc w:val="center"/>
      <w:rPr>
        <w:rFonts w:ascii="Calibri" w:hAnsi="Calibri"/>
        <w:color w:val="008000"/>
        <w:sz w:val="21"/>
        <w:szCs w:val="21"/>
        <w:lang w:val="en-US"/>
      </w:rPr>
    </w:pPr>
    <w:r w:rsidRPr="008E340F">
      <w:rPr>
        <w:rFonts w:ascii="Calibri" w:hAnsi="Calibri"/>
        <w:color w:val="008000"/>
        <w:sz w:val="21"/>
        <w:szCs w:val="21"/>
        <w:lang w:val="en-US"/>
      </w:rPr>
      <w:t xml:space="preserve">HIPSSA – </w:t>
    </w:r>
    <w:r w:rsidR="00F150D2" w:rsidRPr="003D2DD5">
      <w:rPr>
        <w:rFonts w:ascii="Calibri" w:hAnsi="Calibri"/>
        <w:color w:val="008000"/>
        <w:sz w:val="21"/>
        <w:szCs w:val="21"/>
        <w:lang w:val="en-US"/>
      </w:rPr>
      <w:t>SADC Toolkit on Universal Access Funding and Universal Service Fund Implementation</w:t>
    </w:r>
  </w:p>
  <w:p w:rsidR="00591F90" w:rsidRPr="009006C7" w:rsidRDefault="00591F90" w:rsidP="00BC1EC4">
    <w:pPr>
      <w:pBdr>
        <w:bottom w:val="single" w:sz="18" w:space="1" w:color="008000"/>
      </w:pBdr>
      <w:jc w:val="center"/>
      <w:rPr>
        <w:color w:val="00589F"/>
        <w:sz w:val="4"/>
        <w:szCs w:val="4"/>
        <w:lang w:val="en-US"/>
      </w:rPr>
    </w:pPr>
  </w:p>
  <w:p w:rsidR="00591F90" w:rsidRPr="00BC1EC4" w:rsidRDefault="000816B7" w:rsidP="00BC1EC4">
    <w:pPr>
      <w:rPr>
        <w:szCs w:val="4"/>
        <w:lang w:val="en-US"/>
      </w:rPr>
    </w:pPr>
    <w:r>
      <w:rPr>
        <w:noProof/>
        <w:szCs w:val="4"/>
        <w:lang w:val="en-US" w:eastAsia="zh-CN"/>
      </w:rPr>
      <w:pict>
        <v:shapetype id="_x0000_t202" coordsize="21600,21600" o:spt="202" path="m,l,21600r21600,l21600,xe">
          <v:stroke joinstyle="miter"/>
          <v:path gradientshapeok="t" o:connecttype="rect"/>
        </v:shapetype>
        <v:shape id="_x0000_s2243" type="#_x0000_t202" style="position:absolute;margin-left:-54.6pt;margin-top:33.6pt;width:48.7pt;height:207.75pt;z-index:251720192" filled="f" stroked="f">
          <v:textbox style="layout-flow:vertical;mso-layout-flow-alt:bottom-to-top;mso-next-textbox:#_x0000_s2243">
            <w:txbxContent>
              <w:p w:rsidR="00591F90" w:rsidRPr="009006C7" w:rsidRDefault="005E5682" w:rsidP="008978A2">
                <w:pPr>
                  <w:pStyle w:val="HIPDarkVerticalTitle"/>
                  <w:rPr>
                    <w:lang w:val="fr-CH"/>
                  </w:rPr>
                </w:pPr>
                <w:r>
                  <w:rPr>
                    <w:lang w:val="fr-CH"/>
                  </w:rPr>
                  <w:t>Part 3</w:t>
                </w:r>
              </w:p>
            </w:txbxContent>
          </v:textbox>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0036" w:rsidRPr="003D2DD5" w:rsidRDefault="00250036" w:rsidP="003D2DD5">
    <w:pPr>
      <w:jc w:val="center"/>
      <w:rPr>
        <w:rFonts w:ascii="Calibri" w:hAnsi="Calibri"/>
        <w:color w:val="008000"/>
        <w:sz w:val="21"/>
        <w:szCs w:val="21"/>
        <w:lang w:val="en-US"/>
      </w:rPr>
    </w:pPr>
    <w:r w:rsidRPr="008E340F">
      <w:rPr>
        <w:rFonts w:ascii="Calibri" w:hAnsi="Calibri"/>
        <w:color w:val="008000"/>
        <w:sz w:val="21"/>
        <w:szCs w:val="21"/>
        <w:lang w:val="en-US"/>
      </w:rPr>
      <w:t xml:space="preserve">HIPSSA – </w:t>
    </w:r>
    <w:r w:rsidRPr="003D2DD5">
      <w:rPr>
        <w:rFonts w:ascii="Calibri" w:hAnsi="Calibri"/>
        <w:color w:val="008000"/>
        <w:sz w:val="21"/>
        <w:szCs w:val="21"/>
        <w:lang w:val="en-US"/>
      </w:rPr>
      <w:t>SADC Toolkit on Universal Access Funding and Universal Service Fund Implementation</w:t>
    </w:r>
  </w:p>
  <w:p w:rsidR="00250036" w:rsidRPr="009006C7" w:rsidRDefault="000816B7" w:rsidP="00983262">
    <w:pPr>
      <w:pBdr>
        <w:bottom w:val="single" w:sz="18" w:space="1" w:color="008000"/>
      </w:pBdr>
      <w:jc w:val="center"/>
      <w:rPr>
        <w:color w:val="00589F"/>
        <w:sz w:val="4"/>
        <w:szCs w:val="4"/>
        <w:lang w:val="en-US"/>
      </w:rPr>
    </w:pPr>
    <w:r>
      <w:rPr>
        <w:noProof/>
        <w:color w:val="00589F"/>
        <w:sz w:val="4"/>
        <w:szCs w:val="4"/>
        <w:lang w:val="en-US" w:eastAsia="zh-CN"/>
      </w:rPr>
      <w:pict>
        <v:shapetype id="_x0000_t202" coordsize="21600,21600" o:spt="202" path="m,l,21600r21600,l21600,xe">
          <v:stroke joinstyle="miter"/>
          <v:path gradientshapeok="t" o:connecttype="rect"/>
        </v:shapetype>
        <v:shape id="_x0000_s2242" type="#_x0000_t202" style="position:absolute;left:0;text-align:left;margin-left:-51.6pt;margin-top:46.45pt;width:48.7pt;height:207.75pt;z-index:251718144" filled="f" stroked="f">
          <v:textbox style="layout-flow:vertical;mso-layout-flow-alt:bottom-to-top;mso-next-textbox:#_x0000_s2242">
            <w:txbxContent>
              <w:p w:rsidR="00250036" w:rsidRPr="009006C7" w:rsidRDefault="00250036" w:rsidP="00250036">
                <w:pPr>
                  <w:pStyle w:val="HIPDarkVerticalTitle"/>
                  <w:rPr>
                    <w:lang w:val="fr-CH"/>
                  </w:rPr>
                </w:pPr>
                <w:r>
                  <w:rPr>
                    <w:lang w:val="fr-CH"/>
                  </w:rPr>
                  <w:t>Part 3</w:t>
                </w:r>
              </w:p>
              <w:p w:rsidR="00250036" w:rsidRPr="00DB4F07" w:rsidRDefault="00250036" w:rsidP="00DB4F07"/>
            </w:txbxContent>
          </v:textbox>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0036" w:rsidRPr="003D2DD5" w:rsidRDefault="00250036" w:rsidP="003D2DD5">
    <w:pPr>
      <w:jc w:val="center"/>
      <w:rPr>
        <w:rFonts w:ascii="Calibri" w:hAnsi="Calibri"/>
        <w:color w:val="008000"/>
        <w:sz w:val="21"/>
        <w:szCs w:val="21"/>
        <w:lang w:val="en-US"/>
      </w:rPr>
    </w:pPr>
    <w:r w:rsidRPr="008E340F">
      <w:rPr>
        <w:rFonts w:ascii="Calibri" w:hAnsi="Calibri"/>
        <w:color w:val="008000"/>
        <w:sz w:val="21"/>
        <w:szCs w:val="21"/>
        <w:lang w:val="en-US"/>
      </w:rPr>
      <w:t xml:space="preserve">HIPSSA – </w:t>
    </w:r>
    <w:r w:rsidRPr="003D2DD5">
      <w:rPr>
        <w:rFonts w:ascii="Calibri" w:hAnsi="Calibri"/>
        <w:color w:val="008000"/>
        <w:sz w:val="21"/>
        <w:szCs w:val="21"/>
        <w:lang w:val="en-US"/>
      </w:rPr>
      <w:t>SADC Toolkit on Universal Access Funding and Universal Service Fund Implementation</w:t>
    </w:r>
  </w:p>
  <w:p w:rsidR="00250036" w:rsidRPr="009006C7" w:rsidRDefault="00250036" w:rsidP="00BC1EC4">
    <w:pPr>
      <w:pBdr>
        <w:bottom w:val="single" w:sz="18" w:space="1" w:color="008000"/>
      </w:pBdr>
      <w:jc w:val="center"/>
      <w:rPr>
        <w:color w:val="00589F"/>
        <w:sz w:val="4"/>
        <w:szCs w:val="4"/>
        <w:lang w:val="en-US"/>
      </w:rPr>
    </w:pPr>
  </w:p>
  <w:p w:rsidR="00250036" w:rsidRPr="00BC1EC4" w:rsidRDefault="000816B7" w:rsidP="00BC1EC4">
    <w:pPr>
      <w:rPr>
        <w:lang w:val="en-US"/>
      </w:rPr>
    </w:pPr>
    <w:r>
      <w:rPr>
        <w:noProof/>
        <w:lang w:val="en-US" w:eastAsia="zh-CN"/>
      </w:rPr>
      <w:pict>
        <v:shapetype id="_x0000_t202" coordsize="21600,21600" o:spt="202" path="m,l,21600r21600,l21600,xe">
          <v:stroke joinstyle="miter"/>
          <v:path gradientshapeok="t" o:connecttype="rect"/>
        </v:shapetype>
        <v:shape id="_x0000_s2241" type="#_x0000_t202" style="position:absolute;margin-left:-48.6pt;margin-top:33.6pt;width:48.7pt;height:207.75pt;z-index:251716096" filled="f" stroked="f">
          <v:textbox style="layout-flow:vertical;mso-layout-flow-alt:bottom-to-top;mso-next-textbox:#_x0000_s2241">
            <w:txbxContent>
              <w:p w:rsidR="00250036" w:rsidRPr="009006C7" w:rsidRDefault="00250036" w:rsidP="002D3643">
                <w:pPr>
                  <w:pStyle w:val="HIPDarkVerticalTitle"/>
                  <w:rPr>
                    <w:lang w:val="fr-CH"/>
                  </w:rPr>
                </w:pPr>
                <w:r>
                  <w:rPr>
                    <w:lang w:val="fr-CH"/>
                  </w:rPr>
                  <w:t>Part 3</w:t>
                </w:r>
              </w:p>
            </w:txbxContent>
          </v:textbox>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8A2" w:rsidRPr="008E340F" w:rsidRDefault="008978A2" w:rsidP="00F150D2">
    <w:pPr>
      <w:jc w:val="center"/>
      <w:rPr>
        <w:rFonts w:ascii="Calibri" w:hAnsi="Calibri"/>
        <w:color w:val="008000"/>
        <w:sz w:val="21"/>
        <w:szCs w:val="21"/>
        <w:lang w:val="en-US"/>
      </w:rPr>
    </w:pPr>
    <w:r w:rsidRPr="008E340F">
      <w:rPr>
        <w:rFonts w:ascii="Calibri" w:hAnsi="Calibri"/>
        <w:color w:val="008000"/>
        <w:sz w:val="21"/>
        <w:szCs w:val="21"/>
        <w:lang w:val="en-US"/>
      </w:rPr>
      <w:t xml:space="preserve">HIPSSA – </w:t>
    </w:r>
    <w:r w:rsidR="00F150D2" w:rsidRPr="003D2DD5">
      <w:rPr>
        <w:rFonts w:ascii="Calibri" w:hAnsi="Calibri"/>
        <w:color w:val="008000"/>
        <w:sz w:val="21"/>
        <w:szCs w:val="21"/>
        <w:lang w:val="en-US"/>
      </w:rPr>
      <w:t>SADC Toolkit on Universal Access Funding and Universal Service Fund Implementation</w:t>
    </w:r>
  </w:p>
  <w:p w:rsidR="008978A2" w:rsidRPr="009006C7" w:rsidRDefault="008978A2" w:rsidP="00BC1EC4">
    <w:pPr>
      <w:pBdr>
        <w:bottom w:val="single" w:sz="18" w:space="1" w:color="008000"/>
      </w:pBdr>
      <w:jc w:val="center"/>
      <w:rPr>
        <w:color w:val="00589F"/>
        <w:sz w:val="4"/>
        <w:szCs w:val="4"/>
        <w:lang w:val="en-US"/>
      </w:rPr>
    </w:pPr>
  </w:p>
  <w:p w:rsidR="008978A2" w:rsidRPr="00BC1EC4" w:rsidRDefault="000816B7" w:rsidP="00BC1EC4">
    <w:pPr>
      <w:rPr>
        <w:szCs w:val="4"/>
        <w:lang w:val="en-US"/>
      </w:rPr>
    </w:pPr>
    <w:r>
      <w:rPr>
        <w:noProof/>
        <w:szCs w:val="4"/>
        <w:lang w:val="en-US" w:eastAsia="zh-CN"/>
      </w:rPr>
      <w:pict>
        <v:shapetype id="_x0000_t202" coordsize="21600,21600" o:spt="202" path="m,l,21600r21600,l21600,xe">
          <v:stroke joinstyle="miter"/>
          <v:path gradientshapeok="t" o:connecttype="rect"/>
        </v:shapetype>
        <v:shape id="_x0000_s2192" type="#_x0000_t202" style="position:absolute;margin-left:-54.6pt;margin-top:40.35pt;width:48.7pt;height:207.75pt;z-index:251696640" filled="f" stroked="f">
          <v:textbox style="layout-flow:vertical;mso-layout-flow-alt:bottom-to-top;mso-next-textbox:#_x0000_s2192">
            <w:txbxContent>
              <w:p w:rsidR="008978A2" w:rsidRPr="009006C7" w:rsidRDefault="008978A2" w:rsidP="00591F90">
                <w:pPr>
                  <w:pStyle w:val="HIPDarkVerticalTitle"/>
                  <w:rPr>
                    <w:lang w:val="fr-CH"/>
                  </w:rPr>
                </w:pPr>
                <w:r>
                  <w:rPr>
                    <w:lang w:val="fr-CH"/>
                  </w:rPr>
                  <w:t xml:space="preserve">Part </w:t>
                </w:r>
                <w:r w:rsidR="00591F90">
                  <w:rPr>
                    <w:lang w:val="fr-CH"/>
                  </w:rPr>
                  <w:t>4</w:t>
                </w:r>
              </w:p>
            </w:txbxContent>
          </v:textbox>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F90" w:rsidRPr="003D2DD5" w:rsidRDefault="00591F90" w:rsidP="003D2DD5">
    <w:pPr>
      <w:jc w:val="center"/>
      <w:rPr>
        <w:rFonts w:ascii="Calibri" w:hAnsi="Calibri"/>
        <w:color w:val="008000"/>
        <w:sz w:val="21"/>
        <w:szCs w:val="21"/>
        <w:lang w:val="en-US"/>
      </w:rPr>
    </w:pPr>
    <w:r w:rsidRPr="008E340F">
      <w:rPr>
        <w:rFonts w:ascii="Calibri" w:hAnsi="Calibri"/>
        <w:color w:val="008000"/>
        <w:sz w:val="21"/>
        <w:szCs w:val="21"/>
        <w:lang w:val="en-US"/>
      </w:rPr>
      <w:t xml:space="preserve">HIPSSA – </w:t>
    </w:r>
    <w:r w:rsidRPr="003D2DD5">
      <w:rPr>
        <w:rFonts w:ascii="Calibri" w:hAnsi="Calibri"/>
        <w:color w:val="008000"/>
        <w:sz w:val="21"/>
        <w:szCs w:val="21"/>
        <w:lang w:val="en-US"/>
      </w:rPr>
      <w:t>SADC Toolkit on Universal Access Funding and Universal Service Fund Implementation</w:t>
    </w:r>
  </w:p>
  <w:p w:rsidR="00591F90" w:rsidRPr="009006C7" w:rsidRDefault="000816B7" w:rsidP="00983262">
    <w:pPr>
      <w:pBdr>
        <w:bottom w:val="single" w:sz="18" w:space="1" w:color="008000"/>
      </w:pBdr>
      <w:jc w:val="center"/>
      <w:rPr>
        <w:color w:val="00589F"/>
        <w:sz w:val="4"/>
        <w:szCs w:val="4"/>
        <w:lang w:val="en-US"/>
      </w:rPr>
    </w:pPr>
    <w:r>
      <w:rPr>
        <w:noProof/>
        <w:color w:val="00589F"/>
        <w:sz w:val="4"/>
        <w:szCs w:val="4"/>
        <w:lang w:val="en-US" w:eastAsia="zh-CN"/>
      </w:rPr>
      <w:pict>
        <v:shapetype id="_x0000_t202" coordsize="21600,21600" o:spt="202" path="m,l,21600r21600,l21600,xe">
          <v:stroke joinstyle="miter"/>
          <v:path gradientshapeok="t" o:connecttype="rect"/>
        </v:shapetype>
        <v:shape id="_x0000_s2257" type="#_x0000_t202" style="position:absolute;left:0;text-align:left;margin-left:-51.6pt;margin-top:46.45pt;width:48.7pt;height:207.75pt;z-index:251733504" filled="f" stroked="f">
          <v:textbox style="layout-flow:vertical;mso-layout-flow-alt:bottom-to-top;mso-next-textbox:#_x0000_s2257">
            <w:txbxContent>
              <w:p w:rsidR="00591F90" w:rsidRPr="009006C7" w:rsidRDefault="00591F90" w:rsidP="00250036">
                <w:pPr>
                  <w:pStyle w:val="HIPDarkVerticalTitle"/>
                  <w:rPr>
                    <w:lang w:val="fr-CH"/>
                  </w:rPr>
                </w:pPr>
                <w:r>
                  <w:rPr>
                    <w:lang w:val="fr-CH"/>
                  </w:rPr>
                  <w:t>Part 4</w:t>
                </w:r>
              </w:p>
              <w:p w:rsidR="00591F90" w:rsidRPr="00DB4F07" w:rsidRDefault="00591F90" w:rsidP="00DB4F07"/>
            </w:txbxContent>
          </v:textbox>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F90" w:rsidRPr="003D2DD5" w:rsidRDefault="00591F90" w:rsidP="003D2DD5">
    <w:pPr>
      <w:jc w:val="center"/>
      <w:rPr>
        <w:rFonts w:ascii="Calibri" w:hAnsi="Calibri"/>
        <w:color w:val="008000"/>
        <w:sz w:val="21"/>
        <w:szCs w:val="21"/>
        <w:lang w:val="en-US"/>
      </w:rPr>
    </w:pPr>
    <w:r w:rsidRPr="008E340F">
      <w:rPr>
        <w:rFonts w:ascii="Calibri" w:hAnsi="Calibri"/>
        <w:color w:val="008000"/>
        <w:sz w:val="21"/>
        <w:szCs w:val="21"/>
        <w:lang w:val="en-US"/>
      </w:rPr>
      <w:t xml:space="preserve">HIPSSA – </w:t>
    </w:r>
    <w:r w:rsidRPr="003D2DD5">
      <w:rPr>
        <w:rFonts w:ascii="Calibri" w:hAnsi="Calibri"/>
        <w:color w:val="008000"/>
        <w:sz w:val="21"/>
        <w:szCs w:val="21"/>
        <w:lang w:val="en-US"/>
      </w:rPr>
      <w:t>SADC Toolkit on Universal Access Funding and Universal Service Fund Implementation</w:t>
    </w:r>
  </w:p>
  <w:p w:rsidR="00591F90" w:rsidRPr="009006C7" w:rsidRDefault="00591F90" w:rsidP="00BC1EC4">
    <w:pPr>
      <w:pBdr>
        <w:bottom w:val="single" w:sz="18" w:space="1" w:color="008000"/>
      </w:pBdr>
      <w:jc w:val="center"/>
      <w:rPr>
        <w:color w:val="00589F"/>
        <w:sz w:val="4"/>
        <w:szCs w:val="4"/>
        <w:lang w:val="en-US"/>
      </w:rPr>
    </w:pPr>
  </w:p>
  <w:p w:rsidR="00591F90" w:rsidRPr="00BC1EC4" w:rsidRDefault="000816B7" w:rsidP="00BC1EC4">
    <w:pPr>
      <w:rPr>
        <w:lang w:val="en-US"/>
      </w:rPr>
    </w:pPr>
    <w:r>
      <w:rPr>
        <w:noProof/>
        <w:lang w:val="en-US" w:eastAsia="zh-CN"/>
      </w:rPr>
      <w:pict>
        <v:shapetype id="_x0000_t202" coordsize="21600,21600" o:spt="202" path="m,l,21600r21600,l21600,xe">
          <v:stroke joinstyle="miter"/>
          <v:path gradientshapeok="t" o:connecttype="rect"/>
        </v:shapetype>
        <v:shape id="_x0000_s2256" type="#_x0000_t202" style="position:absolute;margin-left:-48.6pt;margin-top:33.6pt;width:48.7pt;height:207.75pt;z-index:251731456" filled="f" stroked="f">
          <v:textbox style="layout-flow:vertical;mso-layout-flow-alt:bottom-to-top;mso-next-textbox:#_x0000_s2256">
            <w:txbxContent>
              <w:p w:rsidR="00591F90" w:rsidRPr="009006C7" w:rsidRDefault="00591F90" w:rsidP="002D3643">
                <w:pPr>
                  <w:pStyle w:val="HIPDarkVerticalTitle"/>
                  <w:rPr>
                    <w:lang w:val="fr-CH"/>
                  </w:rPr>
                </w:pPr>
                <w:r>
                  <w:rPr>
                    <w:lang w:val="fr-CH"/>
                  </w:rPr>
                  <w:t>Part 4</w:t>
                </w:r>
              </w:p>
            </w:txbxContent>
          </v:textbox>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F90" w:rsidRPr="008E340F" w:rsidRDefault="00591F90" w:rsidP="00F150D2">
    <w:pPr>
      <w:jc w:val="center"/>
      <w:rPr>
        <w:rFonts w:ascii="Calibri" w:hAnsi="Calibri"/>
        <w:color w:val="008000"/>
        <w:sz w:val="21"/>
        <w:szCs w:val="21"/>
        <w:lang w:val="en-US"/>
      </w:rPr>
    </w:pPr>
    <w:r w:rsidRPr="008E340F">
      <w:rPr>
        <w:rFonts w:ascii="Calibri" w:hAnsi="Calibri"/>
        <w:color w:val="008000"/>
        <w:sz w:val="21"/>
        <w:szCs w:val="21"/>
        <w:lang w:val="en-US"/>
      </w:rPr>
      <w:t xml:space="preserve">HIPSSA – </w:t>
    </w:r>
    <w:r w:rsidR="00F150D2" w:rsidRPr="003D2DD5">
      <w:rPr>
        <w:rFonts w:ascii="Calibri" w:hAnsi="Calibri"/>
        <w:color w:val="008000"/>
        <w:sz w:val="21"/>
        <w:szCs w:val="21"/>
        <w:lang w:val="en-US"/>
      </w:rPr>
      <w:t>SADC Toolkit on Universal Access Funding and Universal Service Fund Implementation</w:t>
    </w:r>
  </w:p>
  <w:p w:rsidR="00591F90" w:rsidRPr="009006C7" w:rsidRDefault="00591F90" w:rsidP="00BC1EC4">
    <w:pPr>
      <w:pBdr>
        <w:bottom w:val="single" w:sz="18" w:space="1" w:color="008000"/>
      </w:pBdr>
      <w:jc w:val="center"/>
      <w:rPr>
        <w:color w:val="00589F"/>
        <w:sz w:val="4"/>
        <w:szCs w:val="4"/>
        <w:lang w:val="en-US"/>
      </w:rPr>
    </w:pPr>
  </w:p>
  <w:p w:rsidR="00591F90" w:rsidRPr="00BC1EC4" w:rsidRDefault="000816B7" w:rsidP="00BC1EC4">
    <w:pPr>
      <w:rPr>
        <w:szCs w:val="4"/>
        <w:lang w:val="en-US"/>
      </w:rPr>
    </w:pPr>
    <w:r>
      <w:rPr>
        <w:noProof/>
        <w:szCs w:val="4"/>
        <w:lang w:val="en-US" w:eastAsia="zh-CN"/>
      </w:rPr>
      <w:pict>
        <v:shapetype id="_x0000_t202" coordsize="21600,21600" o:spt="202" path="m,l,21600r21600,l21600,xe">
          <v:stroke joinstyle="miter"/>
          <v:path gradientshapeok="t" o:connecttype="rect"/>
        </v:shapetype>
        <v:shape id="_x0000_s2255" type="#_x0000_t202" style="position:absolute;margin-left:-54.6pt;margin-top:32.85pt;width:48.7pt;height:207.75pt;z-index:251729408" filled="f" stroked="f">
          <v:textbox style="layout-flow:vertical;mso-layout-flow-alt:bottom-to-top;mso-next-textbox:#_x0000_s2255">
            <w:txbxContent>
              <w:p w:rsidR="00591F90" w:rsidRPr="009006C7" w:rsidRDefault="009C6150" w:rsidP="008978A2">
                <w:pPr>
                  <w:pStyle w:val="HIPDarkVerticalTitle"/>
                  <w:rPr>
                    <w:lang w:val="fr-CH"/>
                  </w:rPr>
                </w:pPr>
                <w:r>
                  <w:rPr>
                    <w:lang w:val="fr-CH"/>
                  </w:rPr>
                  <w:t>Part 4</w:t>
                </w:r>
              </w:p>
            </w:txbxContent>
          </v:textbox>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F90" w:rsidRPr="003D2DD5" w:rsidRDefault="00591F90" w:rsidP="003D2DD5">
    <w:pPr>
      <w:jc w:val="center"/>
      <w:rPr>
        <w:rFonts w:ascii="Calibri" w:hAnsi="Calibri"/>
        <w:color w:val="008000"/>
        <w:sz w:val="21"/>
        <w:szCs w:val="21"/>
        <w:lang w:val="en-US"/>
      </w:rPr>
    </w:pPr>
    <w:r w:rsidRPr="008E340F">
      <w:rPr>
        <w:rFonts w:ascii="Calibri" w:hAnsi="Calibri"/>
        <w:color w:val="008000"/>
        <w:sz w:val="21"/>
        <w:szCs w:val="21"/>
        <w:lang w:val="en-US"/>
      </w:rPr>
      <w:t xml:space="preserve">HIPSSA – </w:t>
    </w:r>
    <w:r w:rsidRPr="003D2DD5">
      <w:rPr>
        <w:rFonts w:ascii="Calibri" w:hAnsi="Calibri"/>
        <w:color w:val="008000"/>
        <w:sz w:val="21"/>
        <w:szCs w:val="21"/>
        <w:lang w:val="en-US"/>
      </w:rPr>
      <w:t>SADC Toolkit on Universal Access Funding and Universal Service Fund Implementation</w:t>
    </w:r>
  </w:p>
  <w:p w:rsidR="00591F90" w:rsidRPr="009006C7" w:rsidRDefault="000816B7" w:rsidP="00983262">
    <w:pPr>
      <w:pBdr>
        <w:bottom w:val="single" w:sz="18" w:space="1" w:color="008000"/>
      </w:pBdr>
      <w:jc w:val="center"/>
      <w:rPr>
        <w:color w:val="00589F"/>
        <w:sz w:val="4"/>
        <w:szCs w:val="4"/>
        <w:lang w:val="en-US"/>
      </w:rPr>
    </w:pPr>
    <w:r>
      <w:rPr>
        <w:noProof/>
        <w:color w:val="00589F"/>
        <w:sz w:val="4"/>
        <w:szCs w:val="4"/>
        <w:lang w:val="en-US" w:eastAsia="zh-CN"/>
      </w:rPr>
      <w:pict>
        <v:shapetype id="_x0000_t202" coordsize="21600,21600" o:spt="202" path="m,l,21600r21600,l21600,xe">
          <v:stroke joinstyle="miter"/>
          <v:path gradientshapeok="t" o:connecttype="rect"/>
        </v:shapetype>
        <v:shape id="_x0000_s2254" type="#_x0000_t202" style="position:absolute;left:0;text-align:left;margin-left:-51.6pt;margin-top:46.45pt;width:48.7pt;height:207.75pt;z-index:251728384" filled="f" stroked="f">
          <v:textbox style="layout-flow:vertical;mso-layout-flow-alt:bottom-to-top;mso-next-textbox:#_x0000_s2254">
            <w:txbxContent>
              <w:p w:rsidR="00591F90" w:rsidRPr="009006C7" w:rsidRDefault="00591F90" w:rsidP="00250036">
                <w:pPr>
                  <w:pStyle w:val="HIPDarkVerticalTitle"/>
                  <w:rPr>
                    <w:lang w:val="fr-CH"/>
                  </w:rPr>
                </w:pPr>
                <w:r>
                  <w:rPr>
                    <w:lang w:val="fr-CH"/>
                  </w:rPr>
                  <w:t>Part 3</w:t>
                </w:r>
              </w:p>
              <w:p w:rsidR="00591F90" w:rsidRPr="00DB4F07" w:rsidRDefault="00591F90" w:rsidP="00DB4F07"/>
            </w:txbxContent>
          </v:textbox>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F90" w:rsidRPr="003D2DD5" w:rsidRDefault="00591F90" w:rsidP="003D2DD5">
    <w:pPr>
      <w:jc w:val="center"/>
      <w:rPr>
        <w:rFonts w:ascii="Calibri" w:hAnsi="Calibri"/>
        <w:color w:val="008000"/>
        <w:sz w:val="21"/>
        <w:szCs w:val="21"/>
        <w:lang w:val="en-US"/>
      </w:rPr>
    </w:pPr>
    <w:r w:rsidRPr="008E340F">
      <w:rPr>
        <w:rFonts w:ascii="Calibri" w:hAnsi="Calibri"/>
        <w:color w:val="008000"/>
        <w:sz w:val="21"/>
        <w:szCs w:val="21"/>
        <w:lang w:val="en-US"/>
      </w:rPr>
      <w:t xml:space="preserve">HIPSSA – </w:t>
    </w:r>
    <w:r w:rsidRPr="003D2DD5">
      <w:rPr>
        <w:rFonts w:ascii="Calibri" w:hAnsi="Calibri"/>
        <w:color w:val="008000"/>
        <w:sz w:val="21"/>
        <w:szCs w:val="21"/>
        <w:lang w:val="en-US"/>
      </w:rPr>
      <w:t>SADC Toolkit on Universal Access Funding and Universal Service Fund Implementation</w:t>
    </w:r>
  </w:p>
  <w:p w:rsidR="00591F90" w:rsidRPr="009006C7" w:rsidRDefault="00591F90" w:rsidP="00BC1EC4">
    <w:pPr>
      <w:pBdr>
        <w:bottom w:val="single" w:sz="18" w:space="1" w:color="008000"/>
      </w:pBdr>
      <w:jc w:val="center"/>
      <w:rPr>
        <w:color w:val="00589F"/>
        <w:sz w:val="4"/>
        <w:szCs w:val="4"/>
        <w:lang w:val="en-US"/>
      </w:rPr>
    </w:pPr>
  </w:p>
  <w:p w:rsidR="00591F90" w:rsidRPr="00BC1EC4" w:rsidRDefault="000816B7" w:rsidP="00BC1EC4">
    <w:pPr>
      <w:rPr>
        <w:lang w:val="en-US"/>
      </w:rPr>
    </w:pPr>
    <w:r>
      <w:rPr>
        <w:noProof/>
        <w:lang w:val="en-US" w:eastAsia="zh-CN"/>
      </w:rPr>
      <w:pict>
        <v:shapetype id="_x0000_t202" coordsize="21600,21600" o:spt="202" path="m,l,21600r21600,l21600,xe">
          <v:stroke joinstyle="miter"/>
          <v:path gradientshapeok="t" o:connecttype="rect"/>
        </v:shapetype>
        <v:shape id="_x0000_s2253" type="#_x0000_t202" style="position:absolute;margin-left:-48.6pt;margin-top:33.6pt;width:48.7pt;height:207.75pt;z-index:251727360" filled="f" stroked="f">
          <v:textbox style="layout-flow:vertical;mso-layout-flow-alt:bottom-to-top;mso-next-textbox:#_x0000_s2253">
            <w:txbxContent>
              <w:p w:rsidR="00591F90" w:rsidRPr="009006C7" w:rsidRDefault="00591F90" w:rsidP="002D3643">
                <w:pPr>
                  <w:pStyle w:val="HIPDarkVerticalTitle"/>
                  <w:rPr>
                    <w:lang w:val="fr-CH"/>
                  </w:rPr>
                </w:pPr>
                <w:r>
                  <w:rPr>
                    <w:lang w:val="fr-CH"/>
                  </w:rPr>
                  <w:t>Part 3</w:t>
                </w:r>
              </w:p>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262" w:rsidRPr="003D2DD5" w:rsidRDefault="00983262" w:rsidP="003D2DD5">
    <w:pPr>
      <w:jc w:val="center"/>
      <w:rPr>
        <w:rFonts w:ascii="Calibri" w:hAnsi="Calibri"/>
        <w:color w:val="008000"/>
        <w:sz w:val="21"/>
        <w:szCs w:val="21"/>
        <w:lang w:val="en-US"/>
      </w:rPr>
    </w:pPr>
    <w:r w:rsidRPr="008E340F">
      <w:rPr>
        <w:rFonts w:ascii="Calibri" w:hAnsi="Calibri"/>
        <w:color w:val="008000"/>
        <w:sz w:val="21"/>
        <w:szCs w:val="21"/>
        <w:lang w:val="en-US"/>
      </w:rPr>
      <w:t xml:space="preserve">HIPSSA – </w:t>
    </w:r>
    <w:r w:rsidR="003D2DD5" w:rsidRPr="003D2DD5">
      <w:rPr>
        <w:rFonts w:ascii="Calibri" w:hAnsi="Calibri"/>
        <w:color w:val="008000"/>
        <w:sz w:val="21"/>
        <w:szCs w:val="21"/>
        <w:lang w:val="en-US"/>
      </w:rPr>
      <w:t>SADC Toolkit on Universal Access Funding and Universal Service Fund Implementation</w:t>
    </w:r>
  </w:p>
  <w:p w:rsidR="003D2DD5" w:rsidRPr="009006C7" w:rsidRDefault="003D2DD5" w:rsidP="003D2DD5">
    <w:pPr>
      <w:pBdr>
        <w:bottom w:val="single" w:sz="18" w:space="1" w:color="008000"/>
      </w:pBdr>
      <w:jc w:val="center"/>
      <w:rPr>
        <w:color w:val="00589F"/>
        <w:sz w:val="4"/>
        <w:szCs w:val="4"/>
        <w:lang w:val="en-US"/>
      </w:rPr>
    </w:pPr>
  </w:p>
  <w:p w:rsidR="009006C7" w:rsidRPr="00234760" w:rsidRDefault="000816B7" w:rsidP="00234760">
    <w:pPr>
      <w:rPr>
        <w:szCs w:val="4"/>
      </w:rPr>
    </w:pPr>
    <w:r>
      <w:rPr>
        <w:noProof/>
        <w:szCs w:val="4"/>
        <w:lang w:val="en-US" w:eastAsia="zh-CN"/>
      </w:rPr>
      <w:pict>
        <v:shapetype id="_x0000_t202" coordsize="21600,21600" o:spt="202" path="m,l,21600r21600,l21600,xe">
          <v:stroke joinstyle="miter"/>
          <v:path gradientshapeok="t" o:connecttype="rect"/>
        </v:shapetype>
        <v:shape id="_x0000_s2111" type="#_x0000_t202" style="position:absolute;margin-left:-51.6pt;margin-top:28.9pt;width:48.7pt;height:217.5pt;z-index:251665920" filled="f" stroked="f">
          <v:textbox style="layout-flow:vertical;mso-layout-flow-alt:bottom-to-top;mso-next-textbox:#_x0000_s2111">
            <w:txbxContent>
              <w:p w:rsidR="009006C7" w:rsidRPr="0088668E" w:rsidRDefault="0088668E" w:rsidP="0088668E">
                <w:pPr>
                  <w:rPr>
                    <w:bCs/>
                  </w:rPr>
                </w:pPr>
                <w:r w:rsidRPr="0088668E">
                  <w:rPr>
                    <w:rFonts w:ascii="Calibri" w:hAnsi="Calibri"/>
                    <w:bCs/>
                    <w:color w:val="008000"/>
                    <w:sz w:val="52"/>
                    <w:szCs w:val="44"/>
                    <w:lang w:val="en-US"/>
                  </w:rPr>
                  <w:t>Acknowledgement</w:t>
                </w:r>
                <w:r>
                  <w:rPr>
                    <w:rFonts w:ascii="Calibri" w:hAnsi="Calibri"/>
                    <w:bCs/>
                    <w:color w:val="008000"/>
                    <w:sz w:val="52"/>
                    <w:szCs w:val="44"/>
                    <w:lang w:val="en-US"/>
                  </w:rPr>
                  <w:t>s</w:t>
                </w:r>
              </w:p>
            </w:txbxContent>
          </v:textbox>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F90" w:rsidRPr="008E340F" w:rsidRDefault="00591F90" w:rsidP="00F150D2">
    <w:pPr>
      <w:jc w:val="center"/>
      <w:rPr>
        <w:rFonts w:ascii="Calibri" w:hAnsi="Calibri"/>
        <w:color w:val="008000"/>
        <w:sz w:val="21"/>
        <w:szCs w:val="21"/>
        <w:lang w:val="en-US"/>
      </w:rPr>
    </w:pPr>
    <w:r w:rsidRPr="008E340F">
      <w:rPr>
        <w:rFonts w:ascii="Calibri" w:hAnsi="Calibri"/>
        <w:color w:val="008000"/>
        <w:sz w:val="21"/>
        <w:szCs w:val="21"/>
        <w:lang w:val="en-US"/>
      </w:rPr>
      <w:t xml:space="preserve">HIPSSA – </w:t>
    </w:r>
    <w:r w:rsidR="00F150D2" w:rsidRPr="003D2DD5">
      <w:rPr>
        <w:rFonts w:ascii="Calibri" w:hAnsi="Calibri"/>
        <w:color w:val="008000"/>
        <w:sz w:val="21"/>
        <w:szCs w:val="21"/>
        <w:lang w:val="en-US"/>
      </w:rPr>
      <w:t>SADC Toolkit on Universal Access Funding and Universal Service Fund Implementation</w:t>
    </w:r>
  </w:p>
  <w:p w:rsidR="00591F90" w:rsidRPr="009006C7" w:rsidRDefault="00591F90" w:rsidP="00BC1EC4">
    <w:pPr>
      <w:pBdr>
        <w:bottom w:val="single" w:sz="18" w:space="1" w:color="008000"/>
      </w:pBdr>
      <w:jc w:val="center"/>
      <w:rPr>
        <w:color w:val="00589F"/>
        <w:sz w:val="4"/>
        <w:szCs w:val="4"/>
        <w:lang w:val="en-US"/>
      </w:rPr>
    </w:pPr>
  </w:p>
  <w:p w:rsidR="00591F90" w:rsidRPr="00BC1EC4" w:rsidRDefault="000816B7" w:rsidP="00BC1EC4">
    <w:pPr>
      <w:rPr>
        <w:szCs w:val="4"/>
        <w:lang w:val="en-US"/>
      </w:rPr>
    </w:pPr>
    <w:r>
      <w:rPr>
        <w:noProof/>
        <w:szCs w:val="4"/>
        <w:lang w:val="en-US" w:eastAsia="zh-CN"/>
      </w:rPr>
      <w:pict>
        <v:shapetype id="_x0000_t202" coordsize="21600,21600" o:spt="202" path="m,l,21600r21600,l21600,xe">
          <v:stroke joinstyle="miter"/>
          <v:path gradientshapeok="t" o:connecttype="rect"/>
        </v:shapetype>
        <v:shape id="_x0000_s2252" type="#_x0000_t202" style="position:absolute;margin-left:-54.6pt;margin-top:40.35pt;width:48.7pt;height:207.75pt;z-index:251726336" filled="f" stroked="f">
          <v:textbox style="layout-flow:vertical;mso-layout-flow-alt:bottom-to-top;mso-next-textbox:#_x0000_s2252">
            <w:txbxContent>
              <w:p w:rsidR="00591F90" w:rsidRPr="009006C7" w:rsidRDefault="00591F90" w:rsidP="00591F90">
                <w:pPr>
                  <w:pStyle w:val="HIPDarkVerticalTitle"/>
                  <w:rPr>
                    <w:lang w:val="fr-CH"/>
                  </w:rPr>
                </w:pPr>
                <w:r>
                  <w:rPr>
                    <w:lang w:val="fr-CH"/>
                  </w:rPr>
                  <w:t>Part 5</w:t>
                </w:r>
              </w:p>
            </w:txbxContent>
          </v:textbox>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DD5" w:rsidRPr="003D2DD5" w:rsidRDefault="003D2DD5" w:rsidP="003D2DD5">
    <w:pPr>
      <w:jc w:val="center"/>
      <w:rPr>
        <w:rFonts w:ascii="Calibri" w:hAnsi="Calibri"/>
        <w:color w:val="008000"/>
        <w:sz w:val="21"/>
        <w:szCs w:val="21"/>
        <w:lang w:val="en-US"/>
      </w:rPr>
    </w:pPr>
    <w:r w:rsidRPr="008E340F">
      <w:rPr>
        <w:rFonts w:ascii="Calibri" w:hAnsi="Calibri"/>
        <w:color w:val="008000"/>
        <w:sz w:val="21"/>
        <w:szCs w:val="21"/>
        <w:lang w:val="en-US"/>
      </w:rPr>
      <w:t xml:space="preserve">HIPSSA – </w:t>
    </w:r>
    <w:r w:rsidRPr="003D2DD5">
      <w:rPr>
        <w:rFonts w:ascii="Calibri" w:hAnsi="Calibri"/>
        <w:color w:val="008000"/>
        <w:sz w:val="21"/>
        <w:szCs w:val="21"/>
        <w:lang w:val="en-US"/>
      </w:rPr>
      <w:t>SADC Toolkit on Universal Access Funding and Universal Service Fund Implementation</w:t>
    </w:r>
  </w:p>
  <w:p w:rsidR="00023929" w:rsidRPr="009006C7" w:rsidRDefault="00023929" w:rsidP="00023929">
    <w:pPr>
      <w:pBdr>
        <w:bottom w:val="single" w:sz="18" w:space="1" w:color="008000"/>
      </w:pBdr>
      <w:jc w:val="center"/>
      <w:rPr>
        <w:color w:val="00589F"/>
        <w:sz w:val="4"/>
        <w:szCs w:val="4"/>
        <w:lang w:val="en-US"/>
      </w:rPr>
    </w:pPr>
  </w:p>
  <w:p w:rsidR="006A6170" w:rsidRPr="00023929" w:rsidRDefault="000816B7" w:rsidP="00023929">
    <w:pPr>
      <w:rPr>
        <w:szCs w:val="4"/>
        <w:lang w:val="en-US"/>
      </w:rPr>
    </w:pPr>
    <w:r>
      <w:rPr>
        <w:noProof/>
        <w:szCs w:val="4"/>
        <w:lang w:val="en-US" w:eastAsia="zh-CN"/>
      </w:rPr>
      <w:pict>
        <v:shapetype id="_x0000_t202" coordsize="21600,21600" o:spt="202" path="m,l,21600r21600,l21600,xe">
          <v:stroke joinstyle="miter"/>
          <v:path gradientshapeok="t" o:connecttype="rect"/>
        </v:shapetype>
        <v:shape id="_x0000_s2208" type="#_x0000_t202" style="position:absolute;margin-left:-54.6pt;margin-top:40.35pt;width:48.7pt;height:207.75pt;z-index:251704832" filled="f" stroked="f">
          <v:textbox style="layout-flow:vertical;mso-layout-flow-alt:bottom-to-top;mso-next-textbox:#_x0000_s2208">
            <w:txbxContent>
              <w:p w:rsidR="00023929" w:rsidRPr="009006C7" w:rsidRDefault="00591F90" w:rsidP="00023929">
                <w:pPr>
                  <w:pStyle w:val="HIPDarkVerticalTitle"/>
                  <w:rPr>
                    <w:lang w:val="fr-CH"/>
                  </w:rPr>
                </w:pPr>
                <w:r>
                  <w:rPr>
                    <w:lang w:val="fr-CH"/>
                  </w:rPr>
                  <w:t>Part 5</w:t>
                </w:r>
              </w:p>
            </w:txbxContent>
          </v:textbox>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170" w:rsidRPr="00E52CF4" w:rsidRDefault="006A6170" w:rsidP="00E52CF4"/>
  <w:p w:rsidR="006A6170" w:rsidRDefault="006A6170"/>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DD5" w:rsidRPr="003D2DD5" w:rsidRDefault="003D2DD5" w:rsidP="003D2DD5">
    <w:pPr>
      <w:jc w:val="center"/>
      <w:rPr>
        <w:rFonts w:ascii="Calibri" w:hAnsi="Calibri"/>
        <w:color w:val="008000"/>
        <w:sz w:val="21"/>
        <w:szCs w:val="21"/>
        <w:lang w:val="en-US"/>
      </w:rPr>
    </w:pPr>
    <w:r w:rsidRPr="008E340F">
      <w:rPr>
        <w:rFonts w:ascii="Calibri" w:hAnsi="Calibri"/>
        <w:color w:val="008000"/>
        <w:sz w:val="21"/>
        <w:szCs w:val="21"/>
        <w:lang w:val="en-US"/>
      </w:rPr>
      <w:t xml:space="preserve">HIPSSA – </w:t>
    </w:r>
    <w:r w:rsidRPr="003D2DD5">
      <w:rPr>
        <w:rFonts w:ascii="Calibri" w:hAnsi="Calibri"/>
        <w:color w:val="008000"/>
        <w:sz w:val="21"/>
        <w:szCs w:val="21"/>
        <w:lang w:val="en-US"/>
      </w:rPr>
      <w:t>SADC Toolkit on Universal Access Funding and Universal Service Fund Implementation</w:t>
    </w:r>
  </w:p>
  <w:p w:rsidR="00023929" w:rsidRPr="009006C7" w:rsidRDefault="00023929" w:rsidP="00BC1EC4">
    <w:pPr>
      <w:pBdr>
        <w:bottom w:val="single" w:sz="18" w:space="1" w:color="008000"/>
      </w:pBdr>
      <w:jc w:val="center"/>
      <w:rPr>
        <w:color w:val="00589F"/>
        <w:sz w:val="4"/>
        <w:szCs w:val="4"/>
        <w:lang w:val="en-US"/>
      </w:rPr>
    </w:pPr>
  </w:p>
  <w:p w:rsidR="00023929" w:rsidRPr="00BC1EC4" w:rsidRDefault="000816B7" w:rsidP="00BC1EC4">
    <w:pPr>
      <w:rPr>
        <w:szCs w:val="4"/>
        <w:lang w:val="en-US"/>
      </w:rPr>
    </w:pPr>
    <w:r>
      <w:rPr>
        <w:noProof/>
        <w:szCs w:val="4"/>
        <w:lang w:val="en-US" w:eastAsia="zh-CN"/>
      </w:rPr>
      <w:pict>
        <v:shapetype id="_x0000_t202" coordsize="21600,21600" o:spt="202" path="m,l,21600r21600,l21600,xe">
          <v:stroke joinstyle="miter"/>
          <v:path gradientshapeok="t" o:connecttype="rect"/>
        </v:shapetype>
        <v:shape id="_x0000_s2207" type="#_x0000_t202" style="position:absolute;margin-left:-54.6pt;margin-top:40.35pt;width:48.7pt;height:207.75pt;z-index:251702784" filled="f" stroked="f">
          <v:textbox style="layout-flow:vertical;mso-layout-flow-alt:bottom-to-top;mso-next-textbox:#_x0000_s2207">
            <w:txbxContent>
              <w:p w:rsidR="00023929" w:rsidRPr="009006C7" w:rsidRDefault="00591F90" w:rsidP="00023929">
                <w:pPr>
                  <w:pStyle w:val="HIPDarkVerticalTitle"/>
                  <w:rPr>
                    <w:lang w:val="fr-CH"/>
                  </w:rPr>
                </w:pPr>
                <w:r>
                  <w:rPr>
                    <w:lang w:val="fr-CH"/>
                  </w:rPr>
                  <w:t>Part 5</w:t>
                </w:r>
              </w:p>
            </w:txbxContent>
          </v:textbox>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68E" w:rsidRPr="003D2DD5" w:rsidRDefault="0088668E" w:rsidP="003D2DD5">
    <w:pPr>
      <w:jc w:val="center"/>
      <w:rPr>
        <w:rFonts w:ascii="Calibri" w:hAnsi="Calibri"/>
        <w:color w:val="008000"/>
        <w:sz w:val="21"/>
        <w:szCs w:val="21"/>
        <w:lang w:val="en-US"/>
      </w:rPr>
    </w:pPr>
    <w:r w:rsidRPr="008E340F">
      <w:rPr>
        <w:rFonts w:ascii="Calibri" w:hAnsi="Calibri"/>
        <w:color w:val="008000"/>
        <w:sz w:val="21"/>
        <w:szCs w:val="21"/>
        <w:lang w:val="en-US"/>
      </w:rPr>
      <w:t xml:space="preserve">HIPSSA – </w:t>
    </w:r>
    <w:r w:rsidRPr="003D2DD5">
      <w:rPr>
        <w:rFonts w:ascii="Calibri" w:hAnsi="Calibri"/>
        <w:color w:val="008000"/>
        <w:sz w:val="21"/>
        <w:szCs w:val="21"/>
        <w:lang w:val="en-US"/>
      </w:rPr>
      <w:t>SADC Toolkit on Universal Access Funding and Universal Service Fund Implementation</w:t>
    </w:r>
  </w:p>
  <w:p w:rsidR="0088668E" w:rsidRPr="009006C7" w:rsidRDefault="0088668E" w:rsidP="003D2DD5">
    <w:pPr>
      <w:pBdr>
        <w:bottom w:val="single" w:sz="18" w:space="1" w:color="008000"/>
      </w:pBdr>
      <w:jc w:val="center"/>
      <w:rPr>
        <w:color w:val="00589F"/>
        <w:sz w:val="4"/>
        <w:szCs w:val="4"/>
        <w:lang w:val="en-US"/>
      </w:rPr>
    </w:pPr>
  </w:p>
  <w:p w:rsidR="0088668E" w:rsidRPr="00234760" w:rsidRDefault="000816B7" w:rsidP="00234760">
    <w:pPr>
      <w:rPr>
        <w:szCs w:val="4"/>
      </w:rPr>
    </w:pPr>
    <w:r>
      <w:rPr>
        <w:noProof/>
        <w:szCs w:val="4"/>
        <w:lang w:val="en-US" w:eastAsia="zh-CN"/>
      </w:rPr>
      <w:pict>
        <v:shapetype id="_x0000_t202" coordsize="21600,21600" o:spt="202" path="m,l,21600r21600,l21600,xe">
          <v:stroke joinstyle="miter"/>
          <v:path gradientshapeok="t" o:connecttype="rect"/>
        </v:shapetype>
        <v:shape id="_x0000_s2294" type="#_x0000_t202" style="position:absolute;margin-left:-51.6pt;margin-top:28.9pt;width:48.7pt;height:217.5pt;z-index:251747840" filled="f" stroked="f">
          <v:textbox style="layout-flow:vertical;mso-layout-flow-alt:bottom-to-top;mso-next-textbox:#_x0000_s2294">
            <w:txbxContent>
              <w:p w:rsidR="0088668E" w:rsidRPr="0088668E" w:rsidRDefault="0088668E" w:rsidP="0088668E">
                <w:pPr>
                  <w:jc w:val="right"/>
                  <w:rPr>
                    <w:bCs/>
                  </w:rPr>
                </w:pPr>
                <w:r>
                  <w:rPr>
                    <w:rFonts w:ascii="Calibri" w:hAnsi="Calibri"/>
                    <w:bCs/>
                    <w:color w:val="008000"/>
                    <w:sz w:val="52"/>
                    <w:szCs w:val="44"/>
                    <w:lang w:val="en-US"/>
                  </w:rPr>
                  <w:t>Summary</w:t>
                </w:r>
              </w:p>
            </w:txbxContent>
          </v:textbox>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919" w:rsidRPr="003D2DD5" w:rsidRDefault="00FF6919" w:rsidP="003D2DD5">
    <w:pPr>
      <w:jc w:val="center"/>
      <w:rPr>
        <w:rFonts w:ascii="Calibri" w:hAnsi="Calibri"/>
        <w:color w:val="008000"/>
        <w:sz w:val="21"/>
        <w:szCs w:val="21"/>
        <w:lang w:val="en-US"/>
      </w:rPr>
    </w:pPr>
    <w:r w:rsidRPr="008E340F">
      <w:rPr>
        <w:rFonts w:ascii="Calibri" w:hAnsi="Calibri"/>
        <w:color w:val="008000"/>
        <w:sz w:val="21"/>
        <w:szCs w:val="21"/>
        <w:lang w:val="en-US"/>
      </w:rPr>
      <w:t xml:space="preserve">HIPSSA – </w:t>
    </w:r>
    <w:r w:rsidRPr="003D2DD5">
      <w:rPr>
        <w:rFonts w:ascii="Calibri" w:hAnsi="Calibri"/>
        <w:color w:val="008000"/>
        <w:sz w:val="21"/>
        <w:szCs w:val="21"/>
        <w:lang w:val="en-US"/>
      </w:rPr>
      <w:t>SADC Toolkit on Universal Access Funding and Universal Service Fund Implementation</w:t>
    </w:r>
  </w:p>
  <w:p w:rsidR="00FF6919" w:rsidRPr="009006C7" w:rsidRDefault="000816B7" w:rsidP="00983262">
    <w:pPr>
      <w:pBdr>
        <w:bottom w:val="single" w:sz="18" w:space="1" w:color="008000"/>
      </w:pBdr>
      <w:jc w:val="center"/>
      <w:rPr>
        <w:color w:val="00589F"/>
        <w:sz w:val="4"/>
        <w:szCs w:val="4"/>
        <w:lang w:val="en-US"/>
      </w:rPr>
    </w:pPr>
    <w:r>
      <w:rPr>
        <w:noProof/>
        <w:color w:val="00589F"/>
        <w:sz w:val="4"/>
        <w:szCs w:val="4"/>
        <w:lang w:val="en-US" w:eastAsia="zh-CN"/>
      </w:rPr>
      <w:pict>
        <v:shapetype id="_x0000_t202" coordsize="21600,21600" o:spt="202" path="m,l,21600r21600,l21600,xe">
          <v:stroke joinstyle="miter"/>
          <v:path gradientshapeok="t" o:connecttype="rect"/>
        </v:shapetype>
        <v:shape id="_x0000_s2260" type="#_x0000_t202" style="position:absolute;left:0;text-align:left;margin-left:-51.6pt;margin-top:46.45pt;width:48.7pt;height:207.75pt;z-index:251739648" filled="f" stroked="f">
          <v:textbox style="layout-flow:vertical;mso-layout-flow-alt:bottom-to-top;mso-next-textbox:#_x0000_s2260">
            <w:txbxContent>
              <w:p w:rsidR="00FF6919" w:rsidRPr="009006C7" w:rsidRDefault="00FF6919" w:rsidP="00023929">
                <w:pPr>
                  <w:pStyle w:val="HIPDarkVerticalTitle"/>
                  <w:rPr>
                    <w:lang w:val="fr-CH"/>
                  </w:rPr>
                </w:pPr>
                <w:r>
                  <w:rPr>
                    <w:lang w:val="fr-CH"/>
                  </w:rPr>
                  <w:t>Glossary</w:t>
                </w:r>
              </w:p>
            </w:txbxContent>
          </v:textbox>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DD5" w:rsidRPr="003D2DD5" w:rsidRDefault="003D2DD5" w:rsidP="003D2DD5">
    <w:pPr>
      <w:jc w:val="center"/>
      <w:rPr>
        <w:rFonts w:ascii="Calibri" w:hAnsi="Calibri"/>
        <w:color w:val="008000"/>
        <w:sz w:val="21"/>
        <w:szCs w:val="21"/>
        <w:lang w:val="en-US"/>
      </w:rPr>
    </w:pPr>
    <w:r w:rsidRPr="008E340F">
      <w:rPr>
        <w:rFonts w:ascii="Calibri" w:hAnsi="Calibri"/>
        <w:color w:val="008000"/>
        <w:sz w:val="21"/>
        <w:szCs w:val="21"/>
        <w:lang w:val="en-US"/>
      </w:rPr>
      <w:t xml:space="preserve">HIPSSA – </w:t>
    </w:r>
    <w:r w:rsidRPr="003D2DD5">
      <w:rPr>
        <w:rFonts w:ascii="Calibri" w:hAnsi="Calibri"/>
        <w:color w:val="008000"/>
        <w:sz w:val="21"/>
        <w:szCs w:val="21"/>
        <w:lang w:val="en-US"/>
      </w:rPr>
      <w:t>SADC Toolkit on Universal Access Funding and Universal Service Fund Implementation</w:t>
    </w:r>
  </w:p>
  <w:p w:rsidR="00023929" w:rsidRPr="009006C7" w:rsidRDefault="00023929" w:rsidP="00BC1EC4">
    <w:pPr>
      <w:pBdr>
        <w:bottom w:val="single" w:sz="18" w:space="1" w:color="008000"/>
      </w:pBdr>
      <w:jc w:val="center"/>
      <w:rPr>
        <w:color w:val="00589F"/>
        <w:sz w:val="4"/>
        <w:szCs w:val="4"/>
        <w:lang w:val="en-US"/>
      </w:rPr>
    </w:pPr>
  </w:p>
  <w:p w:rsidR="00023929" w:rsidRPr="00BC1EC4" w:rsidRDefault="000816B7" w:rsidP="00BC1EC4">
    <w:pPr>
      <w:rPr>
        <w:lang w:val="en-US"/>
      </w:rPr>
    </w:pPr>
    <w:r w:rsidRPr="000816B7">
      <w:rPr>
        <w:rFonts w:ascii="Calibri" w:hAnsi="Calibri"/>
        <w:noProof/>
        <w:sz w:val="21"/>
        <w:szCs w:val="21"/>
        <w:lang w:val="en-US" w:eastAsia="zh-CN"/>
      </w:rPr>
      <w:pict>
        <v:shapetype id="_x0000_t202" coordsize="21600,21600" o:spt="202" path="m,l,21600r21600,l21600,xe">
          <v:stroke joinstyle="miter"/>
          <v:path gradientshapeok="t" o:connecttype="rect"/>
        </v:shapetype>
        <v:shape id="_x0000_s2206" type="#_x0000_t202" style="position:absolute;margin-left:-51.6pt;margin-top:40.9pt;width:48.7pt;height:207.75pt;z-index:251700736" filled="f" stroked="f">
          <v:textbox style="layout-flow:vertical;mso-layout-flow-alt:bottom-to-top;mso-next-textbox:#_x0000_s2206">
            <w:txbxContent>
              <w:p w:rsidR="00023929" w:rsidRPr="009006C7" w:rsidRDefault="00023929" w:rsidP="00023929">
                <w:pPr>
                  <w:pStyle w:val="HIPDarkVerticalTitle"/>
                  <w:rPr>
                    <w:lang w:val="fr-CH"/>
                  </w:rPr>
                </w:pPr>
                <w:r>
                  <w:rPr>
                    <w:lang w:val="fr-CH"/>
                  </w:rPr>
                  <w:t>Glossary</w:t>
                </w:r>
              </w:p>
            </w:txbxContent>
          </v:textbox>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DD5" w:rsidRPr="003D2DD5" w:rsidRDefault="003D2DD5" w:rsidP="003D2DD5">
    <w:pPr>
      <w:jc w:val="center"/>
      <w:rPr>
        <w:rFonts w:ascii="Calibri" w:hAnsi="Calibri"/>
        <w:color w:val="008000"/>
        <w:sz w:val="21"/>
        <w:szCs w:val="21"/>
        <w:lang w:val="en-US"/>
      </w:rPr>
    </w:pPr>
    <w:r w:rsidRPr="008E340F">
      <w:rPr>
        <w:rFonts w:ascii="Calibri" w:hAnsi="Calibri"/>
        <w:color w:val="008000"/>
        <w:sz w:val="21"/>
        <w:szCs w:val="21"/>
        <w:lang w:val="en-US"/>
      </w:rPr>
      <w:t xml:space="preserve">HIPSSA – </w:t>
    </w:r>
    <w:r w:rsidRPr="003D2DD5">
      <w:rPr>
        <w:rFonts w:ascii="Calibri" w:hAnsi="Calibri"/>
        <w:color w:val="008000"/>
        <w:sz w:val="21"/>
        <w:szCs w:val="21"/>
        <w:lang w:val="en-US"/>
      </w:rPr>
      <w:t>SADC Toolkit on Universal Access Funding and Universal Service Fund Implementation</w:t>
    </w:r>
  </w:p>
  <w:p w:rsidR="00983262" w:rsidRPr="009006C7" w:rsidRDefault="00983262" w:rsidP="00983262">
    <w:pPr>
      <w:pBdr>
        <w:bottom w:val="single" w:sz="18" w:space="1" w:color="008000"/>
      </w:pBdr>
      <w:jc w:val="center"/>
      <w:rPr>
        <w:color w:val="00589F"/>
        <w:sz w:val="4"/>
        <w:szCs w:val="4"/>
        <w:lang w:val="en-US"/>
      </w:rPr>
    </w:pPr>
  </w:p>
  <w:p w:rsidR="00262366" w:rsidRPr="00983262" w:rsidRDefault="000816B7" w:rsidP="00983262">
    <w:pPr>
      <w:rPr>
        <w:szCs w:val="4"/>
        <w:lang w:val="en-US"/>
      </w:rPr>
    </w:pPr>
    <w:r>
      <w:rPr>
        <w:noProof/>
        <w:szCs w:val="4"/>
        <w:lang w:val="en-US" w:eastAsia="zh-CN"/>
      </w:rPr>
      <w:pict>
        <v:shapetype id="_x0000_t202" coordsize="21600,21600" o:spt="202" path="m,l,21600r21600,l21600,xe">
          <v:stroke joinstyle="miter"/>
          <v:path gradientshapeok="t" o:connecttype="rect"/>
        </v:shapetype>
        <v:shape id="_x0000_s2159" type="#_x0000_t202" style="position:absolute;margin-left:-52.35pt;margin-top:28.9pt;width:48.7pt;height:207.75pt;z-index:251683328" filled="f" stroked="f">
          <v:textbox style="layout-flow:vertical;mso-layout-flow-alt:bottom-to-top;mso-next-textbox:#_x0000_s2159">
            <w:txbxContent>
              <w:p w:rsidR="00983262" w:rsidRPr="009006C7" w:rsidRDefault="00983262" w:rsidP="00983262">
                <w:pPr>
                  <w:pStyle w:val="HIPDarkVerticalTitle"/>
                  <w:rPr>
                    <w:lang w:val="fr-CH"/>
                  </w:rPr>
                </w:pPr>
                <w:r>
                  <w:rPr>
                    <w:lang w:val="fr-CH"/>
                  </w:rPr>
                  <w:t>Glossary</w:t>
                </w:r>
              </w:p>
            </w:txbxContent>
          </v:textbox>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E74" w:rsidRPr="003D2DD5" w:rsidRDefault="00761E74" w:rsidP="003D2DD5">
    <w:pPr>
      <w:jc w:val="center"/>
      <w:rPr>
        <w:rFonts w:ascii="Calibri" w:hAnsi="Calibri"/>
        <w:color w:val="008000"/>
        <w:sz w:val="21"/>
        <w:szCs w:val="21"/>
        <w:lang w:val="en-US"/>
      </w:rPr>
    </w:pPr>
    <w:r w:rsidRPr="008E340F">
      <w:rPr>
        <w:rFonts w:ascii="Calibri" w:hAnsi="Calibri"/>
        <w:color w:val="008000"/>
        <w:sz w:val="21"/>
        <w:szCs w:val="21"/>
        <w:lang w:val="en-US"/>
      </w:rPr>
      <w:t xml:space="preserve">HIPSSA – </w:t>
    </w:r>
    <w:r w:rsidRPr="003D2DD5">
      <w:rPr>
        <w:rFonts w:ascii="Calibri" w:hAnsi="Calibri"/>
        <w:color w:val="008000"/>
        <w:sz w:val="21"/>
        <w:szCs w:val="21"/>
        <w:lang w:val="en-US"/>
      </w:rPr>
      <w:t>SADC Toolkit on Universal Access Funding and Universal Service Fund Implementation</w:t>
    </w:r>
  </w:p>
  <w:p w:rsidR="00761E74" w:rsidRPr="009006C7" w:rsidRDefault="000816B7" w:rsidP="00983262">
    <w:pPr>
      <w:pBdr>
        <w:bottom w:val="single" w:sz="18" w:space="1" w:color="008000"/>
      </w:pBdr>
      <w:jc w:val="center"/>
      <w:rPr>
        <w:color w:val="00589F"/>
        <w:sz w:val="4"/>
        <w:szCs w:val="4"/>
        <w:lang w:val="en-US"/>
      </w:rPr>
    </w:pPr>
    <w:r>
      <w:rPr>
        <w:noProof/>
        <w:color w:val="00589F"/>
        <w:sz w:val="4"/>
        <w:szCs w:val="4"/>
        <w:lang w:val="en-US" w:eastAsia="zh-CN"/>
      </w:rPr>
      <w:pict>
        <v:shapetype id="_x0000_t202" coordsize="21600,21600" o:spt="202" path="m,l,21600r21600,l21600,xe">
          <v:stroke joinstyle="miter"/>
          <v:path gradientshapeok="t" o:connecttype="rect"/>
        </v:shapetype>
        <v:shape id="_x0000_s2263" type="#_x0000_t202" style="position:absolute;left:0;text-align:left;margin-left:-51.6pt;margin-top:46.45pt;width:48.7pt;height:207.75pt;z-index:251745792" filled="f" stroked="f">
          <v:textbox style="layout-flow:vertical;mso-layout-flow-alt:bottom-to-top;mso-next-textbox:#_x0000_s2263">
            <w:txbxContent>
              <w:p w:rsidR="00761E74" w:rsidRPr="009006C7" w:rsidRDefault="00761E74" w:rsidP="00023929">
                <w:pPr>
                  <w:pStyle w:val="HIPDarkVerticalTitle"/>
                  <w:rPr>
                    <w:lang w:val="fr-CH"/>
                  </w:rPr>
                </w:pPr>
                <w:r>
                  <w:rPr>
                    <w:lang w:val="fr-CH"/>
                  </w:rPr>
                  <w:t>Table of contents</w:t>
                </w:r>
              </w:p>
            </w:txbxContent>
          </v:textbox>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B47" w:rsidRPr="003D2DD5" w:rsidRDefault="00F87B47" w:rsidP="003D2DD5">
    <w:pPr>
      <w:jc w:val="center"/>
      <w:rPr>
        <w:rFonts w:ascii="Calibri" w:hAnsi="Calibri"/>
        <w:color w:val="008000"/>
        <w:sz w:val="21"/>
        <w:szCs w:val="21"/>
        <w:lang w:val="en-US"/>
      </w:rPr>
    </w:pPr>
    <w:r w:rsidRPr="008E340F">
      <w:rPr>
        <w:rFonts w:ascii="Calibri" w:hAnsi="Calibri"/>
        <w:color w:val="008000"/>
        <w:sz w:val="21"/>
        <w:szCs w:val="21"/>
        <w:lang w:val="en-US"/>
      </w:rPr>
      <w:t xml:space="preserve">HIPSSA – </w:t>
    </w:r>
    <w:r w:rsidRPr="003D2DD5">
      <w:rPr>
        <w:rFonts w:ascii="Calibri" w:hAnsi="Calibri"/>
        <w:color w:val="008000"/>
        <w:sz w:val="21"/>
        <w:szCs w:val="21"/>
        <w:lang w:val="en-US"/>
      </w:rPr>
      <w:t>SADC Toolkit on Universal Access Funding and Universal Service Fund Implementation</w:t>
    </w:r>
  </w:p>
  <w:p w:rsidR="00F87B47" w:rsidRPr="009006C7" w:rsidRDefault="00F87B47" w:rsidP="00BC1EC4">
    <w:pPr>
      <w:pBdr>
        <w:bottom w:val="single" w:sz="18" w:space="1" w:color="008000"/>
      </w:pBdr>
      <w:jc w:val="center"/>
      <w:rPr>
        <w:color w:val="00589F"/>
        <w:sz w:val="4"/>
        <w:szCs w:val="4"/>
        <w:lang w:val="en-US"/>
      </w:rPr>
    </w:pPr>
  </w:p>
  <w:p w:rsidR="00F87B47" w:rsidRPr="00BC1EC4" w:rsidRDefault="000816B7" w:rsidP="00BC1EC4">
    <w:pPr>
      <w:rPr>
        <w:lang w:val="en-US"/>
      </w:rPr>
    </w:pPr>
    <w:r w:rsidRPr="000816B7">
      <w:rPr>
        <w:rFonts w:ascii="Calibri" w:hAnsi="Calibri"/>
        <w:noProof/>
        <w:sz w:val="21"/>
        <w:szCs w:val="21"/>
        <w:lang w:val="en-US" w:eastAsia="zh-CN"/>
      </w:rPr>
      <w:pict>
        <v:shapetype id="_x0000_t202" coordsize="21600,21600" o:spt="202" path="m,l,21600r21600,l21600,xe">
          <v:stroke joinstyle="miter"/>
          <v:path gradientshapeok="t" o:connecttype="rect"/>
        </v:shapetype>
        <v:shape id="_x0000_s2295" type="#_x0000_t202" style="position:absolute;margin-left:-51.6pt;margin-top:40.9pt;width:48.7pt;height:207.75pt;z-index:251749888" filled="f" stroked="f">
          <v:textbox style="layout-flow:vertical;mso-layout-flow-alt:bottom-to-top;mso-next-textbox:#_x0000_s2295">
            <w:txbxContent>
              <w:p w:rsidR="00F87B47" w:rsidRPr="009006C7" w:rsidRDefault="00F87B47" w:rsidP="00F87B47">
                <w:pPr>
                  <w:pStyle w:val="HIPDarkVerticalTitle"/>
                  <w:rPr>
                    <w:lang w:val="fr-CH"/>
                  </w:rPr>
                </w:pPr>
                <w:r>
                  <w:rPr>
                    <w:lang w:val="fr-CH"/>
                  </w:rPr>
                  <w:t>Table of contents</w:t>
                </w:r>
              </w:p>
              <w:p w:rsidR="00F87B47" w:rsidRPr="00F87B47" w:rsidRDefault="00F87B47" w:rsidP="00F87B47"/>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370AEACE"/>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03FA0262"/>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B478FE5E"/>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6B3433A8"/>
    <w:lvl w:ilvl="0">
      <w:start w:val="1"/>
      <w:numFmt w:val="bullet"/>
      <w:lvlText w:val=""/>
      <w:lvlJc w:val="left"/>
      <w:pPr>
        <w:tabs>
          <w:tab w:val="num" w:pos="227"/>
        </w:tabs>
        <w:ind w:left="0" w:firstLine="0"/>
      </w:pPr>
      <w:rPr>
        <w:rFonts w:ascii="Symbol" w:hAnsi="Symbol" w:hint="default"/>
      </w:rPr>
    </w:lvl>
  </w:abstractNum>
  <w:abstractNum w:abstractNumId="4">
    <w:nsid w:val="FFFFFF89"/>
    <w:multiLevelType w:val="singleLevel"/>
    <w:tmpl w:val="5C766E9A"/>
    <w:lvl w:ilvl="0">
      <w:start w:val="1"/>
      <w:numFmt w:val="bullet"/>
      <w:lvlText w:val=""/>
      <w:lvlJc w:val="left"/>
      <w:pPr>
        <w:tabs>
          <w:tab w:val="num" w:pos="360"/>
        </w:tabs>
        <w:ind w:left="360" w:hanging="360"/>
      </w:pPr>
      <w:rPr>
        <w:rFonts w:ascii="Symbol" w:hAnsi="Symbol" w:hint="default"/>
      </w:rPr>
    </w:lvl>
  </w:abstractNum>
  <w:abstractNum w:abstractNumId="5">
    <w:nsid w:val="02B4599C"/>
    <w:multiLevelType w:val="multilevel"/>
    <w:tmpl w:val="131202F6"/>
    <w:name w:val="structure3"/>
    <w:lvl w:ilvl="0">
      <w:start w:val="1"/>
      <w:numFmt w:val="none"/>
      <w:pStyle w:val="HIPTOC4"/>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nsid w:val="036C03EB"/>
    <w:multiLevelType w:val="hybridMultilevel"/>
    <w:tmpl w:val="1E46B5A6"/>
    <w:lvl w:ilvl="0" w:tplc="6EEE3E04">
      <w:start w:val="1"/>
      <w:numFmt w:val="bullet"/>
      <w:lvlText w:val=""/>
      <w:lvlJc w:val="left"/>
      <w:pPr>
        <w:tabs>
          <w:tab w:val="num" w:pos="720"/>
        </w:tabs>
        <w:ind w:left="720" w:hanging="360"/>
      </w:pPr>
      <w:rPr>
        <w:rFonts w:ascii="Wingdings" w:hAnsi="Wingdings" w:hint="default"/>
        <w:color w:val="808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0BC40759"/>
    <w:multiLevelType w:val="hybridMultilevel"/>
    <w:tmpl w:val="1F0A3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587E68"/>
    <w:multiLevelType w:val="hybridMultilevel"/>
    <w:tmpl w:val="47A01EA6"/>
    <w:lvl w:ilvl="0" w:tplc="22847AFA">
      <w:start w:val="1"/>
      <w:numFmt w:val="bullet"/>
      <w:lvlText w:val=""/>
      <w:lvlJc w:val="left"/>
      <w:pPr>
        <w:ind w:left="720" w:hanging="360"/>
      </w:pPr>
      <w:rPr>
        <w:rFonts w:ascii="Symbol" w:hAnsi="Symbol" w:hint="default"/>
      </w:rPr>
    </w:lvl>
    <w:lvl w:ilvl="1" w:tplc="53C2C64A" w:tentative="1">
      <w:start w:val="1"/>
      <w:numFmt w:val="bullet"/>
      <w:lvlText w:val="o"/>
      <w:lvlJc w:val="left"/>
      <w:pPr>
        <w:ind w:left="1440" w:hanging="360"/>
      </w:pPr>
      <w:rPr>
        <w:rFonts w:ascii="Courier New" w:hAnsi="Courier New" w:cs="Courier New" w:hint="default"/>
      </w:rPr>
    </w:lvl>
    <w:lvl w:ilvl="2" w:tplc="7A963AFC" w:tentative="1">
      <w:start w:val="1"/>
      <w:numFmt w:val="bullet"/>
      <w:lvlText w:val=""/>
      <w:lvlJc w:val="left"/>
      <w:pPr>
        <w:ind w:left="2160" w:hanging="360"/>
      </w:pPr>
      <w:rPr>
        <w:rFonts w:ascii="Wingdings" w:hAnsi="Wingdings" w:hint="default"/>
      </w:rPr>
    </w:lvl>
    <w:lvl w:ilvl="3" w:tplc="33441CCA" w:tentative="1">
      <w:start w:val="1"/>
      <w:numFmt w:val="bullet"/>
      <w:lvlText w:val=""/>
      <w:lvlJc w:val="left"/>
      <w:pPr>
        <w:ind w:left="2880" w:hanging="360"/>
      </w:pPr>
      <w:rPr>
        <w:rFonts w:ascii="Symbol" w:hAnsi="Symbol" w:hint="default"/>
      </w:rPr>
    </w:lvl>
    <w:lvl w:ilvl="4" w:tplc="BD3E6BCA" w:tentative="1">
      <w:start w:val="1"/>
      <w:numFmt w:val="bullet"/>
      <w:lvlText w:val="o"/>
      <w:lvlJc w:val="left"/>
      <w:pPr>
        <w:ind w:left="3600" w:hanging="360"/>
      </w:pPr>
      <w:rPr>
        <w:rFonts w:ascii="Courier New" w:hAnsi="Courier New" w:cs="Courier New" w:hint="default"/>
      </w:rPr>
    </w:lvl>
    <w:lvl w:ilvl="5" w:tplc="B8A42170" w:tentative="1">
      <w:start w:val="1"/>
      <w:numFmt w:val="bullet"/>
      <w:lvlText w:val=""/>
      <w:lvlJc w:val="left"/>
      <w:pPr>
        <w:ind w:left="4320" w:hanging="360"/>
      </w:pPr>
      <w:rPr>
        <w:rFonts w:ascii="Wingdings" w:hAnsi="Wingdings" w:hint="default"/>
      </w:rPr>
    </w:lvl>
    <w:lvl w:ilvl="6" w:tplc="38A68E6C" w:tentative="1">
      <w:start w:val="1"/>
      <w:numFmt w:val="bullet"/>
      <w:lvlText w:val=""/>
      <w:lvlJc w:val="left"/>
      <w:pPr>
        <w:ind w:left="5040" w:hanging="360"/>
      </w:pPr>
      <w:rPr>
        <w:rFonts w:ascii="Symbol" w:hAnsi="Symbol" w:hint="default"/>
      </w:rPr>
    </w:lvl>
    <w:lvl w:ilvl="7" w:tplc="3F8A19AE" w:tentative="1">
      <w:start w:val="1"/>
      <w:numFmt w:val="bullet"/>
      <w:lvlText w:val="o"/>
      <w:lvlJc w:val="left"/>
      <w:pPr>
        <w:ind w:left="5760" w:hanging="360"/>
      </w:pPr>
      <w:rPr>
        <w:rFonts w:ascii="Courier New" w:hAnsi="Courier New" w:cs="Courier New" w:hint="default"/>
      </w:rPr>
    </w:lvl>
    <w:lvl w:ilvl="8" w:tplc="B052CD0C" w:tentative="1">
      <w:start w:val="1"/>
      <w:numFmt w:val="bullet"/>
      <w:lvlText w:val=""/>
      <w:lvlJc w:val="left"/>
      <w:pPr>
        <w:ind w:left="6480" w:hanging="360"/>
      </w:pPr>
      <w:rPr>
        <w:rFonts w:ascii="Wingdings" w:hAnsi="Wingdings" w:hint="default"/>
      </w:rPr>
    </w:lvl>
  </w:abstractNum>
  <w:abstractNum w:abstractNumId="10">
    <w:nsid w:val="149C5AB4"/>
    <w:multiLevelType w:val="hybridMultilevel"/>
    <w:tmpl w:val="F87A13CA"/>
    <w:lvl w:ilvl="0" w:tplc="771C0B04">
      <w:start w:val="1"/>
      <w:numFmt w:val="bullet"/>
      <w:pStyle w:val="HIPEnumlev1"/>
      <w:lvlText w:val=""/>
      <w:lvlJc w:val="left"/>
      <w:pPr>
        <w:ind w:left="927" w:hanging="360"/>
      </w:pPr>
      <w:rPr>
        <w:rFonts w:ascii="Symbol" w:hAnsi="Symbol" w:cs="Symbol" w:hint="default"/>
        <w:color w:val="00800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nsid w:val="1A4D34E6"/>
    <w:multiLevelType w:val="hybridMultilevel"/>
    <w:tmpl w:val="15FE1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145415"/>
    <w:multiLevelType w:val="hybridMultilevel"/>
    <w:tmpl w:val="D33657FC"/>
    <w:lvl w:ilvl="0" w:tplc="3E023294">
      <w:start w:val="1"/>
      <w:numFmt w:val="bullet"/>
      <w:lvlText w:val=""/>
      <w:lvlJc w:val="left"/>
      <w:pPr>
        <w:ind w:left="720" w:hanging="360"/>
      </w:pPr>
      <w:rPr>
        <w:rFonts w:ascii="Symbol" w:hAnsi="Symbol" w:hint="default"/>
      </w:rPr>
    </w:lvl>
    <w:lvl w:ilvl="1" w:tplc="E516341C">
      <w:start w:val="1"/>
      <w:numFmt w:val="bullet"/>
      <w:lvlText w:val="o"/>
      <w:lvlJc w:val="left"/>
      <w:pPr>
        <w:ind w:left="1440" w:hanging="360"/>
      </w:pPr>
      <w:rPr>
        <w:rFonts w:ascii="Courier New" w:hAnsi="Courier New" w:cs="Courier New" w:hint="default"/>
      </w:rPr>
    </w:lvl>
    <w:lvl w:ilvl="2" w:tplc="9EA6D66A" w:tentative="1">
      <w:start w:val="1"/>
      <w:numFmt w:val="bullet"/>
      <w:lvlText w:val=""/>
      <w:lvlJc w:val="left"/>
      <w:pPr>
        <w:ind w:left="2160" w:hanging="360"/>
      </w:pPr>
      <w:rPr>
        <w:rFonts w:ascii="Wingdings" w:hAnsi="Wingdings" w:hint="default"/>
      </w:rPr>
    </w:lvl>
    <w:lvl w:ilvl="3" w:tplc="58844C3E" w:tentative="1">
      <w:start w:val="1"/>
      <w:numFmt w:val="bullet"/>
      <w:lvlText w:val=""/>
      <w:lvlJc w:val="left"/>
      <w:pPr>
        <w:ind w:left="2880" w:hanging="360"/>
      </w:pPr>
      <w:rPr>
        <w:rFonts w:ascii="Symbol" w:hAnsi="Symbol" w:hint="default"/>
      </w:rPr>
    </w:lvl>
    <w:lvl w:ilvl="4" w:tplc="48AC59A4" w:tentative="1">
      <w:start w:val="1"/>
      <w:numFmt w:val="bullet"/>
      <w:lvlText w:val="o"/>
      <w:lvlJc w:val="left"/>
      <w:pPr>
        <w:ind w:left="3600" w:hanging="360"/>
      </w:pPr>
      <w:rPr>
        <w:rFonts w:ascii="Courier New" w:hAnsi="Courier New" w:cs="Courier New" w:hint="default"/>
      </w:rPr>
    </w:lvl>
    <w:lvl w:ilvl="5" w:tplc="75920562" w:tentative="1">
      <w:start w:val="1"/>
      <w:numFmt w:val="bullet"/>
      <w:lvlText w:val=""/>
      <w:lvlJc w:val="left"/>
      <w:pPr>
        <w:ind w:left="4320" w:hanging="360"/>
      </w:pPr>
      <w:rPr>
        <w:rFonts w:ascii="Wingdings" w:hAnsi="Wingdings" w:hint="default"/>
      </w:rPr>
    </w:lvl>
    <w:lvl w:ilvl="6" w:tplc="CAAE10A6" w:tentative="1">
      <w:start w:val="1"/>
      <w:numFmt w:val="bullet"/>
      <w:lvlText w:val=""/>
      <w:lvlJc w:val="left"/>
      <w:pPr>
        <w:ind w:left="5040" w:hanging="360"/>
      </w:pPr>
      <w:rPr>
        <w:rFonts w:ascii="Symbol" w:hAnsi="Symbol" w:hint="default"/>
      </w:rPr>
    </w:lvl>
    <w:lvl w:ilvl="7" w:tplc="005AEB16" w:tentative="1">
      <w:start w:val="1"/>
      <w:numFmt w:val="bullet"/>
      <w:lvlText w:val="o"/>
      <w:lvlJc w:val="left"/>
      <w:pPr>
        <w:ind w:left="5760" w:hanging="360"/>
      </w:pPr>
      <w:rPr>
        <w:rFonts w:ascii="Courier New" w:hAnsi="Courier New" w:cs="Courier New" w:hint="default"/>
      </w:rPr>
    </w:lvl>
    <w:lvl w:ilvl="8" w:tplc="32E2592E" w:tentative="1">
      <w:start w:val="1"/>
      <w:numFmt w:val="bullet"/>
      <w:lvlText w:val=""/>
      <w:lvlJc w:val="left"/>
      <w:pPr>
        <w:ind w:left="6480" w:hanging="360"/>
      </w:pPr>
      <w:rPr>
        <w:rFonts w:ascii="Wingdings" w:hAnsi="Wingdings" w:hint="default"/>
      </w:rPr>
    </w:lvl>
  </w:abstractNum>
  <w:abstractNum w:abstractNumId="13">
    <w:nsid w:val="1E9C003E"/>
    <w:multiLevelType w:val="hybridMultilevel"/>
    <w:tmpl w:val="E7F41C4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C42D1C"/>
    <w:multiLevelType w:val="hybridMultilevel"/>
    <w:tmpl w:val="6AA47630"/>
    <w:lvl w:ilvl="0" w:tplc="0322A95A">
      <w:start w:val="1"/>
      <w:numFmt w:val="bullet"/>
      <w:lvlText w:val=""/>
      <w:lvlJc w:val="left"/>
      <w:pPr>
        <w:ind w:left="927" w:hanging="360"/>
      </w:pPr>
      <w:rPr>
        <w:rFonts w:ascii="Symbol" w:hAnsi="Symbol" w:cs="Symbol" w:hint="default"/>
        <w:color w:val="00800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nsid w:val="213E1110"/>
    <w:multiLevelType w:val="hybridMultilevel"/>
    <w:tmpl w:val="70E67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4C148D7"/>
    <w:multiLevelType w:val="hybridMultilevel"/>
    <w:tmpl w:val="495472C4"/>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672295F"/>
    <w:multiLevelType w:val="hybridMultilevel"/>
    <w:tmpl w:val="76121DC0"/>
    <w:lvl w:ilvl="0" w:tplc="23C20C82">
      <w:start w:val="1"/>
      <w:numFmt w:val="bullet"/>
      <w:lvlText w:val=""/>
      <w:lvlJc w:val="left"/>
      <w:pPr>
        <w:ind w:left="720" w:hanging="360"/>
      </w:pPr>
      <w:rPr>
        <w:rFonts w:ascii="Symbol" w:hAnsi="Symbol" w:hint="default"/>
      </w:rPr>
    </w:lvl>
    <w:lvl w:ilvl="1" w:tplc="1B9C8406" w:tentative="1">
      <w:start w:val="1"/>
      <w:numFmt w:val="bullet"/>
      <w:lvlText w:val="o"/>
      <w:lvlJc w:val="left"/>
      <w:pPr>
        <w:ind w:left="1440" w:hanging="360"/>
      </w:pPr>
      <w:rPr>
        <w:rFonts w:ascii="Courier New" w:hAnsi="Courier New" w:cs="Courier New" w:hint="default"/>
      </w:rPr>
    </w:lvl>
    <w:lvl w:ilvl="2" w:tplc="3B769DD0" w:tentative="1">
      <w:start w:val="1"/>
      <w:numFmt w:val="bullet"/>
      <w:lvlText w:val=""/>
      <w:lvlJc w:val="left"/>
      <w:pPr>
        <w:ind w:left="2160" w:hanging="360"/>
      </w:pPr>
      <w:rPr>
        <w:rFonts w:ascii="Wingdings" w:hAnsi="Wingdings" w:hint="default"/>
      </w:rPr>
    </w:lvl>
    <w:lvl w:ilvl="3" w:tplc="ADD429FA" w:tentative="1">
      <w:start w:val="1"/>
      <w:numFmt w:val="bullet"/>
      <w:lvlText w:val=""/>
      <w:lvlJc w:val="left"/>
      <w:pPr>
        <w:ind w:left="2880" w:hanging="360"/>
      </w:pPr>
      <w:rPr>
        <w:rFonts w:ascii="Symbol" w:hAnsi="Symbol" w:hint="default"/>
      </w:rPr>
    </w:lvl>
    <w:lvl w:ilvl="4" w:tplc="BC160F5C" w:tentative="1">
      <w:start w:val="1"/>
      <w:numFmt w:val="bullet"/>
      <w:lvlText w:val="o"/>
      <w:lvlJc w:val="left"/>
      <w:pPr>
        <w:ind w:left="3600" w:hanging="360"/>
      </w:pPr>
      <w:rPr>
        <w:rFonts w:ascii="Courier New" w:hAnsi="Courier New" w:cs="Courier New" w:hint="default"/>
      </w:rPr>
    </w:lvl>
    <w:lvl w:ilvl="5" w:tplc="BB3CA080" w:tentative="1">
      <w:start w:val="1"/>
      <w:numFmt w:val="bullet"/>
      <w:lvlText w:val=""/>
      <w:lvlJc w:val="left"/>
      <w:pPr>
        <w:ind w:left="4320" w:hanging="360"/>
      </w:pPr>
      <w:rPr>
        <w:rFonts w:ascii="Wingdings" w:hAnsi="Wingdings" w:hint="default"/>
      </w:rPr>
    </w:lvl>
    <w:lvl w:ilvl="6" w:tplc="BA3875B4" w:tentative="1">
      <w:start w:val="1"/>
      <w:numFmt w:val="bullet"/>
      <w:lvlText w:val=""/>
      <w:lvlJc w:val="left"/>
      <w:pPr>
        <w:ind w:left="5040" w:hanging="360"/>
      </w:pPr>
      <w:rPr>
        <w:rFonts w:ascii="Symbol" w:hAnsi="Symbol" w:hint="default"/>
      </w:rPr>
    </w:lvl>
    <w:lvl w:ilvl="7" w:tplc="FA0E8E7E" w:tentative="1">
      <w:start w:val="1"/>
      <w:numFmt w:val="bullet"/>
      <w:lvlText w:val="o"/>
      <w:lvlJc w:val="left"/>
      <w:pPr>
        <w:ind w:left="5760" w:hanging="360"/>
      </w:pPr>
      <w:rPr>
        <w:rFonts w:ascii="Courier New" w:hAnsi="Courier New" w:cs="Courier New" w:hint="default"/>
      </w:rPr>
    </w:lvl>
    <w:lvl w:ilvl="8" w:tplc="1BBC60A8" w:tentative="1">
      <w:start w:val="1"/>
      <w:numFmt w:val="bullet"/>
      <w:lvlText w:val=""/>
      <w:lvlJc w:val="left"/>
      <w:pPr>
        <w:ind w:left="6480" w:hanging="360"/>
      </w:pPr>
      <w:rPr>
        <w:rFonts w:ascii="Wingdings" w:hAnsi="Wingdings" w:hint="default"/>
      </w:rPr>
    </w:lvl>
  </w:abstractNum>
  <w:abstractNum w:abstractNumId="19">
    <w:nsid w:val="29654D3C"/>
    <w:multiLevelType w:val="multilevel"/>
    <w:tmpl w:val="102226BE"/>
    <w:lvl w:ilvl="0">
      <w:start w:val="1"/>
      <w:numFmt w:val="none"/>
      <w:pStyle w:val="HIPTOC3"/>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nsid w:val="35750F56"/>
    <w:multiLevelType w:val="hybridMultilevel"/>
    <w:tmpl w:val="F9503812"/>
    <w:lvl w:ilvl="0" w:tplc="0409000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8183BD7"/>
    <w:multiLevelType w:val="hybridMultilevel"/>
    <w:tmpl w:val="D82CC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C233C69"/>
    <w:multiLevelType w:val="hybridMultilevel"/>
    <w:tmpl w:val="875C6528"/>
    <w:lvl w:ilvl="0" w:tplc="E500CFBA">
      <w:start w:val="1"/>
      <w:numFmt w:val="bullet"/>
      <w:lvlText w:val=""/>
      <w:lvlJc w:val="left"/>
      <w:pPr>
        <w:ind w:left="720" w:hanging="360"/>
      </w:pPr>
      <w:rPr>
        <w:rFonts w:ascii="Symbol" w:hAnsi="Symbol" w:hint="default"/>
      </w:rPr>
    </w:lvl>
    <w:lvl w:ilvl="1" w:tplc="C8E44834" w:tentative="1">
      <w:start w:val="1"/>
      <w:numFmt w:val="bullet"/>
      <w:lvlText w:val="o"/>
      <w:lvlJc w:val="left"/>
      <w:pPr>
        <w:ind w:left="1440" w:hanging="360"/>
      </w:pPr>
      <w:rPr>
        <w:rFonts w:ascii="Courier New" w:hAnsi="Courier New" w:cs="Courier New" w:hint="default"/>
      </w:rPr>
    </w:lvl>
    <w:lvl w:ilvl="2" w:tplc="5B30B1CE" w:tentative="1">
      <w:start w:val="1"/>
      <w:numFmt w:val="bullet"/>
      <w:lvlText w:val=""/>
      <w:lvlJc w:val="left"/>
      <w:pPr>
        <w:ind w:left="2160" w:hanging="360"/>
      </w:pPr>
      <w:rPr>
        <w:rFonts w:ascii="Wingdings" w:hAnsi="Wingdings" w:hint="default"/>
      </w:rPr>
    </w:lvl>
    <w:lvl w:ilvl="3" w:tplc="AF642C9C" w:tentative="1">
      <w:start w:val="1"/>
      <w:numFmt w:val="bullet"/>
      <w:lvlText w:val=""/>
      <w:lvlJc w:val="left"/>
      <w:pPr>
        <w:ind w:left="2880" w:hanging="360"/>
      </w:pPr>
      <w:rPr>
        <w:rFonts w:ascii="Symbol" w:hAnsi="Symbol" w:hint="default"/>
      </w:rPr>
    </w:lvl>
    <w:lvl w:ilvl="4" w:tplc="CE288BA6" w:tentative="1">
      <w:start w:val="1"/>
      <w:numFmt w:val="bullet"/>
      <w:lvlText w:val="o"/>
      <w:lvlJc w:val="left"/>
      <w:pPr>
        <w:ind w:left="3600" w:hanging="360"/>
      </w:pPr>
      <w:rPr>
        <w:rFonts w:ascii="Courier New" w:hAnsi="Courier New" w:cs="Courier New" w:hint="default"/>
      </w:rPr>
    </w:lvl>
    <w:lvl w:ilvl="5" w:tplc="EF2AE4BC" w:tentative="1">
      <w:start w:val="1"/>
      <w:numFmt w:val="bullet"/>
      <w:lvlText w:val=""/>
      <w:lvlJc w:val="left"/>
      <w:pPr>
        <w:ind w:left="4320" w:hanging="360"/>
      </w:pPr>
      <w:rPr>
        <w:rFonts w:ascii="Wingdings" w:hAnsi="Wingdings" w:hint="default"/>
      </w:rPr>
    </w:lvl>
    <w:lvl w:ilvl="6" w:tplc="7BD04CC4" w:tentative="1">
      <w:start w:val="1"/>
      <w:numFmt w:val="bullet"/>
      <w:lvlText w:val=""/>
      <w:lvlJc w:val="left"/>
      <w:pPr>
        <w:ind w:left="5040" w:hanging="360"/>
      </w:pPr>
      <w:rPr>
        <w:rFonts w:ascii="Symbol" w:hAnsi="Symbol" w:hint="default"/>
      </w:rPr>
    </w:lvl>
    <w:lvl w:ilvl="7" w:tplc="6E1EDDD8" w:tentative="1">
      <w:start w:val="1"/>
      <w:numFmt w:val="bullet"/>
      <w:lvlText w:val="o"/>
      <w:lvlJc w:val="left"/>
      <w:pPr>
        <w:ind w:left="5760" w:hanging="360"/>
      </w:pPr>
      <w:rPr>
        <w:rFonts w:ascii="Courier New" w:hAnsi="Courier New" w:cs="Courier New" w:hint="default"/>
      </w:rPr>
    </w:lvl>
    <w:lvl w:ilvl="8" w:tplc="4C8AAD6A" w:tentative="1">
      <w:start w:val="1"/>
      <w:numFmt w:val="bullet"/>
      <w:lvlText w:val=""/>
      <w:lvlJc w:val="left"/>
      <w:pPr>
        <w:ind w:left="6480" w:hanging="360"/>
      </w:pPr>
      <w:rPr>
        <w:rFonts w:ascii="Wingdings" w:hAnsi="Wingdings" w:hint="default"/>
      </w:rPr>
    </w:lvl>
  </w:abstractNum>
  <w:abstractNum w:abstractNumId="25">
    <w:nsid w:val="3D285A0F"/>
    <w:multiLevelType w:val="hybridMultilevel"/>
    <w:tmpl w:val="48706F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D791CB3"/>
    <w:multiLevelType w:val="hybridMultilevel"/>
    <w:tmpl w:val="093A7824"/>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7">
    <w:nsid w:val="433B7AA3"/>
    <w:multiLevelType w:val="hybridMultilevel"/>
    <w:tmpl w:val="0F0A5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46D5AE4"/>
    <w:multiLevelType w:val="hybridMultilevel"/>
    <w:tmpl w:val="E7203C2C"/>
    <w:lvl w:ilvl="0" w:tplc="8DE6553C">
      <w:start w:val="1"/>
      <w:numFmt w:val="bullet"/>
      <w:lvlText w:val=""/>
      <w:lvlJc w:val="left"/>
      <w:pPr>
        <w:ind w:left="720" w:hanging="360"/>
      </w:pPr>
      <w:rPr>
        <w:rFonts w:ascii="Symbol" w:hAnsi="Symbol"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29">
    <w:nsid w:val="527A63C5"/>
    <w:multiLevelType w:val="hybridMultilevel"/>
    <w:tmpl w:val="B60A3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6956CF7"/>
    <w:multiLevelType w:val="hybridMultilevel"/>
    <w:tmpl w:val="571C2516"/>
    <w:lvl w:ilvl="0" w:tplc="39E0D902">
      <w:start w:val="1"/>
      <w:numFmt w:val="bullet"/>
      <w:lvlText w:val=""/>
      <w:lvlJc w:val="left"/>
      <w:pPr>
        <w:ind w:left="360" w:hanging="360"/>
      </w:pPr>
      <w:rPr>
        <w:rFonts w:ascii="Symbol" w:hAnsi="Symbol" w:hint="default"/>
      </w:rPr>
    </w:lvl>
    <w:lvl w:ilvl="1" w:tplc="D6A899AA" w:tentative="1">
      <w:start w:val="1"/>
      <w:numFmt w:val="bullet"/>
      <w:lvlText w:val="o"/>
      <w:lvlJc w:val="left"/>
      <w:pPr>
        <w:ind w:left="1080" w:hanging="360"/>
      </w:pPr>
      <w:rPr>
        <w:rFonts w:ascii="Courier New" w:hAnsi="Courier New" w:cs="Courier New" w:hint="default"/>
      </w:rPr>
    </w:lvl>
    <w:lvl w:ilvl="2" w:tplc="A260B476" w:tentative="1">
      <w:start w:val="1"/>
      <w:numFmt w:val="bullet"/>
      <w:lvlText w:val=""/>
      <w:lvlJc w:val="left"/>
      <w:pPr>
        <w:ind w:left="1800" w:hanging="360"/>
      </w:pPr>
      <w:rPr>
        <w:rFonts w:ascii="Wingdings" w:hAnsi="Wingdings" w:hint="default"/>
      </w:rPr>
    </w:lvl>
    <w:lvl w:ilvl="3" w:tplc="BA2EF1B8" w:tentative="1">
      <w:start w:val="1"/>
      <w:numFmt w:val="bullet"/>
      <w:lvlText w:val=""/>
      <w:lvlJc w:val="left"/>
      <w:pPr>
        <w:ind w:left="2520" w:hanging="360"/>
      </w:pPr>
      <w:rPr>
        <w:rFonts w:ascii="Symbol" w:hAnsi="Symbol" w:hint="default"/>
      </w:rPr>
    </w:lvl>
    <w:lvl w:ilvl="4" w:tplc="E8D03BD4" w:tentative="1">
      <w:start w:val="1"/>
      <w:numFmt w:val="bullet"/>
      <w:lvlText w:val="o"/>
      <w:lvlJc w:val="left"/>
      <w:pPr>
        <w:ind w:left="3240" w:hanging="360"/>
      </w:pPr>
      <w:rPr>
        <w:rFonts w:ascii="Courier New" w:hAnsi="Courier New" w:cs="Courier New" w:hint="default"/>
      </w:rPr>
    </w:lvl>
    <w:lvl w:ilvl="5" w:tplc="84228614" w:tentative="1">
      <w:start w:val="1"/>
      <w:numFmt w:val="bullet"/>
      <w:lvlText w:val=""/>
      <w:lvlJc w:val="left"/>
      <w:pPr>
        <w:ind w:left="3960" w:hanging="360"/>
      </w:pPr>
      <w:rPr>
        <w:rFonts w:ascii="Wingdings" w:hAnsi="Wingdings" w:hint="default"/>
      </w:rPr>
    </w:lvl>
    <w:lvl w:ilvl="6" w:tplc="0BD0694C" w:tentative="1">
      <w:start w:val="1"/>
      <w:numFmt w:val="bullet"/>
      <w:lvlText w:val=""/>
      <w:lvlJc w:val="left"/>
      <w:pPr>
        <w:ind w:left="4680" w:hanging="360"/>
      </w:pPr>
      <w:rPr>
        <w:rFonts w:ascii="Symbol" w:hAnsi="Symbol" w:hint="default"/>
      </w:rPr>
    </w:lvl>
    <w:lvl w:ilvl="7" w:tplc="F3B4EF00" w:tentative="1">
      <w:start w:val="1"/>
      <w:numFmt w:val="bullet"/>
      <w:lvlText w:val="o"/>
      <w:lvlJc w:val="left"/>
      <w:pPr>
        <w:ind w:left="5400" w:hanging="360"/>
      </w:pPr>
      <w:rPr>
        <w:rFonts w:ascii="Courier New" w:hAnsi="Courier New" w:cs="Courier New" w:hint="default"/>
      </w:rPr>
    </w:lvl>
    <w:lvl w:ilvl="8" w:tplc="53F419FE" w:tentative="1">
      <w:start w:val="1"/>
      <w:numFmt w:val="bullet"/>
      <w:lvlText w:val=""/>
      <w:lvlJc w:val="left"/>
      <w:pPr>
        <w:ind w:left="6120" w:hanging="360"/>
      </w:pPr>
      <w:rPr>
        <w:rFonts w:ascii="Wingdings" w:hAnsi="Wingdings" w:hint="default"/>
      </w:rPr>
    </w:lvl>
  </w:abstractNum>
  <w:abstractNum w:abstractNumId="31">
    <w:nsid w:val="588E15F2"/>
    <w:multiLevelType w:val="hybridMultilevel"/>
    <w:tmpl w:val="F9189292"/>
    <w:lvl w:ilvl="0" w:tplc="78E0B460">
      <w:start w:val="1"/>
      <w:numFmt w:val="decimal"/>
      <w:pStyle w:val="HIPEnumlev1-num"/>
      <w:lvlText w:val="%1."/>
      <w:lvlJc w:val="left"/>
      <w:pPr>
        <w:ind w:left="1146" w:hanging="360"/>
      </w:pPr>
      <w:rPr>
        <w:rFonts w:hint="default"/>
        <w:b w:val="0"/>
        <w:i w:val="0"/>
        <w:color w:val="008000"/>
        <w:szCs w:val="28"/>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2">
    <w:nsid w:val="5900142A"/>
    <w:multiLevelType w:val="hybridMultilevel"/>
    <w:tmpl w:val="83B667BC"/>
    <w:lvl w:ilvl="0" w:tplc="04090003">
      <w:start w:val="1"/>
      <w:numFmt w:val="bullet"/>
      <w:lvlText w:val="o"/>
      <w:lvlJc w:val="left"/>
      <w:pPr>
        <w:ind w:left="927" w:hanging="360"/>
      </w:pPr>
      <w:rPr>
        <w:rFonts w:ascii="Courier New" w:hAnsi="Courier New" w:cs="Courier New" w:hint="default"/>
        <w:color w:val="00800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nsid w:val="60834972"/>
    <w:multiLevelType w:val="hybridMultilevel"/>
    <w:tmpl w:val="C980D862"/>
    <w:lvl w:ilvl="0" w:tplc="04090001">
      <w:start w:val="1"/>
      <w:numFmt w:val="bullet"/>
      <w:lvlText w:val="o"/>
      <w:lvlJc w:val="left"/>
      <w:pPr>
        <w:ind w:left="1068" w:hanging="360"/>
      </w:pPr>
      <w:rPr>
        <w:rFonts w:ascii="Courier New" w:hAnsi="Courier New" w:cs="Courier New"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4">
    <w:nsid w:val="6F432276"/>
    <w:multiLevelType w:val="multilevel"/>
    <w:tmpl w:val="1C66F352"/>
    <w:name w:val="RD_Tiles_Hierarchy"/>
    <w:styleLink w:val="HIPTitlesHierarchy"/>
    <w:lvl w:ilvl="0">
      <w:start w:val="1"/>
      <w:numFmt w:val="none"/>
      <w:pStyle w:val="HIPChaptReportTitl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5">
    <w:nsid w:val="73F957E9"/>
    <w:multiLevelType w:val="hybridMultilevel"/>
    <w:tmpl w:val="FAD66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3FD1130"/>
    <w:multiLevelType w:val="hybridMultilevel"/>
    <w:tmpl w:val="31527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4647D6C"/>
    <w:multiLevelType w:val="hybridMultilevel"/>
    <w:tmpl w:val="F27416F0"/>
    <w:lvl w:ilvl="0" w:tplc="04090003">
      <w:start w:val="1"/>
      <w:numFmt w:val="bullet"/>
      <w:lvlText w:val="o"/>
      <w:lvlJc w:val="left"/>
      <w:pPr>
        <w:ind w:left="927" w:hanging="360"/>
      </w:pPr>
      <w:rPr>
        <w:rFonts w:ascii="Courier New" w:hAnsi="Courier New" w:cs="Courier New" w:hint="default"/>
        <w:color w:val="00800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8">
    <w:nsid w:val="76B66F64"/>
    <w:multiLevelType w:val="multilevel"/>
    <w:tmpl w:val="D896B17A"/>
    <w:name w:val="structure2"/>
    <w:lvl w:ilvl="0">
      <w:start w:val="1"/>
      <w:numFmt w:val="none"/>
      <w:pStyle w:val="HIPTOC2"/>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9">
    <w:nsid w:val="7BFD764C"/>
    <w:multiLevelType w:val="multilevel"/>
    <w:tmpl w:val="A59828A6"/>
    <w:name w:val="HIP_Bullet_Hierarchy"/>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38"/>
  </w:num>
  <w:num w:numId="2">
    <w:abstractNumId w:val="19"/>
  </w:num>
  <w:num w:numId="3">
    <w:abstractNumId w:val="5"/>
  </w:num>
  <w:num w:numId="4">
    <w:abstractNumId w:val="34"/>
    <w:lvlOverride w:ilvl="0">
      <w:lvl w:ilvl="0">
        <w:numFmt w:val="decimal"/>
        <w:pStyle w:val="HIPChaptReportTitle"/>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5">
    <w:abstractNumId w:val="39"/>
  </w:num>
  <w:num w:numId="6">
    <w:abstractNumId w:val="34"/>
  </w:num>
  <w:num w:numId="7">
    <w:abstractNumId w:val="10"/>
  </w:num>
  <w:num w:numId="8">
    <w:abstractNumId w:val="31"/>
  </w:num>
  <w:num w:numId="9">
    <w:abstractNumId w:val="3"/>
  </w:num>
  <w:num w:numId="10">
    <w:abstractNumId w:val="14"/>
  </w:num>
  <w:num w:numId="11">
    <w:abstractNumId w:val="32"/>
  </w:num>
  <w:num w:numId="12">
    <w:abstractNumId w:val="35"/>
  </w:num>
  <w:num w:numId="13">
    <w:abstractNumId w:val="25"/>
  </w:num>
  <w:num w:numId="14">
    <w:abstractNumId w:val="12"/>
  </w:num>
  <w:num w:numId="15">
    <w:abstractNumId w:val="15"/>
  </w:num>
  <w:num w:numId="16">
    <w:abstractNumId w:val="29"/>
  </w:num>
  <w:num w:numId="17">
    <w:abstractNumId w:val="24"/>
  </w:num>
  <w:num w:numId="18">
    <w:abstractNumId w:val="22"/>
  </w:num>
  <w:num w:numId="19">
    <w:abstractNumId w:val="16"/>
  </w:num>
  <w:num w:numId="20">
    <w:abstractNumId w:val="8"/>
  </w:num>
  <w:num w:numId="21">
    <w:abstractNumId w:val="18"/>
  </w:num>
  <w:num w:numId="22">
    <w:abstractNumId w:val="23"/>
  </w:num>
  <w:num w:numId="23">
    <w:abstractNumId w:val="36"/>
  </w:num>
  <w:num w:numId="24">
    <w:abstractNumId w:val="27"/>
  </w:num>
  <w:num w:numId="25">
    <w:abstractNumId w:val="6"/>
  </w:num>
  <w:num w:numId="26">
    <w:abstractNumId w:val="11"/>
  </w:num>
  <w:num w:numId="27">
    <w:abstractNumId w:val="26"/>
  </w:num>
  <w:num w:numId="28">
    <w:abstractNumId w:val="28"/>
  </w:num>
  <w:num w:numId="29">
    <w:abstractNumId w:val="9"/>
  </w:num>
  <w:num w:numId="30">
    <w:abstractNumId w:val="34"/>
    <w:lvlOverride w:ilvl="0">
      <w:lvl w:ilvl="0">
        <w:numFmt w:val="decimal"/>
        <w:pStyle w:val="HIPChaptReportTitle"/>
        <w:lvlText w:val=""/>
        <w:lvlJc w:val="left"/>
      </w:lvl>
    </w:lvlOverride>
    <w:lvlOverride w:ilvl="1">
      <w:lvl w:ilvl="1">
        <w:numFmt w:val="decimal"/>
        <w:lvlText w:val=""/>
        <w:lvlJc w:val="left"/>
      </w:lvl>
    </w:lvlOverride>
    <w:lvlOverride w:ilvl="2">
      <w:lvl w:ilvl="2">
        <w:start w:val="1"/>
        <w:numFmt w:val="decimal"/>
        <w:suff w:val="space"/>
        <w:lvlText w:val="%3"/>
        <w:lvlJc w:val="left"/>
        <w:pPr>
          <w:ind w:left="0" w:firstLine="0"/>
        </w:pPr>
        <w:rPr>
          <w:rFonts w:ascii="Helvetica" w:hAnsi="Helvetica" w:hint="default"/>
          <w:b/>
          <w:i w:val="0"/>
          <w:color w:val="008000"/>
          <w:sz w:val="24"/>
          <w:szCs w:val="24"/>
        </w:rPr>
      </w:lvl>
    </w:lvlOverride>
  </w:num>
  <w:num w:numId="31">
    <w:abstractNumId w:val="30"/>
  </w:num>
  <w:num w:numId="32">
    <w:abstractNumId w:val="13"/>
  </w:num>
  <w:num w:numId="33">
    <w:abstractNumId w:val="33"/>
  </w:num>
  <w:num w:numId="34">
    <w:abstractNumId w:val="10"/>
  </w:num>
  <w:num w:numId="35">
    <w:abstractNumId w:val="37"/>
  </w:num>
  <w:num w:numId="36">
    <w:abstractNumId w:val="4"/>
  </w:num>
  <w:num w:numId="37">
    <w:abstractNumId w:val="2"/>
  </w:num>
  <w:num w:numId="38">
    <w:abstractNumId w:val="1"/>
  </w:num>
  <w:num w:numId="39">
    <w:abstractNumId w:val="0"/>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aveSubsetFonts/>
  <w:hideSpellingError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proofState w:spelling="clean" w:grammar="clean"/>
  <w:attachedTemplate r:id="rId1"/>
  <w:stylePaneFormatFilter w:val="4004"/>
  <w:stylePaneSortMethod w:val="0000"/>
  <w:defaultTabStop w:val="709"/>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2328" fill="f" fillcolor="white" stroke="f">
      <v:fill color="white" on="f"/>
      <v:stroke on="f"/>
      <v:textbox style="layout-flow:vertical;mso-layout-flow-alt:bottom-to-top;mso-fit-shape-to-text:t"/>
      <o:colormru v:ext="edit" colors="#36c,#039"/>
      <o:colormenu v:ext="edit" strokecolor="#039"/>
    </o:shapedefaults>
    <o:shapelayout v:ext="edit">
      <o:idmap v:ext="edit" data="2"/>
    </o:shapelayout>
  </w:hdrShapeDefaults>
  <w:footnotePr>
    <w:footnote w:id="-1"/>
    <w:footnote w:id="0"/>
  </w:footnotePr>
  <w:endnotePr>
    <w:endnote w:id="-1"/>
    <w:endnote w:id="0"/>
  </w:endnotePr>
  <w:compat/>
  <w:rsids>
    <w:rsidRoot w:val="004E0ED6"/>
    <w:rsid w:val="00011AAB"/>
    <w:rsid w:val="00021931"/>
    <w:rsid w:val="000233CA"/>
    <w:rsid w:val="00023929"/>
    <w:rsid w:val="00040A84"/>
    <w:rsid w:val="0004319A"/>
    <w:rsid w:val="00047D3C"/>
    <w:rsid w:val="0005154A"/>
    <w:rsid w:val="00051DDE"/>
    <w:rsid w:val="000541C8"/>
    <w:rsid w:val="00054A3F"/>
    <w:rsid w:val="00066280"/>
    <w:rsid w:val="0007255D"/>
    <w:rsid w:val="00077AAE"/>
    <w:rsid w:val="000816B7"/>
    <w:rsid w:val="0009019D"/>
    <w:rsid w:val="00096433"/>
    <w:rsid w:val="00096922"/>
    <w:rsid w:val="00097207"/>
    <w:rsid w:val="000C58D2"/>
    <w:rsid w:val="001016E4"/>
    <w:rsid w:val="001131CF"/>
    <w:rsid w:val="001239C8"/>
    <w:rsid w:val="00125968"/>
    <w:rsid w:val="00126572"/>
    <w:rsid w:val="00132571"/>
    <w:rsid w:val="00134C5A"/>
    <w:rsid w:val="001370CE"/>
    <w:rsid w:val="001620F3"/>
    <w:rsid w:val="00163055"/>
    <w:rsid w:val="00163120"/>
    <w:rsid w:val="00164580"/>
    <w:rsid w:val="00166796"/>
    <w:rsid w:val="00167C0D"/>
    <w:rsid w:val="00171DA3"/>
    <w:rsid w:val="001734FD"/>
    <w:rsid w:val="001752B0"/>
    <w:rsid w:val="0017756B"/>
    <w:rsid w:val="00180EE4"/>
    <w:rsid w:val="00185CE5"/>
    <w:rsid w:val="00192284"/>
    <w:rsid w:val="00195D75"/>
    <w:rsid w:val="001B1836"/>
    <w:rsid w:val="001C476E"/>
    <w:rsid w:val="001D4147"/>
    <w:rsid w:val="001D55D5"/>
    <w:rsid w:val="001D795A"/>
    <w:rsid w:val="001F17CE"/>
    <w:rsid w:val="001F580E"/>
    <w:rsid w:val="00205608"/>
    <w:rsid w:val="00217FBE"/>
    <w:rsid w:val="00225A80"/>
    <w:rsid w:val="0022728A"/>
    <w:rsid w:val="00234760"/>
    <w:rsid w:val="00236A97"/>
    <w:rsid w:val="002438AC"/>
    <w:rsid w:val="00250036"/>
    <w:rsid w:val="0025181A"/>
    <w:rsid w:val="00262366"/>
    <w:rsid w:val="00262368"/>
    <w:rsid w:val="0027124D"/>
    <w:rsid w:val="00274BD8"/>
    <w:rsid w:val="00292D79"/>
    <w:rsid w:val="002A4D9A"/>
    <w:rsid w:val="002B2394"/>
    <w:rsid w:val="002B44A9"/>
    <w:rsid w:val="002B595B"/>
    <w:rsid w:val="002C087E"/>
    <w:rsid w:val="002C23FD"/>
    <w:rsid w:val="002C40A6"/>
    <w:rsid w:val="002D3643"/>
    <w:rsid w:val="002E4E79"/>
    <w:rsid w:val="002F09C9"/>
    <w:rsid w:val="002F6B83"/>
    <w:rsid w:val="003000B4"/>
    <w:rsid w:val="00304068"/>
    <w:rsid w:val="0030419C"/>
    <w:rsid w:val="00304B27"/>
    <w:rsid w:val="00324561"/>
    <w:rsid w:val="00325DD9"/>
    <w:rsid w:val="0034527B"/>
    <w:rsid w:val="003459B2"/>
    <w:rsid w:val="0036211D"/>
    <w:rsid w:val="003637CC"/>
    <w:rsid w:val="00363C83"/>
    <w:rsid w:val="003647EF"/>
    <w:rsid w:val="00367032"/>
    <w:rsid w:val="003707AC"/>
    <w:rsid w:val="0037334A"/>
    <w:rsid w:val="003745ED"/>
    <w:rsid w:val="00375AAF"/>
    <w:rsid w:val="00382B6B"/>
    <w:rsid w:val="00385DD4"/>
    <w:rsid w:val="003C4ED6"/>
    <w:rsid w:val="003C5FE7"/>
    <w:rsid w:val="003D2DD5"/>
    <w:rsid w:val="003D5315"/>
    <w:rsid w:val="003D663E"/>
    <w:rsid w:val="003D67E8"/>
    <w:rsid w:val="003F6086"/>
    <w:rsid w:val="00403F4F"/>
    <w:rsid w:val="0042073F"/>
    <w:rsid w:val="00424D86"/>
    <w:rsid w:val="00441ED5"/>
    <w:rsid w:val="00444AA0"/>
    <w:rsid w:val="00445DD4"/>
    <w:rsid w:val="00452B5A"/>
    <w:rsid w:val="004542E7"/>
    <w:rsid w:val="00455EC2"/>
    <w:rsid w:val="00463DA1"/>
    <w:rsid w:val="00465064"/>
    <w:rsid w:val="00465E86"/>
    <w:rsid w:val="004674ED"/>
    <w:rsid w:val="00472BDE"/>
    <w:rsid w:val="00473B2A"/>
    <w:rsid w:val="0048705D"/>
    <w:rsid w:val="004C5178"/>
    <w:rsid w:val="004C71E0"/>
    <w:rsid w:val="004E0ED6"/>
    <w:rsid w:val="004E471F"/>
    <w:rsid w:val="004F1F13"/>
    <w:rsid w:val="004F381D"/>
    <w:rsid w:val="00502C37"/>
    <w:rsid w:val="005046AF"/>
    <w:rsid w:val="00504806"/>
    <w:rsid w:val="00516846"/>
    <w:rsid w:val="00522DCF"/>
    <w:rsid w:val="005815E2"/>
    <w:rsid w:val="00591F90"/>
    <w:rsid w:val="0059419C"/>
    <w:rsid w:val="005965AD"/>
    <w:rsid w:val="005A7B88"/>
    <w:rsid w:val="005B2283"/>
    <w:rsid w:val="005B59F7"/>
    <w:rsid w:val="005C73D7"/>
    <w:rsid w:val="005E5682"/>
    <w:rsid w:val="005F3B9D"/>
    <w:rsid w:val="005F64AB"/>
    <w:rsid w:val="005F7AAC"/>
    <w:rsid w:val="006141CD"/>
    <w:rsid w:val="006171A9"/>
    <w:rsid w:val="0062235F"/>
    <w:rsid w:val="006276FC"/>
    <w:rsid w:val="00627927"/>
    <w:rsid w:val="006344BB"/>
    <w:rsid w:val="0065379A"/>
    <w:rsid w:val="00656D4C"/>
    <w:rsid w:val="0066107A"/>
    <w:rsid w:val="006666B8"/>
    <w:rsid w:val="00671F7A"/>
    <w:rsid w:val="0068146F"/>
    <w:rsid w:val="0069299B"/>
    <w:rsid w:val="00693D4E"/>
    <w:rsid w:val="006A03DB"/>
    <w:rsid w:val="006A6170"/>
    <w:rsid w:val="006B19EA"/>
    <w:rsid w:val="006C0A76"/>
    <w:rsid w:val="006C419A"/>
    <w:rsid w:val="006C71F5"/>
    <w:rsid w:val="006D53C3"/>
    <w:rsid w:val="006E4588"/>
    <w:rsid w:val="006F77C0"/>
    <w:rsid w:val="00703D56"/>
    <w:rsid w:val="007241A0"/>
    <w:rsid w:val="007318D7"/>
    <w:rsid w:val="0074035F"/>
    <w:rsid w:val="00751A94"/>
    <w:rsid w:val="0075785A"/>
    <w:rsid w:val="00761E74"/>
    <w:rsid w:val="00770445"/>
    <w:rsid w:val="007829FC"/>
    <w:rsid w:val="00791492"/>
    <w:rsid w:val="00795645"/>
    <w:rsid w:val="007A300E"/>
    <w:rsid w:val="007B05C3"/>
    <w:rsid w:val="007B6D1D"/>
    <w:rsid w:val="007E077D"/>
    <w:rsid w:val="008034CA"/>
    <w:rsid w:val="00805791"/>
    <w:rsid w:val="00806CD5"/>
    <w:rsid w:val="00821809"/>
    <w:rsid w:val="0082760E"/>
    <w:rsid w:val="00831BCD"/>
    <w:rsid w:val="00837C8C"/>
    <w:rsid w:val="008538A1"/>
    <w:rsid w:val="00863A33"/>
    <w:rsid w:val="00863C86"/>
    <w:rsid w:val="00870C66"/>
    <w:rsid w:val="008764B5"/>
    <w:rsid w:val="008849E6"/>
    <w:rsid w:val="0088668E"/>
    <w:rsid w:val="00894A7A"/>
    <w:rsid w:val="008978A2"/>
    <w:rsid w:val="008B6710"/>
    <w:rsid w:val="008B7C0E"/>
    <w:rsid w:val="008C3BA6"/>
    <w:rsid w:val="008C46FC"/>
    <w:rsid w:val="008C579A"/>
    <w:rsid w:val="008D1B37"/>
    <w:rsid w:val="008D3374"/>
    <w:rsid w:val="008D4D1C"/>
    <w:rsid w:val="008E340F"/>
    <w:rsid w:val="008E49D5"/>
    <w:rsid w:val="009006C7"/>
    <w:rsid w:val="00900F1A"/>
    <w:rsid w:val="00906678"/>
    <w:rsid w:val="00914407"/>
    <w:rsid w:val="00926D62"/>
    <w:rsid w:val="00930517"/>
    <w:rsid w:val="00932167"/>
    <w:rsid w:val="009431B3"/>
    <w:rsid w:val="009544FE"/>
    <w:rsid w:val="009565F6"/>
    <w:rsid w:val="00961BA7"/>
    <w:rsid w:val="00965E79"/>
    <w:rsid w:val="00967B6D"/>
    <w:rsid w:val="0097555D"/>
    <w:rsid w:val="00983262"/>
    <w:rsid w:val="0099234A"/>
    <w:rsid w:val="0099699B"/>
    <w:rsid w:val="009B0FB2"/>
    <w:rsid w:val="009B2950"/>
    <w:rsid w:val="009B73BF"/>
    <w:rsid w:val="009C5901"/>
    <w:rsid w:val="009C6150"/>
    <w:rsid w:val="009E27C2"/>
    <w:rsid w:val="009E2BB9"/>
    <w:rsid w:val="009E3217"/>
    <w:rsid w:val="009F6A42"/>
    <w:rsid w:val="00A11AC1"/>
    <w:rsid w:val="00A145D3"/>
    <w:rsid w:val="00A16E02"/>
    <w:rsid w:val="00A232F4"/>
    <w:rsid w:val="00A24D4D"/>
    <w:rsid w:val="00A25B99"/>
    <w:rsid w:val="00A32C68"/>
    <w:rsid w:val="00A3379B"/>
    <w:rsid w:val="00A401B5"/>
    <w:rsid w:val="00A43AB6"/>
    <w:rsid w:val="00A62CCF"/>
    <w:rsid w:val="00A65B8A"/>
    <w:rsid w:val="00A65BC8"/>
    <w:rsid w:val="00A70B8F"/>
    <w:rsid w:val="00A742BF"/>
    <w:rsid w:val="00A7651B"/>
    <w:rsid w:val="00A76EFC"/>
    <w:rsid w:val="00A80A3A"/>
    <w:rsid w:val="00A8294C"/>
    <w:rsid w:val="00A84237"/>
    <w:rsid w:val="00A90B4F"/>
    <w:rsid w:val="00A9425B"/>
    <w:rsid w:val="00AA2C20"/>
    <w:rsid w:val="00AA711E"/>
    <w:rsid w:val="00AB00FB"/>
    <w:rsid w:val="00AB2059"/>
    <w:rsid w:val="00AC3A3F"/>
    <w:rsid w:val="00AD24A5"/>
    <w:rsid w:val="00AD381A"/>
    <w:rsid w:val="00AE0FF0"/>
    <w:rsid w:val="00AE251D"/>
    <w:rsid w:val="00AE4D94"/>
    <w:rsid w:val="00AE6BCF"/>
    <w:rsid w:val="00AF31AB"/>
    <w:rsid w:val="00AF7B25"/>
    <w:rsid w:val="00B03387"/>
    <w:rsid w:val="00B065CE"/>
    <w:rsid w:val="00B168B2"/>
    <w:rsid w:val="00B22D73"/>
    <w:rsid w:val="00B26B47"/>
    <w:rsid w:val="00B374ED"/>
    <w:rsid w:val="00B5057C"/>
    <w:rsid w:val="00B519F6"/>
    <w:rsid w:val="00B5270F"/>
    <w:rsid w:val="00B52E64"/>
    <w:rsid w:val="00B53905"/>
    <w:rsid w:val="00B53BCB"/>
    <w:rsid w:val="00B5609E"/>
    <w:rsid w:val="00B61E2B"/>
    <w:rsid w:val="00B72F99"/>
    <w:rsid w:val="00B75F60"/>
    <w:rsid w:val="00B76AA6"/>
    <w:rsid w:val="00B76C2D"/>
    <w:rsid w:val="00B8353D"/>
    <w:rsid w:val="00BA250C"/>
    <w:rsid w:val="00BA6B4C"/>
    <w:rsid w:val="00BB22EF"/>
    <w:rsid w:val="00BB3908"/>
    <w:rsid w:val="00BC1EC4"/>
    <w:rsid w:val="00BC21BF"/>
    <w:rsid w:val="00BC66FE"/>
    <w:rsid w:val="00BD287D"/>
    <w:rsid w:val="00BE5449"/>
    <w:rsid w:val="00BF3B6A"/>
    <w:rsid w:val="00C06B97"/>
    <w:rsid w:val="00C12B99"/>
    <w:rsid w:val="00C15BC0"/>
    <w:rsid w:val="00C40B7E"/>
    <w:rsid w:val="00C43E84"/>
    <w:rsid w:val="00C60A7D"/>
    <w:rsid w:val="00C6107E"/>
    <w:rsid w:val="00C61CCF"/>
    <w:rsid w:val="00C61F40"/>
    <w:rsid w:val="00C8624A"/>
    <w:rsid w:val="00CA2BD7"/>
    <w:rsid w:val="00CC6596"/>
    <w:rsid w:val="00CC7973"/>
    <w:rsid w:val="00CD1B01"/>
    <w:rsid w:val="00CD1D5B"/>
    <w:rsid w:val="00CD1E6E"/>
    <w:rsid w:val="00CD75C4"/>
    <w:rsid w:val="00CE6775"/>
    <w:rsid w:val="00CE68DB"/>
    <w:rsid w:val="00CE7256"/>
    <w:rsid w:val="00CF22CE"/>
    <w:rsid w:val="00D175DD"/>
    <w:rsid w:val="00D22F33"/>
    <w:rsid w:val="00D23660"/>
    <w:rsid w:val="00D42E2E"/>
    <w:rsid w:val="00D4571D"/>
    <w:rsid w:val="00D46C7B"/>
    <w:rsid w:val="00D578A8"/>
    <w:rsid w:val="00D57F4F"/>
    <w:rsid w:val="00D61598"/>
    <w:rsid w:val="00D66BCA"/>
    <w:rsid w:val="00D702A7"/>
    <w:rsid w:val="00D71821"/>
    <w:rsid w:val="00D75B19"/>
    <w:rsid w:val="00D8213A"/>
    <w:rsid w:val="00D91F0F"/>
    <w:rsid w:val="00D932DC"/>
    <w:rsid w:val="00DA081D"/>
    <w:rsid w:val="00DA269E"/>
    <w:rsid w:val="00DB4F07"/>
    <w:rsid w:val="00DC4711"/>
    <w:rsid w:val="00DC5333"/>
    <w:rsid w:val="00DE4DCD"/>
    <w:rsid w:val="00DE524F"/>
    <w:rsid w:val="00DE661D"/>
    <w:rsid w:val="00DF3F29"/>
    <w:rsid w:val="00DF4167"/>
    <w:rsid w:val="00DF469E"/>
    <w:rsid w:val="00E104D5"/>
    <w:rsid w:val="00E219E6"/>
    <w:rsid w:val="00E3399A"/>
    <w:rsid w:val="00E34B38"/>
    <w:rsid w:val="00E354DC"/>
    <w:rsid w:val="00E404E4"/>
    <w:rsid w:val="00E5077C"/>
    <w:rsid w:val="00E52CF4"/>
    <w:rsid w:val="00E6023D"/>
    <w:rsid w:val="00E6026B"/>
    <w:rsid w:val="00E612DB"/>
    <w:rsid w:val="00E62DFD"/>
    <w:rsid w:val="00E72F51"/>
    <w:rsid w:val="00E76ABB"/>
    <w:rsid w:val="00E820E9"/>
    <w:rsid w:val="00EA1623"/>
    <w:rsid w:val="00EA6CB9"/>
    <w:rsid w:val="00EB3DB6"/>
    <w:rsid w:val="00EB501C"/>
    <w:rsid w:val="00EB6490"/>
    <w:rsid w:val="00EC0F11"/>
    <w:rsid w:val="00EC18AD"/>
    <w:rsid w:val="00EC43F4"/>
    <w:rsid w:val="00ED0C71"/>
    <w:rsid w:val="00ED46A8"/>
    <w:rsid w:val="00ED6B25"/>
    <w:rsid w:val="00EF3C6F"/>
    <w:rsid w:val="00F01239"/>
    <w:rsid w:val="00F06EFC"/>
    <w:rsid w:val="00F13053"/>
    <w:rsid w:val="00F131D7"/>
    <w:rsid w:val="00F150D2"/>
    <w:rsid w:val="00F15AF4"/>
    <w:rsid w:val="00F24754"/>
    <w:rsid w:val="00F261AC"/>
    <w:rsid w:val="00F31503"/>
    <w:rsid w:val="00F31846"/>
    <w:rsid w:val="00F31D8C"/>
    <w:rsid w:val="00F363D1"/>
    <w:rsid w:val="00F377FA"/>
    <w:rsid w:val="00F620CD"/>
    <w:rsid w:val="00F62B12"/>
    <w:rsid w:val="00F6413F"/>
    <w:rsid w:val="00F662DE"/>
    <w:rsid w:val="00F67C6A"/>
    <w:rsid w:val="00F72C00"/>
    <w:rsid w:val="00F853B3"/>
    <w:rsid w:val="00F877F1"/>
    <w:rsid w:val="00F87B47"/>
    <w:rsid w:val="00FA1758"/>
    <w:rsid w:val="00FA17B6"/>
    <w:rsid w:val="00FA6924"/>
    <w:rsid w:val="00FB6739"/>
    <w:rsid w:val="00FB73EC"/>
    <w:rsid w:val="00FC1CA4"/>
    <w:rsid w:val="00FC381D"/>
    <w:rsid w:val="00FC6455"/>
    <w:rsid w:val="00FC672E"/>
    <w:rsid w:val="00FD10DD"/>
    <w:rsid w:val="00FE0356"/>
    <w:rsid w:val="00FE2943"/>
    <w:rsid w:val="00FF5403"/>
    <w:rsid w:val="00FF6919"/>
    <w:rsid w:val="00FF7C81"/>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ockticker"/>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328" fill="f" fillcolor="white" stroke="f">
      <v:fill color="white" on="f"/>
      <v:stroke on="f"/>
      <v:textbox style="layout-flow:vertical;mso-layout-flow-alt:bottom-to-top;mso-fit-shape-to-text:t"/>
      <o:colormru v:ext="edit" colors="#36c,#039"/>
      <o:colormenu v:ext="edit" strokecolor="#03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caption" w:uiPriority="35" w:qFormat="1"/>
    <w:lsdException w:name="table of figures" w:uiPriority="99"/>
    <w:lsdException w:name="endnote text" w:uiPriority="99"/>
    <w:lsdException w:name="Title" w:qFormat="1"/>
    <w:lsdException w:name="Subtitle" w:qFormat="1"/>
    <w:lsdException w:name="Hyperlink" w:uiPriority="99"/>
    <w:lsdException w:name="Strong" w:qFormat="1"/>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8E340F"/>
    <w:rPr>
      <w:rFonts w:ascii="Helvetica 55 Roman" w:hAnsi="Helvetica 55 Roman"/>
      <w:sz w:val="22"/>
      <w:szCs w:val="22"/>
      <w:lang w:val="fr-FR" w:eastAsia="fr-FR"/>
    </w:rPr>
  </w:style>
  <w:style w:type="paragraph" w:styleId="Heading1">
    <w:name w:val="heading 1"/>
    <w:basedOn w:val="Normal"/>
    <w:next w:val="Normal"/>
    <w:link w:val="Heading1Char"/>
    <w:uiPriority w:val="9"/>
    <w:qFormat/>
    <w:rsid w:val="00A24D4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ED46A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ED46A8"/>
    <w:pPr>
      <w:keepNext/>
      <w:spacing w:before="240" w:after="60"/>
      <w:outlineLvl w:val="2"/>
    </w:pPr>
    <w:rPr>
      <w:rFonts w:ascii="Arial" w:hAnsi="Arial" w:cs="Arial"/>
      <w:b/>
      <w:bCs/>
      <w:sz w:val="26"/>
      <w:szCs w:val="26"/>
    </w:rPr>
  </w:style>
  <w:style w:type="paragraph" w:styleId="Heading4">
    <w:name w:val="heading 4"/>
    <w:basedOn w:val="Normal"/>
    <w:next w:val="Normal"/>
    <w:link w:val="Heading4Char"/>
    <w:rsid w:val="00ED46A8"/>
    <w:pPr>
      <w:keepNext/>
      <w:spacing w:before="240" w:after="60"/>
      <w:outlineLvl w:val="3"/>
    </w:pPr>
    <w:rPr>
      <w:b/>
      <w:bCs/>
      <w:sz w:val="28"/>
      <w:szCs w:val="28"/>
    </w:rPr>
  </w:style>
  <w:style w:type="paragraph" w:styleId="Heading5">
    <w:name w:val="heading 5"/>
    <w:basedOn w:val="Normal"/>
    <w:next w:val="Normal"/>
    <w:rsid w:val="00ED46A8"/>
    <w:pPr>
      <w:spacing w:before="240" w:after="60"/>
      <w:outlineLvl w:val="4"/>
    </w:pPr>
    <w:rPr>
      <w:b/>
      <w:bCs/>
      <w:i/>
      <w:iCs/>
      <w:sz w:val="26"/>
      <w:szCs w:val="26"/>
    </w:rPr>
  </w:style>
  <w:style w:type="paragraph" w:styleId="Heading6">
    <w:name w:val="heading 6"/>
    <w:basedOn w:val="Normal"/>
    <w:next w:val="Normal"/>
    <w:rsid w:val="00ED46A8"/>
    <w:pPr>
      <w:spacing w:before="240" w:after="60"/>
      <w:outlineLvl w:val="5"/>
    </w:pPr>
    <w:rPr>
      <w:b/>
      <w:bCs/>
    </w:rPr>
  </w:style>
  <w:style w:type="paragraph" w:styleId="Heading7">
    <w:name w:val="heading 7"/>
    <w:basedOn w:val="Normal"/>
    <w:next w:val="Normal"/>
    <w:qFormat/>
    <w:rsid w:val="00C43E84"/>
    <w:pPr>
      <w:numPr>
        <w:ilvl w:val="6"/>
        <w:numId w:val="4"/>
      </w:numPr>
      <w:spacing w:before="240" w:after="60"/>
      <w:outlineLvl w:val="6"/>
    </w:pPr>
    <w:rPr>
      <w:sz w:val="24"/>
      <w:szCs w:val="24"/>
    </w:rPr>
  </w:style>
  <w:style w:type="paragraph" w:styleId="Heading8">
    <w:name w:val="heading 8"/>
    <w:basedOn w:val="Normal"/>
    <w:next w:val="Normal"/>
    <w:qFormat/>
    <w:rsid w:val="00C43E84"/>
    <w:pPr>
      <w:numPr>
        <w:ilvl w:val="7"/>
        <w:numId w:val="4"/>
      </w:numPr>
      <w:spacing w:before="240" w:after="60"/>
      <w:outlineLvl w:val="7"/>
    </w:pPr>
    <w:rPr>
      <w:i/>
      <w:iCs/>
      <w:sz w:val="24"/>
      <w:szCs w:val="24"/>
    </w:rPr>
  </w:style>
  <w:style w:type="paragraph" w:styleId="Heading9">
    <w:name w:val="heading 9"/>
    <w:basedOn w:val="Normal"/>
    <w:next w:val="Normal"/>
    <w:qFormat/>
    <w:rsid w:val="00C43E84"/>
    <w:pPr>
      <w:numPr>
        <w:ilvl w:val="8"/>
        <w:numId w:val="4"/>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A081D"/>
    <w:rPr>
      <w:rFonts w:ascii="Tahoma" w:hAnsi="Tahoma" w:cs="Tahoma"/>
      <w:sz w:val="16"/>
      <w:szCs w:val="16"/>
    </w:rPr>
  </w:style>
  <w:style w:type="paragraph" w:customStyle="1" w:styleId="HIPPartTitle">
    <w:name w:val="HIP Part Title"/>
    <w:basedOn w:val="Heading2"/>
    <w:next w:val="HIPNormal"/>
    <w:link w:val="HIPPartTitleChar"/>
    <w:rsid w:val="00F13053"/>
    <w:pPr>
      <w:tabs>
        <w:tab w:val="left" w:pos="1134"/>
      </w:tabs>
      <w:spacing w:before="400" w:after="0"/>
      <w:ind w:left="794" w:hanging="794"/>
    </w:pPr>
    <w:rPr>
      <w:rFonts w:ascii="Calibri" w:hAnsi="Calibri" w:cs="Helvetica"/>
      <w:i w:val="0"/>
      <w:color w:val="008000"/>
      <w:sz w:val="32"/>
      <w:szCs w:val="24"/>
      <w:u w:color="E36C0A"/>
    </w:rPr>
  </w:style>
  <w:style w:type="paragraph" w:customStyle="1" w:styleId="HIPChapterAuthor">
    <w:name w:val="HIP Chapter Author"/>
    <w:basedOn w:val="HIPNormal"/>
    <w:link w:val="HIPChapterAuthorChar"/>
    <w:qFormat/>
    <w:rsid w:val="00983262"/>
    <w:pPr>
      <w:pBdr>
        <w:top w:val="single" w:sz="12" w:space="1" w:color="008000"/>
        <w:left w:val="single" w:sz="12" w:space="4" w:color="008000"/>
        <w:bottom w:val="single" w:sz="12" w:space="1" w:color="008000"/>
        <w:right w:val="single" w:sz="12" w:space="4" w:color="008000"/>
      </w:pBdr>
      <w:shd w:val="clear" w:color="auto" w:fill="EAF1DD" w:themeFill="accent3" w:themeFillTint="33"/>
      <w:ind w:left="3119" w:right="3117"/>
      <w:jc w:val="center"/>
    </w:pPr>
    <w:rPr>
      <w:i/>
      <w:iCs/>
      <w:sz w:val="24"/>
      <w:szCs w:val="24"/>
      <w:lang w:val="en-US"/>
    </w:rPr>
  </w:style>
  <w:style w:type="paragraph" w:customStyle="1" w:styleId="HIPSource">
    <w:name w:val="HIP Source"/>
    <w:basedOn w:val="Normal"/>
    <w:next w:val="HIPNormal"/>
    <w:rsid w:val="00805791"/>
    <w:pPr>
      <w:tabs>
        <w:tab w:val="right" w:leader="dot" w:pos="9061"/>
      </w:tabs>
      <w:spacing w:before="100"/>
    </w:pPr>
    <w:rPr>
      <w:rFonts w:ascii="Calibri" w:hAnsi="Calibri" w:cs="Helvetica"/>
      <w:bCs/>
      <w:i/>
      <w:noProof/>
      <w:sz w:val="18"/>
      <w:szCs w:val="18"/>
    </w:rPr>
  </w:style>
  <w:style w:type="character" w:customStyle="1" w:styleId="BalloonTextChar">
    <w:name w:val="Balloon Text Char"/>
    <w:basedOn w:val="DefaultParagraphFont"/>
    <w:link w:val="BalloonText"/>
    <w:rsid w:val="00DA081D"/>
    <w:rPr>
      <w:rFonts w:ascii="Tahoma" w:hAnsi="Tahoma" w:cs="Tahoma"/>
      <w:sz w:val="16"/>
      <w:szCs w:val="16"/>
      <w:lang w:val="fr-FR" w:eastAsia="fr-FR"/>
    </w:rPr>
  </w:style>
  <w:style w:type="character" w:customStyle="1" w:styleId="HIPTOC1Char">
    <w:name w:val="HIP TOC 1 Char"/>
    <w:basedOn w:val="DefaultParagraphFont"/>
    <w:link w:val="HIPTOC1"/>
    <w:rsid w:val="00DA081D"/>
    <w:rPr>
      <w:rFonts w:ascii="Calibri" w:hAnsi="Calibri" w:cs="Helvetica"/>
      <w:b/>
      <w:noProof/>
      <w:sz w:val="21"/>
      <w:szCs w:val="28"/>
      <w:lang w:eastAsia="fr-FR"/>
    </w:rPr>
  </w:style>
  <w:style w:type="character" w:styleId="Hyperlink">
    <w:name w:val="Hyperlink"/>
    <w:basedOn w:val="DefaultParagraphFont"/>
    <w:uiPriority w:val="99"/>
    <w:rsid w:val="00FF7C81"/>
    <w:rPr>
      <w:color w:val="0000FF"/>
      <w:u w:val="single"/>
    </w:rPr>
  </w:style>
  <w:style w:type="paragraph" w:customStyle="1" w:styleId="HIPfootnote">
    <w:name w:val="HIP footnote"/>
    <w:basedOn w:val="Normal"/>
    <w:qFormat/>
    <w:rsid w:val="00805791"/>
    <w:pPr>
      <w:tabs>
        <w:tab w:val="left" w:pos="426"/>
      </w:tabs>
      <w:ind w:left="426" w:hanging="426"/>
    </w:pPr>
    <w:rPr>
      <w:rFonts w:ascii="Calibri" w:hAnsi="Calibri"/>
      <w:sz w:val="18"/>
      <w:szCs w:val="18"/>
    </w:rPr>
  </w:style>
  <w:style w:type="paragraph" w:customStyle="1" w:styleId="HIPTOCTitle">
    <w:name w:val="HIP TOC Title"/>
    <w:basedOn w:val="Normal"/>
    <w:next w:val="HIPNormal"/>
    <w:uiPriority w:val="99"/>
    <w:rsid w:val="00CC7973"/>
    <w:pPr>
      <w:autoSpaceDE w:val="0"/>
      <w:autoSpaceDN w:val="0"/>
      <w:adjustRightInd w:val="0"/>
      <w:jc w:val="center"/>
    </w:pPr>
    <w:rPr>
      <w:rFonts w:ascii="Calibri" w:hAnsi="Calibri" w:cs="Helvetica"/>
      <w:b/>
      <w:color w:val="008000"/>
      <w:sz w:val="32"/>
      <w:szCs w:val="32"/>
    </w:rPr>
  </w:style>
  <w:style w:type="paragraph" w:customStyle="1" w:styleId="HIPNormal">
    <w:name w:val="HIP Normal"/>
    <w:basedOn w:val="Normal"/>
    <w:link w:val="HIPNormalCharChar"/>
    <w:rsid w:val="000233CA"/>
    <w:pPr>
      <w:autoSpaceDE w:val="0"/>
      <w:autoSpaceDN w:val="0"/>
      <w:adjustRightInd w:val="0"/>
      <w:spacing w:before="200"/>
      <w:jc w:val="both"/>
    </w:pPr>
    <w:rPr>
      <w:rFonts w:ascii="Calibri" w:hAnsi="Calibri" w:cs="Arial"/>
      <w:color w:val="000000"/>
      <w:sz w:val="21"/>
    </w:rPr>
  </w:style>
  <w:style w:type="paragraph" w:customStyle="1" w:styleId="HIPChaptReportTitle">
    <w:name w:val="HIP Chapt/Report Title"/>
    <w:basedOn w:val="Heading1"/>
    <w:next w:val="HIPNormal"/>
    <w:rsid w:val="00983262"/>
    <w:pPr>
      <w:numPr>
        <w:numId w:val="4"/>
      </w:numPr>
      <w:spacing w:before="0" w:after="0"/>
      <w:jc w:val="center"/>
    </w:pPr>
    <w:rPr>
      <w:rFonts w:ascii="Calibri" w:hAnsi="Calibri" w:cs="Helvetica"/>
      <w:color w:val="008000"/>
      <w:sz w:val="40"/>
    </w:rPr>
  </w:style>
  <w:style w:type="paragraph" w:customStyle="1" w:styleId="HIPProjectTitle">
    <w:name w:val="HIP Project Title"/>
    <w:basedOn w:val="Heading2"/>
    <w:next w:val="HIPNormal"/>
    <w:link w:val="HIPProjectTitleChar"/>
    <w:rsid w:val="00983262"/>
    <w:pPr>
      <w:tabs>
        <w:tab w:val="left" w:pos="1134"/>
      </w:tabs>
      <w:spacing w:before="400" w:after="0"/>
      <w:ind w:left="794" w:hanging="794"/>
    </w:pPr>
    <w:rPr>
      <w:rFonts w:ascii="Calibri" w:hAnsi="Calibri" w:cs="Helvetica"/>
      <w:i w:val="0"/>
      <w:color w:val="008000"/>
      <w:sz w:val="32"/>
      <w:szCs w:val="24"/>
      <w:u w:color="E36C0A"/>
    </w:rPr>
  </w:style>
  <w:style w:type="paragraph" w:customStyle="1" w:styleId="HIPHeading1">
    <w:name w:val="HIP Heading 1"/>
    <w:basedOn w:val="Heading3"/>
    <w:next w:val="HIPNormal"/>
    <w:link w:val="HIPHeading1Char"/>
    <w:rsid w:val="00504806"/>
    <w:pPr>
      <w:keepLines/>
      <w:tabs>
        <w:tab w:val="left" w:pos="851"/>
      </w:tabs>
      <w:spacing w:before="400" w:after="0"/>
    </w:pPr>
    <w:rPr>
      <w:rFonts w:ascii="Calibri" w:hAnsi="Calibri" w:cs="Helvetica"/>
      <w:color w:val="008000"/>
      <w:sz w:val="28"/>
      <w:szCs w:val="28"/>
      <w:lang w:val="en-US"/>
    </w:rPr>
  </w:style>
  <w:style w:type="paragraph" w:customStyle="1" w:styleId="HIPHeading2">
    <w:name w:val="HIP Heading 2"/>
    <w:basedOn w:val="Heading4"/>
    <w:next w:val="HIPNormal"/>
    <w:link w:val="HIPHeading2Char"/>
    <w:rsid w:val="00DB4F07"/>
    <w:pPr>
      <w:tabs>
        <w:tab w:val="left" w:pos="851"/>
      </w:tabs>
      <w:spacing w:before="400" w:after="0"/>
      <w:ind w:left="851" w:hanging="851"/>
    </w:pPr>
    <w:rPr>
      <w:rFonts w:ascii="Calibri" w:hAnsi="Calibri" w:cs="Helvetica"/>
      <w:color w:val="008000"/>
      <w:sz w:val="24"/>
      <w:szCs w:val="32"/>
      <w:lang w:val="en-US"/>
    </w:rPr>
  </w:style>
  <w:style w:type="paragraph" w:customStyle="1" w:styleId="HIPSectionTitle">
    <w:name w:val="HIP Section Title"/>
    <w:basedOn w:val="Heading5"/>
    <w:next w:val="HIPNormal"/>
    <w:rsid w:val="00BC1EC4"/>
    <w:pPr>
      <w:keepNext/>
      <w:tabs>
        <w:tab w:val="left" w:pos="794"/>
      </w:tabs>
      <w:spacing w:before="300" w:after="0"/>
    </w:pPr>
    <w:rPr>
      <w:rFonts w:ascii="Calibri" w:hAnsi="Calibri" w:cs="Helvetica"/>
      <w:b w:val="0"/>
      <w:bCs w:val="0"/>
      <w:i w:val="0"/>
      <w:iCs w:val="0"/>
      <w:color w:val="008000"/>
      <w:sz w:val="21"/>
      <w:szCs w:val="22"/>
      <w:lang w:val="es-ES"/>
    </w:rPr>
  </w:style>
  <w:style w:type="paragraph" w:customStyle="1" w:styleId="HIPEnumlev1">
    <w:name w:val="HIP Enum lev1"/>
    <w:basedOn w:val="Normal"/>
    <w:link w:val="HIPEnumlev1Char"/>
    <w:rsid w:val="008764B5"/>
    <w:pPr>
      <w:numPr>
        <w:numId w:val="7"/>
      </w:numPr>
      <w:tabs>
        <w:tab w:val="left" w:pos="907"/>
      </w:tabs>
      <w:spacing w:before="100"/>
      <w:ind w:left="907" w:hanging="340"/>
      <w:jc w:val="both"/>
    </w:pPr>
    <w:rPr>
      <w:rFonts w:ascii="Calibri" w:hAnsi="Calibri"/>
      <w:sz w:val="21"/>
      <w:lang w:val="en-US"/>
    </w:rPr>
  </w:style>
  <w:style w:type="character" w:customStyle="1" w:styleId="HIPFooterChar">
    <w:name w:val="HIP Footer Char"/>
    <w:basedOn w:val="DefaultParagraphFont"/>
    <w:link w:val="HIPFooter"/>
    <w:rsid w:val="002F09C9"/>
    <w:rPr>
      <w:rFonts w:ascii="Calibri" w:hAnsi="Calibri"/>
      <w:color w:val="000000"/>
      <w:sz w:val="18"/>
      <w:szCs w:val="18"/>
      <w:lang w:eastAsia="fr-FR"/>
    </w:rPr>
  </w:style>
  <w:style w:type="paragraph" w:customStyle="1" w:styleId="HIPDarkVerticalTitle">
    <w:name w:val="HIP Dark Vertical Title"/>
    <w:basedOn w:val="Normal"/>
    <w:rsid w:val="00983262"/>
    <w:pPr>
      <w:jc w:val="right"/>
    </w:pPr>
    <w:rPr>
      <w:rFonts w:ascii="Calibri" w:hAnsi="Calibri"/>
      <w:color w:val="008000"/>
      <w:sz w:val="52"/>
      <w:szCs w:val="44"/>
    </w:rPr>
  </w:style>
  <w:style w:type="paragraph" w:customStyle="1" w:styleId="HIPFooter">
    <w:name w:val="HIP Footer"/>
    <w:basedOn w:val="Normal"/>
    <w:link w:val="HIPFooterChar"/>
    <w:rsid w:val="002F09C9"/>
    <w:pPr>
      <w:tabs>
        <w:tab w:val="left" w:pos="284"/>
      </w:tabs>
      <w:ind w:left="284" w:hanging="284"/>
    </w:pPr>
    <w:rPr>
      <w:rFonts w:ascii="Calibri" w:hAnsi="Calibri"/>
      <w:color w:val="000000"/>
      <w:sz w:val="18"/>
      <w:szCs w:val="18"/>
      <w:lang w:val="en-US"/>
    </w:rPr>
  </w:style>
  <w:style w:type="paragraph" w:customStyle="1" w:styleId="HIPEnumlev2">
    <w:name w:val="HIP Enum lev2"/>
    <w:basedOn w:val="HIPEnumlev1"/>
    <w:link w:val="HIPEnumlev2Char"/>
    <w:qFormat/>
    <w:rsid w:val="00DE4DCD"/>
    <w:pPr>
      <w:tabs>
        <w:tab w:val="clear" w:pos="907"/>
        <w:tab w:val="left" w:pos="1418"/>
      </w:tabs>
      <w:ind w:left="927" w:hanging="360"/>
    </w:pPr>
  </w:style>
  <w:style w:type="character" w:customStyle="1" w:styleId="HIPChapterAuthorChar">
    <w:name w:val="HIP Chapter Author Char"/>
    <w:basedOn w:val="HIPNormalCharChar"/>
    <w:link w:val="HIPChapterAuthor"/>
    <w:rsid w:val="00983262"/>
    <w:rPr>
      <w:i/>
      <w:iCs/>
      <w:sz w:val="24"/>
      <w:szCs w:val="24"/>
      <w:shd w:val="clear" w:color="auto" w:fill="EAF1DD" w:themeFill="accent3" w:themeFillTint="33"/>
    </w:rPr>
  </w:style>
  <w:style w:type="paragraph" w:customStyle="1" w:styleId="HIPEnumlev3">
    <w:name w:val="HIP Enum lev3"/>
    <w:basedOn w:val="HIPEnumlev2"/>
    <w:link w:val="HIPEnumlev3Char"/>
    <w:qFormat/>
    <w:rsid w:val="00FB73EC"/>
    <w:pPr>
      <w:ind w:left="1587"/>
    </w:pPr>
  </w:style>
  <w:style w:type="paragraph" w:customStyle="1" w:styleId="HIPTOC1">
    <w:name w:val="HIP TOC 1"/>
    <w:basedOn w:val="Normal"/>
    <w:link w:val="HIPTOC1Char"/>
    <w:rsid w:val="00DA081D"/>
    <w:pPr>
      <w:tabs>
        <w:tab w:val="right" w:leader="dot" w:pos="8647"/>
        <w:tab w:val="right" w:pos="9071"/>
      </w:tabs>
      <w:spacing w:before="200"/>
    </w:pPr>
    <w:rPr>
      <w:rFonts w:ascii="Calibri" w:hAnsi="Calibri" w:cs="Helvetica"/>
      <w:b/>
      <w:noProof/>
      <w:sz w:val="21"/>
      <w:szCs w:val="28"/>
      <w:lang w:val="en-US"/>
    </w:rPr>
  </w:style>
  <w:style w:type="paragraph" w:customStyle="1" w:styleId="HIPTOC2">
    <w:name w:val="HIP TOC 2"/>
    <w:basedOn w:val="Normal"/>
    <w:rsid w:val="00761E74"/>
    <w:pPr>
      <w:numPr>
        <w:numId w:val="1"/>
      </w:numPr>
      <w:tabs>
        <w:tab w:val="right" w:leader="dot" w:pos="8647"/>
        <w:tab w:val="right" w:pos="9071"/>
      </w:tabs>
      <w:spacing w:before="120"/>
      <w:ind w:left="284"/>
    </w:pPr>
    <w:rPr>
      <w:rFonts w:ascii="Calibri" w:hAnsi="Calibri" w:cs="Helvetica"/>
      <w:bCs/>
      <w:noProof/>
      <w:sz w:val="21"/>
      <w:szCs w:val="24"/>
      <w:u w:color="3366CC"/>
      <w:lang w:val="en-US"/>
    </w:rPr>
  </w:style>
  <w:style w:type="paragraph" w:customStyle="1" w:styleId="HIPTOC3">
    <w:name w:val="HIP TOC 3"/>
    <w:basedOn w:val="Normal"/>
    <w:rsid w:val="00761E74"/>
    <w:pPr>
      <w:numPr>
        <w:numId w:val="2"/>
      </w:numPr>
      <w:tabs>
        <w:tab w:val="right" w:leader="dot" w:pos="8647"/>
        <w:tab w:val="right" w:pos="9071"/>
      </w:tabs>
      <w:ind w:left="567"/>
    </w:pPr>
    <w:rPr>
      <w:rFonts w:ascii="Calibri" w:hAnsi="Calibri" w:cs="Helvetica"/>
      <w:noProof/>
      <w:sz w:val="21"/>
      <w:szCs w:val="24"/>
    </w:rPr>
  </w:style>
  <w:style w:type="paragraph" w:customStyle="1" w:styleId="HIPTOC4">
    <w:name w:val="HIP TOC 4"/>
    <w:basedOn w:val="Normal"/>
    <w:rsid w:val="00CC7973"/>
    <w:pPr>
      <w:numPr>
        <w:numId w:val="3"/>
      </w:numPr>
      <w:tabs>
        <w:tab w:val="right" w:leader="dot" w:pos="9061"/>
      </w:tabs>
      <w:autoSpaceDE w:val="0"/>
      <w:autoSpaceDN w:val="0"/>
      <w:adjustRightInd w:val="0"/>
      <w:spacing w:before="100"/>
      <w:ind w:left="851"/>
      <w:jc w:val="both"/>
    </w:pPr>
    <w:rPr>
      <w:rFonts w:ascii="Calibri" w:hAnsi="Calibri" w:cs="Helvetica"/>
      <w:iCs/>
      <w:noProof/>
      <w:color w:val="008000"/>
      <w:sz w:val="21"/>
      <w:szCs w:val="24"/>
      <w:lang w:val="en-US"/>
    </w:rPr>
  </w:style>
  <w:style w:type="paragraph" w:customStyle="1" w:styleId="HIPCitation">
    <w:name w:val="HIP Citation"/>
    <w:basedOn w:val="HIPnormalnumbered"/>
    <w:link w:val="HIPCitationChar"/>
    <w:qFormat/>
    <w:rsid w:val="0068146F"/>
    <w:pPr>
      <w:ind w:left="1843" w:right="1133"/>
    </w:pPr>
    <w:rPr>
      <w:i/>
      <w:iCs/>
    </w:rPr>
  </w:style>
  <w:style w:type="table" w:customStyle="1" w:styleId="HIPTable">
    <w:name w:val="HIP Table"/>
    <w:basedOn w:val="TableNormal"/>
    <w:rsid w:val="005F7AAC"/>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6"/>
      </w:numPr>
    </w:pPr>
  </w:style>
  <w:style w:type="paragraph" w:customStyle="1" w:styleId="HIPTabletext">
    <w:name w:val="HIP Table text"/>
    <w:basedOn w:val="Normal"/>
    <w:link w:val="HIPTabletextChar"/>
    <w:qFormat/>
    <w:rsid w:val="00D23660"/>
    <w:pPr>
      <w:spacing w:before="40" w:after="40"/>
      <w:jc w:val="both"/>
    </w:pPr>
    <w:rPr>
      <w:rFonts w:asciiTheme="minorHAnsi" w:hAnsiTheme="minorHAnsi"/>
      <w:bCs/>
      <w:sz w:val="21"/>
      <w:szCs w:val="20"/>
    </w:rPr>
  </w:style>
  <w:style w:type="numbering" w:customStyle="1" w:styleId="HIPBulletsHierarchy">
    <w:name w:val="HIP Bullets Hierarchy"/>
    <w:rsid w:val="00C43E84"/>
    <w:pPr>
      <w:numPr>
        <w:numId w:val="5"/>
      </w:numPr>
    </w:pPr>
  </w:style>
  <w:style w:type="paragraph" w:customStyle="1" w:styleId="HIPBoxTitle">
    <w:name w:val="HIP Box Title"/>
    <w:basedOn w:val="Normal"/>
    <w:rsid w:val="00163055"/>
    <w:pPr>
      <w:autoSpaceDE w:val="0"/>
      <w:autoSpaceDN w:val="0"/>
      <w:adjustRightInd w:val="0"/>
      <w:spacing w:before="200"/>
      <w:ind w:left="284" w:right="301"/>
      <w:jc w:val="center"/>
    </w:pPr>
    <w:rPr>
      <w:rFonts w:ascii="Calibri" w:hAnsi="Calibri"/>
      <w:b/>
      <w:color w:val="000000"/>
      <w:sz w:val="21"/>
    </w:rPr>
  </w:style>
  <w:style w:type="paragraph" w:customStyle="1" w:styleId="HIPFooterTitle">
    <w:name w:val="HIP Footer Title"/>
    <w:basedOn w:val="HIPFooter"/>
    <w:link w:val="HIPFooterTitleChar"/>
    <w:rsid w:val="002F09C9"/>
  </w:style>
  <w:style w:type="character" w:customStyle="1" w:styleId="HIPNormalCharChar">
    <w:name w:val="HIP Normal Char Char"/>
    <w:basedOn w:val="DefaultParagraphFont"/>
    <w:link w:val="HIPNormal"/>
    <w:rsid w:val="000233CA"/>
    <w:rPr>
      <w:rFonts w:ascii="Calibri" w:hAnsi="Calibri" w:cs="Arial"/>
      <w:color w:val="000000"/>
      <w:sz w:val="21"/>
      <w:szCs w:val="22"/>
      <w:lang w:val="fr-FR" w:eastAsia="fr-FR"/>
    </w:rPr>
  </w:style>
  <w:style w:type="paragraph" w:customStyle="1" w:styleId="HIPTablehead">
    <w:name w:val="HIP Table head"/>
    <w:basedOn w:val="HIPNormal"/>
    <w:link w:val="HIPTableheadChar"/>
    <w:qFormat/>
    <w:rsid w:val="00DF469E"/>
    <w:pPr>
      <w:spacing w:before="120" w:after="120"/>
      <w:jc w:val="center"/>
    </w:pPr>
    <w:rPr>
      <w:b/>
      <w:bCs/>
      <w:color w:val="FFFFFF" w:themeColor="background1"/>
      <w:lang w:val="en-US"/>
    </w:rPr>
  </w:style>
  <w:style w:type="character" w:customStyle="1" w:styleId="HIPFooterTitleChar">
    <w:name w:val="HIP Footer Title Char"/>
    <w:basedOn w:val="HIPFooterChar"/>
    <w:link w:val="HIPFooterTitle"/>
    <w:rsid w:val="002F09C9"/>
  </w:style>
  <w:style w:type="paragraph" w:customStyle="1" w:styleId="HIPTOC0">
    <w:name w:val="HIP TOC 0"/>
    <w:basedOn w:val="Normal"/>
    <w:link w:val="HIPTOC0Char"/>
    <w:qFormat/>
    <w:rsid w:val="00983262"/>
    <w:pPr>
      <w:tabs>
        <w:tab w:val="right" w:pos="9071"/>
      </w:tabs>
      <w:spacing w:before="200"/>
      <w:jc w:val="right"/>
    </w:pPr>
    <w:rPr>
      <w:rFonts w:ascii="Calibri" w:hAnsi="Calibri" w:cs="Helvetica"/>
      <w:bCs/>
      <w:i/>
      <w:iCs/>
      <w:noProof/>
      <w:color w:val="008000"/>
      <w:sz w:val="21"/>
      <w:szCs w:val="28"/>
      <w:lang w:val="en-US"/>
    </w:rPr>
  </w:style>
  <w:style w:type="character" w:customStyle="1" w:styleId="HIPEnumlev2Char">
    <w:name w:val="HIP Enum lev2 Char"/>
    <w:basedOn w:val="HIPEnumlev1Char"/>
    <w:link w:val="HIPEnumlev2"/>
    <w:rsid w:val="00DE4DCD"/>
  </w:style>
  <w:style w:type="character" w:customStyle="1" w:styleId="HIPcharacterhighlight">
    <w:name w:val="HIP character highlight"/>
    <w:basedOn w:val="DefaultParagraphFont"/>
    <w:qFormat/>
    <w:rsid w:val="00983262"/>
    <w:rPr>
      <w:rFonts w:ascii="Calibri" w:hAnsi="Calibri"/>
      <w:b/>
      <w:color w:val="008000"/>
    </w:rPr>
  </w:style>
  <w:style w:type="paragraph" w:customStyle="1" w:styleId="HIPnormalnumbered">
    <w:name w:val="HIP normal numbered"/>
    <w:basedOn w:val="HIPNormal"/>
    <w:link w:val="HIPnormalnumberedChar"/>
    <w:qFormat/>
    <w:rsid w:val="00463DA1"/>
    <w:pPr>
      <w:tabs>
        <w:tab w:val="left" w:pos="567"/>
      </w:tabs>
      <w:ind w:left="907" w:hanging="907"/>
    </w:pPr>
    <w:rPr>
      <w:lang w:val="en-US"/>
    </w:rPr>
  </w:style>
  <w:style w:type="character" w:customStyle="1" w:styleId="HIPEnumlev1Char">
    <w:name w:val="HIP Enum lev1 Char"/>
    <w:basedOn w:val="DefaultParagraphFont"/>
    <w:link w:val="HIPEnumlev1"/>
    <w:rsid w:val="008764B5"/>
    <w:rPr>
      <w:rFonts w:ascii="Calibri" w:hAnsi="Calibri"/>
      <w:sz w:val="21"/>
      <w:szCs w:val="22"/>
      <w:lang w:eastAsia="fr-FR"/>
    </w:rPr>
  </w:style>
  <w:style w:type="character" w:customStyle="1" w:styleId="HIPEnumlev3Char">
    <w:name w:val="HIP Enum lev3 Char"/>
    <w:basedOn w:val="HIPEnumlev2Char"/>
    <w:link w:val="HIPEnumlev3"/>
    <w:rsid w:val="00FB73EC"/>
  </w:style>
  <w:style w:type="character" w:customStyle="1" w:styleId="HIPnormalnumberedChar">
    <w:name w:val="HIP normal numbered Char"/>
    <w:basedOn w:val="HIPNormalCharChar"/>
    <w:link w:val="HIPnormalnumbered"/>
    <w:rsid w:val="00463DA1"/>
  </w:style>
  <w:style w:type="character" w:customStyle="1" w:styleId="HIPCitationChar">
    <w:name w:val="HIP Citation Char"/>
    <w:basedOn w:val="HIPnormalnumberedChar"/>
    <w:link w:val="HIPCitation"/>
    <w:rsid w:val="0068146F"/>
  </w:style>
  <w:style w:type="character" w:customStyle="1" w:styleId="HIPTOC0Char">
    <w:name w:val="HIP TOC 0 Char"/>
    <w:basedOn w:val="DefaultParagraphFont"/>
    <w:link w:val="HIPTOC0"/>
    <w:rsid w:val="00983262"/>
    <w:rPr>
      <w:rFonts w:ascii="Calibri" w:hAnsi="Calibri" w:cs="Helvetica"/>
      <w:bCs/>
      <w:i/>
      <w:iCs/>
      <w:noProof/>
      <w:color w:val="008000"/>
      <w:sz w:val="21"/>
      <w:szCs w:val="28"/>
      <w:lang w:eastAsia="fr-FR"/>
    </w:rPr>
  </w:style>
  <w:style w:type="character" w:customStyle="1" w:styleId="HIPTabletextChar">
    <w:name w:val="HIP Table text Char"/>
    <w:basedOn w:val="DefaultParagraphFont"/>
    <w:link w:val="HIPTabletext"/>
    <w:rsid w:val="00D23660"/>
    <w:rPr>
      <w:rFonts w:asciiTheme="minorHAnsi" w:hAnsiTheme="minorHAnsi"/>
      <w:bCs/>
      <w:sz w:val="21"/>
      <w:lang w:val="fr-FR" w:eastAsia="fr-FR"/>
    </w:rPr>
  </w:style>
  <w:style w:type="paragraph" w:customStyle="1" w:styleId="HIPBoxNormal">
    <w:name w:val="HIP Box Normal"/>
    <w:basedOn w:val="HIPNormal"/>
    <w:link w:val="HIPBoxNormalChar"/>
    <w:qFormat/>
    <w:rsid w:val="0088668E"/>
    <w:pPr>
      <w:pBdr>
        <w:top w:val="single" w:sz="4" w:space="3" w:color="008000"/>
        <w:left w:val="single" w:sz="4" w:space="3" w:color="008000"/>
        <w:bottom w:val="single" w:sz="4" w:space="3" w:color="008000"/>
        <w:right w:val="single" w:sz="4" w:space="3" w:color="008000"/>
      </w:pBdr>
      <w:shd w:val="clear" w:color="auto" w:fill="EAF1DD" w:themeFill="accent3" w:themeFillTint="33"/>
      <w:spacing w:before="120"/>
    </w:pPr>
    <w:rPr>
      <w:lang w:val="en-US" w:eastAsia="en-US"/>
    </w:rPr>
  </w:style>
  <w:style w:type="paragraph" w:customStyle="1" w:styleId="HIPBoxquestion">
    <w:name w:val="HIP Box question"/>
    <w:basedOn w:val="HIPNormal"/>
    <w:link w:val="HIPBoxquestionChar"/>
    <w:qFormat/>
    <w:rsid w:val="0088668E"/>
    <w:pPr>
      <w:pBdr>
        <w:top w:val="single" w:sz="4" w:space="3" w:color="008000"/>
        <w:left w:val="single" w:sz="4" w:space="3" w:color="008000"/>
        <w:bottom w:val="single" w:sz="4" w:space="3" w:color="008000"/>
        <w:right w:val="single" w:sz="4" w:space="3" w:color="008000"/>
      </w:pBdr>
      <w:shd w:val="clear" w:color="auto" w:fill="EAF1DD" w:themeFill="accent3" w:themeFillTint="33"/>
    </w:pPr>
    <w:rPr>
      <w:b/>
      <w:lang w:val="en-US" w:eastAsia="en-US"/>
    </w:rPr>
  </w:style>
  <w:style w:type="character" w:customStyle="1" w:styleId="HIPBoxNormalChar">
    <w:name w:val="HIP Box Normal Char"/>
    <w:basedOn w:val="HIPNormalCharChar"/>
    <w:link w:val="HIPBoxNormal"/>
    <w:rsid w:val="0088668E"/>
    <w:rPr>
      <w:shd w:val="clear" w:color="auto" w:fill="EAF1DD" w:themeFill="accent3" w:themeFillTint="33"/>
      <w:lang w:eastAsia="en-US"/>
    </w:rPr>
  </w:style>
  <w:style w:type="character" w:customStyle="1" w:styleId="HIPBoxquestionChar">
    <w:name w:val="HIP Box question Char"/>
    <w:basedOn w:val="HIPNormalCharChar"/>
    <w:link w:val="HIPBoxquestion"/>
    <w:rsid w:val="0088668E"/>
    <w:rPr>
      <w:b/>
      <w:shd w:val="clear" w:color="auto" w:fill="EAF1DD" w:themeFill="accent3" w:themeFillTint="33"/>
      <w:lang w:eastAsia="en-US"/>
    </w:rPr>
  </w:style>
  <w:style w:type="character" w:customStyle="1" w:styleId="HIPTableheadChar">
    <w:name w:val="HIP Table head Char"/>
    <w:basedOn w:val="HIPNormalCharChar"/>
    <w:link w:val="HIPTablehead"/>
    <w:rsid w:val="00DF469E"/>
    <w:rPr>
      <w:b/>
      <w:bCs/>
      <w:color w:val="FFFFFF" w:themeColor="background1"/>
    </w:rPr>
  </w:style>
  <w:style w:type="paragraph" w:customStyle="1" w:styleId="HIPEnumlev1-num">
    <w:name w:val="HIP Enum lev1-num"/>
    <w:basedOn w:val="HIPEnumlev1"/>
    <w:link w:val="HIPEnumlev1-numChar"/>
    <w:qFormat/>
    <w:rsid w:val="002D3643"/>
    <w:pPr>
      <w:numPr>
        <w:numId w:val="8"/>
      </w:numPr>
      <w:ind w:left="907" w:hanging="340"/>
      <w:jc w:val="left"/>
    </w:pPr>
  </w:style>
  <w:style w:type="character" w:customStyle="1" w:styleId="HIPEnumlev1-numChar">
    <w:name w:val="HIP Enum lev1-num Char"/>
    <w:basedOn w:val="HIPEnumlev1Char"/>
    <w:link w:val="HIPEnumlev1-num"/>
    <w:rsid w:val="002D3643"/>
  </w:style>
  <w:style w:type="paragraph" w:customStyle="1" w:styleId="HIPHandbooktitle">
    <w:name w:val="HIP Handbook title"/>
    <w:basedOn w:val="HIPProjectTitle"/>
    <w:link w:val="HIPHandbooktitleChar"/>
    <w:qFormat/>
    <w:rsid w:val="00983262"/>
    <w:pPr>
      <w:ind w:left="0" w:firstLine="0"/>
      <w:jc w:val="center"/>
    </w:pPr>
    <w:rPr>
      <w:i/>
      <w:iCs w:val="0"/>
      <w:lang w:val="en-US"/>
    </w:rPr>
  </w:style>
  <w:style w:type="character" w:customStyle="1" w:styleId="Heading2Char">
    <w:name w:val="Heading 2 Char"/>
    <w:basedOn w:val="DefaultParagraphFont"/>
    <w:link w:val="Heading2"/>
    <w:uiPriority w:val="9"/>
    <w:rsid w:val="00983262"/>
    <w:rPr>
      <w:rFonts w:ascii="Arial" w:hAnsi="Arial" w:cs="Arial"/>
      <w:b/>
      <w:bCs/>
      <w:i/>
      <w:iCs/>
      <w:sz w:val="28"/>
      <w:szCs w:val="28"/>
      <w:lang w:val="fr-FR" w:eastAsia="fr-FR"/>
    </w:rPr>
  </w:style>
  <w:style w:type="character" w:customStyle="1" w:styleId="HIPProjectTitleChar">
    <w:name w:val="HIP Project Title Char"/>
    <w:basedOn w:val="Heading2Char"/>
    <w:link w:val="HIPProjectTitle"/>
    <w:rsid w:val="00983262"/>
    <w:rPr>
      <w:rFonts w:ascii="Calibri" w:hAnsi="Calibri" w:cs="Helvetica"/>
      <w:color w:val="008000"/>
      <w:sz w:val="32"/>
      <w:szCs w:val="24"/>
      <w:u w:color="E36C0A"/>
    </w:rPr>
  </w:style>
  <w:style w:type="character" w:customStyle="1" w:styleId="HIPHandbooktitleChar">
    <w:name w:val="HIP Handbook title Char"/>
    <w:basedOn w:val="HIPProjectTitleChar"/>
    <w:link w:val="HIPHandbooktitle"/>
    <w:rsid w:val="00983262"/>
    <w:rPr>
      <w:i/>
    </w:rPr>
  </w:style>
  <w:style w:type="paragraph" w:customStyle="1" w:styleId="HIPHeading">
    <w:name w:val="HIP Heading"/>
    <w:basedOn w:val="HIPHeading1"/>
    <w:link w:val="HIPHeadingChar"/>
    <w:qFormat/>
    <w:rsid w:val="002F09C9"/>
    <w:pPr>
      <w:ind w:left="360"/>
    </w:pPr>
  </w:style>
  <w:style w:type="character" w:customStyle="1" w:styleId="Heading3Char">
    <w:name w:val="Heading 3 Char"/>
    <w:basedOn w:val="DefaultParagraphFont"/>
    <w:link w:val="Heading3"/>
    <w:uiPriority w:val="9"/>
    <w:rsid w:val="002F09C9"/>
    <w:rPr>
      <w:rFonts w:ascii="Arial" w:hAnsi="Arial" w:cs="Arial"/>
      <w:b/>
      <w:bCs/>
      <w:sz w:val="26"/>
      <w:szCs w:val="26"/>
      <w:lang w:val="fr-FR" w:eastAsia="fr-FR"/>
    </w:rPr>
  </w:style>
  <w:style w:type="character" w:customStyle="1" w:styleId="HIPHeading1Char">
    <w:name w:val="HIP Heading 1 Char"/>
    <w:basedOn w:val="Heading3Char"/>
    <w:link w:val="HIPHeading1"/>
    <w:rsid w:val="008978A2"/>
    <w:rPr>
      <w:rFonts w:ascii="Calibri" w:hAnsi="Calibri" w:cs="Helvetica"/>
      <w:b/>
      <w:bCs/>
      <w:color w:val="008000"/>
      <w:sz w:val="28"/>
      <w:szCs w:val="28"/>
    </w:rPr>
  </w:style>
  <w:style w:type="character" w:customStyle="1" w:styleId="HIPHeadingChar">
    <w:name w:val="HIP Heading Char"/>
    <w:basedOn w:val="HIPHeading1Char"/>
    <w:link w:val="HIPHeading"/>
    <w:rsid w:val="002F09C9"/>
  </w:style>
  <w:style w:type="paragraph" w:customStyle="1" w:styleId="HIPTabletitle">
    <w:name w:val="HIP Table title"/>
    <w:basedOn w:val="HIPNormal"/>
    <w:link w:val="HIPTabletitleChar"/>
    <w:qFormat/>
    <w:rsid w:val="002D3643"/>
    <w:pPr>
      <w:spacing w:before="240" w:after="120"/>
      <w:jc w:val="center"/>
    </w:pPr>
    <w:rPr>
      <w:b/>
      <w:bCs/>
      <w:color w:val="008000"/>
      <w:sz w:val="22"/>
      <w:szCs w:val="24"/>
      <w:lang w:val="en-US"/>
    </w:rPr>
  </w:style>
  <w:style w:type="paragraph" w:customStyle="1" w:styleId="HIPFigure">
    <w:name w:val="HIP Figure"/>
    <w:basedOn w:val="HIPBoxquestion"/>
    <w:link w:val="HIPFigureChar"/>
    <w:qFormat/>
    <w:rsid w:val="008978A2"/>
    <w:pPr>
      <w:spacing w:after="120"/>
      <w:jc w:val="center"/>
    </w:pPr>
    <w:rPr>
      <w:b w:val="0"/>
      <w:bCs/>
    </w:rPr>
  </w:style>
  <w:style w:type="paragraph" w:customStyle="1" w:styleId="HIPFiguretitle">
    <w:name w:val="HIP Figure title"/>
    <w:basedOn w:val="HIPBoxquestion"/>
    <w:link w:val="HIPFiguretitleChar"/>
    <w:qFormat/>
    <w:rsid w:val="008978A2"/>
    <w:pPr>
      <w:spacing w:before="240"/>
    </w:pPr>
  </w:style>
  <w:style w:type="character" w:customStyle="1" w:styleId="HIPFigureChar">
    <w:name w:val="HIP Figure Char"/>
    <w:basedOn w:val="HIPBoxquestionChar"/>
    <w:link w:val="HIPFigure"/>
    <w:rsid w:val="008978A2"/>
    <w:rPr>
      <w:bCs/>
      <w:shd w:val="clear" w:color="auto" w:fill="00FF00"/>
    </w:rPr>
  </w:style>
  <w:style w:type="paragraph" w:customStyle="1" w:styleId="HIPfiguresource">
    <w:name w:val="HIP figure source"/>
    <w:basedOn w:val="HIPBoxquestion"/>
    <w:link w:val="HIPfiguresourceChar"/>
    <w:qFormat/>
    <w:rsid w:val="008978A2"/>
    <w:rPr>
      <w:b w:val="0"/>
      <w:bCs/>
      <w:i/>
      <w:iCs/>
      <w:sz w:val="19"/>
      <w:szCs w:val="19"/>
    </w:rPr>
  </w:style>
  <w:style w:type="character" w:customStyle="1" w:styleId="HIPFiguretitleChar">
    <w:name w:val="HIP Figure title Char"/>
    <w:basedOn w:val="HIPBoxquestionChar"/>
    <w:link w:val="HIPFiguretitle"/>
    <w:rsid w:val="008978A2"/>
    <w:rPr>
      <w:b/>
      <w:shd w:val="clear" w:color="auto" w:fill="00FF00"/>
    </w:rPr>
  </w:style>
  <w:style w:type="character" w:customStyle="1" w:styleId="HIPfiguresourceChar">
    <w:name w:val="HIP figure source Char"/>
    <w:basedOn w:val="HIPBoxquestionChar"/>
    <w:link w:val="HIPfiguresource"/>
    <w:rsid w:val="008978A2"/>
    <w:rPr>
      <w:bCs/>
      <w:i/>
      <w:iCs/>
      <w:sz w:val="19"/>
      <w:szCs w:val="19"/>
      <w:shd w:val="clear" w:color="auto" w:fill="00FF00"/>
    </w:rPr>
  </w:style>
  <w:style w:type="character" w:customStyle="1" w:styleId="HIPTabletitleChar">
    <w:name w:val="HIP Table title Char"/>
    <w:basedOn w:val="HIPNormalCharChar"/>
    <w:link w:val="HIPTabletitle"/>
    <w:rsid w:val="002D3643"/>
    <w:rPr>
      <w:b/>
      <w:bCs/>
      <w:color w:val="008000"/>
      <w:sz w:val="22"/>
      <w:szCs w:val="24"/>
    </w:rPr>
  </w:style>
  <w:style w:type="paragraph" w:styleId="TOC4">
    <w:name w:val="toc 4"/>
    <w:basedOn w:val="Normal"/>
    <w:next w:val="Normal"/>
    <w:autoRedefine/>
    <w:uiPriority w:val="39"/>
    <w:rsid w:val="00011AAB"/>
    <w:pPr>
      <w:spacing w:after="100"/>
      <w:ind w:left="660"/>
    </w:pPr>
  </w:style>
  <w:style w:type="paragraph" w:styleId="FootnoteText">
    <w:name w:val="footnote text"/>
    <w:basedOn w:val="Normal"/>
    <w:link w:val="FootnoteTextChar"/>
    <w:rsid w:val="00011AAB"/>
    <w:rPr>
      <w:sz w:val="20"/>
      <w:szCs w:val="20"/>
    </w:rPr>
  </w:style>
  <w:style w:type="character" w:customStyle="1" w:styleId="FootnoteTextChar">
    <w:name w:val="Footnote Text Char"/>
    <w:basedOn w:val="DefaultParagraphFont"/>
    <w:link w:val="FootnoteText"/>
    <w:rsid w:val="00011AAB"/>
    <w:rPr>
      <w:rFonts w:ascii="Helvetica 55 Roman" w:hAnsi="Helvetica 55 Roman"/>
      <w:lang w:val="fr-FR" w:eastAsia="fr-FR"/>
    </w:rPr>
  </w:style>
  <w:style w:type="character" w:styleId="FootnoteReference">
    <w:name w:val="footnote reference"/>
    <w:basedOn w:val="DefaultParagraphFont"/>
    <w:rsid w:val="00011AAB"/>
    <w:rPr>
      <w:vertAlign w:val="superscript"/>
    </w:rPr>
  </w:style>
  <w:style w:type="paragraph" w:customStyle="1" w:styleId="HIPSummaryReportTitle">
    <w:name w:val="HIP Summary/Report Title"/>
    <w:basedOn w:val="Heading1"/>
    <w:next w:val="HIPNormal"/>
    <w:rsid w:val="00011AAB"/>
    <w:pPr>
      <w:spacing w:before="120" w:after="120"/>
      <w:jc w:val="center"/>
    </w:pPr>
    <w:rPr>
      <w:rFonts w:ascii="Helvetica 55 Roman" w:hAnsi="Helvetica 55 Roman" w:cs="Helvetica"/>
      <w:color w:val="000000"/>
    </w:rPr>
  </w:style>
  <w:style w:type="paragraph" w:customStyle="1" w:styleId="HIPSub-ChapterTitle">
    <w:name w:val="HIP Sub-Chapter Title"/>
    <w:basedOn w:val="Heading4"/>
    <w:next w:val="HIPNormal"/>
    <w:rsid w:val="00591F90"/>
    <w:pPr>
      <w:spacing w:before="0" w:after="240"/>
    </w:pPr>
    <w:rPr>
      <w:rFonts w:cs="Helvetica"/>
      <w:b w:val="0"/>
      <w:i/>
      <w:sz w:val="24"/>
      <w:szCs w:val="24"/>
    </w:rPr>
  </w:style>
  <w:style w:type="paragraph" w:customStyle="1" w:styleId="HIPSub-SectionTitle">
    <w:name w:val="HIP Sub-Section Title"/>
    <w:basedOn w:val="Heading6"/>
    <w:next w:val="HIPNormal"/>
    <w:rsid w:val="00591F90"/>
    <w:pPr>
      <w:keepNext/>
      <w:spacing w:before="0" w:after="120"/>
    </w:pPr>
    <w:rPr>
      <w:rFonts w:cs="Helvetica"/>
      <w:b w:val="0"/>
      <w:i/>
      <w:lang w:val="en-GB"/>
    </w:rPr>
  </w:style>
  <w:style w:type="paragraph" w:styleId="Header">
    <w:name w:val="header"/>
    <w:basedOn w:val="Normal"/>
    <w:link w:val="HeaderChar"/>
    <w:rsid w:val="00054A3F"/>
    <w:pPr>
      <w:tabs>
        <w:tab w:val="center" w:pos="4680"/>
        <w:tab w:val="right" w:pos="9360"/>
      </w:tabs>
    </w:pPr>
  </w:style>
  <w:style w:type="character" w:customStyle="1" w:styleId="HeaderChar">
    <w:name w:val="Header Char"/>
    <w:basedOn w:val="DefaultParagraphFont"/>
    <w:link w:val="Header"/>
    <w:rsid w:val="00054A3F"/>
    <w:rPr>
      <w:rFonts w:ascii="Helvetica 55 Roman" w:hAnsi="Helvetica 55 Roman"/>
      <w:sz w:val="22"/>
      <w:szCs w:val="22"/>
      <w:lang w:val="fr-FR" w:eastAsia="fr-FR"/>
    </w:rPr>
  </w:style>
  <w:style w:type="paragraph" w:styleId="Footer">
    <w:name w:val="footer"/>
    <w:basedOn w:val="Normal"/>
    <w:link w:val="FooterChar"/>
    <w:rsid w:val="00054A3F"/>
    <w:pPr>
      <w:tabs>
        <w:tab w:val="center" w:pos="4680"/>
        <w:tab w:val="right" w:pos="9360"/>
      </w:tabs>
    </w:pPr>
  </w:style>
  <w:style w:type="character" w:customStyle="1" w:styleId="FooterChar">
    <w:name w:val="Footer Char"/>
    <w:basedOn w:val="DefaultParagraphFont"/>
    <w:link w:val="Footer"/>
    <w:rsid w:val="00054A3F"/>
    <w:rPr>
      <w:rFonts w:ascii="Helvetica 55 Roman" w:hAnsi="Helvetica 55 Roman"/>
      <w:sz w:val="22"/>
      <w:szCs w:val="22"/>
      <w:lang w:val="fr-FR" w:eastAsia="fr-FR"/>
    </w:rPr>
  </w:style>
  <w:style w:type="paragraph" w:styleId="EndnoteText">
    <w:name w:val="endnote text"/>
    <w:basedOn w:val="Normal"/>
    <w:link w:val="EndnoteTextChar"/>
    <w:uiPriority w:val="99"/>
    <w:rsid w:val="008E340F"/>
    <w:rPr>
      <w:sz w:val="20"/>
      <w:szCs w:val="20"/>
    </w:rPr>
  </w:style>
  <w:style w:type="character" w:customStyle="1" w:styleId="EndnoteTextChar">
    <w:name w:val="Endnote Text Char"/>
    <w:basedOn w:val="DefaultParagraphFont"/>
    <w:link w:val="EndnoteText"/>
    <w:uiPriority w:val="99"/>
    <w:rsid w:val="008E340F"/>
    <w:rPr>
      <w:rFonts w:ascii="Helvetica 55 Roman" w:hAnsi="Helvetica 55 Roman"/>
      <w:lang w:val="fr-FR" w:eastAsia="fr-FR"/>
    </w:rPr>
  </w:style>
  <w:style w:type="character" w:styleId="HTMLCite">
    <w:name w:val="HTML Cite"/>
    <w:basedOn w:val="DefaultParagraphFont"/>
    <w:uiPriority w:val="99"/>
    <w:unhideWhenUsed/>
    <w:rsid w:val="008E340F"/>
    <w:rPr>
      <w:i w:val="0"/>
      <w:iCs w:val="0"/>
      <w:color w:val="0E774A"/>
    </w:rPr>
  </w:style>
  <w:style w:type="paragraph" w:customStyle="1" w:styleId="HIPheading3">
    <w:name w:val="HIP heading 3"/>
    <w:basedOn w:val="HIPHeading2"/>
    <w:link w:val="HIPheading3Char"/>
    <w:qFormat/>
    <w:rsid w:val="0088668E"/>
    <w:pPr>
      <w:ind w:left="0" w:firstLine="0"/>
    </w:pPr>
  </w:style>
  <w:style w:type="paragraph" w:styleId="Caption">
    <w:name w:val="caption"/>
    <w:basedOn w:val="Normal"/>
    <w:next w:val="Normal"/>
    <w:uiPriority w:val="35"/>
    <w:qFormat/>
    <w:rsid w:val="008E340F"/>
    <w:rPr>
      <w:b/>
      <w:bCs/>
    </w:rPr>
  </w:style>
  <w:style w:type="character" w:customStyle="1" w:styleId="Heading4Char">
    <w:name w:val="Heading 4 Char"/>
    <w:basedOn w:val="DefaultParagraphFont"/>
    <w:link w:val="Heading4"/>
    <w:rsid w:val="008E340F"/>
    <w:rPr>
      <w:rFonts w:ascii="Helvetica 55 Roman" w:hAnsi="Helvetica 55 Roman"/>
      <w:b/>
      <w:bCs/>
      <w:sz w:val="28"/>
      <w:szCs w:val="28"/>
      <w:lang w:val="fr-FR" w:eastAsia="fr-FR"/>
    </w:rPr>
  </w:style>
  <w:style w:type="character" w:customStyle="1" w:styleId="HIPHeading2Char">
    <w:name w:val="HIP Heading 2 Char"/>
    <w:basedOn w:val="Heading4Char"/>
    <w:link w:val="HIPHeading2"/>
    <w:rsid w:val="00DB4F07"/>
    <w:rPr>
      <w:rFonts w:ascii="Calibri" w:hAnsi="Calibri" w:cs="Helvetica"/>
      <w:color w:val="008000"/>
      <w:sz w:val="24"/>
      <w:szCs w:val="32"/>
    </w:rPr>
  </w:style>
  <w:style w:type="character" w:customStyle="1" w:styleId="HIPheading3Char">
    <w:name w:val="HIP heading 3 Char"/>
    <w:basedOn w:val="HIPHeading2Char"/>
    <w:link w:val="HIPheading3"/>
    <w:rsid w:val="0088668E"/>
    <w:rPr>
      <w:b/>
      <w:bCs/>
    </w:rPr>
  </w:style>
  <w:style w:type="paragraph" w:styleId="ListParagraph">
    <w:name w:val="List Paragraph"/>
    <w:basedOn w:val="Normal"/>
    <w:uiPriority w:val="34"/>
    <w:qFormat/>
    <w:rsid w:val="008E340F"/>
    <w:pPr>
      <w:spacing w:after="200" w:line="360" w:lineRule="auto"/>
      <w:ind w:left="720"/>
      <w:contextualSpacing/>
      <w:jc w:val="both"/>
    </w:pPr>
    <w:rPr>
      <w:rFonts w:ascii="Arial" w:hAnsi="Arial" w:cs="Arial"/>
      <w:kern w:val="32"/>
      <w:lang w:val="en-US" w:eastAsia="en-US"/>
    </w:rPr>
  </w:style>
  <w:style w:type="table" w:styleId="TableGrid">
    <w:name w:val="Table Grid"/>
    <w:basedOn w:val="TableNormal"/>
    <w:rsid w:val="005941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5">
    <w:name w:val="toc 5"/>
    <w:basedOn w:val="Normal"/>
    <w:next w:val="Normal"/>
    <w:autoRedefine/>
    <w:uiPriority w:val="39"/>
    <w:rsid w:val="0059419C"/>
    <w:pPr>
      <w:spacing w:after="100"/>
      <w:ind w:left="880"/>
    </w:pPr>
  </w:style>
  <w:style w:type="paragraph" w:styleId="NormalWeb">
    <w:name w:val="Normal (Web)"/>
    <w:basedOn w:val="Normal"/>
    <w:uiPriority w:val="99"/>
    <w:unhideWhenUsed/>
    <w:rsid w:val="00A25B99"/>
    <w:pPr>
      <w:spacing w:before="100" w:beforeAutospacing="1" w:after="100" w:afterAutospacing="1"/>
      <w:jc w:val="both"/>
    </w:pPr>
    <w:rPr>
      <w:rFonts w:ascii="Times New Roman" w:hAnsi="Times New Roman"/>
      <w:kern w:val="32"/>
      <w:sz w:val="24"/>
      <w:szCs w:val="24"/>
      <w:lang w:val="en-US" w:eastAsia="en-US"/>
    </w:rPr>
  </w:style>
  <w:style w:type="paragraph" w:customStyle="1" w:styleId="HIPheading4">
    <w:name w:val="HIP heading 4"/>
    <w:basedOn w:val="HIPheading3"/>
    <w:link w:val="HIPheading4Char"/>
    <w:qFormat/>
    <w:rsid w:val="0088668E"/>
    <w:rPr>
      <w:i/>
      <w:iCs/>
      <w:color w:val="auto"/>
    </w:rPr>
  </w:style>
  <w:style w:type="paragraph" w:styleId="ListBullet2">
    <w:name w:val="List Bullet 2"/>
    <w:basedOn w:val="Normal"/>
    <w:rsid w:val="008C579A"/>
    <w:pPr>
      <w:tabs>
        <w:tab w:val="num" w:pos="227"/>
      </w:tabs>
      <w:contextualSpacing/>
    </w:pPr>
  </w:style>
  <w:style w:type="paragraph" w:customStyle="1" w:styleId="HIPBoxenumlevel">
    <w:name w:val="HIP Box enumlevel"/>
    <w:basedOn w:val="HIPBoxNormal"/>
    <w:link w:val="HIPBoxenumlevelChar"/>
    <w:qFormat/>
    <w:rsid w:val="0088668E"/>
    <w:pPr>
      <w:ind w:left="709" w:hanging="709"/>
    </w:pPr>
  </w:style>
  <w:style w:type="character" w:customStyle="1" w:styleId="highlightedsearchterm">
    <w:name w:val="highlightedsearchterm"/>
    <w:basedOn w:val="DefaultParagraphFont"/>
    <w:rsid w:val="004674ED"/>
  </w:style>
  <w:style w:type="character" w:customStyle="1" w:styleId="HIPBoxenumlevelChar">
    <w:name w:val="HIP Box enumlevel Char"/>
    <w:basedOn w:val="HIPBoxNormalChar"/>
    <w:link w:val="HIPBoxenumlevel"/>
    <w:rsid w:val="0088668E"/>
  </w:style>
  <w:style w:type="paragraph" w:styleId="BodyText">
    <w:name w:val="Body Text"/>
    <w:basedOn w:val="Normal"/>
    <w:link w:val="BodyTextChar"/>
    <w:rsid w:val="00D75B19"/>
    <w:pPr>
      <w:spacing w:after="120"/>
    </w:pPr>
  </w:style>
  <w:style w:type="character" w:customStyle="1" w:styleId="BodyTextChar">
    <w:name w:val="Body Text Char"/>
    <w:basedOn w:val="DefaultParagraphFont"/>
    <w:link w:val="BodyText"/>
    <w:rsid w:val="00D75B19"/>
    <w:rPr>
      <w:rFonts w:ascii="Helvetica 55 Roman" w:hAnsi="Helvetica 55 Roman"/>
      <w:sz w:val="22"/>
      <w:szCs w:val="22"/>
      <w:lang w:val="fr-FR" w:eastAsia="fr-FR"/>
    </w:rPr>
  </w:style>
  <w:style w:type="paragraph" w:customStyle="1" w:styleId="HIPBodyofText">
    <w:name w:val="HIP Body of Text"/>
    <w:basedOn w:val="BodyText"/>
    <w:rsid w:val="005B59F7"/>
    <w:pPr>
      <w:jc w:val="both"/>
    </w:pPr>
    <w:rPr>
      <w:rFonts w:cs="Helvetica"/>
      <w:color w:val="000000"/>
    </w:rPr>
  </w:style>
  <w:style w:type="character" w:customStyle="1" w:styleId="Heading1Char">
    <w:name w:val="Heading 1 Char"/>
    <w:basedOn w:val="DefaultParagraphFont"/>
    <w:link w:val="Heading1"/>
    <w:uiPriority w:val="9"/>
    <w:rsid w:val="005B59F7"/>
    <w:rPr>
      <w:rFonts w:ascii="Arial" w:hAnsi="Arial" w:cs="Arial"/>
      <w:b/>
      <w:bCs/>
      <w:kern w:val="32"/>
      <w:sz w:val="32"/>
      <w:szCs w:val="32"/>
      <w:lang w:val="fr-FR" w:eastAsia="fr-FR"/>
    </w:rPr>
  </w:style>
  <w:style w:type="paragraph" w:styleId="TOC2">
    <w:name w:val="toc 2"/>
    <w:basedOn w:val="Normal"/>
    <w:next w:val="Normal"/>
    <w:autoRedefine/>
    <w:uiPriority w:val="39"/>
    <w:rsid w:val="00761E74"/>
    <w:pPr>
      <w:spacing w:after="100"/>
      <w:ind w:left="220"/>
    </w:pPr>
  </w:style>
  <w:style w:type="paragraph" w:styleId="TOC1">
    <w:name w:val="toc 1"/>
    <w:basedOn w:val="Normal"/>
    <w:next w:val="Normal"/>
    <w:autoRedefine/>
    <w:uiPriority w:val="39"/>
    <w:rsid w:val="00761E74"/>
    <w:pPr>
      <w:spacing w:after="100"/>
    </w:pPr>
  </w:style>
  <w:style w:type="paragraph" w:styleId="TOC3">
    <w:name w:val="toc 3"/>
    <w:basedOn w:val="Normal"/>
    <w:next w:val="Normal"/>
    <w:autoRedefine/>
    <w:uiPriority w:val="39"/>
    <w:rsid w:val="00761E74"/>
    <w:pPr>
      <w:spacing w:after="100"/>
      <w:ind w:left="440"/>
    </w:pPr>
  </w:style>
  <w:style w:type="character" w:customStyle="1" w:styleId="HIPPartTitleChar">
    <w:name w:val="HIP Part Title Char"/>
    <w:basedOn w:val="Heading2Char"/>
    <w:link w:val="HIPPartTitle"/>
    <w:rsid w:val="001F580E"/>
    <w:rPr>
      <w:rFonts w:ascii="Calibri" w:hAnsi="Calibri" w:cs="Helvetica"/>
      <w:b/>
      <w:bCs/>
      <w:iCs/>
      <w:color w:val="008000"/>
      <w:sz w:val="32"/>
      <w:szCs w:val="24"/>
      <w:u w:color="E36C0A"/>
    </w:rPr>
  </w:style>
  <w:style w:type="paragraph" w:styleId="TableofFigures">
    <w:name w:val="table of figures"/>
    <w:basedOn w:val="Normal"/>
    <w:next w:val="Normal"/>
    <w:uiPriority w:val="99"/>
    <w:rsid w:val="0088668E"/>
  </w:style>
  <w:style w:type="paragraph" w:customStyle="1" w:styleId="HIPheading5">
    <w:name w:val="HIP heading 5"/>
    <w:basedOn w:val="HIPheading4"/>
    <w:link w:val="HIPheading5Char"/>
    <w:qFormat/>
    <w:rsid w:val="0088668E"/>
    <w:pPr>
      <w:spacing w:before="240"/>
    </w:pPr>
    <w:rPr>
      <w:i w:val="0"/>
      <w:iCs w:val="0"/>
    </w:rPr>
  </w:style>
  <w:style w:type="character" w:customStyle="1" w:styleId="HIPheading4Char">
    <w:name w:val="HIP heading 4 Char"/>
    <w:basedOn w:val="HIPheading3Char"/>
    <w:link w:val="HIPheading4"/>
    <w:rsid w:val="0088668E"/>
    <w:rPr>
      <w:i/>
      <w:iCs/>
    </w:rPr>
  </w:style>
  <w:style w:type="paragraph" w:styleId="TOAHeading">
    <w:name w:val="toa heading"/>
    <w:basedOn w:val="Normal"/>
    <w:next w:val="Normal"/>
    <w:rsid w:val="00DC5333"/>
    <w:pPr>
      <w:spacing w:before="120"/>
    </w:pPr>
    <w:rPr>
      <w:rFonts w:asciiTheme="majorHAnsi" w:eastAsiaTheme="majorEastAsia" w:hAnsiTheme="majorHAnsi" w:cstheme="majorBidi"/>
      <w:b/>
      <w:bCs/>
      <w:sz w:val="24"/>
      <w:szCs w:val="24"/>
    </w:rPr>
  </w:style>
  <w:style w:type="character" w:customStyle="1" w:styleId="HIPheading5Char">
    <w:name w:val="HIP heading 5 Char"/>
    <w:basedOn w:val="HIPheading4Char"/>
    <w:link w:val="HIPheading5"/>
    <w:rsid w:val="0088668E"/>
  </w:style>
</w:styles>
</file>

<file path=word/webSettings.xml><?xml version="1.0" encoding="utf-8"?>
<w:webSettings xmlns:r="http://schemas.openxmlformats.org/officeDocument/2006/relationships" xmlns:w="http://schemas.openxmlformats.org/wordprocessingml/2006/main">
  <w:divs>
    <w:div w:id="236206515">
      <w:bodyDiv w:val="1"/>
      <w:marLeft w:val="0"/>
      <w:marRight w:val="0"/>
      <w:marTop w:val="0"/>
      <w:marBottom w:val="0"/>
      <w:divBdr>
        <w:top w:val="none" w:sz="0" w:space="0" w:color="auto"/>
        <w:left w:val="none" w:sz="0" w:space="0" w:color="auto"/>
        <w:bottom w:val="none" w:sz="0" w:space="0" w:color="auto"/>
        <w:right w:val="none" w:sz="0" w:space="0" w:color="auto"/>
      </w:divBdr>
    </w:div>
    <w:div w:id="2066371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footer" Target="footer31.xml"/><Relationship Id="rId21" Type="http://schemas.openxmlformats.org/officeDocument/2006/relationships/header" Target="header6.xml"/><Relationship Id="rId42" Type="http://schemas.openxmlformats.org/officeDocument/2006/relationships/hyperlink" Target="http://www.itu.int/ITU-D/asp/CMS/Events/2010/Thailand-Broadband/Session4_Parvez_Iftikhar.pdf" TargetMode="External"/><Relationship Id="rId47" Type="http://schemas.openxmlformats.org/officeDocument/2006/relationships/hyperlink" Target="http://www.ntia.doc.gov/reports/2010/NTIA_Report_on_BTOP_12142010.pdf" TargetMode="External"/><Relationship Id="rId63" Type="http://schemas.openxmlformats.org/officeDocument/2006/relationships/footer" Target="footer20.xml"/><Relationship Id="rId68" Type="http://schemas.openxmlformats.org/officeDocument/2006/relationships/hyperlink" Target="http://www.bai.ie/publications_fundingdocs.html" TargetMode="External"/><Relationship Id="rId84" Type="http://schemas.openxmlformats.org/officeDocument/2006/relationships/hyperlink" Target="http://www.gesci.org/knowledge-tools.html" TargetMode="External"/><Relationship Id="rId89" Type="http://schemas.openxmlformats.org/officeDocument/2006/relationships/hyperlink" Target="http://www.idrc.ca/biodiversity/ev-118644-201-1-DO_TOPIC.html" TargetMode="External"/><Relationship Id="rId112" Type="http://schemas.openxmlformats.org/officeDocument/2006/relationships/header" Target="header27.xml"/><Relationship Id="rId16" Type="http://schemas.openxmlformats.org/officeDocument/2006/relationships/footer" Target="footer4.xml"/><Relationship Id="rId107" Type="http://schemas.openxmlformats.org/officeDocument/2006/relationships/hyperlink" Target="http://www.oecd.org/dataoecd/23/27/35281194.pdf" TargetMode="External"/><Relationship Id="rId11" Type="http://schemas.openxmlformats.org/officeDocument/2006/relationships/header" Target="header1.xml"/><Relationship Id="rId32" Type="http://schemas.openxmlformats.org/officeDocument/2006/relationships/header" Target="header11.xml"/><Relationship Id="rId37" Type="http://schemas.openxmlformats.org/officeDocument/2006/relationships/footer" Target="footer14.xml"/><Relationship Id="rId53" Type="http://schemas.openxmlformats.org/officeDocument/2006/relationships/hyperlink" Target="http://ec.europa.eu/competition/consultations/2009_broadband_guidelines/index.html" TargetMode="External"/><Relationship Id="rId58" Type="http://schemas.openxmlformats.org/officeDocument/2006/relationships/footer" Target="footer17.xml"/><Relationship Id="rId74" Type="http://schemas.openxmlformats.org/officeDocument/2006/relationships/hyperlink" Target="http://www.cis-india.org/advocacy/accessibility/e-accessibility" TargetMode="External"/><Relationship Id="rId79" Type="http://schemas.openxmlformats.org/officeDocument/2006/relationships/hyperlink" Target="http://www.comminit.com/en/node/181530" TargetMode="External"/><Relationship Id="rId102" Type="http://schemas.openxmlformats.org/officeDocument/2006/relationships/header" Target="header24.xml"/><Relationship Id="rId123" Type="http://schemas.openxmlformats.org/officeDocument/2006/relationships/footer" Target="footer34.xml"/><Relationship Id="rId5" Type="http://schemas.openxmlformats.org/officeDocument/2006/relationships/webSettings" Target="webSettings.xml"/><Relationship Id="rId90" Type="http://schemas.openxmlformats.org/officeDocument/2006/relationships/hyperlink" Target="http://ec.europa.eu/archives/ISPO/infosoc/telecompolicy/en/Study-en.html" TargetMode="External"/><Relationship Id="rId95" Type="http://schemas.openxmlformats.org/officeDocument/2006/relationships/footer" Target="footer22.xml"/><Relationship Id="rId19" Type="http://schemas.openxmlformats.org/officeDocument/2006/relationships/footer" Target="footer5.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header" Target="header10.xml"/><Relationship Id="rId35" Type="http://schemas.openxmlformats.org/officeDocument/2006/relationships/header" Target="header13.xml"/><Relationship Id="rId43" Type="http://schemas.openxmlformats.org/officeDocument/2006/relationships/hyperlink" Target="file:///C:\Documents%20and%20Settings\lebihanj\My%20Documents\ITU-EC%20Project\HIPSSA\5%20-%20Activities\SA-2.2\0%20-%20Deliverables\2011%2002%2021%20Edited%20reports\Toolkit\AppData\Local\Microsoft\Windows\Temporary%20Internet%20Files\Content.Outlook\TV0EUJD6\UCAF%20Act%20Tanzania.pdf" TargetMode="External"/><Relationship Id="rId48" Type="http://schemas.openxmlformats.org/officeDocument/2006/relationships/hyperlink" Target="http://www.usf.org.pk/Rules-Policies.aspx" TargetMode="External"/><Relationship Id="rId56" Type="http://schemas.openxmlformats.org/officeDocument/2006/relationships/header" Target="header15.xml"/><Relationship Id="rId64" Type="http://schemas.openxmlformats.org/officeDocument/2006/relationships/image" Target="media/image5.jpeg"/><Relationship Id="rId69" Type="http://schemas.openxmlformats.org/officeDocument/2006/relationships/hyperlink" Target="http://www.icta.mu/documents/publications/uso-feb04.pdf" TargetMode="External"/><Relationship Id="rId77" Type="http://schemas.openxmlformats.org/officeDocument/2006/relationships/hyperlink" Target="http://www.cis-india.org/advocacy/accessibility/e-accessibility" TargetMode="External"/><Relationship Id="rId100" Type="http://schemas.openxmlformats.org/officeDocument/2006/relationships/footer" Target="footer24.xml"/><Relationship Id="rId105" Type="http://schemas.openxmlformats.org/officeDocument/2006/relationships/image" Target="media/image8.emf"/><Relationship Id="rId113" Type="http://schemas.openxmlformats.org/officeDocument/2006/relationships/footer" Target="footer29.xml"/><Relationship Id="rId118" Type="http://schemas.openxmlformats.org/officeDocument/2006/relationships/header" Target="header30.xml"/><Relationship Id="rId12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usda.gov/rus/8-3-2007work/1773-1.pdf" TargetMode="External"/><Relationship Id="rId72" Type="http://schemas.openxmlformats.org/officeDocument/2006/relationships/hyperlink" Target="http://pdf.usaid.gov/pdf_docs/PNADN053.pdf" TargetMode="External"/><Relationship Id="rId80" Type="http://schemas.openxmlformats.org/officeDocument/2006/relationships/hyperlink" Target="http://www.gesci.org/knowledge-tools.html" TargetMode="External"/><Relationship Id="rId85" Type="http://schemas.openxmlformats.org/officeDocument/2006/relationships/hyperlink" Target="http://connection.aed.org/pages/MakingConnections.pdf" TargetMode="External"/><Relationship Id="rId93" Type="http://schemas.openxmlformats.org/officeDocument/2006/relationships/header" Target="header20.xml"/><Relationship Id="rId98" Type="http://schemas.openxmlformats.org/officeDocument/2006/relationships/header" Target="header22.xml"/><Relationship Id="rId121" Type="http://schemas.openxmlformats.org/officeDocument/2006/relationships/header" Target="header32.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hyperlink" Target="http://www2.ntia.doc.gov/files/Recipient_Handbook_v1.1_122110.pdf" TargetMode="External"/><Relationship Id="rId59" Type="http://schemas.openxmlformats.org/officeDocument/2006/relationships/footer" Target="footer18.xml"/><Relationship Id="rId67" Type="http://schemas.openxmlformats.org/officeDocument/2006/relationships/hyperlink" Target="http://www.icta.mu/market/quarterly.htm" TargetMode="External"/><Relationship Id="rId103" Type="http://schemas.openxmlformats.org/officeDocument/2006/relationships/footer" Target="footer26.xml"/><Relationship Id="rId108" Type="http://schemas.openxmlformats.org/officeDocument/2006/relationships/header" Target="header25.xml"/><Relationship Id="rId116" Type="http://schemas.openxmlformats.org/officeDocument/2006/relationships/footer" Target="footer30.xml"/><Relationship Id="rId124" Type="http://schemas.openxmlformats.org/officeDocument/2006/relationships/header" Target="header33.xml"/><Relationship Id="rId20" Type="http://schemas.openxmlformats.org/officeDocument/2006/relationships/header" Target="header5.xml"/><Relationship Id="rId41" Type="http://schemas.openxmlformats.org/officeDocument/2006/relationships/image" Target="media/image4.jpeg"/><Relationship Id="rId54" Type="http://schemas.openxmlformats.org/officeDocument/2006/relationships/hyperlink" Target="http://www.icasa.org.za/LegislationRegulatory/ExistingRegulations/Prescribedannualcontributionsoflicenseestoth/FinalRegulations/tabid/147/ctl/ItemDetails/mid/810/ItemID/23/Default.aspx" TargetMode="External"/><Relationship Id="rId62" Type="http://schemas.openxmlformats.org/officeDocument/2006/relationships/header" Target="header18.xml"/><Relationship Id="rId70" Type="http://schemas.openxmlformats.org/officeDocument/2006/relationships/hyperlink" Target="http://www.ncc.gov.ng/uspf/USPF%20Consultative%20Paper%20Public%2010-30.pdf" TargetMode="External"/><Relationship Id="rId75" Type="http://schemas.openxmlformats.org/officeDocument/2006/relationships/hyperlink" Target="http://www.gesci.org/assets/files/Knowledge%20Centre/pilot-ICT-projects.pdf" TargetMode="External"/><Relationship Id="rId83" Type="http://schemas.openxmlformats.org/officeDocument/2006/relationships/hyperlink" Target="http://www.itu.int/ITU-D/finance/COSITU/index.html" TargetMode="External"/><Relationship Id="rId88" Type="http://schemas.openxmlformats.org/officeDocument/2006/relationships/hyperlink" Target="http://www.inteleconresearch.com/pdf/050713%20-%20universal%20access%20and%20universal%20service%20funds%20v3.pdf" TargetMode="External"/><Relationship Id="rId91" Type="http://schemas.openxmlformats.org/officeDocument/2006/relationships/hyperlink" Target="http://www.dot.gov.in/uso/implementationstatus.htm" TargetMode="External"/><Relationship Id="rId96" Type="http://schemas.openxmlformats.org/officeDocument/2006/relationships/header" Target="header21.xml"/><Relationship Id="rId111" Type="http://schemas.openxmlformats.org/officeDocument/2006/relationships/footer" Target="footer2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hyperlink" Target="http://www.usaasa.org.za/index.php?q=publications,1" TargetMode="External"/><Relationship Id="rId57" Type="http://schemas.openxmlformats.org/officeDocument/2006/relationships/header" Target="header16.xml"/><Relationship Id="rId106" Type="http://schemas.openxmlformats.org/officeDocument/2006/relationships/package" Target="embeddings/Microsoft_Office_PowerPoint_Slide1.sldx"/><Relationship Id="rId114" Type="http://schemas.openxmlformats.org/officeDocument/2006/relationships/header" Target="header28.xml"/><Relationship Id="rId119" Type="http://schemas.openxmlformats.org/officeDocument/2006/relationships/footer" Target="footer32.xml"/><Relationship Id="rId12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footer" Target="footer11.xml"/><Relationship Id="rId44" Type="http://schemas.openxmlformats.org/officeDocument/2006/relationships/hyperlink" Target="http://www.icasa.org.za/tabid/86/Default.aspx" TargetMode="External"/><Relationship Id="rId52" Type="http://schemas.openxmlformats.org/officeDocument/2006/relationships/hyperlink" Target="http://www.dpmc.gov.au/guidelines/docs/annual_report_requirements.pdf" TargetMode="External"/><Relationship Id="rId60" Type="http://schemas.openxmlformats.org/officeDocument/2006/relationships/header" Target="header17.xml"/><Relationship Id="rId65" Type="http://schemas.openxmlformats.org/officeDocument/2006/relationships/hyperlink" Target="http://ec.europa.eu/eu_law/state_aids/comp-2010/n030-10-en.pdf" TargetMode="External"/><Relationship Id="rId73" Type="http://schemas.openxmlformats.org/officeDocument/2006/relationships/hyperlink" Target="http://www.telecentre.org/group/telecentrefordisabilities/forum/topics/eaccessibility-policy-handbook?xg_source=activity" TargetMode="External"/><Relationship Id="rId78" Type="http://schemas.openxmlformats.org/officeDocument/2006/relationships/hyperlink" Target="http://ip.cals.cornell.edu/commdev/handbook.cfm" TargetMode="External"/><Relationship Id="rId81" Type="http://schemas.openxmlformats.org/officeDocument/2006/relationships/hyperlink" Target="http://www.infrastructureafrica.org/aicd/tools/models/ict-voice-model" TargetMode="External"/><Relationship Id="rId86" Type="http://schemas.openxmlformats.org/officeDocument/2006/relationships/image" Target="media/image6.jpeg"/><Relationship Id="rId94" Type="http://schemas.openxmlformats.org/officeDocument/2006/relationships/footer" Target="footer21.xml"/><Relationship Id="rId99" Type="http://schemas.openxmlformats.org/officeDocument/2006/relationships/header" Target="header23.xml"/><Relationship Id="rId101" Type="http://schemas.openxmlformats.org/officeDocument/2006/relationships/footer" Target="footer25.xml"/><Relationship Id="rId122" Type="http://schemas.openxmlformats.org/officeDocument/2006/relationships/footer" Target="footer3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header" Target="header14.xml"/><Relationship Id="rId109" Type="http://schemas.openxmlformats.org/officeDocument/2006/relationships/header" Target="header26.xml"/><Relationship Id="rId34" Type="http://schemas.openxmlformats.org/officeDocument/2006/relationships/header" Target="header12.xml"/><Relationship Id="rId50" Type="http://schemas.openxmlformats.org/officeDocument/2006/relationships/hyperlink" Target="http://www.broadbandusa.gov/" TargetMode="External"/><Relationship Id="rId55" Type="http://schemas.openxmlformats.org/officeDocument/2006/relationships/hyperlink" Target="http://www.icta.mu/documents/Gn-206_2008.pdf" TargetMode="External"/><Relationship Id="rId76" Type="http://schemas.openxmlformats.org/officeDocument/2006/relationships/hyperlink" Target="http://www.telecentre.org/group/telecentrefordisabilities/forum/topics/eaccessibility-policy-handbook?xg_source=activity" TargetMode="External"/><Relationship Id="rId97" Type="http://schemas.openxmlformats.org/officeDocument/2006/relationships/footer" Target="footer23.xml"/><Relationship Id="rId104" Type="http://schemas.openxmlformats.org/officeDocument/2006/relationships/image" Target="media/image7.png"/><Relationship Id="rId120" Type="http://schemas.openxmlformats.org/officeDocument/2006/relationships/header" Target="header31.xml"/><Relationship Id="rId125" Type="http://schemas.openxmlformats.org/officeDocument/2006/relationships/footer" Target="footer35.xml"/><Relationship Id="rId7" Type="http://schemas.openxmlformats.org/officeDocument/2006/relationships/endnotes" Target="endnotes.xml"/><Relationship Id="rId71" Type="http://schemas.openxmlformats.org/officeDocument/2006/relationships/hyperlink" Target="http://www.connectaschool.org/itu-module-list" TargetMode="External"/><Relationship Id="rId92" Type="http://schemas.openxmlformats.org/officeDocument/2006/relationships/header" Target="header19.xml"/><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header" Target="header7.xml"/><Relationship Id="rId40" Type="http://schemas.openxmlformats.org/officeDocument/2006/relationships/footer" Target="footer16.xml"/><Relationship Id="rId45" Type="http://schemas.openxmlformats.org/officeDocument/2006/relationships/hyperlink" Target="http://www.icta.mu/documents/laws/ictact.pdf" TargetMode="External"/><Relationship Id="rId66" Type="http://schemas.openxmlformats.org/officeDocument/2006/relationships/hyperlink" Target="http://www.skmm.gov.my/link_file/what_we_do/usp/pdf/USP_RONR_template.pdf" TargetMode="External"/><Relationship Id="rId87" Type="http://schemas.openxmlformats.org/officeDocument/2006/relationships/hyperlink" Target="http://ec.europa.eu/competition/consultations/2009_broadband_guidelines/index.html" TargetMode="External"/><Relationship Id="rId110" Type="http://schemas.openxmlformats.org/officeDocument/2006/relationships/footer" Target="footer27.xml"/><Relationship Id="rId115" Type="http://schemas.openxmlformats.org/officeDocument/2006/relationships/header" Target="header29.xml"/><Relationship Id="rId61" Type="http://schemas.openxmlformats.org/officeDocument/2006/relationships/footer" Target="footer19.xml"/><Relationship Id="rId82" Type="http://schemas.openxmlformats.org/officeDocument/2006/relationships/hyperlink" Target="http://www.infrastructureafrica.org/aicd/tools/models/ict-broadband-universal-coverage-mode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ebihanj\Application%20Data\Microsoft\Templates\HIPSSA%20Template%20E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8EB4F-403C-4E44-8D80-69FE1F004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HIPSSA Template EN.dot</Template>
  <TotalTime>1</TotalTime>
  <Pages>118</Pages>
  <Words>38588</Words>
  <Characters>229214</Characters>
  <Application>Microsoft Office Word</Application>
  <DocSecurity>0</DocSecurity>
  <Lines>1910</Lines>
  <Paragraphs>534</Paragraphs>
  <ScaleCrop>false</ScaleCrop>
  <HeadingPairs>
    <vt:vector size="2" baseType="variant">
      <vt:variant>
        <vt:lpstr>Title</vt:lpstr>
      </vt:variant>
      <vt:variant>
        <vt:i4>1</vt:i4>
      </vt:variant>
    </vt:vector>
  </HeadingPairs>
  <TitlesOfParts>
    <vt:vector size="1" baseType="lpstr">
      <vt:lpstr>Titre du rapport</vt:lpstr>
    </vt:vector>
  </TitlesOfParts>
  <Company/>
  <LinksUpToDate>false</LinksUpToDate>
  <CharactersWithSpaces>267268</CharactersWithSpaces>
  <SharedDoc>false</SharedDoc>
  <HLinks>
    <vt:vector size="90" baseType="variant">
      <vt:variant>
        <vt:i4>1179711</vt:i4>
      </vt:variant>
      <vt:variant>
        <vt:i4>80</vt:i4>
      </vt:variant>
      <vt:variant>
        <vt:i4>0</vt:i4>
      </vt:variant>
      <vt:variant>
        <vt:i4>5</vt:i4>
      </vt:variant>
      <vt:variant>
        <vt:lpwstr/>
      </vt:variant>
      <vt:variant>
        <vt:lpwstr>_Toc261948823</vt:lpwstr>
      </vt:variant>
      <vt:variant>
        <vt:i4>1179711</vt:i4>
      </vt:variant>
      <vt:variant>
        <vt:i4>74</vt:i4>
      </vt:variant>
      <vt:variant>
        <vt:i4>0</vt:i4>
      </vt:variant>
      <vt:variant>
        <vt:i4>5</vt:i4>
      </vt:variant>
      <vt:variant>
        <vt:lpwstr/>
      </vt:variant>
      <vt:variant>
        <vt:lpwstr>_Toc261948822</vt:lpwstr>
      </vt:variant>
      <vt:variant>
        <vt:i4>1179711</vt:i4>
      </vt:variant>
      <vt:variant>
        <vt:i4>68</vt:i4>
      </vt:variant>
      <vt:variant>
        <vt:i4>0</vt:i4>
      </vt:variant>
      <vt:variant>
        <vt:i4>5</vt:i4>
      </vt:variant>
      <vt:variant>
        <vt:lpwstr/>
      </vt:variant>
      <vt:variant>
        <vt:lpwstr>_Toc261948821</vt:lpwstr>
      </vt:variant>
      <vt:variant>
        <vt:i4>1179711</vt:i4>
      </vt:variant>
      <vt:variant>
        <vt:i4>62</vt:i4>
      </vt:variant>
      <vt:variant>
        <vt:i4>0</vt:i4>
      </vt:variant>
      <vt:variant>
        <vt:i4>5</vt:i4>
      </vt:variant>
      <vt:variant>
        <vt:lpwstr/>
      </vt:variant>
      <vt:variant>
        <vt:lpwstr>_Toc261948820</vt:lpwstr>
      </vt:variant>
      <vt:variant>
        <vt:i4>1114175</vt:i4>
      </vt:variant>
      <vt:variant>
        <vt:i4>56</vt:i4>
      </vt:variant>
      <vt:variant>
        <vt:i4>0</vt:i4>
      </vt:variant>
      <vt:variant>
        <vt:i4>5</vt:i4>
      </vt:variant>
      <vt:variant>
        <vt:lpwstr/>
      </vt:variant>
      <vt:variant>
        <vt:lpwstr>_Toc261948818</vt:lpwstr>
      </vt:variant>
      <vt:variant>
        <vt:i4>1114175</vt:i4>
      </vt:variant>
      <vt:variant>
        <vt:i4>50</vt:i4>
      </vt:variant>
      <vt:variant>
        <vt:i4>0</vt:i4>
      </vt:variant>
      <vt:variant>
        <vt:i4>5</vt:i4>
      </vt:variant>
      <vt:variant>
        <vt:lpwstr/>
      </vt:variant>
      <vt:variant>
        <vt:lpwstr>_Toc261948817</vt:lpwstr>
      </vt:variant>
      <vt:variant>
        <vt:i4>1114175</vt:i4>
      </vt:variant>
      <vt:variant>
        <vt:i4>44</vt:i4>
      </vt:variant>
      <vt:variant>
        <vt:i4>0</vt:i4>
      </vt:variant>
      <vt:variant>
        <vt:i4>5</vt:i4>
      </vt:variant>
      <vt:variant>
        <vt:lpwstr/>
      </vt:variant>
      <vt:variant>
        <vt:lpwstr>_Toc261948816</vt:lpwstr>
      </vt:variant>
      <vt:variant>
        <vt:i4>1114175</vt:i4>
      </vt:variant>
      <vt:variant>
        <vt:i4>38</vt:i4>
      </vt:variant>
      <vt:variant>
        <vt:i4>0</vt:i4>
      </vt:variant>
      <vt:variant>
        <vt:i4>5</vt:i4>
      </vt:variant>
      <vt:variant>
        <vt:lpwstr/>
      </vt:variant>
      <vt:variant>
        <vt:lpwstr>_Toc261948815</vt:lpwstr>
      </vt:variant>
      <vt:variant>
        <vt:i4>1114175</vt:i4>
      </vt:variant>
      <vt:variant>
        <vt:i4>32</vt:i4>
      </vt:variant>
      <vt:variant>
        <vt:i4>0</vt:i4>
      </vt:variant>
      <vt:variant>
        <vt:i4>5</vt:i4>
      </vt:variant>
      <vt:variant>
        <vt:lpwstr/>
      </vt:variant>
      <vt:variant>
        <vt:lpwstr>_Toc261948813</vt:lpwstr>
      </vt:variant>
      <vt:variant>
        <vt:i4>1114175</vt:i4>
      </vt:variant>
      <vt:variant>
        <vt:i4>26</vt:i4>
      </vt:variant>
      <vt:variant>
        <vt:i4>0</vt:i4>
      </vt:variant>
      <vt:variant>
        <vt:i4>5</vt:i4>
      </vt:variant>
      <vt:variant>
        <vt:lpwstr/>
      </vt:variant>
      <vt:variant>
        <vt:lpwstr>_Toc261948811</vt:lpwstr>
      </vt:variant>
      <vt:variant>
        <vt:i4>1114175</vt:i4>
      </vt:variant>
      <vt:variant>
        <vt:i4>20</vt:i4>
      </vt:variant>
      <vt:variant>
        <vt:i4>0</vt:i4>
      </vt:variant>
      <vt:variant>
        <vt:i4>5</vt:i4>
      </vt:variant>
      <vt:variant>
        <vt:lpwstr/>
      </vt:variant>
      <vt:variant>
        <vt:lpwstr>_Toc261948810</vt:lpwstr>
      </vt:variant>
      <vt:variant>
        <vt:i4>1048639</vt:i4>
      </vt:variant>
      <vt:variant>
        <vt:i4>14</vt:i4>
      </vt:variant>
      <vt:variant>
        <vt:i4>0</vt:i4>
      </vt:variant>
      <vt:variant>
        <vt:i4>5</vt:i4>
      </vt:variant>
      <vt:variant>
        <vt:lpwstr/>
      </vt:variant>
      <vt:variant>
        <vt:lpwstr>_Toc261948809</vt:lpwstr>
      </vt:variant>
      <vt:variant>
        <vt:i4>1048639</vt:i4>
      </vt:variant>
      <vt:variant>
        <vt:i4>8</vt:i4>
      </vt:variant>
      <vt:variant>
        <vt:i4>0</vt:i4>
      </vt:variant>
      <vt:variant>
        <vt:i4>5</vt:i4>
      </vt:variant>
      <vt:variant>
        <vt:lpwstr/>
      </vt:variant>
      <vt:variant>
        <vt:lpwstr>_Toc261948808</vt:lpwstr>
      </vt:variant>
      <vt:variant>
        <vt:i4>1048639</vt:i4>
      </vt:variant>
      <vt:variant>
        <vt:i4>2</vt:i4>
      </vt:variant>
      <vt:variant>
        <vt:i4>0</vt:i4>
      </vt:variant>
      <vt:variant>
        <vt:i4>5</vt:i4>
      </vt:variant>
      <vt:variant>
        <vt:lpwstr/>
      </vt:variant>
      <vt:variant>
        <vt:lpwstr>_Toc261948807</vt:lpwstr>
      </vt:variant>
      <vt:variant>
        <vt:i4>4063337</vt:i4>
      </vt:variant>
      <vt:variant>
        <vt:i4>0</vt:i4>
      </vt:variant>
      <vt:variant>
        <vt:i4>0</vt:i4>
      </vt:variant>
      <vt:variant>
        <vt:i4>5</vt:i4>
      </vt:variant>
      <vt:variant>
        <vt:lpwstr>http://www.uncitral.org/uncitral/en/uncitral_texts/electronic_commerce/1996Model.html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 du rapport</dc:title>
  <dc:subject/>
  <dc:creator>Silvia Villar Cabrera</dc:creator>
  <cp:keywords/>
  <dc:description/>
  <cp:lastModifiedBy>Mulugeta Hiwot</cp:lastModifiedBy>
  <cp:revision>4</cp:revision>
  <cp:lastPrinted>2010-06-09T14:28:00Z</cp:lastPrinted>
  <dcterms:created xsi:type="dcterms:W3CDTF">2011-02-23T14:11:00Z</dcterms:created>
  <dcterms:modified xsi:type="dcterms:W3CDTF">2011-03-03T06:44:00Z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-286143910</vt:i4>
  </property>
  <property fmtid="{D5CDD505-2E9C-101B-9397-08002B2CF9AE}" pid="3" name="_NewReviewCycle">
    <vt:lpwstr/>
  </property>
  <property fmtid="{D5CDD505-2E9C-101B-9397-08002B2CF9AE}" pid="4" name="_EmailSubject">
    <vt:lpwstr>URGENT Web page SA-2.2</vt:lpwstr>
  </property>
  <property fmtid="{D5CDD505-2E9C-101B-9397-08002B2CF9AE}" pid="5" name="_AuthorEmail">
    <vt:lpwstr>Jean-Francois.LeBihan@itu.int</vt:lpwstr>
  </property>
  <property fmtid="{D5CDD505-2E9C-101B-9397-08002B2CF9AE}" pid="6" name="_AuthorEmailDisplayName">
    <vt:lpwstr>Le Bihan, Jean-Francois</vt:lpwstr>
  </property>
  <property fmtid="{D5CDD505-2E9C-101B-9397-08002B2CF9AE}" pid="7" name="_ReviewingToolsShownOnce">
    <vt:lpwstr/>
  </property>
</Properties>
</file>