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EE" w:rsidRPr="00F322B3" w:rsidRDefault="00645BEC" w:rsidP="00F322B3">
      <w:pPr>
        <w:spacing w:line="276" w:lineRule="auto"/>
        <w:jc w:val="both"/>
        <w:textAlignment w:val="top"/>
        <w:rPr>
          <w:i/>
          <w:sz w:val="22"/>
          <w:szCs w:val="22"/>
        </w:rPr>
      </w:pPr>
      <w:r w:rsidRPr="00B06BF0">
        <w:rPr>
          <w:i/>
          <w:sz w:val="22"/>
          <w:szCs w:val="22"/>
        </w:rPr>
        <w:t>Yaounde, 06 December 2011 (ECA</w:t>
      </w:r>
      <w:r w:rsidR="00AB28BE" w:rsidRPr="00B06BF0">
        <w:rPr>
          <w:i/>
          <w:sz w:val="22"/>
          <w:szCs w:val="22"/>
        </w:rPr>
        <w:t>, ITU</w:t>
      </w:r>
      <w:r w:rsidRPr="00F322B3">
        <w:rPr>
          <w:i/>
          <w:sz w:val="22"/>
          <w:szCs w:val="22"/>
        </w:rPr>
        <w:t>)</w:t>
      </w:r>
      <w:r w:rsidR="005712EE" w:rsidRPr="00F322B3">
        <w:rPr>
          <w:i/>
          <w:sz w:val="22"/>
          <w:szCs w:val="22"/>
        </w:rPr>
        <w:t xml:space="preserve"> </w:t>
      </w:r>
    </w:p>
    <w:p w:rsidR="005712EE" w:rsidRPr="00F322B3" w:rsidRDefault="005712EE" w:rsidP="00F322B3">
      <w:pPr>
        <w:spacing w:line="276" w:lineRule="auto"/>
        <w:jc w:val="both"/>
        <w:textAlignment w:val="top"/>
        <w:rPr>
          <w:sz w:val="22"/>
          <w:szCs w:val="22"/>
        </w:rPr>
      </w:pPr>
      <w:r w:rsidRPr="00F322B3">
        <w:rPr>
          <w:sz w:val="22"/>
          <w:szCs w:val="22"/>
        </w:rPr>
        <w:t xml:space="preserve">  </w:t>
      </w:r>
    </w:p>
    <w:p w:rsidR="00AB28BE" w:rsidRPr="00F322B3" w:rsidRDefault="00AB28BE" w:rsidP="00F322B3">
      <w:pPr>
        <w:spacing w:line="276" w:lineRule="auto"/>
        <w:jc w:val="both"/>
        <w:rPr>
          <w:sz w:val="22"/>
          <w:szCs w:val="22"/>
        </w:rPr>
      </w:pPr>
      <w:r w:rsidRPr="00F322B3">
        <w:rPr>
          <w:sz w:val="22"/>
          <w:szCs w:val="22"/>
        </w:rPr>
        <w:t xml:space="preserve">About a hundred telecommunications experts, legal specialists, parliamentarians, </w:t>
      </w:r>
      <w:r w:rsidR="00E758D1">
        <w:rPr>
          <w:sz w:val="22"/>
          <w:szCs w:val="22"/>
        </w:rPr>
        <w:t>members</w:t>
      </w:r>
      <w:r w:rsidRPr="00F322B3">
        <w:rPr>
          <w:sz w:val="22"/>
          <w:szCs w:val="22"/>
        </w:rPr>
        <w:t xml:space="preserve"> of security forces and other stakeholders in the cyber-security sector in Central Africa have recommended </w:t>
      </w:r>
      <w:r w:rsidR="00833A69">
        <w:rPr>
          <w:sz w:val="22"/>
          <w:szCs w:val="22"/>
        </w:rPr>
        <w:t>that</w:t>
      </w:r>
      <w:r w:rsidRPr="00F322B3">
        <w:rPr>
          <w:sz w:val="22"/>
          <w:szCs w:val="22"/>
        </w:rPr>
        <w:t xml:space="preserve"> member states of ECCAS and CEMAC continue </w:t>
      </w:r>
      <w:r w:rsidR="00833A69">
        <w:rPr>
          <w:sz w:val="22"/>
          <w:szCs w:val="22"/>
        </w:rPr>
        <w:t>to</w:t>
      </w:r>
      <w:r w:rsidRPr="00F322B3">
        <w:rPr>
          <w:sz w:val="22"/>
          <w:szCs w:val="22"/>
        </w:rPr>
        <w:t xml:space="preserve"> formula</w:t>
      </w:r>
      <w:r w:rsidR="00833A69">
        <w:rPr>
          <w:sz w:val="22"/>
          <w:szCs w:val="22"/>
        </w:rPr>
        <w:t>te</w:t>
      </w:r>
      <w:r w:rsidRPr="00F322B3">
        <w:rPr>
          <w:sz w:val="22"/>
          <w:szCs w:val="22"/>
        </w:rPr>
        <w:t xml:space="preserve"> and implement national policies and strategies for a transition to a sustainable and inclusive knowledge society by creating safe and trustworthy environment for the use of Information and Communication Technologies (ICTs)</w:t>
      </w:r>
      <w:r w:rsidR="00BC47AD">
        <w:rPr>
          <w:sz w:val="22"/>
          <w:szCs w:val="22"/>
        </w:rPr>
        <w:t xml:space="preserve"> and to make proposals on the African Union’s draft Convention on the implementation of a legal framework to build confidence in e-transactions on the continent.</w:t>
      </w:r>
    </w:p>
    <w:p w:rsidR="00F322B3" w:rsidRDefault="00F322B3" w:rsidP="00F322B3">
      <w:pPr>
        <w:spacing w:line="276" w:lineRule="auto"/>
        <w:jc w:val="both"/>
        <w:rPr>
          <w:sz w:val="22"/>
          <w:szCs w:val="22"/>
        </w:rPr>
      </w:pPr>
    </w:p>
    <w:p w:rsidR="00AB28BE" w:rsidRPr="00F322B3" w:rsidRDefault="00AB28BE" w:rsidP="00F322B3">
      <w:pPr>
        <w:spacing w:line="276" w:lineRule="auto"/>
        <w:jc w:val="both"/>
        <w:rPr>
          <w:sz w:val="22"/>
          <w:szCs w:val="22"/>
        </w:rPr>
      </w:pPr>
      <w:r w:rsidRPr="00F322B3">
        <w:rPr>
          <w:sz w:val="22"/>
          <w:szCs w:val="22"/>
        </w:rPr>
        <w:t xml:space="preserve">This is the major outcome of a workshop to develop and validate a harmonized legal framework to build confidence in Central Africa’s digital economy, jointly organized by the Economic Commission for Africa (ECA) and the International Telecommunications Union (ITU) in partnership with the General Secretariat of the Economic Community of Central African States (ECCAS) and the Central African Economic and Monetary Community (CEMAC). The workshop took place from 28 November to 2 December in Libreville, Gabon. </w:t>
      </w:r>
    </w:p>
    <w:p w:rsidR="00F322B3" w:rsidRDefault="00F322B3" w:rsidP="00F322B3">
      <w:pPr>
        <w:spacing w:line="276" w:lineRule="auto"/>
        <w:jc w:val="both"/>
        <w:rPr>
          <w:sz w:val="22"/>
          <w:szCs w:val="22"/>
        </w:rPr>
      </w:pPr>
    </w:p>
    <w:p w:rsidR="00AB28BE" w:rsidRPr="00F322B3" w:rsidRDefault="00AB28BE" w:rsidP="00F322B3">
      <w:pPr>
        <w:spacing w:line="276" w:lineRule="auto"/>
        <w:jc w:val="both"/>
        <w:rPr>
          <w:sz w:val="22"/>
          <w:szCs w:val="22"/>
        </w:rPr>
      </w:pPr>
      <w:r w:rsidRPr="00F322B3">
        <w:rPr>
          <w:sz w:val="22"/>
          <w:szCs w:val="22"/>
        </w:rPr>
        <w:t>Experts at the workshop also asked member states of CEMAC and ECCAS to conduct a broad regional and national consultation process involving all stakeholders (government, parliament, the private sector and civil society) to pave the way for the adoption of ECCAS model laws as well as CEMAC guidelines and the AU Convention on cyber security.</w:t>
      </w:r>
    </w:p>
    <w:p w:rsidR="00AB28BE" w:rsidRPr="00F322B3" w:rsidRDefault="00AB28BE" w:rsidP="00F322B3">
      <w:pPr>
        <w:spacing w:line="276" w:lineRule="auto"/>
        <w:jc w:val="both"/>
        <w:rPr>
          <w:sz w:val="22"/>
          <w:szCs w:val="22"/>
        </w:rPr>
      </w:pPr>
    </w:p>
    <w:p w:rsidR="00AB28BE" w:rsidRPr="00F322B3" w:rsidRDefault="00AB28BE" w:rsidP="00F322B3">
      <w:pPr>
        <w:spacing w:line="276" w:lineRule="auto"/>
        <w:jc w:val="both"/>
        <w:rPr>
          <w:sz w:val="22"/>
          <w:szCs w:val="22"/>
        </w:rPr>
      </w:pPr>
      <w:r w:rsidRPr="00F322B3">
        <w:rPr>
          <w:sz w:val="22"/>
          <w:szCs w:val="22"/>
        </w:rPr>
        <w:t xml:space="preserve">Opening the </w:t>
      </w:r>
      <w:r w:rsidR="00F322B3" w:rsidRPr="00F322B3">
        <w:rPr>
          <w:sz w:val="22"/>
          <w:szCs w:val="22"/>
        </w:rPr>
        <w:t>workshop</w:t>
      </w:r>
      <w:r w:rsidRPr="00F322B3">
        <w:rPr>
          <w:sz w:val="22"/>
          <w:szCs w:val="22"/>
        </w:rPr>
        <w:t xml:space="preserve">, the </w:t>
      </w:r>
      <w:r w:rsidR="00971C93">
        <w:rPr>
          <w:sz w:val="22"/>
          <w:szCs w:val="22"/>
        </w:rPr>
        <w:t>M</w:t>
      </w:r>
      <w:r w:rsidRPr="00F322B3">
        <w:rPr>
          <w:sz w:val="22"/>
          <w:szCs w:val="22"/>
        </w:rPr>
        <w:t>inister of the Relations with Parliament, Constitutional Bodies, Regional Integration and NEPAD, in charge of Human Rights of the Republic of Gabon H.E. Mr. Aurélien Ntoutoume called on the participating experts to propose a vision and referral community texts against cybercrime in the sub region that can serve within the national legal framework of member states.</w:t>
      </w:r>
      <w:r w:rsidR="00971C93">
        <w:rPr>
          <w:sz w:val="22"/>
          <w:szCs w:val="22"/>
        </w:rPr>
        <w:t xml:space="preserve"> He was representing the country’s Minister of Communication, Post and the Digital Economy, H.E. Mr.  Paul Ndong Nguema. </w:t>
      </w:r>
    </w:p>
    <w:p w:rsidR="00971C93" w:rsidRDefault="00971C93" w:rsidP="00F322B3">
      <w:pPr>
        <w:spacing w:line="276" w:lineRule="auto"/>
        <w:jc w:val="both"/>
        <w:rPr>
          <w:sz w:val="22"/>
          <w:szCs w:val="22"/>
        </w:rPr>
      </w:pPr>
    </w:p>
    <w:p w:rsidR="00AB28BE" w:rsidRPr="00F322B3" w:rsidRDefault="00AB28BE" w:rsidP="00F322B3">
      <w:pPr>
        <w:spacing w:line="276" w:lineRule="auto"/>
        <w:jc w:val="both"/>
        <w:rPr>
          <w:sz w:val="22"/>
          <w:szCs w:val="22"/>
        </w:rPr>
      </w:pPr>
      <w:r w:rsidRPr="00F322B3">
        <w:rPr>
          <w:sz w:val="22"/>
          <w:szCs w:val="22"/>
        </w:rPr>
        <w:t xml:space="preserve">On his part, the Secretary General of ECCAS, H.E. General Louis Sylvain-Goma said it would be illusory to undertake e-governance initiatives, e-commerce initiatives and e-health projects if the legal, organizational, human and technological aspects of the security of such networks were not well thought-out. </w:t>
      </w:r>
    </w:p>
    <w:p w:rsidR="00AB28BE" w:rsidRPr="00F322B3" w:rsidRDefault="00AB28BE" w:rsidP="00F322B3">
      <w:pPr>
        <w:spacing w:line="276" w:lineRule="auto"/>
        <w:jc w:val="both"/>
        <w:rPr>
          <w:sz w:val="22"/>
          <w:szCs w:val="22"/>
        </w:rPr>
      </w:pPr>
      <w:r w:rsidRPr="00F322B3">
        <w:rPr>
          <w:sz w:val="22"/>
          <w:szCs w:val="22"/>
        </w:rPr>
        <w:lastRenderedPageBreak/>
        <w:t>Taking the floor, the Director of the ECA’s Sub Regional Office for Central Africa (ECA/SRO-CA), Mr Emile Ahohe, said cybercrime generates a negative image of the countries in which it is orchestrated, turning off potential investors and wealth and job creators. This, he said, calls for interstate police and judicial cooperation to be given absolute priority, given the absence of physical boundaries in the cyberspace.</w:t>
      </w:r>
    </w:p>
    <w:p w:rsidR="00B06BF0" w:rsidRDefault="00B06BF0" w:rsidP="00F322B3">
      <w:pPr>
        <w:spacing w:line="276" w:lineRule="auto"/>
        <w:jc w:val="both"/>
        <w:rPr>
          <w:sz w:val="22"/>
          <w:szCs w:val="22"/>
          <w:lang w:val="fr-FR"/>
        </w:rPr>
      </w:pPr>
    </w:p>
    <w:p w:rsidR="00B06BF0" w:rsidRPr="00B06BF0" w:rsidRDefault="00B06BF0" w:rsidP="00B06BF0">
      <w:pPr>
        <w:spacing w:line="276" w:lineRule="auto"/>
        <w:jc w:val="both"/>
        <w:rPr>
          <w:sz w:val="22"/>
          <w:szCs w:val="22"/>
        </w:rPr>
      </w:pPr>
      <w:r w:rsidRPr="00E758D1">
        <w:rPr>
          <w:sz w:val="22"/>
          <w:szCs w:val="22"/>
        </w:rPr>
        <w:t>In the view of the ITU’s Representative for Central Africa and Madagascar, Mr Jean-Jacques M</w:t>
      </w:r>
      <w:r w:rsidR="00314B71" w:rsidRPr="00E758D1">
        <w:rPr>
          <w:sz w:val="22"/>
          <w:szCs w:val="22"/>
        </w:rPr>
        <w:t>assima</w:t>
      </w:r>
      <w:r w:rsidR="00971C93">
        <w:rPr>
          <w:sz w:val="22"/>
          <w:szCs w:val="22"/>
        </w:rPr>
        <w:t>-Landji</w:t>
      </w:r>
      <w:r w:rsidRPr="00E758D1">
        <w:rPr>
          <w:sz w:val="22"/>
          <w:szCs w:val="22"/>
        </w:rPr>
        <w:t>,</w:t>
      </w:r>
      <w:r w:rsidRPr="00E758D1">
        <w:rPr>
          <w:sz w:val="22"/>
          <w:szCs w:val="22"/>
          <w:lang/>
        </w:rPr>
        <w:t xml:space="preserve"> a harmonized</w:t>
      </w:r>
      <w:r w:rsidR="00971C93">
        <w:rPr>
          <w:sz w:val="22"/>
          <w:szCs w:val="22"/>
          <w:lang/>
        </w:rPr>
        <w:t xml:space="preserve"> and </w:t>
      </w:r>
      <w:r w:rsidR="006E68E4">
        <w:rPr>
          <w:sz w:val="22"/>
          <w:szCs w:val="22"/>
          <w:lang/>
        </w:rPr>
        <w:t xml:space="preserve">effective </w:t>
      </w:r>
      <w:r w:rsidR="006E68E4" w:rsidRPr="00E758D1">
        <w:rPr>
          <w:sz w:val="22"/>
          <w:szCs w:val="22"/>
          <w:lang/>
        </w:rPr>
        <w:t>legal</w:t>
      </w:r>
      <w:r w:rsidRPr="00E758D1">
        <w:rPr>
          <w:sz w:val="22"/>
          <w:szCs w:val="22"/>
          <w:lang/>
        </w:rPr>
        <w:t xml:space="preserve"> framework on cybersecurity </w:t>
      </w:r>
      <w:r w:rsidR="00971C93">
        <w:rPr>
          <w:sz w:val="22"/>
          <w:szCs w:val="22"/>
          <w:lang/>
        </w:rPr>
        <w:t xml:space="preserve">functional in all countries concerned </w:t>
      </w:r>
      <w:r w:rsidR="00314B71" w:rsidRPr="00E758D1">
        <w:rPr>
          <w:sz w:val="22"/>
          <w:szCs w:val="22"/>
          <w:lang/>
        </w:rPr>
        <w:t>would provide</w:t>
      </w:r>
      <w:r w:rsidRPr="00E758D1">
        <w:rPr>
          <w:sz w:val="22"/>
          <w:szCs w:val="22"/>
          <w:lang/>
        </w:rPr>
        <w:t xml:space="preserve"> a sound and coherent response for</w:t>
      </w:r>
      <w:r w:rsidR="00314B71" w:rsidRPr="00E758D1">
        <w:rPr>
          <w:sz w:val="22"/>
          <w:szCs w:val="22"/>
          <w:lang/>
        </w:rPr>
        <w:t xml:space="preserve"> a reliable cyberspace in the region that would ensure the creation of an inclusive and just Information Society to enable everyone benefit from all its advantages in total </w:t>
      </w:r>
      <w:r w:rsidR="009A45E6" w:rsidRPr="00E758D1">
        <w:rPr>
          <w:sz w:val="22"/>
          <w:szCs w:val="22"/>
          <w:lang/>
        </w:rPr>
        <w:t>security</w:t>
      </w:r>
      <w:r w:rsidRPr="00E758D1">
        <w:rPr>
          <w:sz w:val="22"/>
          <w:szCs w:val="22"/>
          <w:lang/>
        </w:rPr>
        <w:t>.</w:t>
      </w:r>
    </w:p>
    <w:p w:rsidR="00F322B3" w:rsidRPr="00B06BF0" w:rsidRDefault="00F322B3" w:rsidP="00F322B3">
      <w:pPr>
        <w:spacing w:line="276" w:lineRule="auto"/>
        <w:jc w:val="both"/>
        <w:rPr>
          <w:sz w:val="22"/>
          <w:szCs w:val="22"/>
        </w:rPr>
      </w:pPr>
    </w:p>
    <w:p w:rsidR="00AB28BE" w:rsidRPr="00F322B3" w:rsidRDefault="00AB28BE" w:rsidP="00F322B3">
      <w:pPr>
        <w:spacing w:line="276" w:lineRule="auto"/>
        <w:jc w:val="both"/>
        <w:rPr>
          <w:sz w:val="22"/>
          <w:szCs w:val="22"/>
        </w:rPr>
      </w:pPr>
      <w:r w:rsidRPr="00F322B3">
        <w:rPr>
          <w:sz w:val="22"/>
          <w:szCs w:val="22"/>
        </w:rPr>
        <w:t xml:space="preserve">According to the African Union Commission’s (AUC) Representative to the workshop, Mr. Moctar Yedaly, the African Union Convention should serve as an indispensable and referral tool to its member states and its law makers on issues of cybercrime and the protection of personal data. </w:t>
      </w:r>
    </w:p>
    <w:p w:rsidR="00F322B3" w:rsidRDefault="00F322B3" w:rsidP="00F322B3">
      <w:pPr>
        <w:spacing w:line="276" w:lineRule="auto"/>
        <w:jc w:val="both"/>
        <w:rPr>
          <w:sz w:val="22"/>
          <w:szCs w:val="22"/>
        </w:rPr>
      </w:pPr>
    </w:p>
    <w:p w:rsidR="00AB28BE" w:rsidRDefault="00AB28BE" w:rsidP="00F322B3">
      <w:pPr>
        <w:spacing w:line="276" w:lineRule="auto"/>
        <w:jc w:val="both"/>
        <w:rPr>
          <w:sz w:val="22"/>
          <w:szCs w:val="22"/>
        </w:rPr>
      </w:pPr>
      <w:r w:rsidRPr="00F322B3">
        <w:rPr>
          <w:sz w:val="22"/>
          <w:szCs w:val="22"/>
        </w:rPr>
        <w:t>Speaking on behalf of the President of the CEMAC Commission, Mr Isidore Ebola said as vehicles of economic, social and cultural development, ICTs should be given particular attention.</w:t>
      </w:r>
    </w:p>
    <w:p w:rsidR="00F322B3" w:rsidRPr="00F322B3" w:rsidRDefault="00F322B3" w:rsidP="00F322B3">
      <w:pPr>
        <w:spacing w:line="276" w:lineRule="auto"/>
        <w:jc w:val="both"/>
        <w:rPr>
          <w:sz w:val="22"/>
          <w:szCs w:val="22"/>
        </w:rPr>
      </w:pPr>
    </w:p>
    <w:p w:rsidR="00AB28BE" w:rsidRPr="00F322B3" w:rsidRDefault="00AB28BE" w:rsidP="00F322B3">
      <w:pPr>
        <w:spacing w:line="276" w:lineRule="auto"/>
        <w:jc w:val="both"/>
        <w:rPr>
          <w:sz w:val="22"/>
          <w:szCs w:val="22"/>
        </w:rPr>
      </w:pPr>
      <w:r w:rsidRPr="00F322B3">
        <w:rPr>
          <w:sz w:val="22"/>
          <w:szCs w:val="22"/>
        </w:rPr>
        <w:t>The Libreville workshop was a follow up of recommendations made by ECCAS Ministers of Telecommunications and ICTs after their meeting of 22 April 2010 in N’Djamena, in which they asked the Board of ECCAS Ministers to submit four policy documents including one on national harmonized policies and regulations as well as an action plan for the development of ICTs in Central Africa for the attention and approval or the ECCAS Heads of State and Government Conference.</w:t>
      </w:r>
      <w:r w:rsidR="00971C93">
        <w:rPr>
          <w:sz w:val="22"/>
          <w:szCs w:val="22"/>
        </w:rPr>
        <w:t xml:space="preserve"> A similar demand had been made in by the CEMAC Council of Ministers in 2008.</w:t>
      </w:r>
      <w:r w:rsidR="00E92170">
        <w:rPr>
          <w:sz w:val="22"/>
          <w:szCs w:val="22"/>
        </w:rPr>
        <w:t xml:space="preserve"> Meanwhile, participants at this recent workshop </w:t>
      </w:r>
      <w:r w:rsidR="00C4161B">
        <w:rPr>
          <w:sz w:val="22"/>
          <w:szCs w:val="22"/>
        </w:rPr>
        <w:t xml:space="preserve">have proposed a follow-up workshop to validate model laws that would be examined by a meeting of ministers in charge of ITCs in Central Africa scheduled for March 2012. </w:t>
      </w:r>
    </w:p>
    <w:p w:rsidR="00A122BC" w:rsidRPr="00F322B3" w:rsidRDefault="00A122BC" w:rsidP="00F322B3">
      <w:pPr>
        <w:spacing w:line="276" w:lineRule="auto"/>
        <w:jc w:val="both"/>
        <w:rPr>
          <w:sz w:val="22"/>
          <w:szCs w:val="22"/>
        </w:rPr>
      </w:pPr>
    </w:p>
    <w:p w:rsidR="001521F9" w:rsidRPr="00F322B3" w:rsidRDefault="001521F9" w:rsidP="00F322B3">
      <w:pPr>
        <w:spacing w:line="276" w:lineRule="auto"/>
        <w:jc w:val="both"/>
        <w:rPr>
          <w:sz w:val="22"/>
          <w:szCs w:val="22"/>
        </w:rPr>
      </w:pPr>
    </w:p>
    <w:sectPr w:rsidR="001521F9" w:rsidRPr="00F322B3" w:rsidSect="00381CAE">
      <w:headerReference w:type="default" r:id="rId8"/>
      <w:footerReference w:type="default" r:id="rId9"/>
      <w:pgSz w:w="12240" w:h="15840"/>
      <w:pgMar w:top="851" w:right="1440" w:bottom="1418" w:left="1440"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BE" w:rsidRDefault="000479BE" w:rsidP="00C3707E">
      <w:r>
        <w:separator/>
      </w:r>
    </w:p>
  </w:endnote>
  <w:endnote w:type="continuationSeparator" w:id="0">
    <w:p w:rsidR="000479BE" w:rsidRDefault="000479BE" w:rsidP="00C370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65" w:rsidRPr="005A78C1" w:rsidRDefault="00D91065" w:rsidP="00D91065">
    <w:pPr>
      <w:pStyle w:val="Footer"/>
      <w:rPr>
        <w:rFonts w:ascii="Arial Narrow" w:hAnsi="Arial Narrow" w:cs="Arial Narrow"/>
        <w:color w:val="0066FF"/>
        <w:sz w:val="15"/>
        <w:szCs w:val="15"/>
        <w:lang w:val="en-US"/>
      </w:rPr>
    </w:pPr>
    <w:r w:rsidRPr="00377AEC">
      <w:rPr>
        <w:rFonts w:ascii="Arial Narrow" w:hAnsi="Arial Narrow" w:cs="Arial Narrow"/>
        <w:bCs/>
        <w:sz w:val="15"/>
        <w:szCs w:val="15"/>
        <w:lang w:val="en-US"/>
      </w:rPr>
      <w:t>ECA/SRO-CA, P.O. Box 14935 Yaoundé, Cameroon</w:t>
    </w:r>
    <w:r w:rsidRPr="005A78C1">
      <w:rPr>
        <w:rFonts w:ascii="Arial Narrow" w:hAnsi="Arial Narrow" w:cs="Arial Narrow"/>
        <w:b/>
        <w:bCs/>
        <w:sz w:val="15"/>
        <w:szCs w:val="15"/>
        <w:lang w:val="en-US"/>
      </w:rPr>
      <w:t xml:space="preserve">; Tél: </w:t>
    </w:r>
    <w:r w:rsidRPr="005A78C1">
      <w:rPr>
        <w:rFonts w:ascii="Arial Narrow" w:hAnsi="Arial Narrow" w:cs="Arial Narrow"/>
        <w:sz w:val="15"/>
        <w:szCs w:val="15"/>
        <w:lang w:val="en-US"/>
      </w:rPr>
      <w:t xml:space="preserve">(237) 22 23 14 61; </w:t>
    </w:r>
    <w:r w:rsidRPr="005A78C1">
      <w:rPr>
        <w:rFonts w:ascii="Arial Narrow" w:hAnsi="Arial Narrow" w:cs="Arial Narrow"/>
        <w:b/>
        <w:bCs/>
        <w:sz w:val="15"/>
        <w:szCs w:val="15"/>
        <w:lang w:val="en-US"/>
      </w:rPr>
      <w:t xml:space="preserve">Fax: </w:t>
    </w:r>
    <w:r w:rsidRPr="005A78C1">
      <w:rPr>
        <w:rFonts w:ascii="Arial Narrow" w:hAnsi="Arial Narrow" w:cs="Arial Narrow"/>
        <w:sz w:val="15"/>
        <w:szCs w:val="15"/>
        <w:lang w:val="en-US"/>
      </w:rPr>
      <w:t xml:space="preserve">(237) 22 23 31 85; </w:t>
    </w:r>
    <w:r w:rsidRPr="005A78C1">
      <w:rPr>
        <w:rFonts w:ascii="Arial Narrow" w:hAnsi="Arial Narrow" w:cs="Arial Narrow"/>
        <w:b/>
        <w:bCs/>
        <w:sz w:val="15"/>
        <w:szCs w:val="15"/>
        <w:lang w:val="en-US"/>
      </w:rPr>
      <w:t xml:space="preserve">E-mail: </w:t>
    </w:r>
    <w:r w:rsidRPr="005A78C1">
      <w:rPr>
        <w:rFonts w:ascii="Arial Narrow" w:hAnsi="Arial Narrow" w:cs="Arial Narrow"/>
        <w:color w:val="0000FF"/>
        <w:sz w:val="15"/>
        <w:szCs w:val="15"/>
        <w:lang w:val="en-US"/>
      </w:rPr>
      <w:t>sroca@uneca.org;</w:t>
    </w:r>
    <w:r w:rsidRPr="005A78C1">
      <w:rPr>
        <w:rFonts w:ascii="Arial Narrow" w:hAnsi="Arial Narrow" w:cs="Arial Narrow"/>
        <w:sz w:val="15"/>
        <w:szCs w:val="15"/>
        <w:lang w:val="en-US"/>
      </w:rPr>
      <w:t xml:space="preserve"> </w:t>
    </w:r>
    <w:r w:rsidRPr="005A78C1">
      <w:rPr>
        <w:rFonts w:ascii="Arial Narrow" w:hAnsi="Arial Narrow" w:cs="Arial Narrow"/>
        <w:b/>
        <w:bCs/>
        <w:sz w:val="15"/>
        <w:szCs w:val="15"/>
        <w:lang w:val="en-US"/>
      </w:rPr>
      <w:t xml:space="preserve">Web: </w:t>
    </w:r>
    <w:hyperlink r:id="rId1" w:history="1">
      <w:r w:rsidRPr="005A78C1">
        <w:rPr>
          <w:rStyle w:val="Hyperlink"/>
          <w:rFonts w:ascii="Arial Narrow" w:hAnsi="Arial Narrow" w:cs="Arial Narrow"/>
          <w:color w:val="0000FF"/>
          <w:sz w:val="15"/>
          <w:szCs w:val="15"/>
          <w:lang w:val="en-US"/>
        </w:rPr>
        <w:t>www.uneca.or</w:t>
      </w:r>
      <w:r w:rsidRPr="005A78C1">
        <w:rPr>
          <w:rStyle w:val="Hyperlink"/>
          <w:rFonts w:ascii="Arial Narrow" w:hAnsi="Arial Narrow" w:cs="Arial Narrow"/>
          <w:sz w:val="15"/>
          <w:szCs w:val="15"/>
          <w:lang w:val="en-US"/>
        </w:rPr>
        <w:t>g/fr/sro/ac/</w:t>
      </w:r>
    </w:hyperlink>
  </w:p>
  <w:p w:rsidR="00D91065" w:rsidRPr="005A78C1" w:rsidRDefault="00D91065" w:rsidP="00D91065">
    <w:pPr>
      <w:pStyle w:val="Footer"/>
      <w:rPr>
        <w:sz w:val="15"/>
        <w:szCs w:val="15"/>
        <w:lang w:val="en-US"/>
      </w:rPr>
    </w:pPr>
  </w:p>
  <w:p w:rsidR="00D91065" w:rsidRPr="005A78C1" w:rsidRDefault="00D91065" w:rsidP="00D91065">
    <w:pPr>
      <w:rPr>
        <w:rFonts w:ascii="Arial Narrow" w:hAnsi="Arial Narrow" w:cs="Arial Narrow"/>
        <w:color w:val="0066FF"/>
        <w:sz w:val="15"/>
        <w:szCs w:val="15"/>
      </w:rPr>
    </w:pPr>
    <w:r w:rsidRPr="0047552A">
      <w:rPr>
        <w:rFonts w:ascii="Arial Narrow" w:hAnsi="Arial Narrow" w:cs="Arial Narrow"/>
        <w:sz w:val="15"/>
        <w:szCs w:val="15"/>
      </w:rPr>
      <w:t xml:space="preserve">ITU BDZ, BP 11017 Yaoundé Cameroon; </w:t>
    </w:r>
    <w:r w:rsidRPr="0047552A">
      <w:rPr>
        <w:rFonts w:ascii="Arial Narrow" w:hAnsi="Arial Narrow" w:cs="Arial Narrow"/>
        <w:b/>
        <w:sz w:val="15"/>
        <w:szCs w:val="15"/>
      </w:rPr>
      <w:t>Tel</w:t>
    </w:r>
    <w:r w:rsidRPr="0047552A">
      <w:rPr>
        <w:rFonts w:ascii="Arial Narrow" w:hAnsi="Arial Narrow" w:cs="Arial Narrow"/>
        <w:sz w:val="15"/>
        <w:szCs w:val="15"/>
      </w:rPr>
      <w:t xml:space="preserve">: +237 22 22 9291/2; </w:t>
    </w:r>
    <w:r w:rsidRPr="0047552A">
      <w:rPr>
        <w:rFonts w:ascii="Arial Narrow" w:hAnsi="Arial Narrow" w:cs="Arial Narrow"/>
        <w:b/>
        <w:sz w:val="15"/>
        <w:szCs w:val="15"/>
      </w:rPr>
      <w:t>Fax</w:t>
    </w:r>
    <w:r w:rsidRPr="0047552A">
      <w:rPr>
        <w:rFonts w:ascii="Arial Narrow" w:hAnsi="Arial Narrow" w:cs="Arial Narrow"/>
        <w:sz w:val="15"/>
        <w:szCs w:val="15"/>
      </w:rPr>
      <w:t xml:space="preserve">: +237 22 22 9297; </w:t>
    </w:r>
    <w:r w:rsidRPr="0047552A">
      <w:rPr>
        <w:rFonts w:ascii="Arial Narrow" w:hAnsi="Arial Narrow" w:cs="Arial Narrow"/>
        <w:b/>
        <w:sz w:val="15"/>
        <w:szCs w:val="15"/>
      </w:rPr>
      <w:t>E-mail</w:t>
    </w:r>
    <w:r w:rsidRPr="0047552A">
      <w:rPr>
        <w:rFonts w:ascii="Arial Narrow" w:hAnsi="Arial Narrow" w:cs="Arial Narrow"/>
        <w:color w:val="0066FF"/>
        <w:sz w:val="15"/>
        <w:szCs w:val="15"/>
      </w:rPr>
      <w:t xml:space="preserve">: </w:t>
    </w:r>
    <w:hyperlink r:id="rId2" w:history="1">
      <w:r w:rsidRPr="0047552A">
        <w:rPr>
          <w:rStyle w:val="Hyperlink"/>
          <w:rFonts w:ascii="Arial Narrow" w:hAnsi="Arial Narrow" w:cs="Arial Narrow"/>
          <w:sz w:val="15"/>
          <w:szCs w:val="15"/>
        </w:rPr>
        <w:t>itu-yaounde@itu.int</w:t>
      </w:r>
    </w:hyperlink>
    <w:r w:rsidRPr="0047552A">
      <w:rPr>
        <w:rFonts w:ascii="Arial Narrow" w:hAnsi="Arial Narrow" w:cs="Arial Narrow"/>
        <w:color w:val="0066FF"/>
        <w:sz w:val="15"/>
        <w:szCs w:val="15"/>
      </w:rPr>
      <w:t xml:space="preserve">  </w:t>
    </w:r>
    <w:r w:rsidRPr="0047552A">
      <w:rPr>
        <w:rFonts w:ascii="Arial Narrow" w:hAnsi="Arial Narrow" w:cs="Arial Narrow"/>
        <w:b/>
        <w:sz w:val="15"/>
        <w:szCs w:val="15"/>
      </w:rPr>
      <w:t>Web</w:t>
    </w:r>
    <w:r w:rsidRPr="0047552A">
      <w:rPr>
        <w:rFonts w:ascii="Arial Narrow" w:hAnsi="Arial Narrow" w:cs="Arial Narrow"/>
        <w:sz w:val="15"/>
        <w:szCs w:val="15"/>
      </w:rPr>
      <w:t>:</w:t>
    </w:r>
    <w:r w:rsidRPr="0047552A">
      <w:rPr>
        <w:rFonts w:ascii="Arial Narrow" w:hAnsi="Arial Narrow" w:cs="Arial Narrow"/>
        <w:color w:val="0066FF"/>
        <w:sz w:val="15"/>
        <w:szCs w:val="15"/>
      </w:rPr>
      <w:t xml:space="preserve"> </w:t>
    </w:r>
    <w:hyperlink r:id="rId3" w:history="1">
      <w:r w:rsidRPr="0047552A">
        <w:rPr>
          <w:rStyle w:val="Hyperlink"/>
          <w:rFonts w:ascii="Arial Narrow" w:hAnsi="Arial Narrow" w:cs="Arial Narrow"/>
          <w:sz w:val="15"/>
          <w:szCs w:val="15"/>
        </w:rPr>
        <w:t>http://www.itu.int/ITU-D/afr/CMS/index.asp</w:t>
      </w:r>
    </w:hyperlink>
  </w:p>
  <w:p w:rsidR="005A78C1" w:rsidRPr="005A78C1" w:rsidRDefault="005A78C1">
    <w:pPr>
      <w:rPr>
        <w:rFonts w:ascii="Arial Narrow" w:hAnsi="Arial Narrow" w:cs="Arial Narrow"/>
        <w:color w:val="0066FF"/>
        <w:sz w:val="16"/>
        <w:szCs w:val="16"/>
      </w:rPr>
    </w:pPr>
  </w:p>
  <w:p w:rsidR="001521F9" w:rsidRPr="005A78C1" w:rsidRDefault="001521F9">
    <w:pPr>
      <w:rPr>
        <w:rFonts w:eastAsia="Arial Unicode MS"/>
        <w:color w:val="000000"/>
        <w:kern w:val="28"/>
        <w:sz w:val="16"/>
        <w:szCs w:val="16"/>
      </w:rPr>
    </w:pPr>
  </w:p>
  <w:p w:rsidR="001521F9" w:rsidRPr="005A78C1" w:rsidRDefault="001521F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BE" w:rsidRDefault="000479BE" w:rsidP="00C3707E">
      <w:r>
        <w:separator/>
      </w:r>
    </w:p>
  </w:footnote>
  <w:footnote w:type="continuationSeparator" w:id="0">
    <w:p w:rsidR="000479BE" w:rsidRDefault="000479BE" w:rsidP="00C37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97" w:rsidRPr="00E85348" w:rsidRDefault="001521F9" w:rsidP="001B4797">
    <w:pPr>
      <w:jc w:val="both"/>
      <w:rPr>
        <w:rFonts w:ascii="Arial" w:hAnsi="Arial" w:cs="Arial"/>
        <w:b/>
        <w:i/>
        <w:color w:val="0070C0"/>
        <w:spacing w:val="-3"/>
        <w:sz w:val="26"/>
        <w:szCs w:val="26"/>
      </w:rPr>
    </w:pPr>
    <w:r w:rsidRPr="00740D71">
      <w:t xml:space="preserve">           </w:t>
    </w:r>
  </w:p>
  <w:tbl>
    <w:tblPr>
      <w:tblpPr w:leftFromText="141" w:rightFromText="141" w:vertAnchor="text" w:horzAnchor="page" w:tblpX="6210" w:tblpY="65"/>
      <w:tblW w:w="4928" w:type="dxa"/>
      <w:tblCellMar>
        <w:left w:w="0" w:type="dxa"/>
        <w:right w:w="0" w:type="dxa"/>
      </w:tblCellMar>
      <w:tblLook w:val="0000"/>
    </w:tblPr>
    <w:tblGrid>
      <w:gridCol w:w="2574"/>
      <w:gridCol w:w="2354"/>
    </w:tblGrid>
    <w:tr w:rsidR="001B4797" w:rsidRPr="00640DCA" w:rsidTr="00405DF1">
      <w:trPr>
        <w:trHeight w:val="831"/>
      </w:trPr>
      <w:tc>
        <w:tcPr>
          <w:tcW w:w="2574" w:type="dxa"/>
          <w:tcBorders>
            <w:top w:val="single" w:sz="8" w:space="0" w:color="auto"/>
            <w:left w:val="single" w:sz="8" w:space="0" w:color="auto"/>
          </w:tcBorders>
          <w:shd w:val="clear" w:color="auto" w:fill="auto"/>
          <w:tcMar>
            <w:top w:w="0" w:type="dxa"/>
            <w:left w:w="108" w:type="dxa"/>
            <w:bottom w:w="0" w:type="dxa"/>
            <w:right w:w="108" w:type="dxa"/>
          </w:tcMar>
          <w:vAlign w:val="center"/>
        </w:tcPr>
        <w:p w:rsidR="001B4797" w:rsidRPr="00CD21D3" w:rsidRDefault="001B4797" w:rsidP="00405DF1">
          <w:pPr>
            <w:spacing w:before="120" w:after="120"/>
            <w:rPr>
              <w:b/>
              <w:noProof/>
            </w:rPr>
          </w:pPr>
          <w:r>
            <w:rPr>
              <w:b/>
              <w:noProof/>
            </w:rPr>
            <w:drawing>
              <wp:inline distT="0" distB="0" distL="0" distR="0">
                <wp:extent cx="946150" cy="397510"/>
                <wp:effectExtent l="19050" t="0" r="6350" b="0"/>
                <wp:docPr id="17" name="Picture 1" descr="HIP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SSA"/>
                        <pic:cNvPicPr>
                          <a:picLocks noChangeAspect="1" noChangeArrowheads="1"/>
                        </pic:cNvPicPr>
                      </pic:nvPicPr>
                      <pic:blipFill>
                        <a:blip r:embed="rId1"/>
                        <a:srcRect/>
                        <a:stretch>
                          <a:fillRect/>
                        </a:stretch>
                      </pic:blipFill>
                      <pic:spPr bwMode="auto">
                        <a:xfrm>
                          <a:off x="0" y="0"/>
                          <a:ext cx="946150" cy="397510"/>
                        </a:xfrm>
                        <a:prstGeom prst="rect">
                          <a:avLst/>
                        </a:prstGeom>
                        <a:noFill/>
                        <a:ln w="9525">
                          <a:noFill/>
                          <a:miter lim="800000"/>
                          <a:headEnd/>
                          <a:tailEnd/>
                        </a:ln>
                      </pic:spPr>
                    </pic:pic>
                  </a:graphicData>
                </a:graphic>
              </wp:inline>
            </w:drawing>
          </w:r>
          <w:r>
            <w:rPr>
              <w:b/>
              <w:noProof/>
            </w:rPr>
            <w:drawing>
              <wp:inline distT="0" distB="0" distL="0" distR="0">
                <wp:extent cx="481965" cy="349885"/>
                <wp:effectExtent l="19050" t="0" r="0" b="0"/>
                <wp:docPr id="6" name="Picture 3" descr="A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
                        <pic:cNvPicPr>
                          <a:picLocks noChangeAspect="1" noChangeArrowheads="1"/>
                        </pic:cNvPicPr>
                      </pic:nvPicPr>
                      <pic:blipFill>
                        <a:blip r:embed="rId2"/>
                        <a:srcRect/>
                        <a:stretch>
                          <a:fillRect/>
                        </a:stretch>
                      </pic:blipFill>
                      <pic:spPr bwMode="auto">
                        <a:xfrm>
                          <a:off x="0" y="0"/>
                          <a:ext cx="481965" cy="349885"/>
                        </a:xfrm>
                        <a:prstGeom prst="rect">
                          <a:avLst/>
                        </a:prstGeom>
                        <a:noFill/>
                      </pic:spPr>
                    </pic:pic>
                  </a:graphicData>
                </a:graphic>
              </wp:inline>
            </w:drawing>
          </w:r>
        </w:p>
      </w:tc>
      <w:tc>
        <w:tcPr>
          <w:tcW w:w="2354" w:type="dxa"/>
          <w:tcBorders>
            <w:top w:val="single" w:sz="8" w:space="0" w:color="auto"/>
            <w:left w:val="nil"/>
            <w:right w:val="single" w:sz="8" w:space="0" w:color="auto"/>
          </w:tcBorders>
          <w:shd w:val="clear" w:color="auto" w:fill="auto"/>
        </w:tcPr>
        <w:p w:rsidR="001B4797" w:rsidRPr="00640DCA" w:rsidRDefault="001B4797" w:rsidP="00405DF1">
          <w:pPr>
            <w:spacing w:before="60"/>
            <w:ind w:left="142"/>
            <w:rPr>
              <w:rFonts w:ascii="Cambria" w:hAnsi="Cambria"/>
              <w:b/>
              <w:sz w:val="18"/>
              <w:szCs w:val="18"/>
            </w:rPr>
          </w:pPr>
          <w:r w:rsidRPr="00640DCA">
            <w:rPr>
              <w:rFonts w:ascii="Cambria" w:hAnsi="Cambria"/>
              <w:b/>
              <w:sz w:val="18"/>
              <w:szCs w:val="18"/>
            </w:rPr>
            <w:t>ITU-EC Project</w:t>
          </w:r>
        </w:p>
        <w:p w:rsidR="001B4797" w:rsidRPr="00CD21D3" w:rsidRDefault="001B4797" w:rsidP="00405DF1">
          <w:pPr>
            <w:spacing w:before="60"/>
            <w:ind w:left="142"/>
            <w:rPr>
              <w:rFonts w:ascii="Cambria" w:hAnsi="Cambria"/>
              <w:b/>
              <w:i/>
              <w:sz w:val="18"/>
              <w:szCs w:val="18"/>
            </w:rPr>
          </w:pPr>
          <w:r w:rsidRPr="00640DCA">
            <w:rPr>
              <w:rFonts w:ascii="Cambria" w:hAnsi="Cambria"/>
              <w:b/>
              <w:i/>
              <w:sz w:val="18"/>
              <w:szCs w:val="18"/>
            </w:rPr>
            <w:t>Harmonized ICT Policies in the ACP countries</w:t>
          </w:r>
        </w:p>
      </w:tc>
    </w:tr>
    <w:tr w:rsidR="001B4797" w:rsidRPr="00640DCA" w:rsidTr="00405DF1">
      <w:trPr>
        <w:trHeight w:val="252"/>
      </w:trPr>
      <w:tc>
        <w:tcPr>
          <w:tcW w:w="4928" w:type="dxa"/>
          <w:gridSpan w:val="2"/>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4797" w:rsidRPr="00640DCA" w:rsidRDefault="00541A56" w:rsidP="00405DF1">
          <w:pPr>
            <w:spacing w:before="60" w:after="120"/>
            <w:ind w:left="142"/>
            <w:jc w:val="center"/>
            <w:rPr>
              <w:rFonts w:ascii="Cambria" w:hAnsi="Cambria"/>
              <w:b/>
              <w:sz w:val="18"/>
              <w:szCs w:val="18"/>
            </w:rPr>
          </w:pPr>
          <w:hyperlink r:id="rId3" w:history="1">
            <w:r w:rsidR="001B4797" w:rsidRPr="00640DCA">
              <w:rPr>
                <w:rStyle w:val="Hyperlink"/>
                <w:rFonts w:ascii="Cambria" w:hAnsi="Cambria"/>
                <w:sz w:val="18"/>
                <w:szCs w:val="18"/>
              </w:rPr>
              <w:t>www.itu.int/ITU-D/projects/ITU_EC_ACP/</w:t>
            </w:r>
          </w:hyperlink>
        </w:p>
      </w:tc>
    </w:tr>
    <w:tr w:rsidR="001B4797" w:rsidRPr="00640DCA" w:rsidTr="00405DF1">
      <w:trPr>
        <w:trHeight w:val="137"/>
      </w:trPr>
      <w:tc>
        <w:tcPr>
          <w:tcW w:w="4928" w:type="dxa"/>
          <w:gridSpan w:val="2"/>
          <w:tcBorders>
            <w:top w:val="single" w:sz="8" w:space="0" w:color="auto"/>
            <w:left w:val="single" w:sz="8" w:space="0" w:color="auto"/>
            <w:bottom w:val="single" w:sz="8" w:space="0" w:color="auto"/>
            <w:right w:val="single" w:sz="8" w:space="0" w:color="auto"/>
          </w:tcBorders>
          <w:shd w:val="clear" w:color="auto" w:fill="008000"/>
          <w:tcMar>
            <w:top w:w="0" w:type="dxa"/>
            <w:left w:w="108" w:type="dxa"/>
            <w:bottom w:w="0" w:type="dxa"/>
            <w:right w:w="108" w:type="dxa"/>
          </w:tcMar>
        </w:tcPr>
        <w:p w:rsidR="001B4797" w:rsidRPr="00640DCA" w:rsidRDefault="001B4797" w:rsidP="00405DF1">
          <w:pPr>
            <w:spacing w:before="120" w:after="120"/>
            <w:jc w:val="center"/>
            <w:rPr>
              <w:rFonts w:ascii="Cambria" w:hAnsi="Cambria"/>
              <w:b/>
              <w:bCs/>
              <w:i/>
              <w:color w:val="FFFFFF"/>
              <w:sz w:val="18"/>
              <w:szCs w:val="18"/>
            </w:rPr>
          </w:pPr>
          <w:r w:rsidRPr="00640DCA">
            <w:rPr>
              <w:rFonts w:ascii="Cambria" w:hAnsi="Cambria"/>
              <w:b/>
              <w:bCs/>
              <w:i/>
              <w:color w:val="FFFFFF"/>
              <w:sz w:val="18"/>
              <w:szCs w:val="18"/>
            </w:rPr>
            <w:t>Harmonization of the ICT Policies in Sub-Sahara Africa</w:t>
          </w:r>
          <w:r>
            <w:rPr>
              <w:rFonts w:ascii="Cambria" w:hAnsi="Cambria"/>
              <w:b/>
              <w:bCs/>
              <w:i/>
              <w:color w:val="FFFFFF"/>
              <w:sz w:val="18"/>
              <w:szCs w:val="18"/>
            </w:rPr>
            <w:br/>
          </w:r>
          <w:r w:rsidRPr="00640DCA">
            <w:rPr>
              <w:rFonts w:ascii="Cambria" w:hAnsi="Cambria"/>
              <w:b/>
              <w:bCs/>
              <w:i/>
              <w:color w:val="FFFFFF"/>
              <w:sz w:val="18"/>
              <w:szCs w:val="18"/>
            </w:rPr>
            <w:t xml:space="preserve"> (HIPSSA)</w:t>
          </w:r>
        </w:p>
      </w:tc>
    </w:tr>
  </w:tbl>
  <w:p w:rsidR="001B4797" w:rsidRPr="00E85348" w:rsidRDefault="00541A56" w:rsidP="001B4797">
    <w:pPr>
      <w:jc w:val="both"/>
      <w:rPr>
        <w:rFonts w:ascii="Arial" w:hAnsi="Arial" w:cs="Arial"/>
        <w:b/>
        <w:i/>
        <w:color w:val="0070C0"/>
        <w:spacing w:val="-3"/>
        <w:sz w:val="26"/>
        <w:szCs w:val="26"/>
      </w:rPr>
    </w:pPr>
    <w:r w:rsidRPr="00541A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25pt;margin-top:1.15pt;width:63.15pt;height:54.5pt;z-index:251662336;mso-position-horizontal-relative:text;mso-position-vertical-relative:text">
          <v:imagedata r:id="rId4" o:title=""/>
          <w10:wrap type="square"/>
        </v:shape>
        <o:OLEObject Type="Embed" ProgID="PBrush" ShapeID="_x0000_s2052" DrawAspect="Content" ObjectID="_1384706570" r:id="rId5"/>
      </w:pict>
    </w:r>
  </w:p>
  <w:p w:rsidR="001B4797" w:rsidRPr="00E85348" w:rsidRDefault="001B4797" w:rsidP="001B4797">
    <w:pPr>
      <w:jc w:val="both"/>
      <w:rPr>
        <w:rFonts w:ascii="Arial" w:hAnsi="Arial" w:cs="Arial"/>
        <w:b/>
        <w:i/>
        <w:color w:val="0070C0"/>
        <w:spacing w:val="-3"/>
        <w:sz w:val="26"/>
        <w:szCs w:val="26"/>
      </w:rPr>
    </w:pPr>
  </w:p>
  <w:p w:rsidR="001B4797" w:rsidRPr="00E85348" w:rsidRDefault="001B4797" w:rsidP="001B4797">
    <w:pPr>
      <w:jc w:val="both"/>
      <w:rPr>
        <w:rFonts w:ascii="Arial" w:hAnsi="Arial" w:cs="Arial"/>
        <w:b/>
        <w:i/>
        <w:color w:val="0070C0"/>
        <w:spacing w:val="-3"/>
        <w:sz w:val="26"/>
        <w:szCs w:val="26"/>
      </w:rPr>
    </w:pPr>
  </w:p>
  <w:p w:rsidR="001B4797" w:rsidRPr="00E85348" w:rsidRDefault="00541A56" w:rsidP="001B4797">
    <w:pPr>
      <w:jc w:val="both"/>
      <w:rPr>
        <w:rFonts w:ascii="Arial" w:hAnsi="Arial" w:cs="Arial"/>
        <w:b/>
        <w:i/>
        <w:color w:val="0070C0"/>
        <w:spacing w:val="-3"/>
        <w:sz w:val="26"/>
        <w:szCs w:val="26"/>
      </w:rPr>
    </w:pPr>
    <w:r w:rsidRPr="00541A56">
      <w:rPr>
        <w:noProof/>
        <w:lang w:val="fr-FR" w:eastAsia="fr-FR"/>
      </w:rPr>
      <w:pict>
        <v:shapetype id="_x0000_t202" coordsize="21600,21600" o:spt="202" path="m,l,21600r21600,l21600,xe">
          <v:stroke joinstyle="miter"/>
          <v:path gradientshapeok="t" o:connecttype="rect"/>
        </v:shapetype>
        <v:shape id="Text Box 1" o:spid="_x0000_s2053" type="#_x0000_t202" style="position:absolute;left:0;text-align:left;margin-left:-32.2pt;margin-top:10.8pt;width:3in;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" stroked="f">
          <v:textbox>
            <w:txbxContent>
              <w:p w:rsidR="00FF687A" w:rsidRPr="00E85348" w:rsidRDefault="00FF687A" w:rsidP="00FF687A">
                <w:pPr>
                  <w:jc w:val="both"/>
                  <w:rPr>
                    <w:rFonts w:ascii="Arial" w:hAnsi="Arial" w:cs="Arial"/>
                    <w:b/>
                    <w:color w:val="0070C0"/>
                    <w:spacing w:val="-3"/>
                    <w:sz w:val="18"/>
                    <w:szCs w:val="18"/>
                    <w:lang w:val="fr-CM"/>
                  </w:rPr>
                </w:pPr>
                <w:r w:rsidRPr="00E85348">
                  <w:rPr>
                    <w:rFonts w:ascii="Arial" w:hAnsi="Arial" w:cs="Arial"/>
                    <w:b/>
                    <w:color w:val="0070C0"/>
                    <w:spacing w:val="-3"/>
                    <w:sz w:val="18"/>
                    <w:szCs w:val="18"/>
                    <w:lang w:val="fr-CM"/>
                  </w:rPr>
                  <w:t>COMMISSION ECONOMIQUE POUR L’AFRIQUE</w:t>
                </w:r>
              </w:p>
              <w:p w:rsidR="00FF687A" w:rsidRPr="00E85348" w:rsidRDefault="00FF687A" w:rsidP="00FF687A">
                <w:pPr>
                  <w:spacing w:line="360" w:lineRule="auto"/>
                  <w:jc w:val="both"/>
                  <w:rPr>
                    <w:rFonts w:ascii="Arial" w:hAnsi="Arial" w:cs="Arial"/>
                    <w:bCs/>
                    <w:spacing w:val="-3"/>
                    <w:sz w:val="18"/>
                    <w:szCs w:val="18"/>
                    <w:lang w:val="fr-CM"/>
                  </w:rPr>
                </w:pPr>
                <w:r w:rsidRPr="00E85348">
                  <w:rPr>
                    <w:rFonts w:ascii="Arial" w:hAnsi="Arial" w:cs="Arial"/>
                    <w:b/>
                    <w:color w:val="0070C0"/>
                    <w:spacing w:val="-3"/>
                    <w:sz w:val="18"/>
                    <w:szCs w:val="18"/>
                    <w:lang w:val="fr-CM"/>
                  </w:rPr>
                  <w:t>Bureau Sous Régional pour l’Afrique Centrale</w:t>
                </w:r>
              </w:p>
              <w:p w:rsidR="001521F9" w:rsidRPr="00FF687A" w:rsidRDefault="001521F9" w:rsidP="00FF687A">
                <w:pPr>
                  <w:rPr>
                    <w:szCs w:val="20"/>
                    <w:lang w:val="fr-CM"/>
                  </w:rPr>
                </w:pPr>
              </w:p>
            </w:txbxContent>
          </v:textbox>
        </v:shape>
      </w:pict>
    </w:r>
  </w:p>
  <w:p w:rsidR="001B4797" w:rsidRPr="00E85348" w:rsidRDefault="001B4797" w:rsidP="001B4797">
    <w:pPr>
      <w:jc w:val="both"/>
      <w:rPr>
        <w:rFonts w:ascii="Arial" w:hAnsi="Arial" w:cs="Arial"/>
        <w:b/>
        <w:i/>
        <w:color w:val="0070C0"/>
        <w:spacing w:val="-3"/>
        <w:sz w:val="26"/>
        <w:szCs w:val="26"/>
      </w:rPr>
    </w:pPr>
  </w:p>
  <w:p w:rsidR="001B4797" w:rsidRPr="00E85348" w:rsidRDefault="001B4797" w:rsidP="001B4797">
    <w:pPr>
      <w:jc w:val="both"/>
      <w:rPr>
        <w:rFonts w:ascii="Arial" w:hAnsi="Arial" w:cs="Arial"/>
        <w:b/>
        <w:i/>
        <w:color w:val="0070C0"/>
        <w:spacing w:val="-3"/>
        <w:sz w:val="26"/>
        <w:szCs w:val="26"/>
      </w:rPr>
    </w:pPr>
  </w:p>
  <w:p w:rsidR="001521F9" w:rsidRPr="00FF687A" w:rsidRDefault="001521F9" w:rsidP="00685CB3">
    <w:pPr>
      <w:pStyle w:val="Header"/>
      <w:rPr>
        <w:lang w:val="en-US"/>
      </w:rPr>
    </w:pPr>
  </w:p>
  <w:p w:rsidR="001521F9" w:rsidRPr="00B06BF0" w:rsidRDefault="000E6AE8" w:rsidP="00FF687A">
    <w:pPr>
      <w:pStyle w:val="Header"/>
      <w:ind w:firstLine="2880"/>
      <w:rPr>
        <w:b/>
        <w:color w:val="808080" w:themeColor="background1" w:themeShade="80"/>
        <w:sz w:val="32"/>
        <w:szCs w:val="32"/>
        <w:lang w:val="en-US"/>
      </w:rPr>
    </w:pPr>
    <w:r w:rsidRPr="00B06BF0">
      <w:rPr>
        <w:b/>
        <w:color w:val="808080" w:themeColor="background1" w:themeShade="80"/>
        <w:sz w:val="32"/>
        <w:szCs w:val="32"/>
        <w:lang w:val="en-US"/>
      </w:rPr>
      <w:t>News Release</w:t>
    </w:r>
  </w:p>
  <w:p w:rsidR="00FF687A" w:rsidRPr="00B06BF0" w:rsidRDefault="00FF687A" w:rsidP="00685CB3">
    <w:pPr>
      <w:pStyle w:val="Header"/>
      <w:rPr>
        <w:lang w:val="en-US"/>
      </w:rPr>
    </w:pPr>
  </w:p>
  <w:p w:rsidR="00684E2F" w:rsidRPr="00645BEC" w:rsidRDefault="00645BEC" w:rsidP="00684E2F">
    <w:pPr>
      <w:spacing w:line="276" w:lineRule="auto"/>
      <w:jc w:val="center"/>
      <w:textAlignment w:val="top"/>
      <w:rPr>
        <w:rFonts w:ascii="Arial" w:hAnsi="Arial" w:cs="Arial"/>
        <w:b/>
        <w:i/>
      </w:rPr>
    </w:pPr>
    <w:r w:rsidRPr="00645BEC">
      <w:rPr>
        <w:rFonts w:ascii="Arial" w:hAnsi="Arial" w:cs="Arial"/>
        <w:b/>
        <w:i/>
      </w:rPr>
      <w:t>Towards a crime-free cyber-space in Central Africa</w:t>
    </w:r>
  </w:p>
  <w:p w:rsidR="001521F9" w:rsidRPr="00645BEC" w:rsidRDefault="001521F9" w:rsidP="006D71B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A13"/>
    <w:multiLevelType w:val="hybridMultilevel"/>
    <w:tmpl w:val="2C82F87A"/>
    <w:lvl w:ilvl="0" w:tplc="B7302B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D3898"/>
    <w:multiLevelType w:val="hybridMultilevel"/>
    <w:tmpl w:val="94FCF462"/>
    <w:lvl w:ilvl="0" w:tplc="0420AD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1537B4"/>
    <w:multiLevelType w:val="hybridMultilevel"/>
    <w:tmpl w:val="321E28D0"/>
    <w:lvl w:ilvl="0" w:tplc="2C60C81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8713DD"/>
    <w:rsid w:val="00003D5C"/>
    <w:rsid w:val="000270AA"/>
    <w:rsid w:val="000325BD"/>
    <w:rsid w:val="00044D0E"/>
    <w:rsid w:val="000479BE"/>
    <w:rsid w:val="00094E6B"/>
    <w:rsid w:val="000A232F"/>
    <w:rsid w:val="000B5F77"/>
    <w:rsid w:val="000C2BE2"/>
    <w:rsid w:val="000E2BC0"/>
    <w:rsid w:val="000E6AE8"/>
    <w:rsid w:val="000F6A35"/>
    <w:rsid w:val="001521F9"/>
    <w:rsid w:val="00155EE0"/>
    <w:rsid w:val="00167C1A"/>
    <w:rsid w:val="00190684"/>
    <w:rsid w:val="001A51CF"/>
    <w:rsid w:val="001A75C1"/>
    <w:rsid w:val="001B4797"/>
    <w:rsid w:val="001C134C"/>
    <w:rsid w:val="001C1AAC"/>
    <w:rsid w:val="001D2CBE"/>
    <w:rsid w:val="001D4C7B"/>
    <w:rsid w:val="001E57A0"/>
    <w:rsid w:val="001F746B"/>
    <w:rsid w:val="0025243A"/>
    <w:rsid w:val="002565D7"/>
    <w:rsid w:val="002613F5"/>
    <w:rsid w:val="002C07AE"/>
    <w:rsid w:val="002D07AC"/>
    <w:rsid w:val="002E6240"/>
    <w:rsid w:val="002F685A"/>
    <w:rsid w:val="0030725F"/>
    <w:rsid w:val="0031323A"/>
    <w:rsid w:val="00314B71"/>
    <w:rsid w:val="00317722"/>
    <w:rsid w:val="00322574"/>
    <w:rsid w:val="00325EAE"/>
    <w:rsid w:val="00360856"/>
    <w:rsid w:val="0036728B"/>
    <w:rsid w:val="00373DF6"/>
    <w:rsid w:val="00377AEC"/>
    <w:rsid w:val="00381CAE"/>
    <w:rsid w:val="00392246"/>
    <w:rsid w:val="003A213E"/>
    <w:rsid w:val="003C4571"/>
    <w:rsid w:val="003E2772"/>
    <w:rsid w:val="003E2FC1"/>
    <w:rsid w:val="003E5C3B"/>
    <w:rsid w:val="003F126C"/>
    <w:rsid w:val="00411B71"/>
    <w:rsid w:val="0044234E"/>
    <w:rsid w:val="004527C6"/>
    <w:rsid w:val="00452A53"/>
    <w:rsid w:val="0046490B"/>
    <w:rsid w:val="00492D1C"/>
    <w:rsid w:val="004B4389"/>
    <w:rsid w:val="004C4179"/>
    <w:rsid w:val="004C5463"/>
    <w:rsid w:val="004C6D2E"/>
    <w:rsid w:val="004D3F03"/>
    <w:rsid w:val="005039CF"/>
    <w:rsid w:val="0053322C"/>
    <w:rsid w:val="005343EA"/>
    <w:rsid w:val="00541A56"/>
    <w:rsid w:val="00564A7B"/>
    <w:rsid w:val="005712EE"/>
    <w:rsid w:val="0059035F"/>
    <w:rsid w:val="00592F54"/>
    <w:rsid w:val="005A35C1"/>
    <w:rsid w:val="005A6F7A"/>
    <w:rsid w:val="005A78C1"/>
    <w:rsid w:val="005C1837"/>
    <w:rsid w:val="006053CF"/>
    <w:rsid w:val="0061166C"/>
    <w:rsid w:val="00645BEC"/>
    <w:rsid w:val="00645DF7"/>
    <w:rsid w:val="00655FC4"/>
    <w:rsid w:val="00665DE1"/>
    <w:rsid w:val="006727F8"/>
    <w:rsid w:val="00684E2F"/>
    <w:rsid w:val="00685CB3"/>
    <w:rsid w:val="006903DE"/>
    <w:rsid w:val="006A3EC6"/>
    <w:rsid w:val="006A43B2"/>
    <w:rsid w:val="006B2E0F"/>
    <w:rsid w:val="006C748F"/>
    <w:rsid w:val="006D71BD"/>
    <w:rsid w:val="006E1B0B"/>
    <w:rsid w:val="006E68E4"/>
    <w:rsid w:val="006F3571"/>
    <w:rsid w:val="007077E6"/>
    <w:rsid w:val="00740D71"/>
    <w:rsid w:val="0075214A"/>
    <w:rsid w:val="00754E5B"/>
    <w:rsid w:val="0077127B"/>
    <w:rsid w:val="00777B71"/>
    <w:rsid w:val="00786985"/>
    <w:rsid w:val="00786EBC"/>
    <w:rsid w:val="007C7B67"/>
    <w:rsid w:val="007D055A"/>
    <w:rsid w:val="007E009D"/>
    <w:rsid w:val="007F352A"/>
    <w:rsid w:val="0080117D"/>
    <w:rsid w:val="00803135"/>
    <w:rsid w:val="008164E5"/>
    <w:rsid w:val="0082065F"/>
    <w:rsid w:val="00833A69"/>
    <w:rsid w:val="008609A6"/>
    <w:rsid w:val="008713DD"/>
    <w:rsid w:val="00871787"/>
    <w:rsid w:val="00875530"/>
    <w:rsid w:val="008829C7"/>
    <w:rsid w:val="00886A56"/>
    <w:rsid w:val="008A2D2D"/>
    <w:rsid w:val="008C58BC"/>
    <w:rsid w:val="00900146"/>
    <w:rsid w:val="009160CF"/>
    <w:rsid w:val="0092191D"/>
    <w:rsid w:val="00935589"/>
    <w:rsid w:val="00955FA3"/>
    <w:rsid w:val="00965233"/>
    <w:rsid w:val="00971C93"/>
    <w:rsid w:val="009A4219"/>
    <w:rsid w:val="009A45E6"/>
    <w:rsid w:val="009A57B7"/>
    <w:rsid w:val="009C1794"/>
    <w:rsid w:val="009C18AE"/>
    <w:rsid w:val="009D5E1F"/>
    <w:rsid w:val="009F0BA4"/>
    <w:rsid w:val="00A0558C"/>
    <w:rsid w:val="00A122BC"/>
    <w:rsid w:val="00A453E1"/>
    <w:rsid w:val="00A7085F"/>
    <w:rsid w:val="00A91040"/>
    <w:rsid w:val="00A9187A"/>
    <w:rsid w:val="00A93F46"/>
    <w:rsid w:val="00AB28BE"/>
    <w:rsid w:val="00AC5F06"/>
    <w:rsid w:val="00AD4341"/>
    <w:rsid w:val="00AD7918"/>
    <w:rsid w:val="00AF5857"/>
    <w:rsid w:val="00B0232F"/>
    <w:rsid w:val="00B06BF0"/>
    <w:rsid w:val="00B6197F"/>
    <w:rsid w:val="00B649D5"/>
    <w:rsid w:val="00B65705"/>
    <w:rsid w:val="00B70E88"/>
    <w:rsid w:val="00B950B3"/>
    <w:rsid w:val="00B95A27"/>
    <w:rsid w:val="00BA195F"/>
    <w:rsid w:val="00BC03BB"/>
    <w:rsid w:val="00BC47AD"/>
    <w:rsid w:val="00BD3335"/>
    <w:rsid w:val="00BF2C88"/>
    <w:rsid w:val="00C31703"/>
    <w:rsid w:val="00C3707E"/>
    <w:rsid w:val="00C4161B"/>
    <w:rsid w:val="00C53A8F"/>
    <w:rsid w:val="00C65678"/>
    <w:rsid w:val="00C746B1"/>
    <w:rsid w:val="00C9486E"/>
    <w:rsid w:val="00CC72F7"/>
    <w:rsid w:val="00D22E66"/>
    <w:rsid w:val="00D563D4"/>
    <w:rsid w:val="00D60805"/>
    <w:rsid w:val="00D91065"/>
    <w:rsid w:val="00D95C2D"/>
    <w:rsid w:val="00DB19A5"/>
    <w:rsid w:val="00DB4C0F"/>
    <w:rsid w:val="00DD25C9"/>
    <w:rsid w:val="00DD3777"/>
    <w:rsid w:val="00DE3EA3"/>
    <w:rsid w:val="00E045F6"/>
    <w:rsid w:val="00E12643"/>
    <w:rsid w:val="00E4271B"/>
    <w:rsid w:val="00E7421E"/>
    <w:rsid w:val="00E758D1"/>
    <w:rsid w:val="00E85348"/>
    <w:rsid w:val="00E92170"/>
    <w:rsid w:val="00E923CA"/>
    <w:rsid w:val="00EA404E"/>
    <w:rsid w:val="00EB01E7"/>
    <w:rsid w:val="00EB3200"/>
    <w:rsid w:val="00EC5B12"/>
    <w:rsid w:val="00EC78AA"/>
    <w:rsid w:val="00EE0CB0"/>
    <w:rsid w:val="00EE3749"/>
    <w:rsid w:val="00EF1D78"/>
    <w:rsid w:val="00F07A64"/>
    <w:rsid w:val="00F218CF"/>
    <w:rsid w:val="00F322B3"/>
    <w:rsid w:val="00F413F7"/>
    <w:rsid w:val="00F60290"/>
    <w:rsid w:val="00F63949"/>
    <w:rsid w:val="00F85973"/>
    <w:rsid w:val="00FE6074"/>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D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13DD"/>
    <w:pPr>
      <w:tabs>
        <w:tab w:val="center" w:pos="4536"/>
        <w:tab w:val="right" w:pos="9072"/>
      </w:tabs>
    </w:pPr>
    <w:rPr>
      <w:lang w:val="fr-FR" w:eastAsia="fr-FR"/>
    </w:rPr>
  </w:style>
  <w:style w:type="character" w:customStyle="1" w:styleId="HeaderChar">
    <w:name w:val="Header Char"/>
    <w:basedOn w:val="DefaultParagraphFont"/>
    <w:link w:val="Header"/>
    <w:uiPriority w:val="99"/>
    <w:locked/>
    <w:rsid w:val="008713DD"/>
    <w:rPr>
      <w:rFonts w:ascii="Times New Roman" w:hAnsi="Times New Roman" w:cs="Times New Roman"/>
      <w:sz w:val="24"/>
      <w:szCs w:val="24"/>
      <w:lang w:val="fr-FR" w:eastAsia="fr-FR"/>
    </w:rPr>
  </w:style>
  <w:style w:type="paragraph" w:styleId="Footer">
    <w:name w:val="footer"/>
    <w:basedOn w:val="Normal"/>
    <w:link w:val="FooterChar"/>
    <w:uiPriority w:val="99"/>
    <w:rsid w:val="008713DD"/>
    <w:pPr>
      <w:tabs>
        <w:tab w:val="center" w:pos="4536"/>
        <w:tab w:val="right" w:pos="9072"/>
      </w:tabs>
    </w:pPr>
    <w:rPr>
      <w:lang w:val="fr-FR" w:eastAsia="fr-FR"/>
    </w:rPr>
  </w:style>
  <w:style w:type="character" w:customStyle="1" w:styleId="FooterChar">
    <w:name w:val="Footer Char"/>
    <w:basedOn w:val="DefaultParagraphFont"/>
    <w:link w:val="Footer"/>
    <w:uiPriority w:val="99"/>
    <w:locked/>
    <w:rsid w:val="008713DD"/>
    <w:rPr>
      <w:rFonts w:ascii="Times New Roman" w:hAnsi="Times New Roman" w:cs="Times New Roman"/>
      <w:sz w:val="24"/>
      <w:szCs w:val="24"/>
      <w:lang w:val="fr-FR" w:eastAsia="fr-FR"/>
    </w:rPr>
  </w:style>
  <w:style w:type="character" w:styleId="PageNumber">
    <w:name w:val="page number"/>
    <w:basedOn w:val="DefaultParagraphFont"/>
    <w:uiPriority w:val="99"/>
    <w:rsid w:val="008713DD"/>
  </w:style>
  <w:style w:type="paragraph" w:styleId="BalloonText">
    <w:name w:val="Balloon Text"/>
    <w:basedOn w:val="Normal"/>
    <w:link w:val="BalloonTextChar"/>
    <w:uiPriority w:val="99"/>
    <w:semiHidden/>
    <w:rsid w:val="008713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3DD"/>
    <w:rPr>
      <w:rFonts w:ascii="Tahoma" w:hAnsi="Tahoma" w:cs="Tahoma"/>
      <w:sz w:val="16"/>
      <w:szCs w:val="16"/>
    </w:rPr>
  </w:style>
  <w:style w:type="character" w:customStyle="1" w:styleId="hps">
    <w:name w:val="hps"/>
    <w:basedOn w:val="DefaultParagraphFont"/>
    <w:uiPriority w:val="99"/>
    <w:rsid w:val="00685CB3"/>
  </w:style>
  <w:style w:type="character" w:styleId="Hyperlink">
    <w:name w:val="Hyperlink"/>
    <w:basedOn w:val="DefaultParagraphFont"/>
    <w:uiPriority w:val="99"/>
    <w:unhideWhenUsed/>
    <w:rsid w:val="008164E5"/>
    <w:rPr>
      <w:color w:val="0000FF" w:themeColor="hyperlink"/>
      <w:u w:val="single"/>
    </w:rPr>
  </w:style>
  <w:style w:type="paragraph" w:styleId="ListParagraph">
    <w:name w:val="List Paragraph"/>
    <w:basedOn w:val="Normal"/>
    <w:uiPriority w:val="34"/>
    <w:qFormat/>
    <w:rsid w:val="00D22E66"/>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rsid w:val="00BA195F"/>
    <w:pPr>
      <w:spacing w:after="120"/>
    </w:pPr>
    <w:rPr>
      <w:sz w:val="16"/>
      <w:szCs w:val="16"/>
    </w:rPr>
  </w:style>
  <w:style w:type="character" w:customStyle="1" w:styleId="BodyText3Char">
    <w:name w:val="Body Text 3 Char"/>
    <w:basedOn w:val="DefaultParagraphFont"/>
    <w:link w:val="BodyText3"/>
    <w:rsid w:val="00BA195F"/>
    <w:rPr>
      <w:rFonts w:ascii="Times New Roman" w:eastAsia="Times New Roman" w:hAnsi="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DD"/>
    <w:rPr>
      <w:rFonts w:ascii="Times New Roman" w:eastAsia="Times New Roman" w:hAnsi="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713DD"/>
    <w:pPr>
      <w:tabs>
        <w:tab w:val="center" w:pos="4536"/>
        <w:tab w:val="right" w:pos="9072"/>
      </w:tabs>
    </w:pPr>
    <w:rPr>
      <w:lang w:val="fr-FR" w:eastAsia="fr-FR"/>
    </w:rPr>
  </w:style>
  <w:style w:type="character" w:customStyle="1" w:styleId="En-tteCar">
    <w:name w:val="En-tête Car"/>
    <w:basedOn w:val="Policepardfaut"/>
    <w:link w:val="En-tte"/>
    <w:uiPriority w:val="99"/>
    <w:locked/>
    <w:rsid w:val="008713DD"/>
    <w:rPr>
      <w:rFonts w:ascii="Times New Roman" w:hAnsi="Times New Roman" w:cs="Times New Roman"/>
      <w:sz w:val="24"/>
      <w:szCs w:val="24"/>
      <w:lang w:val="fr-FR" w:eastAsia="fr-FR"/>
    </w:rPr>
  </w:style>
  <w:style w:type="paragraph" w:styleId="Pieddepage">
    <w:name w:val="footer"/>
    <w:basedOn w:val="Normal"/>
    <w:link w:val="PieddepageCar"/>
    <w:uiPriority w:val="99"/>
    <w:rsid w:val="008713DD"/>
    <w:pPr>
      <w:tabs>
        <w:tab w:val="center" w:pos="4536"/>
        <w:tab w:val="right" w:pos="9072"/>
      </w:tabs>
    </w:pPr>
    <w:rPr>
      <w:lang w:val="fr-FR" w:eastAsia="fr-FR"/>
    </w:rPr>
  </w:style>
  <w:style w:type="character" w:customStyle="1" w:styleId="PieddepageCar">
    <w:name w:val="Pied de page Car"/>
    <w:basedOn w:val="Policepardfaut"/>
    <w:link w:val="Pieddepage"/>
    <w:uiPriority w:val="99"/>
    <w:locked/>
    <w:rsid w:val="008713DD"/>
    <w:rPr>
      <w:rFonts w:ascii="Times New Roman" w:hAnsi="Times New Roman" w:cs="Times New Roman"/>
      <w:sz w:val="24"/>
      <w:szCs w:val="24"/>
      <w:lang w:val="fr-FR" w:eastAsia="fr-FR"/>
    </w:rPr>
  </w:style>
  <w:style w:type="character" w:styleId="Numrodepage">
    <w:name w:val="page number"/>
    <w:basedOn w:val="Policepardfaut"/>
    <w:uiPriority w:val="99"/>
    <w:rsid w:val="008713DD"/>
  </w:style>
  <w:style w:type="paragraph" w:styleId="Textedebulles">
    <w:name w:val="Balloon Text"/>
    <w:basedOn w:val="Normal"/>
    <w:link w:val="TextedebullesCar"/>
    <w:uiPriority w:val="99"/>
    <w:semiHidden/>
    <w:rsid w:val="008713D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713DD"/>
    <w:rPr>
      <w:rFonts w:ascii="Tahoma" w:hAnsi="Tahoma" w:cs="Tahoma"/>
      <w:sz w:val="16"/>
      <w:szCs w:val="16"/>
    </w:rPr>
  </w:style>
  <w:style w:type="character" w:customStyle="1" w:styleId="hps">
    <w:name w:val="hps"/>
    <w:basedOn w:val="Policepardfaut"/>
    <w:uiPriority w:val="99"/>
    <w:rsid w:val="00685CB3"/>
  </w:style>
  <w:style w:type="character" w:styleId="Lienhypertexte">
    <w:name w:val="Hyperlink"/>
    <w:basedOn w:val="Policepardfaut"/>
    <w:uiPriority w:val="99"/>
    <w:unhideWhenUsed/>
    <w:rsid w:val="008164E5"/>
    <w:rPr>
      <w:color w:val="0000FF" w:themeColor="hyperlink"/>
      <w:u w:val="single"/>
    </w:rPr>
  </w:style>
  <w:style w:type="paragraph" w:styleId="Paragraphedeliste">
    <w:name w:val="List Paragraph"/>
    <w:basedOn w:val="Normal"/>
    <w:uiPriority w:val="34"/>
    <w:qFormat/>
    <w:rsid w:val="00D22E66"/>
    <w:pPr>
      <w:spacing w:after="200" w:line="276" w:lineRule="auto"/>
      <w:ind w:left="720"/>
      <w:contextualSpacing/>
    </w:pPr>
    <w:rPr>
      <w:rFonts w:asciiTheme="minorHAnsi" w:eastAsiaTheme="minorHAnsi" w:hAnsiTheme="minorHAnsi" w:cstheme="minorBidi"/>
      <w:sz w:val="22"/>
      <w:szCs w:val="22"/>
    </w:rPr>
  </w:style>
  <w:style w:type="paragraph" w:styleId="Corpsdetexte3">
    <w:name w:val="Body Text 3"/>
    <w:basedOn w:val="Normal"/>
    <w:link w:val="Corpsdetexte3Car"/>
    <w:rsid w:val="00BA195F"/>
    <w:pPr>
      <w:spacing w:after="120"/>
    </w:pPr>
    <w:rPr>
      <w:sz w:val="16"/>
      <w:szCs w:val="16"/>
    </w:rPr>
  </w:style>
  <w:style w:type="character" w:customStyle="1" w:styleId="Corpsdetexte3Car">
    <w:name w:val="Corps de texte 3 Car"/>
    <w:basedOn w:val="Policepardfaut"/>
    <w:link w:val="Corpsdetexte3"/>
    <w:rsid w:val="00BA195F"/>
    <w:rPr>
      <w:rFonts w:ascii="Times New Roman" w:eastAsia="Times New Roman" w:hAnsi="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24236377">
      <w:bodyDiv w:val="1"/>
      <w:marLeft w:val="0"/>
      <w:marRight w:val="0"/>
      <w:marTop w:val="0"/>
      <w:marBottom w:val="0"/>
      <w:divBdr>
        <w:top w:val="none" w:sz="0" w:space="0" w:color="auto"/>
        <w:left w:val="none" w:sz="0" w:space="0" w:color="auto"/>
        <w:bottom w:val="none" w:sz="0" w:space="0" w:color="auto"/>
        <w:right w:val="none" w:sz="0" w:space="0" w:color="auto"/>
      </w:divBdr>
      <w:divsChild>
        <w:div w:id="1262450063">
          <w:marLeft w:val="0"/>
          <w:marRight w:val="0"/>
          <w:marTop w:val="0"/>
          <w:marBottom w:val="0"/>
          <w:divBdr>
            <w:top w:val="none" w:sz="0" w:space="0" w:color="auto"/>
            <w:left w:val="none" w:sz="0" w:space="0" w:color="auto"/>
            <w:bottom w:val="none" w:sz="0" w:space="0" w:color="auto"/>
            <w:right w:val="none" w:sz="0" w:space="0" w:color="auto"/>
          </w:divBdr>
          <w:divsChild>
            <w:div w:id="1900167251">
              <w:marLeft w:val="0"/>
              <w:marRight w:val="0"/>
              <w:marTop w:val="0"/>
              <w:marBottom w:val="0"/>
              <w:divBdr>
                <w:top w:val="none" w:sz="0" w:space="0" w:color="auto"/>
                <w:left w:val="none" w:sz="0" w:space="0" w:color="auto"/>
                <w:bottom w:val="none" w:sz="0" w:space="0" w:color="auto"/>
                <w:right w:val="none" w:sz="0" w:space="0" w:color="auto"/>
              </w:divBdr>
              <w:divsChild>
                <w:div w:id="1128934896">
                  <w:marLeft w:val="0"/>
                  <w:marRight w:val="0"/>
                  <w:marTop w:val="0"/>
                  <w:marBottom w:val="0"/>
                  <w:divBdr>
                    <w:top w:val="none" w:sz="0" w:space="0" w:color="auto"/>
                    <w:left w:val="none" w:sz="0" w:space="0" w:color="auto"/>
                    <w:bottom w:val="none" w:sz="0" w:space="0" w:color="auto"/>
                    <w:right w:val="none" w:sz="0" w:space="0" w:color="auto"/>
                  </w:divBdr>
                  <w:divsChild>
                    <w:div w:id="893471100">
                      <w:marLeft w:val="0"/>
                      <w:marRight w:val="0"/>
                      <w:marTop w:val="0"/>
                      <w:marBottom w:val="0"/>
                      <w:divBdr>
                        <w:top w:val="none" w:sz="0" w:space="0" w:color="auto"/>
                        <w:left w:val="none" w:sz="0" w:space="0" w:color="auto"/>
                        <w:bottom w:val="none" w:sz="0" w:space="0" w:color="auto"/>
                        <w:right w:val="none" w:sz="0" w:space="0" w:color="auto"/>
                      </w:divBdr>
                      <w:divsChild>
                        <w:div w:id="1230459981">
                          <w:marLeft w:val="0"/>
                          <w:marRight w:val="0"/>
                          <w:marTop w:val="0"/>
                          <w:marBottom w:val="0"/>
                          <w:divBdr>
                            <w:top w:val="none" w:sz="0" w:space="0" w:color="auto"/>
                            <w:left w:val="none" w:sz="0" w:space="0" w:color="auto"/>
                            <w:bottom w:val="none" w:sz="0" w:space="0" w:color="auto"/>
                            <w:right w:val="none" w:sz="0" w:space="0" w:color="auto"/>
                          </w:divBdr>
                          <w:divsChild>
                            <w:div w:id="8532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18410">
      <w:bodyDiv w:val="1"/>
      <w:marLeft w:val="0"/>
      <w:marRight w:val="0"/>
      <w:marTop w:val="0"/>
      <w:marBottom w:val="0"/>
      <w:divBdr>
        <w:top w:val="none" w:sz="0" w:space="0" w:color="auto"/>
        <w:left w:val="none" w:sz="0" w:space="0" w:color="auto"/>
        <w:bottom w:val="none" w:sz="0" w:space="0" w:color="auto"/>
        <w:right w:val="none" w:sz="0" w:space="0" w:color="auto"/>
      </w:divBdr>
      <w:divsChild>
        <w:div w:id="340469114">
          <w:marLeft w:val="0"/>
          <w:marRight w:val="0"/>
          <w:marTop w:val="0"/>
          <w:marBottom w:val="0"/>
          <w:divBdr>
            <w:top w:val="none" w:sz="0" w:space="0" w:color="auto"/>
            <w:left w:val="none" w:sz="0" w:space="0" w:color="auto"/>
            <w:bottom w:val="none" w:sz="0" w:space="0" w:color="auto"/>
            <w:right w:val="none" w:sz="0" w:space="0" w:color="auto"/>
          </w:divBdr>
          <w:divsChild>
            <w:div w:id="90467469">
              <w:marLeft w:val="0"/>
              <w:marRight w:val="0"/>
              <w:marTop w:val="0"/>
              <w:marBottom w:val="0"/>
              <w:divBdr>
                <w:top w:val="none" w:sz="0" w:space="0" w:color="auto"/>
                <w:left w:val="none" w:sz="0" w:space="0" w:color="auto"/>
                <w:bottom w:val="none" w:sz="0" w:space="0" w:color="auto"/>
                <w:right w:val="none" w:sz="0" w:space="0" w:color="auto"/>
              </w:divBdr>
              <w:divsChild>
                <w:div w:id="1487162136">
                  <w:marLeft w:val="0"/>
                  <w:marRight w:val="0"/>
                  <w:marTop w:val="0"/>
                  <w:marBottom w:val="0"/>
                  <w:divBdr>
                    <w:top w:val="none" w:sz="0" w:space="0" w:color="auto"/>
                    <w:left w:val="none" w:sz="0" w:space="0" w:color="auto"/>
                    <w:bottom w:val="none" w:sz="0" w:space="0" w:color="auto"/>
                    <w:right w:val="none" w:sz="0" w:space="0" w:color="auto"/>
                  </w:divBdr>
                  <w:divsChild>
                    <w:div w:id="687415767">
                      <w:marLeft w:val="0"/>
                      <w:marRight w:val="0"/>
                      <w:marTop w:val="0"/>
                      <w:marBottom w:val="0"/>
                      <w:divBdr>
                        <w:top w:val="none" w:sz="0" w:space="0" w:color="auto"/>
                        <w:left w:val="none" w:sz="0" w:space="0" w:color="auto"/>
                        <w:bottom w:val="none" w:sz="0" w:space="0" w:color="auto"/>
                        <w:right w:val="none" w:sz="0" w:space="0" w:color="auto"/>
                      </w:divBdr>
                      <w:divsChild>
                        <w:div w:id="444161068">
                          <w:marLeft w:val="0"/>
                          <w:marRight w:val="0"/>
                          <w:marTop w:val="0"/>
                          <w:marBottom w:val="0"/>
                          <w:divBdr>
                            <w:top w:val="none" w:sz="0" w:space="0" w:color="auto"/>
                            <w:left w:val="none" w:sz="0" w:space="0" w:color="auto"/>
                            <w:bottom w:val="none" w:sz="0" w:space="0" w:color="auto"/>
                            <w:right w:val="none" w:sz="0" w:space="0" w:color="auto"/>
                          </w:divBdr>
                          <w:divsChild>
                            <w:div w:id="20122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82980">
      <w:marLeft w:val="0"/>
      <w:marRight w:val="0"/>
      <w:marTop w:val="0"/>
      <w:marBottom w:val="0"/>
      <w:divBdr>
        <w:top w:val="none" w:sz="0" w:space="0" w:color="auto"/>
        <w:left w:val="none" w:sz="0" w:space="0" w:color="auto"/>
        <w:bottom w:val="none" w:sz="0" w:space="0" w:color="auto"/>
        <w:right w:val="none" w:sz="0" w:space="0" w:color="auto"/>
      </w:divBdr>
      <w:divsChild>
        <w:div w:id="1748183004">
          <w:marLeft w:val="0"/>
          <w:marRight w:val="0"/>
          <w:marTop w:val="0"/>
          <w:marBottom w:val="0"/>
          <w:divBdr>
            <w:top w:val="none" w:sz="0" w:space="0" w:color="auto"/>
            <w:left w:val="none" w:sz="0" w:space="0" w:color="auto"/>
            <w:bottom w:val="none" w:sz="0" w:space="0" w:color="auto"/>
            <w:right w:val="none" w:sz="0" w:space="0" w:color="auto"/>
          </w:divBdr>
          <w:divsChild>
            <w:div w:id="1748182995">
              <w:marLeft w:val="0"/>
              <w:marRight w:val="0"/>
              <w:marTop w:val="0"/>
              <w:marBottom w:val="0"/>
              <w:divBdr>
                <w:top w:val="none" w:sz="0" w:space="0" w:color="auto"/>
                <w:left w:val="none" w:sz="0" w:space="0" w:color="auto"/>
                <w:bottom w:val="none" w:sz="0" w:space="0" w:color="auto"/>
                <w:right w:val="none" w:sz="0" w:space="0" w:color="auto"/>
              </w:divBdr>
              <w:divsChild>
                <w:div w:id="1748182999">
                  <w:marLeft w:val="0"/>
                  <w:marRight w:val="0"/>
                  <w:marTop w:val="0"/>
                  <w:marBottom w:val="0"/>
                  <w:divBdr>
                    <w:top w:val="none" w:sz="0" w:space="0" w:color="auto"/>
                    <w:left w:val="none" w:sz="0" w:space="0" w:color="auto"/>
                    <w:bottom w:val="none" w:sz="0" w:space="0" w:color="auto"/>
                    <w:right w:val="none" w:sz="0" w:space="0" w:color="auto"/>
                  </w:divBdr>
                  <w:divsChild>
                    <w:div w:id="1748182978">
                      <w:marLeft w:val="0"/>
                      <w:marRight w:val="0"/>
                      <w:marTop w:val="0"/>
                      <w:marBottom w:val="0"/>
                      <w:divBdr>
                        <w:top w:val="none" w:sz="0" w:space="0" w:color="auto"/>
                        <w:left w:val="none" w:sz="0" w:space="0" w:color="auto"/>
                        <w:bottom w:val="none" w:sz="0" w:space="0" w:color="auto"/>
                        <w:right w:val="none" w:sz="0" w:space="0" w:color="auto"/>
                      </w:divBdr>
                      <w:divsChild>
                        <w:div w:id="1748182984">
                          <w:marLeft w:val="0"/>
                          <w:marRight w:val="0"/>
                          <w:marTop w:val="0"/>
                          <w:marBottom w:val="0"/>
                          <w:divBdr>
                            <w:top w:val="none" w:sz="0" w:space="0" w:color="auto"/>
                            <w:left w:val="none" w:sz="0" w:space="0" w:color="auto"/>
                            <w:bottom w:val="none" w:sz="0" w:space="0" w:color="auto"/>
                            <w:right w:val="none" w:sz="0" w:space="0" w:color="auto"/>
                          </w:divBdr>
                          <w:divsChild>
                            <w:div w:id="1748182987">
                              <w:marLeft w:val="0"/>
                              <w:marRight w:val="0"/>
                              <w:marTop w:val="0"/>
                              <w:marBottom w:val="0"/>
                              <w:divBdr>
                                <w:top w:val="none" w:sz="0" w:space="0" w:color="auto"/>
                                <w:left w:val="none" w:sz="0" w:space="0" w:color="auto"/>
                                <w:bottom w:val="none" w:sz="0" w:space="0" w:color="auto"/>
                                <w:right w:val="none" w:sz="0" w:space="0" w:color="auto"/>
                              </w:divBdr>
                              <w:divsChild>
                                <w:div w:id="17481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2982">
      <w:marLeft w:val="0"/>
      <w:marRight w:val="0"/>
      <w:marTop w:val="0"/>
      <w:marBottom w:val="0"/>
      <w:divBdr>
        <w:top w:val="none" w:sz="0" w:space="0" w:color="auto"/>
        <w:left w:val="none" w:sz="0" w:space="0" w:color="auto"/>
        <w:bottom w:val="none" w:sz="0" w:space="0" w:color="auto"/>
        <w:right w:val="none" w:sz="0" w:space="0" w:color="auto"/>
      </w:divBdr>
      <w:divsChild>
        <w:div w:id="1748182975">
          <w:marLeft w:val="0"/>
          <w:marRight w:val="0"/>
          <w:marTop w:val="0"/>
          <w:marBottom w:val="0"/>
          <w:divBdr>
            <w:top w:val="none" w:sz="0" w:space="0" w:color="auto"/>
            <w:left w:val="none" w:sz="0" w:space="0" w:color="auto"/>
            <w:bottom w:val="none" w:sz="0" w:space="0" w:color="auto"/>
            <w:right w:val="none" w:sz="0" w:space="0" w:color="auto"/>
          </w:divBdr>
          <w:divsChild>
            <w:div w:id="1748183001">
              <w:marLeft w:val="0"/>
              <w:marRight w:val="0"/>
              <w:marTop w:val="0"/>
              <w:marBottom w:val="0"/>
              <w:divBdr>
                <w:top w:val="none" w:sz="0" w:space="0" w:color="auto"/>
                <w:left w:val="none" w:sz="0" w:space="0" w:color="auto"/>
                <w:bottom w:val="none" w:sz="0" w:space="0" w:color="auto"/>
                <w:right w:val="none" w:sz="0" w:space="0" w:color="auto"/>
              </w:divBdr>
              <w:divsChild>
                <w:div w:id="1748182986">
                  <w:marLeft w:val="0"/>
                  <w:marRight w:val="0"/>
                  <w:marTop w:val="0"/>
                  <w:marBottom w:val="0"/>
                  <w:divBdr>
                    <w:top w:val="none" w:sz="0" w:space="0" w:color="auto"/>
                    <w:left w:val="none" w:sz="0" w:space="0" w:color="auto"/>
                    <w:bottom w:val="none" w:sz="0" w:space="0" w:color="auto"/>
                    <w:right w:val="none" w:sz="0" w:space="0" w:color="auto"/>
                  </w:divBdr>
                  <w:divsChild>
                    <w:div w:id="1748183002">
                      <w:marLeft w:val="0"/>
                      <w:marRight w:val="0"/>
                      <w:marTop w:val="0"/>
                      <w:marBottom w:val="0"/>
                      <w:divBdr>
                        <w:top w:val="none" w:sz="0" w:space="0" w:color="auto"/>
                        <w:left w:val="none" w:sz="0" w:space="0" w:color="auto"/>
                        <w:bottom w:val="none" w:sz="0" w:space="0" w:color="auto"/>
                        <w:right w:val="none" w:sz="0" w:space="0" w:color="auto"/>
                      </w:divBdr>
                      <w:divsChild>
                        <w:div w:id="1748182992">
                          <w:marLeft w:val="0"/>
                          <w:marRight w:val="0"/>
                          <w:marTop w:val="0"/>
                          <w:marBottom w:val="0"/>
                          <w:divBdr>
                            <w:top w:val="none" w:sz="0" w:space="0" w:color="auto"/>
                            <w:left w:val="none" w:sz="0" w:space="0" w:color="auto"/>
                            <w:bottom w:val="none" w:sz="0" w:space="0" w:color="auto"/>
                            <w:right w:val="none" w:sz="0" w:space="0" w:color="auto"/>
                          </w:divBdr>
                          <w:divsChild>
                            <w:div w:id="1748182977">
                              <w:marLeft w:val="0"/>
                              <w:marRight w:val="0"/>
                              <w:marTop w:val="0"/>
                              <w:marBottom w:val="0"/>
                              <w:divBdr>
                                <w:top w:val="none" w:sz="0" w:space="0" w:color="auto"/>
                                <w:left w:val="none" w:sz="0" w:space="0" w:color="auto"/>
                                <w:bottom w:val="none" w:sz="0" w:space="0" w:color="auto"/>
                                <w:right w:val="none" w:sz="0" w:space="0" w:color="auto"/>
                              </w:divBdr>
                              <w:divsChild>
                                <w:div w:id="17481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2990">
      <w:marLeft w:val="0"/>
      <w:marRight w:val="0"/>
      <w:marTop w:val="0"/>
      <w:marBottom w:val="0"/>
      <w:divBdr>
        <w:top w:val="none" w:sz="0" w:space="0" w:color="auto"/>
        <w:left w:val="none" w:sz="0" w:space="0" w:color="auto"/>
        <w:bottom w:val="none" w:sz="0" w:space="0" w:color="auto"/>
        <w:right w:val="none" w:sz="0" w:space="0" w:color="auto"/>
      </w:divBdr>
      <w:divsChild>
        <w:div w:id="1748183000">
          <w:marLeft w:val="0"/>
          <w:marRight w:val="0"/>
          <w:marTop w:val="0"/>
          <w:marBottom w:val="0"/>
          <w:divBdr>
            <w:top w:val="none" w:sz="0" w:space="0" w:color="auto"/>
            <w:left w:val="none" w:sz="0" w:space="0" w:color="auto"/>
            <w:bottom w:val="none" w:sz="0" w:space="0" w:color="auto"/>
            <w:right w:val="none" w:sz="0" w:space="0" w:color="auto"/>
          </w:divBdr>
          <w:divsChild>
            <w:div w:id="1748182979">
              <w:marLeft w:val="0"/>
              <w:marRight w:val="0"/>
              <w:marTop w:val="0"/>
              <w:marBottom w:val="0"/>
              <w:divBdr>
                <w:top w:val="none" w:sz="0" w:space="0" w:color="auto"/>
                <w:left w:val="none" w:sz="0" w:space="0" w:color="auto"/>
                <w:bottom w:val="none" w:sz="0" w:space="0" w:color="auto"/>
                <w:right w:val="none" w:sz="0" w:space="0" w:color="auto"/>
              </w:divBdr>
              <w:divsChild>
                <w:div w:id="1748183006">
                  <w:marLeft w:val="0"/>
                  <w:marRight w:val="0"/>
                  <w:marTop w:val="0"/>
                  <w:marBottom w:val="0"/>
                  <w:divBdr>
                    <w:top w:val="none" w:sz="0" w:space="0" w:color="auto"/>
                    <w:left w:val="none" w:sz="0" w:space="0" w:color="auto"/>
                    <w:bottom w:val="none" w:sz="0" w:space="0" w:color="auto"/>
                    <w:right w:val="none" w:sz="0" w:space="0" w:color="auto"/>
                  </w:divBdr>
                  <w:divsChild>
                    <w:div w:id="1748182991">
                      <w:marLeft w:val="0"/>
                      <w:marRight w:val="0"/>
                      <w:marTop w:val="0"/>
                      <w:marBottom w:val="0"/>
                      <w:divBdr>
                        <w:top w:val="none" w:sz="0" w:space="0" w:color="auto"/>
                        <w:left w:val="none" w:sz="0" w:space="0" w:color="auto"/>
                        <w:bottom w:val="none" w:sz="0" w:space="0" w:color="auto"/>
                        <w:right w:val="none" w:sz="0" w:space="0" w:color="auto"/>
                      </w:divBdr>
                      <w:divsChild>
                        <w:div w:id="1748182976">
                          <w:marLeft w:val="0"/>
                          <w:marRight w:val="0"/>
                          <w:marTop w:val="0"/>
                          <w:marBottom w:val="0"/>
                          <w:divBdr>
                            <w:top w:val="none" w:sz="0" w:space="0" w:color="auto"/>
                            <w:left w:val="none" w:sz="0" w:space="0" w:color="auto"/>
                            <w:bottom w:val="none" w:sz="0" w:space="0" w:color="auto"/>
                            <w:right w:val="none" w:sz="0" w:space="0" w:color="auto"/>
                          </w:divBdr>
                          <w:divsChild>
                            <w:div w:id="1748182997">
                              <w:marLeft w:val="0"/>
                              <w:marRight w:val="0"/>
                              <w:marTop w:val="0"/>
                              <w:marBottom w:val="0"/>
                              <w:divBdr>
                                <w:top w:val="none" w:sz="0" w:space="0" w:color="auto"/>
                                <w:left w:val="none" w:sz="0" w:space="0" w:color="auto"/>
                                <w:bottom w:val="none" w:sz="0" w:space="0" w:color="auto"/>
                                <w:right w:val="none" w:sz="0" w:space="0" w:color="auto"/>
                              </w:divBdr>
                              <w:divsChild>
                                <w:div w:id="17481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2996">
      <w:marLeft w:val="0"/>
      <w:marRight w:val="0"/>
      <w:marTop w:val="0"/>
      <w:marBottom w:val="0"/>
      <w:divBdr>
        <w:top w:val="none" w:sz="0" w:space="0" w:color="auto"/>
        <w:left w:val="none" w:sz="0" w:space="0" w:color="auto"/>
        <w:bottom w:val="none" w:sz="0" w:space="0" w:color="auto"/>
        <w:right w:val="none" w:sz="0" w:space="0" w:color="auto"/>
      </w:divBdr>
      <w:divsChild>
        <w:div w:id="1748183003">
          <w:marLeft w:val="0"/>
          <w:marRight w:val="0"/>
          <w:marTop w:val="0"/>
          <w:marBottom w:val="0"/>
          <w:divBdr>
            <w:top w:val="none" w:sz="0" w:space="0" w:color="auto"/>
            <w:left w:val="none" w:sz="0" w:space="0" w:color="auto"/>
            <w:bottom w:val="none" w:sz="0" w:space="0" w:color="auto"/>
            <w:right w:val="none" w:sz="0" w:space="0" w:color="auto"/>
          </w:divBdr>
          <w:divsChild>
            <w:div w:id="1748182981">
              <w:marLeft w:val="0"/>
              <w:marRight w:val="0"/>
              <w:marTop w:val="0"/>
              <w:marBottom w:val="0"/>
              <w:divBdr>
                <w:top w:val="none" w:sz="0" w:space="0" w:color="auto"/>
                <w:left w:val="none" w:sz="0" w:space="0" w:color="auto"/>
                <w:bottom w:val="none" w:sz="0" w:space="0" w:color="auto"/>
                <w:right w:val="none" w:sz="0" w:space="0" w:color="auto"/>
              </w:divBdr>
              <w:divsChild>
                <w:div w:id="1748182998">
                  <w:marLeft w:val="0"/>
                  <w:marRight w:val="0"/>
                  <w:marTop w:val="0"/>
                  <w:marBottom w:val="0"/>
                  <w:divBdr>
                    <w:top w:val="none" w:sz="0" w:space="0" w:color="auto"/>
                    <w:left w:val="none" w:sz="0" w:space="0" w:color="auto"/>
                    <w:bottom w:val="none" w:sz="0" w:space="0" w:color="auto"/>
                    <w:right w:val="none" w:sz="0" w:space="0" w:color="auto"/>
                  </w:divBdr>
                  <w:divsChild>
                    <w:div w:id="1748182993">
                      <w:marLeft w:val="0"/>
                      <w:marRight w:val="0"/>
                      <w:marTop w:val="0"/>
                      <w:marBottom w:val="0"/>
                      <w:divBdr>
                        <w:top w:val="none" w:sz="0" w:space="0" w:color="auto"/>
                        <w:left w:val="none" w:sz="0" w:space="0" w:color="auto"/>
                        <w:bottom w:val="none" w:sz="0" w:space="0" w:color="auto"/>
                        <w:right w:val="none" w:sz="0" w:space="0" w:color="auto"/>
                      </w:divBdr>
                      <w:divsChild>
                        <w:div w:id="1748183005">
                          <w:marLeft w:val="0"/>
                          <w:marRight w:val="0"/>
                          <w:marTop w:val="0"/>
                          <w:marBottom w:val="0"/>
                          <w:divBdr>
                            <w:top w:val="none" w:sz="0" w:space="0" w:color="auto"/>
                            <w:left w:val="none" w:sz="0" w:space="0" w:color="auto"/>
                            <w:bottom w:val="none" w:sz="0" w:space="0" w:color="auto"/>
                            <w:right w:val="none" w:sz="0" w:space="0" w:color="auto"/>
                          </w:divBdr>
                          <w:divsChild>
                            <w:div w:id="1748182985">
                              <w:marLeft w:val="0"/>
                              <w:marRight w:val="0"/>
                              <w:marTop w:val="0"/>
                              <w:marBottom w:val="0"/>
                              <w:divBdr>
                                <w:top w:val="none" w:sz="0" w:space="0" w:color="auto"/>
                                <w:left w:val="none" w:sz="0" w:space="0" w:color="auto"/>
                                <w:bottom w:val="none" w:sz="0" w:space="0" w:color="auto"/>
                                <w:right w:val="none" w:sz="0" w:space="0" w:color="auto"/>
                              </w:divBdr>
                              <w:divsChild>
                                <w:div w:id="17481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ITU-D/afr/CMS/index.asp" TargetMode="External"/><Relationship Id="rId2" Type="http://schemas.openxmlformats.org/officeDocument/2006/relationships/hyperlink" Target="mailto:itu-yaounde@itu.int" TargetMode="External"/><Relationship Id="rId1" Type="http://schemas.openxmlformats.org/officeDocument/2006/relationships/hyperlink" Target="http://www.uneca.org/fr/sro/a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tu.int/ITU-D/projects/ITU_EC_ACP/"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73B5-A360-49F3-A456-4A0E9723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 de l'événement : 1-3 Juin 2011</vt:lpstr>
      <vt:lpstr>Date de l'événement : 1-3 Juin 2011</vt:lpstr>
    </vt:vector>
  </TitlesOfParts>
  <Company>ECA</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de l'événement : 1-3 Juin 2011</dc:title>
  <dc:creator>aakara</dc:creator>
  <cp:lastModifiedBy>aakara</cp:lastModifiedBy>
  <cp:revision>4</cp:revision>
  <cp:lastPrinted>2011-12-06T15:23:00Z</cp:lastPrinted>
  <dcterms:created xsi:type="dcterms:W3CDTF">2011-12-06T18:55:00Z</dcterms:created>
  <dcterms:modified xsi:type="dcterms:W3CDTF">2011-12-06T18:56:00Z</dcterms:modified>
</cp:coreProperties>
</file>