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D3AD" w14:textId="77777777" w:rsidR="00A0760C" w:rsidRPr="00E17456" w:rsidRDefault="00A0760C" w:rsidP="00A0760C">
      <w:pPr>
        <w:pStyle w:val="ResNo"/>
        <w:rPr>
          <w:lang w:val="es-ES_tradnl"/>
        </w:rPr>
      </w:pPr>
      <w:bookmarkStart w:id="0" w:name="_Toc116917025"/>
      <w:bookmarkStart w:id="1" w:name="_Toc116918594"/>
      <w:bookmarkStart w:id="2" w:name="_Toc116919085"/>
      <w:bookmarkStart w:id="3" w:name="_Toc116919572"/>
      <w:r w:rsidRPr="00E17456">
        <w:rPr>
          <w:lang w:val="es-ES_tradnl"/>
        </w:rPr>
        <w:t xml:space="preserve">RESOLUCIÓN </w:t>
      </w:r>
      <w:r w:rsidRPr="00E17456">
        <w:rPr>
          <w:rStyle w:val="href"/>
          <w:lang w:val="es-ES_tradnl"/>
        </w:rPr>
        <w:t>60</w:t>
      </w:r>
      <w:r w:rsidRPr="00E17456">
        <w:rPr>
          <w:lang w:val="es-ES_tradnl"/>
        </w:rPr>
        <w:t xml:space="preserve"> (Hyderabad, 2010)</w:t>
      </w:r>
      <w:bookmarkEnd w:id="0"/>
      <w:bookmarkEnd w:id="1"/>
      <w:bookmarkEnd w:id="2"/>
      <w:bookmarkEnd w:id="3"/>
    </w:p>
    <w:p w14:paraId="2E264D2B" w14:textId="77777777" w:rsidR="00A0760C" w:rsidRPr="00E17456" w:rsidRDefault="00A0760C" w:rsidP="00A0760C">
      <w:pPr>
        <w:pStyle w:val="Restitle"/>
        <w:rPr>
          <w:lang w:val="es-ES_tradnl"/>
        </w:rPr>
      </w:pPr>
      <w:bookmarkStart w:id="4" w:name="_Toc116917026"/>
      <w:bookmarkStart w:id="5" w:name="_Toc116918595"/>
      <w:bookmarkStart w:id="6" w:name="_Toc116919086"/>
      <w:bookmarkStart w:id="7" w:name="_Toc116919573"/>
      <w:r w:rsidRPr="00E17456">
        <w:rPr>
          <w:lang w:val="es-ES_tradnl"/>
        </w:rPr>
        <w:t>Asistencia a países en situación especial: Haití</w:t>
      </w:r>
      <w:bookmarkEnd w:id="4"/>
      <w:bookmarkEnd w:id="5"/>
      <w:bookmarkEnd w:id="6"/>
      <w:bookmarkEnd w:id="7"/>
    </w:p>
    <w:p w14:paraId="0E6B42BD" w14:textId="77777777" w:rsidR="00A0760C" w:rsidRPr="00E17456" w:rsidRDefault="00A0760C" w:rsidP="00A0760C">
      <w:pPr>
        <w:pStyle w:val="Normalaftertitle"/>
        <w:rPr>
          <w:lang w:val="es-ES_tradnl"/>
        </w:rPr>
      </w:pPr>
      <w:r w:rsidRPr="00E17456">
        <w:rPr>
          <w:lang w:val="es-ES_tradnl"/>
        </w:rPr>
        <w:t>La Conferencia Mundial de Desarrollo de las Telecomunicaciones (Hyderabad, 2010),</w:t>
      </w:r>
    </w:p>
    <w:p w14:paraId="43EC1783" w14:textId="77777777" w:rsidR="00A0760C" w:rsidRPr="00E17456" w:rsidRDefault="00A0760C" w:rsidP="00A0760C">
      <w:pPr>
        <w:pStyle w:val="Call"/>
        <w:rPr>
          <w:lang w:val="es-ES_tradnl"/>
        </w:rPr>
      </w:pPr>
      <w:r w:rsidRPr="00E17456">
        <w:rPr>
          <w:lang w:val="es-ES_tradnl"/>
        </w:rPr>
        <w:t>recordando</w:t>
      </w:r>
    </w:p>
    <w:p w14:paraId="534EE809" w14:textId="77777777" w:rsidR="00A0760C" w:rsidRPr="00E17456" w:rsidRDefault="00A0760C" w:rsidP="00A0760C">
      <w:pPr>
        <w:rPr>
          <w:lang w:val="es-ES_tradnl"/>
        </w:rPr>
      </w:pPr>
      <w:r w:rsidRPr="00E17456">
        <w:rPr>
          <w:lang w:val="es-ES_tradnl"/>
        </w:rPr>
        <w:t>la Resolución 34 (Rev. Antalya, 2006) de la Conferencia de Plenipotenciarios,</w:t>
      </w:r>
    </w:p>
    <w:p w14:paraId="15288D3E" w14:textId="77777777" w:rsidR="00A0760C" w:rsidRPr="00E17456" w:rsidRDefault="00A0760C" w:rsidP="00A0760C">
      <w:pPr>
        <w:pStyle w:val="Call"/>
        <w:rPr>
          <w:lang w:val="es-ES_tradnl"/>
        </w:rPr>
      </w:pPr>
      <w:r w:rsidRPr="00E17456">
        <w:rPr>
          <w:lang w:val="es-ES_tradnl"/>
        </w:rPr>
        <w:t>recordando además</w:t>
      </w:r>
    </w:p>
    <w:p w14:paraId="4FBF538C" w14:textId="77777777" w:rsidR="00A0760C" w:rsidRPr="00E17456" w:rsidRDefault="00A0760C" w:rsidP="00A0760C">
      <w:pPr>
        <w:rPr>
          <w:lang w:val="es-ES_tradnl"/>
        </w:rPr>
      </w:pPr>
      <w:r w:rsidRPr="00E17456">
        <w:rPr>
          <w:lang w:val="es-ES_tradnl"/>
        </w:rPr>
        <w:t>el objeto de la Unión, enunciado en el Artículo 1 de su Constitución,</w:t>
      </w:r>
    </w:p>
    <w:p w14:paraId="79F4FB65" w14:textId="77777777" w:rsidR="00A0760C" w:rsidRPr="00E17456" w:rsidRDefault="00A0760C" w:rsidP="00A0760C">
      <w:pPr>
        <w:pStyle w:val="Call"/>
        <w:rPr>
          <w:lang w:val="es-ES_tradnl"/>
        </w:rPr>
      </w:pPr>
      <w:r w:rsidRPr="00E17456">
        <w:rPr>
          <w:lang w:val="es-ES_tradnl"/>
        </w:rPr>
        <w:t>reconociendo</w:t>
      </w:r>
    </w:p>
    <w:p w14:paraId="465D5437" w14:textId="77777777" w:rsidR="00A0760C" w:rsidRPr="00E17456" w:rsidRDefault="00A0760C" w:rsidP="00A0760C">
      <w:pPr>
        <w:rPr>
          <w:lang w:val="es-ES_tradnl"/>
        </w:rPr>
      </w:pPr>
      <w:r w:rsidRPr="00E17456">
        <w:rPr>
          <w:i/>
          <w:iCs/>
          <w:lang w:val="es-ES_tradnl"/>
        </w:rPr>
        <w:t>a)</w:t>
      </w:r>
      <w:r w:rsidRPr="00E17456">
        <w:rPr>
          <w:lang w:val="es-ES_tradnl"/>
        </w:rPr>
        <w:tab/>
        <w:t>que la infraestructura de telecomunicaciones de la República de Haití ha resultado considerablemente afectada por el terremoto que azotó el país el 12 de enero de 2010;</w:t>
      </w:r>
    </w:p>
    <w:p w14:paraId="0574AC02" w14:textId="77777777" w:rsidR="00A0760C" w:rsidRPr="00E17456" w:rsidRDefault="00A0760C" w:rsidP="00A0760C">
      <w:pPr>
        <w:rPr>
          <w:lang w:val="es-ES_tradnl"/>
        </w:rPr>
      </w:pPr>
      <w:r w:rsidRPr="00E17456">
        <w:rPr>
          <w:i/>
          <w:iCs/>
          <w:lang w:val="es-ES_tradnl"/>
        </w:rPr>
        <w:t>b)</w:t>
      </w:r>
      <w:r w:rsidRPr="00E17456">
        <w:rPr>
          <w:lang w:val="es-ES_tradnl"/>
        </w:rPr>
        <w:tab/>
        <w:t>que Haití no dispone en este momento, de suficiente infraestructura nacional de la información y la comunicación, ni de acceso adecuado a las telecomunicaciones internacionales ni a Internet;</w:t>
      </w:r>
    </w:p>
    <w:p w14:paraId="67F77D06" w14:textId="77777777" w:rsidR="00A0760C" w:rsidRPr="00E17456" w:rsidRDefault="00A0760C" w:rsidP="00A0760C">
      <w:pPr>
        <w:rPr>
          <w:lang w:val="es-ES_tradnl"/>
        </w:rPr>
      </w:pPr>
      <w:r w:rsidRPr="00E17456">
        <w:rPr>
          <w:i/>
          <w:iCs/>
          <w:lang w:val="es-ES_tradnl"/>
        </w:rPr>
        <w:t>c)</w:t>
      </w:r>
      <w:r w:rsidRPr="00E17456">
        <w:rPr>
          <w:lang w:val="es-ES_tradnl"/>
        </w:rPr>
        <w:tab/>
        <w:t>que un sistema de telecomunicaciones adecuado es una herramienta indispensable para el proceso de reconstrucción del país;</w:t>
      </w:r>
    </w:p>
    <w:p w14:paraId="1C844724" w14:textId="77777777" w:rsidR="00A0760C" w:rsidRPr="00E17456" w:rsidRDefault="00A0760C" w:rsidP="00A0760C">
      <w:pPr>
        <w:rPr>
          <w:lang w:val="es-ES_tradnl"/>
        </w:rPr>
      </w:pPr>
      <w:r w:rsidRPr="00E17456">
        <w:rPr>
          <w:i/>
          <w:iCs/>
          <w:lang w:val="es-ES_tradnl"/>
        </w:rPr>
        <w:t>d)</w:t>
      </w:r>
      <w:r w:rsidRPr="00E17456">
        <w:rPr>
          <w:lang w:val="es-ES_tradnl"/>
        </w:rPr>
        <w:tab/>
        <w:t>que Haití, en las condiciones actuales y en el futuro previsible, necesitará el apoyo de la comunidad internacional para la construcción de una infraestructura nacional de la información que sea compatible con sus objetivos de desarrollo socioeconómicos,</w:t>
      </w:r>
    </w:p>
    <w:p w14:paraId="19AA0280" w14:textId="77777777" w:rsidR="00A0760C" w:rsidRPr="00E17456" w:rsidRDefault="00A0760C" w:rsidP="00A0760C">
      <w:pPr>
        <w:pStyle w:val="Call"/>
        <w:keepNext w:val="0"/>
        <w:keepLines w:val="0"/>
        <w:rPr>
          <w:lang w:val="es-ES_tradnl"/>
        </w:rPr>
      </w:pPr>
      <w:r w:rsidRPr="00E17456">
        <w:rPr>
          <w:lang w:val="es-ES_tradnl"/>
        </w:rPr>
        <w:t>observando</w:t>
      </w:r>
    </w:p>
    <w:p w14:paraId="2A2EBAD9" w14:textId="77777777" w:rsidR="00A0760C" w:rsidRPr="00E17456" w:rsidRDefault="00A0760C" w:rsidP="00A0760C">
      <w:pPr>
        <w:rPr>
          <w:lang w:val="es-ES_tradnl"/>
        </w:rPr>
      </w:pPr>
      <w:r w:rsidRPr="00E17456">
        <w:rPr>
          <w:i/>
          <w:iCs/>
          <w:lang w:val="es-ES_tradnl"/>
        </w:rPr>
        <w:t>a)</w:t>
      </w:r>
      <w:r w:rsidRPr="00E17456">
        <w:rPr>
          <w:lang w:val="es-ES_tradnl"/>
        </w:rPr>
        <w:tab/>
        <w:t>que Haití ha recibido asistencia de la UIT en materia de telecomunicaciones de emergencia inmediatamente después del terremoto;</w:t>
      </w:r>
    </w:p>
    <w:p w14:paraId="5DC2E235" w14:textId="77777777" w:rsidR="00A0760C" w:rsidRPr="00E17456" w:rsidRDefault="00A0760C" w:rsidP="00A0760C">
      <w:pPr>
        <w:rPr>
          <w:lang w:val="es-ES_tradnl"/>
        </w:rPr>
      </w:pPr>
      <w:r w:rsidRPr="00E17456">
        <w:rPr>
          <w:i/>
          <w:iCs/>
          <w:lang w:val="es-ES_tradnl"/>
        </w:rPr>
        <w:t>b)</w:t>
      </w:r>
      <w:r w:rsidRPr="00E17456">
        <w:rPr>
          <w:lang w:val="es-ES_tradnl"/>
        </w:rPr>
        <w:tab/>
        <w:t>los esfuerzos realizados por el Secretario General de la UIT y el Director de la Oficina de Desarrollo de las Telecomunicaciones (BDT) para ayudar a otros países a raíz de conflictos armados o catástrofes naturales,</w:t>
      </w:r>
    </w:p>
    <w:p w14:paraId="186D011E" w14:textId="77777777" w:rsidR="00A0760C" w:rsidRPr="00E17456" w:rsidRDefault="00A0760C" w:rsidP="00A0760C">
      <w:pPr>
        <w:pStyle w:val="Call"/>
        <w:rPr>
          <w:lang w:val="es-ES_tradnl"/>
        </w:rPr>
      </w:pPr>
      <w:r w:rsidRPr="00E17456">
        <w:rPr>
          <w:lang w:val="es-ES_tradnl"/>
        </w:rPr>
        <w:br w:type="page"/>
      </w:r>
    </w:p>
    <w:p w14:paraId="28D0AB06" w14:textId="77777777" w:rsidR="00A0760C" w:rsidRPr="00E17456" w:rsidRDefault="00A0760C" w:rsidP="00A0760C">
      <w:pPr>
        <w:pStyle w:val="Call"/>
        <w:rPr>
          <w:lang w:val="es-ES_tradnl"/>
        </w:rPr>
      </w:pPr>
      <w:r w:rsidRPr="00E17456">
        <w:rPr>
          <w:lang w:val="es-ES_tradnl"/>
        </w:rPr>
        <w:lastRenderedPageBreak/>
        <w:t>resuelve</w:t>
      </w:r>
    </w:p>
    <w:p w14:paraId="683DD7D3" w14:textId="77777777" w:rsidR="00A0760C" w:rsidRPr="00E17456" w:rsidRDefault="00A0760C" w:rsidP="00A0760C">
      <w:pPr>
        <w:rPr>
          <w:lang w:val="es-ES_tradnl"/>
        </w:rPr>
      </w:pPr>
      <w:r w:rsidRPr="00E17456">
        <w:rPr>
          <w:lang w:val="es-ES_tradnl"/>
        </w:rPr>
        <w:t>que se continúe la acción especial iniciada por el Secretario General y el Director de la BDT con la ayuda especializada de los Sectores de Radiocomunicaciones de la UIT y de Normalización de las Telecomunicaciones de la UIT para prestar asistencia y apoyo a Haití en la reconstrucción de su infraestructura de telecomunicaciones/tecnologías de la información y la comunicación (TIC), la creación de instituciones adecuadas, la capacitación humanas, y la elaboración de legislación en materia de telecomunicaciones y de un marco reglamentario, así como para poner a disposición el reconocido potencial que presentan las telecomunicaciones/TIC para el desarrollo socioeconómico y cultural del país,</w:t>
      </w:r>
    </w:p>
    <w:p w14:paraId="278DA0E8" w14:textId="77777777" w:rsidR="00A0760C" w:rsidRPr="00E17456" w:rsidRDefault="00A0760C" w:rsidP="00A0760C">
      <w:pPr>
        <w:pStyle w:val="Call"/>
        <w:rPr>
          <w:lang w:val="es-ES_tradnl"/>
        </w:rPr>
      </w:pPr>
      <w:r w:rsidRPr="00E17456">
        <w:rPr>
          <w:lang w:val="es-ES_tradnl"/>
        </w:rPr>
        <w:t>pide a los Estados Miembros</w:t>
      </w:r>
    </w:p>
    <w:p w14:paraId="7F62A34B" w14:textId="77777777" w:rsidR="00A0760C" w:rsidRPr="00E17456" w:rsidRDefault="00A0760C" w:rsidP="00A0760C">
      <w:pPr>
        <w:rPr>
          <w:lang w:val="es-ES_tradnl"/>
        </w:rPr>
      </w:pPr>
      <w:r w:rsidRPr="00E17456">
        <w:rPr>
          <w:lang w:val="es-ES_tradnl"/>
        </w:rPr>
        <w:t>que ofrezcan toda la ayuda y el apoyo posibles al Gobierno de Haití, ya sea bilateralmente o por medio de la referida acción especial de la Unión,</w:t>
      </w:r>
    </w:p>
    <w:p w14:paraId="061F6B3C" w14:textId="77777777" w:rsidR="00A0760C" w:rsidRPr="00E17456" w:rsidRDefault="00A0760C" w:rsidP="00A0760C">
      <w:pPr>
        <w:pStyle w:val="Call"/>
        <w:rPr>
          <w:lang w:val="es-ES_tradnl"/>
        </w:rPr>
      </w:pPr>
      <w:r w:rsidRPr="00E17456">
        <w:rPr>
          <w:lang w:val="es-ES_tradnl"/>
        </w:rPr>
        <w:t>invita al Consejo</w:t>
      </w:r>
    </w:p>
    <w:p w14:paraId="7E61A15A" w14:textId="77777777" w:rsidR="00A0760C" w:rsidRPr="00E17456" w:rsidRDefault="00A0760C" w:rsidP="00A0760C">
      <w:pPr>
        <w:rPr>
          <w:lang w:val="es-ES_tradnl"/>
        </w:rPr>
      </w:pPr>
      <w:r w:rsidRPr="00E17456">
        <w:rPr>
          <w:lang w:val="es-ES_tradnl"/>
        </w:rPr>
        <w:t>a consignar los fondos necesarios para la aplicación de la presente Resolución,</w:t>
      </w:r>
    </w:p>
    <w:p w14:paraId="0278019F" w14:textId="77777777" w:rsidR="00A0760C" w:rsidRPr="00E17456" w:rsidRDefault="00A0760C" w:rsidP="00A0760C">
      <w:pPr>
        <w:pStyle w:val="Call"/>
        <w:rPr>
          <w:lang w:val="es-ES_tradnl"/>
        </w:rPr>
      </w:pPr>
      <w:r w:rsidRPr="00E17456">
        <w:rPr>
          <w:lang w:val="es-ES_tradnl"/>
        </w:rPr>
        <w:t xml:space="preserve">encarga al Director de la Oficina de Desarrollo de las Telecomunicaciones </w:t>
      </w:r>
    </w:p>
    <w:p w14:paraId="50E2D10E" w14:textId="77777777" w:rsidR="00A0760C" w:rsidRPr="00E17456" w:rsidRDefault="00A0760C" w:rsidP="00A0760C">
      <w:pPr>
        <w:rPr>
          <w:lang w:val="es-ES_tradnl"/>
        </w:rPr>
      </w:pPr>
      <w:r w:rsidRPr="00E17456">
        <w:rPr>
          <w:lang w:val="es-ES_tradnl"/>
        </w:rPr>
        <w:t>1</w:t>
      </w:r>
      <w:r w:rsidRPr="00E17456">
        <w:rPr>
          <w:lang w:val="es-ES_tradnl"/>
        </w:rPr>
        <w:tab/>
        <w:t>que preste asistencia específica en los diferentes ámbitos identificados por Haití;</w:t>
      </w:r>
    </w:p>
    <w:p w14:paraId="287AEAF2" w14:textId="77777777" w:rsidR="00A0760C" w:rsidRPr="00E17456" w:rsidRDefault="00A0760C" w:rsidP="00A0760C">
      <w:pPr>
        <w:rPr>
          <w:lang w:val="es-ES_tradnl"/>
        </w:rPr>
      </w:pPr>
      <w:r w:rsidRPr="00E17456">
        <w:rPr>
          <w:lang w:val="es-ES_tradnl"/>
        </w:rPr>
        <w:t>2</w:t>
      </w:r>
      <w:r w:rsidRPr="00E17456">
        <w:rPr>
          <w:lang w:val="es-ES_tradnl"/>
        </w:rPr>
        <w:tab/>
        <w:t>que adopte medidas inmediatas para aplicar un marco de cooperación que permita al país realizar una adaptación sistemática de las TIC con miras a su desarrollo sostenible,</w:t>
      </w:r>
    </w:p>
    <w:p w14:paraId="0E93FCC4" w14:textId="77777777" w:rsidR="00A0760C" w:rsidRPr="00E17456" w:rsidRDefault="00A0760C" w:rsidP="00A0760C">
      <w:pPr>
        <w:pStyle w:val="Call"/>
        <w:rPr>
          <w:lang w:val="es-ES_tradnl"/>
        </w:rPr>
      </w:pPr>
      <w:r w:rsidRPr="00E17456">
        <w:rPr>
          <w:lang w:val="es-ES_tradnl"/>
        </w:rPr>
        <w:t>pide al Secretario General</w:t>
      </w:r>
    </w:p>
    <w:p w14:paraId="5E549D2E" w14:textId="77777777" w:rsidR="00A0760C" w:rsidRPr="00E17456" w:rsidRDefault="00A0760C" w:rsidP="00A0760C">
      <w:pPr>
        <w:rPr>
          <w:lang w:val="es-ES_tradnl"/>
        </w:rPr>
      </w:pPr>
      <w:r w:rsidRPr="00E17456">
        <w:rPr>
          <w:lang w:val="es-ES_tradnl"/>
        </w:rPr>
        <w:t>1</w:t>
      </w:r>
      <w:r w:rsidRPr="00E17456">
        <w:rPr>
          <w:lang w:val="es-ES_tradnl"/>
        </w:rPr>
        <w:tab/>
        <w:t>que señale esta Resolución a la atención de la Conferencia de Plenipotenciarios (Guadalajara, 2010) y procure consignar los recursos necesarios;</w:t>
      </w:r>
    </w:p>
    <w:p w14:paraId="6F1ECD77" w14:textId="77777777" w:rsidR="00A0760C" w:rsidRPr="00E17456" w:rsidRDefault="00A0760C" w:rsidP="00A0760C">
      <w:pPr>
        <w:rPr>
          <w:lang w:val="es-ES_tradnl"/>
        </w:rPr>
      </w:pPr>
      <w:r w:rsidRPr="00E17456">
        <w:rPr>
          <w:lang w:val="es-ES_tradnl"/>
        </w:rPr>
        <w:t>2</w:t>
      </w:r>
      <w:r w:rsidRPr="00E17456">
        <w:rPr>
          <w:lang w:val="es-ES_tradnl"/>
        </w:rPr>
        <w:tab/>
        <w:t xml:space="preserve">que coordine las actividades desplegadas por los tres Sectores de la Unión de conformidad con el anterior </w:t>
      </w:r>
      <w:r w:rsidRPr="00E17456">
        <w:rPr>
          <w:i/>
          <w:lang w:val="es-ES_tradnl"/>
        </w:rPr>
        <w:t>resuelve</w:t>
      </w:r>
      <w:r w:rsidRPr="00E17456">
        <w:rPr>
          <w:lang w:val="es-ES_tradnl"/>
        </w:rPr>
        <w:t>;</w:t>
      </w:r>
    </w:p>
    <w:p w14:paraId="0BBD53AE" w14:textId="77777777" w:rsidR="00A0760C" w:rsidRDefault="00A0760C" w:rsidP="00A0760C">
      <w:pPr>
        <w:rPr>
          <w:lang w:val="es-ES_tradnl"/>
        </w:rPr>
      </w:pPr>
      <w:r w:rsidRPr="00E17456">
        <w:rPr>
          <w:lang w:val="es-ES_tradnl"/>
        </w:rPr>
        <w:t>3</w:t>
      </w:r>
      <w:r w:rsidRPr="00E17456">
        <w:rPr>
          <w:lang w:val="es-ES_tradnl"/>
        </w:rPr>
        <w:tab/>
        <w:t>que vele por que la acción de la Unión en favor de Haití resulte tan eficaz como sea posible y que informe sobre el asunto al Consejo de la UIT.</w:t>
      </w:r>
    </w:p>
    <w:p w14:paraId="36F386FB" w14:textId="77777777" w:rsidR="00F16487" w:rsidRDefault="00F16487"/>
    <w:sectPr w:rsidR="00F16487" w:rsidSect="00A0760C">
      <w:headerReference w:type="even" r:id="rId6"/>
      <w:headerReference w:type="default" r:id="rId7"/>
      <w:pgSz w:w="11906" w:h="16838" w:code="9"/>
      <w:pgMar w:top="1418" w:right="1134" w:bottom="1418" w:left="1134" w:header="720" w:footer="72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6A23F" w14:textId="77777777" w:rsidR="00A0760C" w:rsidRDefault="00A0760C" w:rsidP="00A0760C">
      <w:pPr>
        <w:spacing w:before="0"/>
      </w:pPr>
      <w:r>
        <w:separator/>
      </w:r>
    </w:p>
  </w:endnote>
  <w:endnote w:type="continuationSeparator" w:id="0">
    <w:p w14:paraId="16FE2216" w14:textId="77777777" w:rsidR="00A0760C" w:rsidRDefault="00A0760C" w:rsidP="00A076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4CF2" w14:textId="77777777" w:rsidR="00A0760C" w:rsidRDefault="00A0760C" w:rsidP="00A0760C">
      <w:pPr>
        <w:spacing w:before="0"/>
      </w:pPr>
      <w:r>
        <w:separator/>
      </w:r>
    </w:p>
  </w:footnote>
  <w:footnote w:type="continuationSeparator" w:id="0">
    <w:p w14:paraId="2917A920" w14:textId="77777777" w:rsidR="00A0760C" w:rsidRDefault="00A0760C" w:rsidP="00A0760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6"/>
        <w:szCs w:val="16"/>
      </w:rPr>
      <w:id w:val="-2402578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59E30A" w14:textId="63B891B5" w:rsidR="00A0760C" w:rsidRPr="00A0760C" w:rsidRDefault="00A0760C" w:rsidP="00A0760C">
        <w:pPr>
          <w:tabs>
            <w:tab w:val="left" w:pos="284"/>
            <w:tab w:val="left" w:pos="851"/>
          </w:tabs>
          <w:spacing w:before="0" w:after="120"/>
          <w:jc w:val="left"/>
          <w:rPr>
            <w:rFonts w:ascii="Calibri" w:hAnsi="Calibri"/>
            <w:sz w:val="16"/>
            <w:szCs w:val="16"/>
            <w:lang w:val="fr-FR"/>
          </w:rPr>
        </w:pPr>
        <w:r w:rsidRPr="00406111">
          <w:rPr>
            <w:rFonts w:ascii="Calibri" w:hAnsi="Calibri"/>
            <w:sz w:val="16"/>
            <w:szCs w:val="16"/>
          </w:rPr>
          <w:fldChar w:fldCharType="begin"/>
        </w:r>
        <w:r w:rsidRPr="00406111">
          <w:rPr>
            <w:rFonts w:ascii="Calibri" w:hAnsi="Calibri"/>
            <w:sz w:val="16"/>
            <w:szCs w:val="16"/>
            <w:lang w:val="fr-FR"/>
          </w:rPr>
          <w:instrText xml:space="preserve"> PAGE   \* MERGEFORMAT </w:instrText>
        </w:r>
        <w:r w:rsidRPr="00406111">
          <w:rPr>
            <w:rFonts w:ascii="Calibri" w:hAnsi="Calibri"/>
            <w:sz w:val="16"/>
            <w:szCs w:val="16"/>
          </w:rPr>
          <w:fldChar w:fldCharType="separate"/>
        </w:r>
        <w:r>
          <w:rPr>
            <w:rFonts w:ascii="Calibri" w:hAnsi="Calibri"/>
            <w:sz w:val="16"/>
            <w:szCs w:val="16"/>
          </w:rPr>
          <w:t>2</w:t>
        </w:r>
        <w:r w:rsidRPr="00406111">
          <w:rPr>
            <w:rFonts w:ascii="Calibri" w:hAnsi="Calibri"/>
            <w:noProof/>
            <w:sz w:val="16"/>
            <w:szCs w:val="16"/>
          </w:rPr>
          <w:fldChar w:fldCharType="end"/>
        </w:r>
        <w:r w:rsidRPr="00406111">
          <w:rPr>
            <w:rFonts w:ascii="Calibri" w:hAnsi="Calibri"/>
            <w:sz w:val="16"/>
            <w:szCs w:val="16"/>
            <w:lang w:val="fr-FR"/>
          </w:rPr>
          <w:tab/>
          <w:t>Informe final de la CMDT-22 – Parte IV – Resolución 6</w:t>
        </w:r>
        <w:r>
          <w:rPr>
            <w:rFonts w:ascii="Calibri" w:hAnsi="Calibri"/>
            <w:sz w:val="16"/>
            <w:szCs w:val="16"/>
            <w:lang w:val="fr-FR"/>
          </w:rPr>
          <w:t>0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6"/>
        <w:szCs w:val="16"/>
      </w:rPr>
      <w:id w:val="-7623670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58D9BA" w14:textId="7C173A7D" w:rsidR="00A0760C" w:rsidRPr="00A0760C" w:rsidRDefault="00A0760C" w:rsidP="00A0760C">
        <w:pPr>
          <w:tabs>
            <w:tab w:val="left" w:pos="3828"/>
          </w:tabs>
          <w:spacing w:before="0" w:after="120"/>
          <w:jc w:val="right"/>
          <w:rPr>
            <w:rFonts w:ascii="Calibri" w:hAnsi="Calibri"/>
            <w:sz w:val="16"/>
            <w:szCs w:val="16"/>
            <w:lang w:val="fr-FR"/>
          </w:rPr>
        </w:pPr>
        <w:r w:rsidRPr="00406111">
          <w:rPr>
            <w:rFonts w:ascii="Calibri" w:hAnsi="Calibri"/>
            <w:sz w:val="16"/>
            <w:szCs w:val="16"/>
            <w:lang w:val="fr-FR"/>
          </w:rPr>
          <w:t>Informe final de la CMDT-22 – Parte IV – Resolución 6</w:t>
        </w:r>
        <w:r>
          <w:rPr>
            <w:rFonts w:ascii="Calibri" w:hAnsi="Calibri"/>
            <w:sz w:val="16"/>
            <w:szCs w:val="16"/>
            <w:lang w:val="fr-FR"/>
          </w:rPr>
          <w:t>0</w:t>
        </w:r>
        <w:r w:rsidRPr="00406111">
          <w:rPr>
            <w:rFonts w:ascii="Calibri" w:hAnsi="Calibri"/>
            <w:sz w:val="16"/>
            <w:szCs w:val="16"/>
            <w:lang w:val="fr-FR"/>
          </w:rPr>
          <w:tab/>
        </w:r>
        <w:r w:rsidRPr="00406111">
          <w:rPr>
            <w:rFonts w:ascii="Calibri" w:hAnsi="Calibri"/>
            <w:sz w:val="16"/>
            <w:szCs w:val="16"/>
          </w:rPr>
          <w:fldChar w:fldCharType="begin"/>
        </w:r>
        <w:r w:rsidRPr="00406111">
          <w:rPr>
            <w:rFonts w:ascii="Calibri" w:hAnsi="Calibri"/>
            <w:sz w:val="16"/>
            <w:szCs w:val="16"/>
            <w:lang w:val="fr-FR"/>
          </w:rPr>
          <w:instrText xml:space="preserve"> PAGE   \* MERGEFORMAT </w:instrText>
        </w:r>
        <w:r w:rsidRPr="00406111">
          <w:rPr>
            <w:rFonts w:ascii="Calibri" w:hAnsi="Calibri"/>
            <w:sz w:val="16"/>
            <w:szCs w:val="16"/>
          </w:rPr>
          <w:fldChar w:fldCharType="separate"/>
        </w:r>
        <w:r>
          <w:rPr>
            <w:rFonts w:ascii="Calibri" w:hAnsi="Calibri"/>
            <w:sz w:val="16"/>
            <w:szCs w:val="16"/>
          </w:rPr>
          <w:t>1</w:t>
        </w:r>
        <w:r w:rsidRPr="00406111">
          <w:rPr>
            <w:rFonts w:ascii="Calibri" w:hAnsi="Calibri"/>
            <w:noProof/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0C"/>
    <w:rsid w:val="00400A99"/>
    <w:rsid w:val="0045258F"/>
    <w:rsid w:val="004A0B3D"/>
    <w:rsid w:val="0051703C"/>
    <w:rsid w:val="005C0E4B"/>
    <w:rsid w:val="00600EDA"/>
    <w:rsid w:val="007359FB"/>
    <w:rsid w:val="0076311C"/>
    <w:rsid w:val="008630CC"/>
    <w:rsid w:val="00950AD1"/>
    <w:rsid w:val="00A0760C"/>
    <w:rsid w:val="00DC1DAE"/>
    <w:rsid w:val="00F06AC3"/>
    <w:rsid w:val="00F16487"/>
    <w:rsid w:val="00F7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0698"/>
  <w15:chartTrackingRefBased/>
  <w15:docId w15:val="{C7863298-F7C6-4E3E-AAD5-4EECFAB2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60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eastAsia="Times New Roman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76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A0760C"/>
    <w:pPr>
      <w:keepNext/>
      <w:keepLines/>
      <w:spacing w:before="160"/>
      <w:ind w:left="113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A0760C"/>
    <w:pPr>
      <w:spacing w:before="280"/>
    </w:pPr>
  </w:style>
  <w:style w:type="paragraph" w:customStyle="1" w:styleId="ResNo">
    <w:name w:val="Res_No"/>
    <w:basedOn w:val="Heading2"/>
    <w:next w:val="Normal"/>
    <w:link w:val="ResNoChar"/>
    <w:rsid w:val="00A0760C"/>
    <w:pPr>
      <w:spacing w:before="200"/>
      <w:ind w:left="1134" w:hanging="1134"/>
      <w:jc w:val="center"/>
      <w:outlineLvl w:val="0"/>
    </w:pPr>
    <w:rPr>
      <w:rFonts w:asciiTheme="minorHAnsi" w:eastAsia="Times New Roman" w:hAnsiTheme="minorHAnsi" w:cs="Times New Roman"/>
      <w:color w:val="auto"/>
      <w:sz w:val="28"/>
      <w:szCs w:val="20"/>
    </w:rPr>
  </w:style>
  <w:style w:type="paragraph" w:customStyle="1" w:styleId="Restitle">
    <w:name w:val="Res_title"/>
    <w:basedOn w:val="Normal"/>
    <w:next w:val="Normal"/>
    <w:link w:val="RestitleChar"/>
    <w:rsid w:val="00A0760C"/>
    <w:pPr>
      <w:keepNext/>
      <w:keepLines/>
      <w:spacing w:before="240"/>
      <w:jc w:val="center"/>
      <w:outlineLvl w:val="0"/>
    </w:pPr>
    <w:rPr>
      <w:b/>
      <w:sz w:val="28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A0760C"/>
    <w:rPr>
      <w:rFonts w:eastAsia="Times New Roman" w:cs="Times New Roman"/>
      <w:sz w:val="24"/>
      <w:szCs w:val="20"/>
      <w:lang w:val="en-GB"/>
    </w:rPr>
  </w:style>
  <w:style w:type="character" w:customStyle="1" w:styleId="href">
    <w:name w:val="href"/>
    <w:basedOn w:val="DefaultParagraphFont"/>
    <w:rsid w:val="00A0760C"/>
    <w:rPr>
      <w:color w:val="auto"/>
    </w:rPr>
  </w:style>
  <w:style w:type="character" w:customStyle="1" w:styleId="CallChar">
    <w:name w:val="Call Char"/>
    <w:basedOn w:val="DefaultParagraphFont"/>
    <w:link w:val="Call"/>
    <w:locked/>
    <w:rsid w:val="00A0760C"/>
    <w:rPr>
      <w:rFonts w:eastAsia="Times New Roman" w:cs="Times New Roman"/>
      <w:i/>
      <w:sz w:val="24"/>
      <w:szCs w:val="20"/>
      <w:lang w:val="en-GB"/>
    </w:rPr>
  </w:style>
  <w:style w:type="character" w:customStyle="1" w:styleId="RestitleChar">
    <w:name w:val="Res_title Char"/>
    <w:basedOn w:val="DefaultParagraphFont"/>
    <w:link w:val="Restitle"/>
    <w:rsid w:val="00A0760C"/>
    <w:rPr>
      <w:rFonts w:eastAsia="Times New Roman" w:cs="Times New Roman"/>
      <w:b/>
      <w:sz w:val="28"/>
      <w:szCs w:val="20"/>
      <w:lang w:val="en-GB"/>
    </w:rPr>
  </w:style>
  <w:style w:type="character" w:customStyle="1" w:styleId="ResNoChar">
    <w:name w:val="Res_No Char"/>
    <w:basedOn w:val="DefaultParagraphFont"/>
    <w:link w:val="ResNo"/>
    <w:rsid w:val="00A0760C"/>
    <w:rPr>
      <w:rFonts w:eastAsia="Times New Roman" w:cs="Times New Roman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76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0760C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0760C"/>
    <w:rPr>
      <w:rFonts w:eastAsia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760C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0760C"/>
    <w:rPr>
      <w:rFonts w:eastAsia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60 (Hyderabad, 2010)</dc:title>
  <dc:subject/>
  <dc:creator>Saez Grau, Ricardo</dc:creator>
  <cp:keywords/>
  <dc:description/>
  <cp:lastModifiedBy>Saez Grau, Ricardo</cp:lastModifiedBy>
  <cp:revision>1</cp:revision>
  <dcterms:created xsi:type="dcterms:W3CDTF">2023-10-17T12:44:00Z</dcterms:created>
  <dcterms:modified xsi:type="dcterms:W3CDTF">2023-10-17T12:48:00Z</dcterms:modified>
</cp:coreProperties>
</file>