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3982"/>
        <w:gridCol w:w="4371"/>
      </w:tblGrid>
      <w:tr w:rsidR="00DD68CA" w:rsidRPr="00787100" w14:paraId="418A3089" w14:textId="77777777" w:rsidTr="00DD68CA">
        <w:trPr>
          <w:cantSplit/>
        </w:trPr>
        <w:tc>
          <w:tcPr>
            <w:tcW w:w="1560" w:type="dxa"/>
            <w:gridSpan w:val="2"/>
          </w:tcPr>
          <w:p w14:paraId="6906C9FA" w14:textId="77777777" w:rsidR="00DD68CA" w:rsidRPr="00787100" w:rsidRDefault="00DD68CA" w:rsidP="00867192">
            <w:pPr>
              <w:spacing w:before="0"/>
              <w:rPr>
                <w:b/>
                <w:bCs/>
                <w:lang w:val="ru-RU"/>
              </w:rPr>
            </w:pPr>
            <w:r w:rsidRPr="00787100">
              <w:rPr>
                <w:noProof/>
                <w:lang w:val="ru-RU"/>
              </w:rPr>
              <w:drawing>
                <wp:inline distT="0" distB="0" distL="0" distR="0" wp14:anchorId="2FEA1693" wp14:editId="4270C46B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  <w:vAlign w:val="center"/>
          </w:tcPr>
          <w:p w14:paraId="447F7A00" w14:textId="77777777" w:rsidR="00DD68CA" w:rsidRPr="00787100" w:rsidRDefault="00DD68CA" w:rsidP="00DD68CA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87100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69782757" w14:textId="77777777" w:rsidR="00DD68CA" w:rsidRPr="00787100" w:rsidRDefault="00DD68CA" w:rsidP="00DD68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87100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  <w:tr w:rsidR="00DD68CA" w:rsidRPr="00787100" w14:paraId="2CF8C0AA" w14:textId="77777777" w:rsidTr="00DD68CA">
        <w:trPr>
          <w:cantSplit/>
        </w:trPr>
        <w:tc>
          <w:tcPr>
            <w:tcW w:w="1418" w:type="dxa"/>
          </w:tcPr>
          <w:p w14:paraId="6D74E23D" w14:textId="77777777" w:rsidR="00DD68CA" w:rsidRPr="00787100" w:rsidRDefault="00DD68CA" w:rsidP="00867192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4124" w:type="dxa"/>
            <w:gridSpan w:val="2"/>
          </w:tcPr>
          <w:p w14:paraId="381842A2" w14:textId="77777777" w:rsidR="00DD68CA" w:rsidRPr="00787100" w:rsidRDefault="00DD68CA" w:rsidP="00867192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4371" w:type="dxa"/>
          </w:tcPr>
          <w:p w14:paraId="15C12017" w14:textId="77777777" w:rsidR="00DD68CA" w:rsidRPr="00787100" w:rsidRDefault="00DD68CA" w:rsidP="00DD68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84"/>
              <w:rPr>
                <w:lang w:val="ru-RU"/>
              </w:rPr>
            </w:pPr>
            <w:r w:rsidRPr="00787100">
              <w:rPr>
                <w:lang w:val="ru-RU"/>
              </w:rPr>
              <w:t xml:space="preserve">Женева, </w:t>
            </w:r>
            <w:r w:rsidR="00413F7A" w:rsidRPr="00787100">
              <w:rPr>
                <w:lang w:val="ru-RU"/>
              </w:rPr>
              <w:t>19 января 2023 года</w:t>
            </w:r>
          </w:p>
        </w:tc>
      </w:tr>
      <w:tr w:rsidR="00DD68CA" w:rsidRPr="00787100" w14:paraId="7BB648E0" w14:textId="77777777" w:rsidTr="00DD68CA">
        <w:trPr>
          <w:cantSplit/>
        </w:trPr>
        <w:tc>
          <w:tcPr>
            <w:tcW w:w="1418" w:type="dxa"/>
          </w:tcPr>
          <w:p w14:paraId="5E03F6F9" w14:textId="77777777" w:rsidR="00DD68CA" w:rsidRPr="00787100" w:rsidRDefault="00DD68CA" w:rsidP="00867192">
            <w:pPr>
              <w:spacing w:before="0"/>
              <w:rPr>
                <w:bCs/>
                <w:lang w:val="ru-RU"/>
              </w:rPr>
            </w:pPr>
            <w:proofErr w:type="spellStart"/>
            <w:r w:rsidRPr="00787100">
              <w:rPr>
                <w:bCs/>
                <w:lang w:val="ru-RU"/>
              </w:rPr>
              <w:t>Осн</w:t>
            </w:r>
            <w:proofErr w:type="spellEnd"/>
            <w:r w:rsidRPr="00787100">
              <w:rPr>
                <w:bCs/>
                <w:lang w:val="ru-RU"/>
              </w:rPr>
              <w:t>.:</w:t>
            </w:r>
          </w:p>
        </w:tc>
        <w:tc>
          <w:tcPr>
            <w:tcW w:w="4124" w:type="dxa"/>
            <w:gridSpan w:val="2"/>
          </w:tcPr>
          <w:p w14:paraId="592697A8" w14:textId="77777777" w:rsidR="00DD68CA" w:rsidRPr="00787100" w:rsidRDefault="00DD68CA" w:rsidP="00867192">
            <w:pPr>
              <w:spacing w:before="0"/>
              <w:rPr>
                <w:lang w:val="ru-RU"/>
              </w:rPr>
            </w:pPr>
            <w:r w:rsidRPr="00787100">
              <w:rPr>
                <w:b/>
                <w:bCs/>
                <w:lang w:val="ru-RU"/>
              </w:rPr>
              <w:t xml:space="preserve">Циркуляр </w:t>
            </w:r>
            <w:r w:rsidR="00413F7A" w:rsidRPr="00787100">
              <w:rPr>
                <w:b/>
                <w:bCs/>
                <w:lang w:val="ru-RU"/>
              </w:rPr>
              <w:t>69</w:t>
            </w:r>
            <w:r w:rsidRPr="00787100">
              <w:rPr>
                <w:b/>
                <w:bCs/>
                <w:lang w:val="ru-RU"/>
              </w:rPr>
              <w:t xml:space="preserve"> БСЭ</w:t>
            </w:r>
            <w:r w:rsidRPr="00787100">
              <w:rPr>
                <w:b/>
                <w:bCs/>
                <w:lang w:val="ru-RU"/>
              </w:rPr>
              <w:br/>
            </w:r>
            <w:bookmarkStart w:id="0" w:name="lt_pId022"/>
            <w:r w:rsidR="00413F7A" w:rsidRPr="00787100">
              <w:rPr>
                <w:b/>
                <w:bCs/>
                <w:lang w:val="ru-RU"/>
              </w:rPr>
              <w:t>FG-MV/CB</w:t>
            </w:r>
            <w:bookmarkEnd w:id="0"/>
          </w:p>
          <w:p w14:paraId="3894E2C5" w14:textId="77777777" w:rsidR="00DD68CA" w:rsidRPr="00787100" w:rsidRDefault="00DD68CA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  <w:vMerge w:val="restart"/>
          </w:tcPr>
          <w:p w14:paraId="42CC7822" w14:textId="77777777" w:rsidR="00DC7988" w:rsidRPr="00787100" w:rsidRDefault="00DC7988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87100">
              <w:rPr>
                <w:b/>
                <w:bCs/>
                <w:lang w:val="ru-RU"/>
              </w:rPr>
              <w:t>Кому</w:t>
            </w:r>
            <w:r w:rsidRPr="00787100">
              <w:rPr>
                <w:lang w:val="ru-RU"/>
              </w:rPr>
              <w:t>:</w:t>
            </w:r>
          </w:p>
          <w:p w14:paraId="39297EA7" w14:textId="77777777" w:rsidR="00DD68CA" w:rsidRPr="00787100" w:rsidRDefault="00DD68CA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87100">
              <w:rPr>
                <w:lang w:val="ru-RU"/>
              </w:rPr>
              <w:t>–</w:t>
            </w:r>
            <w:r w:rsidRPr="00787100">
              <w:rPr>
                <w:lang w:val="ru-RU"/>
              </w:rPr>
              <w:tab/>
              <w:t>Администрациям Государств – Членов Союза</w:t>
            </w:r>
          </w:p>
          <w:p w14:paraId="07EC9F64" w14:textId="77777777" w:rsidR="00413F7A" w:rsidRPr="00787100" w:rsidRDefault="00413F7A" w:rsidP="00413F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bookmarkStart w:id="1" w:name="lt_pId027"/>
            <w:r w:rsidRPr="00787100">
              <w:rPr>
                <w:lang w:val="ru-RU"/>
              </w:rPr>
              <w:t>−</w:t>
            </w:r>
            <w:r w:rsidRPr="00787100">
              <w:rPr>
                <w:lang w:val="ru-RU"/>
              </w:rPr>
              <w:tab/>
              <w:t>Членам Сектора МСЭ-Т</w:t>
            </w:r>
            <w:bookmarkEnd w:id="1"/>
          </w:p>
          <w:p w14:paraId="1BAB8730" w14:textId="77777777" w:rsidR="00413F7A" w:rsidRPr="00787100" w:rsidRDefault="00413F7A" w:rsidP="00413F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87100">
              <w:rPr>
                <w:lang w:val="ru-RU"/>
              </w:rPr>
              <w:t>−</w:t>
            </w:r>
            <w:r w:rsidRPr="00787100">
              <w:rPr>
                <w:lang w:val="ru-RU"/>
              </w:rPr>
              <w:tab/>
              <w:t>Ассоциированным членам МСЭ-Т</w:t>
            </w:r>
          </w:p>
          <w:p w14:paraId="1E6DF755" w14:textId="77777777" w:rsidR="00413F7A" w:rsidRPr="00787100" w:rsidRDefault="00413F7A" w:rsidP="00413F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87100">
              <w:rPr>
                <w:lang w:val="ru-RU"/>
              </w:rPr>
              <w:t>−</w:t>
            </w:r>
            <w:r w:rsidRPr="00787100">
              <w:rPr>
                <w:lang w:val="ru-RU"/>
              </w:rPr>
              <w:tab/>
              <w:t>Академическим организациям − Членам МСЭ</w:t>
            </w:r>
            <w:r w:rsidRPr="00787100">
              <w:rPr>
                <w:lang w:val="ru-RU"/>
              </w:rPr>
              <w:noBreakHyphen/>
              <w:t>Т</w:t>
            </w:r>
          </w:p>
        </w:tc>
      </w:tr>
      <w:tr w:rsidR="00DD68CA" w:rsidRPr="00787100" w14:paraId="3FEAC860" w14:textId="77777777" w:rsidTr="00DD68CA">
        <w:trPr>
          <w:cantSplit/>
        </w:trPr>
        <w:tc>
          <w:tcPr>
            <w:tcW w:w="1418" w:type="dxa"/>
          </w:tcPr>
          <w:p w14:paraId="1B16A0C7" w14:textId="77777777" w:rsidR="00DD68CA" w:rsidRPr="00787100" w:rsidRDefault="00DD68CA" w:rsidP="00867192">
            <w:pPr>
              <w:spacing w:before="0"/>
              <w:rPr>
                <w:bCs/>
                <w:lang w:val="ru-RU"/>
              </w:rPr>
            </w:pPr>
            <w:r w:rsidRPr="00787100">
              <w:rPr>
                <w:bCs/>
                <w:lang w:val="ru-RU"/>
              </w:rPr>
              <w:t>Тел.:</w:t>
            </w:r>
          </w:p>
        </w:tc>
        <w:tc>
          <w:tcPr>
            <w:tcW w:w="4124" w:type="dxa"/>
            <w:gridSpan w:val="2"/>
          </w:tcPr>
          <w:p w14:paraId="4E22BF3E" w14:textId="77777777" w:rsidR="00DD68CA" w:rsidRPr="00787100" w:rsidRDefault="00DD68CA" w:rsidP="00413F7A">
            <w:pPr>
              <w:spacing w:before="0"/>
              <w:rPr>
                <w:lang w:val="ru-RU"/>
              </w:rPr>
            </w:pPr>
            <w:r w:rsidRPr="00787100">
              <w:rPr>
                <w:lang w:val="ru-RU"/>
              </w:rPr>
              <w:t xml:space="preserve">+41 22 730 </w:t>
            </w:r>
            <w:r w:rsidR="00413F7A" w:rsidRPr="00787100">
              <w:rPr>
                <w:lang w:val="ru-RU"/>
              </w:rPr>
              <w:t>6301</w:t>
            </w:r>
          </w:p>
        </w:tc>
        <w:tc>
          <w:tcPr>
            <w:tcW w:w="4371" w:type="dxa"/>
            <w:vMerge/>
          </w:tcPr>
          <w:p w14:paraId="260F9C45" w14:textId="77777777" w:rsidR="00DD68CA" w:rsidRPr="00787100" w:rsidRDefault="00DD68CA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DD68CA" w:rsidRPr="00787100" w14:paraId="06CD7D01" w14:textId="77777777" w:rsidTr="00DD68CA">
        <w:trPr>
          <w:cantSplit/>
        </w:trPr>
        <w:tc>
          <w:tcPr>
            <w:tcW w:w="1418" w:type="dxa"/>
          </w:tcPr>
          <w:p w14:paraId="2D15E564" w14:textId="77777777" w:rsidR="00DD68CA" w:rsidRPr="00787100" w:rsidRDefault="00DD68CA" w:rsidP="00867192">
            <w:pPr>
              <w:spacing w:before="0"/>
              <w:rPr>
                <w:bCs/>
                <w:lang w:val="ru-RU"/>
              </w:rPr>
            </w:pPr>
            <w:r w:rsidRPr="00787100">
              <w:rPr>
                <w:bCs/>
                <w:lang w:val="ru-RU"/>
              </w:rPr>
              <w:t>Факс:</w:t>
            </w:r>
          </w:p>
        </w:tc>
        <w:tc>
          <w:tcPr>
            <w:tcW w:w="4124" w:type="dxa"/>
            <w:gridSpan w:val="2"/>
          </w:tcPr>
          <w:p w14:paraId="3C0DF0FD" w14:textId="77777777" w:rsidR="00DD68CA" w:rsidRPr="00787100" w:rsidRDefault="00DD68CA" w:rsidP="007752C4">
            <w:pPr>
              <w:spacing w:before="0"/>
              <w:rPr>
                <w:lang w:val="ru-RU"/>
              </w:rPr>
            </w:pPr>
            <w:r w:rsidRPr="00787100">
              <w:rPr>
                <w:lang w:val="ru-RU"/>
              </w:rPr>
              <w:t>+41 22 730 5853</w:t>
            </w:r>
          </w:p>
        </w:tc>
        <w:tc>
          <w:tcPr>
            <w:tcW w:w="4371" w:type="dxa"/>
            <w:vMerge/>
          </w:tcPr>
          <w:p w14:paraId="7DE2F492" w14:textId="77777777" w:rsidR="00DD68CA" w:rsidRPr="00787100" w:rsidRDefault="00DD68CA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1629DC" w:rsidRPr="00787100" w14:paraId="1C42B01B" w14:textId="77777777" w:rsidTr="00DD68CA">
        <w:trPr>
          <w:cantSplit/>
        </w:trPr>
        <w:tc>
          <w:tcPr>
            <w:tcW w:w="1418" w:type="dxa"/>
          </w:tcPr>
          <w:p w14:paraId="14413B80" w14:textId="77777777" w:rsidR="001629DC" w:rsidRPr="00787100" w:rsidRDefault="001629DC" w:rsidP="00DD68CA">
            <w:pPr>
              <w:spacing w:before="0"/>
              <w:rPr>
                <w:bCs/>
                <w:lang w:val="ru-RU"/>
              </w:rPr>
            </w:pPr>
            <w:r w:rsidRPr="00787100">
              <w:rPr>
                <w:bCs/>
                <w:lang w:val="ru-RU"/>
              </w:rPr>
              <w:t>Эл. почта:</w:t>
            </w:r>
          </w:p>
        </w:tc>
        <w:tc>
          <w:tcPr>
            <w:tcW w:w="4124" w:type="dxa"/>
            <w:gridSpan w:val="2"/>
          </w:tcPr>
          <w:p w14:paraId="25945074" w14:textId="77777777" w:rsidR="001629DC" w:rsidRPr="00787100" w:rsidRDefault="00402C13" w:rsidP="00DD68CA">
            <w:pPr>
              <w:spacing w:before="0"/>
              <w:rPr>
                <w:lang w:val="ru-RU"/>
              </w:rPr>
            </w:pPr>
            <w:hyperlink r:id="rId9" w:history="1">
              <w:bookmarkStart w:id="2" w:name="lt_pId037"/>
              <w:r w:rsidR="00413F7A" w:rsidRPr="00787100">
                <w:rPr>
                  <w:rStyle w:val="Hyperlink"/>
                  <w:lang w:val="ru-RU"/>
                </w:rPr>
                <w:t>tsbfgmv@itu.int</w:t>
              </w:r>
              <w:bookmarkEnd w:id="2"/>
            </w:hyperlink>
          </w:p>
        </w:tc>
        <w:tc>
          <w:tcPr>
            <w:tcW w:w="4371" w:type="dxa"/>
          </w:tcPr>
          <w:p w14:paraId="45DF3966" w14:textId="77777777" w:rsidR="001629DC" w:rsidRPr="00787100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87100">
              <w:rPr>
                <w:b/>
                <w:bCs/>
                <w:lang w:val="ru-RU"/>
              </w:rPr>
              <w:t>Копии</w:t>
            </w:r>
            <w:r w:rsidRPr="00787100">
              <w:rPr>
                <w:lang w:val="ru-RU"/>
              </w:rPr>
              <w:t>:</w:t>
            </w:r>
          </w:p>
          <w:p w14:paraId="1FA9CDEE" w14:textId="77777777" w:rsidR="00413F7A" w:rsidRPr="00787100" w:rsidRDefault="001629DC" w:rsidP="00413F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87100">
              <w:rPr>
                <w:lang w:val="ru-RU"/>
              </w:rPr>
              <w:t>–</w:t>
            </w:r>
            <w:r w:rsidRPr="00787100">
              <w:rPr>
                <w:lang w:val="ru-RU"/>
              </w:rPr>
              <w:tab/>
            </w:r>
            <w:r w:rsidR="00816365" w:rsidRPr="00787100">
              <w:rPr>
                <w:lang w:val="ru-RU"/>
              </w:rPr>
              <w:t>Председателям и заместителям председателей исследовательских комиссий МСЭ-Т</w:t>
            </w:r>
          </w:p>
          <w:p w14:paraId="504DEF10" w14:textId="77777777" w:rsidR="00413F7A" w:rsidRPr="00787100" w:rsidRDefault="00413F7A" w:rsidP="00413F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87100">
              <w:rPr>
                <w:lang w:val="ru-RU"/>
              </w:rPr>
              <w:t>−</w:t>
            </w:r>
            <w:r w:rsidRPr="00787100">
              <w:rPr>
                <w:lang w:val="ru-RU"/>
              </w:rPr>
              <w:tab/>
            </w:r>
            <w:bookmarkStart w:id="3" w:name="lt_pId043"/>
            <w:r w:rsidR="00816365" w:rsidRPr="00787100">
              <w:rPr>
                <w:lang w:val="ru-RU"/>
              </w:rPr>
              <w:t>Директору Бюро развития электросвязи</w:t>
            </w:r>
            <w:bookmarkEnd w:id="3"/>
          </w:p>
          <w:p w14:paraId="58D91D37" w14:textId="77777777" w:rsidR="001629DC" w:rsidRPr="00787100" w:rsidRDefault="00413F7A" w:rsidP="00413F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87100">
              <w:rPr>
                <w:lang w:val="ru-RU"/>
              </w:rPr>
              <w:t>−</w:t>
            </w:r>
            <w:r w:rsidRPr="00787100">
              <w:rPr>
                <w:lang w:val="ru-RU"/>
              </w:rPr>
              <w:tab/>
            </w:r>
            <w:r w:rsidR="00816365" w:rsidRPr="00787100">
              <w:rPr>
                <w:lang w:val="ru-RU"/>
              </w:rPr>
              <w:t>Директору Бюро радиосвязи</w:t>
            </w:r>
          </w:p>
        </w:tc>
      </w:tr>
      <w:tr w:rsidR="001629DC" w:rsidRPr="00787100" w14:paraId="77045910" w14:textId="77777777" w:rsidTr="00DD68CA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456ACF94" w14:textId="77777777" w:rsidR="001629DC" w:rsidRPr="00787100" w:rsidRDefault="001629DC" w:rsidP="006636A5">
            <w:pPr>
              <w:spacing w:before="240"/>
              <w:rPr>
                <w:b/>
                <w:bCs/>
                <w:lang w:val="ru-RU"/>
              </w:rPr>
            </w:pPr>
            <w:r w:rsidRPr="00787100">
              <w:rPr>
                <w:b/>
                <w:bCs/>
                <w:lang w:val="ru-RU"/>
              </w:rPr>
              <w:t>Предмет</w:t>
            </w:r>
            <w:r w:rsidRPr="00787100">
              <w:rPr>
                <w:bCs/>
                <w:lang w:val="ru-RU"/>
              </w:rPr>
              <w:t>:</w:t>
            </w:r>
          </w:p>
        </w:tc>
        <w:tc>
          <w:tcPr>
            <w:tcW w:w="8495" w:type="dxa"/>
            <w:gridSpan w:val="3"/>
          </w:tcPr>
          <w:p w14:paraId="2DAA3D74" w14:textId="48B73638" w:rsidR="001629DC" w:rsidRPr="00787100" w:rsidRDefault="004D4496" w:rsidP="006636A5">
            <w:pPr>
              <w:spacing w:before="240"/>
              <w:rPr>
                <w:lang w:val="ru-RU"/>
              </w:rPr>
            </w:pPr>
            <w:r w:rsidRPr="00787100">
              <w:rPr>
                <w:b/>
                <w:bCs/>
                <w:lang w:val="ru-RU"/>
              </w:rPr>
              <w:t xml:space="preserve">Создание новой Оперативной группы МСЭ-Т по </w:t>
            </w:r>
            <w:proofErr w:type="spellStart"/>
            <w:r w:rsidRPr="00787100">
              <w:rPr>
                <w:b/>
                <w:bCs/>
                <w:lang w:val="ru-RU"/>
              </w:rPr>
              <w:t>метавселенной</w:t>
            </w:r>
            <w:proofErr w:type="spellEnd"/>
            <w:r w:rsidRPr="00787100">
              <w:rPr>
                <w:b/>
                <w:bCs/>
                <w:lang w:val="ru-RU"/>
              </w:rPr>
              <w:t xml:space="preserve"> (ОГ</w:t>
            </w:r>
            <w:r w:rsidR="00413F7A" w:rsidRPr="00787100">
              <w:rPr>
                <w:b/>
                <w:bCs/>
                <w:lang w:val="ru-RU"/>
              </w:rPr>
              <w:t>-MV)</w:t>
            </w:r>
            <w:r w:rsidRPr="00787100">
              <w:rPr>
                <w:b/>
                <w:bCs/>
                <w:lang w:val="ru-RU"/>
              </w:rPr>
              <w:t xml:space="preserve"> и ее первое собрание в Эр-Рияде, Королевство Саудовская Аравия,</w:t>
            </w:r>
            <w:r w:rsidR="00413F7A" w:rsidRPr="00787100">
              <w:rPr>
                <w:b/>
                <w:bCs/>
                <w:lang w:val="ru-RU"/>
              </w:rPr>
              <w:t xml:space="preserve"> 8−9 </w:t>
            </w:r>
            <w:r w:rsidRPr="00787100">
              <w:rPr>
                <w:b/>
                <w:bCs/>
                <w:lang w:val="ru-RU"/>
              </w:rPr>
              <w:t>марта</w:t>
            </w:r>
            <w:r w:rsidR="00413F7A" w:rsidRPr="00787100">
              <w:rPr>
                <w:b/>
                <w:bCs/>
                <w:lang w:val="ru-RU"/>
              </w:rPr>
              <w:t xml:space="preserve"> 2023</w:t>
            </w:r>
            <w:r w:rsidRPr="00787100">
              <w:rPr>
                <w:b/>
                <w:bCs/>
                <w:lang w:val="ru-RU"/>
              </w:rPr>
              <w:t> года</w:t>
            </w:r>
          </w:p>
        </w:tc>
      </w:tr>
    </w:tbl>
    <w:p w14:paraId="7CD9B76A" w14:textId="77777777" w:rsidR="001629DC" w:rsidRPr="00787100" w:rsidRDefault="001629DC" w:rsidP="006636A5">
      <w:pPr>
        <w:pStyle w:val="Normalaftertitle"/>
        <w:spacing w:before="240"/>
        <w:rPr>
          <w:lang w:val="ru-RU"/>
        </w:rPr>
      </w:pPr>
      <w:r w:rsidRPr="00787100">
        <w:rPr>
          <w:lang w:val="ru-RU"/>
        </w:rPr>
        <w:t>Уважаемая госпожа,</w:t>
      </w:r>
      <w:r w:rsidRPr="00787100">
        <w:rPr>
          <w:lang w:val="ru-RU"/>
        </w:rPr>
        <w:br/>
        <w:t>уважаемый господин,</w:t>
      </w:r>
    </w:p>
    <w:p w14:paraId="475E6068" w14:textId="4E5FD77A" w:rsidR="00413F7A" w:rsidRPr="00787100" w:rsidRDefault="00413F7A" w:rsidP="006636A5">
      <w:pPr>
        <w:jc w:val="both"/>
        <w:rPr>
          <w:lang w:val="ru-RU"/>
        </w:rPr>
      </w:pPr>
      <w:r w:rsidRPr="00787100">
        <w:rPr>
          <w:lang w:val="ru-RU"/>
        </w:rPr>
        <w:t>1</w:t>
      </w:r>
      <w:r w:rsidRPr="00787100">
        <w:rPr>
          <w:lang w:val="ru-RU"/>
        </w:rPr>
        <w:tab/>
      </w:r>
      <w:r w:rsidR="009416D6" w:rsidRPr="00787100">
        <w:rPr>
          <w:lang w:val="ru-RU"/>
        </w:rPr>
        <w:t>В соответствии с соглашением, достигнутым Консультативной группой по стандартизации электросвязи МСЭ-Т (КГСЭ) на ее собрании 12–16 декабря</w:t>
      </w:r>
      <w:r w:rsidRPr="00787100">
        <w:rPr>
          <w:lang w:val="ru-RU"/>
        </w:rPr>
        <w:t xml:space="preserve"> 2022</w:t>
      </w:r>
      <w:r w:rsidR="009416D6" w:rsidRPr="00787100">
        <w:rPr>
          <w:lang w:val="ru-RU"/>
        </w:rPr>
        <w:t> года</w:t>
      </w:r>
      <w:r w:rsidRPr="00787100">
        <w:rPr>
          <w:lang w:val="ru-RU"/>
        </w:rPr>
        <w:t xml:space="preserve">, </w:t>
      </w:r>
      <w:r w:rsidR="009416D6" w:rsidRPr="00787100">
        <w:rPr>
          <w:lang w:val="ru-RU"/>
        </w:rPr>
        <w:t xml:space="preserve">имею честь объявить о создании новой </w:t>
      </w:r>
      <w:hyperlink r:id="rId10" w:history="1">
        <w:r w:rsidR="009416D6" w:rsidRPr="00787100">
          <w:rPr>
            <w:rStyle w:val="Hyperlink"/>
            <w:lang w:val="ru-RU"/>
          </w:rPr>
          <w:t xml:space="preserve">Оперативной группы МСЭ-Т по </w:t>
        </w:r>
        <w:proofErr w:type="spellStart"/>
        <w:r w:rsidR="009416D6" w:rsidRPr="00787100">
          <w:rPr>
            <w:rStyle w:val="Hyperlink"/>
            <w:lang w:val="ru-RU"/>
          </w:rPr>
          <w:t>метавселенной</w:t>
        </w:r>
        <w:proofErr w:type="spellEnd"/>
        <w:r w:rsidR="009416D6" w:rsidRPr="00787100">
          <w:rPr>
            <w:rStyle w:val="Hyperlink"/>
            <w:lang w:val="ru-RU"/>
          </w:rPr>
          <w:t xml:space="preserve"> (ОГ</w:t>
        </w:r>
        <w:r w:rsidR="009416D6" w:rsidRPr="00787100">
          <w:rPr>
            <w:rStyle w:val="Hyperlink"/>
            <w:lang w:val="ru-RU"/>
          </w:rPr>
          <w:noBreakHyphen/>
        </w:r>
        <w:r w:rsidRPr="00787100">
          <w:rPr>
            <w:rStyle w:val="Hyperlink"/>
            <w:lang w:val="ru-RU"/>
          </w:rPr>
          <w:t>MV)</w:t>
        </w:r>
      </w:hyperlink>
      <w:r w:rsidRPr="00787100">
        <w:rPr>
          <w:lang w:val="ru-RU"/>
        </w:rPr>
        <w:t>.</w:t>
      </w:r>
    </w:p>
    <w:p w14:paraId="0AA55C36" w14:textId="1A2DB3CD" w:rsidR="00413F7A" w:rsidRPr="00787100" w:rsidRDefault="00413F7A" w:rsidP="006636A5">
      <w:pPr>
        <w:shd w:val="clear" w:color="auto" w:fill="FFFFFF" w:themeFill="background1"/>
        <w:jc w:val="both"/>
        <w:rPr>
          <w:rFonts w:cstheme="minorHAnsi"/>
          <w:szCs w:val="22"/>
          <w:lang w:val="ru-RU"/>
        </w:rPr>
      </w:pPr>
      <w:r w:rsidRPr="00787100">
        <w:rPr>
          <w:rFonts w:cstheme="minorHAnsi"/>
          <w:szCs w:val="22"/>
          <w:lang w:val="ru-RU"/>
        </w:rPr>
        <w:t>2</w:t>
      </w:r>
      <w:r w:rsidRPr="00787100">
        <w:rPr>
          <w:rFonts w:cstheme="minorHAnsi"/>
          <w:szCs w:val="22"/>
          <w:lang w:val="ru-RU"/>
        </w:rPr>
        <w:tab/>
      </w:r>
      <w:bookmarkStart w:id="4" w:name="lt_pId052"/>
      <w:r w:rsidR="009416D6" w:rsidRPr="00787100">
        <w:rPr>
          <w:rFonts w:cstheme="minorHAnsi"/>
          <w:szCs w:val="22"/>
          <w:lang w:val="ru-RU"/>
        </w:rPr>
        <w:t>Под председательством д</w:t>
      </w:r>
      <w:r w:rsidR="009416D6" w:rsidRPr="00787100">
        <w:rPr>
          <w:rFonts w:cstheme="minorHAnsi"/>
          <w:szCs w:val="22"/>
          <w:lang w:val="ru-RU"/>
        </w:rPr>
        <w:noBreakHyphen/>
        <w:t xml:space="preserve">ра </w:t>
      </w:r>
      <w:r w:rsidR="009416D6" w:rsidRPr="00787100">
        <w:rPr>
          <w:rFonts w:cstheme="minorHAnsi"/>
          <w:color w:val="000000"/>
          <w:szCs w:val="22"/>
          <w:shd w:val="clear" w:color="auto" w:fill="FFFFFF" w:themeFill="background1"/>
          <w:lang w:val="ru-RU"/>
        </w:rPr>
        <w:t>Син-Гак Кана</w:t>
      </w:r>
      <w:r w:rsidR="009416D6" w:rsidRPr="00787100">
        <w:rPr>
          <w:rFonts w:cstheme="minorHAnsi"/>
          <w:szCs w:val="22"/>
          <w:lang w:val="ru-RU"/>
        </w:rPr>
        <w:t xml:space="preserve"> (ETRI, Республика Корея) ОГ-MV проведет анализ технических требований </w:t>
      </w:r>
      <w:proofErr w:type="spellStart"/>
      <w:r w:rsidR="009416D6" w:rsidRPr="00787100">
        <w:rPr>
          <w:rFonts w:cstheme="minorHAnsi"/>
          <w:szCs w:val="22"/>
          <w:lang w:val="ru-RU"/>
        </w:rPr>
        <w:t>метавселенной</w:t>
      </w:r>
      <w:proofErr w:type="spellEnd"/>
      <w:r w:rsidR="009416D6" w:rsidRPr="00787100">
        <w:rPr>
          <w:rFonts w:cstheme="minorHAnsi"/>
          <w:szCs w:val="22"/>
          <w:lang w:val="ru-RU"/>
        </w:rPr>
        <w:t xml:space="preserve"> для определения основополагающих опорных технологий в</w:t>
      </w:r>
      <w:r w:rsidR="00EE5A96" w:rsidRPr="00787100">
        <w:rPr>
          <w:rFonts w:cstheme="minorHAnsi"/>
          <w:szCs w:val="22"/>
          <w:lang w:val="ru-RU"/>
        </w:rPr>
        <w:t xml:space="preserve"> различных </w:t>
      </w:r>
      <w:r w:rsidR="009416D6" w:rsidRPr="00787100">
        <w:rPr>
          <w:rFonts w:cstheme="minorHAnsi"/>
          <w:szCs w:val="22"/>
          <w:lang w:val="ru-RU"/>
        </w:rPr>
        <w:t xml:space="preserve">областях </w:t>
      </w:r>
      <w:r w:rsidR="00EE5A96" w:rsidRPr="00787100">
        <w:rPr>
          <w:rFonts w:cstheme="minorHAnsi"/>
          <w:szCs w:val="22"/>
          <w:lang w:val="ru-RU"/>
        </w:rPr>
        <w:t xml:space="preserve">– </w:t>
      </w:r>
      <w:r w:rsidR="009416D6" w:rsidRPr="00787100">
        <w:rPr>
          <w:rFonts w:cstheme="minorHAnsi"/>
          <w:szCs w:val="22"/>
          <w:lang w:val="ru-RU"/>
        </w:rPr>
        <w:t xml:space="preserve">от мультимедиа и </w:t>
      </w:r>
      <w:r w:rsidR="00C84ACD" w:rsidRPr="00787100">
        <w:rPr>
          <w:rFonts w:cstheme="minorHAnsi"/>
          <w:szCs w:val="22"/>
          <w:lang w:val="ru-RU"/>
        </w:rPr>
        <w:t xml:space="preserve">оптимизации </w:t>
      </w:r>
      <w:r w:rsidR="009416D6" w:rsidRPr="00787100">
        <w:rPr>
          <w:rFonts w:cstheme="minorHAnsi"/>
          <w:szCs w:val="22"/>
          <w:lang w:val="ru-RU"/>
        </w:rPr>
        <w:t>сетей до цифровых валют, интернета вещей, цифровых двойников и экологической устойчивости.</w:t>
      </w:r>
      <w:bookmarkEnd w:id="4"/>
      <w:r w:rsidR="009416D6" w:rsidRPr="00787100">
        <w:rPr>
          <w:rFonts w:cstheme="minorHAnsi"/>
          <w:szCs w:val="22"/>
          <w:lang w:val="ru-RU"/>
        </w:rPr>
        <w:t xml:space="preserve"> В руководящий состав ОГ-MV также входят г</w:t>
      </w:r>
      <w:r w:rsidR="006636A5" w:rsidRPr="00787100">
        <w:rPr>
          <w:rFonts w:cstheme="minorHAnsi"/>
          <w:szCs w:val="22"/>
          <w:lang w:val="ru-RU"/>
        </w:rPr>
        <w:noBreakHyphen/>
      </w:r>
      <w:r w:rsidR="009416D6" w:rsidRPr="00787100">
        <w:rPr>
          <w:rFonts w:cstheme="minorHAnsi"/>
          <w:szCs w:val="22"/>
          <w:lang w:val="ru-RU"/>
        </w:rPr>
        <w:t>н</w:t>
      </w:r>
      <w:r w:rsidR="006636A5" w:rsidRPr="00787100">
        <w:rPr>
          <w:rFonts w:cstheme="minorHAnsi"/>
          <w:szCs w:val="22"/>
          <w:lang w:val="ru-RU"/>
        </w:rPr>
        <w:t> </w:t>
      </w:r>
      <w:r w:rsidR="009416D6" w:rsidRPr="00787100">
        <w:rPr>
          <w:rFonts w:cstheme="minorHAnsi"/>
          <w:szCs w:val="22"/>
          <w:lang w:val="ru-RU"/>
        </w:rPr>
        <w:t xml:space="preserve">Андрей </w:t>
      </w:r>
      <w:proofErr w:type="spellStart"/>
      <w:r w:rsidR="009416D6" w:rsidRPr="00787100">
        <w:rPr>
          <w:rFonts w:cstheme="minorHAnsi"/>
          <w:szCs w:val="22"/>
          <w:lang w:val="ru-RU"/>
        </w:rPr>
        <w:t>Нунис</w:t>
      </w:r>
      <w:proofErr w:type="spellEnd"/>
      <w:r w:rsidR="009416D6" w:rsidRPr="00787100">
        <w:rPr>
          <w:rFonts w:cstheme="minorHAnsi"/>
          <w:szCs w:val="22"/>
          <w:lang w:val="ru-RU"/>
        </w:rPr>
        <w:t xml:space="preserve"> </w:t>
      </w:r>
      <w:r w:rsidRPr="00787100">
        <w:rPr>
          <w:rFonts w:cstheme="minorHAnsi"/>
          <w:szCs w:val="22"/>
          <w:lang w:val="ru-RU"/>
        </w:rPr>
        <w:t>(</w:t>
      </w:r>
      <w:r w:rsidR="009416D6" w:rsidRPr="00787100">
        <w:rPr>
          <w:rFonts w:cstheme="minorHAnsi"/>
          <w:szCs w:val="22"/>
          <w:lang w:val="ru-RU"/>
        </w:rPr>
        <w:t>Бразилия</w:t>
      </w:r>
      <w:r w:rsidRPr="00787100">
        <w:rPr>
          <w:rFonts w:cstheme="minorHAnsi"/>
          <w:szCs w:val="22"/>
          <w:lang w:val="ru-RU"/>
        </w:rPr>
        <w:t xml:space="preserve">), </w:t>
      </w:r>
      <w:r w:rsidR="009416D6" w:rsidRPr="00787100">
        <w:rPr>
          <w:rFonts w:cstheme="minorHAnsi"/>
          <w:szCs w:val="22"/>
          <w:lang w:val="ru-RU"/>
        </w:rPr>
        <w:t>д</w:t>
      </w:r>
      <w:r w:rsidR="009416D6" w:rsidRPr="00787100">
        <w:rPr>
          <w:rFonts w:cstheme="minorHAnsi"/>
          <w:szCs w:val="22"/>
          <w:lang w:val="ru-RU"/>
        </w:rPr>
        <w:noBreakHyphen/>
        <w:t xml:space="preserve">р </w:t>
      </w:r>
      <w:proofErr w:type="spellStart"/>
      <w:r w:rsidR="009416D6" w:rsidRPr="00787100">
        <w:rPr>
          <w:rFonts w:cstheme="minorHAnsi"/>
          <w:szCs w:val="22"/>
          <w:lang w:val="ru-RU"/>
        </w:rPr>
        <w:t>Хидео</w:t>
      </w:r>
      <w:proofErr w:type="spellEnd"/>
      <w:r w:rsidR="009416D6" w:rsidRPr="00787100">
        <w:rPr>
          <w:rFonts w:cstheme="minorHAnsi"/>
          <w:szCs w:val="22"/>
          <w:lang w:val="ru-RU"/>
        </w:rPr>
        <w:t xml:space="preserve"> </w:t>
      </w:r>
      <w:proofErr w:type="spellStart"/>
      <w:r w:rsidR="009416D6" w:rsidRPr="00787100">
        <w:rPr>
          <w:rFonts w:cstheme="minorHAnsi"/>
          <w:szCs w:val="22"/>
          <w:lang w:val="ru-RU"/>
        </w:rPr>
        <w:t>Иманака</w:t>
      </w:r>
      <w:proofErr w:type="spellEnd"/>
      <w:r w:rsidRPr="00787100">
        <w:rPr>
          <w:rFonts w:cstheme="minorHAnsi"/>
          <w:szCs w:val="22"/>
          <w:lang w:val="ru-RU"/>
        </w:rPr>
        <w:t xml:space="preserve"> (NICT, </w:t>
      </w:r>
      <w:r w:rsidR="002C6240" w:rsidRPr="00787100">
        <w:rPr>
          <w:rFonts w:cstheme="minorHAnsi"/>
          <w:szCs w:val="22"/>
          <w:lang w:val="ru-RU"/>
        </w:rPr>
        <w:t>Япония</w:t>
      </w:r>
      <w:r w:rsidRPr="00787100">
        <w:rPr>
          <w:rFonts w:cstheme="minorHAnsi"/>
          <w:szCs w:val="22"/>
          <w:lang w:val="ru-RU"/>
        </w:rPr>
        <w:t xml:space="preserve">), </w:t>
      </w:r>
      <w:r w:rsidR="002C6240" w:rsidRPr="00787100">
        <w:rPr>
          <w:rFonts w:cstheme="minorHAnsi"/>
          <w:szCs w:val="22"/>
          <w:lang w:val="ru-RU"/>
        </w:rPr>
        <w:t>д</w:t>
      </w:r>
      <w:r w:rsidR="002C6240" w:rsidRPr="00787100">
        <w:rPr>
          <w:rFonts w:cstheme="minorHAnsi"/>
          <w:szCs w:val="22"/>
          <w:lang w:val="ru-RU"/>
        </w:rPr>
        <w:noBreakHyphen/>
        <w:t xml:space="preserve">р </w:t>
      </w:r>
      <w:r w:rsidRPr="00787100">
        <w:rPr>
          <w:rFonts w:cstheme="minorHAnsi"/>
          <w:szCs w:val="22"/>
          <w:lang w:val="ru-RU"/>
        </w:rPr>
        <w:t>Dr </w:t>
      </w:r>
      <w:r w:rsidR="002C6240" w:rsidRPr="00787100">
        <w:rPr>
          <w:rFonts w:cstheme="minorHAnsi"/>
          <w:color w:val="000000"/>
          <w:szCs w:val="22"/>
          <w:shd w:val="clear" w:color="auto" w:fill="FFFFFF" w:themeFill="background1"/>
          <w:lang w:val="ru-RU"/>
        </w:rPr>
        <w:t xml:space="preserve">Пер </w:t>
      </w:r>
      <w:proofErr w:type="spellStart"/>
      <w:r w:rsidR="002C6240" w:rsidRPr="00787100">
        <w:rPr>
          <w:rFonts w:cstheme="minorHAnsi"/>
          <w:color w:val="000000"/>
          <w:szCs w:val="22"/>
          <w:shd w:val="clear" w:color="auto" w:fill="FFFFFF" w:themeFill="background1"/>
          <w:lang w:val="ru-RU"/>
        </w:rPr>
        <w:t>Фрёжд</w:t>
      </w:r>
      <w:proofErr w:type="spellEnd"/>
      <w:r w:rsidR="002C6240" w:rsidRPr="00787100">
        <w:rPr>
          <w:rFonts w:cstheme="minorHAnsi"/>
          <w:szCs w:val="22"/>
          <w:shd w:val="clear" w:color="auto" w:fill="FFFFFF" w:themeFill="background1"/>
          <w:lang w:val="ru-RU"/>
        </w:rPr>
        <w:t xml:space="preserve"> </w:t>
      </w:r>
      <w:r w:rsidRPr="00787100">
        <w:rPr>
          <w:rFonts w:cstheme="minorHAnsi"/>
          <w:szCs w:val="22"/>
          <w:shd w:val="clear" w:color="auto" w:fill="FFFFFF" w:themeFill="background1"/>
          <w:lang w:val="ru-RU"/>
        </w:rPr>
        <w:t xml:space="preserve">(Ericsson, </w:t>
      </w:r>
      <w:r w:rsidR="002C6240" w:rsidRPr="00787100">
        <w:rPr>
          <w:rFonts w:cstheme="minorHAnsi"/>
          <w:szCs w:val="22"/>
          <w:shd w:val="clear" w:color="auto" w:fill="FFFFFF" w:themeFill="background1"/>
          <w:lang w:val="ru-RU"/>
        </w:rPr>
        <w:t>Швеция</w:t>
      </w:r>
      <w:r w:rsidRPr="00787100">
        <w:rPr>
          <w:rFonts w:cstheme="minorHAnsi"/>
          <w:szCs w:val="22"/>
          <w:shd w:val="clear" w:color="auto" w:fill="FFFFFF" w:themeFill="background1"/>
          <w:lang w:val="ru-RU"/>
        </w:rPr>
        <w:t xml:space="preserve">), </w:t>
      </w:r>
      <w:r w:rsidR="002C6240" w:rsidRPr="00787100">
        <w:rPr>
          <w:rFonts w:cstheme="minorHAnsi"/>
          <w:szCs w:val="22"/>
          <w:shd w:val="clear" w:color="auto" w:fill="FFFFFF" w:themeFill="background1"/>
          <w:lang w:val="ru-RU"/>
        </w:rPr>
        <w:t>д</w:t>
      </w:r>
      <w:r w:rsidR="002C6240" w:rsidRPr="00787100">
        <w:rPr>
          <w:rFonts w:cstheme="minorHAnsi"/>
          <w:szCs w:val="22"/>
          <w:shd w:val="clear" w:color="auto" w:fill="FFFFFF" w:themeFill="background1"/>
          <w:lang w:val="ru-RU"/>
        </w:rPr>
        <w:noBreakHyphen/>
        <w:t>р</w:t>
      </w:r>
      <w:r w:rsidRPr="00787100">
        <w:rPr>
          <w:rFonts w:cstheme="minorHAnsi"/>
          <w:szCs w:val="22"/>
          <w:shd w:val="clear" w:color="auto" w:fill="FFFFFF" w:themeFill="background1"/>
          <w:lang w:val="ru-RU"/>
        </w:rPr>
        <w:t xml:space="preserve"> </w:t>
      </w:r>
      <w:r w:rsidR="002C6240" w:rsidRPr="00787100">
        <w:rPr>
          <w:rFonts w:cstheme="minorHAnsi"/>
          <w:color w:val="000000"/>
          <w:szCs w:val="22"/>
          <w:shd w:val="clear" w:color="auto" w:fill="FFFFFF" w:themeFill="background1"/>
          <w:lang w:val="ru-RU"/>
        </w:rPr>
        <w:t>Шань Хэ</w:t>
      </w:r>
      <w:r w:rsidR="002C6240" w:rsidRPr="00787100">
        <w:rPr>
          <w:rFonts w:cstheme="minorHAnsi"/>
          <w:szCs w:val="22"/>
          <w:shd w:val="clear" w:color="auto" w:fill="FFFFFF" w:themeFill="background1"/>
          <w:lang w:val="ru-RU"/>
        </w:rPr>
        <w:t xml:space="preserve"> </w:t>
      </w:r>
      <w:r w:rsidRPr="00787100">
        <w:rPr>
          <w:rFonts w:cstheme="minorHAnsi"/>
          <w:szCs w:val="22"/>
          <w:shd w:val="clear" w:color="auto" w:fill="FFFFFF" w:themeFill="background1"/>
          <w:lang w:val="ru-RU"/>
        </w:rPr>
        <w:t xml:space="preserve">(Nokia, </w:t>
      </w:r>
      <w:r w:rsidR="002C6240" w:rsidRPr="00787100">
        <w:rPr>
          <w:rFonts w:cstheme="minorHAnsi"/>
          <w:szCs w:val="22"/>
          <w:shd w:val="clear" w:color="auto" w:fill="FFFFFF" w:themeFill="background1"/>
          <w:lang w:val="ru-RU"/>
        </w:rPr>
        <w:t>Финляндия</w:t>
      </w:r>
      <w:r w:rsidRPr="00787100">
        <w:rPr>
          <w:rFonts w:cstheme="minorHAnsi"/>
          <w:szCs w:val="22"/>
          <w:shd w:val="clear" w:color="auto" w:fill="FFFFFF" w:themeFill="background1"/>
          <w:lang w:val="ru-RU"/>
        </w:rPr>
        <w:t xml:space="preserve">), </w:t>
      </w:r>
      <w:r w:rsidR="002C6240" w:rsidRPr="00787100">
        <w:rPr>
          <w:rFonts w:cstheme="minorHAnsi"/>
          <w:szCs w:val="22"/>
          <w:shd w:val="clear" w:color="auto" w:fill="FFFFFF" w:themeFill="background1"/>
          <w:lang w:val="ru-RU"/>
        </w:rPr>
        <w:t>г</w:t>
      </w:r>
      <w:r w:rsidR="002C6240" w:rsidRPr="00787100">
        <w:rPr>
          <w:rFonts w:cstheme="minorHAnsi"/>
          <w:szCs w:val="22"/>
          <w:shd w:val="clear" w:color="auto" w:fill="FFFFFF" w:themeFill="background1"/>
          <w:lang w:val="ru-RU"/>
        </w:rPr>
        <w:noBreakHyphen/>
        <w:t xml:space="preserve">н Винсент </w:t>
      </w:r>
      <w:r w:rsidR="002C6240" w:rsidRPr="00787100">
        <w:rPr>
          <w:rFonts w:cstheme="minorHAnsi"/>
          <w:color w:val="000000"/>
          <w:szCs w:val="22"/>
          <w:shd w:val="clear" w:color="auto" w:fill="FFFFFF" w:themeFill="background1"/>
          <w:lang w:val="ru-RU"/>
        </w:rPr>
        <w:t>Аффлек</w:t>
      </w:r>
      <w:r w:rsidR="002C6240" w:rsidRPr="00787100">
        <w:rPr>
          <w:rFonts w:cstheme="minorHAnsi"/>
          <w:szCs w:val="22"/>
          <w:shd w:val="clear" w:color="auto" w:fill="FFFFFF" w:themeFill="background1"/>
          <w:lang w:val="ru-RU"/>
        </w:rPr>
        <w:t xml:space="preserve"> </w:t>
      </w:r>
      <w:r w:rsidRPr="00787100">
        <w:rPr>
          <w:rFonts w:cstheme="minorHAnsi"/>
          <w:szCs w:val="22"/>
          <w:shd w:val="clear" w:color="auto" w:fill="FFFFFF" w:themeFill="background1"/>
          <w:lang w:val="ru-RU"/>
        </w:rPr>
        <w:t>(</w:t>
      </w:r>
      <w:r w:rsidR="002C6240" w:rsidRPr="00787100">
        <w:rPr>
          <w:rFonts w:cstheme="minorHAnsi"/>
          <w:szCs w:val="22"/>
          <w:shd w:val="clear" w:color="auto" w:fill="FFFFFF" w:themeFill="background1"/>
          <w:lang w:val="ru-RU"/>
        </w:rPr>
        <w:t>Соединенное Королевство</w:t>
      </w:r>
      <w:r w:rsidRPr="00787100">
        <w:rPr>
          <w:rFonts w:cstheme="minorHAnsi"/>
          <w:szCs w:val="22"/>
          <w:shd w:val="clear" w:color="auto" w:fill="FFFFFF" w:themeFill="background1"/>
          <w:lang w:val="ru-RU"/>
        </w:rPr>
        <w:t xml:space="preserve">) </w:t>
      </w:r>
      <w:r w:rsidR="002C6240" w:rsidRPr="00787100">
        <w:rPr>
          <w:rFonts w:cstheme="minorHAnsi"/>
          <w:szCs w:val="22"/>
          <w:shd w:val="clear" w:color="auto" w:fill="FFFFFF" w:themeFill="background1"/>
          <w:lang w:val="ru-RU"/>
        </w:rPr>
        <w:t xml:space="preserve">и г-н </w:t>
      </w:r>
      <w:proofErr w:type="spellStart"/>
      <w:r w:rsidR="002C6240" w:rsidRPr="00787100">
        <w:rPr>
          <w:rFonts w:cstheme="minorHAnsi"/>
          <w:color w:val="000000"/>
          <w:szCs w:val="22"/>
          <w:shd w:val="clear" w:color="auto" w:fill="FFFFFF" w:themeFill="background1"/>
          <w:lang w:val="ru-RU"/>
        </w:rPr>
        <w:t>Юньтао</w:t>
      </w:r>
      <w:proofErr w:type="spellEnd"/>
      <w:r w:rsidR="002C6240" w:rsidRPr="00787100">
        <w:rPr>
          <w:rFonts w:cstheme="minorHAnsi"/>
          <w:color w:val="000000"/>
          <w:szCs w:val="22"/>
          <w:shd w:val="clear" w:color="auto" w:fill="FFFFFF" w:themeFill="background1"/>
          <w:lang w:val="ru-RU"/>
        </w:rPr>
        <w:t xml:space="preserve"> Ван</w:t>
      </w:r>
      <w:r w:rsidR="002C6240" w:rsidRPr="00787100">
        <w:rPr>
          <w:rFonts w:cstheme="minorHAnsi"/>
          <w:szCs w:val="22"/>
          <w:lang w:val="ru-RU"/>
        </w:rPr>
        <w:t xml:space="preserve"> </w:t>
      </w:r>
      <w:r w:rsidRPr="00787100">
        <w:rPr>
          <w:rFonts w:cstheme="minorHAnsi"/>
          <w:szCs w:val="22"/>
          <w:lang w:val="ru-RU"/>
        </w:rPr>
        <w:t>(</w:t>
      </w:r>
      <w:proofErr w:type="spellStart"/>
      <w:r w:rsidR="002C6240" w:rsidRPr="00787100">
        <w:rPr>
          <w:rFonts w:cstheme="minorHAnsi"/>
          <w:szCs w:val="22"/>
          <w:lang w:val="ru-RU"/>
        </w:rPr>
        <w:t>Китай</w:t>
      </w:r>
      <w:proofErr w:type="spellEnd"/>
      <w:r w:rsidRPr="00787100">
        <w:rPr>
          <w:rFonts w:cstheme="minorHAnsi"/>
          <w:szCs w:val="22"/>
          <w:lang w:val="ru-RU"/>
        </w:rPr>
        <w:t xml:space="preserve">) </w:t>
      </w:r>
      <w:r w:rsidR="002C6240" w:rsidRPr="00787100">
        <w:rPr>
          <w:rFonts w:cstheme="minorHAnsi"/>
          <w:szCs w:val="22"/>
          <w:lang w:val="ru-RU"/>
        </w:rPr>
        <w:t>в качестве заместителей Председателя</w:t>
      </w:r>
      <w:r w:rsidRPr="00787100">
        <w:rPr>
          <w:rFonts w:cstheme="minorHAnsi"/>
          <w:szCs w:val="22"/>
          <w:lang w:val="ru-RU"/>
        </w:rPr>
        <w:t>.</w:t>
      </w:r>
    </w:p>
    <w:p w14:paraId="04CF42B6" w14:textId="6657775E" w:rsidR="00413F7A" w:rsidRPr="00787100" w:rsidRDefault="00413F7A" w:rsidP="006636A5">
      <w:pPr>
        <w:jc w:val="both"/>
        <w:rPr>
          <w:lang w:val="ru-RU"/>
        </w:rPr>
      </w:pPr>
      <w:r w:rsidRPr="00787100">
        <w:rPr>
          <w:lang w:val="ru-RU"/>
        </w:rPr>
        <w:t>3</w:t>
      </w:r>
      <w:r w:rsidRPr="00787100">
        <w:rPr>
          <w:lang w:val="ru-RU"/>
        </w:rPr>
        <w:tab/>
        <w:t>Участие в работе ОГ-</w:t>
      </w:r>
      <w:r w:rsidR="002C6240" w:rsidRPr="00787100">
        <w:rPr>
          <w:rFonts w:cs="Calibri"/>
          <w:szCs w:val="22"/>
          <w:lang w:val="ru-RU"/>
        </w:rPr>
        <w:t>MV</w:t>
      </w:r>
      <w:r w:rsidRPr="00787100">
        <w:rPr>
          <w:lang w:val="ru-RU"/>
        </w:rPr>
        <w:t xml:space="preserve"> является бесплатным и открыто для </w:t>
      </w:r>
      <w:r w:rsidR="002C6240" w:rsidRPr="00787100">
        <w:rPr>
          <w:lang w:val="ru-RU"/>
        </w:rPr>
        <w:t xml:space="preserve">отдельных </w:t>
      </w:r>
      <w:r w:rsidRPr="00787100">
        <w:rPr>
          <w:lang w:val="ru-RU"/>
        </w:rPr>
        <w:t xml:space="preserve">экспертов и организаций из всех секторов и соответствующих областей знаний. Всем лицам, которые хотели бы следить за этой работой или участвовать в ней, предлагается зарегистрироваться в специальном списке рассылки; подробная информация о порядке подписки размещена по адресу: </w:t>
      </w:r>
      <w:hyperlink r:id="rId11" w:history="1">
        <w:r w:rsidR="002E6CD9" w:rsidRPr="00787100">
          <w:rPr>
            <w:rStyle w:val="Hyperlink"/>
            <w:lang w:val="ru-RU"/>
          </w:rPr>
          <w:t>https://www.itu.int/en/ITU</w:t>
        </w:r>
        <w:r w:rsidR="002E6CD9" w:rsidRPr="00787100">
          <w:rPr>
            <w:rStyle w:val="Hyperlink"/>
            <w:lang w:val="ru-RU"/>
          </w:rPr>
          <w:noBreakHyphen/>
          <w:t>T/focusgroups/mv/Pages/reg.aspx</w:t>
        </w:r>
      </w:hyperlink>
      <w:r w:rsidRPr="00787100">
        <w:rPr>
          <w:lang w:val="ru-RU"/>
        </w:rPr>
        <w:t>.</w:t>
      </w:r>
    </w:p>
    <w:p w14:paraId="1E3EF159" w14:textId="428112AF" w:rsidR="00413F7A" w:rsidRPr="00787100" w:rsidRDefault="00413F7A" w:rsidP="006636A5">
      <w:pPr>
        <w:jc w:val="both"/>
        <w:rPr>
          <w:lang w:val="ru-RU"/>
        </w:rPr>
      </w:pPr>
      <w:r w:rsidRPr="00787100">
        <w:rPr>
          <w:lang w:val="ru-RU"/>
        </w:rPr>
        <w:t>4</w:t>
      </w:r>
      <w:r w:rsidRPr="00787100">
        <w:rPr>
          <w:lang w:val="ru-RU"/>
        </w:rPr>
        <w:tab/>
      </w:r>
      <w:r w:rsidR="009A2E6B" w:rsidRPr="00787100">
        <w:rPr>
          <w:lang w:val="ru-RU"/>
        </w:rPr>
        <w:t xml:space="preserve">Группа будет работать в соответствии с процедурами, изложенными в </w:t>
      </w:r>
      <w:hyperlink r:id="rId12" w:history="1">
        <w:r w:rsidR="009A2E6B" w:rsidRPr="00787100">
          <w:rPr>
            <w:rStyle w:val="Hyperlink"/>
            <w:lang w:val="ru-RU"/>
          </w:rPr>
          <w:t>Рекомендации МСЭ-T A.7</w:t>
        </w:r>
      </w:hyperlink>
      <w:r w:rsidR="009A2E6B" w:rsidRPr="00787100">
        <w:rPr>
          <w:lang w:val="ru-RU"/>
        </w:rPr>
        <w:t xml:space="preserve">, и согласованным кругом ведения, приведенным в </w:t>
      </w:r>
      <w:r w:rsidR="009A2E6B" w:rsidRPr="00787100">
        <w:rPr>
          <w:b/>
          <w:bCs/>
          <w:lang w:val="ru-RU"/>
        </w:rPr>
        <w:t>Приложении 1</w:t>
      </w:r>
      <w:r w:rsidR="009A2E6B" w:rsidRPr="00787100">
        <w:rPr>
          <w:lang w:val="ru-RU"/>
        </w:rPr>
        <w:t xml:space="preserve">. </w:t>
      </w:r>
      <w:r w:rsidR="00817E96" w:rsidRPr="00787100">
        <w:rPr>
          <w:lang w:val="ru-RU"/>
        </w:rPr>
        <w:t>Установленная продолжительность работы Оперативной группы составляет один год после первого собрания с возможность</w:t>
      </w:r>
      <w:r w:rsidR="00907542" w:rsidRPr="00787100">
        <w:rPr>
          <w:lang w:val="ru-RU"/>
        </w:rPr>
        <w:t>ю</w:t>
      </w:r>
      <w:r w:rsidR="00817E96" w:rsidRPr="00787100">
        <w:rPr>
          <w:lang w:val="ru-RU"/>
        </w:rPr>
        <w:t xml:space="preserve"> продления.</w:t>
      </w:r>
    </w:p>
    <w:p w14:paraId="6FBDA3C5" w14:textId="59FC2F4C" w:rsidR="00413F7A" w:rsidRPr="00787100" w:rsidRDefault="00413F7A" w:rsidP="006636A5">
      <w:pPr>
        <w:jc w:val="both"/>
        <w:rPr>
          <w:rFonts w:cstheme="minorHAnsi"/>
          <w:szCs w:val="22"/>
          <w:lang w:val="ru-RU"/>
        </w:rPr>
      </w:pPr>
      <w:r w:rsidRPr="00787100">
        <w:rPr>
          <w:rFonts w:cstheme="minorHAnsi"/>
          <w:szCs w:val="22"/>
          <w:lang w:val="ru-RU"/>
        </w:rPr>
        <w:t>5</w:t>
      </w:r>
      <w:r w:rsidRPr="00787100">
        <w:rPr>
          <w:rFonts w:cstheme="minorHAnsi"/>
          <w:szCs w:val="22"/>
          <w:lang w:val="ru-RU"/>
        </w:rPr>
        <w:tab/>
      </w:r>
      <w:r w:rsidR="00DA244D" w:rsidRPr="00787100">
        <w:rPr>
          <w:rFonts w:cstheme="minorHAnsi"/>
          <w:szCs w:val="22"/>
          <w:lang w:val="ru-RU"/>
        </w:rPr>
        <w:t>Первое собрание ОГ</w:t>
      </w:r>
      <w:r w:rsidR="00DA244D" w:rsidRPr="00787100">
        <w:rPr>
          <w:rFonts w:cstheme="minorHAnsi"/>
          <w:szCs w:val="22"/>
          <w:lang w:val="ru-RU"/>
        </w:rPr>
        <w:noBreakHyphen/>
      </w:r>
      <w:r w:rsidRPr="00787100">
        <w:rPr>
          <w:rFonts w:cstheme="minorHAnsi"/>
          <w:szCs w:val="22"/>
          <w:lang w:val="ru-RU"/>
        </w:rPr>
        <w:t xml:space="preserve">MV </w:t>
      </w:r>
      <w:r w:rsidR="00DA244D" w:rsidRPr="00787100">
        <w:rPr>
          <w:rFonts w:cstheme="minorHAnsi"/>
          <w:szCs w:val="22"/>
          <w:lang w:val="ru-RU"/>
        </w:rPr>
        <w:t xml:space="preserve">пройдет в Эр-Рияде 8–9 марта 2023 года по любезному приглашению </w:t>
      </w:r>
      <w:r w:rsidR="00DA244D" w:rsidRPr="00787100">
        <w:rPr>
          <w:rFonts w:cstheme="minorHAnsi"/>
          <w:color w:val="000000"/>
          <w:szCs w:val="22"/>
          <w:shd w:val="clear" w:color="auto" w:fill="FFFFFF" w:themeFill="background1"/>
          <w:lang w:val="ru-RU"/>
        </w:rPr>
        <w:t>Национального органа по кибербезопасности</w:t>
      </w:r>
      <w:r w:rsidR="00DA244D" w:rsidRPr="00787100">
        <w:rPr>
          <w:rFonts w:cstheme="minorHAnsi"/>
          <w:szCs w:val="22"/>
          <w:lang w:val="ru-RU"/>
        </w:rPr>
        <w:t xml:space="preserve"> </w:t>
      </w:r>
      <w:r w:rsidRPr="00787100">
        <w:rPr>
          <w:rFonts w:cstheme="minorHAnsi"/>
          <w:szCs w:val="22"/>
          <w:lang w:val="ru-RU"/>
        </w:rPr>
        <w:t>(NCA)</w:t>
      </w:r>
      <w:r w:rsidR="00DA244D" w:rsidRPr="00787100">
        <w:rPr>
          <w:rFonts w:cstheme="minorHAnsi"/>
          <w:szCs w:val="22"/>
          <w:lang w:val="ru-RU"/>
        </w:rPr>
        <w:t xml:space="preserve"> Королевства Саудовская Аравия</w:t>
      </w:r>
      <w:r w:rsidRPr="00787100">
        <w:rPr>
          <w:rFonts w:cstheme="minorHAnsi"/>
          <w:szCs w:val="22"/>
          <w:lang w:val="ru-RU"/>
        </w:rPr>
        <w:t xml:space="preserve">. </w:t>
      </w:r>
    </w:p>
    <w:p w14:paraId="59409E7F" w14:textId="77777777" w:rsidR="00413F7A" w:rsidRPr="00787100" w:rsidRDefault="005049D4" w:rsidP="006636A5">
      <w:pPr>
        <w:jc w:val="both"/>
        <w:rPr>
          <w:lang w:val="ru-RU"/>
        </w:rPr>
      </w:pPr>
      <w:r w:rsidRPr="00787100">
        <w:rPr>
          <w:lang w:val="ru-RU"/>
        </w:rPr>
        <w:t>Задачи первого собрания</w:t>
      </w:r>
      <w:r w:rsidR="00413F7A" w:rsidRPr="00787100">
        <w:rPr>
          <w:lang w:val="ru-RU"/>
        </w:rPr>
        <w:t>:</w:t>
      </w:r>
    </w:p>
    <w:p w14:paraId="1F0D5790" w14:textId="508E55A2" w:rsidR="00CD4514" w:rsidRPr="00787100" w:rsidRDefault="00CD4514" w:rsidP="006636A5">
      <w:pPr>
        <w:pStyle w:val="enumlev1"/>
        <w:jc w:val="both"/>
        <w:rPr>
          <w:lang w:val="ru-RU"/>
        </w:rPr>
      </w:pPr>
      <w:r w:rsidRPr="00787100">
        <w:rPr>
          <w:rFonts w:cstheme="minorHAnsi"/>
          <w:lang w:val="ru-RU"/>
        </w:rPr>
        <w:t>•</w:t>
      </w:r>
      <w:r w:rsidRPr="00787100">
        <w:rPr>
          <w:lang w:val="ru-RU"/>
        </w:rPr>
        <w:tab/>
      </w:r>
      <w:r w:rsidR="00A514EB" w:rsidRPr="00787100">
        <w:rPr>
          <w:lang w:val="ru-RU"/>
        </w:rPr>
        <w:t xml:space="preserve">создание рабочих групп (РГ) и назначение </w:t>
      </w:r>
      <w:r w:rsidR="00EE5A96" w:rsidRPr="00787100">
        <w:rPr>
          <w:lang w:val="ru-RU"/>
        </w:rPr>
        <w:t xml:space="preserve">их </w:t>
      </w:r>
      <w:r w:rsidR="007A591E" w:rsidRPr="00787100">
        <w:rPr>
          <w:lang w:val="ru-RU"/>
        </w:rPr>
        <w:t>п</w:t>
      </w:r>
      <w:r w:rsidR="00A514EB" w:rsidRPr="00787100">
        <w:rPr>
          <w:lang w:val="ru-RU"/>
        </w:rPr>
        <w:t>редседател</w:t>
      </w:r>
      <w:r w:rsidR="00EE5A96" w:rsidRPr="00787100">
        <w:rPr>
          <w:lang w:val="ru-RU"/>
        </w:rPr>
        <w:t>ей</w:t>
      </w:r>
      <w:r w:rsidRPr="00787100">
        <w:rPr>
          <w:lang w:val="ru-RU"/>
        </w:rPr>
        <w:t>;</w:t>
      </w:r>
    </w:p>
    <w:p w14:paraId="5DE4F897" w14:textId="168C292D" w:rsidR="00CD4514" w:rsidRPr="00787100" w:rsidRDefault="00CD4514" w:rsidP="006636A5">
      <w:pPr>
        <w:pStyle w:val="enumlev1"/>
        <w:jc w:val="both"/>
        <w:rPr>
          <w:lang w:val="ru-RU"/>
        </w:rPr>
      </w:pPr>
      <w:r w:rsidRPr="00787100">
        <w:rPr>
          <w:lang w:val="ru-RU"/>
        </w:rPr>
        <w:t>•</w:t>
      </w:r>
      <w:r w:rsidRPr="00787100">
        <w:rPr>
          <w:lang w:val="ru-RU"/>
        </w:rPr>
        <w:tab/>
      </w:r>
      <w:r w:rsidR="005049D4" w:rsidRPr="00787100">
        <w:rPr>
          <w:lang w:val="ru-RU"/>
        </w:rPr>
        <w:t>согласование дорожной карты ОГ-</w:t>
      </w:r>
      <w:r w:rsidR="00A514EB" w:rsidRPr="00787100">
        <w:rPr>
          <w:rFonts w:cs="Calibri"/>
          <w:szCs w:val="22"/>
          <w:lang w:val="ru-RU"/>
        </w:rPr>
        <w:t>MV</w:t>
      </w:r>
      <w:r w:rsidR="005049D4" w:rsidRPr="00787100">
        <w:rPr>
          <w:lang w:val="ru-RU"/>
        </w:rPr>
        <w:t xml:space="preserve"> с указанием ожидаемых </w:t>
      </w:r>
      <w:r w:rsidR="00495712" w:rsidRPr="00787100">
        <w:rPr>
          <w:lang w:val="ru-RU"/>
        </w:rPr>
        <w:t>результатов работы</w:t>
      </w:r>
      <w:r w:rsidR="005049D4" w:rsidRPr="00787100">
        <w:rPr>
          <w:lang w:val="ru-RU"/>
        </w:rPr>
        <w:t>, сроков исполнения и редакторов, а также распределение обязанностей между различными РГ</w:t>
      </w:r>
      <w:r w:rsidRPr="00787100">
        <w:rPr>
          <w:lang w:val="ru-RU"/>
        </w:rPr>
        <w:t>;</w:t>
      </w:r>
    </w:p>
    <w:p w14:paraId="3421AB6C" w14:textId="7F44419E" w:rsidR="00CD4514" w:rsidRPr="00787100" w:rsidRDefault="00CD4514" w:rsidP="006636A5">
      <w:pPr>
        <w:pStyle w:val="enumlev1"/>
        <w:jc w:val="both"/>
        <w:rPr>
          <w:lang w:val="ru-RU"/>
        </w:rPr>
      </w:pPr>
      <w:r w:rsidRPr="00787100">
        <w:rPr>
          <w:lang w:val="ru-RU"/>
        </w:rPr>
        <w:lastRenderedPageBreak/>
        <w:t>•</w:t>
      </w:r>
      <w:r w:rsidRPr="00787100">
        <w:rPr>
          <w:lang w:val="ru-RU"/>
        </w:rPr>
        <w:tab/>
      </w:r>
      <w:r w:rsidR="00BD6C0B" w:rsidRPr="00787100">
        <w:rPr>
          <w:lang w:val="ru-RU"/>
        </w:rPr>
        <w:t xml:space="preserve">согласование методов работы </w:t>
      </w:r>
      <w:r w:rsidR="00A514EB" w:rsidRPr="00787100">
        <w:rPr>
          <w:lang w:val="ru-RU"/>
        </w:rPr>
        <w:t>ОГ-</w:t>
      </w:r>
      <w:r w:rsidR="00A514EB" w:rsidRPr="00787100">
        <w:rPr>
          <w:rFonts w:cs="Calibri"/>
          <w:szCs w:val="22"/>
          <w:lang w:val="ru-RU"/>
        </w:rPr>
        <w:t>MV</w:t>
      </w:r>
      <w:r w:rsidR="00A514EB" w:rsidRPr="00787100">
        <w:rPr>
          <w:lang w:val="ru-RU"/>
        </w:rPr>
        <w:t xml:space="preserve"> </w:t>
      </w:r>
      <w:r w:rsidR="00BD6C0B" w:rsidRPr="00787100">
        <w:rPr>
          <w:lang w:val="ru-RU"/>
        </w:rPr>
        <w:t>на основе Рекомендации МСЭ</w:t>
      </w:r>
      <w:r w:rsidR="00BD6C0B" w:rsidRPr="00787100">
        <w:rPr>
          <w:lang w:val="ru-RU"/>
        </w:rPr>
        <w:noBreakHyphen/>
        <w:t>Т A.7</w:t>
      </w:r>
      <w:r w:rsidRPr="00787100">
        <w:rPr>
          <w:lang w:val="ru-RU"/>
        </w:rPr>
        <w:t>;</w:t>
      </w:r>
    </w:p>
    <w:p w14:paraId="0ABA1DA9" w14:textId="3AE38EA8" w:rsidR="00CD4514" w:rsidRPr="00787100" w:rsidRDefault="00CD4514" w:rsidP="006636A5">
      <w:pPr>
        <w:pStyle w:val="enumlev1"/>
        <w:jc w:val="both"/>
        <w:rPr>
          <w:lang w:val="ru-RU"/>
        </w:rPr>
      </w:pPr>
      <w:r w:rsidRPr="00787100">
        <w:rPr>
          <w:lang w:val="ru-RU"/>
        </w:rPr>
        <w:t>•</w:t>
      </w:r>
      <w:r w:rsidRPr="00787100">
        <w:rPr>
          <w:lang w:val="ru-RU"/>
        </w:rPr>
        <w:tab/>
      </w:r>
      <w:r w:rsidR="00994977" w:rsidRPr="00787100">
        <w:rPr>
          <w:lang w:val="ru-RU"/>
        </w:rPr>
        <w:t xml:space="preserve">согласование планов будущих собраний </w:t>
      </w:r>
      <w:r w:rsidR="00A514EB" w:rsidRPr="00787100">
        <w:rPr>
          <w:lang w:val="ru-RU"/>
        </w:rPr>
        <w:t>ОГ-</w:t>
      </w:r>
      <w:r w:rsidR="00A514EB" w:rsidRPr="00787100">
        <w:rPr>
          <w:rFonts w:cs="Calibri"/>
          <w:szCs w:val="22"/>
          <w:lang w:val="ru-RU"/>
        </w:rPr>
        <w:t>MV</w:t>
      </w:r>
      <w:r w:rsidR="00994977" w:rsidRPr="00787100">
        <w:rPr>
          <w:lang w:val="ru-RU"/>
        </w:rPr>
        <w:t>, в том числе периодичности проведения собраний</w:t>
      </w:r>
      <w:r w:rsidRPr="00787100">
        <w:rPr>
          <w:lang w:val="ru-RU"/>
        </w:rPr>
        <w:t>;</w:t>
      </w:r>
    </w:p>
    <w:p w14:paraId="2110A48D" w14:textId="77777777" w:rsidR="00CD4514" w:rsidRPr="00787100" w:rsidRDefault="00CD4514" w:rsidP="006636A5">
      <w:pPr>
        <w:pStyle w:val="enumlev1"/>
        <w:jc w:val="both"/>
        <w:rPr>
          <w:lang w:val="ru-RU"/>
        </w:rPr>
      </w:pPr>
      <w:r w:rsidRPr="00787100">
        <w:rPr>
          <w:lang w:val="ru-RU"/>
        </w:rPr>
        <w:t>•</w:t>
      </w:r>
      <w:r w:rsidRPr="00787100">
        <w:rPr>
          <w:lang w:val="ru-RU"/>
        </w:rPr>
        <w:tab/>
      </w:r>
      <w:r w:rsidR="00994977" w:rsidRPr="00787100">
        <w:rPr>
          <w:lang w:val="ru-RU"/>
        </w:rPr>
        <w:t>обсуждение и представление письменных вкладов, включая поступающие сценарии использования</w:t>
      </w:r>
      <w:r w:rsidRPr="00787100">
        <w:rPr>
          <w:lang w:val="ru-RU"/>
        </w:rPr>
        <w:t>.</w:t>
      </w:r>
    </w:p>
    <w:p w14:paraId="16858BFE" w14:textId="6581301C" w:rsidR="00520901" w:rsidRPr="00787100" w:rsidRDefault="00647580" w:rsidP="006636A5">
      <w:pPr>
        <w:jc w:val="both"/>
        <w:rPr>
          <w:rFonts w:cs="Calibri"/>
          <w:szCs w:val="22"/>
          <w:lang w:val="ru-RU"/>
        </w:rPr>
      </w:pPr>
      <w:r w:rsidRPr="00787100">
        <w:rPr>
          <w:rFonts w:cs="Calibri"/>
          <w:szCs w:val="22"/>
          <w:lang w:val="ru-RU"/>
        </w:rPr>
        <w:t xml:space="preserve">Перед первым собранием </w:t>
      </w:r>
      <w:r w:rsidR="007A591E" w:rsidRPr="00787100">
        <w:rPr>
          <w:rFonts w:cs="Calibri"/>
          <w:szCs w:val="22"/>
          <w:lang w:val="ru-RU"/>
        </w:rPr>
        <w:t>7</w:t>
      </w:r>
      <w:r w:rsidRPr="00787100">
        <w:rPr>
          <w:rFonts w:cs="Calibri"/>
          <w:szCs w:val="22"/>
          <w:lang w:val="ru-RU"/>
        </w:rPr>
        <w:t xml:space="preserve"> марта 2023 года там же пройдет </w:t>
      </w:r>
      <w:hyperlink r:id="rId13" w:history="1">
        <w:r w:rsidRPr="00787100">
          <w:rPr>
            <w:rStyle w:val="Hyperlink"/>
            <w:rFonts w:cs="Calibri"/>
            <w:szCs w:val="22"/>
            <w:lang w:val="ru-RU"/>
          </w:rPr>
          <w:t xml:space="preserve">первый Форум МСЭ по </w:t>
        </w:r>
        <w:r w:rsidR="00EE5A96" w:rsidRPr="00787100">
          <w:rPr>
            <w:rStyle w:val="Hyperlink"/>
            <w:rFonts w:cs="Calibri"/>
            <w:szCs w:val="22"/>
            <w:lang w:val="ru-RU"/>
          </w:rPr>
          <w:t>внедрению</w:t>
        </w:r>
        <w:r w:rsidRPr="00787100">
          <w:rPr>
            <w:rStyle w:val="Hyperlink"/>
            <w:rFonts w:cs="Calibri"/>
            <w:szCs w:val="22"/>
            <w:lang w:val="ru-RU"/>
          </w:rPr>
          <w:t xml:space="preserve"> </w:t>
        </w:r>
        <w:proofErr w:type="spellStart"/>
        <w:r w:rsidRPr="00787100">
          <w:rPr>
            <w:rStyle w:val="Hyperlink"/>
            <w:rFonts w:cs="Calibri"/>
            <w:szCs w:val="22"/>
            <w:lang w:val="ru-RU"/>
          </w:rPr>
          <w:t>метавселенной</w:t>
        </w:r>
        <w:proofErr w:type="spellEnd"/>
      </w:hyperlink>
      <w:r w:rsidR="00520901" w:rsidRPr="00787100">
        <w:rPr>
          <w:rFonts w:cs="Calibri"/>
          <w:szCs w:val="22"/>
          <w:lang w:val="ru-RU"/>
        </w:rPr>
        <w:t>.</w:t>
      </w:r>
    </w:p>
    <w:p w14:paraId="0F4BA856" w14:textId="2CE29C38" w:rsidR="006C008F" w:rsidRPr="00787100" w:rsidRDefault="006636A5" w:rsidP="006636A5">
      <w:pPr>
        <w:jc w:val="both"/>
        <w:rPr>
          <w:lang w:val="ru-RU"/>
        </w:rPr>
      </w:pPr>
      <w:r w:rsidRPr="00787100">
        <w:rPr>
          <w:lang w:val="ru-RU"/>
        </w:rPr>
        <w:t>6</w:t>
      </w:r>
      <w:r w:rsidRPr="00787100">
        <w:rPr>
          <w:lang w:val="ru-RU"/>
        </w:rPr>
        <w:tab/>
      </w:r>
      <w:r w:rsidR="006C008F" w:rsidRPr="00787100">
        <w:rPr>
          <w:lang w:val="ru-RU"/>
        </w:rPr>
        <w:t xml:space="preserve">Настоятельно рекомендуется представлять вклады в письменном виде, необходимые для успешной работы Оперативной группы и соответствующие кругу ведения, приведенному в </w:t>
      </w:r>
      <w:r w:rsidR="006C008F" w:rsidRPr="00787100">
        <w:rPr>
          <w:b/>
          <w:bCs/>
          <w:lang w:val="ru-RU"/>
        </w:rPr>
        <w:t>Приложении 1</w:t>
      </w:r>
      <w:r w:rsidR="006C008F" w:rsidRPr="00787100">
        <w:rPr>
          <w:lang w:val="ru-RU"/>
        </w:rPr>
        <w:t>, для решения определенных выше задач в целях содействия составлению первоначального плана</w:t>
      </w:r>
      <w:r w:rsidR="00495712" w:rsidRPr="00787100">
        <w:rPr>
          <w:lang w:val="ru-RU"/>
        </w:rPr>
        <w:t xml:space="preserve"> </w:t>
      </w:r>
      <w:r w:rsidR="00DE19A1" w:rsidRPr="00787100">
        <w:rPr>
          <w:lang w:val="ru-RU"/>
        </w:rPr>
        <w:t>подготовки</w:t>
      </w:r>
      <w:r w:rsidR="006C008F" w:rsidRPr="00787100">
        <w:rPr>
          <w:lang w:val="ru-RU"/>
        </w:rPr>
        <w:t xml:space="preserve"> </w:t>
      </w:r>
      <w:r w:rsidR="00495712" w:rsidRPr="00787100">
        <w:rPr>
          <w:lang w:val="ru-RU"/>
        </w:rPr>
        <w:t>результатов работы</w:t>
      </w:r>
      <w:r w:rsidR="006C008F" w:rsidRPr="00787100">
        <w:rPr>
          <w:lang w:val="ru-RU"/>
        </w:rPr>
        <w:t>. Вклады в письменном виде следует представлять в секретариат БСЭ (</w:t>
      </w:r>
      <w:hyperlink r:id="rId14" w:history="1">
        <w:r w:rsidR="006C008F" w:rsidRPr="00787100">
          <w:rPr>
            <w:rStyle w:val="Hyperlink"/>
            <w:rFonts w:cs="Calibri"/>
            <w:szCs w:val="22"/>
            <w:lang w:val="ru-RU"/>
          </w:rPr>
          <w:t>tsbfgmv@itu.int</w:t>
        </w:r>
      </w:hyperlink>
      <w:r w:rsidR="006C008F" w:rsidRPr="00787100">
        <w:rPr>
          <w:lang w:val="ru-RU"/>
        </w:rPr>
        <w:t xml:space="preserve">) в электронном формате, используя шаблоны документов, размещенные на </w:t>
      </w:r>
      <w:hyperlink r:id="rId15" w:history="1">
        <w:r w:rsidR="006C008F" w:rsidRPr="00787100">
          <w:rPr>
            <w:rStyle w:val="Hyperlink"/>
            <w:lang w:val="ru-RU"/>
          </w:rPr>
          <w:t>домашней странице ОГ-FM</w:t>
        </w:r>
      </w:hyperlink>
      <w:r w:rsidR="006C008F" w:rsidRPr="00787100">
        <w:rPr>
          <w:lang w:val="ru-RU"/>
        </w:rPr>
        <w:t xml:space="preserve">. </w:t>
      </w:r>
      <w:r w:rsidR="006C008F" w:rsidRPr="00787100">
        <w:rPr>
          <w:b/>
          <w:bCs/>
          <w:lang w:val="ru-RU"/>
        </w:rPr>
        <w:t>Предельный срок представления вкладов для первого собрания – 24 февраля 2023 года</w:t>
      </w:r>
      <w:r w:rsidR="006C008F" w:rsidRPr="00787100">
        <w:rPr>
          <w:lang w:val="ru-RU"/>
        </w:rPr>
        <w:t>.</w:t>
      </w:r>
    </w:p>
    <w:p w14:paraId="02F9BAEC" w14:textId="5FDC93CB" w:rsidR="00520901" w:rsidRPr="00787100" w:rsidRDefault="00520901" w:rsidP="006636A5">
      <w:pPr>
        <w:jc w:val="both"/>
        <w:rPr>
          <w:rFonts w:cs="Calibri"/>
          <w:szCs w:val="22"/>
          <w:lang w:val="ru-RU"/>
        </w:rPr>
      </w:pPr>
      <w:r w:rsidRPr="00787100">
        <w:rPr>
          <w:rFonts w:cs="Calibri"/>
          <w:szCs w:val="22"/>
          <w:lang w:val="ru-RU"/>
        </w:rPr>
        <w:t>7</w:t>
      </w:r>
      <w:r w:rsidRPr="00787100">
        <w:rPr>
          <w:rFonts w:cs="Calibri"/>
          <w:szCs w:val="22"/>
          <w:lang w:val="ru-RU"/>
        </w:rPr>
        <w:tab/>
      </w:r>
      <w:r w:rsidR="00DA458A" w:rsidRPr="00787100">
        <w:rPr>
          <w:rFonts w:cs="Calibri"/>
          <w:szCs w:val="22"/>
          <w:lang w:val="ru-RU"/>
        </w:rPr>
        <w:t xml:space="preserve">Повестка дня собрания, документы и иная полезная информация будут доступны на </w:t>
      </w:r>
      <w:hyperlink r:id="rId16" w:history="1">
        <w:r w:rsidR="00DA458A" w:rsidRPr="00787100">
          <w:rPr>
            <w:rStyle w:val="Hyperlink"/>
            <w:rFonts w:cs="Calibri"/>
            <w:szCs w:val="22"/>
            <w:lang w:val="ru-RU"/>
          </w:rPr>
          <w:t>домашней странице</w:t>
        </w:r>
        <w:r w:rsidR="007A591E" w:rsidRPr="00787100">
          <w:rPr>
            <w:rStyle w:val="Hyperlink"/>
            <w:rFonts w:cs="Calibri"/>
            <w:szCs w:val="22"/>
            <w:lang w:val="ru-RU"/>
          </w:rPr>
          <w:t xml:space="preserve"> </w:t>
        </w:r>
        <w:r w:rsidR="006C008F" w:rsidRPr="00787100">
          <w:rPr>
            <w:rStyle w:val="Hyperlink"/>
            <w:rFonts w:cs="Calibri"/>
            <w:szCs w:val="22"/>
            <w:lang w:val="ru-RU"/>
          </w:rPr>
          <w:t>ОГ</w:t>
        </w:r>
        <w:r w:rsidR="00DA458A" w:rsidRPr="00787100">
          <w:rPr>
            <w:rStyle w:val="Hyperlink"/>
            <w:rFonts w:cs="Calibri"/>
            <w:szCs w:val="22"/>
            <w:lang w:val="ru-RU"/>
          </w:rPr>
          <w:t>-MV</w:t>
        </w:r>
      </w:hyperlink>
      <w:r w:rsidR="00DA458A" w:rsidRPr="00787100">
        <w:rPr>
          <w:rFonts w:cs="Calibri"/>
          <w:szCs w:val="22"/>
          <w:lang w:val="ru-RU"/>
        </w:rPr>
        <w:t xml:space="preserve"> до начала собрания. Обсуждения будут проходить только на английском языке. Информация о дистанционном участии будет доступна на веб-странице Оперативной группы</w:t>
      </w:r>
      <w:r w:rsidRPr="00787100">
        <w:rPr>
          <w:rFonts w:cs="Calibri"/>
          <w:szCs w:val="22"/>
          <w:lang w:val="ru-RU"/>
        </w:rPr>
        <w:t xml:space="preserve"> (</w:t>
      </w:r>
      <w:hyperlink r:id="rId17" w:history="1">
        <w:r w:rsidRPr="00787100">
          <w:rPr>
            <w:rStyle w:val="Hyperlink"/>
            <w:rFonts w:cs="Calibri"/>
            <w:szCs w:val="22"/>
            <w:lang w:val="ru-RU"/>
          </w:rPr>
          <w:t>www.itu.int/go/fgmv</w:t>
        </w:r>
      </w:hyperlink>
      <w:r w:rsidRPr="00787100">
        <w:rPr>
          <w:rFonts w:cs="Calibri"/>
          <w:szCs w:val="22"/>
          <w:lang w:val="ru-RU"/>
        </w:rPr>
        <w:t>).</w:t>
      </w:r>
    </w:p>
    <w:p w14:paraId="4184AE99" w14:textId="4171B77A" w:rsidR="00520901" w:rsidRPr="00787100" w:rsidRDefault="00520901" w:rsidP="006636A5">
      <w:pPr>
        <w:spacing w:after="120"/>
        <w:jc w:val="both"/>
        <w:rPr>
          <w:rFonts w:cs="Calibri"/>
          <w:szCs w:val="22"/>
          <w:lang w:val="ru-RU"/>
        </w:rPr>
      </w:pPr>
      <w:r w:rsidRPr="00787100">
        <w:rPr>
          <w:rFonts w:cs="Calibri"/>
          <w:szCs w:val="22"/>
          <w:lang w:val="ru-RU"/>
        </w:rPr>
        <w:t>8</w:t>
      </w:r>
      <w:r w:rsidRPr="00787100">
        <w:rPr>
          <w:rFonts w:cs="Calibri"/>
          <w:szCs w:val="22"/>
          <w:lang w:val="ru-RU"/>
        </w:rPr>
        <w:tab/>
      </w:r>
      <w:r w:rsidR="00676B74" w:rsidRPr="00787100">
        <w:rPr>
          <w:rFonts w:cs="Calibri"/>
          <w:szCs w:val="22"/>
          <w:lang w:val="ru-RU"/>
        </w:rPr>
        <w:t xml:space="preserve">Для того чтобы МСЭ мог предпринять необходимые действия по организации собрания, участникам предлагается пройти регистрацию в онлайновом режиме на </w:t>
      </w:r>
      <w:hyperlink r:id="rId18" w:history="1">
        <w:r w:rsidR="00676B74" w:rsidRPr="00787100">
          <w:rPr>
            <w:rStyle w:val="Hyperlink"/>
            <w:rFonts w:cs="Calibri"/>
            <w:szCs w:val="22"/>
            <w:lang w:val="ru-RU"/>
          </w:rPr>
          <w:t xml:space="preserve">домашней странице </w:t>
        </w:r>
        <w:r w:rsidR="006C008F" w:rsidRPr="00787100">
          <w:rPr>
            <w:rStyle w:val="Hyperlink"/>
            <w:rFonts w:cs="Calibri"/>
            <w:szCs w:val="22"/>
            <w:lang w:val="ru-RU"/>
          </w:rPr>
          <w:t>ОГ</w:t>
        </w:r>
        <w:r w:rsidR="00676B74" w:rsidRPr="00787100">
          <w:rPr>
            <w:rStyle w:val="Hyperlink"/>
            <w:rFonts w:cs="Calibri"/>
            <w:szCs w:val="22"/>
            <w:lang w:val="ru-RU"/>
          </w:rPr>
          <w:t>-MV</w:t>
        </w:r>
      </w:hyperlink>
      <w:r w:rsidR="00676B74" w:rsidRPr="00787100">
        <w:rPr>
          <w:rFonts w:cs="Calibri"/>
          <w:szCs w:val="22"/>
          <w:lang w:val="ru-RU"/>
        </w:rPr>
        <w:t xml:space="preserve"> в максимально короткий срок</w:t>
      </w:r>
      <w:r w:rsidRPr="00787100">
        <w:rPr>
          <w:rFonts w:cs="Calibri"/>
          <w:szCs w:val="22"/>
          <w:lang w:val="ru-RU"/>
        </w:rPr>
        <w:t xml:space="preserve">. </w:t>
      </w:r>
      <w:r w:rsidR="008A7A3C" w:rsidRPr="00787100">
        <w:rPr>
          <w:rFonts w:cs="Calibri"/>
          <w:szCs w:val="22"/>
          <w:lang w:val="ru-RU"/>
        </w:rPr>
        <w:t>Число мест ограничено, и регистрация будет проводиться по принципу "первым пришел – первым обслужен". Регистрация необходима как для дистанционного, так и для очного участия. Обращаем ваше внимание на то, что предварительная регистрация участников на эти мероприятия проводится только в онлайновой форме.</w:t>
      </w:r>
    </w:p>
    <w:p w14:paraId="1A2B0CA3" w14:textId="03EACF5E" w:rsidR="00520901" w:rsidRPr="00787100" w:rsidRDefault="00520901" w:rsidP="006636A5">
      <w:pPr>
        <w:spacing w:after="120"/>
        <w:jc w:val="both"/>
        <w:rPr>
          <w:rFonts w:cs="Calibri"/>
          <w:szCs w:val="22"/>
          <w:lang w:val="ru-RU"/>
        </w:rPr>
      </w:pPr>
      <w:r w:rsidRPr="00787100">
        <w:rPr>
          <w:rFonts w:cs="Calibri"/>
          <w:szCs w:val="22"/>
          <w:lang w:val="ru-RU"/>
        </w:rPr>
        <w:t>9</w:t>
      </w:r>
      <w:r w:rsidRPr="00787100">
        <w:rPr>
          <w:rFonts w:cs="Calibri"/>
          <w:szCs w:val="22"/>
          <w:lang w:val="ru-RU"/>
        </w:rPr>
        <w:tab/>
      </w:r>
      <w:r w:rsidR="00EF49B3" w:rsidRPr="00787100">
        <w:rPr>
          <w:rFonts w:cs="Calibri"/>
          <w:szCs w:val="22"/>
          <w:lang w:val="ru-RU"/>
        </w:rPr>
        <w:t xml:space="preserve">Напоминаем, что для въезда в </w:t>
      </w:r>
      <w:r w:rsidR="00DE1A09" w:rsidRPr="00787100">
        <w:rPr>
          <w:rFonts w:cs="Calibri"/>
          <w:szCs w:val="22"/>
          <w:lang w:val="ru-RU"/>
        </w:rPr>
        <w:t>Королевство Саудовская Аравия</w:t>
      </w:r>
      <w:r w:rsidR="00EF49B3" w:rsidRPr="00787100">
        <w:rPr>
          <w:rFonts w:cs="Calibri"/>
          <w:szCs w:val="22"/>
          <w:lang w:val="ru-RU"/>
        </w:rPr>
        <w:t xml:space="preserve"> и пребывания в не</w:t>
      </w:r>
      <w:r w:rsidR="00DE1A09" w:rsidRPr="00787100">
        <w:rPr>
          <w:rFonts w:cs="Calibri"/>
          <w:szCs w:val="22"/>
          <w:lang w:val="ru-RU"/>
        </w:rPr>
        <w:t>м</w:t>
      </w:r>
      <w:r w:rsidR="00EF49B3" w:rsidRPr="00787100">
        <w:rPr>
          <w:rFonts w:cs="Calibri"/>
          <w:szCs w:val="22"/>
          <w:lang w:val="ru-RU"/>
        </w:rPr>
        <w:t xml:space="preserve"> в течение любого срока гражданам некоторых стран необходимо получить визу. В случае необходимости визы следует запрашивать до даты прибытия в </w:t>
      </w:r>
      <w:r w:rsidR="00DE1A09" w:rsidRPr="00787100">
        <w:rPr>
          <w:rFonts w:cs="Calibri"/>
          <w:szCs w:val="22"/>
          <w:lang w:val="ru-RU"/>
        </w:rPr>
        <w:t>Саудовскую Аравию</w:t>
      </w:r>
      <w:r w:rsidR="00EF49B3" w:rsidRPr="00787100">
        <w:rPr>
          <w:rFonts w:cs="Calibri"/>
          <w:szCs w:val="22"/>
          <w:lang w:val="ru-RU"/>
        </w:rPr>
        <w:t xml:space="preserve"> в посольстве или консульстве, представляющем </w:t>
      </w:r>
      <w:r w:rsidR="00DE1A09" w:rsidRPr="00787100">
        <w:rPr>
          <w:rFonts w:cs="Calibri"/>
          <w:szCs w:val="22"/>
          <w:lang w:val="ru-RU"/>
        </w:rPr>
        <w:t>Саудовскую Аравию</w:t>
      </w:r>
      <w:r w:rsidR="00EF49B3" w:rsidRPr="00787100">
        <w:rPr>
          <w:rFonts w:cs="Calibri"/>
          <w:szCs w:val="22"/>
          <w:lang w:val="ru-RU"/>
        </w:rPr>
        <w:t xml:space="preserve"> в вашей стране, или, если в вашей стране такое учреждение отсутствует, в ближайшем к стране выезда. Предельные сроки различаются, поэтому предлагается проверить их непосредственно в соответствующем представительстве и подать заявку заблаговременно.</w:t>
      </w:r>
    </w:p>
    <w:p w14:paraId="009086A9" w14:textId="02E6497D" w:rsidR="00520901" w:rsidRPr="00787100" w:rsidRDefault="00EF49B3" w:rsidP="006636A5">
      <w:pPr>
        <w:spacing w:after="240"/>
        <w:jc w:val="both"/>
        <w:rPr>
          <w:rFonts w:cs="Calibri"/>
          <w:szCs w:val="22"/>
          <w:lang w:val="ru-RU"/>
        </w:rPr>
      </w:pPr>
      <w:r w:rsidRPr="00787100">
        <w:rPr>
          <w:rFonts w:cs="Calibri"/>
          <w:szCs w:val="22"/>
          <w:lang w:val="ru-RU"/>
        </w:rPr>
        <w:t>Дополнительные сведения и документы, необходимые для оформления визы, в соответствующем случае, будут представлены в документе о материально-техническом обеспечении собрания, который будет размещен на</w:t>
      </w:r>
      <w:r w:rsidR="00520901" w:rsidRPr="00787100">
        <w:rPr>
          <w:rFonts w:cs="Calibri"/>
          <w:szCs w:val="22"/>
          <w:lang w:val="ru-RU"/>
        </w:rPr>
        <w:t xml:space="preserve"> </w:t>
      </w:r>
      <w:hyperlink r:id="rId19" w:history="1">
        <w:r w:rsidR="0054759E" w:rsidRPr="00787100">
          <w:rPr>
            <w:rStyle w:val="Hyperlink"/>
            <w:rFonts w:cs="Calibri"/>
            <w:szCs w:val="22"/>
            <w:lang w:val="ru-RU"/>
          </w:rPr>
          <w:t>домашней с</w:t>
        </w:r>
        <w:r w:rsidRPr="00787100">
          <w:rPr>
            <w:rStyle w:val="Hyperlink"/>
            <w:rFonts w:cs="Calibri"/>
            <w:szCs w:val="22"/>
            <w:lang w:val="ru-RU"/>
          </w:rPr>
          <w:t>транице</w:t>
        </w:r>
        <w:r w:rsidRPr="00787100">
          <w:rPr>
            <w:rStyle w:val="Hyperlink"/>
            <w:lang w:val="ru-RU"/>
          </w:rPr>
          <w:t xml:space="preserve"> </w:t>
        </w:r>
        <w:r w:rsidR="00DE1A09" w:rsidRPr="00787100">
          <w:rPr>
            <w:rStyle w:val="Hyperlink"/>
            <w:rFonts w:cs="Calibri"/>
            <w:szCs w:val="22"/>
            <w:lang w:val="ru-RU"/>
          </w:rPr>
          <w:t>ОГ</w:t>
        </w:r>
        <w:r w:rsidRPr="00787100">
          <w:rPr>
            <w:rStyle w:val="Hyperlink"/>
            <w:rFonts w:cs="Calibri"/>
            <w:szCs w:val="22"/>
            <w:lang w:val="ru-RU"/>
          </w:rPr>
          <w:t>-MV</w:t>
        </w:r>
      </w:hyperlink>
      <w:r w:rsidR="00520901" w:rsidRPr="00787100">
        <w:rPr>
          <w:rFonts w:cs="Calibri"/>
          <w:szCs w:val="22"/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792"/>
      </w:tblGrid>
      <w:tr w:rsidR="00F84BFF" w:rsidRPr="00787100" w14:paraId="02F2A97E" w14:textId="77777777" w:rsidTr="00AD1689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B2C6" w14:textId="77777777" w:rsidR="00F84BFF" w:rsidRPr="00787100" w:rsidRDefault="00F84BFF" w:rsidP="00F84BF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lang w:val="ru-RU"/>
              </w:rPr>
            </w:pPr>
            <w:r w:rsidRPr="00787100">
              <w:rPr>
                <w:sz w:val="20"/>
                <w:szCs w:val="20"/>
                <w:lang w:val="ru-RU"/>
              </w:rPr>
              <w:t>24 февраля 2023 г.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244E" w14:textId="77777777" w:rsidR="00F84BFF" w:rsidRPr="00787100" w:rsidRDefault="00F84BFF" w:rsidP="00F84BFF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rFonts w:ascii="Calibri" w:eastAsia="SimSun" w:hAnsi="Calibri" w:cs="Calibri"/>
                <w:sz w:val="20"/>
                <w:szCs w:val="20"/>
                <w:lang w:val="ru-RU" w:eastAsia="ja-JP"/>
              </w:rPr>
            </w:pPr>
            <w:r w:rsidRPr="00787100">
              <w:rPr>
                <w:sz w:val="20"/>
                <w:szCs w:val="20"/>
                <w:lang w:val="ru-RU"/>
              </w:rPr>
              <w:t>−</w:t>
            </w:r>
            <w:r w:rsidRPr="00787100">
              <w:rPr>
                <w:sz w:val="20"/>
                <w:szCs w:val="20"/>
                <w:lang w:val="ru-RU"/>
              </w:rPr>
              <w:tab/>
              <w:t xml:space="preserve">Представление письменных вкладов (по эл. почте: </w:t>
            </w:r>
            <w:hyperlink r:id="rId20" w:history="1">
              <w:r w:rsidR="000A44C8" w:rsidRPr="00787100">
                <w:rPr>
                  <w:rStyle w:val="Hyperlink"/>
                  <w:sz w:val="20"/>
                  <w:szCs w:val="20"/>
                  <w:lang w:val="ru-RU"/>
                </w:rPr>
                <w:t>tsbfgmv@itu.int</w:t>
              </w:r>
            </w:hyperlink>
            <w:r w:rsidRPr="00787100">
              <w:rPr>
                <w:sz w:val="20"/>
                <w:szCs w:val="20"/>
                <w:lang w:val="ru-RU"/>
              </w:rPr>
              <w:t>)</w:t>
            </w:r>
          </w:p>
        </w:tc>
      </w:tr>
      <w:tr w:rsidR="00F84BFF" w:rsidRPr="00787100" w14:paraId="5D97E019" w14:textId="77777777" w:rsidTr="00AD1689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027E" w14:textId="77777777" w:rsidR="00F84BFF" w:rsidRPr="00787100" w:rsidRDefault="00F84BFF" w:rsidP="00F84BF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lang w:val="ru-RU"/>
              </w:rPr>
            </w:pPr>
            <w:r w:rsidRPr="00787100">
              <w:rPr>
                <w:sz w:val="20"/>
                <w:szCs w:val="20"/>
                <w:lang w:val="ru-RU"/>
              </w:rPr>
              <w:t>6 марта 2023 г.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6CB3" w14:textId="03EC7B18" w:rsidR="00F84BFF" w:rsidRPr="00787100" w:rsidRDefault="00F84BFF" w:rsidP="000A44C8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sz w:val="20"/>
                <w:szCs w:val="20"/>
                <w:lang w:val="ru-RU"/>
              </w:rPr>
            </w:pPr>
            <w:r w:rsidRPr="00787100">
              <w:rPr>
                <w:sz w:val="20"/>
                <w:szCs w:val="20"/>
                <w:lang w:val="ru-RU"/>
              </w:rPr>
              <w:t>−</w:t>
            </w:r>
            <w:r w:rsidRPr="00787100">
              <w:rPr>
                <w:sz w:val="20"/>
                <w:szCs w:val="20"/>
                <w:lang w:val="ru-RU"/>
              </w:rPr>
              <w:tab/>
              <w:t xml:space="preserve">Предварительная регистрация (в онлайновой форме на </w:t>
            </w:r>
            <w:hyperlink r:id="rId21" w:history="1">
              <w:r w:rsidRPr="00787100">
                <w:rPr>
                  <w:rStyle w:val="Hyperlink"/>
                  <w:rFonts w:ascii="Calibri" w:eastAsia="SimSun" w:hAnsi="Calibri" w:cs="Calibri"/>
                  <w:sz w:val="20"/>
                  <w:szCs w:val="20"/>
                  <w:lang w:val="ru-RU" w:eastAsia="ja-JP"/>
                </w:rPr>
                <w:t xml:space="preserve">домашней странице </w:t>
              </w:r>
              <w:r w:rsidR="00DE1A09" w:rsidRPr="00787100">
                <w:rPr>
                  <w:rStyle w:val="Hyperlink"/>
                  <w:rFonts w:ascii="Calibri" w:eastAsia="SimSun" w:hAnsi="Calibri" w:cs="Calibri"/>
                  <w:sz w:val="20"/>
                  <w:szCs w:val="20"/>
                  <w:lang w:val="ru-RU" w:eastAsia="ja-JP"/>
                </w:rPr>
                <w:t>ОГ</w:t>
              </w:r>
              <w:r w:rsidR="000A44C8" w:rsidRPr="00787100">
                <w:rPr>
                  <w:rStyle w:val="Hyperlink"/>
                  <w:rFonts w:ascii="Calibri" w:eastAsia="SimSun" w:hAnsi="Calibri" w:cs="Calibri"/>
                  <w:sz w:val="20"/>
                  <w:szCs w:val="20"/>
                  <w:lang w:val="ru-RU" w:eastAsia="ja-JP"/>
                </w:rPr>
                <w:t>-MV</w:t>
              </w:r>
            </w:hyperlink>
            <w:r w:rsidRPr="00787100">
              <w:rPr>
                <w:rStyle w:val="Hyperlink"/>
                <w:rFonts w:ascii="Calibri" w:eastAsia="SimSun" w:hAnsi="Calibri" w:cs="Calibri"/>
                <w:color w:val="auto"/>
                <w:sz w:val="20"/>
                <w:szCs w:val="20"/>
                <w:u w:val="none"/>
                <w:lang w:val="ru-RU" w:eastAsia="ja-JP"/>
              </w:rPr>
              <w:t>)</w:t>
            </w:r>
          </w:p>
        </w:tc>
      </w:tr>
    </w:tbl>
    <w:p w14:paraId="267D0D74" w14:textId="61D82227" w:rsidR="00DD68CA" w:rsidRPr="00787100" w:rsidRDefault="00DE1A09" w:rsidP="006636A5">
      <w:pPr>
        <w:shd w:val="clear" w:color="auto" w:fill="FFFFFF" w:themeFill="background1"/>
        <w:rPr>
          <w:rFonts w:cstheme="minorHAnsi"/>
          <w:szCs w:val="22"/>
          <w:lang w:val="ru-RU"/>
        </w:rPr>
      </w:pPr>
      <w:r w:rsidRPr="00787100">
        <w:rPr>
          <w:rFonts w:cstheme="minorHAnsi"/>
          <w:color w:val="000000"/>
          <w:szCs w:val="22"/>
          <w:shd w:val="clear" w:color="auto" w:fill="FFFFFF" w:themeFill="background1"/>
          <w:lang w:val="ru-RU"/>
        </w:rPr>
        <w:t>Желаю вам плодотворного и приятного собрания</w:t>
      </w:r>
      <w:r w:rsidR="00F84BFF" w:rsidRPr="00787100">
        <w:rPr>
          <w:rFonts w:cstheme="minorHAnsi"/>
          <w:szCs w:val="22"/>
          <w:lang w:val="ru-RU"/>
        </w:rPr>
        <w:t>.</w:t>
      </w:r>
    </w:p>
    <w:p w14:paraId="2679E3F9" w14:textId="77777777" w:rsidR="00DD68CA" w:rsidRPr="00787100" w:rsidRDefault="00DD68CA" w:rsidP="00DD68CA">
      <w:pPr>
        <w:rPr>
          <w:szCs w:val="22"/>
          <w:lang w:val="ru-RU"/>
        </w:rPr>
      </w:pPr>
      <w:r w:rsidRPr="00787100">
        <w:rPr>
          <w:lang w:val="ru-RU"/>
        </w:rPr>
        <w:t>С уважением,</w:t>
      </w:r>
    </w:p>
    <w:p w14:paraId="2D2B9037" w14:textId="77777777" w:rsidR="00DD68CA" w:rsidRPr="00787100" w:rsidRDefault="00DD68CA" w:rsidP="006636A5">
      <w:pPr>
        <w:spacing w:before="360"/>
        <w:rPr>
          <w:lang w:val="ru-RU"/>
        </w:rPr>
      </w:pPr>
      <w:r w:rsidRPr="00787100">
        <w:rPr>
          <w:lang w:val="ru-RU"/>
        </w:rPr>
        <w:t>(</w:t>
      </w:r>
      <w:r w:rsidRPr="00787100">
        <w:rPr>
          <w:i/>
          <w:iCs/>
          <w:lang w:val="ru-RU"/>
        </w:rPr>
        <w:t>подпись</w:t>
      </w:r>
      <w:r w:rsidRPr="00787100">
        <w:rPr>
          <w:lang w:val="ru-RU"/>
        </w:rPr>
        <w:t>)</w:t>
      </w:r>
    </w:p>
    <w:p w14:paraId="7B484FC4" w14:textId="43BE2284" w:rsidR="00DD68CA" w:rsidRPr="00787100" w:rsidRDefault="00DE1A09" w:rsidP="006636A5">
      <w:pPr>
        <w:pStyle w:val="Normalaftertitle"/>
        <w:spacing w:before="360"/>
        <w:rPr>
          <w:szCs w:val="22"/>
          <w:lang w:val="ru-RU"/>
        </w:rPr>
      </w:pPr>
      <w:proofErr w:type="spellStart"/>
      <w:r w:rsidRPr="00787100">
        <w:rPr>
          <w:rFonts w:cstheme="minorHAnsi"/>
          <w:color w:val="000000"/>
          <w:szCs w:val="22"/>
          <w:shd w:val="clear" w:color="auto" w:fill="FFFFFF" w:themeFill="background1"/>
          <w:lang w:val="ru-RU"/>
        </w:rPr>
        <w:t>Сейдзо</w:t>
      </w:r>
      <w:proofErr w:type="spellEnd"/>
      <w:r w:rsidRPr="00787100">
        <w:rPr>
          <w:rFonts w:cstheme="minorHAnsi"/>
          <w:color w:val="000000"/>
          <w:szCs w:val="22"/>
          <w:shd w:val="clear" w:color="auto" w:fill="FFFFFF" w:themeFill="background1"/>
          <w:lang w:val="ru-RU"/>
        </w:rPr>
        <w:t xml:space="preserve"> </w:t>
      </w:r>
      <w:proofErr w:type="spellStart"/>
      <w:r w:rsidRPr="00787100">
        <w:rPr>
          <w:rFonts w:cstheme="minorHAnsi"/>
          <w:color w:val="000000"/>
          <w:szCs w:val="22"/>
          <w:shd w:val="clear" w:color="auto" w:fill="FFFFFF" w:themeFill="background1"/>
          <w:lang w:val="ru-RU"/>
        </w:rPr>
        <w:t>Оноэ</w:t>
      </w:r>
      <w:proofErr w:type="spellEnd"/>
      <w:r w:rsidR="00DD68CA" w:rsidRPr="00787100">
        <w:rPr>
          <w:rFonts w:cstheme="minorHAnsi"/>
          <w:sz w:val="24"/>
          <w:szCs w:val="24"/>
          <w:lang w:val="ru-RU"/>
        </w:rPr>
        <w:br/>
      </w:r>
      <w:r w:rsidR="00DD68CA" w:rsidRPr="00787100">
        <w:rPr>
          <w:szCs w:val="22"/>
          <w:lang w:val="ru-RU"/>
        </w:rPr>
        <w:t>Директор Бюро</w:t>
      </w:r>
      <w:r w:rsidR="00DD68CA" w:rsidRPr="00787100">
        <w:rPr>
          <w:szCs w:val="22"/>
          <w:lang w:val="ru-RU"/>
        </w:rPr>
        <w:br/>
        <w:t>стандартизации электросвязи</w:t>
      </w:r>
    </w:p>
    <w:p w14:paraId="2028FE7A" w14:textId="77777777" w:rsidR="00F76813" w:rsidRPr="00787100" w:rsidRDefault="00F76813" w:rsidP="006636A5">
      <w:pPr>
        <w:spacing w:before="360"/>
        <w:jc w:val="both"/>
        <w:rPr>
          <w:lang w:val="ru-RU"/>
        </w:rPr>
      </w:pPr>
      <w:r w:rsidRPr="00787100">
        <w:rPr>
          <w:b/>
          <w:bCs/>
          <w:lang w:val="ru-RU"/>
        </w:rPr>
        <w:t>Приложение</w:t>
      </w:r>
      <w:r w:rsidRPr="00787100">
        <w:rPr>
          <w:bCs/>
          <w:lang w:val="ru-RU"/>
        </w:rPr>
        <w:t xml:space="preserve">: </w:t>
      </w:r>
      <w:r w:rsidRPr="00787100">
        <w:rPr>
          <w:lang w:val="ru-RU"/>
        </w:rPr>
        <w:t>1</w:t>
      </w:r>
      <w:r w:rsidRPr="00787100">
        <w:rPr>
          <w:lang w:val="ru-RU"/>
        </w:rPr>
        <w:br w:type="page"/>
      </w:r>
    </w:p>
    <w:p w14:paraId="5FB753ED" w14:textId="7D2EC056" w:rsidR="00DC210F" w:rsidRPr="00787100" w:rsidRDefault="00DE1A09" w:rsidP="00DC210F">
      <w:pPr>
        <w:pStyle w:val="AnnexNo"/>
        <w:rPr>
          <w:lang w:val="ru-RU"/>
        </w:rPr>
      </w:pPr>
      <w:r w:rsidRPr="00787100">
        <w:rPr>
          <w:lang w:val="ru-RU"/>
        </w:rPr>
        <w:lastRenderedPageBreak/>
        <w:t>ПРИЛОЖЕНИЕ</w:t>
      </w:r>
      <w:r w:rsidR="00DC210F" w:rsidRPr="00787100">
        <w:rPr>
          <w:lang w:val="ru-RU"/>
        </w:rPr>
        <w:t xml:space="preserve"> 1</w:t>
      </w:r>
    </w:p>
    <w:p w14:paraId="171BA17D" w14:textId="5D8738DD" w:rsidR="00DC210F" w:rsidRPr="00787100" w:rsidRDefault="00DE1A09" w:rsidP="00DC210F">
      <w:pPr>
        <w:pStyle w:val="AnnexTitle"/>
        <w:rPr>
          <w:rFonts w:eastAsia="SimSun"/>
          <w:sz w:val="26"/>
          <w:szCs w:val="26"/>
          <w:lang w:val="ru-RU"/>
        </w:rPr>
      </w:pPr>
      <w:r w:rsidRPr="00787100">
        <w:rPr>
          <w:rFonts w:eastAsia="SimSun"/>
          <w:sz w:val="26"/>
          <w:szCs w:val="26"/>
          <w:lang w:val="ru-RU"/>
        </w:rPr>
        <w:t xml:space="preserve">Круг ведения Оперативной группы МСЭ-Т по </w:t>
      </w:r>
      <w:proofErr w:type="spellStart"/>
      <w:r w:rsidRPr="00787100">
        <w:rPr>
          <w:rFonts w:eastAsia="SimSun"/>
          <w:sz w:val="26"/>
          <w:szCs w:val="26"/>
          <w:lang w:val="ru-RU"/>
        </w:rPr>
        <w:t>метавселенной</w:t>
      </w:r>
      <w:proofErr w:type="spellEnd"/>
      <w:r w:rsidR="00DC210F" w:rsidRPr="00787100">
        <w:rPr>
          <w:rFonts w:eastAsia="SimSun"/>
          <w:sz w:val="26"/>
          <w:szCs w:val="26"/>
          <w:lang w:val="ru-RU"/>
        </w:rPr>
        <w:t xml:space="preserve"> (</w:t>
      </w:r>
      <w:r w:rsidRPr="00787100">
        <w:rPr>
          <w:rFonts w:eastAsia="SimSun"/>
          <w:sz w:val="26"/>
          <w:szCs w:val="26"/>
          <w:lang w:val="ru-RU"/>
        </w:rPr>
        <w:t>ОГ</w:t>
      </w:r>
      <w:r w:rsidR="00DC210F" w:rsidRPr="00787100">
        <w:rPr>
          <w:rFonts w:eastAsia="SimSun"/>
          <w:sz w:val="26"/>
          <w:szCs w:val="26"/>
          <w:lang w:val="ru-RU"/>
        </w:rPr>
        <w:t>-MV)</w:t>
      </w:r>
    </w:p>
    <w:p w14:paraId="1A0EEB97" w14:textId="77777777" w:rsidR="00DC210F" w:rsidRPr="00787100" w:rsidRDefault="00DC210F" w:rsidP="00DC210F">
      <w:pPr>
        <w:pStyle w:val="Heading1"/>
        <w:rPr>
          <w:lang w:val="ru-RU"/>
        </w:rPr>
      </w:pPr>
      <w:bookmarkStart w:id="5" w:name="_Hlk7618046"/>
      <w:r w:rsidRPr="00787100">
        <w:rPr>
          <w:lang w:val="ru-RU"/>
        </w:rPr>
        <w:t>1</w:t>
      </w:r>
      <w:r w:rsidRPr="00787100">
        <w:rPr>
          <w:lang w:val="ru-RU"/>
        </w:rPr>
        <w:tab/>
      </w:r>
      <w:r w:rsidRPr="00787100">
        <w:rPr>
          <w:rFonts w:eastAsiaTheme="minorEastAsia"/>
          <w:lang w:val="ru-RU"/>
        </w:rPr>
        <w:t>Обоснование и сфера деятельности</w:t>
      </w:r>
    </w:p>
    <w:p w14:paraId="4970B5A7" w14:textId="31372B0E" w:rsidR="00DC210F" w:rsidRPr="00787100" w:rsidRDefault="000669C7" w:rsidP="006636A5">
      <w:pPr>
        <w:jc w:val="both"/>
        <w:rPr>
          <w:rFonts w:cstheme="minorHAnsi"/>
          <w:szCs w:val="22"/>
          <w:lang w:val="ru-RU"/>
        </w:rPr>
      </w:pPr>
      <w:r w:rsidRPr="00787100">
        <w:rPr>
          <w:rFonts w:cstheme="minorHAnsi"/>
          <w:szCs w:val="22"/>
          <w:lang w:val="ru-RU"/>
        </w:rPr>
        <w:t xml:space="preserve">За последнее время </w:t>
      </w:r>
      <w:proofErr w:type="spellStart"/>
      <w:r w:rsidRPr="00787100">
        <w:rPr>
          <w:rFonts w:cstheme="minorHAnsi"/>
          <w:szCs w:val="22"/>
          <w:lang w:val="ru-RU"/>
        </w:rPr>
        <w:t>метавселенная</w:t>
      </w:r>
      <w:proofErr w:type="spellEnd"/>
      <w:r w:rsidRPr="00787100">
        <w:rPr>
          <w:rFonts w:cstheme="minorHAnsi"/>
          <w:szCs w:val="22"/>
          <w:lang w:val="ru-RU"/>
        </w:rPr>
        <w:t xml:space="preserve"> стала революционной областью инноваций, обладающей огромным потенциалом изменения нашей экономики, образа жизни и общения, а также общества</w:t>
      </w:r>
      <w:r w:rsidR="00DC210F" w:rsidRPr="00787100">
        <w:rPr>
          <w:rFonts w:cstheme="minorHAnsi"/>
          <w:szCs w:val="22"/>
          <w:lang w:val="ru-RU"/>
        </w:rPr>
        <w:t xml:space="preserve">. </w:t>
      </w:r>
      <w:r w:rsidRPr="00787100">
        <w:rPr>
          <w:rFonts w:cstheme="minorHAnsi"/>
          <w:szCs w:val="22"/>
          <w:lang w:val="ru-RU"/>
        </w:rPr>
        <w:t xml:space="preserve">На этом зарождающемся этапе </w:t>
      </w:r>
      <w:proofErr w:type="spellStart"/>
      <w:r w:rsidRPr="00787100">
        <w:rPr>
          <w:rFonts w:cstheme="minorHAnsi"/>
          <w:szCs w:val="22"/>
          <w:lang w:val="ru-RU"/>
        </w:rPr>
        <w:t>метавселенной</w:t>
      </w:r>
      <w:proofErr w:type="spellEnd"/>
      <w:r w:rsidRPr="00787100">
        <w:rPr>
          <w:rFonts w:cstheme="minorHAnsi"/>
          <w:szCs w:val="22"/>
          <w:lang w:val="ru-RU"/>
        </w:rPr>
        <w:t xml:space="preserve"> </w:t>
      </w:r>
      <w:r w:rsidR="00A41DD0" w:rsidRPr="00787100">
        <w:rPr>
          <w:rFonts w:cstheme="minorHAnsi"/>
          <w:szCs w:val="22"/>
          <w:lang w:val="ru-RU"/>
        </w:rPr>
        <w:t>в промышленности не выработаны общие термины и определения</w:t>
      </w:r>
      <w:r w:rsidR="00DC210F" w:rsidRPr="00787100">
        <w:rPr>
          <w:rFonts w:cstheme="minorHAnsi"/>
          <w:szCs w:val="22"/>
          <w:lang w:val="ru-RU"/>
        </w:rPr>
        <w:t>.</w:t>
      </w:r>
      <w:r w:rsidR="004344D1" w:rsidRPr="00787100">
        <w:rPr>
          <w:rFonts w:cstheme="minorHAnsi"/>
          <w:szCs w:val="22"/>
          <w:lang w:val="ru-RU"/>
        </w:rPr>
        <w:t xml:space="preserve"> Концепция </w:t>
      </w:r>
      <w:proofErr w:type="spellStart"/>
      <w:r w:rsidR="004344D1" w:rsidRPr="00787100">
        <w:rPr>
          <w:rFonts w:cstheme="minorHAnsi"/>
          <w:szCs w:val="22"/>
          <w:lang w:val="ru-RU"/>
        </w:rPr>
        <w:t>метавселенной</w:t>
      </w:r>
      <w:proofErr w:type="spellEnd"/>
      <w:r w:rsidR="004344D1" w:rsidRPr="00787100">
        <w:rPr>
          <w:rFonts w:cstheme="minorHAnsi"/>
          <w:szCs w:val="22"/>
          <w:lang w:val="ru-RU"/>
        </w:rPr>
        <w:t xml:space="preserve"> привлекает значительное внимание общественности</w:t>
      </w:r>
      <w:r w:rsidR="00DC210F" w:rsidRPr="00787100">
        <w:rPr>
          <w:rFonts w:cstheme="minorHAnsi"/>
          <w:szCs w:val="22"/>
          <w:lang w:val="ru-RU"/>
        </w:rPr>
        <w:t xml:space="preserve">. </w:t>
      </w:r>
      <w:r w:rsidR="004344D1" w:rsidRPr="00787100">
        <w:rPr>
          <w:rFonts w:cstheme="minorHAnsi"/>
          <w:szCs w:val="22"/>
          <w:lang w:val="ru-RU"/>
        </w:rPr>
        <w:t xml:space="preserve">Аналитики компании </w:t>
      </w:r>
      <w:r w:rsidR="00DC210F" w:rsidRPr="00787100">
        <w:rPr>
          <w:rFonts w:cstheme="minorHAnsi"/>
          <w:szCs w:val="22"/>
          <w:lang w:val="ru-RU"/>
        </w:rPr>
        <w:t>Bloomberg</w:t>
      </w:r>
      <w:r w:rsidR="00DC210F" w:rsidRPr="00787100">
        <w:rPr>
          <w:rStyle w:val="FootnoteReference"/>
          <w:rFonts w:cstheme="minorHAnsi"/>
          <w:sz w:val="14"/>
          <w:szCs w:val="14"/>
          <w:lang w:val="ru-RU"/>
        </w:rPr>
        <w:footnoteReference w:id="1"/>
      </w:r>
      <w:r w:rsidR="00DC210F" w:rsidRPr="00787100">
        <w:rPr>
          <w:rFonts w:cstheme="minorHAnsi"/>
          <w:szCs w:val="22"/>
          <w:lang w:val="ru-RU"/>
        </w:rPr>
        <w:t xml:space="preserve"> </w:t>
      </w:r>
      <w:r w:rsidR="004344D1" w:rsidRPr="00787100">
        <w:rPr>
          <w:rFonts w:cstheme="minorHAnsi"/>
          <w:szCs w:val="22"/>
          <w:lang w:val="ru-RU"/>
        </w:rPr>
        <w:t xml:space="preserve">считают, что общая рыночная стоимость </w:t>
      </w:r>
      <w:proofErr w:type="spellStart"/>
      <w:r w:rsidR="004344D1" w:rsidRPr="00787100">
        <w:rPr>
          <w:rFonts w:cstheme="minorHAnsi"/>
          <w:szCs w:val="22"/>
          <w:lang w:val="ru-RU"/>
        </w:rPr>
        <w:t>метавселенной</w:t>
      </w:r>
      <w:proofErr w:type="spellEnd"/>
      <w:r w:rsidR="004344D1" w:rsidRPr="00787100">
        <w:rPr>
          <w:rFonts w:cstheme="minorHAnsi"/>
          <w:szCs w:val="22"/>
          <w:lang w:val="ru-RU"/>
        </w:rPr>
        <w:t xml:space="preserve"> как </w:t>
      </w:r>
      <w:r w:rsidR="00D22096" w:rsidRPr="00787100">
        <w:rPr>
          <w:rFonts w:cstheme="minorHAnsi"/>
          <w:szCs w:val="22"/>
          <w:lang w:val="ru-RU"/>
        </w:rPr>
        <w:t>"следующей большой технологической платформы" мира к 2024 году может достичь</w:t>
      </w:r>
      <w:r w:rsidR="00DC210F" w:rsidRPr="00787100">
        <w:rPr>
          <w:rFonts w:cstheme="minorHAnsi"/>
          <w:szCs w:val="22"/>
          <w:lang w:val="ru-RU"/>
        </w:rPr>
        <w:t xml:space="preserve"> 800</w:t>
      </w:r>
      <w:r w:rsidR="00D22096" w:rsidRPr="00787100">
        <w:rPr>
          <w:rFonts w:cstheme="minorHAnsi"/>
          <w:szCs w:val="22"/>
          <w:lang w:val="ru-RU"/>
        </w:rPr>
        <w:t> млрд. долл. США, удвоившись по сравнению с 2020 годом</w:t>
      </w:r>
      <w:r w:rsidR="00DC210F" w:rsidRPr="00787100">
        <w:rPr>
          <w:rFonts w:cstheme="minorHAnsi"/>
          <w:szCs w:val="22"/>
          <w:lang w:val="ru-RU"/>
        </w:rPr>
        <w:t>.</w:t>
      </w:r>
    </w:p>
    <w:p w14:paraId="03F5B18C" w14:textId="701982F2" w:rsidR="00DC210F" w:rsidRPr="00787100" w:rsidRDefault="001925C1" w:rsidP="006636A5">
      <w:pPr>
        <w:jc w:val="both"/>
        <w:rPr>
          <w:rFonts w:cstheme="minorHAnsi"/>
          <w:szCs w:val="22"/>
          <w:lang w:val="ru-RU"/>
        </w:rPr>
      </w:pPr>
      <w:r w:rsidRPr="00787100">
        <w:rPr>
          <w:rFonts w:cstheme="minorHAnsi"/>
          <w:szCs w:val="22"/>
          <w:lang w:val="ru-RU"/>
        </w:rPr>
        <w:t>Эта Оперативная группа обеспечивает совместную платформу для диалога</w:t>
      </w:r>
      <w:r w:rsidR="00664726" w:rsidRPr="00787100">
        <w:rPr>
          <w:rFonts w:cstheme="minorHAnsi"/>
          <w:szCs w:val="22"/>
          <w:lang w:val="ru-RU"/>
        </w:rPr>
        <w:t xml:space="preserve">, определения заинтересованных сторон, с которыми МСЭ может сотрудничать, и </w:t>
      </w:r>
      <w:r w:rsidR="00BC1FDB" w:rsidRPr="00787100">
        <w:rPr>
          <w:rFonts w:cstheme="minorHAnsi"/>
          <w:szCs w:val="22"/>
          <w:lang w:val="ru-RU"/>
        </w:rPr>
        <w:t>создания возможности привлечения нечленов для внесения вкладов в техническую работу</w:t>
      </w:r>
      <w:r w:rsidR="00FE1C56" w:rsidRPr="00787100">
        <w:rPr>
          <w:rFonts w:cstheme="minorHAnsi"/>
          <w:szCs w:val="22"/>
          <w:lang w:val="ru-RU"/>
        </w:rPr>
        <w:t xml:space="preserve"> по предварительной</w:t>
      </w:r>
      <w:r w:rsidR="00BC1FDB" w:rsidRPr="00787100">
        <w:rPr>
          <w:rFonts w:cstheme="minorHAnsi"/>
          <w:szCs w:val="22"/>
          <w:lang w:val="ru-RU"/>
        </w:rPr>
        <w:t xml:space="preserve"> стандартизации</w:t>
      </w:r>
      <w:r w:rsidR="00DC210F" w:rsidRPr="00787100">
        <w:rPr>
          <w:rFonts w:cstheme="minorHAnsi"/>
          <w:szCs w:val="22"/>
          <w:lang w:val="ru-RU"/>
        </w:rPr>
        <w:t xml:space="preserve">. </w:t>
      </w:r>
      <w:r w:rsidR="00BC1FDB" w:rsidRPr="00787100">
        <w:rPr>
          <w:rFonts w:cstheme="minorHAnsi"/>
          <w:szCs w:val="22"/>
          <w:lang w:val="ru-RU"/>
        </w:rPr>
        <w:t xml:space="preserve">Работа Оперативной группы будет обогащаться </w:t>
      </w:r>
      <w:r w:rsidR="00E90C56" w:rsidRPr="00787100">
        <w:rPr>
          <w:rFonts w:cstheme="minorHAnsi"/>
          <w:szCs w:val="22"/>
          <w:lang w:val="ru-RU"/>
        </w:rPr>
        <w:t>благодаря определению соответствующих сценариев использования</w:t>
      </w:r>
      <w:r w:rsidR="00DC210F" w:rsidRPr="00787100">
        <w:rPr>
          <w:rFonts w:cstheme="minorHAnsi"/>
          <w:szCs w:val="22"/>
          <w:lang w:val="ru-RU"/>
        </w:rPr>
        <w:t>.</w:t>
      </w:r>
    </w:p>
    <w:p w14:paraId="03A8EE3A" w14:textId="742F6B0A" w:rsidR="00DC210F" w:rsidRPr="00787100" w:rsidRDefault="00FE1C56" w:rsidP="006636A5">
      <w:pPr>
        <w:jc w:val="both"/>
        <w:rPr>
          <w:rFonts w:cstheme="minorHAnsi"/>
          <w:szCs w:val="22"/>
          <w:lang w:val="ru-RU"/>
        </w:rPr>
      </w:pPr>
      <w:r w:rsidRPr="00787100">
        <w:rPr>
          <w:rFonts w:cstheme="minorHAnsi"/>
          <w:szCs w:val="22"/>
          <w:lang w:val="ru-RU"/>
        </w:rPr>
        <w:t xml:space="preserve">Оперативная группа будет рассматривать следующие аспекты работы по предварительной стандартизации </w:t>
      </w:r>
      <w:proofErr w:type="spellStart"/>
      <w:r w:rsidRPr="00787100">
        <w:rPr>
          <w:rFonts w:cstheme="minorHAnsi"/>
          <w:szCs w:val="22"/>
          <w:lang w:val="ru-RU"/>
        </w:rPr>
        <w:t>метавселенной</w:t>
      </w:r>
      <w:proofErr w:type="spellEnd"/>
      <w:r w:rsidR="00DC210F" w:rsidRPr="00787100">
        <w:rPr>
          <w:rFonts w:cstheme="minorHAnsi"/>
          <w:szCs w:val="22"/>
          <w:lang w:val="ru-RU"/>
        </w:rPr>
        <w:t>:</w:t>
      </w:r>
    </w:p>
    <w:p w14:paraId="02C7DA8D" w14:textId="7636EDA7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/>
        </w:rPr>
        <w:t>–</w:t>
      </w:r>
      <w:r w:rsidRPr="00787100">
        <w:rPr>
          <w:lang w:val="ru-RU"/>
        </w:rPr>
        <w:tab/>
      </w:r>
      <w:r w:rsidR="0033195A" w:rsidRPr="00787100">
        <w:rPr>
          <w:lang w:val="ru-RU"/>
        </w:rPr>
        <w:t xml:space="preserve">рабочие определения и термины, концепции, </w:t>
      </w:r>
      <w:r w:rsidR="00EE5A96" w:rsidRPr="00787100">
        <w:rPr>
          <w:lang w:val="ru-RU"/>
        </w:rPr>
        <w:t>видение</w:t>
      </w:r>
      <w:r w:rsidR="0033195A" w:rsidRPr="00787100">
        <w:rPr>
          <w:lang w:val="ru-RU"/>
        </w:rPr>
        <w:t>, сценарии использования и экосистема</w:t>
      </w:r>
      <w:r w:rsidRPr="00787100">
        <w:rPr>
          <w:lang w:val="ru-RU"/>
        </w:rPr>
        <w:t>;</w:t>
      </w:r>
    </w:p>
    <w:p w14:paraId="4817FE88" w14:textId="4C927F99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/>
        </w:rPr>
        <w:t>–</w:t>
      </w:r>
      <w:r w:rsidRPr="00787100">
        <w:rPr>
          <w:lang w:val="ru-RU"/>
        </w:rPr>
        <w:tab/>
      </w:r>
      <w:r w:rsidR="0033195A" w:rsidRPr="00787100">
        <w:rPr>
          <w:lang w:val="ru-RU"/>
        </w:rPr>
        <w:t>технические требования</w:t>
      </w:r>
      <w:r w:rsidRPr="00787100">
        <w:rPr>
          <w:lang w:val="ru-RU"/>
        </w:rPr>
        <w:t>;</w:t>
      </w:r>
    </w:p>
    <w:p w14:paraId="5B8C80CC" w14:textId="0B1A358A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/>
        </w:rPr>
        <w:t>–</w:t>
      </w:r>
      <w:r w:rsidRPr="00787100">
        <w:rPr>
          <w:lang w:val="ru-RU"/>
        </w:rPr>
        <w:tab/>
      </w:r>
      <w:r w:rsidR="0033195A" w:rsidRPr="00787100">
        <w:rPr>
          <w:lang w:val="ru-RU"/>
        </w:rPr>
        <w:t>техническая основа и характеристики, включая определение основополагающих базовых технологий</w:t>
      </w:r>
      <w:r w:rsidRPr="00787100">
        <w:rPr>
          <w:lang w:val="ru-RU"/>
        </w:rPr>
        <w:t>;</w:t>
      </w:r>
    </w:p>
    <w:p w14:paraId="3835F757" w14:textId="49D355AB" w:rsidR="00DC210F" w:rsidRPr="00787100" w:rsidRDefault="00DC210F" w:rsidP="006636A5">
      <w:pPr>
        <w:pStyle w:val="enumlev1"/>
        <w:jc w:val="both"/>
        <w:rPr>
          <w:rFonts w:cstheme="minorHAnsi"/>
          <w:szCs w:val="22"/>
          <w:lang w:val="ru-RU"/>
        </w:rPr>
      </w:pPr>
      <w:r w:rsidRPr="00787100">
        <w:rPr>
          <w:lang w:val="ru-RU"/>
        </w:rPr>
        <w:t>–</w:t>
      </w:r>
      <w:r w:rsidRPr="00787100">
        <w:rPr>
          <w:lang w:val="ru-RU"/>
        </w:rPr>
        <w:tab/>
      </w:r>
      <w:r w:rsidR="00EE5A96" w:rsidRPr="00787100">
        <w:rPr>
          <w:rFonts w:cstheme="minorHAnsi"/>
          <w:szCs w:val="22"/>
          <w:lang w:val="ru-RU"/>
        </w:rPr>
        <w:t xml:space="preserve">аспекты, </w:t>
      </w:r>
      <w:r w:rsidR="0033195A" w:rsidRPr="00787100">
        <w:rPr>
          <w:rFonts w:cstheme="minorHAnsi"/>
          <w:szCs w:val="22"/>
          <w:lang w:val="ru-RU"/>
        </w:rPr>
        <w:t xml:space="preserve">связанные с </w:t>
      </w:r>
      <w:r w:rsidR="00EE5A96" w:rsidRPr="00787100">
        <w:rPr>
          <w:rFonts w:cstheme="minorHAnsi"/>
          <w:szCs w:val="22"/>
          <w:lang w:val="ru-RU"/>
        </w:rPr>
        <w:t xml:space="preserve">безопасностью и </w:t>
      </w:r>
      <w:r w:rsidR="0033195A" w:rsidRPr="00787100">
        <w:rPr>
          <w:rFonts w:cstheme="minorHAnsi"/>
          <w:szCs w:val="22"/>
          <w:lang w:val="ru-RU"/>
        </w:rPr>
        <w:t xml:space="preserve">защитой </w:t>
      </w:r>
      <w:r w:rsidR="0033195A" w:rsidRPr="00787100">
        <w:rPr>
          <w:rFonts w:cstheme="minorHAnsi"/>
          <w:color w:val="000000"/>
          <w:szCs w:val="22"/>
          <w:shd w:val="clear" w:color="auto" w:fill="FFFFFF"/>
          <w:lang w:val="ru-RU"/>
        </w:rPr>
        <w:t>информации, позволяющей установить личность</w:t>
      </w:r>
      <w:r w:rsidR="0033195A" w:rsidRPr="00787100">
        <w:rPr>
          <w:rFonts w:cstheme="minorHAnsi"/>
          <w:szCs w:val="22"/>
          <w:lang w:val="ru-RU"/>
        </w:rPr>
        <w:t xml:space="preserve"> </w:t>
      </w:r>
      <w:r w:rsidRPr="00787100">
        <w:rPr>
          <w:rFonts w:cstheme="minorHAnsi"/>
          <w:szCs w:val="22"/>
          <w:lang w:val="ru-RU"/>
        </w:rPr>
        <w:t>(PII);</w:t>
      </w:r>
    </w:p>
    <w:p w14:paraId="095E874C" w14:textId="6E7464A3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/>
        </w:rPr>
        <w:t>–</w:t>
      </w:r>
      <w:r w:rsidRPr="00787100">
        <w:rPr>
          <w:lang w:val="ru-RU"/>
        </w:rPr>
        <w:tab/>
      </w:r>
      <w:r w:rsidR="00921213" w:rsidRPr="00787100">
        <w:rPr>
          <w:lang w:val="ru-RU"/>
        </w:rPr>
        <w:t>сетевая инфраструктура и возможность установления соединений</w:t>
      </w:r>
      <w:r w:rsidRPr="00787100">
        <w:rPr>
          <w:lang w:val="ru-RU"/>
        </w:rPr>
        <w:t>;</w:t>
      </w:r>
    </w:p>
    <w:p w14:paraId="0A79150D" w14:textId="13E6CCD3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/>
        </w:rPr>
        <w:t>–</w:t>
      </w:r>
      <w:r w:rsidRPr="00787100">
        <w:rPr>
          <w:lang w:val="ru-RU"/>
        </w:rPr>
        <w:tab/>
      </w:r>
      <w:r w:rsidR="00921213" w:rsidRPr="00787100">
        <w:rPr>
          <w:lang w:val="ru-RU"/>
        </w:rPr>
        <w:t>функциональная совместимость</w:t>
      </w:r>
      <w:r w:rsidRPr="00787100">
        <w:rPr>
          <w:lang w:val="ru-RU"/>
        </w:rPr>
        <w:t>;</w:t>
      </w:r>
    </w:p>
    <w:p w14:paraId="62294E2A" w14:textId="6243CE97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/>
        </w:rPr>
        <w:t>–</w:t>
      </w:r>
      <w:r w:rsidRPr="00787100">
        <w:rPr>
          <w:lang w:val="ru-RU"/>
        </w:rPr>
        <w:tab/>
      </w:r>
      <w:r w:rsidR="00921213" w:rsidRPr="00787100">
        <w:rPr>
          <w:lang w:val="ru-RU"/>
        </w:rPr>
        <w:t>прикладные интерфейсы</w:t>
      </w:r>
      <w:r w:rsidRPr="00787100">
        <w:rPr>
          <w:lang w:val="ru-RU"/>
        </w:rPr>
        <w:t>;</w:t>
      </w:r>
    </w:p>
    <w:p w14:paraId="65A8952B" w14:textId="0E5BDC7C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/>
        </w:rPr>
        <w:t>–</w:t>
      </w:r>
      <w:r w:rsidRPr="00787100">
        <w:rPr>
          <w:lang w:val="ru-RU"/>
        </w:rPr>
        <w:tab/>
      </w:r>
      <w:r w:rsidR="00921213" w:rsidRPr="00787100">
        <w:rPr>
          <w:lang w:val="ru-RU"/>
        </w:rPr>
        <w:t>доступность, в том числе для лиц с ограниченными возможностями</w:t>
      </w:r>
      <w:r w:rsidRPr="00787100">
        <w:rPr>
          <w:lang w:val="ru-RU"/>
        </w:rPr>
        <w:t>;</w:t>
      </w:r>
    </w:p>
    <w:p w14:paraId="0F6F92C0" w14:textId="70B75D79" w:rsidR="00DC210F" w:rsidRPr="00787100" w:rsidRDefault="00DC210F" w:rsidP="006636A5">
      <w:pPr>
        <w:pStyle w:val="enumlev1"/>
        <w:jc w:val="both"/>
        <w:rPr>
          <w:rFonts w:eastAsia="MS Mincho"/>
          <w:lang w:val="ru-RU"/>
        </w:rPr>
      </w:pPr>
      <w:r w:rsidRPr="00787100">
        <w:rPr>
          <w:lang w:val="ru-RU"/>
        </w:rPr>
        <w:t>–</w:t>
      </w:r>
      <w:r w:rsidRPr="00787100">
        <w:rPr>
          <w:lang w:val="ru-RU"/>
        </w:rPr>
        <w:tab/>
      </w:r>
      <w:r w:rsidR="00921213" w:rsidRPr="00787100">
        <w:rPr>
          <w:lang w:val="ru-RU"/>
        </w:rPr>
        <w:t>анализ пробелов в деятельности по стандартизации других орган</w:t>
      </w:r>
      <w:r w:rsidR="0054759E" w:rsidRPr="00787100">
        <w:rPr>
          <w:lang w:val="ru-RU"/>
        </w:rPr>
        <w:t>ов</w:t>
      </w:r>
      <w:r w:rsidR="00921213" w:rsidRPr="00787100">
        <w:rPr>
          <w:lang w:val="ru-RU"/>
        </w:rPr>
        <w:t xml:space="preserve"> по стандартизации, включая термин</w:t>
      </w:r>
      <w:r w:rsidR="0054759E" w:rsidRPr="00787100">
        <w:rPr>
          <w:lang w:val="ru-RU"/>
        </w:rPr>
        <w:t>ы</w:t>
      </w:r>
      <w:r w:rsidR="00921213" w:rsidRPr="00787100">
        <w:rPr>
          <w:lang w:val="ru-RU"/>
        </w:rPr>
        <w:t xml:space="preserve"> и принципы, используемые в ИСО и МЭК</w:t>
      </w:r>
      <w:r w:rsidRPr="00787100">
        <w:rPr>
          <w:rFonts w:eastAsia="MS Mincho"/>
          <w:lang w:val="ru-RU"/>
        </w:rPr>
        <w:t>;</w:t>
      </w:r>
    </w:p>
    <w:p w14:paraId="465D9A74" w14:textId="3B58CA99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/>
        </w:rPr>
        <w:t>–</w:t>
      </w:r>
      <w:r w:rsidRPr="00787100">
        <w:rPr>
          <w:lang w:val="ru-RU"/>
        </w:rPr>
        <w:tab/>
      </w:r>
      <w:r w:rsidR="00921213" w:rsidRPr="00787100">
        <w:rPr>
          <w:lang w:val="ru-RU"/>
        </w:rPr>
        <w:t>экономические аспекты и рег</w:t>
      </w:r>
      <w:r w:rsidR="00EE5A96" w:rsidRPr="00787100">
        <w:rPr>
          <w:lang w:val="ru-RU"/>
        </w:rPr>
        <w:t xml:space="preserve">уляторные </w:t>
      </w:r>
      <w:r w:rsidR="00921213" w:rsidRPr="00787100">
        <w:rPr>
          <w:lang w:val="ru-RU"/>
        </w:rPr>
        <w:t>последствия</w:t>
      </w:r>
      <w:r w:rsidRPr="00787100">
        <w:rPr>
          <w:lang w:val="ru-RU"/>
        </w:rPr>
        <w:t>;</w:t>
      </w:r>
    </w:p>
    <w:p w14:paraId="0FFB31A8" w14:textId="469C931F" w:rsidR="00DC210F" w:rsidRPr="00787100" w:rsidRDefault="00DC210F" w:rsidP="006636A5">
      <w:pPr>
        <w:pStyle w:val="enumlev1"/>
        <w:jc w:val="both"/>
        <w:rPr>
          <w:rFonts w:eastAsia="MS Mincho"/>
          <w:lang w:val="ru-RU"/>
        </w:rPr>
      </w:pPr>
      <w:r w:rsidRPr="00787100">
        <w:rPr>
          <w:lang w:val="ru-RU"/>
        </w:rPr>
        <w:t>–</w:t>
      </w:r>
      <w:r w:rsidRPr="00787100">
        <w:rPr>
          <w:lang w:val="ru-RU"/>
        </w:rPr>
        <w:tab/>
      </w:r>
      <w:r w:rsidR="00921213" w:rsidRPr="00787100">
        <w:rPr>
          <w:lang w:val="ru-RU"/>
        </w:rPr>
        <w:t>экологическая устойчивость</w:t>
      </w:r>
      <w:r w:rsidRPr="00787100">
        <w:rPr>
          <w:lang w:val="ru-RU"/>
        </w:rPr>
        <w:t>.</w:t>
      </w:r>
    </w:p>
    <w:bookmarkEnd w:id="5"/>
    <w:p w14:paraId="32ACA185" w14:textId="77777777" w:rsidR="00DC210F" w:rsidRPr="00787100" w:rsidRDefault="00DC210F" w:rsidP="006636A5">
      <w:pPr>
        <w:pStyle w:val="Headingb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87100">
        <w:rPr>
          <w:rFonts w:asciiTheme="minorHAnsi" w:hAnsiTheme="minorHAnsi" w:cstheme="minorHAnsi"/>
          <w:sz w:val="22"/>
          <w:szCs w:val="22"/>
          <w:lang w:val="ru-RU"/>
        </w:rPr>
        <w:t>2</w:t>
      </w:r>
      <w:r w:rsidRPr="00787100">
        <w:rPr>
          <w:rFonts w:asciiTheme="minorHAnsi" w:hAnsiTheme="minorHAnsi" w:cstheme="minorHAnsi"/>
          <w:sz w:val="22"/>
          <w:szCs w:val="22"/>
          <w:lang w:val="ru-RU"/>
        </w:rPr>
        <w:tab/>
        <w:t>Задачи</w:t>
      </w:r>
    </w:p>
    <w:p w14:paraId="23BD3A98" w14:textId="7ED4BD9F" w:rsidR="00DC210F" w:rsidRPr="00787100" w:rsidRDefault="009370FC" w:rsidP="006636A5">
      <w:pPr>
        <w:jc w:val="both"/>
        <w:rPr>
          <w:rFonts w:cstheme="minorHAnsi"/>
          <w:szCs w:val="22"/>
          <w:lang w:val="ru-RU"/>
        </w:rPr>
      </w:pPr>
      <w:r w:rsidRPr="00787100">
        <w:rPr>
          <w:rFonts w:cstheme="minorHAnsi"/>
          <w:szCs w:val="22"/>
          <w:lang w:val="ru-RU"/>
        </w:rPr>
        <w:t>Задача Оперативной группы заключается в поддержке деятельности по предварительной стандартизации, включая следующее</w:t>
      </w:r>
      <w:r w:rsidR="00DC210F" w:rsidRPr="00787100">
        <w:rPr>
          <w:rFonts w:cstheme="minorHAnsi"/>
          <w:szCs w:val="22"/>
          <w:lang w:val="ru-RU"/>
        </w:rPr>
        <w:t>:</w:t>
      </w:r>
    </w:p>
    <w:p w14:paraId="2D7D9371" w14:textId="40A693C0" w:rsidR="00DC210F" w:rsidRPr="00787100" w:rsidDel="00EC3644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/>
        </w:rPr>
        <w:t>a)</w:t>
      </w:r>
      <w:r w:rsidRPr="00787100">
        <w:rPr>
          <w:lang w:val="ru-RU"/>
        </w:rPr>
        <w:tab/>
      </w:r>
      <w:r w:rsidR="009370FC" w:rsidRPr="00787100">
        <w:rPr>
          <w:lang w:val="ru-RU"/>
        </w:rPr>
        <w:t xml:space="preserve">изучение терминов, концепций, </w:t>
      </w:r>
      <w:r w:rsidR="00C84ACD" w:rsidRPr="00787100">
        <w:rPr>
          <w:lang w:val="ru-RU"/>
        </w:rPr>
        <w:t xml:space="preserve">видения </w:t>
      </w:r>
      <w:r w:rsidR="009370FC" w:rsidRPr="00787100">
        <w:rPr>
          <w:lang w:val="ru-RU"/>
        </w:rPr>
        <w:t>и экосистемы;</w:t>
      </w:r>
    </w:p>
    <w:p w14:paraId="458E0EB2" w14:textId="2F4EEADA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/>
        </w:rPr>
        <w:t>b)</w:t>
      </w:r>
      <w:r w:rsidRPr="00787100">
        <w:rPr>
          <w:lang w:val="ru-RU"/>
        </w:rPr>
        <w:tab/>
      </w:r>
      <w:r w:rsidR="009370FC" w:rsidRPr="00787100">
        <w:rPr>
          <w:lang w:val="ru-RU"/>
        </w:rPr>
        <w:t>определение и изучение опорных технологий, их развития и ключевых задач для целей стандартизации, включая мультимедиа, оптимизацию сетей, возможность установления соединений, функциональную совместимость услуг и приложений,</w:t>
      </w:r>
      <w:r w:rsidRPr="00787100">
        <w:rPr>
          <w:lang w:val="ru-RU" w:eastAsia="zh-CN"/>
        </w:rPr>
        <w:t xml:space="preserve"> </w:t>
      </w:r>
      <w:r w:rsidR="009370FC" w:rsidRPr="00787100">
        <w:rPr>
          <w:lang w:val="ru-RU" w:eastAsia="zh-CN"/>
        </w:rPr>
        <w:t xml:space="preserve">безопасность, защиту </w:t>
      </w:r>
      <w:r w:rsidR="009370FC" w:rsidRPr="00787100">
        <w:rPr>
          <w:rFonts w:cstheme="minorHAnsi"/>
          <w:color w:val="000000"/>
          <w:szCs w:val="22"/>
          <w:shd w:val="clear" w:color="auto" w:fill="FFFFFF"/>
          <w:lang w:val="ru-RU"/>
        </w:rPr>
        <w:t>информации, позволяющей установить личность</w:t>
      </w:r>
      <w:r w:rsidRPr="00787100">
        <w:rPr>
          <w:lang w:val="ru-RU" w:eastAsia="zh-CN"/>
        </w:rPr>
        <w:t xml:space="preserve">, </w:t>
      </w:r>
      <w:r w:rsidR="00337603" w:rsidRPr="00787100">
        <w:rPr>
          <w:lang w:val="ru-RU" w:eastAsia="zh-CN"/>
        </w:rPr>
        <w:t>качество (включая ширину полосы</w:t>
      </w:r>
      <w:r w:rsidRPr="00787100">
        <w:rPr>
          <w:lang w:val="ru-RU" w:eastAsia="zh-CN"/>
        </w:rPr>
        <w:t xml:space="preserve">), </w:t>
      </w:r>
      <w:r w:rsidR="00337603" w:rsidRPr="00787100">
        <w:rPr>
          <w:lang w:val="ru-RU" w:eastAsia="zh-CN"/>
        </w:rPr>
        <w:t>цифровые активы (например, цифровые валюты</w:t>
      </w:r>
      <w:r w:rsidRPr="00787100">
        <w:rPr>
          <w:rFonts w:eastAsia="BatangChe"/>
          <w:lang w:val="ru-RU" w:eastAsia="ko-KR"/>
        </w:rPr>
        <w:t>)</w:t>
      </w:r>
      <w:r w:rsidRPr="00787100">
        <w:rPr>
          <w:lang w:val="ru-RU" w:eastAsia="zh-CN"/>
        </w:rPr>
        <w:t xml:space="preserve">, IoT, </w:t>
      </w:r>
      <w:r w:rsidR="00337603" w:rsidRPr="00787100">
        <w:rPr>
          <w:lang w:val="ru-RU" w:eastAsia="zh-CN"/>
        </w:rPr>
        <w:t xml:space="preserve">доступность, цифровые двойники и </w:t>
      </w:r>
      <w:r w:rsidR="00337603" w:rsidRPr="00787100">
        <w:rPr>
          <w:lang w:val="ru-RU"/>
        </w:rPr>
        <w:t>экологическую устойчивость</w:t>
      </w:r>
      <w:r w:rsidR="002A49BF" w:rsidRPr="00787100">
        <w:rPr>
          <w:lang w:val="ru-RU"/>
        </w:rPr>
        <w:t>;</w:t>
      </w:r>
    </w:p>
    <w:p w14:paraId="75D6A8CA" w14:textId="6F4F8F40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/>
        </w:rPr>
        <w:lastRenderedPageBreak/>
        <w:t>c)</w:t>
      </w:r>
      <w:r w:rsidRPr="00787100">
        <w:rPr>
          <w:lang w:val="ru-RU"/>
        </w:rPr>
        <w:tab/>
      </w:r>
      <w:r w:rsidR="002A49BF" w:rsidRPr="00787100">
        <w:rPr>
          <w:lang w:val="ru-RU"/>
        </w:rPr>
        <w:t>изучение и сбор информации для разработки дорожной карты предварительной стандартизации;</w:t>
      </w:r>
    </w:p>
    <w:p w14:paraId="47163D53" w14:textId="14C7BC21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/>
        </w:rPr>
        <w:t>d)</w:t>
      </w:r>
      <w:r w:rsidRPr="00787100">
        <w:rPr>
          <w:lang w:val="ru-RU"/>
        </w:rPr>
        <w:tab/>
      </w:r>
      <w:r w:rsidR="002A49BF" w:rsidRPr="00787100">
        <w:rPr>
          <w:lang w:val="ru-RU"/>
        </w:rPr>
        <w:t>создание сообщества экспертов и практических специалистов для объединения концепций, разработки общих представлений</w:t>
      </w:r>
      <w:r w:rsidR="00155160" w:rsidRPr="00787100">
        <w:rPr>
          <w:lang w:val="ru-RU"/>
        </w:rPr>
        <w:t>, что было бы полезно не только подразделению МСЭ, занимающемуся стандартизацией, но и глобальному сообществу;</w:t>
      </w:r>
    </w:p>
    <w:p w14:paraId="3B3B8161" w14:textId="2EBBC2EA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/>
        </w:rPr>
        <w:t>e)</w:t>
      </w:r>
      <w:r w:rsidRPr="00787100">
        <w:rPr>
          <w:lang w:val="ru-RU"/>
        </w:rPr>
        <w:tab/>
      </w:r>
      <w:r w:rsidR="00155160" w:rsidRPr="00787100">
        <w:rPr>
          <w:lang w:val="ru-RU"/>
        </w:rPr>
        <w:t>определение заинтересованных сторон, с которыми МСЭ-Т мог бы сотрудничать</w:t>
      </w:r>
      <w:r w:rsidR="0054759E" w:rsidRPr="00787100">
        <w:rPr>
          <w:lang w:val="ru-RU"/>
        </w:rPr>
        <w:t>,</w:t>
      </w:r>
      <w:r w:rsidR="00155160" w:rsidRPr="00787100">
        <w:rPr>
          <w:lang w:val="ru-RU"/>
        </w:rPr>
        <w:t xml:space="preserve"> </w:t>
      </w:r>
      <w:r w:rsidR="00C84ACD" w:rsidRPr="00787100">
        <w:rPr>
          <w:lang w:val="ru-RU"/>
        </w:rPr>
        <w:t>налаживание</w:t>
      </w:r>
      <w:r w:rsidR="00155160" w:rsidRPr="00787100">
        <w:rPr>
          <w:lang w:val="ru-RU"/>
        </w:rPr>
        <w:t xml:space="preserve"> связ</w:t>
      </w:r>
      <w:r w:rsidR="0054759E" w:rsidRPr="00787100">
        <w:rPr>
          <w:lang w:val="ru-RU"/>
        </w:rPr>
        <w:t>ей</w:t>
      </w:r>
      <w:r w:rsidR="00155160" w:rsidRPr="00787100">
        <w:rPr>
          <w:lang w:val="ru-RU"/>
        </w:rPr>
        <w:t xml:space="preserve"> и взаимодействия с другими организациями, которые могли бы вносить вклад в деятельность по предварительной стандартизации, а также определ</w:t>
      </w:r>
      <w:r w:rsidR="00C84ACD" w:rsidRPr="00787100">
        <w:rPr>
          <w:lang w:val="ru-RU"/>
        </w:rPr>
        <w:t>ение</w:t>
      </w:r>
      <w:r w:rsidR="00155160" w:rsidRPr="00787100">
        <w:rPr>
          <w:lang w:val="ru-RU"/>
        </w:rPr>
        <w:t xml:space="preserve"> возможны</w:t>
      </w:r>
      <w:r w:rsidR="00C84ACD" w:rsidRPr="00787100">
        <w:rPr>
          <w:lang w:val="ru-RU"/>
        </w:rPr>
        <w:t>х</w:t>
      </w:r>
      <w:r w:rsidR="00155160" w:rsidRPr="00787100">
        <w:rPr>
          <w:lang w:val="ru-RU"/>
        </w:rPr>
        <w:t xml:space="preserve"> коллективны</w:t>
      </w:r>
      <w:r w:rsidR="00C84ACD" w:rsidRPr="00787100">
        <w:rPr>
          <w:lang w:val="ru-RU"/>
        </w:rPr>
        <w:t>х</w:t>
      </w:r>
      <w:r w:rsidR="00155160" w:rsidRPr="00787100">
        <w:rPr>
          <w:lang w:val="ru-RU"/>
        </w:rPr>
        <w:t xml:space="preserve"> действи</w:t>
      </w:r>
      <w:r w:rsidR="00C84ACD" w:rsidRPr="00787100">
        <w:rPr>
          <w:lang w:val="ru-RU"/>
        </w:rPr>
        <w:t>й</w:t>
      </w:r>
      <w:r w:rsidR="00155160" w:rsidRPr="00787100">
        <w:rPr>
          <w:lang w:val="ru-RU"/>
        </w:rPr>
        <w:t xml:space="preserve"> и конкретны</w:t>
      </w:r>
      <w:r w:rsidR="00C84ACD" w:rsidRPr="00787100">
        <w:rPr>
          <w:lang w:val="ru-RU"/>
        </w:rPr>
        <w:t>х</w:t>
      </w:r>
      <w:r w:rsidR="00155160" w:rsidRPr="00787100">
        <w:rPr>
          <w:lang w:val="ru-RU"/>
        </w:rPr>
        <w:t xml:space="preserve"> следующи</w:t>
      </w:r>
      <w:r w:rsidR="00C84ACD" w:rsidRPr="00787100">
        <w:rPr>
          <w:lang w:val="ru-RU"/>
        </w:rPr>
        <w:t>х</w:t>
      </w:r>
      <w:r w:rsidR="00155160" w:rsidRPr="00787100">
        <w:rPr>
          <w:lang w:val="ru-RU"/>
        </w:rPr>
        <w:t xml:space="preserve"> шаг</w:t>
      </w:r>
      <w:r w:rsidR="00C84ACD" w:rsidRPr="00787100">
        <w:rPr>
          <w:lang w:val="ru-RU"/>
        </w:rPr>
        <w:t>ов</w:t>
      </w:r>
      <w:r w:rsidR="00155160" w:rsidRPr="00787100">
        <w:rPr>
          <w:lang w:val="ru-RU"/>
        </w:rPr>
        <w:t>;</w:t>
      </w:r>
    </w:p>
    <w:p w14:paraId="74DF331D" w14:textId="5E3485B8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/>
        </w:rPr>
        <w:t>f)</w:t>
      </w:r>
      <w:r w:rsidRPr="00787100">
        <w:rPr>
          <w:lang w:val="ru-RU"/>
        </w:rPr>
        <w:tab/>
      </w:r>
      <w:r w:rsidR="00155160" w:rsidRPr="00787100">
        <w:rPr>
          <w:lang w:val="ru-RU"/>
        </w:rPr>
        <w:t>стимулирование международного сотрудничества, совместное использование знаний и передового опыта, изучение перспектив и проблем, связанных с функциональной совместимостью;</w:t>
      </w:r>
    </w:p>
    <w:p w14:paraId="31B8C750" w14:textId="142B2E7B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/>
        </w:rPr>
        <w:t>g)</w:t>
      </w:r>
      <w:r w:rsidRPr="00787100">
        <w:rPr>
          <w:lang w:val="ru-RU"/>
        </w:rPr>
        <w:tab/>
      </w:r>
      <w:r w:rsidR="00155160" w:rsidRPr="00787100">
        <w:rPr>
          <w:lang w:val="ru-RU"/>
        </w:rPr>
        <w:t xml:space="preserve">обеспечение платформы </w:t>
      </w:r>
      <w:r w:rsidR="00D4360A" w:rsidRPr="00787100">
        <w:rPr>
          <w:lang w:val="ru-RU"/>
        </w:rPr>
        <w:t xml:space="preserve">для совместного использования результатов и для диалога по экономическим, политическим и регуляторным последствиям </w:t>
      </w:r>
      <w:proofErr w:type="spellStart"/>
      <w:r w:rsidR="00D4360A" w:rsidRPr="00787100">
        <w:rPr>
          <w:lang w:val="ru-RU"/>
        </w:rPr>
        <w:t>метавселенной</w:t>
      </w:r>
      <w:proofErr w:type="spellEnd"/>
      <w:r w:rsidR="00775F46" w:rsidRPr="00787100">
        <w:rPr>
          <w:lang w:val="ru-RU"/>
        </w:rPr>
        <w:t>, касающимся электросвязи/ИКТ</w:t>
      </w:r>
      <w:r w:rsidRPr="00787100">
        <w:rPr>
          <w:lang w:val="ru-RU"/>
        </w:rPr>
        <w:t>.</w:t>
      </w:r>
    </w:p>
    <w:p w14:paraId="18C31192" w14:textId="1CC6729B" w:rsidR="00DC210F" w:rsidRPr="00787100" w:rsidRDefault="00DC210F" w:rsidP="006636A5">
      <w:pPr>
        <w:pStyle w:val="Headingb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87100">
        <w:rPr>
          <w:rFonts w:asciiTheme="minorHAnsi" w:hAnsiTheme="minorHAnsi" w:cstheme="minorHAnsi"/>
          <w:sz w:val="22"/>
          <w:szCs w:val="22"/>
          <w:lang w:val="ru-RU"/>
        </w:rPr>
        <w:t>3</w:t>
      </w:r>
      <w:r w:rsidRPr="00787100">
        <w:rPr>
          <w:rFonts w:asciiTheme="minorHAnsi" w:hAnsiTheme="minorHAnsi" w:cstheme="minorHAnsi"/>
          <w:sz w:val="22"/>
          <w:szCs w:val="22"/>
          <w:lang w:val="ru-RU"/>
        </w:rPr>
        <w:tab/>
      </w:r>
      <w:r w:rsidR="00775F46" w:rsidRPr="00787100">
        <w:rPr>
          <w:rFonts w:asciiTheme="minorHAnsi" w:hAnsiTheme="minorHAnsi" w:cstheme="minorHAnsi"/>
          <w:sz w:val="22"/>
          <w:szCs w:val="22"/>
          <w:lang w:val="ru-RU"/>
        </w:rPr>
        <w:t xml:space="preserve">Конкретные задачи и </w:t>
      </w:r>
      <w:r w:rsidR="00495712" w:rsidRPr="00787100">
        <w:rPr>
          <w:rFonts w:asciiTheme="minorHAnsi" w:hAnsiTheme="minorHAnsi" w:cstheme="minorHAnsi"/>
          <w:sz w:val="22"/>
          <w:szCs w:val="22"/>
          <w:lang w:val="ru-RU"/>
        </w:rPr>
        <w:t>результаты работы</w:t>
      </w:r>
    </w:p>
    <w:p w14:paraId="0E85C8C9" w14:textId="3E435243" w:rsidR="00DC210F" w:rsidRPr="00787100" w:rsidRDefault="00775F46" w:rsidP="006636A5">
      <w:pPr>
        <w:jc w:val="both"/>
        <w:rPr>
          <w:rFonts w:cstheme="minorHAnsi"/>
          <w:szCs w:val="22"/>
          <w:lang w:val="ru-RU"/>
        </w:rPr>
      </w:pPr>
      <w:r w:rsidRPr="00787100">
        <w:rPr>
          <w:rFonts w:cstheme="minorHAnsi"/>
          <w:szCs w:val="22"/>
          <w:lang w:val="ru-RU"/>
        </w:rPr>
        <w:t xml:space="preserve">Ожидается, что ОГ представит </w:t>
      </w:r>
      <w:r w:rsidR="00495712" w:rsidRPr="00787100">
        <w:rPr>
          <w:rFonts w:cstheme="minorHAnsi"/>
          <w:szCs w:val="22"/>
          <w:lang w:val="ru-RU"/>
        </w:rPr>
        <w:t xml:space="preserve">результаты </w:t>
      </w:r>
      <w:r w:rsidR="000124A5" w:rsidRPr="00787100">
        <w:rPr>
          <w:rFonts w:cstheme="minorHAnsi"/>
          <w:szCs w:val="22"/>
          <w:lang w:val="ru-RU"/>
        </w:rPr>
        <w:t xml:space="preserve">своей </w:t>
      </w:r>
      <w:r w:rsidR="00495712" w:rsidRPr="00787100">
        <w:rPr>
          <w:rFonts w:cstheme="minorHAnsi"/>
          <w:szCs w:val="22"/>
          <w:lang w:val="ru-RU"/>
        </w:rPr>
        <w:t xml:space="preserve">работы </w:t>
      </w:r>
      <w:r w:rsidRPr="00787100">
        <w:rPr>
          <w:rFonts w:cstheme="minorHAnsi"/>
          <w:szCs w:val="22"/>
          <w:lang w:val="ru-RU"/>
        </w:rPr>
        <w:t>КГСЭ к ее собранию в январе 2024 года для рассмотрения и принятия мер, в зависимости от случая</w:t>
      </w:r>
      <w:r w:rsidR="00DC210F" w:rsidRPr="00787100">
        <w:rPr>
          <w:rFonts w:cstheme="minorHAnsi"/>
          <w:szCs w:val="22"/>
          <w:lang w:val="ru-RU"/>
        </w:rPr>
        <w:t xml:space="preserve"> (</w:t>
      </w:r>
      <w:r w:rsidRPr="00787100">
        <w:rPr>
          <w:rFonts w:cstheme="minorHAnsi"/>
          <w:szCs w:val="22"/>
          <w:lang w:val="ru-RU"/>
        </w:rPr>
        <w:t>например, распределения ИК для рассмотрения при начале новой работы</w:t>
      </w:r>
      <w:r w:rsidR="00DC210F" w:rsidRPr="00787100">
        <w:rPr>
          <w:rFonts w:cstheme="minorHAnsi"/>
          <w:szCs w:val="22"/>
          <w:lang w:val="ru-RU"/>
        </w:rPr>
        <w:t>).</w:t>
      </w:r>
    </w:p>
    <w:p w14:paraId="3D748A15" w14:textId="31928E51" w:rsidR="00DC210F" w:rsidRPr="00787100" w:rsidRDefault="00DC210F" w:rsidP="006636A5">
      <w:pPr>
        <w:pStyle w:val="enumlev1"/>
        <w:jc w:val="both"/>
        <w:rPr>
          <w:lang w:val="ru-RU" w:eastAsia="zh-CN"/>
        </w:rPr>
      </w:pPr>
      <w:r w:rsidRPr="00787100">
        <w:rPr>
          <w:lang w:val="ru-RU"/>
        </w:rPr>
        <w:t>a)</w:t>
      </w:r>
      <w:r w:rsidRPr="00787100">
        <w:rPr>
          <w:lang w:val="ru-RU"/>
        </w:rPr>
        <w:tab/>
      </w:r>
      <w:r w:rsidR="00DE19A1" w:rsidRPr="00787100">
        <w:rPr>
          <w:lang w:val="ru-RU"/>
        </w:rPr>
        <w:t>Подготовить</w:t>
      </w:r>
      <w:r w:rsidR="000124A5" w:rsidRPr="00787100">
        <w:rPr>
          <w:lang w:val="ru-RU"/>
        </w:rPr>
        <w:t xml:space="preserve"> результаты работы</w:t>
      </w:r>
      <w:r w:rsidR="00BB6B81" w:rsidRPr="00787100">
        <w:rPr>
          <w:lang w:val="ru-RU"/>
        </w:rPr>
        <w:t>, касающиеся рабочих определений и терминов, сценариев использования и требований</w:t>
      </w:r>
      <w:r w:rsidRPr="00787100">
        <w:rPr>
          <w:lang w:val="ru-RU" w:eastAsia="zh-CN"/>
        </w:rPr>
        <w:t>.</w:t>
      </w:r>
    </w:p>
    <w:p w14:paraId="3AE210E9" w14:textId="5C371C4F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/>
        </w:rPr>
        <w:t>b)</w:t>
      </w:r>
      <w:r w:rsidRPr="00787100">
        <w:rPr>
          <w:lang w:val="ru-RU"/>
        </w:rPr>
        <w:tab/>
      </w:r>
      <w:r w:rsidR="00DE19A1" w:rsidRPr="00787100">
        <w:rPr>
          <w:lang w:val="ru-RU"/>
        </w:rPr>
        <w:t>Подготовить результаты работы</w:t>
      </w:r>
      <w:r w:rsidR="00410C55" w:rsidRPr="00787100">
        <w:rPr>
          <w:lang w:val="ru-RU"/>
        </w:rPr>
        <w:t>, которые содержали бы руководящие указания и комплекс примеров передового опыта, в том числе анализ пробелов и дорожную карту предварительной стандартизации</w:t>
      </w:r>
      <w:r w:rsidRPr="00787100">
        <w:rPr>
          <w:lang w:val="ru-RU" w:eastAsia="zh-CN"/>
        </w:rPr>
        <w:t>.</w:t>
      </w:r>
    </w:p>
    <w:p w14:paraId="0DAF86DA" w14:textId="18ABC5FD" w:rsidR="00DC210F" w:rsidRPr="00787100" w:rsidRDefault="00DC210F" w:rsidP="006636A5">
      <w:pPr>
        <w:pStyle w:val="enumlev1"/>
        <w:jc w:val="both"/>
        <w:rPr>
          <w:lang w:val="ru-RU" w:eastAsia="zh-CN"/>
        </w:rPr>
      </w:pPr>
      <w:r w:rsidRPr="00787100">
        <w:rPr>
          <w:lang w:val="ru-RU"/>
        </w:rPr>
        <w:t>c)</w:t>
      </w:r>
      <w:r w:rsidRPr="00787100">
        <w:rPr>
          <w:lang w:val="ru-RU"/>
        </w:rPr>
        <w:tab/>
      </w:r>
      <w:r w:rsidR="00DE19A1" w:rsidRPr="00787100">
        <w:rPr>
          <w:lang w:val="ru-RU"/>
        </w:rPr>
        <w:t>Подготовить результаты работы</w:t>
      </w:r>
      <w:r w:rsidR="00AA1460" w:rsidRPr="00787100">
        <w:rPr>
          <w:lang w:val="ru-RU"/>
        </w:rPr>
        <w:t xml:space="preserve">, касающиеся технических основ и архитектуры, с учетом требований и подходов </w:t>
      </w:r>
      <w:r w:rsidR="00C84ACD" w:rsidRPr="00787100">
        <w:rPr>
          <w:lang w:val="ru-RU"/>
        </w:rPr>
        <w:t xml:space="preserve">к обеспечению </w:t>
      </w:r>
      <w:r w:rsidR="00AA1460" w:rsidRPr="00787100">
        <w:rPr>
          <w:lang w:val="ru-RU"/>
        </w:rPr>
        <w:t>безопасности, защиты</w:t>
      </w:r>
      <w:r w:rsidRPr="00787100">
        <w:rPr>
          <w:lang w:val="ru-RU" w:eastAsia="zh-CN"/>
        </w:rPr>
        <w:t xml:space="preserve"> PII </w:t>
      </w:r>
      <w:r w:rsidR="00AA1460" w:rsidRPr="00787100">
        <w:rPr>
          <w:lang w:val="ru-RU" w:eastAsia="zh-CN"/>
        </w:rPr>
        <w:t xml:space="preserve">и принципов проектирования, </w:t>
      </w:r>
      <w:r w:rsidR="00C84ACD" w:rsidRPr="00787100">
        <w:rPr>
          <w:lang w:val="ru-RU" w:eastAsia="zh-CN"/>
        </w:rPr>
        <w:t xml:space="preserve">отвечающих </w:t>
      </w:r>
      <w:r w:rsidR="00AA1460" w:rsidRPr="00787100">
        <w:rPr>
          <w:lang w:val="ru-RU" w:eastAsia="zh-CN"/>
        </w:rPr>
        <w:t>требовани</w:t>
      </w:r>
      <w:r w:rsidR="00C84ACD" w:rsidRPr="00787100">
        <w:rPr>
          <w:lang w:val="ru-RU" w:eastAsia="zh-CN"/>
        </w:rPr>
        <w:t>ям</w:t>
      </w:r>
      <w:r w:rsidR="00AA1460" w:rsidRPr="00787100">
        <w:rPr>
          <w:lang w:val="ru-RU" w:eastAsia="zh-CN"/>
        </w:rPr>
        <w:t xml:space="preserve"> доступности</w:t>
      </w:r>
      <w:r w:rsidRPr="00787100">
        <w:rPr>
          <w:lang w:val="ru-RU" w:eastAsia="zh-CN"/>
        </w:rPr>
        <w:t>.</w:t>
      </w:r>
    </w:p>
    <w:p w14:paraId="21D50242" w14:textId="3DBBB3BA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/>
        </w:rPr>
        <w:t>d)</w:t>
      </w:r>
      <w:r w:rsidRPr="00787100">
        <w:rPr>
          <w:lang w:val="ru-RU"/>
        </w:rPr>
        <w:tab/>
      </w:r>
      <w:r w:rsidR="00AA1460" w:rsidRPr="00787100">
        <w:rPr>
          <w:lang w:val="ru-RU"/>
        </w:rPr>
        <w:t>Организовывать семинары-практикумы и принимать в них участие для совместного использования и сбора знаний и опыта от широкого круга сообществ экспертов и заинтересованных сторон</w:t>
      </w:r>
      <w:r w:rsidRPr="00787100">
        <w:rPr>
          <w:lang w:val="ru-RU" w:eastAsia="zh-CN"/>
        </w:rPr>
        <w:t>.</w:t>
      </w:r>
    </w:p>
    <w:p w14:paraId="03C46623" w14:textId="2AF89D5F" w:rsidR="00DC210F" w:rsidRPr="00787100" w:rsidRDefault="00DC210F" w:rsidP="006636A5">
      <w:pPr>
        <w:pStyle w:val="enumlev1"/>
        <w:jc w:val="both"/>
        <w:rPr>
          <w:lang w:val="ru-RU" w:eastAsia="zh-CN"/>
        </w:rPr>
      </w:pPr>
      <w:r w:rsidRPr="00787100">
        <w:rPr>
          <w:lang w:val="ru-RU" w:eastAsia="zh-CN"/>
        </w:rPr>
        <w:t>e)</w:t>
      </w:r>
      <w:r w:rsidRPr="00787100">
        <w:rPr>
          <w:lang w:val="ru-RU" w:eastAsia="zh-CN"/>
        </w:rPr>
        <w:tab/>
      </w:r>
      <w:r w:rsidR="00AA1460" w:rsidRPr="00787100">
        <w:rPr>
          <w:lang w:val="ru-RU" w:eastAsia="zh-CN"/>
        </w:rPr>
        <w:t xml:space="preserve">По завершении срока работы представить </w:t>
      </w:r>
      <w:r w:rsidR="00C84ACD" w:rsidRPr="00787100">
        <w:rPr>
          <w:lang w:val="ru-RU" w:eastAsia="zh-CN"/>
        </w:rPr>
        <w:t xml:space="preserve">КГСЭ </w:t>
      </w:r>
      <w:r w:rsidR="00AA1460" w:rsidRPr="00787100">
        <w:rPr>
          <w:lang w:val="ru-RU" w:eastAsia="zh-CN"/>
        </w:rPr>
        <w:t xml:space="preserve">заключительный отчет и полный комплекс </w:t>
      </w:r>
      <w:r w:rsidR="000124A5" w:rsidRPr="00787100">
        <w:rPr>
          <w:lang w:val="ru-RU" w:eastAsia="zh-CN"/>
        </w:rPr>
        <w:t>результатов работы</w:t>
      </w:r>
      <w:r w:rsidRPr="00787100">
        <w:rPr>
          <w:lang w:val="ru-RU" w:eastAsia="zh-CN"/>
        </w:rPr>
        <w:t>.</w:t>
      </w:r>
    </w:p>
    <w:p w14:paraId="208EFD1F" w14:textId="77777777" w:rsidR="00DC210F" w:rsidRPr="00787100" w:rsidRDefault="00DC210F" w:rsidP="006636A5">
      <w:pPr>
        <w:pStyle w:val="Headingb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87100">
        <w:rPr>
          <w:rFonts w:asciiTheme="minorHAnsi" w:hAnsiTheme="minorHAnsi" w:cstheme="minorHAnsi"/>
          <w:sz w:val="22"/>
          <w:szCs w:val="22"/>
          <w:lang w:val="ru-RU"/>
        </w:rPr>
        <w:t>4</w:t>
      </w:r>
      <w:r w:rsidRPr="00787100">
        <w:rPr>
          <w:rFonts w:asciiTheme="minorHAnsi" w:hAnsiTheme="minorHAnsi" w:cstheme="minorHAnsi"/>
          <w:sz w:val="22"/>
          <w:szCs w:val="22"/>
          <w:lang w:val="ru-RU"/>
        </w:rPr>
        <w:tab/>
      </w:r>
      <w:r w:rsidR="009C1D53" w:rsidRPr="00787100">
        <w:rPr>
          <w:rFonts w:asciiTheme="minorHAnsi" w:hAnsiTheme="minorHAnsi" w:cstheme="minorHAnsi"/>
          <w:sz w:val="22"/>
          <w:szCs w:val="22"/>
          <w:lang w:val="ru-RU"/>
        </w:rPr>
        <w:t>Взаимодействие</w:t>
      </w:r>
    </w:p>
    <w:p w14:paraId="28914EC7" w14:textId="58CF5994" w:rsidR="00DC210F" w:rsidRPr="00787100" w:rsidRDefault="006E141B" w:rsidP="006636A5">
      <w:pPr>
        <w:jc w:val="both"/>
        <w:rPr>
          <w:rFonts w:cstheme="minorHAnsi"/>
          <w:szCs w:val="22"/>
          <w:lang w:val="ru-RU"/>
        </w:rPr>
      </w:pPr>
      <w:r w:rsidRPr="00787100">
        <w:rPr>
          <w:rFonts w:cstheme="minorHAnsi"/>
          <w:szCs w:val="22"/>
          <w:lang w:val="ru-RU"/>
        </w:rPr>
        <w:t xml:space="preserve">Оперативная группа будет вести работу в ходе собраний, проводимых по мере возможности </w:t>
      </w:r>
      <w:r w:rsidRPr="00787100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максимально приближенно по времени и месту</w:t>
      </w:r>
      <w:r w:rsidRPr="00787100">
        <w:rPr>
          <w:rFonts w:cstheme="minorHAnsi"/>
          <w:szCs w:val="22"/>
          <w:lang w:val="ru-RU"/>
        </w:rPr>
        <w:t xml:space="preserve"> проведения </w:t>
      </w:r>
      <w:r w:rsidR="00D71389" w:rsidRPr="00787100">
        <w:rPr>
          <w:rFonts w:cstheme="minorHAnsi"/>
          <w:szCs w:val="22"/>
          <w:lang w:val="ru-RU"/>
        </w:rPr>
        <w:t xml:space="preserve">к </w:t>
      </w:r>
      <w:r w:rsidRPr="00787100">
        <w:rPr>
          <w:rFonts w:cstheme="minorHAnsi"/>
          <w:szCs w:val="22"/>
          <w:lang w:val="ru-RU"/>
        </w:rPr>
        <w:t>собрани</w:t>
      </w:r>
      <w:r w:rsidR="00D71389" w:rsidRPr="00787100">
        <w:rPr>
          <w:rFonts w:cstheme="minorHAnsi"/>
          <w:szCs w:val="22"/>
          <w:lang w:val="ru-RU"/>
        </w:rPr>
        <w:t>ям</w:t>
      </w:r>
      <w:r w:rsidRPr="00787100">
        <w:rPr>
          <w:rFonts w:cstheme="minorHAnsi"/>
          <w:szCs w:val="22"/>
          <w:lang w:val="ru-RU"/>
        </w:rPr>
        <w:t xml:space="preserve"> соответствующих ИК МСЭ-Т</w:t>
      </w:r>
      <w:r w:rsidR="00DC210F" w:rsidRPr="00787100">
        <w:rPr>
          <w:rFonts w:cstheme="minorHAnsi"/>
          <w:szCs w:val="22"/>
          <w:lang w:val="ru-RU"/>
        </w:rPr>
        <w:t xml:space="preserve">. </w:t>
      </w:r>
      <w:r w:rsidR="00D71389" w:rsidRPr="00787100">
        <w:rPr>
          <w:rFonts w:cstheme="minorHAnsi"/>
          <w:szCs w:val="22"/>
          <w:lang w:val="ru-RU"/>
        </w:rPr>
        <w:t>О</w:t>
      </w:r>
      <w:r w:rsidRPr="00787100">
        <w:rPr>
          <w:rFonts w:cstheme="minorHAnsi"/>
          <w:szCs w:val="22"/>
          <w:lang w:val="ru-RU"/>
        </w:rPr>
        <w:t>на заключит и будет поддерживать соответствующие договоренности о сотрудничестве и с другими партнерами</w:t>
      </w:r>
      <w:r w:rsidR="00DC210F" w:rsidRPr="00787100">
        <w:rPr>
          <w:rFonts w:cstheme="minorHAnsi"/>
          <w:szCs w:val="22"/>
          <w:lang w:val="ru-RU"/>
        </w:rPr>
        <w:t>.</w:t>
      </w:r>
    </w:p>
    <w:p w14:paraId="6987EAD4" w14:textId="77777777" w:rsidR="00DC210F" w:rsidRPr="00787100" w:rsidRDefault="00653FF3" w:rsidP="006636A5">
      <w:pPr>
        <w:jc w:val="both"/>
        <w:rPr>
          <w:rFonts w:cstheme="minorHAnsi"/>
          <w:szCs w:val="22"/>
          <w:lang w:val="ru-RU"/>
        </w:rPr>
      </w:pPr>
      <w:r w:rsidRPr="00787100">
        <w:rPr>
          <w:rFonts w:cstheme="minorHAnsi"/>
          <w:szCs w:val="22"/>
          <w:lang w:val="ru-RU"/>
        </w:rPr>
        <w:t>Данная Оперативная группа будет сотрудничать с</w:t>
      </w:r>
      <w:r w:rsidR="00DC210F" w:rsidRPr="00787100">
        <w:rPr>
          <w:rFonts w:cstheme="minorHAnsi"/>
          <w:szCs w:val="22"/>
          <w:lang w:val="ru-RU"/>
        </w:rPr>
        <w:t>:</w:t>
      </w:r>
    </w:p>
    <w:p w14:paraId="1E48AC3F" w14:textId="33740EB3" w:rsidR="00DC210F" w:rsidRPr="00787100" w:rsidRDefault="00DC210F" w:rsidP="006636A5">
      <w:pPr>
        <w:pStyle w:val="enumlev1"/>
        <w:jc w:val="both"/>
        <w:rPr>
          <w:lang w:val="ru-RU" w:eastAsia="zh-CN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653FF3" w:rsidRPr="00787100">
        <w:rPr>
          <w:lang w:val="ru-RU" w:eastAsia="zh-CN"/>
        </w:rPr>
        <w:t>ИК</w:t>
      </w:r>
      <w:r w:rsidRPr="00787100">
        <w:rPr>
          <w:lang w:val="ru-RU" w:eastAsia="zh-CN"/>
        </w:rPr>
        <w:t xml:space="preserve">2 </w:t>
      </w:r>
      <w:r w:rsidR="006E141B" w:rsidRPr="00787100">
        <w:rPr>
          <w:lang w:val="ru-RU" w:eastAsia="zh-CN"/>
        </w:rPr>
        <w:t xml:space="preserve">МСЭ-T </w:t>
      </w:r>
      <w:r w:rsidRPr="00787100">
        <w:rPr>
          <w:lang w:val="ru-RU" w:eastAsia="zh-CN"/>
        </w:rPr>
        <w:t xml:space="preserve">– </w:t>
      </w:r>
      <w:hyperlink r:id="rId22" w:history="1">
        <w:r w:rsidR="00653FF3" w:rsidRPr="00787100">
          <w:rPr>
            <w:lang w:val="ru-RU" w:eastAsia="zh-CN"/>
          </w:rPr>
          <w:t>Эксплуатационные аспекты</w:t>
        </w:r>
      </w:hyperlink>
    </w:p>
    <w:p w14:paraId="6504AF92" w14:textId="61BFD9E3" w:rsidR="00DC210F" w:rsidRPr="00787100" w:rsidRDefault="00DC210F" w:rsidP="006636A5">
      <w:pPr>
        <w:pStyle w:val="enumlev1"/>
        <w:jc w:val="both"/>
        <w:rPr>
          <w:lang w:val="ru-RU" w:eastAsia="zh-CN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653FF3" w:rsidRPr="00787100">
        <w:rPr>
          <w:lang w:val="ru-RU" w:eastAsia="zh-CN"/>
        </w:rPr>
        <w:t>ИК</w:t>
      </w:r>
      <w:r w:rsidRPr="00787100">
        <w:rPr>
          <w:lang w:val="ru-RU" w:eastAsia="zh-CN"/>
        </w:rPr>
        <w:t xml:space="preserve">3 </w:t>
      </w:r>
      <w:r w:rsidR="006E141B" w:rsidRPr="00787100">
        <w:rPr>
          <w:lang w:val="ru-RU" w:eastAsia="zh-CN"/>
        </w:rPr>
        <w:t xml:space="preserve">МСЭ-T </w:t>
      </w:r>
      <w:r w:rsidRPr="00787100">
        <w:rPr>
          <w:lang w:val="ru-RU" w:eastAsia="zh-CN"/>
        </w:rPr>
        <w:t xml:space="preserve">– </w:t>
      </w:r>
      <w:hyperlink r:id="rId23" w:history="1">
        <w:r w:rsidR="00653FF3" w:rsidRPr="00787100">
          <w:rPr>
            <w:lang w:val="ru-RU" w:eastAsia="zh-CN"/>
          </w:rPr>
          <w:t>Экономические и стратегические вопросы</w:t>
        </w:r>
      </w:hyperlink>
    </w:p>
    <w:p w14:paraId="7FD06733" w14:textId="36E26EB7" w:rsidR="00DC210F" w:rsidRPr="00787100" w:rsidRDefault="00DC210F" w:rsidP="006636A5">
      <w:pPr>
        <w:pStyle w:val="enumlev1"/>
        <w:jc w:val="both"/>
        <w:rPr>
          <w:lang w:val="ru-RU" w:eastAsia="zh-CN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653FF3" w:rsidRPr="00787100">
        <w:rPr>
          <w:lang w:val="ru-RU" w:eastAsia="zh-CN"/>
        </w:rPr>
        <w:t>ИК</w:t>
      </w:r>
      <w:r w:rsidRPr="00787100">
        <w:rPr>
          <w:lang w:val="ru-RU" w:eastAsia="zh-CN"/>
        </w:rPr>
        <w:t xml:space="preserve">5 </w:t>
      </w:r>
      <w:r w:rsidR="006E141B" w:rsidRPr="00787100">
        <w:rPr>
          <w:lang w:val="ru-RU" w:eastAsia="zh-CN"/>
        </w:rPr>
        <w:t xml:space="preserve">МСЭ-T </w:t>
      </w:r>
      <w:r w:rsidRPr="00787100">
        <w:rPr>
          <w:lang w:val="ru-RU" w:eastAsia="zh-CN"/>
        </w:rPr>
        <w:t xml:space="preserve">– </w:t>
      </w:r>
      <w:hyperlink r:id="rId24" w:history="1">
        <w:r w:rsidR="00653FF3" w:rsidRPr="00787100">
          <w:rPr>
            <w:lang w:val="ru-RU" w:eastAsia="zh-CN"/>
          </w:rPr>
          <w:t>Окружающая среда, ЭМП и циркуляционная экономика</w:t>
        </w:r>
      </w:hyperlink>
    </w:p>
    <w:p w14:paraId="791416B2" w14:textId="0E283501" w:rsidR="00DC210F" w:rsidRPr="00787100" w:rsidRDefault="00DC210F" w:rsidP="006636A5">
      <w:pPr>
        <w:pStyle w:val="enumlev1"/>
        <w:jc w:val="both"/>
        <w:rPr>
          <w:lang w:val="ru-RU" w:eastAsia="zh-CN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653FF3" w:rsidRPr="00787100">
        <w:rPr>
          <w:lang w:val="ru-RU" w:eastAsia="zh-CN"/>
        </w:rPr>
        <w:t>ИК</w:t>
      </w:r>
      <w:r w:rsidRPr="00787100">
        <w:rPr>
          <w:lang w:val="ru-RU" w:eastAsia="zh-CN"/>
        </w:rPr>
        <w:t>9</w:t>
      </w:r>
      <w:r w:rsidR="006E141B" w:rsidRPr="00787100">
        <w:rPr>
          <w:lang w:val="ru-RU" w:eastAsia="zh-CN"/>
        </w:rPr>
        <w:t xml:space="preserve"> МСЭ-T</w:t>
      </w:r>
      <w:r w:rsidRPr="00787100">
        <w:rPr>
          <w:lang w:val="ru-RU" w:eastAsia="zh-CN"/>
        </w:rPr>
        <w:t xml:space="preserve"> – </w:t>
      </w:r>
      <w:hyperlink r:id="rId25" w:history="1">
        <w:r w:rsidR="00653FF3" w:rsidRPr="00787100">
          <w:rPr>
            <w:lang w:val="ru-RU" w:eastAsia="zh-CN"/>
          </w:rPr>
          <w:t>Широкополосные кабельные и телевизионные сети</w:t>
        </w:r>
      </w:hyperlink>
    </w:p>
    <w:p w14:paraId="12B79E95" w14:textId="27BE3D5F" w:rsidR="00DC210F" w:rsidRPr="00787100" w:rsidRDefault="00DC210F" w:rsidP="006636A5">
      <w:pPr>
        <w:pStyle w:val="enumlev1"/>
        <w:jc w:val="both"/>
        <w:rPr>
          <w:lang w:val="ru-RU" w:eastAsia="zh-CN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653FF3" w:rsidRPr="00787100">
        <w:rPr>
          <w:lang w:val="ru-RU" w:eastAsia="zh-CN"/>
        </w:rPr>
        <w:t>ИК</w:t>
      </w:r>
      <w:r w:rsidRPr="00787100">
        <w:rPr>
          <w:lang w:val="ru-RU" w:eastAsia="zh-CN"/>
        </w:rPr>
        <w:t>11</w:t>
      </w:r>
      <w:r w:rsidR="006E141B" w:rsidRPr="00787100">
        <w:rPr>
          <w:lang w:val="ru-RU" w:eastAsia="zh-CN"/>
        </w:rPr>
        <w:t xml:space="preserve"> МСЭ-T</w:t>
      </w:r>
      <w:r w:rsidRPr="00787100">
        <w:rPr>
          <w:lang w:val="ru-RU" w:eastAsia="zh-CN"/>
        </w:rPr>
        <w:t xml:space="preserve"> – </w:t>
      </w:r>
      <w:hyperlink r:id="rId26" w:history="1">
        <w:r w:rsidR="00653FF3" w:rsidRPr="00787100">
          <w:rPr>
            <w:lang w:val="ru-RU" w:eastAsia="zh-CN"/>
          </w:rPr>
          <w:t>Протоколы, тестирование и борьба с контрафакцией</w:t>
        </w:r>
      </w:hyperlink>
    </w:p>
    <w:p w14:paraId="294B6D9B" w14:textId="62CDB77E" w:rsidR="00DC210F" w:rsidRPr="00787100" w:rsidRDefault="00DC210F" w:rsidP="006636A5">
      <w:pPr>
        <w:pStyle w:val="enumlev1"/>
        <w:jc w:val="both"/>
        <w:rPr>
          <w:lang w:val="ru-RU" w:eastAsia="zh-CN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653FF3" w:rsidRPr="00787100">
        <w:rPr>
          <w:lang w:val="ru-RU" w:eastAsia="zh-CN"/>
        </w:rPr>
        <w:t>ИК</w:t>
      </w:r>
      <w:r w:rsidRPr="00787100">
        <w:rPr>
          <w:lang w:val="ru-RU" w:eastAsia="zh-CN"/>
        </w:rPr>
        <w:t>12</w:t>
      </w:r>
      <w:r w:rsidR="006E141B" w:rsidRPr="00787100">
        <w:rPr>
          <w:lang w:val="ru-RU" w:eastAsia="zh-CN"/>
        </w:rPr>
        <w:t xml:space="preserve"> МСЭ-T</w:t>
      </w:r>
      <w:r w:rsidRPr="00787100">
        <w:rPr>
          <w:lang w:val="ru-RU" w:eastAsia="zh-CN"/>
        </w:rPr>
        <w:t xml:space="preserve"> – </w:t>
      </w:r>
      <w:hyperlink r:id="rId27" w:history="1">
        <w:r w:rsidR="00653FF3" w:rsidRPr="00787100">
          <w:rPr>
            <w:lang w:val="ru-RU" w:eastAsia="zh-CN"/>
          </w:rPr>
          <w:t>Показатели работы, качество обслуживания (QoS) и оценка пользователем качества услуги (</w:t>
        </w:r>
        <w:proofErr w:type="spellStart"/>
        <w:r w:rsidR="00653FF3" w:rsidRPr="00787100">
          <w:rPr>
            <w:lang w:val="ru-RU" w:eastAsia="zh-CN"/>
          </w:rPr>
          <w:t>QoЕ</w:t>
        </w:r>
        <w:proofErr w:type="spellEnd"/>
        <w:r w:rsidR="00653FF3" w:rsidRPr="00787100">
          <w:rPr>
            <w:lang w:val="ru-RU" w:eastAsia="zh-CN"/>
          </w:rPr>
          <w:t>)</w:t>
        </w:r>
      </w:hyperlink>
    </w:p>
    <w:p w14:paraId="4DB8A4FB" w14:textId="62F39D32" w:rsidR="00DC210F" w:rsidRPr="00787100" w:rsidRDefault="00DC210F" w:rsidP="006636A5">
      <w:pPr>
        <w:pStyle w:val="enumlev1"/>
        <w:jc w:val="both"/>
        <w:rPr>
          <w:lang w:val="ru-RU" w:eastAsia="zh-CN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653FF3" w:rsidRPr="00787100">
        <w:rPr>
          <w:lang w:val="ru-RU" w:eastAsia="zh-CN"/>
        </w:rPr>
        <w:t>ИК</w:t>
      </w:r>
      <w:r w:rsidRPr="00787100">
        <w:rPr>
          <w:lang w:val="ru-RU" w:eastAsia="zh-CN"/>
        </w:rPr>
        <w:t>13</w:t>
      </w:r>
      <w:r w:rsidR="006E141B" w:rsidRPr="00787100">
        <w:rPr>
          <w:lang w:val="ru-RU" w:eastAsia="zh-CN"/>
        </w:rPr>
        <w:t xml:space="preserve"> МСЭ-T</w:t>
      </w:r>
      <w:r w:rsidRPr="00787100">
        <w:rPr>
          <w:lang w:val="ru-RU" w:eastAsia="zh-CN"/>
        </w:rPr>
        <w:t xml:space="preserve"> – </w:t>
      </w:r>
      <w:hyperlink r:id="rId28" w:history="1">
        <w:r w:rsidR="00653FF3" w:rsidRPr="00787100">
          <w:rPr>
            <w:lang w:val="ru-RU" w:eastAsia="zh-CN"/>
          </w:rPr>
          <w:t>Будущие сети</w:t>
        </w:r>
      </w:hyperlink>
    </w:p>
    <w:p w14:paraId="3F9E0A93" w14:textId="4D9C6584" w:rsidR="00DC210F" w:rsidRPr="00787100" w:rsidRDefault="00DC210F" w:rsidP="006636A5">
      <w:pPr>
        <w:pStyle w:val="enumlev1"/>
        <w:jc w:val="both"/>
        <w:rPr>
          <w:lang w:val="ru-RU" w:eastAsia="zh-CN"/>
        </w:rPr>
      </w:pPr>
      <w:r w:rsidRPr="00787100">
        <w:rPr>
          <w:lang w:val="ru-RU" w:eastAsia="zh-CN"/>
        </w:rPr>
        <w:lastRenderedPageBreak/>
        <w:t>−</w:t>
      </w:r>
      <w:r w:rsidRPr="00787100">
        <w:rPr>
          <w:lang w:val="ru-RU" w:eastAsia="zh-CN"/>
        </w:rPr>
        <w:tab/>
      </w:r>
      <w:r w:rsidR="00653FF3" w:rsidRPr="00787100">
        <w:rPr>
          <w:lang w:val="ru-RU" w:eastAsia="zh-CN"/>
        </w:rPr>
        <w:t>ИК</w:t>
      </w:r>
      <w:r w:rsidRPr="00787100">
        <w:rPr>
          <w:lang w:val="ru-RU" w:eastAsia="zh-CN"/>
        </w:rPr>
        <w:t xml:space="preserve">16 </w:t>
      </w:r>
      <w:r w:rsidR="006E141B" w:rsidRPr="00787100">
        <w:rPr>
          <w:lang w:val="ru-RU" w:eastAsia="zh-CN"/>
        </w:rPr>
        <w:t xml:space="preserve">МСЭ-T </w:t>
      </w:r>
      <w:r w:rsidRPr="00787100">
        <w:rPr>
          <w:lang w:val="ru-RU" w:eastAsia="zh-CN"/>
        </w:rPr>
        <w:t xml:space="preserve">– </w:t>
      </w:r>
      <w:hyperlink r:id="rId29" w:history="1">
        <w:r w:rsidR="00653FF3" w:rsidRPr="00787100">
          <w:rPr>
            <w:lang w:val="ru-RU" w:eastAsia="zh-CN"/>
          </w:rPr>
          <w:t>Мультимедиа и цифровые технологии</w:t>
        </w:r>
      </w:hyperlink>
    </w:p>
    <w:p w14:paraId="2D0877A1" w14:textId="34F73A7D" w:rsidR="00DC210F" w:rsidRPr="00787100" w:rsidRDefault="00DC210F" w:rsidP="006636A5">
      <w:pPr>
        <w:pStyle w:val="enumlev1"/>
        <w:jc w:val="both"/>
        <w:rPr>
          <w:lang w:val="ru-RU" w:eastAsia="zh-CN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653FF3" w:rsidRPr="00787100">
        <w:rPr>
          <w:lang w:val="ru-RU" w:eastAsia="zh-CN"/>
        </w:rPr>
        <w:t>ИК</w:t>
      </w:r>
      <w:r w:rsidRPr="00787100">
        <w:rPr>
          <w:lang w:val="ru-RU" w:eastAsia="zh-CN"/>
        </w:rPr>
        <w:t xml:space="preserve">17 </w:t>
      </w:r>
      <w:r w:rsidR="006E141B" w:rsidRPr="00787100">
        <w:rPr>
          <w:lang w:val="ru-RU" w:eastAsia="zh-CN"/>
        </w:rPr>
        <w:t xml:space="preserve">МСЭ-T </w:t>
      </w:r>
      <w:r w:rsidRPr="00787100">
        <w:rPr>
          <w:lang w:val="ru-RU" w:eastAsia="zh-CN"/>
        </w:rPr>
        <w:t xml:space="preserve">– </w:t>
      </w:r>
      <w:hyperlink r:id="rId30" w:history="1">
        <w:r w:rsidR="00653FF3" w:rsidRPr="00787100">
          <w:rPr>
            <w:lang w:val="ru-RU" w:eastAsia="zh-CN"/>
          </w:rPr>
          <w:t>Безопасность</w:t>
        </w:r>
      </w:hyperlink>
    </w:p>
    <w:p w14:paraId="38E2273E" w14:textId="5CF452CF" w:rsidR="00DC210F" w:rsidRPr="00787100" w:rsidRDefault="00DC210F" w:rsidP="006636A5">
      <w:pPr>
        <w:pStyle w:val="enumlev1"/>
        <w:jc w:val="both"/>
        <w:rPr>
          <w:lang w:val="ru-RU" w:eastAsia="zh-CN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653FF3" w:rsidRPr="00787100">
        <w:rPr>
          <w:lang w:val="ru-RU" w:eastAsia="zh-CN"/>
        </w:rPr>
        <w:t>ИК</w:t>
      </w:r>
      <w:r w:rsidRPr="00787100">
        <w:rPr>
          <w:lang w:val="ru-RU" w:eastAsia="zh-CN"/>
        </w:rPr>
        <w:t xml:space="preserve">20 </w:t>
      </w:r>
      <w:r w:rsidR="006E141B" w:rsidRPr="00787100">
        <w:rPr>
          <w:lang w:val="ru-RU" w:eastAsia="zh-CN"/>
        </w:rPr>
        <w:t xml:space="preserve">МСЭ-T </w:t>
      </w:r>
      <w:r w:rsidRPr="00787100">
        <w:rPr>
          <w:lang w:val="ru-RU" w:eastAsia="zh-CN"/>
        </w:rPr>
        <w:t xml:space="preserve">– </w:t>
      </w:r>
      <w:hyperlink r:id="rId31" w:history="1">
        <w:proofErr w:type="spellStart"/>
        <w:r w:rsidR="00653FF3" w:rsidRPr="00787100">
          <w:rPr>
            <w:lang w:val="ru-RU" w:eastAsia="zh-CN"/>
          </w:rPr>
          <w:t>IoT</w:t>
        </w:r>
        <w:proofErr w:type="spellEnd"/>
        <w:r w:rsidR="00653FF3" w:rsidRPr="00787100">
          <w:rPr>
            <w:lang w:val="ru-RU" w:eastAsia="zh-CN"/>
          </w:rPr>
          <w:t>, "умные" города и сообщества</w:t>
        </w:r>
      </w:hyperlink>
    </w:p>
    <w:p w14:paraId="57084180" w14:textId="4BA4F712" w:rsidR="00DC210F" w:rsidRPr="00787100" w:rsidRDefault="00411316" w:rsidP="006636A5">
      <w:pPr>
        <w:jc w:val="both"/>
        <w:rPr>
          <w:rFonts w:cstheme="minorHAnsi"/>
          <w:szCs w:val="22"/>
          <w:lang w:val="ru-RU"/>
        </w:rPr>
      </w:pPr>
      <w:r w:rsidRPr="00787100">
        <w:rPr>
          <w:rFonts w:cstheme="minorHAnsi"/>
          <w:szCs w:val="22"/>
          <w:lang w:val="ru-RU"/>
        </w:rPr>
        <w:t xml:space="preserve">Наряду с этим </w:t>
      </w:r>
      <w:r w:rsidR="006E141B" w:rsidRPr="00787100">
        <w:rPr>
          <w:rFonts w:cstheme="minorHAnsi"/>
          <w:szCs w:val="22"/>
          <w:lang w:val="ru-RU"/>
        </w:rPr>
        <w:t>Оперативная группа</w:t>
      </w:r>
      <w:r w:rsidRPr="00787100">
        <w:rPr>
          <w:rFonts w:cstheme="minorHAnsi"/>
          <w:szCs w:val="22"/>
          <w:lang w:val="ru-RU"/>
        </w:rPr>
        <w:t xml:space="preserve"> будет сотрудничать (при необходимости) с другими соответствующими группами и структурами согласно Рекомендации МСЭ-Т A.7. К их числу относятся государственные органы, неправительственные организации (НПО), директивные органы, организации по разработке стандартов, отраслевые форумы и консорциумы, компании, академические организации, научно-исследовательские институты и другие соответствующие организации</w:t>
      </w:r>
      <w:r w:rsidR="00DC210F" w:rsidRPr="00787100">
        <w:rPr>
          <w:rFonts w:cstheme="minorHAnsi"/>
          <w:szCs w:val="22"/>
          <w:lang w:val="ru-RU"/>
        </w:rPr>
        <w:t>:</w:t>
      </w:r>
    </w:p>
    <w:p w14:paraId="72C5AC61" w14:textId="1CB13568" w:rsidR="00DC210F" w:rsidRPr="00787100" w:rsidRDefault="00DC210F" w:rsidP="006636A5">
      <w:pPr>
        <w:pStyle w:val="enumlev1"/>
        <w:jc w:val="both"/>
        <w:rPr>
          <w:rFonts w:cstheme="minorHAnsi"/>
          <w:szCs w:val="22"/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8B31B5" w:rsidRPr="00787100">
        <w:rPr>
          <w:rFonts w:cstheme="minorHAnsi"/>
          <w:szCs w:val="22"/>
          <w:lang w:val="ru-RU"/>
        </w:rPr>
        <w:t>ИК</w:t>
      </w:r>
      <w:r w:rsidRPr="00787100">
        <w:rPr>
          <w:rFonts w:cstheme="minorHAnsi"/>
          <w:szCs w:val="22"/>
          <w:lang w:val="ru-RU"/>
        </w:rPr>
        <w:t>5</w:t>
      </w:r>
      <w:r w:rsidR="006E141B" w:rsidRPr="00787100">
        <w:rPr>
          <w:rFonts w:cstheme="minorHAnsi"/>
          <w:szCs w:val="22"/>
          <w:lang w:val="ru-RU"/>
        </w:rPr>
        <w:t xml:space="preserve"> МСЭ-R</w:t>
      </w:r>
      <w:r w:rsidRPr="00787100">
        <w:rPr>
          <w:rFonts w:cstheme="minorHAnsi"/>
          <w:szCs w:val="22"/>
          <w:lang w:val="ru-RU"/>
        </w:rPr>
        <w:t xml:space="preserve"> – </w:t>
      </w:r>
      <w:r w:rsidR="006E141B" w:rsidRPr="00787100">
        <w:rPr>
          <w:rFonts w:cstheme="minorHAnsi"/>
          <w:color w:val="000000"/>
          <w:szCs w:val="22"/>
          <w:shd w:val="clear" w:color="auto" w:fill="FFFFFF" w:themeFill="background1"/>
          <w:lang w:val="ru-RU"/>
        </w:rPr>
        <w:t>Системы и сети фиксированной и подвижной служб, службы радиоопределения, любительской и любительской спутниковой служб</w:t>
      </w:r>
      <w:r w:rsidR="006E141B" w:rsidRPr="00787100">
        <w:rPr>
          <w:rFonts w:cstheme="minorHAnsi"/>
          <w:szCs w:val="22"/>
          <w:lang w:val="ru-RU"/>
        </w:rPr>
        <w:t xml:space="preserve"> </w:t>
      </w:r>
    </w:p>
    <w:p w14:paraId="2473001F" w14:textId="6ED35633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6E141B" w:rsidRPr="00787100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>ТК57 МЭК</w:t>
      </w:r>
      <w:r w:rsidR="006E141B" w:rsidRPr="00787100">
        <w:rPr>
          <w:lang w:val="ru-RU"/>
        </w:rPr>
        <w:t xml:space="preserve"> </w:t>
      </w:r>
      <w:r w:rsidRPr="00787100">
        <w:rPr>
          <w:lang w:val="ru-RU"/>
        </w:rPr>
        <w:t xml:space="preserve">– </w:t>
      </w:r>
      <w:r w:rsidR="006448B9" w:rsidRPr="00787100">
        <w:rPr>
          <w:iCs/>
          <w:lang w:val="ru-RU"/>
        </w:rPr>
        <w:t>Управление работой энергосистем и обмен соответствующей информацией</w:t>
      </w:r>
    </w:p>
    <w:p w14:paraId="6AD87AE7" w14:textId="42D9A282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6E141B" w:rsidRPr="00787100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>ТК</w:t>
      </w:r>
      <w:r w:rsidR="007A6301" w:rsidRPr="00787100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>65</w:t>
      </w:r>
      <w:r w:rsidR="006E141B" w:rsidRPr="00787100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 xml:space="preserve"> МЭК</w:t>
      </w:r>
      <w:r w:rsidR="006E141B" w:rsidRPr="00787100">
        <w:rPr>
          <w:lang w:val="ru-RU"/>
        </w:rPr>
        <w:t xml:space="preserve"> </w:t>
      </w:r>
      <w:r w:rsidRPr="00787100">
        <w:rPr>
          <w:lang w:val="ru-RU"/>
        </w:rPr>
        <w:t xml:space="preserve">– </w:t>
      </w:r>
      <w:r w:rsidR="007A6301" w:rsidRPr="00787100">
        <w:rPr>
          <w:lang w:val="ru-RU"/>
        </w:rPr>
        <w:t>Измерение, управление и автоматизация производственных процессов</w:t>
      </w:r>
    </w:p>
    <w:p w14:paraId="0DEFE15D" w14:textId="03598D7D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6E141B" w:rsidRPr="00787100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>ТК</w:t>
      </w:r>
      <w:r w:rsidR="007A6301" w:rsidRPr="00787100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>79</w:t>
      </w:r>
      <w:r w:rsidR="006E141B" w:rsidRPr="00787100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 xml:space="preserve"> МЭК</w:t>
      </w:r>
      <w:r w:rsidR="006E141B" w:rsidRPr="00787100">
        <w:rPr>
          <w:lang w:val="ru-RU"/>
        </w:rPr>
        <w:t xml:space="preserve"> </w:t>
      </w:r>
      <w:r w:rsidRPr="00787100">
        <w:rPr>
          <w:lang w:val="ru-RU"/>
        </w:rPr>
        <w:t xml:space="preserve">– </w:t>
      </w:r>
      <w:r w:rsidR="00122E42" w:rsidRPr="00787100">
        <w:rPr>
          <w:lang w:val="ru-RU"/>
        </w:rPr>
        <w:t>Системы тревожной сигнализации и электронные системы безопасности</w:t>
      </w:r>
    </w:p>
    <w:p w14:paraId="46A5608F" w14:textId="1FE502D6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6E141B" w:rsidRPr="00787100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>ТК</w:t>
      </w:r>
      <w:r w:rsidR="007A6301" w:rsidRPr="00787100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>85</w:t>
      </w:r>
      <w:r w:rsidR="006E141B" w:rsidRPr="00787100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 xml:space="preserve"> МЭК</w:t>
      </w:r>
      <w:r w:rsidR="006E141B" w:rsidRPr="00787100">
        <w:rPr>
          <w:lang w:val="ru-RU"/>
        </w:rPr>
        <w:t xml:space="preserve"> </w:t>
      </w:r>
      <w:r w:rsidRPr="00787100">
        <w:rPr>
          <w:lang w:val="ru-RU"/>
        </w:rPr>
        <w:t xml:space="preserve">– </w:t>
      </w:r>
      <w:r w:rsidR="007A6301" w:rsidRPr="00787100">
        <w:rPr>
          <w:lang w:val="ru-RU"/>
        </w:rPr>
        <w:t>Измерение оборудования для электрических и электромагнитных устройств</w:t>
      </w:r>
    </w:p>
    <w:p w14:paraId="51763B7E" w14:textId="4E7A4150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6E141B" w:rsidRPr="00787100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>ТК</w:t>
      </w:r>
      <w:r w:rsidR="007A6301" w:rsidRPr="00787100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>93</w:t>
      </w:r>
      <w:r w:rsidR="006E141B" w:rsidRPr="00787100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 xml:space="preserve"> МЭК</w:t>
      </w:r>
      <w:r w:rsidR="006E141B" w:rsidRPr="00787100">
        <w:rPr>
          <w:lang w:val="ru-RU"/>
        </w:rPr>
        <w:t xml:space="preserve"> </w:t>
      </w:r>
      <w:r w:rsidRPr="00787100">
        <w:rPr>
          <w:lang w:val="ru-RU"/>
        </w:rPr>
        <w:t xml:space="preserve">– </w:t>
      </w:r>
      <w:r w:rsidR="007A6301" w:rsidRPr="00787100">
        <w:rPr>
          <w:lang w:val="ru-RU"/>
        </w:rPr>
        <w:t>Автоматизация проектирования</w:t>
      </w:r>
    </w:p>
    <w:p w14:paraId="3FD5400B" w14:textId="6C46D6CE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6E141B" w:rsidRPr="00787100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>ТК</w:t>
      </w:r>
      <w:r w:rsidR="007A6301" w:rsidRPr="00787100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>100</w:t>
      </w:r>
      <w:r w:rsidR="006E141B" w:rsidRPr="00787100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 xml:space="preserve"> МЭК</w:t>
      </w:r>
      <w:r w:rsidR="006E141B" w:rsidRPr="00787100">
        <w:rPr>
          <w:lang w:val="ru-RU"/>
        </w:rPr>
        <w:t xml:space="preserve"> </w:t>
      </w:r>
      <w:r w:rsidRPr="00787100">
        <w:rPr>
          <w:lang w:val="ru-RU"/>
        </w:rPr>
        <w:t xml:space="preserve">– </w:t>
      </w:r>
      <w:r w:rsidR="007A6301" w:rsidRPr="00787100">
        <w:rPr>
          <w:lang w:val="ru-RU"/>
        </w:rPr>
        <w:t xml:space="preserve">Аудио-, видео- и мультимедийные системы и оборудование </w:t>
      </w:r>
    </w:p>
    <w:p w14:paraId="7306B5B8" w14:textId="737CCF46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6E141B" w:rsidRPr="00787100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>ТК</w:t>
      </w:r>
      <w:r w:rsidR="007A6301" w:rsidRPr="00787100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>110</w:t>
      </w:r>
      <w:r w:rsidR="006E141B" w:rsidRPr="00787100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 xml:space="preserve"> МЭК</w:t>
      </w:r>
      <w:r w:rsidR="006E141B" w:rsidRPr="00787100">
        <w:rPr>
          <w:lang w:val="ru-RU"/>
        </w:rPr>
        <w:t xml:space="preserve"> </w:t>
      </w:r>
      <w:r w:rsidRPr="00787100">
        <w:rPr>
          <w:lang w:val="ru-RU"/>
        </w:rPr>
        <w:t xml:space="preserve">– </w:t>
      </w:r>
      <w:r w:rsidR="007A6301" w:rsidRPr="00787100">
        <w:rPr>
          <w:lang w:val="ru-RU"/>
        </w:rPr>
        <w:t>Электронные дисплеи</w:t>
      </w:r>
    </w:p>
    <w:p w14:paraId="637637DF" w14:textId="2C5000D1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742B9B" w:rsidRPr="00787100">
        <w:rPr>
          <w:lang w:val="ru-RU"/>
        </w:rPr>
        <w:t>ПК</w:t>
      </w:r>
      <w:r w:rsidRPr="00787100">
        <w:rPr>
          <w:lang w:val="ru-RU"/>
        </w:rPr>
        <w:t>8</w:t>
      </w:r>
      <w:r w:rsidR="00742B9B" w:rsidRPr="00787100">
        <w:rPr>
          <w:lang w:val="ru-RU"/>
        </w:rPr>
        <w:t>/ТК68/ИСО</w:t>
      </w:r>
      <w:r w:rsidRPr="00787100">
        <w:rPr>
          <w:lang w:val="ru-RU"/>
        </w:rPr>
        <w:t xml:space="preserve"> – </w:t>
      </w:r>
      <w:r w:rsidR="00355F34" w:rsidRPr="00787100">
        <w:rPr>
          <w:lang w:val="ru-RU"/>
        </w:rPr>
        <w:t>Справочные данные для финансовых служб</w:t>
      </w:r>
    </w:p>
    <w:p w14:paraId="494A52BC" w14:textId="2FEB57CA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742B9B" w:rsidRPr="00787100">
        <w:rPr>
          <w:lang w:val="ru-RU" w:eastAsia="zh-CN"/>
        </w:rPr>
        <w:t>ТК69/ИСО</w:t>
      </w:r>
      <w:r w:rsidRPr="00787100">
        <w:rPr>
          <w:lang w:val="ru-RU"/>
        </w:rPr>
        <w:t xml:space="preserve"> – </w:t>
      </w:r>
      <w:r w:rsidR="00355F34" w:rsidRPr="00787100">
        <w:rPr>
          <w:lang w:val="ru-RU"/>
        </w:rPr>
        <w:t>Виды применения статистических методов</w:t>
      </w:r>
    </w:p>
    <w:p w14:paraId="4354BF47" w14:textId="751D7CA5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742B9B" w:rsidRPr="00787100">
        <w:rPr>
          <w:lang w:val="ru-RU" w:eastAsia="zh-CN"/>
        </w:rPr>
        <w:t>ТК133/ИСО</w:t>
      </w:r>
      <w:r w:rsidRPr="00787100">
        <w:rPr>
          <w:lang w:val="ru-RU"/>
        </w:rPr>
        <w:t xml:space="preserve"> – </w:t>
      </w:r>
      <w:r w:rsidR="00980CDE" w:rsidRPr="00787100">
        <w:rPr>
          <w:lang w:val="ru-RU"/>
        </w:rPr>
        <w:t>Системы размерности одежды</w:t>
      </w:r>
      <w:r w:rsidRPr="00787100">
        <w:rPr>
          <w:lang w:val="ru-RU"/>
        </w:rPr>
        <w:t xml:space="preserve"> – </w:t>
      </w:r>
      <w:r w:rsidR="00980CDE" w:rsidRPr="00787100">
        <w:rPr>
          <w:lang w:val="ru-RU"/>
        </w:rPr>
        <w:t>обозначение размеров, методы измерения размеров и цифровые примерки</w:t>
      </w:r>
    </w:p>
    <w:p w14:paraId="253ADD7D" w14:textId="224D2B26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742B9B" w:rsidRPr="00787100">
        <w:rPr>
          <w:lang w:val="ru-RU"/>
        </w:rPr>
        <w:t>ПК</w:t>
      </w:r>
      <w:r w:rsidRPr="00787100">
        <w:rPr>
          <w:lang w:val="ru-RU"/>
        </w:rPr>
        <w:t>4</w:t>
      </w:r>
      <w:r w:rsidR="00742B9B" w:rsidRPr="00787100">
        <w:rPr>
          <w:lang w:val="ru-RU"/>
        </w:rPr>
        <w:t>/ТК184/ИСО</w:t>
      </w:r>
      <w:r w:rsidRPr="00787100">
        <w:rPr>
          <w:lang w:val="ru-RU"/>
        </w:rPr>
        <w:t xml:space="preserve"> – </w:t>
      </w:r>
      <w:r w:rsidR="00980CDE" w:rsidRPr="00787100">
        <w:rPr>
          <w:lang w:val="ru-RU"/>
        </w:rPr>
        <w:t>Промышленные данные</w:t>
      </w:r>
    </w:p>
    <w:p w14:paraId="5E4FBDF4" w14:textId="5CD46AAB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742B9B" w:rsidRPr="00787100">
        <w:rPr>
          <w:lang w:val="ru-RU" w:eastAsia="zh-CN"/>
        </w:rPr>
        <w:t>ТК307/ИСО</w:t>
      </w:r>
      <w:r w:rsidRPr="00787100">
        <w:rPr>
          <w:lang w:val="ru-RU"/>
        </w:rPr>
        <w:t xml:space="preserve"> –</w:t>
      </w:r>
      <w:r w:rsidR="0009513B" w:rsidRPr="00787100">
        <w:rPr>
          <w:lang w:val="ru-RU"/>
        </w:rPr>
        <w:t xml:space="preserve"> </w:t>
      </w:r>
      <w:proofErr w:type="spellStart"/>
      <w:r w:rsidR="0009513B" w:rsidRPr="00787100">
        <w:rPr>
          <w:lang w:val="ru-RU"/>
        </w:rPr>
        <w:t>Блокчейн</w:t>
      </w:r>
      <w:proofErr w:type="spellEnd"/>
      <w:r w:rsidR="0009513B" w:rsidRPr="00787100">
        <w:rPr>
          <w:lang w:val="ru-RU"/>
        </w:rPr>
        <w:t xml:space="preserve"> и технологии </w:t>
      </w:r>
      <w:r w:rsidR="006448B9" w:rsidRPr="00787100">
        <w:rPr>
          <w:lang w:val="ru-RU"/>
        </w:rPr>
        <w:t>распределенн</w:t>
      </w:r>
      <w:r w:rsidR="0009513B" w:rsidRPr="00787100">
        <w:rPr>
          <w:lang w:val="ru-RU"/>
        </w:rPr>
        <w:t>ого</w:t>
      </w:r>
      <w:r w:rsidR="006448B9" w:rsidRPr="00787100">
        <w:rPr>
          <w:lang w:val="ru-RU"/>
        </w:rPr>
        <w:t xml:space="preserve"> реестр</w:t>
      </w:r>
      <w:r w:rsidR="0009513B" w:rsidRPr="00787100">
        <w:rPr>
          <w:lang w:val="ru-RU"/>
        </w:rPr>
        <w:t>а</w:t>
      </w:r>
    </w:p>
    <w:p w14:paraId="343726AA" w14:textId="0EC8FD37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742B9B" w:rsidRPr="00787100">
        <w:rPr>
          <w:lang w:val="ru-RU" w:eastAsia="zh-CN"/>
        </w:rPr>
        <w:t>ОТК1 ИСО/МЭК</w:t>
      </w:r>
    </w:p>
    <w:p w14:paraId="42D30640" w14:textId="5360C1BD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742B9B" w:rsidRPr="00787100">
        <w:rPr>
          <w:lang w:val="ru-RU" w:eastAsia="zh-CN"/>
        </w:rPr>
        <w:t>РГ6/ПК24/ОТК1 ИСО/МЭК</w:t>
      </w:r>
      <w:r w:rsidR="00742B9B" w:rsidRPr="00787100">
        <w:rPr>
          <w:lang w:val="ru-RU"/>
        </w:rPr>
        <w:t xml:space="preserve"> </w:t>
      </w:r>
      <w:r w:rsidRPr="00787100">
        <w:rPr>
          <w:lang w:val="ru-RU"/>
        </w:rPr>
        <w:t xml:space="preserve">– </w:t>
      </w:r>
      <w:r w:rsidR="006448B9" w:rsidRPr="00787100">
        <w:rPr>
          <w:lang w:val="ru-RU"/>
        </w:rPr>
        <w:t>Компьютерная графика, обработка изображений и представление данных об окружающей среде</w:t>
      </w:r>
    </w:p>
    <w:p w14:paraId="34A38B75" w14:textId="4728F77E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742B9B" w:rsidRPr="00787100">
        <w:rPr>
          <w:lang w:val="ru-RU" w:eastAsia="zh-CN"/>
        </w:rPr>
        <w:t>ПК27</w:t>
      </w:r>
      <w:r w:rsidR="00787100" w:rsidRPr="00787100">
        <w:rPr>
          <w:lang w:val="ru-RU" w:eastAsia="zh-CN"/>
        </w:rPr>
        <w:t>/</w:t>
      </w:r>
      <w:r w:rsidR="00742B9B" w:rsidRPr="00787100">
        <w:rPr>
          <w:lang w:val="ru-RU" w:eastAsia="zh-CN"/>
        </w:rPr>
        <w:t>ОТК1 ИСО/МЭК</w:t>
      </w:r>
      <w:r w:rsidRPr="00787100">
        <w:rPr>
          <w:lang w:val="ru-RU"/>
        </w:rPr>
        <w:t xml:space="preserve">– </w:t>
      </w:r>
      <w:r w:rsidR="00E6395C" w:rsidRPr="00787100">
        <w:rPr>
          <w:lang w:val="ru-RU"/>
        </w:rPr>
        <w:t>Информационная безопасность, кибербезопасность и защита конфиденциальности</w:t>
      </w:r>
    </w:p>
    <w:p w14:paraId="0129E8EA" w14:textId="144AFBAE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742B9B" w:rsidRPr="00787100">
        <w:rPr>
          <w:lang w:val="ru-RU" w:eastAsia="zh-CN"/>
        </w:rPr>
        <w:t>ПК29</w:t>
      </w:r>
      <w:r w:rsidR="00787100" w:rsidRPr="00787100">
        <w:rPr>
          <w:lang w:val="ru-RU" w:eastAsia="zh-CN"/>
        </w:rPr>
        <w:t>/</w:t>
      </w:r>
      <w:r w:rsidR="00742B9B" w:rsidRPr="00787100">
        <w:rPr>
          <w:lang w:val="ru-RU" w:eastAsia="zh-CN"/>
        </w:rPr>
        <w:t>ОТК1 ИСО/МЭК</w:t>
      </w:r>
      <w:r w:rsidRPr="00787100">
        <w:rPr>
          <w:lang w:val="ru-RU"/>
        </w:rPr>
        <w:t xml:space="preserve">– </w:t>
      </w:r>
      <w:r w:rsidR="00842202" w:rsidRPr="00787100">
        <w:rPr>
          <w:lang w:val="ru-RU"/>
        </w:rPr>
        <w:t xml:space="preserve">Кодирование </w:t>
      </w:r>
      <w:r w:rsidR="00122E42" w:rsidRPr="00787100">
        <w:rPr>
          <w:lang w:val="ru-RU"/>
        </w:rPr>
        <w:t xml:space="preserve">звука, изображений, мультимедийной и </w:t>
      </w:r>
      <w:proofErr w:type="spellStart"/>
      <w:r w:rsidR="00122E42" w:rsidRPr="00787100">
        <w:rPr>
          <w:lang w:val="ru-RU"/>
        </w:rPr>
        <w:t>гипермедийной</w:t>
      </w:r>
      <w:proofErr w:type="spellEnd"/>
      <w:r w:rsidR="00122E42" w:rsidRPr="00787100">
        <w:rPr>
          <w:lang w:val="ru-RU"/>
        </w:rPr>
        <w:t xml:space="preserve"> информации</w:t>
      </w:r>
    </w:p>
    <w:p w14:paraId="3FD91194" w14:textId="4BE5AF0B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742B9B" w:rsidRPr="00787100">
        <w:rPr>
          <w:lang w:val="ru-RU" w:eastAsia="zh-CN"/>
        </w:rPr>
        <w:t>ПК38</w:t>
      </w:r>
      <w:r w:rsidR="00787100" w:rsidRPr="00787100">
        <w:rPr>
          <w:lang w:val="ru-RU" w:eastAsia="zh-CN"/>
        </w:rPr>
        <w:t>/</w:t>
      </w:r>
      <w:r w:rsidR="00742B9B" w:rsidRPr="00787100">
        <w:rPr>
          <w:lang w:val="ru-RU" w:eastAsia="zh-CN"/>
        </w:rPr>
        <w:t xml:space="preserve">ОТК1 ИСО/МЭК </w:t>
      </w:r>
      <w:r w:rsidRPr="00787100">
        <w:rPr>
          <w:lang w:val="ru-RU"/>
        </w:rPr>
        <w:t xml:space="preserve">– </w:t>
      </w:r>
      <w:r w:rsidR="00141FFC" w:rsidRPr="00787100">
        <w:rPr>
          <w:lang w:val="ru-RU"/>
        </w:rPr>
        <w:t>Облачные вычисления и распределенные платформы</w:t>
      </w:r>
    </w:p>
    <w:p w14:paraId="058439EE" w14:textId="5366AFCC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742B9B" w:rsidRPr="00787100">
        <w:rPr>
          <w:lang w:val="ru-RU" w:eastAsia="zh-CN"/>
        </w:rPr>
        <w:t>ПК41</w:t>
      </w:r>
      <w:r w:rsidR="00787100" w:rsidRPr="00787100">
        <w:rPr>
          <w:lang w:val="ru-RU" w:eastAsia="zh-CN"/>
        </w:rPr>
        <w:t>/</w:t>
      </w:r>
      <w:r w:rsidR="00742B9B" w:rsidRPr="00787100">
        <w:rPr>
          <w:lang w:val="ru-RU" w:eastAsia="zh-CN"/>
        </w:rPr>
        <w:t>ОТК1 ИСО/МЭК</w:t>
      </w:r>
      <w:r w:rsidR="00742B9B" w:rsidRPr="00787100">
        <w:rPr>
          <w:lang w:val="ru-RU"/>
        </w:rPr>
        <w:t xml:space="preserve"> </w:t>
      </w:r>
      <w:r w:rsidRPr="00787100">
        <w:rPr>
          <w:lang w:val="ru-RU"/>
        </w:rPr>
        <w:t xml:space="preserve">– </w:t>
      </w:r>
      <w:r w:rsidR="00ED1552" w:rsidRPr="00787100">
        <w:rPr>
          <w:lang w:val="ru-RU"/>
        </w:rPr>
        <w:t>Интернет вещей и цифровые двойники</w:t>
      </w:r>
    </w:p>
    <w:p w14:paraId="3CAF1243" w14:textId="49E78837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742B9B" w:rsidRPr="00787100">
        <w:rPr>
          <w:lang w:val="ru-RU" w:eastAsia="zh-CN"/>
        </w:rPr>
        <w:t>ПК42</w:t>
      </w:r>
      <w:r w:rsidR="00787100" w:rsidRPr="00787100">
        <w:rPr>
          <w:lang w:val="ru-RU" w:eastAsia="zh-CN"/>
        </w:rPr>
        <w:t>/</w:t>
      </w:r>
      <w:r w:rsidR="00742B9B" w:rsidRPr="00787100">
        <w:rPr>
          <w:lang w:val="ru-RU" w:eastAsia="zh-CN"/>
        </w:rPr>
        <w:t>ОТК1 ИСО/МЭК</w:t>
      </w:r>
      <w:r w:rsidR="00742B9B" w:rsidRPr="00787100">
        <w:rPr>
          <w:lang w:val="ru-RU"/>
        </w:rPr>
        <w:t xml:space="preserve"> </w:t>
      </w:r>
      <w:r w:rsidRPr="00787100">
        <w:rPr>
          <w:lang w:val="ru-RU"/>
        </w:rPr>
        <w:t xml:space="preserve">– </w:t>
      </w:r>
      <w:r w:rsidR="00B66BFE" w:rsidRPr="00787100">
        <w:rPr>
          <w:lang w:val="ru-RU"/>
        </w:rPr>
        <w:t>Искусственный интеллект</w:t>
      </w:r>
    </w:p>
    <w:p w14:paraId="235C7406" w14:textId="7F3566B1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742B9B" w:rsidRPr="00787100">
        <w:rPr>
          <w:lang w:val="ru-RU" w:eastAsia="zh-CN"/>
        </w:rPr>
        <w:t>ПК43</w:t>
      </w:r>
      <w:r w:rsidR="00787100" w:rsidRPr="00787100">
        <w:rPr>
          <w:lang w:val="ru-RU" w:eastAsia="zh-CN"/>
        </w:rPr>
        <w:t>/</w:t>
      </w:r>
      <w:r w:rsidR="00742B9B" w:rsidRPr="00787100">
        <w:rPr>
          <w:lang w:val="ru-RU" w:eastAsia="zh-CN"/>
        </w:rPr>
        <w:t xml:space="preserve">ОТК1 ИСО/МЭК </w:t>
      </w:r>
      <w:r w:rsidRPr="00787100">
        <w:rPr>
          <w:lang w:val="ru-RU"/>
        </w:rPr>
        <w:t xml:space="preserve">– </w:t>
      </w:r>
      <w:r w:rsidR="00ED1552" w:rsidRPr="00787100">
        <w:rPr>
          <w:lang w:val="ru-RU"/>
        </w:rPr>
        <w:t>Интерфейсы мозг-компьютер</w:t>
      </w:r>
    </w:p>
    <w:p w14:paraId="2CDBE24C" w14:textId="56B5F0C5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742B9B" w:rsidRPr="00787100">
        <w:rPr>
          <w:lang w:val="ru-RU" w:eastAsia="zh-CN"/>
        </w:rPr>
        <w:t>Объединенная</w:t>
      </w:r>
      <w:r w:rsidR="00102770" w:rsidRPr="00787100">
        <w:rPr>
          <w:lang w:val="ru-RU" w:eastAsia="zh-CN"/>
        </w:rPr>
        <w:t xml:space="preserve"> группа по оценке стандартизации ИСО и МЭК</w:t>
      </w:r>
      <w:r w:rsidRPr="00787100">
        <w:rPr>
          <w:lang w:val="ru-RU"/>
        </w:rPr>
        <w:t xml:space="preserve"> (JSEG) </w:t>
      </w:r>
      <w:r w:rsidR="00102770" w:rsidRPr="00787100">
        <w:rPr>
          <w:lang w:val="ru-RU"/>
        </w:rPr>
        <w:t xml:space="preserve">по </w:t>
      </w:r>
      <w:proofErr w:type="spellStart"/>
      <w:r w:rsidR="00102770" w:rsidRPr="00787100">
        <w:rPr>
          <w:lang w:val="ru-RU"/>
        </w:rPr>
        <w:t>метавселенной</w:t>
      </w:r>
      <w:proofErr w:type="spellEnd"/>
    </w:p>
    <w:p w14:paraId="0A854877" w14:textId="5957847F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102770" w:rsidRPr="00787100">
        <w:rPr>
          <w:lang w:val="ru-RU" w:eastAsia="zh-CN"/>
        </w:rPr>
        <w:t xml:space="preserve">Комитет по стандартам </w:t>
      </w:r>
      <w:proofErr w:type="spellStart"/>
      <w:r w:rsidR="00102770" w:rsidRPr="00787100">
        <w:rPr>
          <w:lang w:val="ru-RU" w:eastAsia="zh-CN"/>
        </w:rPr>
        <w:t>метавселенной</w:t>
      </w:r>
      <w:proofErr w:type="spellEnd"/>
      <w:r w:rsidR="00102770" w:rsidRPr="00787100">
        <w:rPr>
          <w:lang w:val="ru-RU" w:eastAsia="zh-CN"/>
        </w:rPr>
        <w:t xml:space="preserve"> </w:t>
      </w:r>
      <w:r w:rsidRPr="00787100">
        <w:rPr>
          <w:lang w:val="ru-RU"/>
        </w:rPr>
        <w:t xml:space="preserve">IEEE-SA </w:t>
      </w:r>
    </w:p>
    <w:p w14:paraId="3639C251" w14:textId="61BACD61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5C2448" w:rsidRPr="00787100">
        <w:rPr>
          <w:lang w:val="ru-RU" w:eastAsia="zh-CN"/>
        </w:rPr>
        <w:t xml:space="preserve">Специальная группа по </w:t>
      </w:r>
      <w:proofErr w:type="spellStart"/>
      <w:r w:rsidR="005C2448" w:rsidRPr="00787100">
        <w:rPr>
          <w:lang w:val="ru-RU"/>
        </w:rPr>
        <w:t>метавселенной</w:t>
      </w:r>
      <w:proofErr w:type="spellEnd"/>
      <w:r w:rsidR="005C2448" w:rsidRPr="00787100">
        <w:rPr>
          <w:lang w:val="ru-RU"/>
        </w:rPr>
        <w:t xml:space="preserve"> (MSG) SC SAB </w:t>
      </w:r>
      <w:r w:rsidR="00102770" w:rsidRPr="00787100">
        <w:rPr>
          <w:lang w:val="ru-RU" w:eastAsia="zh-CN"/>
        </w:rPr>
        <w:t>Компьютерно</w:t>
      </w:r>
      <w:r w:rsidR="005C2448" w:rsidRPr="00787100">
        <w:rPr>
          <w:lang w:val="ru-RU" w:eastAsia="zh-CN"/>
        </w:rPr>
        <w:t>го</w:t>
      </w:r>
      <w:r w:rsidR="00102770" w:rsidRPr="00787100">
        <w:rPr>
          <w:lang w:val="ru-RU" w:eastAsia="zh-CN"/>
        </w:rPr>
        <w:t xml:space="preserve"> обществ</w:t>
      </w:r>
      <w:r w:rsidR="005C2448" w:rsidRPr="00787100">
        <w:rPr>
          <w:lang w:val="ru-RU" w:eastAsia="zh-CN"/>
        </w:rPr>
        <w:t>а</w:t>
      </w:r>
      <w:r w:rsidR="00102770" w:rsidRPr="00787100">
        <w:rPr>
          <w:lang w:val="ru-RU" w:eastAsia="zh-CN"/>
        </w:rPr>
        <w:t xml:space="preserve"> </w:t>
      </w:r>
      <w:r w:rsidRPr="00787100">
        <w:rPr>
          <w:lang w:val="ru-RU"/>
        </w:rPr>
        <w:t xml:space="preserve">IEEE </w:t>
      </w:r>
    </w:p>
    <w:p w14:paraId="60E06308" w14:textId="33CD52DA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102770" w:rsidRPr="00787100">
        <w:rPr>
          <w:lang w:val="ru-RU" w:eastAsia="zh-CN"/>
        </w:rPr>
        <w:t xml:space="preserve">(Открытая) группа сообщества функционального взаимодействия </w:t>
      </w:r>
      <w:r w:rsidRPr="00787100">
        <w:rPr>
          <w:lang w:val="ru-RU"/>
        </w:rPr>
        <w:t xml:space="preserve">W3C </w:t>
      </w:r>
      <w:r w:rsidR="00102770" w:rsidRPr="00787100">
        <w:rPr>
          <w:lang w:val="ru-RU"/>
        </w:rPr>
        <w:t xml:space="preserve">по </w:t>
      </w:r>
      <w:proofErr w:type="spellStart"/>
      <w:r w:rsidR="00102770" w:rsidRPr="00787100">
        <w:rPr>
          <w:lang w:val="ru-RU"/>
        </w:rPr>
        <w:t>метавселенной</w:t>
      </w:r>
      <w:proofErr w:type="spellEnd"/>
      <w:r w:rsidRPr="00787100">
        <w:rPr>
          <w:lang w:val="ru-RU"/>
        </w:rPr>
        <w:t xml:space="preserve"> (OMI) </w:t>
      </w:r>
    </w:p>
    <w:p w14:paraId="1B44204C" w14:textId="77777777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Pr="00787100">
        <w:rPr>
          <w:lang w:val="ru-RU"/>
        </w:rPr>
        <w:t>IETF</w:t>
      </w:r>
    </w:p>
    <w:p w14:paraId="1F97B6CA" w14:textId="0C98F026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102770" w:rsidRPr="00787100">
        <w:rPr>
          <w:lang w:val="ru-RU" w:eastAsia="zh-CN"/>
        </w:rPr>
        <w:t>Рам</w:t>
      </w:r>
      <w:r w:rsidR="0009513B" w:rsidRPr="00787100">
        <w:rPr>
          <w:lang w:val="ru-RU" w:eastAsia="zh-CN"/>
        </w:rPr>
        <w:t>очная программа по</w:t>
      </w:r>
      <w:r w:rsidR="00102770" w:rsidRPr="00787100">
        <w:rPr>
          <w:lang w:val="ru-RU" w:eastAsia="zh-CN"/>
        </w:rPr>
        <w:t xml:space="preserve"> дополненной реальности </w:t>
      </w:r>
      <w:r w:rsidRPr="00787100">
        <w:rPr>
          <w:lang w:val="ru-RU"/>
        </w:rPr>
        <w:t xml:space="preserve">ISG </w:t>
      </w:r>
      <w:r w:rsidR="00102770" w:rsidRPr="00787100">
        <w:rPr>
          <w:lang w:val="ru-RU"/>
        </w:rPr>
        <w:t xml:space="preserve">ЕТСИ </w:t>
      </w:r>
    </w:p>
    <w:p w14:paraId="1A4C192F" w14:textId="77777777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Pr="00787100">
        <w:rPr>
          <w:lang w:val="ru-RU"/>
        </w:rPr>
        <w:t>3GPP SA</w:t>
      </w:r>
    </w:p>
    <w:p w14:paraId="746EE395" w14:textId="2E648322" w:rsidR="00DC210F" w:rsidRPr="00787100" w:rsidRDefault="00DC210F" w:rsidP="006636A5">
      <w:pPr>
        <w:pStyle w:val="enumlev1"/>
        <w:jc w:val="both"/>
        <w:rPr>
          <w:lang w:val="ru-RU"/>
        </w:rPr>
      </w:pPr>
      <w:r w:rsidRPr="00787100">
        <w:rPr>
          <w:lang w:val="ru-RU" w:eastAsia="zh-CN"/>
        </w:rPr>
        <w:t>−</w:t>
      </w:r>
      <w:r w:rsidRPr="00787100">
        <w:rPr>
          <w:lang w:val="ru-RU" w:eastAsia="zh-CN"/>
        </w:rPr>
        <w:tab/>
      </w:r>
      <w:r w:rsidR="00102770" w:rsidRPr="00787100">
        <w:rPr>
          <w:lang w:val="ru-RU" w:eastAsia="zh-CN"/>
        </w:rPr>
        <w:t xml:space="preserve">Форум по стандартизации </w:t>
      </w:r>
      <w:proofErr w:type="spellStart"/>
      <w:r w:rsidR="00102770" w:rsidRPr="00787100">
        <w:rPr>
          <w:lang w:val="ru-RU" w:eastAsia="zh-CN"/>
        </w:rPr>
        <w:t>метавселенной</w:t>
      </w:r>
      <w:proofErr w:type="spellEnd"/>
      <w:r w:rsidRPr="00787100">
        <w:rPr>
          <w:lang w:val="ru-RU"/>
        </w:rPr>
        <w:t xml:space="preserve"> (MSF)</w:t>
      </w:r>
    </w:p>
    <w:p w14:paraId="5D1DBE38" w14:textId="77777777" w:rsidR="00DC210F" w:rsidRPr="00787100" w:rsidRDefault="00DC210F" w:rsidP="006636A5">
      <w:pPr>
        <w:pStyle w:val="Heading1"/>
        <w:jc w:val="both"/>
        <w:rPr>
          <w:rFonts w:eastAsiaTheme="minorEastAsia"/>
          <w:lang w:val="ru-RU"/>
        </w:rPr>
      </w:pPr>
      <w:r w:rsidRPr="00787100">
        <w:rPr>
          <w:rFonts w:eastAsiaTheme="minorEastAsia"/>
          <w:lang w:val="ru-RU"/>
        </w:rPr>
        <w:lastRenderedPageBreak/>
        <w:t>5</w:t>
      </w:r>
      <w:r w:rsidRPr="00787100">
        <w:rPr>
          <w:rFonts w:eastAsiaTheme="minorEastAsia"/>
          <w:lang w:val="ru-RU"/>
        </w:rPr>
        <w:tab/>
        <w:t>Структура</w:t>
      </w:r>
    </w:p>
    <w:p w14:paraId="5917442E" w14:textId="77777777" w:rsidR="00DC210F" w:rsidRPr="00787100" w:rsidRDefault="00DC210F" w:rsidP="006636A5">
      <w:pPr>
        <w:jc w:val="both"/>
        <w:rPr>
          <w:lang w:val="ru-RU"/>
        </w:rPr>
      </w:pPr>
      <w:r w:rsidRPr="00787100">
        <w:rPr>
          <w:lang w:val="ru-RU"/>
        </w:rPr>
        <w:t>Оперативная группа может при необходимости создавать подгруппы.</w:t>
      </w:r>
    </w:p>
    <w:p w14:paraId="6C9F90BE" w14:textId="77777777" w:rsidR="00DC210F" w:rsidRPr="00787100" w:rsidRDefault="00DC210F" w:rsidP="006636A5">
      <w:pPr>
        <w:pStyle w:val="Heading1"/>
        <w:jc w:val="both"/>
        <w:rPr>
          <w:rFonts w:eastAsiaTheme="minorEastAsia"/>
          <w:lang w:val="ru-RU"/>
        </w:rPr>
      </w:pPr>
      <w:r w:rsidRPr="00787100">
        <w:rPr>
          <w:rFonts w:eastAsiaTheme="minorEastAsia"/>
          <w:lang w:val="ru-RU"/>
        </w:rPr>
        <w:t>6</w:t>
      </w:r>
      <w:r w:rsidRPr="00787100">
        <w:rPr>
          <w:rFonts w:eastAsiaTheme="minorEastAsia"/>
          <w:lang w:val="ru-RU"/>
        </w:rPr>
        <w:tab/>
        <w:t>Основная комиссия</w:t>
      </w:r>
    </w:p>
    <w:p w14:paraId="4080C8C7" w14:textId="416A747E" w:rsidR="00DC210F" w:rsidRPr="00787100" w:rsidRDefault="00DC210F" w:rsidP="006636A5">
      <w:pPr>
        <w:jc w:val="both"/>
        <w:rPr>
          <w:lang w:val="ru-RU"/>
        </w:rPr>
      </w:pPr>
      <w:r w:rsidRPr="00787100">
        <w:rPr>
          <w:lang w:val="ru-RU"/>
        </w:rPr>
        <w:t xml:space="preserve">Основной комиссией Оперативной группы является </w:t>
      </w:r>
      <w:r w:rsidR="00ED1552" w:rsidRPr="00787100">
        <w:rPr>
          <w:lang w:val="ru-RU"/>
        </w:rPr>
        <w:t>КГСЭ</w:t>
      </w:r>
      <w:r w:rsidRPr="00787100">
        <w:rPr>
          <w:lang w:val="ru-RU"/>
        </w:rPr>
        <w:t xml:space="preserve">. </w:t>
      </w:r>
    </w:p>
    <w:p w14:paraId="27A34898" w14:textId="77777777" w:rsidR="00DC210F" w:rsidRPr="00787100" w:rsidRDefault="00DC210F" w:rsidP="006636A5">
      <w:pPr>
        <w:pStyle w:val="Heading1"/>
        <w:jc w:val="both"/>
        <w:rPr>
          <w:rFonts w:eastAsiaTheme="minorEastAsia"/>
          <w:lang w:val="ru-RU"/>
        </w:rPr>
      </w:pPr>
      <w:r w:rsidRPr="00787100">
        <w:rPr>
          <w:rFonts w:eastAsiaTheme="minorEastAsia"/>
          <w:lang w:val="ru-RU"/>
        </w:rPr>
        <w:t>7</w:t>
      </w:r>
      <w:r w:rsidRPr="00787100">
        <w:rPr>
          <w:rFonts w:eastAsiaTheme="minorEastAsia"/>
          <w:lang w:val="ru-RU"/>
        </w:rPr>
        <w:tab/>
        <w:t>Руководство</w:t>
      </w:r>
    </w:p>
    <w:p w14:paraId="3E24C1F1" w14:textId="77777777" w:rsidR="00DC210F" w:rsidRPr="00787100" w:rsidRDefault="00DC210F" w:rsidP="006636A5">
      <w:pPr>
        <w:jc w:val="both"/>
        <w:rPr>
          <w:lang w:val="ru-RU"/>
        </w:rPr>
      </w:pPr>
      <w:r w:rsidRPr="00787100">
        <w:rPr>
          <w:lang w:val="ru-RU"/>
        </w:rPr>
        <w:t>См. пункт 2.3 Рекомендации МСЭ-T A.7.</w:t>
      </w:r>
    </w:p>
    <w:p w14:paraId="23310269" w14:textId="77777777" w:rsidR="00DC210F" w:rsidRPr="00787100" w:rsidRDefault="00DC210F" w:rsidP="006636A5">
      <w:pPr>
        <w:pStyle w:val="Heading1"/>
        <w:jc w:val="both"/>
        <w:rPr>
          <w:rFonts w:eastAsiaTheme="minorEastAsia"/>
          <w:lang w:val="ru-RU"/>
        </w:rPr>
      </w:pPr>
      <w:r w:rsidRPr="00787100">
        <w:rPr>
          <w:rFonts w:eastAsiaTheme="minorEastAsia"/>
          <w:lang w:val="ru-RU"/>
        </w:rPr>
        <w:t>8</w:t>
      </w:r>
      <w:r w:rsidRPr="00787100">
        <w:rPr>
          <w:rFonts w:eastAsiaTheme="minorEastAsia"/>
          <w:lang w:val="ru-RU"/>
        </w:rPr>
        <w:tab/>
        <w:t>Участие</w:t>
      </w:r>
    </w:p>
    <w:p w14:paraId="2A36310A" w14:textId="77777777" w:rsidR="00DC210F" w:rsidRPr="00787100" w:rsidRDefault="00DC210F" w:rsidP="006636A5">
      <w:pPr>
        <w:jc w:val="both"/>
        <w:rPr>
          <w:lang w:val="ru-RU"/>
        </w:rPr>
      </w:pPr>
      <w:r w:rsidRPr="00787100">
        <w:rPr>
          <w:lang w:val="ru-RU"/>
        </w:rPr>
        <w:t xml:space="preserve">См. пункт 3 Рекомендации МСЭ-T A.7. Для справочных целей предусмотрено ведение списка участников, который будет сообщаться основной комиссии. </w:t>
      </w:r>
    </w:p>
    <w:p w14:paraId="7C041DA1" w14:textId="77777777" w:rsidR="00DC210F" w:rsidRPr="00787100" w:rsidRDefault="00DC210F" w:rsidP="006636A5">
      <w:pPr>
        <w:pStyle w:val="Heading1"/>
        <w:jc w:val="both"/>
        <w:rPr>
          <w:rFonts w:eastAsiaTheme="minorEastAsia"/>
          <w:lang w:val="ru-RU"/>
        </w:rPr>
      </w:pPr>
      <w:r w:rsidRPr="00787100">
        <w:rPr>
          <w:rFonts w:eastAsiaTheme="minorEastAsia"/>
          <w:lang w:val="ru-RU"/>
        </w:rPr>
        <w:t>9</w:t>
      </w:r>
      <w:r w:rsidRPr="00787100">
        <w:rPr>
          <w:rFonts w:eastAsiaTheme="minorEastAsia"/>
          <w:lang w:val="ru-RU"/>
        </w:rPr>
        <w:tab/>
        <w:t>Административная поддержка</w:t>
      </w:r>
    </w:p>
    <w:p w14:paraId="44F190E4" w14:textId="77777777" w:rsidR="00DC210F" w:rsidRPr="00787100" w:rsidRDefault="00DC210F" w:rsidP="006636A5">
      <w:pPr>
        <w:jc w:val="both"/>
        <w:rPr>
          <w:lang w:val="ru-RU"/>
        </w:rPr>
      </w:pPr>
      <w:r w:rsidRPr="00787100">
        <w:rPr>
          <w:lang w:val="ru-RU"/>
        </w:rPr>
        <w:t>См. пункт 5 Рекомендации МСЭ-T A.7.</w:t>
      </w:r>
    </w:p>
    <w:p w14:paraId="025047C9" w14:textId="77777777" w:rsidR="00DC210F" w:rsidRPr="00787100" w:rsidRDefault="00DC210F" w:rsidP="006636A5">
      <w:pPr>
        <w:pStyle w:val="Heading1"/>
        <w:jc w:val="both"/>
        <w:rPr>
          <w:rFonts w:eastAsiaTheme="minorEastAsia"/>
          <w:lang w:val="ru-RU"/>
        </w:rPr>
      </w:pPr>
      <w:r w:rsidRPr="00787100">
        <w:rPr>
          <w:rFonts w:eastAsiaTheme="minorEastAsia"/>
          <w:lang w:val="ru-RU"/>
        </w:rPr>
        <w:t>10</w:t>
      </w:r>
      <w:r w:rsidRPr="00787100">
        <w:rPr>
          <w:rFonts w:eastAsiaTheme="minorEastAsia"/>
          <w:lang w:val="ru-RU"/>
        </w:rPr>
        <w:tab/>
        <w:t>Общее финансирование</w:t>
      </w:r>
    </w:p>
    <w:p w14:paraId="5CDE8C09" w14:textId="77777777" w:rsidR="00DC210F" w:rsidRPr="00787100" w:rsidRDefault="00DC210F" w:rsidP="006636A5">
      <w:pPr>
        <w:jc w:val="both"/>
        <w:rPr>
          <w:lang w:val="ru-RU"/>
        </w:rPr>
      </w:pPr>
      <w:r w:rsidRPr="00787100">
        <w:rPr>
          <w:lang w:val="ru-RU"/>
        </w:rPr>
        <w:t>См. пункты 4 и 10.2 Рекомендации МСЭ-T A.7.</w:t>
      </w:r>
    </w:p>
    <w:p w14:paraId="60AF20F1" w14:textId="77777777" w:rsidR="00DC210F" w:rsidRPr="00787100" w:rsidRDefault="00DC210F" w:rsidP="006636A5">
      <w:pPr>
        <w:pStyle w:val="Heading1"/>
        <w:jc w:val="both"/>
        <w:rPr>
          <w:rFonts w:eastAsiaTheme="minorEastAsia"/>
          <w:lang w:val="ru-RU"/>
        </w:rPr>
      </w:pPr>
      <w:r w:rsidRPr="00787100">
        <w:rPr>
          <w:rFonts w:eastAsiaTheme="minorEastAsia"/>
          <w:lang w:val="ru-RU"/>
        </w:rPr>
        <w:t>11</w:t>
      </w:r>
      <w:r w:rsidRPr="00787100">
        <w:rPr>
          <w:rFonts w:eastAsiaTheme="minorEastAsia"/>
          <w:lang w:val="ru-RU"/>
        </w:rPr>
        <w:tab/>
        <w:t>Собрания</w:t>
      </w:r>
    </w:p>
    <w:p w14:paraId="398FAF11" w14:textId="77777777" w:rsidR="00DC210F" w:rsidRPr="00787100" w:rsidRDefault="00DC210F" w:rsidP="006636A5">
      <w:pPr>
        <w:jc w:val="both"/>
        <w:rPr>
          <w:lang w:val="ru-RU"/>
        </w:rPr>
      </w:pPr>
      <w:r w:rsidRPr="00787100">
        <w:rPr>
          <w:lang w:val="ru-RU"/>
        </w:rPr>
        <w:t>Оперативная группа будет проводить собрания на регулярной основе. Периодичность и место проведения собраний определяет руководящий состав Оперативной группы. Общий план собраний будет объявлен после утверждения круга ведения. Оперативная группа будет в максимальной степени использовать инструменты дистанционного сотрудничества</w:t>
      </w:r>
    </w:p>
    <w:p w14:paraId="583C0022" w14:textId="77777777" w:rsidR="00DC210F" w:rsidRPr="00787100" w:rsidRDefault="00DC210F" w:rsidP="006636A5">
      <w:pPr>
        <w:jc w:val="both"/>
        <w:rPr>
          <w:lang w:val="ru-RU"/>
        </w:rPr>
      </w:pPr>
      <w:r w:rsidRPr="00787100">
        <w:rPr>
          <w:lang w:val="ru-RU"/>
        </w:rPr>
        <w:t>Даты проведения собраний будут объявляться с помощью электронных средств (например, по электронной почте, на веб-сайте и т. п.) не менее чем за четыре недели до начала собрания.</w:t>
      </w:r>
    </w:p>
    <w:p w14:paraId="10DDF3D8" w14:textId="77777777" w:rsidR="00DC210F" w:rsidRPr="00787100" w:rsidRDefault="00DC210F" w:rsidP="006636A5">
      <w:pPr>
        <w:pStyle w:val="Heading1"/>
        <w:jc w:val="both"/>
        <w:rPr>
          <w:rFonts w:eastAsiaTheme="minorEastAsia"/>
          <w:lang w:val="ru-RU"/>
        </w:rPr>
      </w:pPr>
      <w:r w:rsidRPr="00787100">
        <w:rPr>
          <w:rFonts w:eastAsiaTheme="minorEastAsia"/>
          <w:lang w:val="ru-RU"/>
        </w:rPr>
        <w:t>12</w:t>
      </w:r>
      <w:r w:rsidRPr="00787100">
        <w:rPr>
          <w:rFonts w:eastAsiaTheme="minorEastAsia"/>
          <w:lang w:val="ru-RU"/>
        </w:rPr>
        <w:tab/>
        <w:t>Технические вклады</w:t>
      </w:r>
    </w:p>
    <w:p w14:paraId="2DE050A1" w14:textId="1D1D714C" w:rsidR="00DC210F" w:rsidRPr="00787100" w:rsidRDefault="00DC210F" w:rsidP="006636A5">
      <w:pPr>
        <w:jc w:val="both"/>
        <w:rPr>
          <w:rFonts w:eastAsiaTheme="minorEastAsia"/>
          <w:szCs w:val="22"/>
          <w:lang w:val="ru-RU" w:eastAsia="ja-JP"/>
        </w:rPr>
      </w:pPr>
      <w:r w:rsidRPr="00787100">
        <w:rPr>
          <w:lang w:val="ru-RU"/>
        </w:rPr>
        <w:t xml:space="preserve">См. </w:t>
      </w:r>
      <w:r w:rsidR="005C2448" w:rsidRPr="00787100">
        <w:rPr>
          <w:lang w:val="ru-RU"/>
        </w:rPr>
        <w:t>пункт</w:t>
      </w:r>
      <w:r w:rsidRPr="00787100">
        <w:rPr>
          <w:lang w:val="ru-RU"/>
        </w:rPr>
        <w:t xml:space="preserve"> 8 Рекомендации МСЭ-Т А.7.</w:t>
      </w:r>
    </w:p>
    <w:p w14:paraId="1181FBF2" w14:textId="77777777" w:rsidR="00DC210F" w:rsidRPr="00787100" w:rsidRDefault="00DC210F" w:rsidP="006636A5">
      <w:pPr>
        <w:pStyle w:val="Heading1"/>
        <w:jc w:val="both"/>
        <w:rPr>
          <w:rFonts w:eastAsiaTheme="minorEastAsia"/>
          <w:lang w:val="ru-RU"/>
        </w:rPr>
      </w:pPr>
      <w:r w:rsidRPr="00787100">
        <w:rPr>
          <w:rFonts w:eastAsiaTheme="minorEastAsia"/>
          <w:lang w:val="ru-RU"/>
        </w:rPr>
        <w:t>13</w:t>
      </w:r>
      <w:r w:rsidRPr="00787100">
        <w:rPr>
          <w:rFonts w:eastAsiaTheme="minorEastAsia"/>
          <w:lang w:val="ru-RU"/>
        </w:rPr>
        <w:tab/>
        <w:t>Рабочий язык</w:t>
      </w:r>
    </w:p>
    <w:p w14:paraId="42AB2305" w14:textId="77777777" w:rsidR="00DC210F" w:rsidRPr="00787100" w:rsidRDefault="00DC210F" w:rsidP="006636A5">
      <w:pPr>
        <w:jc w:val="both"/>
        <w:rPr>
          <w:rFonts w:eastAsiaTheme="minorEastAsia"/>
          <w:szCs w:val="22"/>
          <w:lang w:val="ru-RU" w:eastAsia="ja-JP"/>
        </w:rPr>
      </w:pPr>
      <w:r w:rsidRPr="00787100">
        <w:rPr>
          <w:lang w:val="ru-RU"/>
        </w:rPr>
        <w:t>Рабочим языком является английский язык.</w:t>
      </w:r>
    </w:p>
    <w:p w14:paraId="3A6B41D2" w14:textId="77777777" w:rsidR="00DC210F" w:rsidRPr="00787100" w:rsidRDefault="00DC210F" w:rsidP="006636A5">
      <w:pPr>
        <w:pStyle w:val="Heading1"/>
        <w:jc w:val="both"/>
        <w:rPr>
          <w:rFonts w:eastAsiaTheme="minorEastAsia"/>
          <w:lang w:val="ru-RU"/>
        </w:rPr>
      </w:pPr>
      <w:r w:rsidRPr="00787100">
        <w:rPr>
          <w:rFonts w:eastAsiaTheme="minorEastAsia"/>
          <w:lang w:val="ru-RU"/>
        </w:rPr>
        <w:t>14</w:t>
      </w:r>
      <w:r w:rsidRPr="00787100">
        <w:rPr>
          <w:rFonts w:eastAsiaTheme="minorEastAsia"/>
          <w:lang w:val="ru-RU"/>
        </w:rPr>
        <w:tab/>
        <w:t>Утверждение результатов работы</w:t>
      </w:r>
    </w:p>
    <w:p w14:paraId="3FC8E84F" w14:textId="77777777" w:rsidR="00DC210F" w:rsidRPr="00787100" w:rsidRDefault="00DC210F" w:rsidP="006636A5">
      <w:pPr>
        <w:jc w:val="both"/>
        <w:rPr>
          <w:lang w:val="ru-RU"/>
        </w:rPr>
      </w:pPr>
      <w:r w:rsidRPr="00787100">
        <w:rPr>
          <w:lang w:val="ru-RU"/>
        </w:rPr>
        <w:t>Результаты работы должны утверждаться на основе консенсуса.</w:t>
      </w:r>
    </w:p>
    <w:p w14:paraId="1985026E" w14:textId="77777777" w:rsidR="00DC210F" w:rsidRPr="00787100" w:rsidRDefault="00DC210F" w:rsidP="006636A5">
      <w:pPr>
        <w:pStyle w:val="Heading1"/>
        <w:jc w:val="both"/>
        <w:rPr>
          <w:rFonts w:eastAsiaTheme="minorEastAsia"/>
          <w:lang w:val="ru-RU"/>
        </w:rPr>
      </w:pPr>
      <w:r w:rsidRPr="00787100">
        <w:rPr>
          <w:rFonts w:eastAsiaTheme="minorEastAsia"/>
          <w:lang w:val="ru-RU"/>
        </w:rPr>
        <w:t>15</w:t>
      </w:r>
      <w:r w:rsidRPr="00787100">
        <w:rPr>
          <w:rFonts w:eastAsiaTheme="minorEastAsia"/>
          <w:lang w:val="ru-RU"/>
        </w:rPr>
        <w:tab/>
        <w:t>Руководящие указания по работе</w:t>
      </w:r>
    </w:p>
    <w:p w14:paraId="1EBB06BC" w14:textId="77777777" w:rsidR="00DC210F" w:rsidRPr="00787100" w:rsidRDefault="00DC210F" w:rsidP="006636A5">
      <w:pPr>
        <w:jc w:val="both"/>
        <w:rPr>
          <w:lang w:val="ru-RU"/>
        </w:rPr>
      </w:pPr>
      <w:r w:rsidRPr="00787100">
        <w:rPr>
          <w:lang w:val="ru-RU"/>
        </w:rPr>
        <w:t>Рабочие процедуры должны соответствовать процедурам собраний Групп Докладчиков. Не предусматривается каких-либо дополнительных руководящих указаний по работе.</w:t>
      </w:r>
    </w:p>
    <w:p w14:paraId="07FE2CCC" w14:textId="77777777" w:rsidR="00DC210F" w:rsidRPr="00787100" w:rsidRDefault="00DC210F" w:rsidP="006636A5">
      <w:pPr>
        <w:pStyle w:val="Heading1"/>
        <w:jc w:val="both"/>
        <w:rPr>
          <w:rFonts w:eastAsiaTheme="minorEastAsia"/>
          <w:lang w:val="ru-RU"/>
        </w:rPr>
      </w:pPr>
      <w:r w:rsidRPr="00787100">
        <w:rPr>
          <w:rFonts w:eastAsiaTheme="minorEastAsia"/>
          <w:lang w:val="ru-RU"/>
        </w:rPr>
        <w:t>16</w:t>
      </w:r>
      <w:r w:rsidRPr="00787100">
        <w:rPr>
          <w:rFonts w:eastAsiaTheme="minorEastAsia"/>
          <w:lang w:val="ru-RU"/>
        </w:rPr>
        <w:tab/>
        <w:t>Отчеты о ходе работы</w:t>
      </w:r>
    </w:p>
    <w:p w14:paraId="3D094110" w14:textId="77777777" w:rsidR="00DC210F" w:rsidRPr="00787100" w:rsidRDefault="00DC210F" w:rsidP="006636A5">
      <w:pPr>
        <w:jc w:val="both"/>
        <w:rPr>
          <w:lang w:val="ru-RU"/>
        </w:rPr>
      </w:pPr>
      <w:r w:rsidRPr="00787100">
        <w:rPr>
          <w:lang w:val="ru-RU"/>
        </w:rPr>
        <w:t>См. пункт 11 Рекомендации МСЭ-T A.7.</w:t>
      </w:r>
    </w:p>
    <w:p w14:paraId="2711CA12" w14:textId="77777777" w:rsidR="00DC210F" w:rsidRPr="00787100" w:rsidRDefault="00DC210F" w:rsidP="006636A5">
      <w:pPr>
        <w:pStyle w:val="Heading1"/>
        <w:jc w:val="both"/>
        <w:rPr>
          <w:rFonts w:eastAsiaTheme="minorEastAsia"/>
          <w:lang w:val="ru-RU"/>
        </w:rPr>
      </w:pPr>
      <w:r w:rsidRPr="00787100">
        <w:rPr>
          <w:rFonts w:eastAsiaTheme="minorEastAsia"/>
          <w:lang w:val="ru-RU"/>
        </w:rPr>
        <w:lastRenderedPageBreak/>
        <w:t>17</w:t>
      </w:r>
      <w:r w:rsidRPr="00787100">
        <w:rPr>
          <w:rFonts w:eastAsiaTheme="minorEastAsia"/>
          <w:lang w:val="ru-RU"/>
        </w:rPr>
        <w:tab/>
        <w:t>Объявление о создании Оперативной группы</w:t>
      </w:r>
    </w:p>
    <w:p w14:paraId="7081E469" w14:textId="77777777" w:rsidR="00DC210F" w:rsidRPr="00787100" w:rsidRDefault="00DC210F" w:rsidP="006636A5">
      <w:pPr>
        <w:jc w:val="both"/>
        <w:rPr>
          <w:lang w:val="ru-RU"/>
        </w:rPr>
      </w:pPr>
      <w:r w:rsidRPr="00787100">
        <w:rPr>
          <w:lang w:val="ru-RU"/>
        </w:rPr>
        <w:t xml:space="preserve">О создании Оперативной группы будет объявлено в циркулярном письме БСЭ, адресованном всем членам МСЭ, на веб-странице новостей МСЭ-Т </w:t>
      </w:r>
      <w:proofErr w:type="spellStart"/>
      <w:r w:rsidRPr="00787100">
        <w:rPr>
          <w:lang w:val="ru-RU"/>
        </w:rPr>
        <w:t>Newslog</w:t>
      </w:r>
      <w:proofErr w:type="spellEnd"/>
      <w:r w:rsidRPr="00787100">
        <w:rPr>
          <w:lang w:val="ru-RU"/>
        </w:rPr>
        <w:t>, в пресс-релизах и с помощью других средств, включая переписку с другими заинтересованными организациями.</w:t>
      </w:r>
    </w:p>
    <w:p w14:paraId="4224821C" w14:textId="77777777" w:rsidR="00DC210F" w:rsidRPr="00787100" w:rsidRDefault="00DC210F" w:rsidP="006636A5">
      <w:pPr>
        <w:pStyle w:val="Heading1"/>
        <w:jc w:val="both"/>
        <w:rPr>
          <w:rFonts w:eastAsiaTheme="minorEastAsia"/>
          <w:lang w:val="ru-RU"/>
        </w:rPr>
      </w:pPr>
      <w:r w:rsidRPr="00787100">
        <w:rPr>
          <w:rFonts w:eastAsiaTheme="minorEastAsia"/>
          <w:lang w:val="ru-RU"/>
        </w:rPr>
        <w:t>18</w:t>
      </w:r>
      <w:r w:rsidRPr="00787100">
        <w:rPr>
          <w:rFonts w:eastAsiaTheme="minorEastAsia"/>
          <w:lang w:val="ru-RU"/>
        </w:rPr>
        <w:tab/>
        <w:t>Основные этапы и продолжительность работы Оперативной группы</w:t>
      </w:r>
    </w:p>
    <w:p w14:paraId="0DA050A7" w14:textId="77777777" w:rsidR="00DC210F" w:rsidRPr="00787100" w:rsidRDefault="00DC210F" w:rsidP="006636A5">
      <w:pPr>
        <w:jc w:val="both"/>
        <w:rPr>
          <w:lang w:val="ru-RU"/>
        </w:rPr>
      </w:pPr>
      <w:r w:rsidRPr="00787100">
        <w:rPr>
          <w:lang w:val="ru-RU"/>
        </w:rPr>
        <w:t xml:space="preserve">Установленная продолжительность работы Оперативной группы составляет один год после первого собрания с возможность продления. </w:t>
      </w:r>
    </w:p>
    <w:p w14:paraId="5A42E065" w14:textId="71FE533D" w:rsidR="001F17C0" w:rsidRPr="00787100" w:rsidRDefault="00102770" w:rsidP="006636A5">
      <w:pPr>
        <w:jc w:val="both"/>
        <w:rPr>
          <w:lang w:val="ru-RU"/>
        </w:rPr>
      </w:pPr>
      <w:r w:rsidRPr="00787100">
        <w:rPr>
          <w:rFonts w:cstheme="minorHAnsi"/>
          <w:szCs w:val="22"/>
          <w:lang w:val="ru-RU"/>
        </w:rPr>
        <w:t xml:space="preserve">Какое-либо продление после вышеуказанной даты производится по решению КГСЭ в соответствии с Рекомендацией </w:t>
      </w:r>
      <w:r w:rsidR="00355F34" w:rsidRPr="00787100">
        <w:rPr>
          <w:rFonts w:cstheme="minorHAnsi"/>
          <w:szCs w:val="22"/>
          <w:lang w:val="ru-RU"/>
        </w:rPr>
        <w:t>МСЭ-Т </w:t>
      </w:r>
      <w:r w:rsidR="001F17C0" w:rsidRPr="00787100">
        <w:rPr>
          <w:rFonts w:cstheme="minorHAnsi"/>
          <w:szCs w:val="22"/>
          <w:lang w:val="ru-RU"/>
        </w:rPr>
        <w:t>A.7.</w:t>
      </w:r>
    </w:p>
    <w:p w14:paraId="52A778B4" w14:textId="77777777" w:rsidR="00DC210F" w:rsidRPr="00787100" w:rsidRDefault="00DC210F" w:rsidP="006636A5">
      <w:pPr>
        <w:pStyle w:val="Heading1"/>
        <w:jc w:val="both"/>
        <w:rPr>
          <w:rFonts w:eastAsiaTheme="minorEastAsia"/>
          <w:lang w:val="ru-RU"/>
        </w:rPr>
      </w:pPr>
      <w:r w:rsidRPr="00787100">
        <w:rPr>
          <w:rFonts w:eastAsiaTheme="minorEastAsia"/>
          <w:lang w:val="ru-RU"/>
        </w:rPr>
        <w:t>19</w:t>
      </w:r>
      <w:r w:rsidRPr="00787100">
        <w:rPr>
          <w:rFonts w:eastAsiaTheme="minorEastAsia"/>
          <w:lang w:val="ru-RU"/>
        </w:rPr>
        <w:tab/>
        <w:t>Патентная политика</w:t>
      </w:r>
    </w:p>
    <w:p w14:paraId="7DCE6E73" w14:textId="77777777" w:rsidR="00DC210F" w:rsidRPr="00787100" w:rsidRDefault="00DC210F" w:rsidP="006636A5">
      <w:pPr>
        <w:jc w:val="both"/>
        <w:rPr>
          <w:lang w:val="ru-RU"/>
        </w:rPr>
      </w:pPr>
      <w:r w:rsidRPr="00787100">
        <w:rPr>
          <w:lang w:val="ru-RU"/>
        </w:rPr>
        <w:t>См. пункт 9 Рекомендации МСЭ-T A.7.</w:t>
      </w:r>
    </w:p>
    <w:p w14:paraId="7370228B" w14:textId="77777777" w:rsidR="00EE3FBE" w:rsidRPr="00787100" w:rsidRDefault="00EE3FBE" w:rsidP="00A50900">
      <w:pPr>
        <w:spacing w:before="480"/>
        <w:jc w:val="center"/>
        <w:rPr>
          <w:lang w:val="ru-RU"/>
        </w:rPr>
      </w:pPr>
      <w:r w:rsidRPr="00787100">
        <w:rPr>
          <w:lang w:val="ru-RU"/>
        </w:rPr>
        <w:t>______________</w:t>
      </w:r>
    </w:p>
    <w:sectPr w:rsidR="00EE3FBE" w:rsidRPr="00787100" w:rsidSect="00F93AEE">
      <w:headerReference w:type="default" r:id="rId32"/>
      <w:footerReference w:type="default" r:id="rId33"/>
      <w:footerReference w:type="first" r:id="rId34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02C9" w14:textId="77777777" w:rsidR="00092FB7" w:rsidRDefault="00092FB7">
      <w:r>
        <w:separator/>
      </w:r>
    </w:p>
  </w:endnote>
  <w:endnote w:type="continuationSeparator" w:id="0">
    <w:p w14:paraId="3DCBA464" w14:textId="77777777" w:rsidR="00092FB7" w:rsidRDefault="0009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7F88" w14:textId="75D6526B" w:rsidR="00B54B88" w:rsidRPr="00B54B88" w:rsidRDefault="00B54B88" w:rsidP="009166E1">
    <w:pPr>
      <w:pStyle w:val="Footer"/>
      <w:tabs>
        <w:tab w:val="clear" w:pos="4703"/>
        <w:tab w:val="clear" w:pos="9406"/>
        <w:tab w:val="center" w:pos="5387"/>
        <w:tab w:val="right" w:pos="9639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4A63" w14:textId="621C3374" w:rsidR="007652F9" w:rsidRPr="00671514" w:rsidRDefault="007652F9" w:rsidP="00AC4AD7">
    <w:pPr>
      <w:pStyle w:val="FirstFooter"/>
      <w:spacing w:before="0" w:line="240" w:lineRule="auto"/>
      <w:ind w:left="-397" w:right="-397"/>
      <w:jc w:val="center"/>
      <w:rPr>
        <w:rFonts w:asciiTheme="minorHAnsi" w:hAnsiTheme="minorHAnsi" w:cs="Times New Roman"/>
        <w:color w:val="0070C0"/>
        <w:sz w:val="18"/>
        <w:szCs w:val="18"/>
        <w:lang w:val="fr-CH"/>
      </w:rPr>
    </w:pP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International </w:t>
    </w:r>
    <w:proofErr w:type="spell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Telecommunication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Union • Place des Nations • CH</w:t>
    </w: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noBreakHyphen/>
      <w:t>1211 Geneva 20 • Switzerland</w:t>
    </w: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br/>
    </w:r>
    <w:proofErr w:type="spell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Тел</w:t>
    </w:r>
    <w:proofErr w:type="spellEnd"/>
    <w:r w:rsidR="00787100">
      <w:rPr>
        <w:rFonts w:asciiTheme="minorHAnsi" w:hAnsiTheme="minorHAnsi" w:cs="Times New Roman"/>
        <w:color w:val="0070C0"/>
        <w:sz w:val="18"/>
        <w:szCs w:val="18"/>
        <w:lang w:val="ru-RU"/>
      </w:rPr>
      <w:t>.</w:t>
    </w: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: +41 22 730 5111 • </w:t>
    </w:r>
    <w:proofErr w:type="spell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Факс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: +41 22 733 7256 • </w:t>
    </w:r>
    <w:proofErr w:type="spell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Эл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. </w:t>
    </w:r>
    <w:proofErr w:type="spell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почта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: </w:t>
    </w:r>
    <w:hyperlink r:id="rId1" w:history="1">
      <w:r w:rsidRPr="00671514">
        <w:rPr>
          <w:rStyle w:val="Hyperlink"/>
          <w:color w:val="0070C0"/>
          <w:sz w:val="18"/>
          <w:szCs w:val="24"/>
          <w:lang w:val="fr-CH"/>
        </w:rPr>
        <w:t>itumail@itu.int</w:t>
      </w:r>
    </w:hyperlink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• </w:t>
    </w:r>
    <w:hyperlink r:id="rId2" w:history="1">
      <w:r w:rsidRPr="00671514">
        <w:rPr>
          <w:rStyle w:val="Hyperlink"/>
          <w:color w:val="0070C0"/>
          <w:sz w:val="18"/>
          <w:szCs w:val="2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0D7E" w14:textId="77777777" w:rsidR="00092FB7" w:rsidRDefault="00092FB7">
      <w:r>
        <w:separator/>
      </w:r>
    </w:p>
  </w:footnote>
  <w:footnote w:type="continuationSeparator" w:id="0">
    <w:p w14:paraId="1C2BDF4C" w14:textId="77777777" w:rsidR="00092FB7" w:rsidRDefault="00092FB7">
      <w:r>
        <w:continuationSeparator/>
      </w:r>
    </w:p>
  </w:footnote>
  <w:footnote w:id="1">
    <w:p w14:paraId="02016251" w14:textId="5B32D98F" w:rsidR="00DC210F" w:rsidRPr="009714E5" w:rsidRDefault="00DC210F" w:rsidP="009714E5">
      <w:pPr>
        <w:pStyle w:val="FootnoteText"/>
      </w:pPr>
      <w:r w:rsidRPr="009714E5">
        <w:rPr>
          <w:rStyle w:val="FootnoteReference"/>
        </w:rPr>
        <w:footnoteRef/>
      </w:r>
      <w:r w:rsidR="00653FF3" w:rsidRPr="009714E5">
        <w:tab/>
      </w:r>
      <w:hyperlink r:id="rId1" w:history="1">
        <w:r w:rsidRPr="009714E5">
          <w:rPr>
            <w:rStyle w:val="Hyperlink"/>
          </w:rPr>
          <w:t>https://www.bloomberg.com/professional/blog/metaverse-may-be-800-billion-market-next-tech-platform/</w:t>
        </w:r>
      </w:hyperlink>
      <w:r w:rsidRPr="009714E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F3E8" w14:textId="77777777" w:rsidR="00B54B88" w:rsidRDefault="00B54B88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900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 w:rsidR="00D5213E">
      <w:rPr>
        <w:noProof/>
      </w:rPr>
      <w:br/>
    </w:r>
    <w:r w:rsidR="00D5213E" w:rsidRPr="00DB7857">
      <w:rPr>
        <w:lang w:val="ru-RU"/>
      </w:rPr>
      <w:t xml:space="preserve">Циркуляр </w:t>
    </w:r>
    <w:r w:rsidR="00D5213E">
      <w:rPr>
        <w:lang w:val="ru-RU"/>
      </w:rPr>
      <w:t>69</w:t>
    </w:r>
    <w:r w:rsidR="00D5213E"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289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6E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180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E6D9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822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92EE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8D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9CD9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A6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385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038699D"/>
    <w:multiLevelType w:val="hybridMultilevel"/>
    <w:tmpl w:val="FF20F686"/>
    <w:lvl w:ilvl="0" w:tplc="EBAE24A4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95F13"/>
    <w:multiLevelType w:val="hybridMultilevel"/>
    <w:tmpl w:val="28E89BF8"/>
    <w:lvl w:ilvl="0" w:tplc="0F826492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E4D7B"/>
    <w:multiLevelType w:val="hybridMultilevel"/>
    <w:tmpl w:val="6B4CCE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ED66A9"/>
    <w:multiLevelType w:val="hybridMultilevel"/>
    <w:tmpl w:val="4B0A3FA6"/>
    <w:lvl w:ilvl="0" w:tplc="0F826492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050015">
    <w:abstractNumId w:val="23"/>
  </w:num>
  <w:num w:numId="2" w16cid:durableId="2092071864">
    <w:abstractNumId w:val="16"/>
  </w:num>
  <w:num w:numId="3" w16cid:durableId="1961912279">
    <w:abstractNumId w:val="29"/>
  </w:num>
  <w:num w:numId="4" w16cid:durableId="1972785644">
    <w:abstractNumId w:val="13"/>
  </w:num>
  <w:num w:numId="5" w16cid:durableId="152990396">
    <w:abstractNumId w:val="24"/>
  </w:num>
  <w:num w:numId="6" w16cid:durableId="2120368638">
    <w:abstractNumId w:val="11"/>
  </w:num>
  <w:num w:numId="7" w16cid:durableId="2036270456">
    <w:abstractNumId w:val="26"/>
  </w:num>
  <w:num w:numId="8" w16cid:durableId="549608659">
    <w:abstractNumId w:val="21"/>
  </w:num>
  <w:num w:numId="9" w16cid:durableId="1982422905">
    <w:abstractNumId w:val="22"/>
  </w:num>
  <w:num w:numId="10" w16cid:durableId="630982305">
    <w:abstractNumId w:val="15"/>
  </w:num>
  <w:num w:numId="11" w16cid:durableId="150219501">
    <w:abstractNumId w:val="25"/>
  </w:num>
  <w:num w:numId="12" w16cid:durableId="1905409709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338780406">
    <w:abstractNumId w:val="17"/>
  </w:num>
  <w:num w:numId="14" w16cid:durableId="2125611262">
    <w:abstractNumId w:val="18"/>
  </w:num>
  <w:num w:numId="15" w16cid:durableId="1091704681">
    <w:abstractNumId w:val="14"/>
  </w:num>
  <w:num w:numId="16" w16cid:durableId="1543787819">
    <w:abstractNumId w:val="28"/>
  </w:num>
  <w:num w:numId="17" w16cid:durableId="1092973017">
    <w:abstractNumId w:val="27"/>
  </w:num>
  <w:num w:numId="18" w16cid:durableId="727925121">
    <w:abstractNumId w:val="9"/>
  </w:num>
  <w:num w:numId="19" w16cid:durableId="873075207">
    <w:abstractNumId w:val="7"/>
  </w:num>
  <w:num w:numId="20" w16cid:durableId="417290869">
    <w:abstractNumId w:val="6"/>
  </w:num>
  <w:num w:numId="21" w16cid:durableId="163328230">
    <w:abstractNumId w:val="5"/>
  </w:num>
  <w:num w:numId="22" w16cid:durableId="1314140485">
    <w:abstractNumId w:val="4"/>
  </w:num>
  <w:num w:numId="23" w16cid:durableId="1616717139">
    <w:abstractNumId w:val="8"/>
  </w:num>
  <w:num w:numId="24" w16cid:durableId="877013175">
    <w:abstractNumId w:val="3"/>
  </w:num>
  <w:num w:numId="25" w16cid:durableId="1198813421">
    <w:abstractNumId w:val="2"/>
  </w:num>
  <w:num w:numId="26" w16cid:durableId="290744243">
    <w:abstractNumId w:val="1"/>
  </w:num>
  <w:num w:numId="27" w16cid:durableId="2125074054">
    <w:abstractNumId w:val="0"/>
  </w:num>
  <w:num w:numId="28" w16cid:durableId="630867038">
    <w:abstractNumId w:val="20"/>
  </w:num>
  <w:num w:numId="29" w16cid:durableId="228273619">
    <w:abstractNumId w:val="12"/>
  </w:num>
  <w:num w:numId="30" w16cid:durableId="1272712787">
    <w:abstractNumId w:val="19"/>
  </w:num>
  <w:num w:numId="31" w16cid:durableId="9237324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0tLQ0MDQzMjU1MjBQ0lEKTi0uzszPAykwrAUAKyzt0SwAAAA="/>
  </w:docVars>
  <w:rsids>
    <w:rsidRoot w:val="00092FB7"/>
    <w:rsid w:val="000124A5"/>
    <w:rsid w:val="00012C4F"/>
    <w:rsid w:val="00022027"/>
    <w:rsid w:val="00024565"/>
    <w:rsid w:val="0003235D"/>
    <w:rsid w:val="000669C7"/>
    <w:rsid w:val="00082B7B"/>
    <w:rsid w:val="00092FB7"/>
    <w:rsid w:val="0009513B"/>
    <w:rsid w:val="00095EA0"/>
    <w:rsid w:val="000A44C8"/>
    <w:rsid w:val="000C2147"/>
    <w:rsid w:val="000C7D98"/>
    <w:rsid w:val="00102770"/>
    <w:rsid w:val="00103310"/>
    <w:rsid w:val="00115B49"/>
    <w:rsid w:val="00122E42"/>
    <w:rsid w:val="00141FFC"/>
    <w:rsid w:val="00155160"/>
    <w:rsid w:val="001626BA"/>
    <w:rsid w:val="001629DC"/>
    <w:rsid w:val="001925C1"/>
    <w:rsid w:val="001B4A74"/>
    <w:rsid w:val="001D261C"/>
    <w:rsid w:val="001F17C0"/>
    <w:rsid w:val="00207341"/>
    <w:rsid w:val="0025701E"/>
    <w:rsid w:val="0026232A"/>
    <w:rsid w:val="002736E9"/>
    <w:rsid w:val="002A49BF"/>
    <w:rsid w:val="002B37F9"/>
    <w:rsid w:val="002C6240"/>
    <w:rsid w:val="002D06B7"/>
    <w:rsid w:val="002D26FD"/>
    <w:rsid w:val="002E4C41"/>
    <w:rsid w:val="002E6CD9"/>
    <w:rsid w:val="00312E2D"/>
    <w:rsid w:val="0033195A"/>
    <w:rsid w:val="0033434F"/>
    <w:rsid w:val="00337603"/>
    <w:rsid w:val="00340304"/>
    <w:rsid w:val="00355F34"/>
    <w:rsid w:val="003F5B77"/>
    <w:rsid w:val="00410C55"/>
    <w:rsid w:val="00411316"/>
    <w:rsid w:val="00413F7A"/>
    <w:rsid w:val="00415128"/>
    <w:rsid w:val="004167E6"/>
    <w:rsid w:val="0041688E"/>
    <w:rsid w:val="004344D1"/>
    <w:rsid w:val="00444B73"/>
    <w:rsid w:val="00455EFA"/>
    <w:rsid w:val="004650C7"/>
    <w:rsid w:val="00475A27"/>
    <w:rsid w:val="00495712"/>
    <w:rsid w:val="00495F13"/>
    <w:rsid w:val="004A0D07"/>
    <w:rsid w:val="004C5268"/>
    <w:rsid w:val="004D4496"/>
    <w:rsid w:val="004E01AE"/>
    <w:rsid w:val="004F48F0"/>
    <w:rsid w:val="005049D4"/>
    <w:rsid w:val="00514426"/>
    <w:rsid w:val="00520901"/>
    <w:rsid w:val="0054759E"/>
    <w:rsid w:val="005C2448"/>
    <w:rsid w:val="005D044D"/>
    <w:rsid w:val="005D271B"/>
    <w:rsid w:val="005E616E"/>
    <w:rsid w:val="005F761F"/>
    <w:rsid w:val="006139B2"/>
    <w:rsid w:val="00625BAF"/>
    <w:rsid w:val="00636D90"/>
    <w:rsid w:val="006448B9"/>
    <w:rsid w:val="00647580"/>
    <w:rsid w:val="00653FF3"/>
    <w:rsid w:val="006636A5"/>
    <w:rsid w:val="00664726"/>
    <w:rsid w:val="00671514"/>
    <w:rsid w:val="00676B74"/>
    <w:rsid w:val="006777D5"/>
    <w:rsid w:val="006C008F"/>
    <w:rsid w:val="006E141B"/>
    <w:rsid w:val="006E5691"/>
    <w:rsid w:val="006F1984"/>
    <w:rsid w:val="00701561"/>
    <w:rsid w:val="0071361F"/>
    <w:rsid w:val="00717255"/>
    <w:rsid w:val="0072783D"/>
    <w:rsid w:val="0073537C"/>
    <w:rsid w:val="00741C5B"/>
    <w:rsid w:val="0074299E"/>
    <w:rsid w:val="00742B9B"/>
    <w:rsid w:val="00753F18"/>
    <w:rsid w:val="00763FF3"/>
    <w:rsid w:val="007652F9"/>
    <w:rsid w:val="007752C4"/>
    <w:rsid w:val="00775F46"/>
    <w:rsid w:val="00787100"/>
    <w:rsid w:val="0079397B"/>
    <w:rsid w:val="007A591E"/>
    <w:rsid w:val="007A6301"/>
    <w:rsid w:val="007D0BFA"/>
    <w:rsid w:val="00803BC4"/>
    <w:rsid w:val="00806479"/>
    <w:rsid w:val="00816365"/>
    <w:rsid w:val="00817E96"/>
    <w:rsid w:val="00826CB4"/>
    <w:rsid w:val="00831FDC"/>
    <w:rsid w:val="00832A5A"/>
    <w:rsid w:val="00842202"/>
    <w:rsid w:val="00847FBC"/>
    <w:rsid w:val="00867192"/>
    <w:rsid w:val="00871131"/>
    <w:rsid w:val="008863B5"/>
    <w:rsid w:val="00890AFC"/>
    <w:rsid w:val="008A7A3C"/>
    <w:rsid w:val="008B31B5"/>
    <w:rsid w:val="008C5C0E"/>
    <w:rsid w:val="008C7044"/>
    <w:rsid w:val="008E0925"/>
    <w:rsid w:val="00907542"/>
    <w:rsid w:val="009166E1"/>
    <w:rsid w:val="00921213"/>
    <w:rsid w:val="009344BF"/>
    <w:rsid w:val="009370FC"/>
    <w:rsid w:val="009416D6"/>
    <w:rsid w:val="009469D2"/>
    <w:rsid w:val="009714E5"/>
    <w:rsid w:val="00976394"/>
    <w:rsid w:val="00980CDE"/>
    <w:rsid w:val="00994977"/>
    <w:rsid w:val="009979B5"/>
    <w:rsid w:val="009A2C9B"/>
    <w:rsid w:val="009A2E6B"/>
    <w:rsid w:val="009B6144"/>
    <w:rsid w:val="009C1D53"/>
    <w:rsid w:val="00A00FBE"/>
    <w:rsid w:val="00A21DD2"/>
    <w:rsid w:val="00A41DD0"/>
    <w:rsid w:val="00A50900"/>
    <w:rsid w:val="00A514EB"/>
    <w:rsid w:val="00A563C7"/>
    <w:rsid w:val="00A57977"/>
    <w:rsid w:val="00A654CA"/>
    <w:rsid w:val="00A66C90"/>
    <w:rsid w:val="00A8170F"/>
    <w:rsid w:val="00A91EB5"/>
    <w:rsid w:val="00AA1460"/>
    <w:rsid w:val="00AC4AD7"/>
    <w:rsid w:val="00AD3D11"/>
    <w:rsid w:val="00AF19CE"/>
    <w:rsid w:val="00AF2B53"/>
    <w:rsid w:val="00B34D84"/>
    <w:rsid w:val="00B54B88"/>
    <w:rsid w:val="00B66BFE"/>
    <w:rsid w:val="00BB6B81"/>
    <w:rsid w:val="00BC1FDB"/>
    <w:rsid w:val="00BC33B4"/>
    <w:rsid w:val="00BD6C0B"/>
    <w:rsid w:val="00C22D6C"/>
    <w:rsid w:val="00C60E38"/>
    <w:rsid w:val="00C623F1"/>
    <w:rsid w:val="00C84ACD"/>
    <w:rsid w:val="00CA7B14"/>
    <w:rsid w:val="00CD4514"/>
    <w:rsid w:val="00CF6BFB"/>
    <w:rsid w:val="00D040F2"/>
    <w:rsid w:val="00D22096"/>
    <w:rsid w:val="00D407BA"/>
    <w:rsid w:val="00D4360A"/>
    <w:rsid w:val="00D47122"/>
    <w:rsid w:val="00D5213E"/>
    <w:rsid w:val="00D71389"/>
    <w:rsid w:val="00D83022"/>
    <w:rsid w:val="00D911F5"/>
    <w:rsid w:val="00DA1127"/>
    <w:rsid w:val="00DA244D"/>
    <w:rsid w:val="00DA458A"/>
    <w:rsid w:val="00DC210F"/>
    <w:rsid w:val="00DC2240"/>
    <w:rsid w:val="00DC6716"/>
    <w:rsid w:val="00DC7988"/>
    <w:rsid w:val="00DD2CE8"/>
    <w:rsid w:val="00DD68CA"/>
    <w:rsid w:val="00DE19A1"/>
    <w:rsid w:val="00DE1A09"/>
    <w:rsid w:val="00DE5455"/>
    <w:rsid w:val="00DF012B"/>
    <w:rsid w:val="00DF109B"/>
    <w:rsid w:val="00E07386"/>
    <w:rsid w:val="00E14A1A"/>
    <w:rsid w:val="00E17F1A"/>
    <w:rsid w:val="00E45C46"/>
    <w:rsid w:val="00E6395C"/>
    <w:rsid w:val="00E645B4"/>
    <w:rsid w:val="00E75734"/>
    <w:rsid w:val="00E90C56"/>
    <w:rsid w:val="00EC5E44"/>
    <w:rsid w:val="00ED1552"/>
    <w:rsid w:val="00EE3FBE"/>
    <w:rsid w:val="00EE5A96"/>
    <w:rsid w:val="00EF273F"/>
    <w:rsid w:val="00EF49B3"/>
    <w:rsid w:val="00F1219B"/>
    <w:rsid w:val="00F15118"/>
    <w:rsid w:val="00F205F5"/>
    <w:rsid w:val="00F547E0"/>
    <w:rsid w:val="00F76813"/>
    <w:rsid w:val="00F830DA"/>
    <w:rsid w:val="00F83892"/>
    <w:rsid w:val="00F8473D"/>
    <w:rsid w:val="00F84BFF"/>
    <w:rsid w:val="00F8789D"/>
    <w:rsid w:val="00F93AEE"/>
    <w:rsid w:val="00FC019B"/>
    <w:rsid w:val="00FD353E"/>
    <w:rsid w:val="00FE1C56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8C79EB5"/>
  <w15:docId w15:val="{1EE48871-8C13-4EA1-A51D-E5B3C67E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C4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C210F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DC210F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DC210F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9714E5"/>
    <w:pPr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DC210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E569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D68CA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CD4514"/>
    <w:pPr>
      <w:spacing w:before="80"/>
      <w:ind w:left="794" w:hanging="794"/>
    </w:pPr>
    <w:rPr>
      <w:szCs w:val="20"/>
      <w:lang w:val="en-GB"/>
    </w:rPr>
  </w:style>
  <w:style w:type="character" w:customStyle="1" w:styleId="enumlev1Char">
    <w:name w:val="enumlev1 Char"/>
    <w:basedOn w:val="DefaultParagraphFont"/>
    <w:link w:val="enumlev1"/>
    <w:rsid w:val="00CD4514"/>
    <w:rPr>
      <w:rFonts w:asciiTheme="minorHAnsi" w:hAnsiTheme="minorHAnsi"/>
      <w:sz w:val="22"/>
      <w:lang w:val="en-GB" w:eastAsia="en-US"/>
    </w:rPr>
  </w:style>
  <w:style w:type="paragraph" w:customStyle="1" w:styleId="Headingb">
    <w:name w:val="Heading_b"/>
    <w:basedOn w:val="Normal"/>
    <w:next w:val="Normal"/>
    <w:qFormat/>
    <w:rsid w:val="00DC210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Calibri" w:eastAsia="SimSun" w:hAnsi="Calibri"/>
      <w:b/>
      <w:sz w:val="24"/>
      <w:szCs w:val="20"/>
      <w:lang w:val="en-GB"/>
    </w:rPr>
  </w:style>
  <w:style w:type="paragraph" w:customStyle="1" w:styleId="AnnexNotitle">
    <w:name w:val="Annex_No &amp; title"/>
    <w:basedOn w:val="Normal"/>
    <w:next w:val="Normal"/>
    <w:rsid w:val="00DC210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14E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C210F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eastAsiaTheme="minorEastAsia" w:hAnsi="Times New Roman"/>
      <w:sz w:val="24"/>
      <w:lang w:val="en-GB" w:eastAsia="ja-JP"/>
    </w:rPr>
  </w:style>
  <w:style w:type="character" w:customStyle="1" w:styleId="AnnexNoChar">
    <w:name w:val="Annex_No Char"/>
    <w:basedOn w:val="DefaultParagraphFont"/>
    <w:link w:val="AnnexNo"/>
    <w:rsid w:val="00DC210F"/>
    <w:rPr>
      <w:rFonts w:asciiTheme="minorHAnsi" w:hAnsiTheme="minorHAnsi"/>
      <w:caps/>
      <w:sz w:val="26"/>
      <w:lang w:val="en-GB" w:eastAsia="en-US"/>
    </w:rPr>
  </w:style>
  <w:style w:type="paragraph" w:customStyle="1" w:styleId="Annextitle0">
    <w:name w:val="Annex_title"/>
    <w:basedOn w:val="Normal"/>
    <w:next w:val="Normal"/>
    <w:link w:val="AnnextitleChar"/>
    <w:rsid w:val="00DC210F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customStyle="1" w:styleId="AnnextitleChar">
    <w:name w:val="Annex_title Char"/>
    <w:basedOn w:val="DefaultParagraphFont"/>
    <w:link w:val="Annextitle0"/>
    <w:rsid w:val="00DC210F"/>
    <w:rPr>
      <w:rFonts w:ascii="Calibri" w:hAnsi="Calibri"/>
      <w:b/>
      <w:sz w:val="26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2E6CD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ITU-T/ssc/Pages/1st-forum-metaverse.aspx" TargetMode="External"/><Relationship Id="rId18" Type="http://schemas.openxmlformats.org/officeDocument/2006/relationships/hyperlink" Target="http://www.itu.int/go/fgmv" TargetMode="External"/><Relationship Id="rId26" Type="http://schemas.openxmlformats.org/officeDocument/2006/relationships/hyperlink" Target="https://www.itu.int/en/ITU-T/studygroups/2022-2024/11/Pages/defaul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go/fgmv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rec/T-REC-A.7" TargetMode="External"/><Relationship Id="rId17" Type="http://schemas.openxmlformats.org/officeDocument/2006/relationships/hyperlink" Target="http://www.itu.int/go/fgmv" TargetMode="External"/><Relationship Id="rId25" Type="http://schemas.openxmlformats.org/officeDocument/2006/relationships/hyperlink" Target="https://www.itu.int/ru/ITU-T/studygroups/2022-2024/09/Pages/default.aspx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mv" TargetMode="External"/><Relationship Id="rId20" Type="http://schemas.openxmlformats.org/officeDocument/2006/relationships/hyperlink" Target="mailto:tsbfgmv@itu.int" TargetMode="External"/><Relationship Id="rId29" Type="http://schemas.openxmlformats.org/officeDocument/2006/relationships/hyperlink" Target="https://www.itu.int/ru/ITU-T/studygroups/2022-2024/16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T/focusgroups/mv/Pages/reg.aspx" TargetMode="External"/><Relationship Id="rId24" Type="http://schemas.openxmlformats.org/officeDocument/2006/relationships/hyperlink" Target="https://www.itu.int/ru/ITU-T/studygroups/2022-2024/05/Pages/default.aspx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ai4a" TargetMode="External"/><Relationship Id="rId23" Type="http://schemas.openxmlformats.org/officeDocument/2006/relationships/hyperlink" Target="https://www.itu.int/en/ITU-T/studygroups/2022-2024/03/Pages/default.aspx" TargetMode="External"/><Relationship Id="rId28" Type="http://schemas.openxmlformats.org/officeDocument/2006/relationships/hyperlink" Target="https://www.itu.int/en/ITU-T/studygroups/2022-2024/13/Pages/default.asp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tu.int/go/fgmv" TargetMode="External"/><Relationship Id="rId19" Type="http://schemas.openxmlformats.org/officeDocument/2006/relationships/hyperlink" Target="http://www.itu.int/go/fgmv" TargetMode="External"/><Relationship Id="rId31" Type="http://schemas.openxmlformats.org/officeDocument/2006/relationships/hyperlink" Target="https://www.itu.int/ru/ITU-T/studygroups/2022-2024/20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mv@itu.int" TargetMode="External"/><Relationship Id="rId14" Type="http://schemas.openxmlformats.org/officeDocument/2006/relationships/hyperlink" Target="mailto:tsbfgmv@itu.int" TargetMode="External"/><Relationship Id="rId22" Type="http://schemas.openxmlformats.org/officeDocument/2006/relationships/hyperlink" Target="https://www.itu.int/ru/ITU-T/studygroups/2022-2024/02/Pages/default.aspx" TargetMode="External"/><Relationship Id="rId27" Type="http://schemas.openxmlformats.org/officeDocument/2006/relationships/hyperlink" Target="https://www.itu.int/en/ITU-T/studygroups/2022-2024/12/Pages/default.aspx" TargetMode="External"/><Relationship Id="rId30" Type="http://schemas.openxmlformats.org/officeDocument/2006/relationships/hyperlink" Target="https://www.itu.int/ru/ITU-T/studygroups/2022-2024/17/Pages/default.aspx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oomberg.com/professional/blog/metaverse-may-be-800-billion-market-next-tech-platfor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PR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FF09-EB72-4E57-85C3-C43697F9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PR_TSB_Circular.dotx</Template>
  <TotalTime>0</TotalTime>
  <Pages>7</Pages>
  <Words>1908</Words>
  <Characters>14935</Characters>
  <Application>Microsoft Office Word</Application>
  <DocSecurity>0</DocSecurity>
  <Lines>124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16810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Rudometova, Alisa</dc:creator>
  <cp:lastModifiedBy>Maguire, Mairéad</cp:lastModifiedBy>
  <cp:revision>2</cp:revision>
  <cp:lastPrinted>2013-04-05T10:18:00Z</cp:lastPrinted>
  <dcterms:created xsi:type="dcterms:W3CDTF">2023-01-26T10:29:00Z</dcterms:created>
  <dcterms:modified xsi:type="dcterms:W3CDTF">2023-01-26T10:29:00Z</dcterms:modified>
</cp:coreProperties>
</file>