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EA67784" w14:textId="77777777" w:rsidTr="00D517B2">
        <w:trPr>
          <w:cantSplit/>
          <w:trHeight w:val="1134"/>
        </w:trPr>
        <w:tc>
          <w:tcPr>
            <w:tcW w:w="798" w:type="pct"/>
          </w:tcPr>
          <w:p w14:paraId="5B0B9BD9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115D1D9" wp14:editId="6D2068BE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766B41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A18A608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54A4B53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6343F165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090A5DB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08378732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79FAB0E9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1E3897E8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C28503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3199F28C" w14:textId="4518723A" w:rsidR="00D517B2" w:rsidRPr="00F4618B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 xml:space="preserve">جنيف، </w:t>
            </w:r>
            <w:r w:rsidR="00BB69D1">
              <w:rPr>
                <w:position w:val="2"/>
              </w:rPr>
              <w:t>10</w:t>
            </w:r>
            <w:r w:rsidR="00AD072F" w:rsidRPr="00F4618B">
              <w:rPr>
                <w:position w:val="2"/>
                <w:rtl/>
                <w:lang w:bidi="ar-AE"/>
              </w:rPr>
              <w:t xml:space="preserve"> </w:t>
            </w:r>
            <w:r w:rsidR="00BB69D1">
              <w:rPr>
                <w:rFonts w:hint="cs"/>
                <w:position w:val="2"/>
                <w:rtl/>
                <w:lang w:bidi="ar-AE"/>
              </w:rPr>
              <w:t>فبراير</w:t>
            </w:r>
            <w:r w:rsidR="00AD072F" w:rsidRPr="00F4618B">
              <w:rPr>
                <w:position w:val="2"/>
                <w:rtl/>
                <w:lang w:bidi="ar-AE"/>
              </w:rPr>
              <w:t xml:space="preserve"> </w:t>
            </w:r>
            <w:r w:rsidR="00BB69D1">
              <w:rPr>
                <w:position w:val="2"/>
                <w:lang w:bidi="ar-AE"/>
              </w:rPr>
              <w:t>2023</w:t>
            </w:r>
          </w:p>
        </w:tc>
      </w:tr>
      <w:tr w:rsidR="00954870" w:rsidRPr="00D517B2" w14:paraId="2245F061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2161C27F" w14:textId="77777777" w:rsidR="00954870" w:rsidRPr="00A9156F" w:rsidRDefault="0095487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F257356" w14:textId="79EC1CA6" w:rsidR="00954870" w:rsidRPr="007838D0" w:rsidRDefault="00954870" w:rsidP="00D517B2">
            <w:pPr>
              <w:spacing w:before="80" w:after="60" w:line="300" w:lineRule="exact"/>
              <w:jc w:val="left"/>
              <w:rPr>
                <w:b/>
                <w:spacing w:val="-6"/>
                <w:position w:val="2"/>
              </w:rPr>
            </w:pPr>
            <w:r w:rsidRPr="007838D0">
              <w:rPr>
                <w:b/>
                <w:bCs/>
                <w:spacing w:val="-6"/>
                <w:rtl/>
              </w:rPr>
              <w:t xml:space="preserve">الرسالة المعممة </w:t>
            </w:r>
            <w:r w:rsidR="00BB69D1" w:rsidRPr="007838D0">
              <w:rPr>
                <w:rFonts w:hint="cs"/>
                <w:bCs/>
                <w:spacing w:val="-6"/>
                <w:position w:val="2"/>
                <w:rtl/>
              </w:rPr>
              <w:t>75</w:t>
            </w:r>
            <w:r w:rsidRPr="007838D0">
              <w:rPr>
                <w:b/>
                <w:bCs/>
                <w:spacing w:val="-6"/>
                <w:rtl/>
              </w:rPr>
              <w:t xml:space="preserve"> لمكتب</w:t>
            </w:r>
            <w:r w:rsidR="00AE478B" w:rsidRPr="007838D0">
              <w:rPr>
                <w:rFonts w:hint="eastAsia"/>
                <w:b/>
                <w:bCs/>
                <w:spacing w:val="-6"/>
                <w:rtl/>
              </w:rPr>
              <w:t> </w:t>
            </w:r>
            <w:r w:rsidRPr="007838D0">
              <w:rPr>
                <w:b/>
                <w:bCs/>
                <w:spacing w:val="-6"/>
                <w:rtl/>
              </w:rPr>
              <w:t>تقييس الاتصالات</w:t>
            </w:r>
          </w:p>
          <w:p w14:paraId="3E6F52AF" w14:textId="7E0A8BB3" w:rsidR="00954870" w:rsidRPr="00AE478B" w:rsidRDefault="00954870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AE478B">
              <w:rPr>
                <w:b/>
                <w:position w:val="2"/>
              </w:rPr>
              <w:t>SG20/CB</w:t>
            </w:r>
          </w:p>
        </w:tc>
        <w:tc>
          <w:tcPr>
            <w:tcW w:w="2206" w:type="pct"/>
            <w:vMerge w:val="restart"/>
          </w:tcPr>
          <w:p w14:paraId="4FC3E787" w14:textId="77777777" w:rsidR="00954870" w:rsidRPr="00F4618B" w:rsidRDefault="00954870" w:rsidP="00AE478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F4618B">
              <w:rPr>
                <w:b/>
                <w:bCs/>
                <w:position w:val="2"/>
                <w:rtl/>
              </w:rPr>
              <w:t>إلى:</w:t>
            </w:r>
          </w:p>
          <w:p w14:paraId="442391E7" w14:textId="73A987D3" w:rsidR="00954870" w:rsidRPr="00F4618B" w:rsidRDefault="00954870" w:rsidP="00AE478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  <w:t>إدارات الدول الأعضاء في الاتحاد</w:t>
            </w:r>
          </w:p>
          <w:p w14:paraId="23A13698" w14:textId="77777777" w:rsidR="00954870" w:rsidRPr="00F4618B" w:rsidRDefault="00954870" w:rsidP="00AE478B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</w:rPr>
            </w:pPr>
            <w:r w:rsidRPr="00F4618B">
              <w:rPr>
                <w:b/>
                <w:bCs/>
                <w:position w:val="2"/>
                <w:rtl/>
              </w:rPr>
              <w:t>نسخة إلى:</w:t>
            </w:r>
          </w:p>
          <w:p w14:paraId="7AB8195E" w14:textId="77777777" w:rsidR="00954870" w:rsidRPr="00F4618B" w:rsidRDefault="00954870" w:rsidP="00AE478B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</w:r>
            <w:r w:rsidRPr="00F4618B">
              <w:rPr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03B2152D" w14:textId="4BFA63A8" w:rsidR="00954870" w:rsidRPr="00BF54C9" w:rsidRDefault="00954870" w:rsidP="0011588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</w:r>
            <w:r w:rsidRPr="00BF54C9">
              <w:rPr>
                <w:rtl/>
              </w:rPr>
              <w:t xml:space="preserve">المنتسبين إلى لجنة الدراسات </w:t>
            </w:r>
            <w:r w:rsidRPr="00BF54C9">
              <w:rPr>
                <w:szCs w:val="20"/>
              </w:rPr>
              <w:t>20</w:t>
            </w:r>
            <w:r w:rsidRPr="00BF54C9">
              <w:rPr>
                <w:rtl/>
              </w:rPr>
              <w:t xml:space="preserve"> لقطاع تقييس الاتصالات</w:t>
            </w:r>
            <w:r w:rsidRPr="00BF54C9">
              <w:rPr>
                <w:position w:val="2"/>
                <w:rtl/>
              </w:rPr>
              <w:t>؛</w:t>
            </w:r>
          </w:p>
          <w:p w14:paraId="1A8B1DE5" w14:textId="30CF080B" w:rsidR="00954870" w:rsidRPr="00F4618B" w:rsidRDefault="00954870" w:rsidP="0011588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  <w:t>الهيئات الأكاديمية المنضمة إلى</w:t>
            </w:r>
            <w:r w:rsidRPr="00F4618B">
              <w:rPr>
                <w:position w:val="2"/>
                <w:rtl/>
                <w:lang w:bidi="ar-EG"/>
              </w:rPr>
              <w:t xml:space="preserve"> الاتحاد</w:t>
            </w:r>
            <w:r w:rsidR="003A2C32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6606A75E" w14:textId="17A954EE" w:rsidR="00954870" w:rsidRPr="00F4618B" w:rsidRDefault="00954870" w:rsidP="0011588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F4618B">
              <w:rPr>
                <w:position w:val="2"/>
                <w:rtl/>
              </w:rPr>
              <w:t>-</w:t>
            </w:r>
            <w:r w:rsidRPr="00F4618B">
              <w:rPr>
                <w:position w:val="2"/>
                <w:rtl/>
              </w:rPr>
              <w:tab/>
            </w:r>
            <w:r w:rsidRPr="00F4618B">
              <w:rPr>
                <w:rtl/>
              </w:rPr>
              <w:t xml:space="preserve">رئيس لجنة الدراسات </w:t>
            </w:r>
            <w:r w:rsidRPr="00F4618B">
              <w:rPr>
                <w:szCs w:val="20"/>
              </w:rPr>
              <w:t>20</w:t>
            </w:r>
            <w:r w:rsidRPr="00F4618B">
              <w:rPr>
                <w:rtl/>
              </w:rPr>
              <w:t xml:space="preserve"> لقطاع تقييس الاتصالات ونوابه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>؛</w:t>
            </w:r>
          </w:p>
          <w:p w14:paraId="284F9E70" w14:textId="11745C86" w:rsidR="00954870" w:rsidRPr="00F4618B" w:rsidRDefault="00954870" w:rsidP="0011588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jc w:val="left"/>
              <w:rPr>
                <w:rFonts w:eastAsia="Times New Roman"/>
                <w:position w:val="2"/>
                <w:rtl/>
                <w:lang w:eastAsia="en-US"/>
              </w:rPr>
            </w:pPr>
            <w:r w:rsidRPr="00F4618B">
              <w:rPr>
                <w:rFonts w:eastAsia="Times New Roman"/>
                <w:position w:val="2"/>
                <w:rtl/>
                <w:lang w:eastAsia="en-US"/>
              </w:rPr>
              <w:t>-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042717">
              <w:rPr>
                <w:rFonts w:eastAsia="Times New Roman"/>
                <w:position w:val="2"/>
                <w:rtl/>
                <w:lang w:eastAsia="en-US"/>
              </w:rPr>
              <w:t>مدير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الاتصالات؛</w:t>
            </w:r>
          </w:p>
          <w:p w14:paraId="5E634B20" w14:textId="117DE7A3" w:rsidR="00954870" w:rsidRPr="00F4618B" w:rsidRDefault="00954870" w:rsidP="0011588E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F4618B">
              <w:rPr>
                <w:rFonts w:eastAsia="Times New Roman"/>
                <w:position w:val="2"/>
                <w:rtl/>
                <w:lang w:eastAsia="en-US"/>
              </w:rPr>
              <w:t>-</w:t>
            </w:r>
            <w:r w:rsidRPr="00F4618B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954870" w:rsidRPr="00D517B2" w14:paraId="4A957885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0238656" w14:textId="77777777" w:rsidR="00954870" w:rsidRPr="00A9156F" w:rsidRDefault="0095487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DE58DED" w14:textId="3070ADB8" w:rsidR="00954870" w:rsidRPr="00D517B2" w:rsidRDefault="00954870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6301</w:t>
            </w:r>
          </w:p>
        </w:tc>
        <w:tc>
          <w:tcPr>
            <w:tcW w:w="2206" w:type="pct"/>
            <w:vMerge/>
          </w:tcPr>
          <w:p w14:paraId="0A827A2B" w14:textId="2110BF64" w:rsidR="00954870" w:rsidRPr="00F4618B" w:rsidRDefault="00954870" w:rsidP="00E94C7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954870" w:rsidRPr="00D517B2" w14:paraId="6CD5951E" w14:textId="77777777" w:rsidTr="00782D8D">
        <w:trPr>
          <w:cantSplit/>
          <w:trHeight w:val="567"/>
          <w:jc w:val="center"/>
        </w:trPr>
        <w:tc>
          <w:tcPr>
            <w:tcW w:w="796" w:type="pct"/>
          </w:tcPr>
          <w:p w14:paraId="633D694B" w14:textId="77777777" w:rsidR="00954870" w:rsidRPr="00A9156F" w:rsidRDefault="00954870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45FD606D" w14:textId="77777777" w:rsidR="00954870" w:rsidRPr="00D517B2" w:rsidRDefault="00954870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24690AF1" w14:textId="3234ABE1" w:rsidR="00954870" w:rsidRPr="00F4618B" w:rsidRDefault="00954870" w:rsidP="00E94C7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954870" w:rsidRPr="00D517B2" w14:paraId="79B460E5" w14:textId="77777777" w:rsidTr="00D517B2">
        <w:trPr>
          <w:cantSplit/>
          <w:jc w:val="center"/>
        </w:trPr>
        <w:tc>
          <w:tcPr>
            <w:tcW w:w="796" w:type="pct"/>
          </w:tcPr>
          <w:p w14:paraId="58C68A5F" w14:textId="77777777" w:rsidR="00954870" w:rsidRPr="00A9156F" w:rsidRDefault="00954870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53B73CB2" w14:textId="2329B9DC" w:rsidR="00954870" w:rsidRPr="006E1BAD" w:rsidRDefault="00F70248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954870" w:rsidRPr="003212A7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2206" w:type="pct"/>
            <w:vMerge/>
          </w:tcPr>
          <w:p w14:paraId="59465193" w14:textId="7ABABAE8" w:rsidR="00954870" w:rsidRPr="00F4618B" w:rsidRDefault="00954870" w:rsidP="00CE1C0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</w:p>
        </w:tc>
      </w:tr>
      <w:tr w:rsidR="00CE1C08" w:rsidRPr="00D517B2" w14:paraId="1F7B0617" w14:textId="77777777" w:rsidTr="00D517B2">
        <w:trPr>
          <w:cantSplit/>
          <w:jc w:val="center"/>
        </w:trPr>
        <w:tc>
          <w:tcPr>
            <w:tcW w:w="796" w:type="pct"/>
          </w:tcPr>
          <w:p w14:paraId="17F631FF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AE8C067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E2A152C" w14:textId="77777777" w:rsidR="00CE1C08" w:rsidRPr="00D517B2" w:rsidRDefault="00CE1C08" w:rsidP="00CE1C08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C7052C" w14:paraId="51852F40" w14:textId="77777777" w:rsidTr="00D517B2">
        <w:trPr>
          <w:cantSplit/>
          <w:jc w:val="center"/>
        </w:trPr>
        <w:tc>
          <w:tcPr>
            <w:tcW w:w="796" w:type="pct"/>
          </w:tcPr>
          <w:p w14:paraId="4DA5504F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A06CA21" w14:textId="04149C29" w:rsidR="001F5D04" w:rsidRPr="002A52BB" w:rsidRDefault="00A364B9" w:rsidP="005C1C78">
            <w:pPr>
              <w:spacing w:before="80" w:after="60" w:line="300" w:lineRule="exact"/>
              <w:rPr>
                <w:spacing w:val="-6"/>
                <w:position w:val="2"/>
                <w:rtl/>
              </w:rPr>
            </w:pPr>
            <w:r w:rsidRPr="002A52BB">
              <w:rPr>
                <w:b/>
                <w:bCs/>
                <w:spacing w:val="-6"/>
                <w:rtl/>
              </w:rPr>
              <w:t>حالة التوصيتين</w:t>
            </w:r>
            <w:r w:rsidR="001F5D04" w:rsidRPr="002A52BB">
              <w:rPr>
                <w:b/>
                <w:bCs/>
                <w:spacing w:val="-6"/>
                <w:rtl/>
              </w:rPr>
              <w:t xml:space="preserve"> ITU-T Y.4601 (التوصية</w:t>
            </w:r>
            <w:r w:rsidR="00851722">
              <w:rPr>
                <w:rFonts w:hint="cs"/>
                <w:b/>
                <w:spacing w:val="-6"/>
                <w:rtl/>
                <w:lang w:bidi="ar-EG"/>
              </w:rPr>
              <w:t xml:space="preserve"> </w:t>
            </w:r>
            <w:r w:rsidR="00AE478B" w:rsidRPr="002A52BB">
              <w:rPr>
                <w:b/>
                <w:spacing w:val="-6"/>
              </w:rPr>
              <w:t>Y.dt-</w:t>
            </w:r>
            <w:r w:rsidR="00042717" w:rsidRPr="002A52BB">
              <w:rPr>
                <w:b/>
              </w:rPr>
              <w:t>smartfirefighting</w:t>
            </w:r>
            <w:r w:rsidR="00851722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</w:t>
            </w:r>
            <w:r w:rsidR="001F5D04" w:rsidRPr="002A52BB">
              <w:rPr>
                <w:b/>
                <w:bCs/>
                <w:spacing w:val="-6"/>
                <w:rtl/>
              </w:rPr>
              <w:t xml:space="preserve">سابقاً) والتوصية </w:t>
            </w:r>
            <w:r w:rsidR="00AE478B" w:rsidRPr="002A52BB">
              <w:rPr>
                <w:b/>
                <w:bCs/>
                <w:spacing w:val="-6"/>
              </w:rPr>
              <w:t>ITU</w:t>
            </w:r>
            <w:r w:rsidR="00AE478B" w:rsidRPr="002A52BB">
              <w:rPr>
                <w:b/>
                <w:bCs/>
                <w:spacing w:val="-6"/>
              </w:rPr>
              <w:noBreakHyphen/>
              <w:t>T Y.4500.3</w:t>
            </w:r>
            <w:r w:rsidR="001F5D04" w:rsidRPr="002A52BB">
              <w:rPr>
                <w:b/>
                <w:bCs/>
                <w:spacing w:val="-6"/>
                <w:rtl/>
              </w:rPr>
              <w:t xml:space="preserve"> </w:t>
            </w:r>
            <w:r w:rsidR="001F5D04" w:rsidRPr="002A52BB">
              <w:rPr>
                <w:b/>
                <w:bCs/>
                <w:rtl/>
              </w:rPr>
              <w:t xml:space="preserve">(التوصية </w:t>
            </w:r>
            <w:r w:rsidR="00B82B63" w:rsidRPr="002A52BB">
              <w:rPr>
                <w:b/>
              </w:rPr>
              <w:t>Y.oneM2M.SEC.SOL</w:t>
            </w:r>
            <w:r w:rsidR="005C1C78" w:rsidRPr="002A52BB">
              <w:rPr>
                <w:b/>
                <w:bCs/>
                <w:rtl/>
              </w:rPr>
              <w:t xml:space="preserve"> سابقاً</w:t>
            </w:r>
            <w:r w:rsidR="001F5D04" w:rsidRPr="002A52BB">
              <w:rPr>
                <w:b/>
                <w:bCs/>
                <w:rtl/>
              </w:rPr>
              <w:t xml:space="preserve">) </w:t>
            </w:r>
            <w:r w:rsidRPr="002A52BB">
              <w:rPr>
                <w:b/>
                <w:bCs/>
                <w:rtl/>
              </w:rPr>
              <w:t>بعد</w:t>
            </w:r>
            <w:r w:rsidR="001F5D04" w:rsidRPr="002A52BB">
              <w:rPr>
                <w:b/>
                <w:bCs/>
                <w:rtl/>
              </w:rPr>
              <w:t xml:space="preserve"> اجتماع لجنة الدراسات </w:t>
            </w:r>
            <w:r w:rsidR="001F5D04" w:rsidRPr="002A52BB">
              <w:rPr>
                <w:b/>
                <w:bCs/>
              </w:rPr>
              <w:t>20</w:t>
            </w:r>
            <w:r w:rsidR="001F5D04" w:rsidRPr="002A52BB">
              <w:rPr>
                <w:b/>
                <w:bCs/>
                <w:rtl/>
                <w:lang w:bidi="ar-AE"/>
              </w:rPr>
              <w:t xml:space="preserve"> </w:t>
            </w:r>
            <w:r w:rsidR="001F5D04" w:rsidRPr="002A52BB">
              <w:rPr>
                <w:b/>
                <w:bCs/>
                <w:rtl/>
              </w:rPr>
              <w:t>لقطاع تقييس الاتصالات</w:t>
            </w:r>
            <w:r w:rsidRPr="002A52BB">
              <w:rPr>
                <w:b/>
                <w:bCs/>
                <w:rtl/>
              </w:rPr>
              <w:br/>
            </w:r>
            <w:r w:rsidR="001F5D04" w:rsidRPr="002A52BB">
              <w:rPr>
                <w:b/>
                <w:bCs/>
                <w:rtl/>
              </w:rPr>
              <w:t xml:space="preserve">(جنيف، </w:t>
            </w:r>
            <w:r w:rsidR="001F5D04" w:rsidRPr="002A52BB">
              <w:rPr>
                <w:b/>
                <w:bCs/>
              </w:rPr>
              <w:t>30</w:t>
            </w:r>
            <w:r w:rsidR="001F5D04" w:rsidRPr="002A52BB">
              <w:rPr>
                <w:b/>
                <w:bCs/>
                <w:rtl/>
              </w:rPr>
              <w:t xml:space="preserve"> يناير - </w:t>
            </w:r>
            <w:r w:rsidR="001F5D04" w:rsidRPr="002A52BB">
              <w:rPr>
                <w:b/>
                <w:bCs/>
              </w:rPr>
              <w:t>10</w:t>
            </w:r>
            <w:r w:rsidR="001F5D04" w:rsidRPr="002A52BB">
              <w:rPr>
                <w:b/>
                <w:bCs/>
                <w:rtl/>
              </w:rPr>
              <w:t xml:space="preserve"> فبراير </w:t>
            </w:r>
            <w:bookmarkStart w:id="0" w:name="_Hlk46831557"/>
            <w:bookmarkEnd w:id="0"/>
            <w:r w:rsidR="001F5D04" w:rsidRPr="002A52BB">
              <w:rPr>
                <w:b/>
                <w:bCs/>
              </w:rPr>
              <w:t>2023</w:t>
            </w:r>
            <w:r w:rsidR="001F5D04" w:rsidRPr="002A52BB">
              <w:rPr>
                <w:b/>
                <w:bCs/>
                <w:rtl/>
              </w:rPr>
              <w:t>)</w:t>
            </w:r>
          </w:p>
        </w:tc>
      </w:tr>
    </w:tbl>
    <w:p w14:paraId="7D728D3A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EA0E840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23245196" w14:textId="15DDC970" w:rsidR="00975A49" w:rsidRDefault="00975A49" w:rsidP="00975A49">
      <w:pPr>
        <w:spacing w:after="120"/>
        <w:rPr>
          <w:lang w:bidi="ar-EG"/>
        </w:rPr>
      </w:pPr>
      <w:r w:rsidRPr="009304C2">
        <w:t>1</w:t>
      </w:r>
      <w:r w:rsidRPr="009304C2">
        <w:rPr>
          <w:rtl/>
          <w:lang w:bidi="ar-EG"/>
        </w:rPr>
        <w:tab/>
      </w:r>
      <w:r w:rsidRPr="009304C2">
        <w:rPr>
          <w:rFonts w:hint="cs"/>
          <w:rtl/>
        </w:rPr>
        <w:t xml:space="preserve">إلحاقاً </w:t>
      </w:r>
      <w:hyperlink r:id="rId10" w:history="1">
        <w:r w:rsidRPr="00042717">
          <w:rPr>
            <w:rStyle w:val="Hyperlink"/>
            <w:rFonts w:hint="cs"/>
            <w:rtl/>
          </w:rPr>
          <w:t>بالرسالة المعممة</w:t>
        </w:r>
        <w:r w:rsidRPr="00042717">
          <w:rPr>
            <w:rStyle w:val="Hyperlink"/>
            <w:rFonts w:hint="eastAsia"/>
            <w:rtl/>
          </w:rPr>
          <w:t> </w:t>
        </w:r>
        <w:r w:rsidR="003A2C32" w:rsidRPr="00042717">
          <w:rPr>
            <w:rStyle w:val="Hyperlink"/>
          </w:rPr>
          <w:t>37</w:t>
        </w:r>
      </w:hyperlink>
      <w:r>
        <w:rPr>
          <w:rFonts w:hint="cs"/>
          <w:rtl/>
        </w:rPr>
        <w:t xml:space="preserve"> </w:t>
      </w:r>
      <w:r w:rsidRPr="009304C2">
        <w:rPr>
          <w:rFonts w:hint="cs"/>
          <w:rtl/>
        </w:rPr>
        <w:t xml:space="preserve">لمكتب تقييس الاتصالات المؤرخة </w:t>
      </w:r>
      <w:r w:rsidR="008C013D">
        <w:rPr>
          <w:lang w:bidi="ar-EG"/>
        </w:rPr>
        <w:t>14</w:t>
      </w:r>
      <w:r w:rsidRPr="009304C2">
        <w:rPr>
          <w:rFonts w:hint="eastAsia"/>
          <w:rtl/>
        </w:rPr>
        <w:t> </w:t>
      </w:r>
      <w:r w:rsidR="008C013D">
        <w:rPr>
          <w:rFonts w:hint="cs"/>
          <w:rtl/>
        </w:rPr>
        <w:t>سبتمبر</w:t>
      </w:r>
      <w:r w:rsidRPr="009304C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2022</w:t>
      </w:r>
      <w:r w:rsidRPr="009304C2">
        <w:rPr>
          <w:rFonts w:hint="cs"/>
          <w:rtl/>
          <w:lang w:bidi="ar-EG"/>
        </w:rPr>
        <w:t xml:space="preserve">، وعملاً </w:t>
      </w:r>
      <w:r w:rsidRPr="003A2C32">
        <w:rPr>
          <w:rFonts w:hint="cs"/>
          <w:rtl/>
          <w:lang w:bidi="ar-EG"/>
        </w:rPr>
        <w:t>بالفقرة</w:t>
      </w:r>
      <w:r w:rsidRPr="009304C2">
        <w:rPr>
          <w:rFonts w:hint="eastAsia"/>
          <w:rtl/>
          <w:lang w:bidi="ar-EG"/>
        </w:rPr>
        <w:t> </w:t>
      </w:r>
      <w:r w:rsidRPr="009304C2">
        <w:rPr>
          <w:lang w:bidi="ar-EG"/>
        </w:rPr>
        <w:t>5.9</w:t>
      </w:r>
      <w:r w:rsidRPr="009304C2">
        <w:rPr>
          <w:rFonts w:hint="cs"/>
          <w:rtl/>
          <w:lang w:bidi="ar-EG"/>
        </w:rPr>
        <w:t xml:space="preserve"> من القرار</w:t>
      </w:r>
      <w:r w:rsidRPr="009304C2">
        <w:rPr>
          <w:rFonts w:hint="eastAsia"/>
          <w:rtl/>
          <w:lang w:bidi="ar-EG"/>
        </w:rPr>
        <w:t> </w:t>
      </w:r>
      <w:r w:rsidRPr="009304C2">
        <w:rPr>
          <w:lang w:bidi="ar-EG"/>
        </w:rPr>
        <w:t>1</w:t>
      </w:r>
      <w:r>
        <w:rPr>
          <w:rFonts w:hint="eastAsia"/>
          <w:rtl/>
          <w:lang w:bidi="ar-EG"/>
        </w:rPr>
        <w:t> </w:t>
      </w:r>
      <w:r w:rsidRPr="009304C2">
        <w:rPr>
          <w:rFonts w:hint="cs"/>
          <w:rtl/>
          <w:lang w:bidi="ar-EG"/>
        </w:rPr>
        <w:t>(المراجَع في</w:t>
      </w:r>
      <w:r w:rsidRPr="009304C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جنيف</w:t>
      </w:r>
      <w:r w:rsidRPr="009304C2">
        <w:rPr>
          <w:rFonts w:hint="cs"/>
          <w:rtl/>
          <w:lang w:bidi="ar-EG"/>
        </w:rPr>
        <w:t>،</w:t>
      </w:r>
      <w:r w:rsidRPr="009304C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2022</w:t>
      </w:r>
      <w:r w:rsidRPr="009304C2">
        <w:rPr>
          <w:rFonts w:hint="cs"/>
          <w:rtl/>
          <w:lang w:bidi="ar-EG"/>
        </w:rPr>
        <w:t>)، أود إفادتكم بأن لجنة الدراسات</w:t>
      </w:r>
      <w:r w:rsidRPr="009304C2">
        <w:rPr>
          <w:rFonts w:hint="eastAsia"/>
          <w:rtl/>
          <w:lang w:bidi="ar-EG"/>
        </w:rPr>
        <w:t> </w:t>
      </w:r>
      <w:r w:rsidR="008C013D">
        <w:rPr>
          <w:rFonts w:hint="cs"/>
          <w:rtl/>
          <w:lang w:bidi="ar-EG"/>
        </w:rPr>
        <w:t>20</w:t>
      </w:r>
      <w:r w:rsidRPr="009304C2">
        <w:rPr>
          <w:rFonts w:hint="cs"/>
          <w:rtl/>
          <w:lang w:bidi="ar-EG"/>
        </w:rPr>
        <w:t xml:space="preserve"> قد توصلت إلى </w:t>
      </w:r>
      <w:r>
        <w:rPr>
          <w:rFonts w:hint="cs"/>
          <w:rtl/>
          <w:lang w:bidi="ar-EG"/>
        </w:rPr>
        <w:t>القرار التالي</w:t>
      </w:r>
      <w:r w:rsidRPr="009304C2">
        <w:rPr>
          <w:rFonts w:hint="cs"/>
          <w:rtl/>
          <w:lang w:bidi="ar-EG"/>
        </w:rPr>
        <w:t xml:space="preserve"> في</w:t>
      </w:r>
      <w:r w:rsidRPr="009304C2">
        <w:rPr>
          <w:rFonts w:hint="eastAsia"/>
          <w:rtl/>
          <w:lang w:bidi="ar-EG"/>
        </w:rPr>
        <w:t> </w:t>
      </w:r>
      <w:r w:rsidRPr="009304C2">
        <w:rPr>
          <w:rFonts w:hint="cs"/>
          <w:rtl/>
          <w:lang w:bidi="ar-EG"/>
        </w:rPr>
        <w:t>جلستها العامة التي عُقدت في</w:t>
      </w:r>
      <w:r w:rsidRPr="009304C2">
        <w:rPr>
          <w:rFonts w:hint="eastAsia"/>
          <w:rtl/>
          <w:lang w:bidi="ar-EG"/>
        </w:rPr>
        <w:t> </w:t>
      </w:r>
      <w:r w:rsidR="008C013D">
        <w:rPr>
          <w:rFonts w:hint="cs"/>
          <w:rtl/>
          <w:lang w:bidi="ar-EG"/>
        </w:rPr>
        <w:t>30</w:t>
      </w:r>
      <w:r w:rsidRPr="009304C2">
        <w:rPr>
          <w:rFonts w:hint="cs"/>
          <w:rtl/>
          <w:lang w:bidi="ar-EG"/>
        </w:rPr>
        <w:t xml:space="preserve"> </w:t>
      </w:r>
      <w:r w:rsidR="008C013D">
        <w:rPr>
          <w:rFonts w:hint="cs"/>
          <w:rtl/>
          <w:lang w:bidi="ar-EG"/>
        </w:rPr>
        <w:t>يناير</w:t>
      </w:r>
      <w:r w:rsidRPr="009304C2">
        <w:rPr>
          <w:rFonts w:hint="cs"/>
          <w:rtl/>
          <w:lang w:bidi="ar-EG"/>
        </w:rPr>
        <w:t xml:space="preserve"> </w:t>
      </w:r>
      <w:r w:rsidR="008C013D">
        <w:rPr>
          <w:rFonts w:hint="cs"/>
          <w:rtl/>
          <w:lang w:bidi="ar-EG"/>
        </w:rPr>
        <w:t>2023</w:t>
      </w:r>
      <w:r w:rsidRPr="009304C2">
        <w:rPr>
          <w:rFonts w:hint="cs"/>
          <w:rtl/>
          <w:lang w:bidi="ar-EG"/>
        </w:rPr>
        <w:t xml:space="preserve"> فيما</w:t>
      </w:r>
      <w:r w:rsidRPr="009304C2">
        <w:rPr>
          <w:rFonts w:hint="eastAsia"/>
          <w:rtl/>
          <w:lang w:bidi="ar-EG"/>
        </w:rPr>
        <w:t> </w:t>
      </w:r>
      <w:r w:rsidRPr="009304C2">
        <w:rPr>
          <w:rFonts w:hint="cs"/>
          <w:rtl/>
          <w:lang w:bidi="ar-EG"/>
        </w:rPr>
        <w:t xml:space="preserve">يتعلق </w:t>
      </w:r>
      <w:r w:rsidR="00FE60C1">
        <w:rPr>
          <w:rFonts w:hint="cs"/>
          <w:rtl/>
          <w:lang w:bidi="ar-EG"/>
        </w:rPr>
        <w:t>بمشروعي</w:t>
      </w:r>
      <w:r>
        <w:rPr>
          <w:rFonts w:hint="cs"/>
          <w:rtl/>
          <w:lang w:bidi="ar-EG"/>
        </w:rPr>
        <w:t xml:space="preserve"> </w:t>
      </w:r>
      <w:r w:rsidR="00FE60C1">
        <w:rPr>
          <w:rFonts w:hint="cs"/>
          <w:rtl/>
          <w:lang w:bidi="ar-EG"/>
        </w:rPr>
        <w:t>النصين التاليين</w:t>
      </w:r>
      <w:r w:rsidRPr="009304C2">
        <w:rPr>
          <w:rFonts w:hint="cs"/>
          <w:rtl/>
          <w:lang w:bidi="ar-EG"/>
        </w:rPr>
        <w:t xml:space="preserve"> </w:t>
      </w:r>
      <w:r w:rsidRPr="009304C2">
        <w:rPr>
          <w:rFonts w:hint="cs"/>
          <w:rtl/>
        </w:rPr>
        <w:t>ل</w:t>
      </w:r>
      <w:r w:rsidRPr="009304C2">
        <w:rPr>
          <w:rFonts w:hint="cs"/>
          <w:rtl/>
          <w:lang w:bidi="ar-EG"/>
        </w:rPr>
        <w:t>قطاع تقييس الاتصالات:</w:t>
      </w:r>
    </w:p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292"/>
        <w:gridCol w:w="2280"/>
      </w:tblGrid>
      <w:tr w:rsidR="00043C46" w:rsidRPr="00A30BD1" w14:paraId="0E6678BA" w14:textId="77777777" w:rsidTr="00022239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2091EB" w14:textId="1D8EB25A" w:rsidR="00043C46" w:rsidRPr="00A30BD1" w:rsidRDefault="00A30BD1" w:rsidP="00A30BD1">
            <w:pPr>
              <w:keepNext/>
              <w:keepLines/>
              <w:spacing w:before="60" w:after="60" w:line="300" w:lineRule="exact"/>
              <w:jc w:val="center"/>
              <w:rPr>
                <w:lang w:eastAsia="en-GB"/>
              </w:rPr>
            </w:pPr>
            <w:r>
              <w:rPr>
                <w:rFonts w:hint="cs"/>
                <w:b/>
                <w:bCs/>
                <w:bdr w:val="none" w:sz="0" w:space="0" w:color="auto" w:frame="1"/>
                <w:rtl/>
                <w:lang w:eastAsia="en-GB"/>
              </w:rPr>
              <w:t>الرقم</w:t>
            </w:r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8AD5E4" w14:textId="147EE18B" w:rsidR="00043C46" w:rsidRPr="00A30BD1" w:rsidRDefault="00A30BD1" w:rsidP="00A30BD1">
            <w:pPr>
              <w:keepNext/>
              <w:keepLines/>
              <w:spacing w:before="60" w:after="60" w:line="300" w:lineRule="exact"/>
              <w:jc w:val="center"/>
              <w:rPr>
                <w:lang w:eastAsia="en-GB"/>
              </w:rPr>
            </w:pPr>
            <w:r>
              <w:rPr>
                <w:rFonts w:hint="cs"/>
                <w:b/>
                <w:bCs/>
                <w:bdr w:val="none" w:sz="0" w:space="0" w:color="auto" w:frame="1"/>
                <w:rtl/>
                <w:lang w:eastAsia="en-GB"/>
              </w:rPr>
              <w:t>العنوان</w:t>
            </w:r>
          </w:p>
        </w:tc>
        <w:tc>
          <w:tcPr>
            <w:tcW w:w="1186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3C466C" w14:textId="7586550B" w:rsidR="00043C46" w:rsidRPr="00A30BD1" w:rsidRDefault="00A30BD1" w:rsidP="00A30BD1">
            <w:pPr>
              <w:keepNext/>
              <w:keepLines/>
              <w:spacing w:before="60" w:after="60" w:line="300" w:lineRule="exact"/>
              <w:jc w:val="center"/>
              <w:rPr>
                <w:b/>
                <w:bCs/>
                <w:lang w:eastAsia="en-GB"/>
              </w:rPr>
            </w:pPr>
            <w:r>
              <w:rPr>
                <w:rFonts w:hint="cs"/>
                <w:b/>
                <w:bCs/>
                <w:rtl/>
                <w:lang w:eastAsia="en-GB"/>
              </w:rPr>
              <w:t>القرار</w:t>
            </w:r>
          </w:p>
        </w:tc>
      </w:tr>
      <w:tr w:rsidR="00043C46" w:rsidRPr="008B3D69" w14:paraId="6C63A55A" w14:textId="77777777" w:rsidTr="00022239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6B2B62" w14:textId="3E6F05F9" w:rsidR="00043C46" w:rsidRPr="008B3D69" w:rsidRDefault="00A30BD1" w:rsidP="00A30BD1">
            <w:pPr>
              <w:keepNext/>
              <w:keepLines/>
              <w:spacing w:before="60" w:after="60" w:line="300" w:lineRule="exact"/>
              <w:jc w:val="center"/>
            </w:pPr>
            <w:r w:rsidRPr="008B3D69">
              <w:rPr>
                <w:spacing w:val="-6"/>
                <w:rtl/>
              </w:rPr>
              <w:t xml:space="preserve">ITU-T Y.4601 (التوصية </w:t>
            </w:r>
            <w:r w:rsidR="00042717" w:rsidRPr="009B1471">
              <w:rPr>
                <w:b/>
                <w:spacing w:val="-10"/>
              </w:rPr>
              <w:t>Y.dt-smartfirefighting</w:t>
            </w:r>
            <w:r w:rsidRPr="008B3D69">
              <w:rPr>
                <w:rtl/>
                <w:lang w:bidi="ar-EG"/>
              </w:rPr>
              <w:t xml:space="preserve"> </w:t>
            </w:r>
            <w:r w:rsidRPr="008B3D69">
              <w:rPr>
                <w:rtl/>
              </w:rPr>
              <w:t>سابقاً)</w:t>
            </w:r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C6C4B6E" w14:textId="59B13F56" w:rsidR="00043C46" w:rsidRPr="008B3D69" w:rsidRDefault="007A00CE" w:rsidP="00A30BD1">
            <w:pPr>
              <w:pStyle w:val="Tabletext"/>
              <w:keepNext/>
              <w:keepLines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en-US" w:eastAsia="ko-KR"/>
              </w:rPr>
            </w:pPr>
            <w:r w:rsidRPr="008B3D69">
              <w:rPr>
                <w:rFonts w:ascii="Dubai" w:hAnsi="Dubai" w:cs="Dubai"/>
                <w:sz w:val="22"/>
                <w:szCs w:val="22"/>
                <w:rtl/>
                <w:lang w:eastAsia="ko-KR"/>
              </w:rPr>
              <w:t>ال</w:t>
            </w:r>
            <w:r w:rsidR="00A30BD1" w:rsidRPr="008B3D69">
              <w:rPr>
                <w:rFonts w:ascii="Dubai" w:hAnsi="Dubai" w:cs="Dubai"/>
                <w:sz w:val="22"/>
                <w:szCs w:val="22"/>
                <w:rtl/>
                <w:lang w:eastAsia="ko-KR"/>
              </w:rPr>
              <w:t xml:space="preserve">متطلبات وإطار </w:t>
            </w:r>
            <w:r w:rsidRPr="008B3D69">
              <w:rPr>
                <w:rFonts w:ascii="Dubai" w:hAnsi="Dubai" w:cs="Dubai"/>
                <w:sz w:val="22"/>
                <w:szCs w:val="22"/>
                <w:rtl/>
                <w:lang w:eastAsia="ko-KR"/>
              </w:rPr>
              <w:t>ال</w:t>
            </w:r>
            <w:r w:rsidR="00A30BD1" w:rsidRPr="008B3D69">
              <w:rPr>
                <w:rFonts w:ascii="Dubai" w:hAnsi="Dubai" w:cs="Dubai"/>
                <w:sz w:val="22"/>
                <w:szCs w:val="22"/>
                <w:rtl/>
                <w:lang w:eastAsia="ko-KR"/>
              </w:rPr>
              <w:t xml:space="preserve">قدرات </w:t>
            </w:r>
            <w:r w:rsidRPr="008B3D69">
              <w:rPr>
                <w:rFonts w:ascii="Dubai" w:hAnsi="Dubai" w:cs="Dubai"/>
                <w:sz w:val="22"/>
                <w:szCs w:val="22"/>
                <w:rtl/>
                <w:lang w:eastAsia="ko-KR"/>
              </w:rPr>
              <w:t>ل</w:t>
            </w:r>
            <w:r w:rsidR="00A30BD1" w:rsidRPr="008B3D69">
              <w:rPr>
                <w:rFonts w:ascii="Dubai" w:hAnsi="Dubai" w:cs="Dubai"/>
                <w:sz w:val="22"/>
                <w:szCs w:val="22"/>
                <w:rtl/>
                <w:lang w:eastAsia="ko-KR"/>
              </w:rPr>
              <w:t>لتوأم الرقمي لمكافحة الحرائق الذكية</w:t>
            </w:r>
          </w:p>
        </w:tc>
        <w:tc>
          <w:tcPr>
            <w:tcW w:w="1186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96AC7A" w14:textId="37A6BB6F" w:rsidR="00043C46" w:rsidRPr="008B3D69" w:rsidRDefault="00A30BD1" w:rsidP="00A30BD1">
            <w:pPr>
              <w:keepNext/>
              <w:keepLines/>
              <w:spacing w:before="60" w:after="60" w:line="300" w:lineRule="exact"/>
              <w:jc w:val="center"/>
            </w:pPr>
            <w:r w:rsidRPr="008B3D69">
              <w:rPr>
                <w:rtl/>
              </w:rPr>
              <w:t>تمت الموافقة عليها</w:t>
            </w:r>
          </w:p>
        </w:tc>
      </w:tr>
      <w:tr w:rsidR="00043C46" w:rsidRPr="008B3D69" w14:paraId="738B3462" w14:textId="77777777" w:rsidTr="00022239">
        <w:trPr>
          <w:jc w:val="center"/>
        </w:trPr>
        <w:tc>
          <w:tcPr>
            <w:tcW w:w="10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CEB5B9" w14:textId="4A755905" w:rsidR="00043C46" w:rsidRPr="002212FE" w:rsidRDefault="00043C46" w:rsidP="005E25A6">
            <w:pPr>
              <w:keepNext/>
              <w:keepLines/>
              <w:spacing w:before="60" w:after="60" w:line="300" w:lineRule="exact"/>
              <w:jc w:val="center"/>
            </w:pPr>
            <w:r w:rsidRPr="002212FE">
              <w:t xml:space="preserve">ITU-T Y.4500.3 </w:t>
            </w:r>
            <w:r w:rsidR="005E25A6" w:rsidRPr="008B3D69">
              <w:rPr>
                <w:rtl/>
                <w:lang w:val="fr-CH" w:bidi="ar-EG"/>
              </w:rPr>
              <w:br/>
            </w:r>
            <w:r w:rsidR="005E25A6" w:rsidRPr="008B3D69">
              <w:rPr>
                <w:rtl/>
              </w:rPr>
              <w:t>(التوصية Y.oneM2M.SEC.SOL سابقاً)</w:t>
            </w:r>
          </w:p>
        </w:tc>
        <w:tc>
          <w:tcPr>
            <w:tcW w:w="275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1E2D9C" w14:textId="3377A328" w:rsidR="00043C46" w:rsidRPr="008B3D69" w:rsidRDefault="00A30BD1" w:rsidP="00A30BD1">
            <w:pPr>
              <w:pStyle w:val="Tabletext"/>
              <w:keepNext/>
              <w:keepLines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eastAsia="ko-KR"/>
              </w:rPr>
            </w:pPr>
            <w:r w:rsidRPr="008B3D69">
              <w:rPr>
                <w:rFonts w:ascii="Dubai" w:hAnsi="Dubai" w:cs="Dubai"/>
                <w:sz w:val="22"/>
                <w:szCs w:val="22"/>
                <w:rtl/>
                <w:lang w:eastAsia="ko-KR"/>
              </w:rPr>
              <w:t>النظام oneM2M - الحلول الأمنية</w:t>
            </w:r>
          </w:p>
        </w:tc>
        <w:tc>
          <w:tcPr>
            <w:tcW w:w="1186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C88460" w14:textId="1544CC12" w:rsidR="00043C46" w:rsidRPr="008B3D69" w:rsidRDefault="00A30BD1" w:rsidP="00A30BD1">
            <w:pPr>
              <w:keepNext/>
              <w:keepLines/>
              <w:spacing w:before="60" w:after="60" w:line="300" w:lineRule="exact"/>
              <w:jc w:val="center"/>
            </w:pPr>
            <w:r w:rsidRPr="008B3D69">
              <w:rPr>
                <w:rtl/>
              </w:rPr>
              <w:t>تمت الموافقة عليها</w:t>
            </w:r>
          </w:p>
        </w:tc>
      </w:tr>
    </w:tbl>
    <w:p w14:paraId="0AD64BC3" w14:textId="34BD6BAD" w:rsidR="00022239" w:rsidRPr="00DD40C5" w:rsidRDefault="00022239" w:rsidP="00022239">
      <w:pPr>
        <w:spacing w:before="240"/>
        <w:rPr>
          <w:color w:val="000000"/>
          <w:rtl/>
          <w:lang w:val="fr-CH" w:bidi="ar-EG"/>
        </w:rPr>
      </w:pPr>
      <w:r w:rsidRPr="002212FE">
        <w:rPr>
          <w:lang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1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  <w:r w:rsidRPr="00E870AA">
        <w:rPr>
          <w:rFonts w:hint="cs"/>
          <w:rtl/>
        </w:rPr>
        <w:t>.</w:t>
      </w:r>
    </w:p>
    <w:p w14:paraId="5A2520D3" w14:textId="0F505194" w:rsidR="00022239" w:rsidRPr="005033D6" w:rsidRDefault="00022239" w:rsidP="00022239">
      <w:pPr>
        <w:rPr>
          <w:rtl/>
          <w:lang w:bidi="ar-EG"/>
        </w:rPr>
      </w:pPr>
      <w:r w:rsidRPr="005033D6">
        <w:rPr>
          <w:rtl/>
          <w:lang w:bidi="ar-EG"/>
        </w:rPr>
        <w:lastRenderedPageBreak/>
        <w:t>3</w:t>
      </w:r>
      <w:r w:rsidRPr="005033D6">
        <w:rPr>
          <w:lang w:val="fr-CH" w:bidi="ar-EG"/>
        </w:rPr>
        <w:tab/>
      </w:r>
      <w:r>
        <w:rPr>
          <w:rFonts w:hint="cs"/>
          <w:rtl/>
        </w:rPr>
        <w:t>وسيتاح نص</w:t>
      </w:r>
      <w:r w:rsidR="00B46305">
        <w:rPr>
          <w:rFonts w:hint="cs"/>
          <w:rtl/>
        </w:rPr>
        <w:t>ا</w:t>
      </w:r>
      <w:r>
        <w:rPr>
          <w:rFonts w:hint="cs"/>
          <w:rtl/>
        </w:rPr>
        <w:t xml:space="preserve"> التوصيتين بصيغتهما </w:t>
      </w:r>
      <w:r w:rsidRPr="005033D6">
        <w:rPr>
          <w:rtl/>
        </w:rPr>
        <w:t xml:space="preserve">السابقة للنشر في الموقع الإلكتروني لقطاع تقييس الاتصالات في العنوان </w:t>
      </w:r>
      <w:hyperlink r:id="rId12" w:history="1">
        <w:r w:rsidR="0059732D" w:rsidRPr="003B01DA">
          <w:rPr>
            <w:rStyle w:val="Hyperlink"/>
            <w:rFonts w:asciiTheme="minorHAnsi" w:hAnsiTheme="minorHAnsi" w:cstheme="minorHAnsi"/>
          </w:rPr>
          <w:t>https://www.itu.int/itu-t/recommendations/</w:t>
        </w:r>
      </w:hyperlink>
      <w:r w:rsidRPr="008313D2">
        <w:rPr>
          <w:rtl/>
          <w:lang w:bidi="ar-EG"/>
        </w:rPr>
        <w:t>.</w:t>
      </w:r>
    </w:p>
    <w:p w14:paraId="5D692634" w14:textId="2735C9FE" w:rsidR="00022239" w:rsidRPr="00E26443" w:rsidRDefault="00022239" w:rsidP="00022239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>نصي التوصيتين</w:t>
      </w:r>
      <w:r>
        <w:rPr>
          <w:color w:val="000000"/>
          <w:rtl/>
        </w:rPr>
        <w:t xml:space="preserve"> الموافَق عليه</w:t>
      </w:r>
      <w:r>
        <w:rPr>
          <w:rFonts w:hint="cs"/>
          <w:color w:val="000000"/>
          <w:rtl/>
        </w:rPr>
        <w:t>م</w:t>
      </w:r>
      <w:r>
        <w:rPr>
          <w:color w:val="000000"/>
          <w:rtl/>
        </w:rPr>
        <w:t>ا في أقرب وقت ممكن</w:t>
      </w:r>
      <w:r>
        <w:rPr>
          <w:color w:val="000000"/>
        </w:rPr>
        <w:t>.</w:t>
      </w:r>
    </w:p>
    <w:p w14:paraId="45EF00C9" w14:textId="7B775F44" w:rsidR="00E84438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8C4C4A0" w14:textId="2D8E9ABB" w:rsidR="00E84438" w:rsidRDefault="00F70248" w:rsidP="008553B0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3F5DA26D" wp14:editId="7B4CE1C0">
            <wp:simplePos x="0" y="0"/>
            <wp:positionH relativeFrom="column">
              <wp:posOffset>5338445</wp:posOffset>
            </wp:positionH>
            <wp:positionV relativeFrom="paragraph">
              <wp:posOffset>71120</wp:posOffset>
            </wp:positionV>
            <wp:extent cx="770467" cy="533400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6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6006">
        <w:rPr>
          <w:rFonts w:hint="cs"/>
          <w:rtl/>
          <w:lang w:bidi="ar-SY"/>
        </w:rPr>
        <w:t>سيزو</w:t>
      </w:r>
      <w:proofErr w:type="spellEnd"/>
      <w:r w:rsidR="00BF6006">
        <w:rPr>
          <w:rFonts w:hint="cs"/>
          <w:rtl/>
          <w:lang w:bidi="ar-SY"/>
        </w:rPr>
        <w:t xml:space="preserve"> </w:t>
      </w:r>
      <w:proofErr w:type="spellStart"/>
      <w:r w:rsidR="00BF6006">
        <w:rPr>
          <w:rFonts w:hint="cs"/>
          <w:rtl/>
          <w:lang w:bidi="ar-SY"/>
        </w:rPr>
        <w:t>أ</w:t>
      </w:r>
      <w:r w:rsidR="003F4CC3">
        <w:rPr>
          <w:rFonts w:hint="cs"/>
          <w:rtl/>
          <w:lang w:bidi="ar-SY"/>
        </w:rPr>
        <w:t>و</w:t>
      </w:r>
      <w:r w:rsidR="00BF6006">
        <w:rPr>
          <w:rFonts w:hint="cs"/>
          <w:rtl/>
          <w:lang w:bidi="ar-SY"/>
        </w:rPr>
        <w:t>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282" w14:textId="77777777" w:rsidR="00AD072F" w:rsidRDefault="00AD072F" w:rsidP="006C3242">
      <w:pPr>
        <w:spacing w:before="0" w:line="240" w:lineRule="auto"/>
      </w:pPr>
      <w:r>
        <w:separator/>
      </w:r>
    </w:p>
  </w:endnote>
  <w:endnote w:type="continuationSeparator" w:id="0">
    <w:p w14:paraId="2E2D8FD1" w14:textId="77777777" w:rsidR="00AD072F" w:rsidRDefault="00AD072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077B" w14:textId="49ED8316" w:rsidR="006C3242" w:rsidRPr="00BB69D1" w:rsidRDefault="006C3242" w:rsidP="00BB69D1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A30F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250E" w14:textId="77777777" w:rsidR="00AD072F" w:rsidRDefault="00AD072F" w:rsidP="006C3242">
      <w:pPr>
        <w:spacing w:before="0" w:line="240" w:lineRule="auto"/>
      </w:pPr>
      <w:r>
        <w:separator/>
      </w:r>
    </w:p>
  </w:footnote>
  <w:footnote w:type="continuationSeparator" w:id="0">
    <w:p w14:paraId="0FA3EE66" w14:textId="77777777" w:rsidR="00AD072F" w:rsidRDefault="00AD072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0329" w14:textId="3103FC1D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BB69D1">
      <w:rPr>
        <w:rFonts w:hint="cs"/>
        <w:sz w:val="20"/>
        <w:szCs w:val="20"/>
        <w:rtl/>
        <w:lang w:val="en-GB"/>
      </w:rPr>
      <w:t>75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6870673">
    <w:abstractNumId w:val="9"/>
  </w:num>
  <w:num w:numId="2" w16cid:durableId="1338534953">
    <w:abstractNumId w:val="7"/>
  </w:num>
  <w:num w:numId="3" w16cid:durableId="1956062739">
    <w:abstractNumId w:val="6"/>
  </w:num>
  <w:num w:numId="4" w16cid:durableId="686952912">
    <w:abstractNumId w:val="5"/>
  </w:num>
  <w:num w:numId="5" w16cid:durableId="573854077">
    <w:abstractNumId w:val="4"/>
  </w:num>
  <w:num w:numId="6" w16cid:durableId="1581671777">
    <w:abstractNumId w:val="8"/>
  </w:num>
  <w:num w:numId="7" w16cid:durableId="1069112033">
    <w:abstractNumId w:val="3"/>
  </w:num>
  <w:num w:numId="8" w16cid:durableId="303506147">
    <w:abstractNumId w:val="2"/>
  </w:num>
  <w:num w:numId="9" w16cid:durableId="1243368008">
    <w:abstractNumId w:val="1"/>
  </w:num>
  <w:num w:numId="10" w16cid:durableId="1618755392">
    <w:abstractNumId w:val="0"/>
  </w:num>
  <w:num w:numId="11" w16cid:durableId="985283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F"/>
    <w:rsid w:val="00002A63"/>
    <w:rsid w:val="00022239"/>
    <w:rsid w:val="00042717"/>
    <w:rsid w:val="00043C46"/>
    <w:rsid w:val="00056CE8"/>
    <w:rsid w:val="0006468A"/>
    <w:rsid w:val="00090574"/>
    <w:rsid w:val="000C1C0E"/>
    <w:rsid w:val="000C548A"/>
    <w:rsid w:val="000D6A96"/>
    <w:rsid w:val="000E327F"/>
    <w:rsid w:val="0011588E"/>
    <w:rsid w:val="00146FE2"/>
    <w:rsid w:val="001647AA"/>
    <w:rsid w:val="001879A1"/>
    <w:rsid w:val="001C0169"/>
    <w:rsid w:val="001D1D50"/>
    <w:rsid w:val="001D6745"/>
    <w:rsid w:val="001E446E"/>
    <w:rsid w:val="001F5D04"/>
    <w:rsid w:val="002154EE"/>
    <w:rsid w:val="002212FE"/>
    <w:rsid w:val="002276D2"/>
    <w:rsid w:val="0023283D"/>
    <w:rsid w:val="0026373E"/>
    <w:rsid w:val="00271C43"/>
    <w:rsid w:val="00290728"/>
    <w:rsid w:val="002978F4"/>
    <w:rsid w:val="002A52BB"/>
    <w:rsid w:val="002B028D"/>
    <w:rsid w:val="002E196B"/>
    <w:rsid w:val="002E6541"/>
    <w:rsid w:val="0032344B"/>
    <w:rsid w:val="00334924"/>
    <w:rsid w:val="003409BC"/>
    <w:rsid w:val="003418B9"/>
    <w:rsid w:val="00357185"/>
    <w:rsid w:val="0036194A"/>
    <w:rsid w:val="00381BA5"/>
    <w:rsid w:val="00383829"/>
    <w:rsid w:val="003A2C32"/>
    <w:rsid w:val="003A3046"/>
    <w:rsid w:val="003F4B29"/>
    <w:rsid w:val="003F4CC3"/>
    <w:rsid w:val="00400EC6"/>
    <w:rsid w:val="0042686F"/>
    <w:rsid w:val="004317D8"/>
    <w:rsid w:val="00434183"/>
    <w:rsid w:val="00443869"/>
    <w:rsid w:val="00447F32"/>
    <w:rsid w:val="004A345A"/>
    <w:rsid w:val="004C6730"/>
    <w:rsid w:val="004E11DC"/>
    <w:rsid w:val="00525DDD"/>
    <w:rsid w:val="005409AC"/>
    <w:rsid w:val="0054579B"/>
    <w:rsid w:val="0055516A"/>
    <w:rsid w:val="005731DD"/>
    <w:rsid w:val="0058491B"/>
    <w:rsid w:val="00592EA5"/>
    <w:rsid w:val="00595B52"/>
    <w:rsid w:val="00596808"/>
    <w:rsid w:val="0059732D"/>
    <w:rsid w:val="005A3170"/>
    <w:rsid w:val="005C1C78"/>
    <w:rsid w:val="005E25A6"/>
    <w:rsid w:val="005E394D"/>
    <w:rsid w:val="006635B2"/>
    <w:rsid w:val="00677396"/>
    <w:rsid w:val="0069200F"/>
    <w:rsid w:val="006970E5"/>
    <w:rsid w:val="006A65CB"/>
    <w:rsid w:val="006C1530"/>
    <w:rsid w:val="006C3242"/>
    <w:rsid w:val="006C5422"/>
    <w:rsid w:val="006C7CC0"/>
    <w:rsid w:val="006E1BAD"/>
    <w:rsid w:val="006F5312"/>
    <w:rsid w:val="006F63F7"/>
    <w:rsid w:val="007025C7"/>
    <w:rsid w:val="00706D7A"/>
    <w:rsid w:val="00722F0D"/>
    <w:rsid w:val="0074420E"/>
    <w:rsid w:val="007678DD"/>
    <w:rsid w:val="00782D8D"/>
    <w:rsid w:val="007838D0"/>
    <w:rsid w:val="00783E26"/>
    <w:rsid w:val="007908FA"/>
    <w:rsid w:val="007A00CE"/>
    <w:rsid w:val="007C3BC7"/>
    <w:rsid w:val="007C3BCD"/>
    <w:rsid w:val="007D4ACF"/>
    <w:rsid w:val="007F0787"/>
    <w:rsid w:val="00810B7B"/>
    <w:rsid w:val="0081558B"/>
    <w:rsid w:val="0082358A"/>
    <w:rsid w:val="008235CD"/>
    <w:rsid w:val="008247DE"/>
    <w:rsid w:val="008313D2"/>
    <w:rsid w:val="00840B10"/>
    <w:rsid w:val="008513CB"/>
    <w:rsid w:val="00851722"/>
    <w:rsid w:val="008553B0"/>
    <w:rsid w:val="00873469"/>
    <w:rsid w:val="008A7F84"/>
    <w:rsid w:val="008B3D69"/>
    <w:rsid w:val="008C013D"/>
    <w:rsid w:val="00914CB4"/>
    <w:rsid w:val="00916F9C"/>
    <w:rsid w:val="0091702E"/>
    <w:rsid w:val="00923B0C"/>
    <w:rsid w:val="00926F44"/>
    <w:rsid w:val="00935DB3"/>
    <w:rsid w:val="0094021C"/>
    <w:rsid w:val="0094432F"/>
    <w:rsid w:val="00952F86"/>
    <w:rsid w:val="00954870"/>
    <w:rsid w:val="00966BF5"/>
    <w:rsid w:val="00975A49"/>
    <w:rsid w:val="00982B28"/>
    <w:rsid w:val="009B1471"/>
    <w:rsid w:val="009D313F"/>
    <w:rsid w:val="00A30BD1"/>
    <w:rsid w:val="00A364B9"/>
    <w:rsid w:val="00A367AF"/>
    <w:rsid w:val="00A47A5A"/>
    <w:rsid w:val="00A6683B"/>
    <w:rsid w:val="00A77C90"/>
    <w:rsid w:val="00A9156F"/>
    <w:rsid w:val="00A97F94"/>
    <w:rsid w:val="00AA7EA2"/>
    <w:rsid w:val="00AD072F"/>
    <w:rsid w:val="00AE478B"/>
    <w:rsid w:val="00AF6B5C"/>
    <w:rsid w:val="00B03099"/>
    <w:rsid w:val="00B05BC8"/>
    <w:rsid w:val="00B46305"/>
    <w:rsid w:val="00B64B47"/>
    <w:rsid w:val="00B722BD"/>
    <w:rsid w:val="00B82B63"/>
    <w:rsid w:val="00B90A8C"/>
    <w:rsid w:val="00B916A7"/>
    <w:rsid w:val="00BB0F08"/>
    <w:rsid w:val="00BB620B"/>
    <w:rsid w:val="00BB69D1"/>
    <w:rsid w:val="00BF54C9"/>
    <w:rsid w:val="00BF6006"/>
    <w:rsid w:val="00BF6C8C"/>
    <w:rsid w:val="00C002DE"/>
    <w:rsid w:val="00C31424"/>
    <w:rsid w:val="00C53BF8"/>
    <w:rsid w:val="00C66157"/>
    <w:rsid w:val="00C674FE"/>
    <w:rsid w:val="00C67501"/>
    <w:rsid w:val="00C7052C"/>
    <w:rsid w:val="00C75633"/>
    <w:rsid w:val="00CD07B2"/>
    <w:rsid w:val="00CE1C08"/>
    <w:rsid w:val="00CE2EE1"/>
    <w:rsid w:val="00CE3349"/>
    <w:rsid w:val="00CE36E5"/>
    <w:rsid w:val="00CF27F5"/>
    <w:rsid w:val="00CF3FFD"/>
    <w:rsid w:val="00D10CCF"/>
    <w:rsid w:val="00D22846"/>
    <w:rsid w:val="00D46FB3"/>
    <w:rsid w:val="00D517B2"/>
    <w:rsid w:val="00D55D86"/>
    <w:rsid w:val="00D714A4"/>
    <w:rsid w:val="00D76170"/>
    <w:rsid w:val="00D77D0F"/>
    <w:rsid w:val="00D81763"/>
    <w:rsid w:val="00DA1CF0"/>
    <w:rsid w:val="00DB4578"/>
    <w:rsid w:val="00DC1E02"/>
    <w:rsid w:val="00DC24B4"/>
    <w:rsid w:val="00DC5FB0"/>
    <w:rsid w:val="00DD1EBB"/>
    <w:rsid w:val="00DF16DC"/>
    <w:rsid w:val="00E44138"/>
    <w:rsid w:val="00E45211"/>
    <w:rsid w:val="00E473C5"/>
    <w:rsid w:val="00E47AC1"/>
    <w:rsid w:val="00E52F37"/>
    <w:rsid w:val="00E84438"/>
    <w:rsid w:val="00E870AA"/>
    <w:rsid w:val="00E92863"/>
    <w:rsid w:val="00EB796D"/>
    <w:rsid w:val="00EC4525"/>
    <w:rsid w:val="00F058DC"/>
    <w:rsid w:val="00F24FC4"/>
    <w:rsid w:val="00F2676C"/>
    <w:rsid w:val="00F3015E"/>
    <w:rsid w:val="00F4618B"/>
    <w:rsid w:val="00F52941"/>
    <w:rsid w:val="00F70248"/>
    <w:rsid w:val="00F70E61"/>
    <w:rsid w:val="00F72413"/>
    <w:rsid w:val="00F84366"/>
    <w:rsid w:val="00F85089"/>
    <w:rsid w:val="00F974C5"/>
    <w:rsid w:val="00FA6F46"/>
    <w:rsid w:val="00FD06B2"/>
    <w:rsid w:val="00FD5866"/>
    <w:rsid w:val="00FE5872"/>
    <w:rsid w:val="00FE60C1"/>
    <w:rsid w:val="00FE6CFF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FBE51"/>
  <w15:chartTrackingRefBased/>
  <w15:docId w15:val="{F656BE70-B01A-4161-B954-00D027F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Heading-B">
    <w:name w:val="Heading-B"/>
    <w:basedOn w:val="Normal"/>
    <w:qFormat/>
    <w:rsid w:val="00BB620B"/>
    <w:pPr>
      <w:keepNext/>
      <w:keepLines/>
      <w:ind w:left="1134" w:hanging="1134"/>
      <w:textDirection w:val="tbRlV"/>
      <w:outlineLvl w:val="1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1C78"/>
    <w:rPr>
      <w:color w:val="954F72" w:themeColor="followedHyperlink"/>
      <w:u w:val="single"/>
    </w:rPr>
  </w:style>
  <w:style w:type="paragraph" w:customStyle="1" w:styleId="Tabletext">
    <w:name w:val="Table_text"/>
    <w:basedOn w:val="Normal"/>
    <w:link w:val="TabletextChar"/>
    <w:qFormat/>
    <w:rsid w:val="00043C46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qFormat/>
    <w:locked/>
    <w:rsid w:val="00043C46"/>
    <w:rPr>
      <w:rFonts w:ascii="Calibri" w:eastAsia="Times New Roman" w:hAnsi="Calibri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22-TSB-CIR-0037https://www.itu.int/md/meetingdoc.asp?lang=en&amp;parent=T22-TSB-CIR-00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Hamdah, Ahmad</dc:creator>
  <cp:keywords/>
  <dc:description/>
  <cp:lastModifiedBy>Braud, Olivia</cp:lastModifiedBy>
  <cp:revision>35</cp:revision>
  <cp:lastPrinted>2023-03-27T13:22:00Z</cp:lastPrinted>
  <dcterms:created xsi:type="dcterms:W3CDTF">2023-02-13T08:47:00Z</dcterms:created>
  <dcterms:modified xsi:type="dcterms:W3CDTF">2023-03-27T13:22:00Z</dcterms:modified>
</cp:coreProperties>
</file>