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418"/>
        <w:gridCol w:w="3206"/>
        <w:gridCol w:w="3179"/>
        <w:gridCol w:w="2023"/>
      </w:tblGrid>
      <w:tr w:rsidR="00FA46A0" w:rsidRPr="003E7B2D" w14:paraId="2F3AEBE3" w14:textId="77777777" w:rsidTr="002861A0">
        <w:trPr>
          <w:trHeight w:val="1282"/>
        </w:trPr>
        <w:tc>
          <w:tcPr>
            <w:tcW w:w="1418" w:type="dxa"/>
            <w:shd w:val="clear" w:color="auto" w:fill="auto"/>
            <w:tcMar>
              <w:left w:w="0" w:type="dxa"/>
              <w:right w:w="0" w:type="dxa"/>
            </w:tcMar>
            <w:vAlign w:val="center"/>
          </w:tcPr>
          <w:p w14:paraId="7BABF41D" w14:textId="77777777" w:rsidR="00FA46A0" w:rsidRPr="003E7B2D" w:rsidRDefault="009747C5" w:rsidP="00872354">
            <w:pPr>
              <w:pStyle w:val="Tabletext"/>
              <w:jc w:val="center"/>
            </w:pPr>
            <w:r w:rsidRPr="003E7B2D">
              <w:rPr>
                <w:noProof/>
                <w:lang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385" w:type="dxa"/>
            <w:gridSpan w:val="2"/>
            <w:shd w:val="clear" w:color="auto" w:fill="auto"/>
            <w:tcMar>
              <w:left w:w="142" w:type="dxa"/>
            </w:tcMar>
            <w:vAlign w:val="center"/>
          </w:tcPr>
          <w:p w14:paraId="5698B6C9" w14:textId="77777777" w:rsidR="00F02126" w:rsidRPr="00DF26C4" w:rsidRDefault="00F02126" w:rsidP="00F02126">
            <w:pPr>
              <w:tabs>
                <w:tab w:val="right" w:pos="8732"/>
              </w:tabs>
              <w:spacing w:before="0"/>
              <w:rPr>
                <w:rFonts w:hAnsi="SimSun"/>
                <w:b/>
                <w:bCs/>
                <w:sz w:val="36"/>
                <w:szCs w:val="36"/>
                <w:lang w:eastAsia="zh-CN"/>
              </w:rPr>
            </w:pPr>
            <w:r w:rsidRPr="00DF26C4">
              <w:rPr>
                <w:rFonts w:hAnsi="SimSun" w:hint="eastAsia"/>
                <w:b/>
                <w:bCs/>
                <w:sz w:val="36"/>
                <w:szCs w:val="36"/>
                <w:lang w:eastAsia="zh-CN"/>
              </w:rPr>
              <w:t>国</w:t>
            </w:r>
            <w:r w:rsidRPr="00DF26C4">
              <w:rPr>
                <w:rFonts w:hAnsi="SimSun" w:hint="eastAsia"/>
                <w:b/>
                <w:bCs/>
                <w:sz w:val="36"/>
                <w:szCs w:val="36"/>
                <w:lang w:eastAsia="zh-CN"/>
              </w:rPr>
              <w:t xml:space="preserve"> </w:t>
            </w:r>
            <w:r w:rsidRPr="00DF26C4">
              <w:rPr>
                <w:rFonts w:hAnsi="SimSun" w:hint="eastAsia"/>
                <w:b/>
                <w:bCs/>
                <w:sz w:val="36"/>
                <w:szCs w:val="36"/>
                <w:lang w:eastAsia="zh-CN"/>
              </w:rPr>
              <w:t>际</w:t>
            </w:r>
            <w:r w:rsidRPr="00DF26C4">
              <w:rPr>
                <w:rFonts w:hAnsi="SimSun" w:hint="eastAsia"/>
                <w:b/>
                <w:bCs/>
                <w:sz w:val="36"/>
                <w:szCs w:val="36"/>
                <w:lang w:eastAsia="zh-CN"/>
              </w:rPr>
              <w:t xml:space="preserve"> </w:t>
            </w:r>
            <w:r w:rsidRPr="00DF26C4">
              <w:rPr>
                <w:rFonts w:hAnsi="SimSun" w:hint="eastAsia"/>
                <w:b/>
                <w:bCs/>
                <w:sz w:val="36"/>
                <w:szCs w:val="36"/>
                <w:lang w:eastAsia="zh-CN"/>
              </w:rPr>
              <w:t>电</w:t>
            </w:r>
            <w:r w:rsidRPr="00DF26C4">
              <w:rPr>
                <w:rFonts w:hAnsi="SimSun" w:hint="eastAsia"/>
                <w:b/>
                <w:bCs/>
                <w:sz w:val="36"/>
                <w:szCs w:val="36"/>
                <w:lang w:eastAsia="zh-CN"/>
              </w:rPr>
              <w:t xml:space="preserve"> </w:t>
            </w:r>
            <w:r w:rsidRPr="00DF26C4">
              <w:rPr>
                <w:rFonts w:hAnsi="SimSun" w:hint="eastAsia"/>
                <w:b/>
                <w:bCs/>
                <w:sz w:val="36"/>
                <w:szCs w:val="36"/>
                <w:lang w:eastAsia="zh-CN"/>
              </w:rPr>
              <w:t>信</w:t>
            </w:r>
            <w:r w:rsidRPr="00DF26C4">
              <w:rPr>
                <w:rFonts w:hAnsi="SimSun" w:hint="eastAsia"/>
                <w:b/>
                <w:bCs/>
                <w:sz w:val="36"/>
                <w:szCs w:val="36"/>
                <w:lang w:eastAsia="zh-CN"/>
              </w:rPr>
              <w:t xml:space="preserve"> </w:t>
            </w:r>
            <w:r w:rsidRPr="00DF26C4">
              <w:rPr>
                <w:rFonts w:hAnsi="SimSun" w:hint="eastAsia"/>
                <w:b/>
                <w:bCs/>
                <w:sz w:val="36"/>
                <w:szCs w:val="36"/>
                <w:lang w:eastAsia="zh-CN"/>
              </w:rPr>
              <w:t>联</w:t>
            </w:r>
            <w:r w:rsidRPr="00DF26C4">
              <w:rPr>
                <w:rFonts w:hAnsi="SimSun" w:hint="eastAsia"/>
                <w:b/>
                <w:bCs/>
                <w:sz w:val="36"/>
                <w:szCs w:val="36"/>
                <w:lang w:eastAsia="zh-CN"/>
              </w:rPr>
              <w:t xml:space="preserve"> </w:t>
            </w:r>
            <w:r w:rsidRPr="00DF26C4">
              <w:rPr>
                <w:rFonts w:hAnsi="SimSun" w:hint="eastAsia"/>
                <w:b/>
                <w:bCs/>
                <w:sz w:val="36"/>
                <w:szCs w:val="36"/>
                <w:lang w:eastAsia="zh-CN"/>
              </w:rPr>
              <w:t>盟</w:t>
            </w:r>
          </w:p>
          <w:p w14:paraId="1A486C08" w14:textId="3F1D9702" w:rsidR="00FA46A0" w:rsidRPr="003E7B2D" w:rsidRDefault="00774C88" w:rsidP="00872354">
            <w:pPr>
              <w:spacing w:before="0"/>
              <w:rPr>
                <w:rFonts w:ascii="Verdana" w:hAnsi="Verdana"/>
                <w:color w:val="FFFFFF"/>
                <w:sz w:val="26"/>
                <w:szCs w:val="26"/>
                <w:lang w:eastAsia="zh-CN"/>
              </w:rPr>
            </w:pPr>
            <w:r>
              <w:rPr>
                <w:rFonts w:cs="Times New Roman Bold" w:hint="eastAsia"/>
                <w:b/>
                <w:bCs/>
                <w:iCs/>
                <w:smallCaps/>
                <w:sz w:val="28"/>
                <w:szCs w:val="28"/>
                <w:lang w:eastAsia="zh-CN"/>
              </w:rPr>
              <w:t>电信标准化局</w:t>
            </w:r>
          </w:p>
        </w:tc>
        <w:tc>
          <w:tcPr>
            <w:tcW w:w="2023" w:type="dxa"/>
            <w:shd w:val="clear" w:color="auto" w:fill="auto"/>
            <w:vAlign w:val="center"/>
          </w:tcPr>
          <w:p w14:paraId="67652B4C" w14:textId="77777777" w:rsidR="00FA46A0" w:rsidRPr="003E7B2D" w:rsidRDefault="00FA46A0" w:rsidP="00872354">
            <w:pPr>
              <w:spacing w:before="0"/>
              <w:jc w:val="right"/>
              <w:rPr>
                <w:rFonts w:ascii="Verdana" w:hAnsi="Verdana"/>
                <w:color w:val="FFFFFF"/>
                <w:sz w:val="26"/>
                <w:szCs w:val="26"/>
                <w:lang w:eastAsia="zh-CN"/>
              </w:rPr>
            </w:pPr>
          </w:p>
        </w:tc>
      </w:tr>
      <w:tr w:rsidR="00FA46A0" w:rsidRPr="009B42BB" w14:paraId="7CBEEB9D" w14:textId="77777777" w:rsidTr="00F02126">
        <w:trPr>
          <w:cantSplit/>
          <w:trHeight w:val="493"/>
        </w:trPr>
        <w:tc>
          <w:tcPr>
            <w:tcW w:w="4624" w:type="dxa"/>
            <w:gridSpan w:val="2"/>
            <w:vAlign w:val="center"/>
          </w:tcPr>
          <w:p w14:paraId="02781ED0" w14:textId="77777777" w:rsidR="00FA46A0" w:rsidRPr="009B42BB" w:rsidRDefault="00FA46A0" w:rsidP="00872354">
            <w:pPr>
              <w:pStyle w:val="Tabletext"/>
              <w:jc w:val="right"/>
              <w:rPr>
                <w:rFonts w:cs="Calibri"/>
                <w:szCs w:val="24"/>
                <w:lang w:eastAsia="zh-CN"/>
              </w:rPr>
            </w:pPr>
          </w:p>
        </w:tc>
        <w:tc>
          <w:tcPr>
            <w:tcW w:w="5202" w:type="dxa"/>
            <w:gridSpan w:val="2"/>
            <w:vAlign w:val="center"/>
          </w:tcPr>
          <w:p w14:paraId="5542BFA4" w14:textId="28F8ABF8" w:rsidR="00FA46A0" w:rsidRPr="009B42BB" w:rsidRDefault="00D036DA" w:rsidP="00750263">
            <w:pPr>
              <w:pStyle w:val="Tabletext"/>
              <w:spacing w:before="0" w:after="120"/>
              <w:ind w:left="-108"/>
              <w:rPr>
                <w:rFonts w:cs="Calibri"/>
                <w:szCs w:val="24"/>
                <w:lang w:eastAsia="zh-CN"/>
              </w:rPr>
            </w:pPr>
            <w:r w:rsidRPr="009B42BB">
              <w:rPr>
                <w:rFonts w:cs="Calibri"/>
                <w:szCs w:val="24"/>
              </w:rPr>
              <w:t>202</w:t>
            </w:r>
            <w:r w:rsidR="00BA7B3B" w:rsidRPr="009B42BB">
              <w:rPr>
                <w:rFonts w:cs="Calibri"/>
                <w:szCs w:val="24"/>
              </w:rPr>
              <w:t>3</w:t>
            </w:r>
            <w:r w:rsidR="00EE60C8" w:rsidRPr="009B42BB">
              <w:rPr>
                <w:rFonts w:cs="Calibri" w:hint="eastAsia"/>
                <w:szCs w:val="24"/>
                <w:lang w:eastAsia="zh-CN"/>
              </w:rPr>
              <w:t>年</w:t>
            </w:r>
            <w:r w:rsidR="00AA7615" w:rsidRPr="009B42BB">
              <w:rPr>
                <w:rFonts w:cs="Calibri"/>
                <w:szCs w:val="24"/>
                <w:lang w:eastAsia="zh-CN"/>
              </w:rPr>
              <w:t>10</w:t>
            </w:r>
            <w:r w:rsidR="00EE60C8" w:rsidRPr="009B42BB">
              <w:rPr>
                <w:rFonts w:cs="Calibri" w:hint="eastAsia"/>
                <w:szCs w:val="24"/>
                <w:lang w:eastAsia="zh-CN"/>
              </w:rPr>
              <w:t>月</w:t>
            </w:r>
            <w:r w:rsidR="00AA7615" w:rsidRPr="009B42BB">
              <w:rPr>
                <w:rFonts w:cs="Calibri" w:hint="eastAsia"/>
                <w:szCs w:val="24"/>
                <w:lang w:eastAsia="zh-CN"/>
              </w:rPr>
              <w:t>9</w:t>
            </w:r>
            <w:r w:rsidR="00EE60C8" w:rsidRPr="009B42BB">
              <w:rPr>
                <w:rFonts w:cs="Calibri" w:hint="eastAsia"/>
                <w:szCs w:val="24"/>
                <w:lang w:eastAsia="zh-CN"/>
              </w:rPr>
              <w:t>日，日内瓦</w:t>
            </w:r>
          </w:p>
        </w:tc>
      </w:tr>
      <w:tr w:rsidR="00B25910" w:rsidRPr="009B42BB" w14:paraId="5B9F57B8" w14:textId="77777777" w:rsidTr="002861A0">
        <w:trPr>
          <w:cantSplit/>
          <w:trHeight w:val="431"/>
        </w:trPr>
        <w:tc>
          <w:tcPr>
            <w:tcW w:w="1418" w:type="dxa"/>
          </w:tcPr>
          <w:p w14:paraId="4361F29A" w14:textId="1FF1D82D" w:rsidR="00B25910" w:rsidRPr="009B42BB" w:rsidRDefault="00774C88" w:rsidP="00B25910">
            <w:pPr>
              <w:pStyle w:val="Tabletext"/>
              <w:ind w:left="-110"/>
              <w:rPr>
                <w:rFonts w:cs="Calibri"/>
                <w:szCs w:val="24"/>
              </w:rPr>
            </w:pPr>
            <w:r w:rsidRPr="009B42BB">
              <w:rPr>
                <w:rFonts w:cs="Calibri" w:hint="eastAsia"/>
                <w:b/>
                <w:szCs w:val="24"/>
                <w:lang w:eastAsia="zh-CN"/>
              </w:rPr>
              <w:t>文号：</w:t>
            </w:r>
          </w:p>
        </w:tc>
        <w:tc>
          <w:tcPr>
            <w:tcW w:w="3206" w:type="dxa"/>
          </w:tcPr>
          <w:p w14:paraId="1FA4CE7F" w14:textId="44549114" w:rsidR="00B25910" w:rsidRPr="009B42BB" w:rsidRDefault="00C8689C" w:rsidP="00B25910">
            <w:pPr>
              <w:pStyle w:val="Tabletext"/>
              <w:rPr>
                <w:rFonts w:cs="Calibri"/>
                <w:szCs w:val="24"/>
                <w:lang w:eastAsia="zh-CN"/>
              </w:rPr>
            </w:pPr>
            <w:r w:rsidRPr="009B42BB">
              <w:rPr>
                <w:rFonts w:cs="Calibri" w:hint="eastAsia"/>
                <w:b/>
                <w:bCs/>
                <w:szCs w:val="24"/>
                <w:lang w:eastAsia="zh-CN"/>
              </w:rPr>
              <w:t>电信标准化局</w:t>
            </w:r>
            <w:r w:rsidR="00EE60C8" w:rsidRPr="009B42BB">
              <w:rPr>
                <w:rFonts w:cs="Calibri" w:hint="eastAsia"/>
                <w:b/>
                <w:bCs/>
                <w:szCs w:val="24"/>
                <w:lang w:eastAsia="zh-CN"/>
              </w:rPr>
              <w:t>第</w:t>
            </w:r>
            <w:r w:rsidR="00AA7615" w:rsidRPr="009B42BB">
              <w:rPr>
                <w:rFonts w:cs="Calibri"/>
                <w:b/>
                <w:bCs/>
                <w:szCs w:val="24"/>
                <w:lang w:eastAsia="zh-CN"/>
              </w:rPr>
              <w:t>139</w:t>
            </w:r>
            <w:r w:rsidR="00EE60C8" w:rsidRPr="009B42BB">
              <w:rPr>
                <w:rFonts w:cs="Calibri" w:hint="eastAsia"/>
                <w:b/>
                <w:bCs/>
                <w:szCs w:val="24"/>
                <w:lang w:eastAsia="zh-CN"/>
              </w:rPr>
              <w:t>号通函</w:t>
            </w:r>
          </w:p>
        </w:tc>
        <w:tc>
          <w:tcPr>
            <w:tcW w:w="5202" w:type="dxa"/>
            <w:gridSpan w:val="2"/>
            <w:vMerge w:val="restart"/>
          </w:tcPr>
          <w:p w14:paraId="61982A4C" w14:textId="77777777" w:rsidR="00F02126" w:rsidRPr="009B42BB" w:rsidRDefault="00F02126" w:rsidP="00F02126">
            <w:pPr>
              <w:pStyle w:val="Tabletext"/>
              <w:ind w:left="283" w:hanging="283"/>
              <w:rPr>
                <w:rFonts w:cstheme="minorHAnsi"/>
                <w:b/>
                <w:bCs/>
                <w:szCs w:val="24"/>
                <w:lang w:eastAsia="zh-CN"/>
              </w:rPr>
            </w:pPr>
            <w:r w:rsidRPr="009B42BB">
              <w:rPr>
                <w:rFonts w:cstheme="minorHAnsi"/>
                <w:b/>
                <w:bCs/>
                <w:szCs w:val="24"/>
                <w:lang w:eastAsia="zh-CN"/>
              </w:rPr>
              <w:t>致：</w:t>
            </w:r>
          </w:p>
          <w:p w14:paraId="259B9AA6" w14:textId="77777777" w:rsidR="00F02126" w:rsidRPr="009B42BB" w:rsidRDefault="00F02126" w:rsidP="00F02126">
            <w:pPr>
              <w:pStyle w:val="Tabletext"/>
              <w:ind w:left="283" w:hanging="283"/>
              <w:rPr>
                <w:rFonts w:cstheme="minorHAnsi"/>
                <w:szCs w:val="24"/>
                <w:lang w:eastAsia="zh-CN"/>
              </w:rPr>
            </w:pPr>
            <w:r w:rsidRPr="009B42BB">
              <w:rPr>
                <w:rFonts w:cstheme="minorHAnsi"/>
                <w:szCs w:val="24"/>
                <w:lang w:eastAsia="zh-CN"/>
              </w:rPr>
              <w:t>-</w:t>
            </w:r>
            <w:r w:rsidRPr="009B42BB">
              <w:rPr>
                <w:rFonts w:cstheme="minorHAnsi"/>
                <w:szCs w:val="24"/>
                <w:lang w:eastAsia="zh-CN"/>
              </w:rPr>
              <w:tab/>
            </w:r>
            <w:proofErr w:type="gramStart"/>
            <w:r w:rsidRPr="009B42BB">
              <w:rPr>
                <w:rFonts w:cstheme="minorHAnsi"/>
                <w:szCs w:val="24"/>
                <w:lang w:eastAsia="zh-CN"/>
              </w:rPr>
              <w:t>国际电联各成员国主管部门；</w:t>
            </w:r>
            <w:proofErr w:type="gramEnd"/>
          </w:p>
          <w:p w14:paraId="5D88A181" w14:textId="77777777" w:rsidR="00F02126" w:rsidRPr="009B42BB" w:rsidRDefault="00F02126" w:rsidP="00F02126">
            <w:pPr>
              <w:pStyle w:val="Tabletext"/>
              <w:ind w:left="283" w:hanging="283"/>
              <w:rPr>
                <w:rFonts w:cstheme="minorHAnsi"/>
                <w:color w:val="000000"/>
                <w:szCs w:val="24"/>
                <w:lang w:eastAsia="zh-CN"/>
              </w:rPr>
            </w:pPr>
            <w:r w:rsidRPr="009B42BB">
              <w:rPr>
                <w:rFonts w:cstheme="minorHAnsi"/>
                <w:color w:val="000000"/>
                <w:szCs w:val="24"/>
                <w:lang w:eastAsia="zh-CN"/>
              </w:rPr>
              <w:t>-</w:t>
            </w:r>
            <w:r w:rsidRPr="009B42BB">
              <w:rPr>
                <w:rFonts w:cstheme="minorHAnsi"/>
                <w:color w:val="000000"/>
                <w:szCs w:val="24"/>
                <w:lang w:eastAsia="zh-CN"/>
              </w:rPr>
              <w:tab/>
              <w:t>ITU-</w:t>
            </w:r>
            <w:proofErr w:type="gramStart"/>
            <w:r w:rsidRPr="009B42BB">
              <w:rPr>
                <w:rFonts w:cstheme="minorHAnsi"/>
                <w:color w:val="000000"/>
                <w:szCs w:val="24"/>
                <w:lang w:eastAsia="zh-CN"/>
              </w:rPr>
              <w:t>T</w:t>
            </w:r>
            <w:r w:rsidRPr="009B42BB">
              <w:rPr>
                <w:rFonts w:cstheme="minorHAnsi"/>
                <w:color w:val="000000"/>
                <w:szCs w:val="24"/>
                <w:lang w:val="fr-CH" w:eastAsia="zh-CN"/>
              </w:rPr>
              <w:t>部门成员</w:t>
            </w:r>
            <w:r w:rsidRPr="009B42BB">
              <w:rPr>
                <w:rFonts w:cstheme="minorHAnsi"/>
                <w:color w:val="000000"/>
                <w:szCs w:val="24"/>
                <w:lang w:eastAsia="zh-CN"/>
              </w:rPr>
              <w:t>；</w:t>
            </w:r>
            <w:proofErr w:type="gramEnd"/>
          </w:p>
          <w:p w14:paraId="5DA8AB7A" w14:textId="77777777" w:rsidR="00F02126" w:rsidRPr="009B42BB" w:rsidRDefault="00F02126" w:rsidP="00F02126">
            <w:pPr>
              <w:pStyle w:val="Tabletext"/>
              <w:ind w:left="283" w:hanging="283"/>
              <w:rPr>
                <w:rFonts w:cstheme="minorHAnsi"/>
                <w:color w:val="000000"/>
                <w:szCs w:val="24"/>
                <w:lang w:eastAsia="zh-CN"/>
              </w:rPr>
            </w:pPr>
            <w:r w:rsidRPr="009B42BB">
              <w:rPr>
                <w:rFonts w:cstheme="minorHAnsi"/>
                <w:color w:val="000000"/>
                <w:szCs w:val="24"/>
                <w:lang w:eastAsia="zh-CN"/>
              </w:rPr>
              <w:t>-</w:t>
            </w:r>
            <w:r w:rsidRPr="009B42BB">
              <w:rPr>
                <w:rFonts w:cstheme="minorHAnsi"/>
                <w:color w:val="000000"/>
                <w:szCs w:val="24"/>
                <w:lang w:eastAsia="zh-CN"/>
              </w:rPr>
              <w:tab/>
              <w:t>ITU-</w:t>
            </w:r>
            <w:proofErr w:type="gramStart"/>
            <w:r w:rsidRPr="009B42BB">
              <w:rPr>
                <w:rFonts w:cstheme="minorHAnsi"/>
                <w:color w:val="000000"/>
                <w:szCs w:val="24"/>
                <w:lang w:eastAsia="zh-CN"/>
              </w:rPr>
              <w:t>T</w:t>
            </w:r>
            <w:r w:rsidRPr="009B42BB">
              <w:rPr>
                <w:rFonts w:cstheme="minorHAnsi"/>
                <w:color w:val="000000"/>
                <w:szCs w:val="24"/>
                <w:lang w:val="fr-CH" w:eastAsia="zh-CN"/>
              </w:rPr>
              <w:t>部门准成员</w:t>
            </w:r>
            <w:r w:rsidRPr="009B42BB">
              <w:rPr>
                <w:rFonts w:cstheme="minorHAnsi"/>
                <w:color w:val="000000"/>
                <w:szCs w:val="24"/>
                <w:lang w:eastAsia="zh-CN"/>
              </w:rPr>
              <w:t>；</w:t>
            </w:r>
            <w:proofErr w:type="gramEnd"/>
          </w:p>
          <w:p w14:paraId="2AC74A74" w14:textId="58D67DD1" w:rsidR="00F02126" w:rsidRPr="009B42BB" w:rsidRDefault="00F02126" w:rsidP="00F02126">
            <w:pPr>
              <w:tabs>
                <w:tab w:val="clear" w:pos="794"/>
                <w:tab w:val="clear" w:pos="1191"/>
                <w:tab w:val="clear" w:pos="1588"/>
                <w:tab w:val="clear" w:pos="1985"/>
                <w:tab w:val="left" w:pos="284"/>
              </w:tabs>
              <w:spacing w:before="0"/>
              <w:ind w:left="284" w:hanging="284"/>
              <w:rPr>
                <w:rFonts w:cstheme="minorHAnsi"/>
                <w:color w:val="000000"/>
                <w:szCs w:val="24"/>
                <w:lang w:eastAsia="zh-CN"/>
              </w:rPr>
            </w:pPr>
            <w:r w:rsidRPr="009B42BB">
              <w:rPr>
                <w:rFonts w:cstheme="minorHAnsi"/>
                <w:color w:val="000000"/>
                <w:szCs w:val="24"/>
                <w:lang w:eastAsia="zh-CN"/>
              </w:rPr>
              <w:t>-</w:t>
            </w:r>
            <w:r w:rsidRPr="009B42BB">
              <w:rPr>
                <w:rFonts w:cstheme="minorHAnsi"/>
                <w:color w:val="000000"/>
                <w:szCs w:val="24"/>
                <w:lang w:eastAsia="zh-CN"/>
              </w:rPr>
              <w:tab/>
            </w:r>
            <w:r w:rsidRPr="009B42BB">
              <w:rPr>
                <w:rFonts w:cstheme="minorHAnsi"/>
                <w:color w:val="000000"/>
                <w:szCs w:val="24"/>
                <w:lang w:val="fr-CH" w:eastAsia="zh-CN"/>
              </w:rPr>
              <w:t>国际电联学术成员</w:t>
            </w:r>
          </w:p>
          <w:p w14:paraId="3A800388" w14:textId="77777777" w:rsidR="00F02126" w:rsidRPr="009B42BB" w:rsidRDefault="00F02126" w:rsidP="00F02126">
            <w:pPr>
              <w:pStyle w:val="Tabletext"/>
              <w:rPr>
                <w:rFonts w:cstheme="minorHAnsi"/>
                <w:b/>
                <w:szCs w:val="24"/>
                <w:lang w:eastAsia="zh-CN"/>
              </w:rPr>
            </w:pPr>
            <w:r w:rsidRPr="009B42BB">
              <w:rPr>
                <w:rFonts w:cstheme="minorHAnsi"/>
                <w:b/>
                <w:szCs w:val="24"/>
                <w:lang w:eastAsia="zh-CN"/>
              </w:rPr>
              <w:t>抄送：</w:t>
            </w:r>
          </w:p>
          <w:p w14:paraId="5C144582" w14:textId="77777777" w:rsidR="00F02126" w:rsidRPr="009B42BB" w:rsidRDefault="00F02126" w:rsidP="00F02126">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cstheme="minorHAnsi"/>
                <w:szCs w:val="24"/>
                <w:lang w:eastAsia="zh-CN"/>
              </w:rPr>
            </w:pPr>
            <w:r w:rsidRPr="009B42BB">
              <w:rPr>
                <w:rFonts w:cstheme="minorHAnsi"/>
                <w:szCs w:val="24"/>
                <w:lang w:eastAsia="zh-CN"/>
              </w:rPr>
              <w:t>-</w:t>
            </w:r>
            <w:r w:rsidRPr="009B42BB">
              <w:rPr>
                <w:rFonts w:cstheme="minorHAnsi"/>
                <w:szCs w:val="24"/>
                <w:lang w:eastAsia="zh-CN"/>
              </w:rPr>
              <w:tab/>
              <w:t>ITU-</w:t>
            </w:r>
            <w:proofErr w:type="gramStart"/>
            <w:r w:rsidRPr="009B42BB">
              <w:rPr>
                <w:rFonts w:cstheme="minorHAnsi"/>
                <w:szCs w:val="24"/>
                <w:lang w:eastAsia="zh-CN"/>
              </w:rPr>
              <w:t>T</w:t>
            </w:r>
            <w:r w:rsidRPr="009B42BB">
              <w:rPr>
                <w:rFonts w:cstheme="minorHAnsi"/>
                <w:szCs w:val="24"/>
                <w:lang w:eastAsia="zh-CN"/>
              </w:rPr>
              <w:t>各研究组正副主席；</w:t>
            </w:r>
            <w:proofErr w:type="gramEnd"/>
          </w:p>
          <w:p w14:paraId="10BB628C" w14:textId="77777777" w:rsidR="00F02126" w:rsidRPr="009B42BB" w:rsidRDefault="00F02126" w:rsidP="00F02126">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cstheme="minorHAnsi"/>
                <w:szCs w:val="24"/>
                <w:lang w:eastAsia="zh-CN"/>
              </w:rPr>
            </w:pPr>
            <w:r w:rsidRPr="009B42BB">
              <w:rPr>
                <w:rFonts w:cstheme="minorHAnsi"/>
                <w:szCs w:val="24"/>
                <w:lang w:eastAsia="zh-CN"/>
              </w:rPr>
              <w:t>-</w:t>
            </w:r>
            <w:r w:rsidRPr="009B42BB">
              <w:rPr>
                <w:rFonts w:cstheme="minorHAnsi"/>
                <w:szCs w:val="24"/>
                <w:lang w:eastAsia="zh-CN"/>
              </w:rPr>
              <w:tab/>
            </w:r>
            <w:proofErr w:type="gramStart"/>
            <w:r w:rsidRPr="009B42BB">
              <w:rPr>
                <w:rFonts w:cstheme="minorHAnsi"/>
                <w:szCs w:val="24"/>
                <w:lang w:eastAsia="zh-CN"/>
              </w:rPr>
              <w:t>电信发展局主任；</w:t>
            </w:r>
            <w:proofErr w:type="gramEnd"/>
          </w:p>
          <w:p w14:paraId="5984EDB0" w14:textId="238F6E2C" w:rsidR="00F02126" w:rsidRPr="009B42BB" w:rsidRDefault="00F02126" w:rsidP="00DB1963">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cs="Calibri"/>
                <w:szCs w:val="24"/>
              </w:rPr>
            </w:pPr>
            <w:r w:rsidRPr="009B42BB">
              <w:rPr>
                <w:rFonts w:cstheme="minorHAnsi"/>
                <w:szCs w:val="24"/>
              </w:rPr>
              <w:t>-</w:t>
            </w:r>
            <w:r w:rsidRPr="009B42BB">
              <w:rPr>
                <w:rFonts w:cstheme="minorHAnsi"/>
                <w:szCs w:val="24"/>
              </w:rPr>
              <w:tab/>
            </w:r>
            <w:r w:rsidRPr="009B42BB">
              <w:rPr>
                <w:rFonts w:cstheme="minorHAnsi"/>
                <w:szCs w:val="24"/>
                <w:lang w:eastAsia="zh-CN"/>
              </w:rPr>
              <w:t>无线电通信局主任</w:t>
            </w:r>
          </w:p>
        </w:tc>
      </w:tr>
      <w:tr w:rsidR="00B25910" w:rsidRPr="009B42BB" w14:paraId="218C7AAB" w14:textId="77777777" w:rsidTr="002861A0">
        <w:trPr>
          <w:cantSplit/>
          <w:trHeight w:val="221"/>
        </w:trPr>
        <w:tc>
          <w:tcPr>
            <w:tcW w:w="1418" w:type="dxa"/>
          </w:tcPr>
          <w:p w14:paraId="0AF5256F" w14:textId="70FE9383" w:rsidR="00B25910" w:rsidRPr="009B42BB" w:rsidRDefault="00EE60C8" w:rsidP="00B25910">
            <w:pPr>
              <w:pStyle w:val="Tabletext"/>
              <w:ind w:left="-110"/>
              <w:rPr>
                <w:rFonts w:cs="Calibri"/>
                <w:szCs w:val="24"/>
              </w:rPr>
            </w:pPr>
            <w:r w:rsidRPr="009B42BB">
              <w:rPr>
                <w:rFonts w:cs="Calibri" w:hint="eastAsia"/>
                <w:b/>
                <w:szCs w:val="24"/>
                <w:lang w:eastAsia="zh-CN"/>
              </w:rPr>
              <w:t>电话：</w:t>
            </w:r>
          </w:p>
        </w:tc>
        <w:tc>
          <w:tcPr>
            <w:tcW w:w="3206" w:type="dxa"/>
          </w:tcPr>
          <w:p w14:paraId="79A9C2E7" w14:textId="2C8AD772" w:rsidR="00B25910" w:rsidRPr="009B42BB" w:rsidRDefault="00B25910" w:rsidP="00B25910">
            <w:pPr>
              <w:pStyle w:val="Tabletext"/>
              <w:rPr>
                <w:rFonts w:cs="Calibri"/>
                <w:b/>
                <w:szCs w:val="24"/>
              </w:rPr>
            </w:pPr>
            <w:r w:rsidRPr="009B42BB">
              <w:rPr>
                <w:rFonts w:cs="Calibri"/>
                <w:szCs w:val="24"/>
              </w:rPr>
              <w:t>+41 22 730 6301</w:t>
            </w:r>
          </w:p>
        </w:tc>
        <w:tc>
          <w:tcPr>
            <w:tcW w:w="5202" w:type="dxa"/>
            <w:gridSpan w:val="2"/>
            <w:vMerge/>
          </w:tcPr>
          <w:p w14:paraId="00A6FEE0" w14:textId="77777777" w:rsidR="00B25910" w:rsidRPr="009B42BB" w:rsidRDefault="00B25910" w:rsidP="00B25910">
            <w:pPr>
              <w:pStyle w:val="Tabletext"/>
              <w:ind w:left="142" w:hanging="391"/>
              <w:rPr>
                <w:rFonts w:cs="Calibri"/>
                <w:szCs w:val="24"/>
              </w:rPr>
            </w:pPr>
          </w:p>
        </w:tc>
      </w:tr>
      <w:tr w:rsidR="00B25910" w:rsidRPr="009B42BB" w14:paraId="4FB22726" w14:textId="77777777" w:rsidTr="002861A0">
        <w:trPr>
          <w:cantSplit/>
          <w:trHeight w:val="499"/>
        </w:trPr>
        <w:tc>
          <w:tcPr>
            <w:tcW w:w="1418" w:type="dxa"/>
          </w:tcPr>
          <w:p w14:paraId="416A12B3" w14:textId="7B4BC07D" w:rsidR="00B25910" w:rsidRPr="009B42BB" w:rsidRDefault="00EE60C8" w:rsidP="00B25910">
            <w:pPr>
              <w:pStyle w:val="Tabletext"/>
              <w:ind w:left="-110"/>
              <w:rPr>
                <w:rFonts w:cs="Calibri"/>
                <w:b/>
                <w:szCs w:val="24"/>
              </w:rPr>
            </w:pPr>
            <w:r w:rsidRPr="009B42BB">
              <w:rPr>
                <w:rFonts w:cs="Calibri" w:hint="eastAsia"/>
                <w:b/>
                <w:szCs w:val="24"/>
                <w:lang w:eastAsia="zh-CN"/>
              </w:rPr>
              <w:t>传真：</w:t>
            </w:r>
          </w:p>
          <w:p w14:paraId="254ABACE" w14:textId="5F183745" w:rsidR="00750263" w:rsidRPr="009B42BB" w:rsidRDefault="00EE60C8" w:rsidP="00B25910">
            <w:pPr>
              <w:pStyle w:val="Tabletext"/>
              <w:ind w:left="-110"/>
              <w:rPr>
                <w:rFonts w:cs="Calibri"/>
                <w:szCs w:val="24"/>
              </w:rPr>
            </w:pPr>
            <w:r w:rsidRPr="009B42BB">
              <w:rPr>
                <w:rFonts w:cs="Calibri" w:hint="eastAsia"/>
                <w:b/>
                <w:szCs w:val="24"/>
                <w:lang w:eastAsia="zh-CN"/>
              </w:rPr>
              <w:t>电子邮件：</w:t>
            </w:r>
          </w:p>
        </w:tc>
        <w:tc>
          <w:tcPr>
            <w:tcW w:w="3206" w:type="dxa"/>
          </w:tcPr>
          <w:p w14:paraId="415C8601" w14:textId="77777777" w:rsidR="00B25910" w:rsidRPr="009B42BB" w:rsidRDefault="00B25910" w:rsidP="00B25910">
            <w:pPr>
              <w:pStyle w:val="Tabletext"/>
              <w:rPr>
                <w:rFonts w:cs="Calibri"/>
                <w:szCs w:val="24"/>
              </w:rPr>
            </w:pPr>
            <w:r w:rsidRPr="009B42BB">
              <w:rPr>
                <w:rFonts w:cs="Calibri"/>
                <w:szCs w:val="24"/>
              </w:rPr>
              <w:t>+41 22 730 5853</w:t>
            </w:r>
          </w:p>
          <w:p w14:paraId="3EED3728" w14:textId="0614B538" w:rsidR="00750263" w:rsidRPr="009B42BB" w:rsidRDefault="00A02041" w:rsidP="00B25910">
            <w:pPr>
              <w:pStyle w:val="Tabletext"/>
              <w:rPr>
                <w:rFonts w:cs="Calibri"/>
                <w:b/>
                <w:szCs w:val="24"/>
              </w:rPr>
            </w:pPr>
            <w:hyperlink r:id="rId8" w:history="1">
              <w:r w:rsidR="0051780C" w:rsidRPr="009B42BB">
                <w:rPr>
                  <w:rStyle w:val="Hyperlink"/>
                  <w:rFonts w:cs="Calibri"/>
                  <w:szCs w:val="24"/>
                </w:rPr>
                <w:t>digitaltransformation@itu.int</w:t>
              </w:r>
            </w:hyperlink>
            <w:r w:rsidR="0051780C" w:rsidRPr="009B42BB">
              <w:rPr>
                <w:rFonts w:cs="Calibri"/>
                <w:szCs w:val="24"/>
              </w:rPr>
              <w:t xml:space="preserve"> </w:t>
            </w:r>
          </w:p>
        </w:tc>
        <w:tc>
          <w:tcPr>
            <w:tcW w:w="5202" w:type="dxa"/>
            <w:gridSpan w:val="2"/>
            <w:vMerge/>
          </w:tcPr>
          <w:p w14:paraId="2D69D236" w14:textId="77777777" w:rsidR="00B25910" w:rsidRPr="009B42BB" w:rsidRDefault="00B25910" w:rsidP="00B25910">
            <w:pPr>
              <w:pStyle w:val="Tabletext"/>
              <w:ind w:left="142" w:hanging="391"/>
              <w:rPr>
                <w:rFonts w:cs="Calibri"/>
                <w:szCs w:val="24"/>
              </w:rPr>
            </w:pPr>
          </w:p>
        </w:tc>
      </w:tr>
      <w:tr w:rsidR="00B25910" w:rsidRPr="009B42BB" w14:paraId="3D692815" w14:textId="77777777" w:rsidTr="002861A0">
        <w:trPr>
          <w:cantSplit/>
          <w:trHeight w:val="618"/>
        </w:trPr>
        <w:tc>
          <w:tcPr>
            <w:tcW w:w="1418" w:type="dxa"/>
          </w:tcPr>
          <w:p w14:paraId="71C35540" w14:textId="2259D8ED" w:rsidR="00B25910" w:rsidRPr="009B42BB" w:rsidRDefault="00F02126" w:rsidP="00B25910">
            <w:pPr>
              <w:pStyle w:val="Tabletext"/>
              <w:ind w:left="-110"/>
              <w:rPr>
                <w:rFonts w:asciiTheme="minorHAnsi" w:hAnsiTheme="minorHAnsi" w:cstheme="minorHAnsi"/>
                <w:szCs w:val="24"/>
              </w:rPr>
            </w:pPr>
            <w:r w:rsidRPr="009B42BB">
              <w:rPr>
                <w:rFonts w:cstheme="minorHAnsi"/>
                <w:b/>
                <w:szCs w:val="24"/>
                <w:lang w:eastAsia="zh-CN"/>
              </w:rPr>
              <w:t>事由：</w:t>
            </w:r>
          </w:p>
        </w:tc>
        <w:tc>
          <w:tcPr>
            <w:tcW w:w="8408" w:type="dxa"/>
            <w:gridSpan w:val="3"/>
          </w:tcPr>
          <w:p w14:paraId="6DAA681E" w14:textId="7AEBC448" w:rsidR="00B25910" w:rsidRPr="009B42BB" w:rsidRDefault="00F02126" w:rsidP="00F54170">
            <w:pPr>
              <w:pStyle w:val="Tabletext"/>
              <w:rPr>
                <w:rFonts w:asciiTheme="minorHAnsi" w:hAnsiTheme="minorHAnsi" w:cstheme="minorHAnsi"/>
                <w:b/>
                <w:bCs/>
                <w:szCs w:val="24"/>
                <w:lang w:eastAsia="ko-KR"/>
              </w:rPr>
            </w:pPr>
            <w:r w:rsidRPr="009B42BB">
              <w:rPr>
                <w:rFonts w:cstheme="minorHAnsi"/>
                <w:b/>
                <w:bCs/>
                <w:szCs w:val="24"/>
                <w:lang w:eastAsia="zh-CN"/>
              </w:rPr>
              <w:t>数字化转型</w:t>
            </w:r>
            <w:bookmarkStart w:id="0" w:name="lt_pId048"/>
            <w:r w:rsidRPr="009B42BB">
              <w:rPr>
                <w:rFonts w:cstheme="minorHAnsi"/>
                <w:b/>
                <w:bCs/>
                <w:szCs w:val="24"/>
                <w:lang w:eastAsia="zh-CN"/>
              </w:rPr>
              <w:t>系列</w:t>
            </w:r>
            <w:r w:rsidRPr="009B42BB">
              <w:rPr>
                <w:rFonts w:asciiTheme="minorHAnsi" w:hAnsiTheme="minorHAnsi" w:cstheme="minorHAnsi"/>
                <w:b/>
                <w:color w:val="000000" w:themeColor="text1"/>
                <w:szCs w:val="24"/>
                <w:lang w:eastAsia="zh-CN"/>
              </w:rPr>
              <w:t>网络研讨会</w:t>
            </w:r>
            <w:bookmarkEnd w:id="0"/>
            <w:r w:rsidR="00AA7615" w:rsidRPr="009B42BB">
              <w:rPr>
                <w:rFonts w:asciiTheme="minorHAnsi" w:hAnsiTheme="minorHAnsi" w:cstheme="minorHAnsi" w:hint="eastAsia"/>
                <w:b/>
                <w:color w:val="000000" w:themeColor="text1"/>
                <w:szCs w:val="24"/>
                <w:lang w:eastAsia="zh-CN"/>
              </w:rPr>
              <w:t>：更多</w:t>
            </w:r>
            <w:r w:rsidR="0000685B" w:rsidRPr="009B42BB">
              <w:rPr>
                <w:rFonts w:asciiTheme="minorHAnsi" w:hAnsiTheme="minorHAnsi" w:cstheme="minorHAnsi" w:hint="eastAsia"/>
                <w:b/>
                <w:color w:val="000000" w:themeColor="text1"/>
                <w:szCs w:val="24"/>
                <w:lang w:eastAsia="zh-CN"/>
              </w:rPr>
              <w:t>主题</w:t>
            </w:r>
            <w:r w:rsidRPr="009B42BB">
              <w:rPr>
                <w:rFonts w:asciiTheme="minorHAnsi" w:hAnsiTheme="minorHAnsi" w:cstheme="minorHAnsi" w:hint="eastAsia"/>
                <w:b/>
                <w:color w:val="000000" w:themeColor="text1"/>
                <w:szCs w:val="24"/>
                <w:lang w:eastAsia="zh-CN"/>
              </w:rPr>
              <w:t>（</w:t>
            </w:r>
            <w:r w:rsidRPr="009B42BB">
              <w:rPr>
                <w:rFonts w:asciiTheme="minorHAnsi" w:hAnsiTheme="minorHAnsi" w:cstheme="minorHAnsi"/>
                <w:b/>
                <w:color w:val="000000" w:themeColor="text1"/>
                <w:szCs w:val="24"/>
                <w:lang w:eastAsia="zh-CN"/>
              </w:rPr>
              <w:t>全虚拟会</w:t>
            </w:r>
            <w:r w:rsidRPr="009B42BB">
              <w:rPr>
                <w:rFonts w:asciiTheme="minorHAnsi" w:hAnsiTheme="minorHAnsi" w:cstheme="minorHAnsi" w:hint="eastAsia"/>
                <w:b/>
                <w:color w:val="000000" w:themeColor="text1"/>
                <w:szCs w:val="24"/>
                <w:lang w:eastAsia="zh-CN"/>
              </w:rPr>
              <w:t>议）</w:t>
            </w:r>
          </w:p>
        </w:tc>
      </w:tr>
    </w:tbl>
    <w:p w14:paraId="1E985D60" w14:textId="66276663" w:rsidR="00B25910" w:rsidRPr="009B42BB" w:rsidRDefault="00C8689C" w:rsidP="002861A0">
      <w:pPr>
        <w:spacing w:before="240" w:after="20"/>
        <w:rPr>
          <w:rFonts w:asciiTheme="minorHAnsi" w:hAnsiTheme="minorHAnsi" w:cstheme="minorHAnsi"/>
          <w:szCs w:val="24"/>
          <w:lang w:eastAsia="zh-CN"/>
        </w:rPr>
      </w:pPr>
      <w:r w:rsidRPr="009B42BB">
        <w:rPr>
          <w:rFonts w:cstheme="minorHAnsi" w:hint="eastAsia"/>
          <w:szCs w:val="24"/>
          <w:lang w:eastAsia="zh-CN"/>
        </w:rPr>
        <w:t>尊敬</w:t>
      </w:r>
      <w:r w:rsidR="00F02126" w:rsidRPr="009B42BB">
        <w:rPr>
          <w:rFonts w:cstheme="minorHAnsi"/>
          <w:szCs w:val="24"/>
          <w:lang w:eastAsia="zh-CN"/>
        </w:rPr>
        <w:t>的先生</w:t>
      </w:r>
      <w:r w:rsidR="00F02126" w:rsidRPr="009B42BB">
        <w:rPr>
          <w:rFonts w:cstheme="minorHAnsi"/>
          <w:szCs w:val="24"/>
          <w:lang w:eastAsia="zh-CN"/>
        </w:rPr>
        <w:t>/</w:t>
      </w:r>
      <w:r w:rsidR="00F02126" w:rsidRPr="009B42BB">
        <w:rPr>
          <w:rFonts w:cstheme="minorHAnsi"/>
          <w:szCs w:val="24"/>
          <w:lang w:eastAsia="zh-CN"/>
        </w:rPr>
        <w:t>女士：</w:t>
      </w:r>
    </w:p>
    <w:p w14:paraId="2C9415C3" w14:textId="066777F1" w:rsidR="00AA7615" w:rsidRPr="009B42BB" w:rsidRDefault="00AA7615" w:rsidP="00AA7615">
      <w:pPr>
        <w:tabs>
          <w:tab w:val="left" w:pos="709"/>
        </w:tabs>
        <w:rPr>
          <w:rFonts w:asciiTheme="minorHAnsi" w:hAnsiTheme="minorHAnsi" w:cstheme="minorHAnsi"/>
          <w:szCs w:val="24"/>
          <w:lang w:eastAsia="zh-CN"/>
        </w:rPr>
      </w:pPr>
      <w:r w:rsidRPr="009B42BB">
        <w:rPr>
          <w:rFonts w:asciiTheme="minorHAnsi" w:hAnsiTheme="minorHAnsi" w:cstheme="minorHAnsi"/>
          <w:szCs w:val="24"/>
          <w:lang w:eastAsia="zh-CN"/>
        </w:rPr>
        <w:t>1</w:t>
      </w:r>
      <w:r w:rsidRPr="009B42BB">
        <w:rPr>
          <w:rFonts w:asciiTheme="minorHAnsi" w:hAnsiTheme="minorHAnsi" w:cstheme="minorHAnsi"/>
          <w:szCs w:val="24"/>
          <w:lang w:eastAsia="zh-CN"/>
        </w:rPr>
        <w:tab/>
      </w:r>
      <w:r w:rsidRPr="009B42BB">
        <w:rPr>
          <w:rFonts w:asciiTheme="minorHAnsi" w:hAnsiTheme="minorHAnsi" w:cstheme="minorHAnsi" w:hint="eastAsia"/>
          <w:szCs w:val="24"/>
          <w:lang w:eastAsia="zh-CN"/>
        </w:rPr>
        <w:t>国际电信联盟（国际电联</w:t>
      </w:r>
      <w:r w:rsidRPr="009B42BB">
        <w:rPr>
          <w:rFonts w:asciiTheme="minorHAnsi" w:hAnsiTheme="minorHAnsi" w:cstheme="minorHAnsi" w:hint="eastAsia"/>
          <w:szCs w:val="24"/>
          <w:lang w:val="en-US" w:eastAsia="zh-CN"/>
        </w:rPr>
        <w:t>）</w:t>
      </w:r>
      <w:r w:rsidRPr="009B42BB">
        <w:rPr>
          <w:rFonts w:asciiTheme="minorHAnsi" w:hAnsiTheme="minorHAnsi" w:cstheme="minorHAnsi" w:hint="eastAsia"/>
          <w:szCs w:val="24"/>
          <w:lang w:eastAsia="zh-CN"/>
        </w:rPr>
        <w:t>与其他利益攸关方和联合国机构一道，一直在</w:t>
      </w:r>
      <w:r w:rsidRPr="002861A0">
        <w:rPr>
          <w:rFonts w:asciiTheme="minorHAnsi" w:hAnsiTheme="minorHAnsi" w:cstheme="minorHAnsi" w:hint="eastAsia"/>
          <w:b/>
          <w:bCs/>
          <w:szCs w:val="24"/>
          <w:lang w:eastAsia="zh-CN"/>
        </w:rPr>
        <w:t>数字化转型系列网络研讨会</w:t>
      </w:r>
      <w:r w:rsidRPr="009B42BB">
        <w:rPr>
          <w:rFonts w:asciiTheme="minorHAnsi" w:hAnsiTheme="minorHAnsi" w:cstheme="minorHAnsi" w:hint="eastAsia"/>
          <w:szCs w:val="24"/>
          <w:lang w:eastAsia="zh-CN"/>
        </w:rPr>
        <w:t>的名义下定期组织网上研讨会，目的是考察新兴技术和数字技术在数字时代的跨领域影响，并探讨标准化在这方面的作用。</w:t>
      </w:r>
    </w:p>
    <w:p w14:paraId="4813A2BF" w14:textId="553F6636" w:rsidR="00AA7615" w:rsidRPr="009B42BB" w:rsidRDefault="00983151" w:rsidP="009B42BB">
      <w:pPr>
        <w:tabs>
          <w:tab w:val="left" w:pos="709"/>
        </w:tabs>
        <w:ind w:firstLineChars="200" w:firstLine="480"/>
        <w:rPr>
          <w:rFonts w:asciiTheme="minorHAnsi" w:hAnsiTheme="minorHAnsi" w:cstheme="minorHAnsi"/>
          <w:szCs w:val="24"/>
          <w:lang w:eastAsia="zh-CN"/>
        </w:rPr>
      </w:pPr>
      <w:r w:rsidRPr="009B42BB">
        <w:rPr>
          <w:rFonts w:asciiTheme="minorHAnsi" w:hAnsiTheme="minorHAnsi" w:cstheme="minorHAnsi" w:hint="eastAsia"/>
          <w:szCs w:val="24"/>
          <w:lang w:eastAsia="zh-CN"/>
        </w:rPr>
        <w:t>迄今为止，该系列网络研讨会已组织了</w:t>
      </w:r>
      <w:r w:rsidRPr="009B42BB">
        <w:rPr>
          <w:rFonts w:asciiTheme="minorHAnsi" w:hAnsiTheme="minorHAnsi" w:cstheme="minorHAnsi" w:hint="eastAsia"/>
          <w:szCs w:val="24"/>
          <w:lang w:eastAsia="zh-CN"/>
        </w:rPr>
        <w:t>30</w:t>
      </w:r>
      <w:r w:rsidRPr="009B42BB">
        <w:rPr>
          <w:rFonts w:asciiTheme="minorHAnsi" w:hAnsiTheme="minorHAnsi" w:cstheme="minorHAnsi" w:hint="eastAsia"/>
          <w:szCs w:val="24"/>
          <w:lang w:eastAsia="zh-CN"/>
        </w:rPr>
        <w:t>多场并已成为一个理想的平台，</w:t>
      </w:r>
      <w:r w:rsidR="006C0AA3" w:rsidRPr="009B42BB">
        <w:rPr>
          <w:rFonts w:asciiTheme="minorHAnsi" w:hAnsiTheme="minorHAnsi" w:cstheme="minorHAnsi" w:hint="eastAsia"/>
          <w:szCs w:val="24"/>
          <w:lang w:eastAsia="zh-CN"/>
        </w:rPr>
        <w:t>服务于</w:t>
      </w:r>
      <w:r w:rsidRPr="009B42BB">
        <w:rPr>
          <w:rFonts w:asciiTheme="minorHAnsi" w:hAnsiTheme="minorHAnsi" w:cstheme="minorHAnsi" w:hint="eastAsia"/>
          <w:szCs w:val="24"/>
          <w:lang w:eastAsia="zh-CN"/>
        </w:rPr>
        <w:t>ITU-T</w:t>
      </w:r>
      <w:r w:rsidRPr="009B42BB">
        <w:rPr>
          <w:rFonts w:asciiTheme="minorHAnsi" w:hAnsiTheme="minorHAnsi" w:cstheme="minorHAnsi" w:hint="eastAsia"/>
          <w:szCs w:val="24"/>
          <w:lang w:eastAsia="zh-CN"/>
        </w:rPr>
        <w:t>焦点组、</w:t>
      </w:r>
      <w:r w:rsidRPr="009B42BB">
        <w:rPr>
          <w:rFonts w:asciiTheme="minorHAnsi" w:hAnsiTheme="minorHAnsi" w:cstheme="minorHAnsi" w:hint="eastAsia"/>
          <w:szCs w:val="24"/>
          <w:lang w:eastAsia="zh-CN"/>
        </w:rPr>
        <w:t>ITU-T</w:t>
      </w:r>
      <w:r w:rsidR="006C0AA3" w:rsidRPr="009B42BB">
        <w:rPr>
          <w:rFonts w:asciiTheme="minorHAnsi" w:hAnsiTheme="minorHAnsi" w:cstheme="minorHAnsi" w:hint="eastAsia"/>
          <w:szCs w:val="24"/>
          <w:lang w:eastAsia="zh-CN"/>
        </w:rPr>
        <w:t>举措</w:t>
      </w:r>
      <w:r w:rsidRPr="009B42BB">
        <w:rPr>
          <w:rFonts w:asciiTheme="minorHAnsi" w:hAnsiTheme="minorHAnsi" w:cstheme="minorHAnsi" w:hint="eastAsia"/>
          <w:szCs w:val="24"/>
          <w:lang w:eastAsia="zh-CN"/>
        </w:rPr>
        <w:t>和</w:t>
      </w:r>
      <w:r w:rsidRPr="009B42BB">
        <w:rPr>
          <w:rFonts w:asciiTheme="minorHAnsi" w:hAnsiTheme="minorHAnsi" w:cstheme="minorHAnsi" w:hint="eastAsia"/>
          <w:szCs w:val="24"/>
          <w:lang w:eastAsia="zh-CN"/>
        </w:rPr>
        <w:t>ITU-T</w:t>
      </w:r>
      <w:r w:rsidRPr="009B42BB">
        <w:rPr>
          <w:rFonts w:asciiTheme="minorHAnsi" w:hAnsiTheme="minorHAnsi" w:cstheme="minorHAnsi" w:hint="eastAsia"/>
          <w:szCs w:val="24"/>
          <w:lang w:eastAsia="zh-CN"/>
        </w:rPr>
        <w:t>研究组的最新工作和成果，</w:t>
      </w:r>
      <w:r w:rsidR="006C0AA3" w:rsidRPr="009B42BB">
        <w:rPr>
          <w:rFonts w:asciiTheme="minorHAnsi" w:hAnsiTheme="minorHAnsi" w:cstheme="minorHAnsi" w:hint="eastAsia"/>
          <w:szCs w:val="24"/>
          <w:lang w:eastAsia="zh-CN"/>
        </w:rPr>
        <w:t>这其中</w:t>
      </w:r>
      <w:r w:rsidRPr="009B42BB">
        <w:rPr>
          <w:rFonts w:asciiTheme="minorHAnsi" w:hAnsiTheme="minorHAnsi" w:cstheme="minorHAnsi" w:hint="eastAsia"/>
          <w:szCs w:val="24"/>
          <w:lang w:eastAsia="zh-CN"/>
        </w:rPr>
        <w:t>包括</w:t>
      </w:r>
      <w:hyperlink r:id="rId9" w:history="1">
        <w:r w:rsidRPr="009B42BB">
          <w:rPr>
            <w:rStyle w:val="Hyperlink"/>
            <w:rFonts w:asciiTheme="minorHAnsi" w:hAnsiTheme="minorHAnsi" w:cstheme="minorHAnsi" w:hint="eastAsia"/>
            <w:szCs w:val="24"/>
            <w:lang w:eastAsia="zh-CN"/>
          </w:rPr>
          <w:t>ITU-T</w:t>
        </w:r>
        <w:r w:rsidR="006C0AA3" w:rsidRPr="009B42BB">
          <w:rPr>
            <w:rStyle w:val="Hyperlink"/>
            <w:rFonts w:asciiTheme="minorHAnsi" w:hAnsiTheme="minorHAnsi" w:cstheme="minorHAnsi" w:hint="eastAsia"/>
            <w:szCs w:val="24"/>
            <w:lang w:eastAsia="zh-CN"/>
          </w:rPr>
          <w:t>第</w:t>
        </w:r>
        <w:r w:rsidRPr="009B42BB">
          <w:rPr>
            <w:rStyle w:val="Hyperlink"/>
            <w:rFonts w:asciiTheme="minorHAnsi" w:hAnsiTheme="minorHAnsi" w:cstheme="minorHAnsi" w:hint="eastAsia"/>
            <w:szCs w:val="24"/>
            <w:lang w:eastAsia="zh-CN"/>
          </w:rPr>
          <w:t>20</w:t>
        </w:r>
        <w:r w:rsidR="006C0AA3" w:rsidRPr="009B42BB">
          <w:rPr>
            <w:rStyle w:val="Hyperlink"/>
            <w:rFonts w:asciiTheme="minorHAnsi" w:hAnsiTheme="minorHAnsi" w:cstheme="minorHAnsi" w:hint="eastAsia"/>
            <w:szCs w:val="24"/>
            <w:lang w:eastAsia="zh-CN"/>
          </w:rPr>
          <w:t>研究组</w:t>
        </w:r>
        <w:r w:rsidRPr="009B42BB">
          <w:rPr>
            <w:rStyle w:val="Hyperlink"/>
            <w:rFonts w:asciiTheme="minorHAnsi" w:hAnsiTheme="minorHAnsi" w:cstheme="minorHAnsi" w:hint="eastAsia"/>
            <w:szCs w:val="24"/>
            <w:lang w:eastAsia="zh-CN"/>
          </w:rPr>
          <w:t>“物联网</w:t>
        </w:r>
        <w:r w:rsidR="006C0AA3" w:rsidRPr="009B42BB">
          <w:rPr>
            <w:rStyle w:val="Hyperlink"/>
            <w:rFonts w:asciiTheme="minorHAnsi" w:hAnsiTheme="minorHAnsi" w:cstheme="minorHAnsi" w:hint="eastAsia"/>
            <w:szCs w:val="24"/>
            <w:lang w:eastAsia="zh-CN"/>
          </w:rPr>
          <w:t>（</w:t>
        </w:r>
        <w:r w:rsidRPr="009B42BB">
          <w:rPr>
            <w:rStyle w:val="Hyperlink"/>
            <w:rFonts w:asciiTheme="minorHAnsi" w:hAnsiTheme="minorHAnsi" w:cstheme="minorHAnsi" w:hint="eastAsia"/>
            <w:szCs w:val="24"/>
            <w:lang w:eastAsia="zh-CN"/>
          </w:rPr>
          <w:t>IoT</w:t>
        </w:r>
        <w:r w:rsidR="006C0AA3" w:rsidRPr="009B42BB">
          <w:rPr>
            <w:rStyle w:val="Hyperlink"/>
            <w:rFonts w:asciiTheme="minorHAnsi" w:hAnsiTheme="minorHAnsi" w:cstheme="minorHAnsi" w:hint="eastAsia"/>
            <w:szCs w:val="24"/>
            <w:lang w:eastAsia="zh-CN"/>
          </w:rPr>
          <w:t>）与智慧</w:t>
        </w:r>
        <w:r w:rsidRPr="009B42BB">
          <w:rPr>
            <w:rStyle w:val="Hyperlink"/>
            <w:rFonts w:asciiTheme="minorHAnsi" w:hAnsiTheme="minorHAnsi" w:cstheme="minorHAnsi" w:hint="eastAsia"/>
            <w:szCs w:val="24"/>
            <w:lang w:eastAsia="zh-CN"/>
          </w:rPr>
          <w:t>城市和社区</w:t>
        </w:r>
        <w:r w:rsidR="006C0AA3" w:rsidRPr="009B42BB">
          <w:rPr>
            <w:rStyle w:val="Hyperlink"/>
            <w:rFonts w:asciiTheme="minorHAnsi" w:hAnsiTheme="minorHAnsi" w:cstheme="minorHAnsi" w:hint="eastAsia"/>
            <w:szCs w:val="24"/>
            <w:lang w:eastAsia="zh-CN"/>
          </w:rPr>
          <w:t>（</w:t>
        </w:r>
        <w:r w:rsidRPr="009B42BB">
          <w:rPr>
            <w:rStyle w:val="Hyperlink"/>
            <w:rFonts w:asciiTheme="minorHAnsi" w:hAnsiTheme="minorHAnsi" w:cstheme="minorHAnsi" w:hint="eastAsia"/>
            <w:szCs w:val="24"/>
            <w:lang w:eastAsia="zh-CN"/>
          </w:rPr>
          <w:t>SC&amp;C</w:t>
        </w:r>
        <w:r w:rsidR="006C0AA3" w:rsidRPr="009B42BB">
          <w:rPr>
            <w:rStyle w:val="Hyperlink"/>
            <w:rFonts w:asciiTheme="minorHAnsi" w:hAnsiTheme="minorHAnsi" w:cstheme="minorHAnsi" w:hint="eastAsia"/>
            <w:szCs w:val="24"/>
            <w:lang w:eastAsia="zh-CN"/>
          </w:rPr>
          <w:t>）</w:t>
        </w:r>
        <w:r w:rsidRPr="009B42BB">
          <w:rPr>
            <w:rStyle w:val="Hyperlink"/>
            <w:rFonts w:asciiTheme="minorHAnsi" w:hAnsiTheme="minorHAnsi" w:cstheme="minorHAnsi" w:hint="eastAsia"/>
            <w:szCs w:val="24"/>
            <w:lang w:eastAsia="zh-CN"/>
          </w:rPr>
          <w:t>”</w:t>
        </w:r>
      </w:hyperlink>
      <w:r w:rsidRPr="009B42BB">
        <w:rPr>
          <w:rFonts w:asciiTheme="minorHAnsi" w:hAnsiTheme="minorHAnsi" w:cstheme="minorHAnsi" w:hint="eastAsia"/>
          <w:szCs w:val="24"/>
          <w:lang w:eastAsia="zh-CN"/>
        </w:rPr>
        <w:t>。</w:t>
      </w:r>
    </w:p>
    <w:p w14:paraId="3457491D" w14:textId="49FF4644" w:rsidR="00AA7615" w:rsidRPr="009B42BB" w:rsidRDefault="00AA7615" w:rsidP="00AA7615">
      <w:pPr>
        <w:tabs>
          <w:tab w:val="left" w:pos="709"/>
        </w:tabs>
        <w:rPr>
          <w:rFonts w:asciiTheme="minorHAnsi" w:hAnsiTheme="minorHAnsi" w:cstheme="minorHAnsi"/>
          <w:szCs w:val="24"/>
          <w:lang w:eastAsia="zh-CN"/>
        </w:rPr>
      </w:pPr>
      <w:r w:rsidRPr="009B42BB">
        <w:rPr>
          <w:rFonts w:asciiTheme="minorHAnsi" w:hAnsiTheme="minorHAnsi" w:cstheme="minorHAnsi"/>
          <w:szCs w:val="24"/>
          <w:lang w:eastAsia="zh-CN"/>
        </w:rPr>
        <w:t>2</w:t>
      </w:r>
      <w:r w:rsidRPr="009B42BB">
        <w:rPr>
          <w:rFonts w:asciiTheme="minorHAnsi" w:hAnsiTheme="minorHAnsi" w:cstheme="minorHAnsi"/>
          <w:szCs w:val="24"/>
          <w:lang w:eastAsia="zh-CN"/>
        </w:rPr>
        <w:tab/>
      </w:r>
      <w:hyperlink r:id="rId10" w:history="1">
        <w:r w:rsidR="006C0AA3" w:rsidRPr="009B42BB">
          <w:rPr>
            <w:rFonts w:hint="eastAsia"/>
            <w:szCs w:val="24"/>
            <w:lang w:eastAsia="zh-CN"/>
          </w:rPr>
          <w:t>除</w:t>
        </w:r>
        <w:r w:rsidR="006C0AA3" w:rsidRPr="009B42BB">
          <w:rPr>
            <w:rStyle w:val="Hyperlink"/>
            <w:rFonts w:asciiTheme="minorHAnsi" w:hAnsiTheme="minorHAnsi" w:cstheme="minorHAnsi" w:hint="eastAsia"/>
            <w:szCs w:val="24"/>
            <w:lang w:eastAsia="zh-CN"/>
          </w:rPr>
          <w:t>电信标准化局第</w:t>
        </w:r>
        <w:r w:rsidR="006C0AA3" w:rsidRPr="009B42BB">
          <w:rPr>
            <w:rStyle w:val="Hyperlink"/>
            <w:rFonts w:asciiTheme="minorHAnsi" w:hAnsiTheme="minorHAnsi" w:cstheme="minorHAnsi" w:hint="eastAsia"/>
            <w:szCs w:val="24"/>
            <w:lang w:eastAsia="zh-CN"/>
          </w:rPr>
          <w:t>97</w:t>
        </w:r>
        <w:r w:rsidR="006C0AA3" w:rsidRPr="009B42BB">
          <w:rPr>
            <w:rStyle w:val="Hyperlink"/>
            <w:rFonts w:asciiTheme="minorHAnsi" w:hAnsiTheme="minorHAnsi" w:cstheme="minorHAnsi" w:hint="eastAsia"/>
            <w:szCs w:val="24"/>
            <w:lang w:eastAsia="zh-CN"/>
          </w:rPr>
          <w:t>号通函</w:t>
        </w:r>
      </w:hyperlink>
      <w:r w:rsidR="006C0AA3" w:rsidRPr="009B42BB">
        <w:rPr>
          <w:rFonts w:asciiTheme="minorHAnsi" w:hAnsiTheme="minorHAnsi" w:cstheme="minorHAnsi" w:hint="eastAsia"/>
          <w:szCs w:val="24"/>
          <w:lang w:eastAsia="zh-CN"/>
        </w:rPr>
        <w:t>公布的会议之外，还拟</w:t>
      </w:r>
      <w:r w:rsidR="0000685B" w:rsidRPr="009B42BB">
        <w:rPr>
          <w:rFonts w:asciiTheme="minorHAnsi" w:hAnsiTheme="minorHAnsi" w:cstheme="minorHAnsi" w:hint="eastAsia"/>
          <w:szCs w:val="24"/>
          <w:lang w:eastAsia="zh-CN"/>
        </w:rPr>
        <w:t>就以下主题</w:t>
      </w:r>
      <w:r w:rsidR="006C0AA3" w:rsidRPr="009B42BB">
        <w:rPr>
          <w:rFonts w:asciiTheme="minorHAnsi" w:hAnsiTheme="minorHAnsi" w:cstheme="minorHAnsi" w:hint="eastAsia"/>
          <w:szCs w:val="24"/>
          <w:lang w:eastAsia="zh-CN"/>
        </w:rPr>
        <w:t>召开会议：</w:t>
      </w:r>
    </w:p>
    <w:p w14:paraId="241832C3" w14:textId="7D9015B9" w:rsidR="006C0AA3" w:rsidRPr="009B42BB" w:rsidRDefault="001F2BDC" w:rsidP="001F2BDC">
      <w:pPr>
        <w:pStyle w:val="enumlev2"/>
        <w:rPr>
          <w:lang w:eastAsia="zh-CN"/>
        </w:rPr>
      </w:pPr>
      <w:r w:rsidRPr="001F2BDC">
        <w:rPr>
          <w:lang w:eastAsia="zh-CN"/>
        </w:rPr>
        <w:t>a)</w:t>
      </w:r>
      <w:r>
        <w:rPr>
          <w:b/>
          <w:bCs/>
          <w:lang w:eastAsia="zh-CN"/>
        </w:rPr>
        <w:tab/>
      </w:r>
      <w:r w:rsidR="005A57C3" w:rsidRPr="009B42BB">
        <w:rPr>
          <w:rFonts w:hint="eastAsia"/>
          <w:b/>
          <w:bCs/>
          <w:lang w:eastAsia="zh-CN"/>
        </w:rPr>
        <w:t>何为城市元宇宙</w:t>
      </w:r>
      <w:r w:rsidR="006C0AA3" w:rsidRPr="009B42BB">
        <w:rPr>
          <w:rFonts w:hint="eastAsia"/>
          <w:b/>
          <w:bCs/>
          <w:lang w:eastAsia="zh-CN"/>
        </w:rPr>
        <w:t>以及</w:t>
      </w:r>
      <w:r w:rsidR="005A57C3" w:rsidRPr="009B42BB">
        <w:rPr>
          <w:rFonts w:hint="eastAsia"/>
          <w:b/>
          <w:bCs/>
          <w:lang w:eastAsia="zh-CN"/>
        </w:rPr>
        <w:t>其</w:t>
      </w:r>
      <w:r w:rsidR="006C0AA3" w:rsidRPr="009B42BB">
        <w:rPr>
          <w:rFonts w:hint="eastAsia"/>
          <w:b/>
          <w:bCs/>
          <w:lang w:eastAsia="zh-CN"/>
        </w:rPr>
        <w:t>如何促进可持续城市发展</w:t>
      </w:r>
      <w:r w:rsidR="005A57C3" w:rsidRPr="009B42BB">
        <w:rPr>
          <w:rFonts w:hint="eastAsia"/>
          <w:b/>
          <w:bCs/>
          <w:lang w:eastAsia="zh-CN"/>
        </w:rPr>
        <w:t>：</w:t>
      </w:r>
      <w:r w:rsidR="006C0AA3" w:rsidRPr="009B42BB">
        <w:rPr>
          <w:rFonts w:hint="eastAsia"/>
          <w:b/>
          <w:bCs/>
          <w:lang w:eastAsia="zh-CN"/>
        </w:rPr>
        <w:t>挑战与机遇</w:t>
      </w:r>
      <w:r w:rsidR="005A57C3" w:rsidRPr="009B42BB">
        <w:rPr>
          <w:rFonts w:hint="eastAsia"/>
          <w:lang w:eastAsia="zh-CN"/>
        </w:rPr>
        <w:t>会议拟</w:t>
      </w:r>
      <w:r w:rsidR="006C0AA3" w:rsidRPr="009B42BB">
        <w:rPr>
          <w:rFonts w:hint="eastAsia"/>
          <w:lang w:eastAsia="zh-CN"/>
        </w:rPr>
        <w:t>于</w:t>
      </w:r>
      <w:r w:rsidR="006C0AA3" w:rsidRPr="009B42BB">
        <w:rPr>
          <w:rFonts w:hint="eastAsia"/>
          <w:lang w:eastAsia="zh-CN"/>
        </w:rPr>
        <w:t>2023</w:t>
      </w:r>
      <w:r w:rsidR="006C0AA3" w:rsidRPr="009B42BB">
        <w:rPr>
          <w:rFonts w:hint="eastAsia"/>
          <w:lang w:eastAsia="zh-CN"/>
        </w:rPr>
        <w:t>年</w:t>
      </w:r>
      <w:r w:rsidR="006C0AA3" w:rsidRPr="009B42BB">
        <w:rPr>
          <w:rFonts w:hint="eastAsia"/>
          <w:lang w:eastAsia="zh-CN"/>
        </w:rPr>
        <w:t>10</w:t>
      </w:r>
      <w:r w:rsidR="006C0AA3" w:rsidRPr="009B42BB">
        <w:rPr>
          <w:rFonts w:hint="eastAsia"/>
          <w:lang w:eastAsia="zh-CN"/>
        </w:rPr>
        <w:t>月</w:t>
      </w:r>
      <w:r w:rsidR="006C0AA3" w:rsidRPr="009B42BB">
        <w:rPr>
          <w:rFonts w:hint="eastAsia"/>
          <w:lang w:eastAsia="zh-CN"/>
        </w:rPr>
        <w:t>24</w:t>
      </w:r>
      <w:r w:rsidR="006C0AA3" w:rsidRPr="009B42BB">
        <w:rPr>
          <w:rFonts w:hint="eastAsia"/>
          <w:lang w:eastAsia="zh-CN"/>
        </w:rPr>
        <w:t>日举行。</w:t>
      </w:r>
      <w:r w:rsidR="005A57C3" w:rsidRPr="009B42BB">
        <w:rPr>
          <w:rFonts w:hint="eastAsia"/>
          <w:lang w:eastAsia="zh-CN"/>
        </w:rPr>
        <w:t>此次会议</w:t>
      </w:r>
      <w:r w:rsidR="006C0AA3" w:rsidRPr="009B42BB">
        <w:rPr>
          <w:rFonts w:hint="eastAsia"/>
          <w:lang w:eastAsia="zh-CN"/>
        </w:rPr>
        <w:t>将探讨</w:t>
      </w:r>
      <w:r w:rsidR="005A57C3" w:rsidRPr="009B42BB">
        <w:rPr>
          <w:rFonts w:hint="eastAsia"/>
          <w:lang w:eastAsia="zh-CN"/>
        </w:rPr>
        <w:t>城市元宇宙</w:t>
      </w:r>
      <w:r w:rsidR="006C0AA3" w:rsidRPr="009B42BB">
        <w:rPr>
          <w:rFonts w:hint="eastAsia"/>
          <w:lang w:eastAsia="zh-CN"/>
        </w:rPr>
        <w:t>的概念，及</w:t>
      </w:r>
      <w:r w:rsidR="005A57C3" w:rsidRPr="009B42BB">
        <w:rPr>
          <w:rFonts w:hint="eastAsia"/>
          <w:lang w:eastAsia="zh-CN"/>
        </w:rPr>
        <w:t>其</w:t>
      </w:r>
      <w:r w:rsidR="006C0AA3" w:rsidRPr="009B42BB">
        <w:rPr>
          <w:rFonts w:hint="eastAsia"/>
          <w:lang w:eastAsia="zh-CN"/>
        </w:rPr>
        <w:t>如何为</w:t>
      </w:r>
      <w:r w:rsidR="005A57C3" w:rsidRPr="009B42BB">
        <w:rPr>
          <w:rFonts w:hint="eastAsia"/>
          <w:lang w:eastAsia="zh-CN"/>
        </w:rPr>
        <w:t>本地</w:t>
      </w:r>
      <w:r w:rsidR="006C0AA3" w:rsidRPr="009B42BB">
        <w:rPr>
          <w:rFonts w:hint="eastAsia"/>
          <w:lang w:eastAsia="zh-CN"/>
        </w:rPr>
        <w:t>和区域政府</w:t>
      </w:r>
      <w:r w:rsidR="005A57C3" w:rsidRPr="009B42BB">
        <w:rPr>
          <w:rFonts w:hint="eastAsia"/>
          <w:lang w:eastAsia="zh-CN"/>
        </w:rPr>
        <w:t>（</w:t>
      </w:r>
      <w:r w:rsidR="005A57C3" w:rsidRPr="009B42BB">
        <w:rPr>
          <w:rFonts w:hint="eastAsia"/>
          <w:lang w:eastAsia="zh-CN"/>
        </w:rPr>
        <w:t>L</w:t>
      </w:r>
      <w:r w:rsidR="005A57C3" w:rsidRPr="009B42BB">
        <w:rPr>
          <w:lang w:eastAsia="zh-CN"/>
        </w:rPr>
        <w:t>RG</w:t>
      </w:r>
      <w:r w:rsidR="005A57C3" w:rsidRPr="009B42BB">
        <w:rPr>
          <w:rFonts w:hint="eastAsia"/>
          <w:lang w:eastAsia="zh-CN"/>
        </w:rPr>
        <w:t>）的</w:t>
      </w:r>
      <w:r w:rsidR="006C0AA3" w:rsidRPr="009B42BB">
        <w:rPr>
          <w:rFonts w:hint="eastAsia"/>
          <w:lang w:eastAsia="zh-CN"/>
        </w:rPr>
        <w:t>可持续服务做出贡献，</w:t>
      </w:r>
      <w:r w:rsidR="005A57C3" w:rsidRPr="009B42BB">
        <w:rPr>
          <w:rFonts w:hint="eastAsia"/>
          <w:lang w:eastAsia="zh-CN"/>
        </w:rPr>
        <w:t>并藉此</w:t>
      </w:r>
      <w:r w:rsidR="006C0AA3" w:rsidRPr="009B42BB">
        <w:rPr>
          <w:rFonts w:hint="eastAsia"/>
          <w:lang w:eastAsia="zh-CN"/>
        </w:rPr>
        <w:t>实现</w:t>
      </w:r>
      <w:r w:rsidR="005A57C3" w:rsidRPr="009B42BB">
        <w:rPr>
          <w:rFonts w:hint="eastAsia"/>
          <w:lang w:eastAsia="zh-CN"/>
        </w:rPr>
        <w:t>《</w:t>
      </w:r>
      <w:r w:rsidR="006C0AA3" w:rsidRPr="009B42BB">
        <w:rPr>
          <w:rFonts w:hint="eastAsia"/>
          <w:lang w:eastAsia="zh-CN"/>
        </w:rPr>
        <w:t>2030</w:t>
      </w:r>
      <w:r w:rsidR="006C0AA3" w:rsidRPr="009B42BB">
        <w:rPr>
          <w:rFonts w:hint="eastAsia"/>
          <w:lang w:eastAsia="zh-CN"/>
        </w:rPr>
        <w:t>议程</w:t>
      </w:r>
      <w:r w:rsidR="005A57C3" w:rsidRPr="009B42BB">
        <w:rPr>
          <w:rFonts w:hint="eastAsia"/>
          <w:lang w:eastAsia="zh-CN"/>
        </w:rPr>
        <w:t>》</w:t>
      </w:r>
      <w:r w:rsidR="006C0AA3" w:rsidRPr="009B42BB">
        <w:rPr>
          <w:rFonts w:hint="eastAsia"/>
          <w:lang w:eastAsia="zh-CN"/>
        </w:rPr>
        <w:t>。本次网络研讨会还将深入探讨</w:t>
      </w:r>
      <w:r w:rsidR="005A57C3" w:rsidRPr="009B42BB">
        <w:rPr>
          <w:rFonts w:hint="eastAsia"/>
          <w:lang w:eastAsia="zh-CN"/>
        </w:rPr>
        <w:t>城市元宇宙</w:t>
      </w:r>
      <w:r w:rsidR="006C0AA3" w:rsidRPr="009B42BB">
        <w:rPr>
          <w:rFonts w:hint="eastAsia"/>
          <w:lang w:eastAsia="zh-CN"/>
        </w:rPr>
        <w:t>能给</w:t>
      </w:r>
      <w:r w:rsidR="005A57C3" w:rsidRPr="009B42BB">
        <w:rPr>
          <w:lang w:eastAsia="zh-CN"/>
        </w:rPr>
        <w:t>LRG</w:t>
      </w:r>
      <w:r w:rsidR="005A57C3" w:rsidRPr="009B42BB">
        <w:rPr>
          <w:rFonts w:hint="eastAsia"/>
          <w:lang w:eastAsia="zh-CN"/>
        </w:rPr>
        <w:t>创造</w:t>
      </w:r>
      <w:r w:rsidR="006C0AA3" w:rsidRPr="009B42BB">
        <w:rPr>
          <w:rFonts w:hint="eastAsia"/>
          <w:lang w:eastAsia="zh-CN"/>
        </w:rPr>
        <w:t>的社会经济效益。</w:t>
      </w:r>
    </w:p>
    <w:p w14:paraId="3066EABF" w14:textId="3A3548F7" w:rsidR="006C0AA3" w:rsidRPr="009B42BB" w:rsidRDefault="001F2BDC" w:rsidP="001F2BDC">
      <w:pPr>
        <w:pStyle w:val="enumlev2"/>
        <w:rPr>
          <w:lang w:eastAsia="zh-CN"/>
        </w:rPr>
      </w:pPr>
      <w:r w:rsidRPr="001F2BDC">
        <w:rPr>
          <w:rFonts w:hint="eastAsia"/>
          <w:lang w:eastAsia="zh-CN"/>
        </w:rPr>
        <w:t>b</w:t>
      </w:r>
      <w:r w:rsidRPr="001F2BDC">
        <w:rPr>
          <w:lang w:eastAsia="zh-CN"/>
        </w:rPr>
        <w:t>)</w:t>
      </w:r>
      <w:r>
        <w:rPr>
          <w:b/>
          <w:bCs/>
          <w:lang w:eastAsia="zh-CN"/>
        </w:rPr>
        <w:tab/>
      </w:r>
      <w:r w:rsidR="0000685B" w:rsidRPr="009B42BB">
        <w:rPr>
          <w:rFonts w:hint="eastAsia"/>
          <w:b/>
          <w:bCs/>
          <w:lang w:eastAsia="zh-CN"/>
        </w:rPr>
        <w:t>何为城市元宇宙以及其如何促进可持续城市发展：</w:t>
      </w:r>
      <w:r w:rsidR="006C0AA3" w:rsidRPr="009B42BB">
        <w:rPr>
          <w:rFonts w:hint="eastAsia"/>
          <w:b/>
          <w:bCs/>
          <w:lang w:eastAsia="zh-CN"/>
        </w:rPr>
        <w:t>具体项目和未来计划</w:t>
      </w:r>
      <w:r w:rsidR="0000685B" w:rsidRPr="009B42BB">
        <w:rPr>
          <w:rFonts w:hint="eastAsia"/>
          <w:lang w:eastAsia="zh-CN"/>
        </w:rPr>
        <w:t>会议拟</w:t>
      </w:r>
      <w:r w:rsidR="006C0AA3" w:rsidRPr="009B42BB">
        <w:rPr>
          <w:rFonts w:hint="eastAsia"/>
          <w:lang w:eastAsia="zh-CN"/>
        </w:rPr>
        <w:t>于</w:t>
      </w:r>
      <w:r w:rsidR="006C0AA3" w:rsidRPr="009B42BB">
        <w:rPr>
          <w:rFonts w:hint="eastAsia"/>
          <w:lang w:eastAsia="zh-CN"/>
        </w:rPr>
        <w:t>2023</w:t>
      </w:r>
      <w:r w:rsidR="006C0AA3" w:rsidRPr="009B42BB">
        <w:rPr>
          <w:rFonts w:hint="eastAsia"/>
          <w:lang w:eastAsia="zh-CN"/>
        </w:rPr>
        <w:t>年</w:t>
      </w:r>
      <w:r w:rsidR="006C0AA3" w:rsidRPr="009B42BB">
        <w:rPr>
          <w:rFonts w:hint="eastAsia"/>
          <w:lang w:eastAsia="zh-CN"/>
        </w:rPr>
        <w:t>11</w:t>
      </w:r>
      <w:r w:rsidR="006C0AA3" w:rsidRPr="009B42BB">
        <w:rPr>
          <w:rFonts w:hint="eastAsia"/>
          <w:lang w:eastAsia="zh-CN"/>
        </w:rPr>
        <w:t>月</w:t>
      </w:r>
      <w:r w:rsidR="006C0AA3" w:rsidRPr="009B42BB">
        <w:rPr>
          <w:rFonts w:hint="eastAsia"/>
          <w:lang w:eastAsia="zh-CN"/>
        </w:rPr>
        <w:t>23</w:t>
      </w:r>
      <w:r w:rsidR="006C0AA3" w:rsidRPr="009B42BB">
        <w:rPr>
          <w:rFonts w:hint="eastAsia"/>
          <w:lang w:eastAsia="zh-CN"/>
        </w:rPr>
        <w:t>日</w:t>
      </w:r>
      <w:r w:rsidR="0000685B" w:rsidRPr="009B42BB">
        <w:rPr>
          <w:rFonts w:hint="eastAsia"/>
          <w:lang w:eastAsia="zh-CN"/>
        </w:rPr>
        <w:t>召开</w:t>
      </w:r>
      <w:r w:rsidR="006C0AA3" w:rsidRPr="009B42BB">
        <w:rPr>
          <w:rFonts w:hint="eastAsia"/>
          <w:lang w:eastAsia="zh-CN"/>
        </w:rPr>
        <w:t>。</w:t>
      </w:r>
      <w:r w:rsidR="0000685B" w:rsidRPr="009B42BB">
        <w:rPr>
          <w:rFonts w:hint="eastAsia"/>
          <w:lang w:eastAsia="zh-CN"/>
        </w:rPr>
        <w:t>此次会议</w:t>
      </w:r>
      <w:r w:rsidR="006C0AA3" w:rsidRPr="009B42BB">
        <w:rPr>
          <w:rFonts w:hint="eastAsia"/>
          <w:lang w:eastAsia="zh-CN"/>
        </w:rPr>
        <w:t>将详细阐述</w:t>
      </w:r>
      <w:r w:rsidR="005A57C3" w:rsidRPr="009B42BB">
        <w:rPr>
          <w:rFonts w:hint="eastAsia"/>
          <w:lang w:eastAsia="zh-CN"/>
        </w:rPr>
        <w:t>城市元宇宙</w:t>
      </w:r>
      <w:r w:rsidR="006C0AA3" w:rsidRPr="009B42BB">
        <w:rPr>
          <w:rFonts w:hint="eastAsia"/>
          <w:lang w:eastAsia="zh-CN"/>
        </w:rPr>
        <w:t>环境</w:t>
      </w:r>
      <w:r w:rsidR="0000685B" w:rsidRPr="009B42BB">
        <w:rPr>
          <w:rFonts w:hint="eastAsia"/>
          <w:lang w:eastAsia="zh-CN"/>
        </w:rPr>
        <w:t>背景下示例</w:t>
      </w:r>
      <w:r w:rsidR="006C0AA3" w:rsidRPr="009B42BB">
        <w:rPr>
          <w:rFonts w:hint="eastAsia"/>
          <w:lang w:eastAsia="zh-CN"/>
        </w:rPr>
        <w:t>和</w:t>
      </w:r>
      <w:r w:rsidR="0000685B" w:rsidRPr="009B42BB">
        <w:rPr>
          <w:rFonts w:hint="eastAsia"/>
          <w:lang w:eastAsia="zh-CN"/>
        </w:rPr>
        <w:t>一些</w:t>
      </w:r>
      <w:r w:rsidR="006C0AA3" w:rsidRPr="009B42BB">
        <w:rPr>
          <w:rFonts w:hint="eastAsia"/>
          <w:lang w:eastAsia="zh-CN"/>
        </w:rPr>
        <w:t>虚</w:t>
      </w:r>
      <w:r w:rsidR="0000685B" w:rsidRPr="009B42BB">
        <w:rPr>
          <w:rFonts w:hint="eastAsia"/>
          <w:lang w:eastAsia="zh-CN"/>
        </w:rPr>
        <w:t>幻</w:t>
      </w:r>
      <w:r w:rsidR="006C0AA3" w:rsidRPr="009B42BB">
        <w:rPr>
          <w:rFonts w:hint="eastAsia"/>
          <w:lang w:eastAsia="zh-CN"/>
        </w:rPr>
        <w:t>诱惑。</w:t>
      </w:r>
      <w:r w:rsidR="0000685B" w:rsidRPr="009B42BB">
        <w:rPr>
          <w:rFonts w:hint="eastAsia"/>
          <w:lang w:eastAsia="zh-CN"/>
        </w:rPr>
        <w:t>此外，会议</w:t>
      </w:r>
      <w:r w:rsidR="006C0AA3" w:rsidRPr="009B42BB">
        <w:rPr>
          <w:rFonts w:hint="eastAsia"/>
          <w:lang w:eastAsia="zh-CN"/>
        </w:rPr>
        <w:t>还将回答关于为城市</w:t>
      </w:r>
      <w:r w:rsidR="0000685B" w:rsidRPr="009B42BB">
        <w:rPr>
          <w:rFonts w:hint="eastAsia"/>
          <w:lang w:eastAsia="zh-CN"/>
        </w:rPr>
        <w:t>复原力</w:t>
      </w:r>
      <w:r w:rsidR="006C0AA3" w:rsidRPr="009B42BB">
        <w:rPr>
          <w:rFonts w:hint="eastAsia"/>
          <w:lang w:eastAsia="zh-CN"/>
        </w:rPr>
        <w:t>选择正确的</w:t>
      </w:r>
      <w:r w:rsidR="005A57C3" w:rsidRPr="009B42BB">
        <w:rPr>
          <w:rFonts w:hint="eastAsia"/>
          <w:lang w:eastAsia="zh-CN"/>
        </w:rPr>
        <w:t>城市元宇宙</w:t>
      </w:r>
      <w:r w:rsidR="006C0AA3" w:rsidRPr="009B42BB">
        <w:rPr>
          <w:rFonts w:hint="eastAsia"/>
          <w:lang w:eastAsia="zh-CN"/>
        </w:rPr>
        <w:t>开发方法的问题。</w:t>
      </w:r>
    </w:p>
    <w:p w14:paraId="23E34064" w14:textId="3D231554" w:rsidR="005E4836" w:rsidRPr="009B42BB" w:rsidRDefault="00AA7615" w:rsidP="00F54170">
      <w:pPr>
        <w:rPr>
          <w:rFonts w:asciiTheme="minorHAnsi" w:hAnsiTheme="minorHAnsi" w:cstheme="minorHAnsi"/>
          <w:szCs w:val="24"/>
          <w:lang w:eastAsia="zh-CN"/>
        </w:rPr>
      </w:pPr>
      <w:r w:rsidRPr="009B42BB">
        <w:rPr>
          <w:rFonts w:asciiTheme="minorHAnsi" w:hAnsiTheme="minorHAnsi" w:cstheme="minorHAnsi"/>
          <w:bCs/>
          <w:szCs w:val="24"/>
          <w:lang w:eastAsia="zh-CN"/>
        </w:rPr>
        <w:t>3</w:t>
      </w:r>
      <w:r w:rsidR="00B25910" w:rsidRPr="009B42BB">
        <w:rPr>
          <w:rFonts w:asciiTheme="minorHAnsi" w:hAnsiTheme="minorHAnsi" w:cstheme="minorHAnsi"/>
          <w:szCs w:val="24"/>
          <w:lang w:eastAsia="zh-CN"/>
        </w:rPr>
        <w:tab/>
      </w:r>
      <w:r w:rsidR="005E4836" w:rsidRPr="009B42BB">
        <w:rPr>
          <w:rFonts w:cstheme="minorHAnsi"/>
          <w:szCs w:val="24"/>
          <w:lang w:eastAsia="zh-CN"/>
        </w:rPr>
        <w:t>国际电联成员国、部门成员、部门准成员和学术</w:t>
      </w:r>
      <w:r w:rsidR="005E4836" w:rsidRPr="009B42BB">
        <w:rPr>
          <w:rFonts w:cstheme="minorHAnsi" w:hint="eastAsia"/>
          <w:szCs w:val="24"/>
          <w:lang w:eastAsia="zh-CN"/>
        </w:rPr>
        <w:t>机构</w:t>
      </w:r>
      <w:r w:rsidR="005E4836" w:rsidRPr="009B42BB">
        <w:rPr>
          <w:rFonts w:cstheme="minorHAnsi"/>
          <w:szCs w:val="24"/>
          <w:lang w:eastAsia="zh-CN"/>
        </w:rPr>
        <w:t>以及愿意为此工作贡献力量的来自国际电联成员国的任何个人均可参加</w:t>
      </w:r>
      <w:r w:rsidR="005E4836" w:rsidRPr="009B42BB">
        <w:rPr>
          <w:rFonts w:cstheme="minorHAnsi" w:hint="eastAsia"/>
          <w:szCs w:val="24"/>
          <w:lang w:eastAsia="zh-CN"/>
        </w:rPr>
        <w:t>这些主题集</w:t>
      </w:r>
      <w:r w:rsidR="005E4836" w:rsidRPr="009B42BB">
        <w:rPr>
          <w:rFonts w:cstheme="minorHAnsi"/>
          <w:szCs w:val="24"/>
          <w:lang w:eastAsia="zh-CN"/>
        </w:rPr>
        <w:t>。</w:t>
      </w:r>
      <w:proofErr w:type="gramStart"/>
      <w:r w:rsidR="005E4836" w:rsidRPr="009B42BB">
        <w:rPr>
          <w:rFonts w:cstheme="minorHAnsi"/>
          <w:szCs w:val="24"/>
          <w:lang w:eastAsia="zh-CN"/>
        </w:rPr>
        <w:t>这里所指的</w:t>
      </w:r>
      <w:r w:rsidR="005E4836" w:rsidRPr="009B42BB">
        <w:rPr>
          <w:rFonts w:cstheme="minorHAnsi" w:hint="eastAsia"/>
          <w:szCs w:val="24"/>
          <w:lang w:eastAsia="zh-CN"/>
        </w:rPr>
        <w:t>“</w:t>
      </w:r>
      <w:proofErr w:type="gramEnd"/>
      <w:r w:rsidR="005E4836" w:rsidRPr="009B42BB">
        <w:rPr>
          <w:rFonts w:cstheme="minorHAnsi"/>
          <w:szCs w:val="24"/>
          <w:lang w:eastAsia="zh-CN"/>
        </w:rPr>
        <w:t>个人</w:t>
      </w:r>
      <w:r w:rsidR="005E4836" w:rsidRPr="009B42BB">
        <w:rPr>
          <w:rFonts w:cstheme="minorHAnsi" w:hint="eastAsia"/>
          <w:szCs w:val="24"/>
          <w:lang w:eastAsia="zh-CN"/>
        </w:rPr>
        <w:t>”</w:t>
      </w:r>
      <w:r w:rsidR="005E4836" w:rsidRPr="009B42BB">
        <w:rPr>
          <w:rFonts w:cstheme="minorHAnsi"/>
          <w:szCs w:val="24"/>
          <w:lang w:eastAsia="zh-CN"/>
        </w:rPr>
        <w:t>亦包括作为国际、区域和国家组织成员的个人。</w:t>
      </w:r>
      <w:r w:rsidR="005E4836" w:rsidRPr="009B42BB">
        <w:rPr>
          <w:rFonts w:cstheme="minorHAnsi"/>
          <w:bCs/>
          <w:szCs w:val="24"/>
          <w:lang w:eastAsia="zh-CN"/>
        </w:rPr>
        <w:t>参加会议不收取费用</w:t>
      </w:r>
      <w:r w:rsidR="005E4836" w:rsidRPr="009B42BB">
        <w:rPr>
          <w:rFonts w:cstheme="minorHAnsi" w:hint="eastAsia"/>
          <w:bCs/>
          <w:szCs w:val="24"/>
          <w:lang w:eastAsia="zh-CN"/>
        </w:rPr>
        <w:t>。</w:t>
      </w:r>
    </w:p>
    <w:p w14:paraId="7117EB2D" w14:textId="77777777" w:rsidR="009B42BB" w:rsidRDefault="00AA7615" w:rsidP="00754286">
      <w:pPr>
        <w:rPr>
          <w:rFonts w:cstheme="minorHAnsi"/>
          <w:szCs w:val="24"/>
          <w:lang w:eastAsia="zh-CN"/>
        </w:rPr>
      </w:pPr>
      <w:r w:rsidRPr="009B42BB">
        <w:rPr>
          <w:rFonts w:asciiTheme="minorHAnsi" w:hAnsiTheme="minorHAnsi" w:cstheme="minorHAnsi"/>
          <w:szCs w:val="24"/>
          <w:lang w:eastAsia="zh-CN"/>
        </w:rPr>
        <w:t>4</w:t>
      </w:r>
      <w:r w:rsidR="00B25910" w:rsidRPr="009B42BB">
        <w:rPr>
          <w:rFonts w:asciiTheme="minorHAnsi" w:hAnsiTheme="minorHAnsi" w:cstheme="minorHAnsi"/>
          <w:szCs w:val="24"/>
          <w:lang w:eastAsia="zh-CN"/>
        </w:rPr>
        <w:tab/>
      </w:r>
      <w:r w:rsidR="005E4836" w:rsidRPr="009B42BB">
        <w:rPr>
          <w:rFonts w:cstheme="minorHAnsi"/>
          <w:szCs w:val="24"/>
          <w:lang w:eastAsia="zh-CN"/>
        </w:rPr>
        <w:t>包括日程草案、发言人、注册链接等信息在内的与</w:t>
      </w:r>
      <w:r w:rsidR="005E4836" w:rsidRPr="009B42BB">
        <w:rPr>
          <w:rFonts w:cstheme="minorHAnsi" w:hint="eastAsia"/>
          <w:szCs w:val="24"/>
          <w:lang w:eastAsia="zh-CN"/>
        </w:rPr>
        <w:t>这些主题集</w:t>
      </w:r>
      <w:r w:rsidR="005E4836" w:rsidRPr="009B42BB">
        <w:rPr>
          <w:rFonts w:cstheme="minorHAnsi"/>
          <w:szCs w:val="24"/>
          <w:lang w:eastAsia="zh-CN"/>
        </w:rPr>
        <w:t>相关的信息，</w:t>
      </w:r>
      <w:r w:rsidR="005E4836" w:rsidRPr="009B42BB">
        <w:rPr>
          <w:rFonts w:asciiTheme="minorHAnsi" w:hAnsiTheme="minorHAnsi" w:cstheme="minorHAnsi" w:hint="eastAsia"/>
          <w:szCs w:val="24"/>
          <w:lang w:eastAsia="zh-CN"/>
        </w:rPr>
        <w:t>将在主要登陆页上的各主题集</w:t>
      </w:r>
      <w:r w:rsidR="00754286" w:rsidRPr="009B42BB">
        <w:rPr>
          <w:rFonts w:asciiTheme="minorHAnsi" w:hAnsiTheme="minorHAnsi" w:cstheme="minorHAnsi" w:hint="eastAsia"/>
          <w:szCs w:val="24"/>
          <w:lang w:eastAsia="zh-CN"/>
        </w:rPr>
        <w:t>的</w:t>
      </w:r>
      <w:r w:rsidR="005E4836" w:rsidRPr="009B42BB">
        <w:rPr>
          <w:rFonts w:asciiTheme="minorHAnsi" w:hAnsiTheme="minorHAnsi" w:cstheme="minorHAnsi" w:hint="eastAsia"/>
          <w:szCs w:val="24"/>
          <w:lang w:eastAsia="zh-CN"/>
        </w:rPr>
        <w:t>网页上提供：</w:t>
      </w:r>
      <w:hyperlink w:history="1"/>
      <w:hyperlink r:id="rId11" w:history="1">
        <w:r w:rsidR="005E4836" w:rsidRPr="009B42BB">
          <w:rPr>
            <w:rStyle w:val="Hyperlink"/>
            <w:rFonts w:asciiTheme="minorHAnsi" w:hAnsiTheme="minorHAnsi" w:cstheme="minorHAnsi"/>
            <w:szCs w:val="24"/>
            <w:lang w:eastAsia="zh-CN"/>
          </w:rPr>
          <w:t>https://www.itu.int/cities/standards4dt/</w:t>
        </w:r>
      </w:hyperlink>
      <w:r w:rsidR="005E4836" w:rsidRPr="009B42BB">
        <w:rPr>
          <w:rFonts w:cstheme="minorHAnsi"/>
          <w:szCs w:val="24"/>
          <w:lang w:eastAsia="zh-CN"/>
        </w:rPr>
        <w:t>。</w:t>
      </w:r>
    </w:p>
    <w:p w14:paraId="7DB235A0" w14:textId="65971BF1" w:rsidR="000E3196" w:rsidRPr="009B42BB" w:rsidRDefault="005E4836" w:rsidP="009B42BB">
      <w:pPr>
        <w:ind w:firstLineChars="200" w:firstLine="480"/>
        <w:rPr>
          <w:rFonts w:asciiTheme="minorHAnsi" w:hAnsiTheme="minorHAnsi" w:cstheme="minorHAnsi"/>
          <w:szCs w:val="24"/>
          <w:lang w:eastAsia="zh-CN"/>
        </w:rPr>
      </w:pPr>
      <w:r w:rsidRPr="009B42BB">
        <w:rPr>
          <w:rFonts w:cstheme="minorHAnsi"/>
          <w:szCs w:val="24"/>
          <w:lang w:eastAsia="zh-CN"/>
        </w:rPr>
        <w:t>随着新信息或修订信息的推出，</w:t>
      </w:r>
      <w:r w:rsidR="00EF1EC0" w:rsidRPr="009B42BB">
        <w:rPr>
          <w:rFonts w:asciiTheme="minorHAnsi" w:hAnsiTheme="minorHAnsi" w:cstheme="minorHAnsi" w:hint="eastAsia"/>
          <w:szCs w:val="24"/>
          <w:lang w:eastAsia="zh-CN"/>
        </w:rPr>
        <w:t>这些</w:t>
      </w:r>
      <w:r w:rsidRPr="009B42BB">
        <w:rPr>
          <w:rFonts w:cstheme="minorHAnsi"/>
          <w:szCs w:val="24"/>
          <w:lang w:eastAsia="zh-CN"/>
        </w:rPr>
        <w:t>网站将定期更新。</w:t>
      </w:r>
      <w:r w:rsidR="00EF1EC0" w:rsidRPr="009B42BB">
        <w:rPr>
          <w:rFonts w:asciiTheme="minorHAnsi" w:hAnsiTheme="minorHAnsi" w:cstheme="minorHAnsi" w:hint="eastAsia"/>
          <w:szCs w:val="24"/>
          <w:lang w:eastAsia="zh-CN"/>
        </w:rPr>
        <w:t>建议参会者定期查看各网页上的最新信息。</w:t>
      </w:r>
    </w:p>
    <w:p w14:paraId="726B90D0" w14:textId="7D1EEEF3" w:rsidR="000E3196" w:rsidRPr="009B42BB" w:rsidRDefault="00AA7615" w:rsidP="00EF1EC0">
      <w:pPr>
        <w:rPr>
          <w:rFonts w:asciiTheme="minorHAnsi" w:hAnsiTheme="minorHAnsi" w:cstheme="minorHAnsi"/>
          <w:szCs w:val="24"/>
          <w:lang w:eastAsia="zh-CN"/>
        </w:rPr>
      </w:pPr>
      <w:r w:rsidRPr="009B42BB">
        <w:rPr>
          <w:rFonts w:asciiTheme="minorHAnsi" w:hAnsiTheme="minorHAnsi" w:cstheme="minorHAnsi"/>
          <w:szCs w:val="24"/>
          <w:lang w:eastAsia="zh-CN"/>
        </w:rPr>
        <w:t>5</w:t>
      </w:r>
      <w:r w:rsidR="00685E50" w:rsidRPr="009B42BB">
        <w:rPr>
          <w:rFonts w:asciiTheme="minorHAnsi" w:hAnsiTheme="minorHAnsi" w:cstheme="minorHAnsi"/>
          <w:szCs w:val="24"/>
          <w:lang w:eastAsia="zh-CN"/>
        </w:rPr>
        <w:tab/>
      </w:r>
      <w:r w:rsidR="00EF1EC0" w:rsidRPr="009B42BB">
        <w:rPr>
          <w:rFonts w:asciiTheme="minorHAnsi" w:hAnsiTheme="minorHAnsi" w:cstheme="minorHAnsi" w:hint="eastAsia"/>
          <w:szCs w:val="24"/>
          <w:lang w:eastAsia="zh-CN"/>
        </w:rPr>
        <w:t>所有与会者都必须进行在线注册。关于注册的更多信息将在网络研讨会系列</w:t>
      </w:r>
      <w:hyperlink r:id="rId12" w:history="1">
        <w:r w:rsidR="00EF1EC0" w:rsidRPr="009B42BB">
          <w:rPr>
            <w:rStyle w:val="Hyperlink"/>
            <w:rFonts w:asciiTheme="minorHAnsi" w:hAnsiTheme="minorHAnsi" w:cstheme="minorHAnsi" w:hint="eastAsia"/>
            <w:szCs w:val="24"/>
            <w:lang w:eastAsia="zh-CN"/>
          </w:rPr>
          <w:t>主</w:t>
        </w:r>
        <w:r w:rsidR="00754286" w:rsidRPr="009B42BB">
          <w:rPr>
            <w:rStyle w:val="Hyperlink"/>
            <w:rFonts w:asciiTheme="minorHAnsi" w:hAnsiTheme="minorHAnsi" w:cstheme="minorHAnsi" w:hint="eastAsia"/>
            <w:szCs w:val="24"/>
            <w:lang w:eastAsia="zh-CN"/>
          </w:rPr>
          <w:t>页</w:t>
        </w:r>
      </w:hyperlink>
      <w:r w:rsidR="00EF1EC0" w:rsidRPr="009B42BB">
        <w:rPr>
          <w:rFonts w:asciiTheme="minorHAnsi" w:hAnsiTheme="minorHAnsi" w:cstheme="minorHAnsi" w:hint="eastAsia"/>
          <w:szCs w:val="24"/>
          <w:lang w:eastAsia="zh-CN"/>
        </w:rPr>
        <w:t>上提供。</w:t>
      </w:r>
    </w:p>
    <w:p w14:paraId="453637BD" w14:textId="052F0B8E" w:rsidR="00754286" w:rsidRPr="009B42BB" w:rsidRDefault="00AA7615" w:rsidP="002D6AA8">
      <w:pPr>
        <w:rPr>
          <w:rFonts w:cstheme="minorHAnsi"/>
          <w:szCs w:val="24"/>
          <w:lang w:eastAsia="zh-CN"/>
        </w:rPr>
      </w:pPr>
      <w:r w:rsidRPr="009B42BB">
        <w:rPr>
          <w:rFonts w:asciiTheme="minorHAnsi" w:hAnsiTheme="minorHAnsi" w:cstheme="minorHAnsi"/>
          <w:szCs w:val="24"/>
          <w:lang w:eastAsia="zh-CN"/>
        </w:rPr>
        <w:lastRenderedPageBreak/>
        <w:t>6</w:t>
      </w:r>
      <w:r w:rsidR="00B25910" w:rsidRPr="009B42BB">
        <w:rPr>
          <w:rFonts w:asciiTheme="minorHAnsi" w:hAnsiTheme="minorHAnsi" w:cstheme="minorHAnsi"/>
          <w:szCs w:val="24"/>
          <w:lang w:eastAsia="zh-CN"/>
        </w:rPr>
        <w:tab/>
      </w:r>
      <w:r w:rsidR="00EF1EC0" w:rsidRPr="009B42BB">
        <w:rPr>
          <w:rFonts w:cstheme="minorHAnsi"/>
          <w:szCs w:val="24"/>
          <w:lang w:eastAsia="zh-CN"/>
        </w:rPr>
        <w:t>有关</w:t>
      </w:r>
      <w:r w:rsidR="00EF1EC0" w:rsidRPr="009B42BB">
        <w:rPr>
          <w:rFonts w:cstheme="minorHAnsi"/>
          <w:b/>
          <w:bCs/>
          <w:szCs w:val="24"/>
          <w:lang w:eastAsia="zh-CN"/>
        </w:rPr>
        <w:t>数字化转型系列网络研讨会</w:t>
      </w:r>
      <w:r w:rsidR="00EF1EC0" w:rsidRPr="009B42BB">
        <w:rPr>
          <w:rFonts w:cstheme="minorHAnsi" w:hint="eastAsia"/>
          <w:szCs w:val="24"/>
          <w:lang w:eastAsia="zh-CN"/>
        </w:rPr>
        <w:t>所有</w:t>
      </w:r>
      <w:r w:rsidR="00EF1EC0" w:rsidRPr="009B42BB">
        <w:rPr>
          <w:rFonts w:cstheme="minorHAnsi"/>
          <w:szCs w:val="24"/>
          <w:lang w:eastAsia="zh-CN"/>
        </w:rPr>
        <w:t>此前</w:t>
      </w:r>
      <w:r w:rsidR="00A32237" w:rsidRPr="009B42BB">
        <w:rPr>
          <w:rFonts w:cstheme="minorHAnsi" w:hint="eastAsia"/>
          <w:szCs w:val="24"/>
          <w:lang w:eastAsia="zh-CN"/>
        </w:rPr>
        <w:t>的</w:t>
      </w:r>
      <w:r w:rsidR="00EF1EC0" w:rsidRPr="009B42BB">
        <w:rPr>
          <w:rFonts w:cstheme="minorHAnsi"/>
          <w:szCs w:val="24"/>
          <w:lang w:eastAsia="zh-CN"/>
        </w:rPr>
        <w:t>主题</w:t>
      </w:r>
      <w:r w:rsidR="00EF1EC0" w:rsidRPr="009B42BB">
        <w:rPr>
          <w:rFonts w:cstheme="minorHAnsi" w:hint="eastAsia"/>
          <w:szCs w:val="24"/>
          <w:lang w:eastAsia="zh-CN"/>
        </w:rPr>
        <w:t>集</w:t>
      </w:r>
      <w:r w:rsidR="00EF1EC0" w:rsidRPr="009B42BB">
        <w:rPr>
          <w:rFonts w:cstheme="minorHAnsi"/>
          <w:szCs w:val="24"/>
          <w:lang w:eastAsia="zh-CN"/>
        </w:rPr>
        <w:t>，请点击</w:t>
      </w:r>
      <w:hyperlink r:id="rId13" w:history="1">
        <w:r w:rsidR="00EF1EC0" w:rsidRPr="009B42BB">
          <w:rPr>
            <w:rStyle w:val="Hyperlink"/>
            <w:rFonts w:cstheme="minorHAnsi"/>
            <w:szCs w:val="24"/>
            <w:lang w:eastAsia="zh-CN"/>
          </w:rPr>
          <w:t>此处</w:t>
        </w:r>
      </w:hyperlink>
      <w:r w:rsidR="00EF1EC0" w:rsidRPr="009B42BB">
        <w:rPr>
          <w:rFonts w:asciiTheme="minorHAnsi" w:hAnsiTheme="minorHAnsi" w:cstheme="minorHAnsi" w:hint="eastAsia"/>
          <w:szCs w:val="24"/>
          <w:lang w:eastAsia="zh-CN"/>
        </w:rPr>
        <w:t>进入主登陆页面查阅</w:t>
      </w:r>
      <w:r w:rsidR="00EF1EC0" w:rsidRPr="009B42BB">
        <w:rPr>
          <w:rFonts w:cstheme="minorHAnsi" w:hint="eastAsia"/>
          <w:szCs w:val="24"/>
          <w:lang w:eastAsia="zh-CN"/>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F84BD7" w:rsidRPr="001B7E42" w14:paraId="6D13AA35" w14:textId="77777777" w:rsidTr="00805B81">
        <w:trPr>
          <w:cantSplit/>
          <w:trHeight w:val="1955"/>
        </w:trPr>
        <w:tc>
          <w:tcPr>
            <w:tcW w:w="6663" w:type="dxa"/>
            <w:vMerge w:val="restart"/>
            <w:tcBorders>
              <w:right w:val="single" w:sz="4" w:space="0" w:color="auto"/>
            </w:tcBorders>
          </w:tcPr>
          <w:p w14:paraId="6E1164CB" w14:textId="5BB7A77F" w:rsidR="00F84BD7" w:rsidRPr="009B42BB" w:rsidRDefault="00F02126" w:rsidP="00F02126">
            <w:pPr>
              <w:tabs>
                <w:tab w:val="clear" w:pos="794"/>
                <w:tab w:val="clear" w:pos="1191"/>
                <w:tab w:val="clear" w:pos="1588"/>
                <w:tab w:val="clear" w:pos="1985"/>
                <w:tab w:val="left" w:pos="1134"/>
                <w:tab w:val="left" w:pos="1871"/>
                <w:tab w:val="left" w:pos="2268"/>
              </w:tabs>
              <w:spacing w:before="480"/>
              <w:rPr>
                <w:rFonts w:asciiTheme="minorHAnsi" w:hAnsiTheme="minorHAnsi" w:cstheme="minorHAnsi"/>
                <w:szCs w:val="24"/>
                <w:lang w:eastAsia="zh-CN"/>
              </w:rPr>
            </w:pPr>
            <w:r w:rsidRPr="009B42BB">
              <w:rPr>
                <w:rFonts w:cstheme="minorHAnsi"/>
                <w:szCs w:val="24"/>
                <w:lang w:eastAsia="zh-CN"/>
              </w:rPr>
              <w:t>顺致敬意！</w:t>
            </w:r>
          </w:p>
          <w:p w14:paraId="2C54A414" w14:textId="68A58522" w:rsidR="00F84BD7" w:rsidRPr="001B7E42" w:rsidRDefault="00A02041" w:rsidP="00F02126">
            <w:pPr>
              <w:tabs>
                <w:tab w:val="clear" w:pos="794"/>
                <w:tab w:val="clear" w:pos="1191"/>
                <w:tab w:val="clear" w:pos="1588"/>
                <w:tab w:val="clear" w:pos="1985"/>
                <w:tab w:val="left" w:pos="1134"/>
                <w:tab w:val="left" w:pos="1418"/>
                <w:tab w:val="left" w:pos="1702"/>
                <w:tab w:val="left" w:pos="1871"/>
                <w:tab w:val="left" w:pos="2160"/>
                <w:tab w:val="left" w:pos="2268"/>
              </w:tabs>
              <w:spacing w:before="960"/>
              <w:ind w:right="91"/>
              <w:rPr>
                <w:rFonts w:asciiTheme="minorHAnsi" w:hAnsiTheme="minorHAnsi" w:cstheme="minorHAnsi"/>
                <w:sz w:val="22"/>
                <w:szCs w:val="22"/>
                <w:lang w:eastAsia="zh-CN"/>
              </w:rPr>
            </w:pPr>
            <w:r>
              <w:rPr>
                <w:rFonts w:cstheme="minorHAnsi"/>
                <w:noProof/>
                <w:szCs w:val="24"/>
                <w:lang w:eastAsia="zh-CN"/>
              </w:rPr>
              <w:drawing>
                <wp:anchor distT="0" distB="0" distL="114300" distR="114300" simplePos="0" relativeHeight="251658240" behindDoc="1" locked="0" layoutInCell="1" allowOverlap="1" wp14:anchorId="30F14A76" wp14:editId="0A565511">
                  <wp:simplePos x="0" y="0"/>
                  <wp:positionH relativeFrom="column">
                    <wp:posOffset>1905</wp:posOffset>
                  </wp:positionH>
                  <wp:positionV relativeFrom="paragraph">
                    <wp:posOffset>143510</wp:posOffset>
                  </wp:positionV>
                  <wp:extent cx="912790" cy="342900"/>
                  <wp:effectExtent l="0" t="0" r="1905" b="0"/>
                  <wp:wrapNone/>
                  <wp:docPr id="324203598"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03598" name="Picture 1"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12790" cy="342900"/>
                          </a:xfrm>
                          <a:prstGeom prst="rect">
                            <a:avLst/>
                          </a:prstGeom>
                        </pic:spPr>
                      </pic:pic>
                    </a:graphicData>
                  </a:graphic>
                  <wp14:sizeRelH relativeFrom="margin">
                    <wp14:pctWidth>0</wp14:pctWidth>
                  </wp14:sizeRelH>
                  <wp14:sizeRelV relativeFrom="margin">
                    <wp14:pctHeight>0</wp14:pctHeight>
                  </wp14:sizeRelV>
                </wp:anchor>
              </w:drawing>
            </w:r>
            <w:r w:rsidR="00F02126" w:rsidRPr="009B42BB">
              <w:rPr>
                <w:rFonts w:cstheme="minorHAnsi"/>
                <w:szCs w:val="24"/>
                <w:lang w:eastAsia="zh-CN"/>
              </w:rPr>
              <w:t>电信标准化局主任</w:t>
            </w:r>
            <w:r w:rsidR="00F02126" w:rsidRPr="009B42BB">
              <w:rPr>
                <w:rFonts w:cstheme="minorHAnsi"/>
                <w:szCs w:val="24"/>
                <w:lang w:eastAsia="zh-CN"/>
              </w:rPr>
              <w:br/>
            </w:r>
            <w:r w:rsidR="00DB1963" w:rsidRPr="009B42BB">
              <w:rPr>
                <w:rFonts w:cstheme="minorHAnsi" w:hint="eastAsia"/>
                <w:szCs w:val="24"/>
                <w:lang w:eastAsia="zh-CN"/>
              </w:rPr>
              <w:t>尾</w:t>
            </w:r>
            <w:proofErr w:type="gramStart"/>
            <w:r w:rsidR="00DB1963" w:rsidRPr="009B42BB">
              <w:rPr>
                <w:rFonts w:cstheme="minorHAnsi" w:hint="eastAsia"/>
                <w:szCs w:val="24"/>
                <w:lang w:eastAsia="zh-CN"/>
              </w:rPr>
              <w:t>上诚藏</w:t>
            </w:r>
            <w:proofErr w:type="gramEnd"/>
          </w:p>
        </w:tc>
        <w:tc>
          <w:tcPr>
            <w:tcW w:w="3118" w:type="dxa"/>
            <w:tcBorders>
              <w:top w:val="single" w:sz="4" w:space="0" w:color="auto"/>
              <w:left w:val="single" w:sz="4" w:space="0" w:color="auto"/>
              <w:right w:val="single" w:sz="4" w:space="0" w:color="auto"/>
            </w:tcBorders>
            <w:textDirection w:val="btLr"/>
            <w:vAlign w:val="center"/>
          </w:tcPr>
          <w:p w14:paraId="46274F22" w14:textId="55A7BF01" w:rsidR="00F84BD7" w:rsidRPr="001B7E42" w:rsidRDefault="00F84BD7" w:rsidP="00805B81">
            <w:pPr>
              <w:keepNext/>
              <w:keepLines/>
              <w:spacing w:before="0"/>
              <w:ind w:left="113" w:right="113"/>
              <w:jc w:val="center"/>
              <w:rPr>
                <w:rFonts w:asciiTheme="minorHAnsi" w:hAnsiTheme="minorHAnsi" w:cstheme="minorHAnsi"/>
                <w:sz w:val="22"/>
                <w:szCs w:val="22"/>
              </w:rPr>
            </w:pPr>
            <w:r w:rsidRPr="001B7E42">
              <w:rPr>
                <w:rFonts w:asciiTheme="minorHAnsi" w:hAnsiTheme="minorHAnsi" w:cstheme="minorHAnsi"/>
                <w:sz w:val="22"/>
                <w:szCs w:val="22"/>
                <w:lang w:eastAsia="zh-CN"/>
              </w:rPr>
              <w:t xml:space="preserve"> </w:t>
            </w:r>
            <w:r w:rsidR="004035EC" w:rsidRPr="001B7E42">
              <w:rPr>
                <w:rFonts w:asciiTheme="minorHAnsi" w:hAnsiTheme="minorHAnsi" w:cstheme="minorHAnsi"/>
                <w:noProof/>
                <w:sz w:val="22"/>
                <w:szCs w:val="22"/>
              </w:rPr>
              <w:drawing>
                <wp:inline distT="0" distB="0" distL="0" distR="0" wp14:anchorId="1F577543" wp14:editId="578F9775">
                  <wp:extent cx="1049572" cy="1049572"/>
                  <wp:effectExtent l="0" t="0" r="0" b="0"/>
                  <wp:docPr id="1674465767" name="Picture 167446576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65767"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57515" cy="1057515"/>
                          </a:xfrm>
                          <a:prstGeom prst="rect">
                            <a:avLst/>
                          </a:prstGeom>
                        </pic:spPr>
                      </pic:pic>
                    </a:graphicData>
                  </a:graphic>
                </wp:inline>
              </w:drawing>
            </w:r>
          </w:p>
        </w:tc>
      </w:tr>
      <w:tr w:rsidR="00F84BD7" w:rsidRPr="001B7E42" w14:paraId="20FC9B04" w14:textId="77777777" w:rsidTr="00805B81">
        <w:trPr>
          <w:cantSplit/>
          <w:trHeight w:val="227"/>
        </w:trPr>
        <w:tc>
          <w:tcPr>
            <w:tcW w:w="6663" w:type="dxa"/>
            <w:vMerge/>
          </w:tcPr>
          <w:p w14:paraId="2675B1CF" w14:textId="77777777" w:rsidR="00F84BD7" w:rsidRPr="001B7E42" w:rsidRDefault="00F84BD7" w:rsidP="00805B81">
            <w:pPr>
              <w:spacing w:before="480"/>
              <w:rPr>
                <w:rFonts w:asciiTheme="minorHAnsi" w:hAnsiTheme="minorHAnsi" w:cstheme="minorHAnsi"/>
                <w:sz w:val="22"/>
                <w:szCs w:val="22"/>
              </w:rPr>
            </w:pPr>
          </w:p>
        </w:tc>
        <w:tc>
          <w:tcPr>
            <w:tcW w:w="3118" w:type="dxa"/>
            <w:tcBorders>
              <w:left w:val="single" w:sz="4" w:space="0" w:color="auto"/>
              <w:bottom w:val="single" w:sz="4" w:space="0" w:color="auto"/>
              <w:right w:val="single" w:sz="4" w:space="0" w:color="auto"/>
            </w:tcBorders>
            <w:vAlign w:val="center"/>
          </w:tcPr>
          <w:p w14:paraId="0C332419" w14:textId="07917866" w:rsidR="00F84BD7" w:rsidRPr="001B7E42" w:rsidRDefault="00F02126" w:rsidP="00805B81">
            <w:pPr>
              <w:spacing w:before="0"/>
              <w:jc w:val="center"/>
              <w:rPr>
                <w:rFonts w:asciiTheme="minorHAnsi" w:hAnsiTheme="minorHAnsi" w:cstheme="minorHAnsi"/>
                <w:noProof/>
                <w:sz w:val="22"/>
                <w:szCs w:val="22"/>
                <w:lang w:eastAsia="zh-CN"/>
              </w:rPr>
            </w:pPr>
            <w:r>
              <w:rPr>
                <w:rFonts w:asciiTheme="minorHAnsi" w:hAnsiTheme="minorHAnsi" w:cstheme="minorHAnsi" w:hint="eastAsia"/>
                <w:sz w:val="22"/>
                <w:szCs w:val="22"/>
                <w:lang w:eastAsia="zh-CN"/>
              </w:rPr>
              <w:t>数字化转型系列网络研讨会</w:t>
            </w:r>
          </w:p>
        </w:tc>
      </w:tr>
    </w:tbl>
    <w:p w14:paraId="2BB953EC" w14:textId="022B8DF5" w:rsidR="00E26F3C" w:rsidRDefault="00E26F3C" w:rsidP="00DB1963">
      <w:pPr>
        <w:tabs>
          <w:tab w:val="clear" w:pos="1191"/>
          <w:tab w:val="clear" w:pos="1588"/>
          <w:tab w:val="clear" w:pos="1985"/>
          <w:tab w:val="left" w:pos="5490"/>
        </w:tabs>
        <w:spacing w:before="0"/>
        <w:rPr>
          <w:rFonts w:asciiTheme="minorHAnsi" w:hAnsiTheme="minorHAnsi" w:cstheme="minorHAnsi"/>
          <w:sz w:val="22"/>
          <w:szCs w:val="22"/>
          <w:lang w:eastAsia="zh-CN"/>
        </w:rPr>
      </w:pPr>
    </w:p>
    <w:sectPr w:rsidR="00E26F3C" w:rsidSect="00F54170">
      <w:headerReference w:type="default" r:id="rId16"/>
      <w:footerReference w:type="first" r:id="rId17"/>
      <w:type w:val="oddPage"/>
      <w:pgSz w:w="11907" w:h="16834" w:code="9"/>
      <w:pgMar w:top="567" w:right="992"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A44A" w14:textId="77777777" w:rsidR="00074019" w:rsidRDefault="00074019">
      <w:r>
        <w:separator/>
      </w:r>
    </w:p>
  </w:endnote>
  <w:endnote w:type="continuationSeparator" w:id="0">
    <w:p w14:paraId="5FA5F412" w14:textId="77777777" w:rsidR="00074019" w:rsidRDefault="00074019">
      <w:r>
        <w:continuationSeparator/>
      </w:r>
    </w:p>
  </w:endnote>
  <w:endnote w:type="continuationNotice" w:id="1">
    <w:p w14:paraId="6B750E54" w14:textId="77777777" w:rsidR="00074019" w:rsidRDefault="000740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35FD" w14:textId="77777777" w:rsidR="00074019" w:rsidRDefault="00074019">
      <w:r>
        <w:t>____________________</w:t>
      </w:r>
    </w:p>
  </w:footnote>
  <w:footnote w:type="continuationSeparator" w:id="0">
    <w:p w14:paraId="633652DD" w14:textId="77777777" w:rsidR="00074019" w:rsidRDefault="00074019">
      <w:r>
        <w:continuationSeparator/>
      </w:r>
    </w:p>
  </w:footnote>
  <w:footnote w:type="continuationNotice" w:id="1">
    <w:p w14:paraId="0017C583" w14:textId="77777777" w:rsidR="00074019" w:rsidRDefault="0007401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2C7AF7ED" w:rsidR="00114254" w:rsidRDefault="00114254" w:rsidP="00C24502">
    <w:pPr>
      <w:pStyle w:val="Header"/>
      <w:spacing w:after="240"/>
    </w:pPr>
    <w:r>
      <w:t xml:space="preserve">- </w:t>
    </w:r>
    <w:r>
      <w:fldChar w:fldCharType="begin"/>
    </w:r>
    <w:r>
      <w:instrText xml:space="preserve"> PAGE   \* MERGEFORMAT </w:instrText>
    </w:r>
    <w:r>
      <w:fldChar w:fldCharType="separate"/>
    </w:r>
    <w:r w:rsidR="000E62F6">
      <w:rPr>
        <w:noProof/>
      </w:rPr>
      <w:t>2</w:t>
    </w:r>
    <w:r>
      <w:rPr>
        <w:noProof/>
      </w:rPr>
      <w:fldChar w:fldCharType="end"/>
    </w:r>
    <w:r>
      <w:rPr>
        <w:noProof/>
      </w:rPr>
      <w:t xml:space="preserve"> -</w:t>
    </w:r>
    <w:r>
      <w:rPr>
        <w:noProof/>
      </w:rPr>
      <w:br/>
    </w:r>
    <w:r w:rsidR="004200CF">
      <w:rPr>
        <w:rFonts w:hint="eastAsia"/>
        <w:noProof/>
        <w:lang w:eastAsia="zh-CN"/>
      </w:rPr>
      <w:t>电信标准化局第</w:t>
    </w:r>
    <w:r w:rsidR="002861A0">
      <w:rPr>
        <w:noProof/>
      </w:rPr>
      <w:t>139</w:t>
    </w:r>
    <w:r w:rsidR="004200CF">
      <w:rPr>
        <w:rFonts w:hint="eastAsia"/>
        <w:noProof/>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A04B8"/>
    <w:multiLevelType w:val="hybridMultilevel"/>
    <w:tmpl w:val="5BB81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54E27"/>
    <w:multiLevelType w:val="hybridMultilevel"/>
    <w:tmpl w:val="FC5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1413A"/>
    <w:multiLevelType w:val="hybridMultilevel"/>
    <w:tmpl w:val="FD66F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489992">
    <w:abstractNumId w:val="9"/>
  </w:num>
  <w:num w:numId="2" w16cid:durableId="490023206">
    <w:abstractNumId w:val="7"/>
  </w:num>
  <w:num w:numId="3" w16cid:durableId="1234588477">
    <w:abstractNumId w:val="6"/>
  </w:num>
  <w:num w:numId="4" w16cid:durableId="632753012">
    <w:abstractNumId w:val="5"/>
  </w:num>
  <w:num w:numId="5" w16cid:durableId="1806047137">
    <w:abstractNumId w:val="4"/>
  </w:num>
  <w:num w:numId="6" w16cid:durableId="1395005218">
    <w:abstractNumId w:val="8"/>
  </w:num>
  <w:num w:numId="7" w16cid:durableId="1616013536">
    <w:abstractNumId w:val="3"/>
  </w:num>
  <w:num w:numId="8" w16cid:durableId="349262076">
    <w:abstractNumId w:val="2"/>
  </w:num>
  <w:num w:numId="9" w16cid:durableId="1070272766">
    <w:abstractNumId w:val="1"/>
  </w:num>
  <w:num w:numId="10" w16cid:durableId="155925714">
    <w:abstractNumId w:val="0"/>
  </w:num>
  <w:num w:numId="11" w16cid:durableId="1141003401">
    <w:abstractNumId w:val="13"/>
  </w:num>
  <w:num w:numId="12" w16cid:durableId="166796334">
    <w:abstractNumId w:val="27"/>
  </w:num>
  <w:num w:numId="13" w16cid:durableId="469246760">
    <w:abstractNumId w:val="24"/>
  </w:num>
  <w:num w:numId="14" w16cid:durableId="538277587">
    <w:abstractNumId w:val="15"/>
  </w:num>
  <w:num w:numId="15" w16cid:durableId="42019592">
    <w:abstractNumId w:val="11"/>
  </w:num>
  <w:num w:numId="16" w16cid:durableId="905920554">
    <w:abstractNumId w:val="12"/>
  </w:num>
  <w:num w:numId="17" w16cid:durableId="15625046">
    <w:abstractNumId w:val="18"/>
  </w:num>
  <w:num w:numId="18" w16cid:durableId="738400200">
    <w:abstractNumId w:val="26"/>
  </w:num>
  <w:num w:numId="19" w16cid:durableId="1789886238">
    <w:abstractNumId w:val="25"/>
  </w:num>
  <w:num w:numId="20" w16cid:durableId="917448856">
    <w:abstractNumId w:val="17"/>
  </w:num>
  <w:num w:numId="21" w16cid:durableId="1332832132">
    <w:abstractNumId w:val="23"/>
  </w:num>
  <w:num w:numId="22" w16cid:durableId="1722096518">
    <w:abstractNumId w:val="19"/>
  </w:num>
  <w:num w:numId="23" w16cid:durableId="848636819">
    <w:abstractNumId w:val="20"/>
  </w:num>
  <w:num w:numId="24" w16cid:durableId="1863013182">
    <w:abstractNumId w:val="16"/>
  </w:num>
  <w:num w:numId="25" w16cid:durableId="1184710522">
    <w:abstractNumId w:val="22"/>
  </w:num>
  <w:num w:numId="26" w16cid:durableId="1507551980">
    <w:abstractNumId w:val="21"/>
  </w:num>
  <w:num w:numId="27" w16cid:durableId="217939196">
    <w:abstractNumId w:val="10"/>
  </w:num>
  <w:num w:numId="28" w16cid:durableId="14513171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zM1NbA0NDYwNjdX0lEKTi0uzszPAykwrAUAkUte3ywAAAA="/>
  </w:docVars>
  <w:rsids>
    <w:rsidRoot w:val="00C24502"/>
    <w:rsid w:val="00001338"/>
    <w:rsid w:val="0000685B"/>
    <w:rsid w:val="00006F35"/>
    <w:rsid w:val="000119CA"/>
    <w:rsid w:val="00016DAB"/>
    <w:rsid w:val="00016F53"/>
    <w:rsid w:val="00022E6B"/>
    <w:rsid w:val="00033AB7"/>
    <w:rsid w:val="00043834"/>
    <w:rsid w:val="00052725"/>
    <w:rsid w:val="00060DA5"/>
    <w:rsid w:val="00063CB5"/>
    <w:rsid w:val="00066FCA"/>
    <w:rsid w:val="00074019"/>
    <w:rsid w:val="000746DA"/>
    <w:rsid w:val="00074B3E"/>
    <w:rsid w:val="000A067F"/>
    <w:rsid w:val="000A3BA7"/>
    <w:rsid w:val="000B15C8"/>
    <w:rsid w:val="000C0E8D"/>
    <w:rsid w:val="000C5EEB"/>
    <w:rsid w:val="000D7910"/>
    <w:rsid w:val="000E3196"/>
    <w:rsid w:val="000E5CBB"/>
    <w:rsid w:val="000E62F6"/>
    <w:rsid w:val="000F0641"/>
    <w:rsid w:val="000F5C38"/>
    <w:rsid w:val="001018B0"/>
    <w:rsid w:val="001018E1"/>
    <w:rsid w:val="00110B55"/>
    <w:rsid w:val="00112F37"/>
    <w:rsid w:val="00114254"/>
    <w:rsid w:val="001374D7"/>
    <w:rsid w:val="00152B9C"/>
    <w:rsid w:val="00154FF7"/>
    <w:rsid w:val="0015617F"/>
    <w:rsid w:val="00160D56"/>
    <w:rsid w:val="001659BF"/>
    <w:rsid w:val="00193DCC"/>
    <w:rsid w:val="001959E4"/>
    <w:rsid w:val="001A3354"/>
    <w:rsid w:val="001A34EC"/>
    <w:rsid w:val="001A53FD"/>
    <w:rsid w:val="001B067B"/>
    <w:rsid w:val="001B4871"/>
    <w:rsid w:val="001B5DB9"/>
    <w:rsid w:val="001B6FD8"/>
    <w:rsid w:val="001B7E42"/>
    <w:rsid w:val="001C7C93"/>
    <w:rsid w:val="001D101A"/>
    <w:rsid w:val="001D516F"/>
    <w:rsid w:val="001E692B"/>
    <w:rsid w:val="001F2BDC"/>
    <w:rsid w:val="001F6B62"/>
    <w:rsid w:val="00205749"/>
    <w:rsid w:val="0020789E"/>
    <w:rsid w:val="00230030"/>
    <w:rsid w:val="00254274"/>
    <w:rsid w:val="00255210"/>
    <w:rsid w:val="00256361"/>
    <w:rsid w:val="002612A1"/>
    <w:rsid w:val="002845CF"/>
    <w:rsid w:val="002861A0"/>
    <w:rsid w:val="00287163"/>
    <w:rsid w:val="002931E2"/>
    <w:rsid w:val="002B52D9"/>
    <w:rsid w:val="002B74A9"/>
    <w:rsid w:val="002C3404"/>
    <w:rsid w:val="002D6AA8"/>
    <w:rsid w:val="002F7968"/>
    <w:rsid w:val="00301A5C"/>
    <w:rsid w:val="00307AAA"/>
    <w:rsid w:val="00316EFA"/>
    <w:rsid w:val="00327E67"/>
    <w:rsid w:val="00331D00"/>
    <w:rsid w:val="003437E1"/>
    <w:rsid w:val="00345F16"/>
    <w:rsid w:val="00347F29"/>
    <w:rsid w:val="00350C1F"/>
    <w:rsid w:val="003510E4"/>
    <w:rsid w:val="00356B73"/>
    <w:rsid w:val="00360C30"/>
    <w:rsid w:val="00370BF8"/>
    <w:rsid w:val="003746A5"/>
    <w:rsid w:val="003B0EDF"/>
    <w:rsid w:val="003B1B88"/>
    <w:rsid w:val="003B3AC7"/>
    <w:rsid w:val="003C79F3"/>
    <w:rsid w:val="003D136A"/>
    <w:rsid w:val="003D4690"/>
    <w:rsid w:val="003D769B"/>
    <w:rsid w:val="003E0708"/>
    <w:rsid w:val="003E7B2D"/>
    <w:rsid w:val="00401C98"/>
    <w:rsid w:val="004035EC"/>
    <w:rsid w:val="00403B9F"/>
    <w:rsid w:val="004110D3"/>
    <w:rsid w:val="00413BA1"/>
    <w:rsid w:val="004200CF"/>
    <w:rsid w:val="0043177D"/>
    <w:rsid w:val="00432A54"/>
    <w:rsid w:val="00432B79"/>
    <w:rsid w:val="00446B33"/>
    <w:rsid w:val="00450456"/>
    <w:rsid w:val="00453CEA"/>
    <w:rsid w:val="00454600"/>
    <w:rsid w:val="00455B93"/>
    <w:rsid w:val="0046334C"/>
    <w:rsid w:val="00471EC9"/>
    <w:rsid w:val="00472BDE"/>
    <w:rsid w:val="004778EE"/>
    <w:rsid w:val="00482C4F"/>
    <w:rsid w:val="00487330"/>
    <w:rsid w:val="004A52A9"/>
    <w:rsid w:val="004D1B7D"/>
    <w:rsid w:val="004D20F7"/>
    <w:rsid w:val="004D22D2"/>
    <w:rsid w:val="004E08F5"/>
    <w:rsid w:val="0050096F"/>
    <w:rsid w:val="005009BE"/>
    <w:rsid w:val="00503ADB"/>
    <w:rsid w:val="00514B65"/>
    <w:rsid w:val="0051780C"/>
    <w:rsid w:val="00521A2C"/>
    <w:rsid w:val="00524727"/>
    <w:rsid w:val="005319F9"/>
    <w:rsid w:val="00535FD1"/>
    <w:rsid w:val="00547D6A"/>
    <w:rsid w:val="00560C97"/>
    <w:rsid w:val="00561EFB"/>
    <w:rsid w:val="0056750D"/>
    <w:rsid w:val="005731BB"/>
    <w:rsid w:val="00587087"/>
    <w:rsid w:val="00590659"/>
    <w:rsid w:val="00594FFE"/>
    <w:rsid w:val="005A57C3"/>
    <w:rsid w:val="005C05C7"/>
    <w:rsid w:val="005E003C"/>
    <w:rsid w:val="005E4836"/>
    <w:rsid w:val="005E7145"/>
    <w:rsid w:val="005F3818"/>
    <w:rsid w:val="005F46C3"/>
    <w:rsid w:val="00602FBB"/>
    <w:rsid w:val="00604605"/>
    <w:rsid w:val="0060727D"/>
    <w:rsid w:val="006174B7"/>
    <w:rsid w:val="00620E07"/>
    <w:rsid w:val="0062164C"/>
    <w:rsid w:val="006250F8"/>
    <w:rsid w:val="006335A4"/>
    <w:rsid w:val="00665FA6"/>
    <w:rsid w:val="0068014A"/>
    <w:rsid w:val="00685E50"/>
    <w:rsid w:val="006B0BB2"/>
    <w:rsid w:val="006B462B"/>
    <w:rsid w:val="006B74DE"/>
    <w:rsid w:val="006C0AA3"/>
    <w:rsid w:val="006D0234"/>
    <w:rsid w:val="006E04C0"/>
    <w:rsid w:val="00712AC7"/>
    <w:rsid w:val="00712E5C"/>
    <w:rsid w:val="007231B6"/>
    <w:rsid w:val="00727DB7"/>
    <w:rsid w:val="00730A58"/>
    <w:rsid w:val="00750263"/>
    <w:rsid w:val="00754286"/>
    <w:rsid w:val="0075708A"/>
    <w:rsid w:val="00764B6B"/>
    <w:rsid w:val="00765C34"/>
    <w:rsid w:val="00766005"/>
    <w:rsid w:val="00774C88"/>
    <w:rsid w:val="0078477D"/>
    <w:rsid w:val="0079763E"/>
    <w:rsid w:val="007A148E"/>
    <w:rsid w:val="007A3558"/>
    <w:rsid w:val="007A65E8"/>
    <w:rsid w:val="007C4AFD"/>
    <w:rsid w:val="007D3F9A"/>
    <w:rsid w:val="00805B81"/>
    <w:rsid w:val="008065D5"/>
    <w:rsid w:val="00806C96"/>
    <w:rsid w:val="00807A84"/>
    <w:rsid w:val="008326E9"/>
    <w:rsid w:val="00835D15"/>
    <w:rsid w:val="008363BC"/>
    <w:rsid w:val="00843033"/>
    <w:rsid w:val="0084321D"/>
    <w:rsid w:val="00847103"/>
    <w:rsid w:val="00847DB2"/>
    <w:rsid w:val="00854727"/>
    <w:rsid w:val="008561CB"/>
    <w:rsid w:val="008570EC"/>
    <w:rsid w:val="00863F6D"/>
    <w:rsid w:val="00864A44"/>
    <w:rsid w:val="00872354"/>
    <w:rsid w:val="00880F4A"/>
    <w:rsid w:val="008A52F0"/>
    <w:rsid w:val="008B1D19"/>
    <w:rsid w:val="008C03F5"/>
    <w:rsid w:val="008C4331"/>
    <w:rsid w:val="008D183D"/>
    <w:rsid w:val="008D1B7A"/>
    <w:rsid w:val="008E70CB"/>
    <w:rsid w:val="008F0779"/>
    <w:rsid w:val="008F310C"/>
    <w:rsid w:val="00906518"/>
    <w:rsid w:val="009074B9"/>
    <w:rsid w:val="00913449"/>
    <w:rsid w:val="0091426F"/>
    <w:rsid w:val="009146F7"/>
    <w:rsid w:val="009215FE"/>
    <w:rsid w:val="009229C5"/>
    <w:rsid w:val="00933C77"/>
    <w:rsid w:val="0094780C"/>
    <w:rsid w:val="00963900"/>
    <w:rsid w:val="009747C5"/>
    <w:rsid w:val="009756B0"/>
    <w:rsid w:val="00983151"/>
    <w:rsid w:val="00991FE8"/>
    <w:rsid w:val="009A1C5C"/>
    <w:rsid w:val="009A617D"/>
    <w:rsid w:val="009B2EB5"/>
    <w:rsid w:val="009B42BB"/>
    <w:rsid w:val="009B58FE"/>
    <w:rsid w:val="009C039A"/>
    <w:rsid w:val="009D53C9"/>
    <w:rsid w:val="009D542A"/>
    <w:rsid w:val="009D7602"/>
    <w:rsid w:val="009F0A0C"/>
    <w:rsid w:val="009F42C6"/>
    <w:rsid w:val="00A02041"/>
    <w:rsid w:val="00A02C14"/>
    <w:rsid w:val="00A07BF4"/>
    <w:rsid w:val="00A12220"/>
    <w:rsid w:val="00A215E8"/>
    <w:rsid w:val="00A21BD6"/>
    <w:rsid w:val="00A25121"/>
    <w:rsid w:val="00A304CD"/>
    <w:rsid w:val="00A32237"/>
    <w:rsid w:val="00A56FC6"/>
    <w:rsid w:val="00A62A9A"/>
    <w:rsid w:val="00A6517E"/>
    <w:rsid w:val="00A72C30"/>
    <w:rsid w:val="00AA1420"/>
    <w:rsid w:val="00AA7615"/>
    <w:rsid w:val="00AB66DE"/>
    <w:rsid w:val="00AC3255"/>
    <w:rsid w:val="00AC33EB"/>
    <w:rsid w:val="00AC5B63"/>
    <w:rsid w:val="00AC7292"/>
    <w:rsid w:val="00AD7724"/>
    <w:rsid w:val="00AF3AFC"/>
    <w:rsid w:val="00B01E48"/>
    <w:rsid w:val="00B04B33"/>
    <w:rsid w:val="00B128D3"/>
    <w:rsid w:val="00B2488F"/>
    <w:rsid w:val="00B25910"/>
    <w:rsid w:val="00B3719E"/>
    <w:rsid w:val="00B3794A"/>
    <w:rsid w:val="00B404A8"/>
    <w:rsid w:val="00B4669D"/>
    <w:rsid w:val="00B57FE0"/>
    <w:rsid w:val="00B61012"/>
    <w:rsid w:val="00B77177"/>
    <w:rsid w:val="00B77587"/>
    <w:rsid w:val="00B92833"/>
    <w:rsid w:val="00B93770"/>
    <w:rsid w:val="00BA79DA"/>
    <w:rsid w:val="00BA7B3B"/>
    <w:rsid w:val="00BC400F"/>
    <w:rsid w:val="00BC7342"/>
    <w:rsid w:val="00BD0C4A"/>
    <w:rsid w:val="00BE33BB"/>
    <w:rsid w:val="00C06AC4"/>
    <w:rsid w:val="00C224B3"/>
    <w:rsid w:val="00C24502"/>
    <w:rsid w:val="00C35B4B"/>
    <w:rsid w:val="00C36438"/>
    <w:rsid w:val="00C60E94"/>
    <w:rsid w:val="00C640E1"/>
    <w:rsid w:val="00C65209"/>
    <w:rsid w:val="00C671AD"/>
    <w:rsid w:val="00C73EC6"/>
    <w:rsid w:val="00C8689C"/>
    <w:rsid w:val="00C91297"/>
    <w:rsid w:val="00C93039"/>
    <w:rsid w:val="00C95BF6"/>
    <w:rsid w:val="00CB024A"/>
    <w:rsid w:val="00CB697A"/>
    <w:rsid w:val="00CE6802"/>
    <w:rsid w:val="00CF0C00"/>
    <w:rsid w:val="00CF4B98"/>
    <w:rsid w:val="00CF5431"/>
    <w:rsid w:val="00D036DA"/>
    <w:rsid w:val="00D161DA"/>
    <w:rsid w:val="00D1744D"/>
    <w:rsid w:val="00D250AA"/>
    <w:rsid w:val="00D31697"/>
    <w:rsid w:val="00D33B73"/>
    <w:rsid w:val="00D42E8A"/>
    <w:rsid w:val="00D62702"/>
    <w:rsid w:val="00D65EA5"/>
    <w:rsid w:val="00D751B9"/>
    <w:rsid w:val="00D75C0D"/>
    <w:rsid w:val="00D837CE"/>
    <w:rsid w:val="00DA6CC1"/>
    <w:rsid w:val="00DA7602"/>
    <w:rsid w:val="00DB11C1"/>
    <w:rsid w:val="00DB1963"/>
    <w:rsid w:val="00DB686B"/>
    <w:rsid w:val="00DC0F9E"/>
    <w:rsid w:val="00DC6878"/>
    <w:rsid w:val="00DC7E54"/>
    <w:rsid w:val="00E071A8"/>
    <w:rsid w:val="00E16A90"/>
    <w:rsid w:val="00E265FA"/>
    <w:rsid w:val="00E26F3C"/>
    <w:rsid w:val="00E2756D"/>
    <w:rsid w:val="00E500BB"/>
    <w:rsid w:val="00E52AF5"/>
    <w:rsid w:val="00E6542F"/>
    <w:rsid w:val="00E72F9B"/>
    <w:rsid w:val="00E75496"/>
    <w:rsid w:val="00EA017C"/>
    <w:rsid w:val="00EA14BD"/>
    <w:rsid w:val="00EA2114"/>
    <w:rsid w:val="00EA23BF"/>
    <w:rsid w:val="00EC15F4"/>
    <w:rsid w:val="00EC44CE"/>
    <w:rsid w:val="00ED1847"/>
    <w:rsid w:val="00ED72D9"/>
    <w:rsid w:val="00EE07E9"/>
    <w:rsid w:val="00EE60C8"/>
    <w:rsid w:val="00EF1EC0"/>
    <w:rsid w:val="00F02126"/>
    <w:rsid w:val="00F05C4F"/>
    <w:rsid w:val="00F13D1D"/>
    <w:rsid w:val="00F2168F"/>
    <w:rsid w:val="00F22314"/>
    <w:rsid w:val="00F26216"/>
    <w:rsid w:val="00F4035D"/>
    <w:rsid w:val="00F46DE8"/>
    <w:rsid w:val="00F5312E"/>
    <w:rsid w:val="00F54170"/>
    <w:rsid w:val="00F56BA0"/>
    <w:rsid w:val="00F73835"/>
    <w:rsid w:val="00F80F9B"/>
    <w:rsid w:val="00F84BD7"/>
    <w:rsid w:val="00F94884"/>
    <w:rsid w:val="00FA46A0"/>
    <w:rsid w:val="00FB5FD6"/>
    <w:rsid w:val="00FC0F70"/>
    <w:rsid w:val="00FC1C19"/>
    <w:rsid w:val="00FC77A9"/>
    <w:rsid w:val="00FD2FBF"/>
    <w:rsid w:val="00FD393C"/>
    <w:rsid w:val="00FD4A13"/>
    <w:rsid w:val="00FE3362"/>
    <w:rsid w:val="00FE711E"/>
    <w:rsid w:val="00FF2096"/>
    <w:rsid w:val="00FF5729"/>
    <w:rsid w:val="14423B69"/>
    <w:rsid w:val="1A5251CD"/>
    <w:rsid w:val="2EB6E48E"/>
    <w:rsid w:val="2ED9DC0F"/>
    <w:rsid w:val="5C2B3454"/>
    <w:rsid w:val="69561F9B"/>
    <w:rsid w:val="7443A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09A5F1A5-10C7-43D8-B6FB-FA73EFF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413BA1"/>
    <w:rPr>
      <w:color w:val="605E5C"/>
      <w:shd w:val="clear" w:color="auto" w:fill="E1DFDD"/>
    </w:rPr>
  </w:style>
  <w:style w:type="table" w:customStyle="1" w:styleId="TableGrid1">
    <w:name w:val="Table Grid1"/>
    <w:basedOn w:val="TableNormal"/>
    <w:next w:val="TableGrid"/>
    <w:rsid w:val="009D760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3196"/>
  </w:style>
  <w:style w:type="character" w:customStyle="1" w:styleId="eop">
    <w:name w:val="eop"/>
    <w:basedOn w:val="DefaultParagraphFont"/>
    <w:rsid w:val="000E3196"/>
  </w:style>
  <w:style w:type="character" w:customStyle="1" w:styleId="scxw88484351">
    <w:name w:val="scxw88484351"/>
    <w:basedOn w:val="DefaultParagraphFont"/>
    <w:rsid w:val="000E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29579545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4132185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transformation@itu.int" TargetMode="External"/><Relationship Id="rId13" Type="http://schemas.openxmlformats.org/officeDocument/2006/relationships/hyperlink" Target="https://www.itu.int/cities/standards4d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cities/standards4d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cities/standards4dt/"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itu.int/md/T22-TSB-CIR-0097/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go/tsg20"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28</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TSB Circular Letter 10-MM.docx  For: _x000d_Document date: _x000d_Saved by ITU51014379 at 17:56:10 on 30.05.2022</dc:description>
  <cp:lastModifiedBy>Braud, Olivia</cp:lastModifiedBy>
  <cp:revision>5</cp:revision>
  <cp:lastPrinted>2023-10-24T13:32:00Z</cp:lastPrinted>
  <dcterms:created xsi:type="dcterms:W3CDTF">2023-10-18T09:20:00Z</dcterms:created>
  <dcterms:modified xsi:type="dcterms:W3CDTF">2023-10-24T13:32:00Z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Letter 10-MM.docx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8d013f5aa15c749df9e746173a4a5765b21f7afb3d423212ce56273ed053ee8a</vt:lpwstr>
  </property>
</Properties>
</file>