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6" w:type="dxa"/>
        <w:tblInd w:w="-142" w:type="dxa"/>
        <w:tblLayout w:type="fixed"/>
        <w:tblLook w:val="0000" w:firstRow="0" w:lastRow="0" w:firstColumn="0" w:lastColumn="0" w:noHBand="0" w:noVBand="0"/>
      </w:tblPr>
      <w:tblGrid>
        <w:gridCol w:w="150"/>
        <w:gridCol w:w="1409"/>
        <w:gridCol w:w="3470"/>
        <w:gridCol w:w="5327"/>
      </w:tblGrid>
      <w:tr w:rsidR="007B6316" w14:paraId="384F6C3E" w14:textId="77777777" w:rsidTr="00664D4E">
        <w:trPr>
          <w:gridBefore w:val="1"/>
          <w:wBefore w:w="150" w:type="dxa"/>
          <w:cantSplit/>
        </w:trPr>
        <w:tc>
          <w:tcPr>
            <w:tcW w:w="1409" w:type="dxa"/>
          </w:tcPr>
          <w:p w14:paraId="71B41806"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09694AD7" wp14:editId="2768E0B1">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7" w:type="dxa"/>
            <w:gridSpan w:val="2"/>
            <w:vAlign w:val="center"/>
          </w:tcPr>
          <w:p w14:paraId="250A86B5"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1FDE9038"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263F31EA" w14:textId="77777777" w:rsidTr="00664D4E">
        <w:trPr>
          <w:gridBefore w:val="1"/>
          <w:wBefore w:w="150" w:type="dxa"/>
          <w:cantSplit/>
        </w:trPr>
        <w:tc>
          <w:tcPr>
            <w:tcW w:w="1409" w:type="dxa"/>
          </w:tcPr>
          <w:p w14:paraId="59F84D54" w14:textId="77777777" w:rsidR="007B6316" w:rsidRPr="004C6135" w:rsidRDefault="007B6316" w:rsidP="004C6135">
            <w:pPr>
              <w:spacing w:after="120"/>
            </w:pPr>
          </w:p>
        </w:tc>
        <w:tc>
          <w:tcPr>
            <w:tcW w:w="3470" w:type="dxa"/>
          </w:tcPr>
          <w:p w14:paraId="25BB824F" w14:textId="77777777" w:rsidR="007B6316" w:rsidRPr="004C6135" w:rsidRDefault="007B6316" w:rsidP="004C6135"/>
        </w:tc>
        <w:tc>
          <w:tcPr>
            <w:tcW w:w="5327" w:type="dxa"/>
          </w:tcPr>
          <w:p w14:paraId="2582CEAB" w14:textId="5F77C153" w:rsidR="007B6316" w:rsidRPr="00664D4E" w:rsidRDefault="005B6A15" w:rsidP="004C6135">
            <w:pPr>
              <w:rPr>
                <w:sz w:val="22"/>
                <w:szCs w:val="18"/>
              </w:rPr>
            </w:pPr>
            <w:r w:rsidRPr="00664D4E">
              <w:rPr>
                <w:sz w:val="22"/>
                <w:szCs w:val="18"/>
              </w:rPr>
              <w:t>Ginebra, 14 de diciembre de 2023</w:t>
            </w:r>
          </w:p>
        </w:tc>
      </w:tr>
      <w:tr w:rsidR="00B27F34" w:rsidRPr="00664D4E" w14:paraId="4B1628E2" w14:textId="77777777" w:rsidTr="00664D4E">
        <w:trPr>
          <w:cantSplit/>
        </w:trPr>
        <w:tc>
          <w:tcPr>
            <w:tcW w:w="1559" w:type="dxa"/>
            <w:gridSpan w:val="2"/>
          </w:tcPr>
          <w:p w14:paraId="55D114DE" w14:textId="29DA24D4" w:rsidR="00B27F34" w:rsidRPr="00664D4E" w:rsidRDefault="00B27F34" w:rsidP="00B27F34">
            <w:pPr>
              <w:spacing w:before="40" w:after="40"/>
              <w:rPr>
                <w:sz w:val="22"/>
                <w:szCs w:val="18"/>
              </w:rPr>
            </w:pPr>
            <w:r w:rsidRPr="00664D4E">
              <w:rPr>
                <w:sz w:val="22"/>
                <w:szCs w:val="18"/>
              </w:rPr>
              <w:t>Ref.:</w:t>
            </w:r>
          </w:p>
        </w:tc>
        <w:tc>
          <w:tcPr>
            <w:tcW w:w="3470" w:type="dxa"/>
          </w:tcPr>
          <w:p w14:paraId="3D4A00AC" w14:textId="75479B77" w:rsidR="00B27F34" w:rsidRPr="00664D4E" w:rsidRDefault="00B27F34" w:rsidP="004C6135">
            <w:pPr>
              <w:spacing w:before="40"/>
              <w:rPr>
                <w:b/>
                <w:bCs/>
                <w:sz w:val="22"/>
                <w:szCs w:val="18"/>
              </w:rPr>
            </w:pPr>
            <w:r w:rsidRPr="00664D4E">
              <w:rPr>
                <w:b/>
                <w:bCs/>
                <w:sz w:val="22"/>
                <w:szCs w:val="18"/>
              </w:rPr>
              <w:t>Circular TSB 16</w:t>
            </w:r>
            <w:r w:rsidR="006D7DEE" w:rsidRPr="00664D4E">
              <w:rPr>
                <w:b/>
                <w:bCs/>
                <w:sz w:val="22"/>
                <w:szCs w:val="18"/>
              </w:rPr>
              <w:t>1</w:t>
            </w:r>
          </w:p>
          <w:p w14:paraId="2BB6D644" w14:textId="3600EDA4" w:rsidR="00B27F34" w:rsidRPr="00664D4E" w:rsidRDefault="006D7DEE" w:rsidP="007115AF">
            <w:pPr>
              <w:spacing w:before="0" w:after="40"/>
              <w:rPr>
                <w:sz w:val="22"/>
                <w:szCs w:val="18"/>
              </w:rPr>
            </w:pPr>
            <w:r w:rsidRPr="00664D4E">
              <w:rPr>
                <w:sz w:val="22"/>
                <w:szCs w:val="18"/>
              </w:rPr>
              <w:t>FNC-2024/SP</w:t>
            </w:r>
          </w:p>
        </w:tc>
        <w:tc>
          <w:tcPr>
            <w:tcW w:w="5327" w:type="dxa"/>
            <w:vMerge w:val="restart"/>
          </w:tcPr>
          <w:p w14:paraId="3853A471" w14:textId="77777777" w:rsidR="00B27F34" w:rsidRPr="00664D4E" w:rsidRDefault="00B27F34" w:rsidP="00B27F34">
            <w:pPr>
              <w:spacing w:before="40" w:after="40"/>
              <w:rPr>
                <w:b/>
                <w:bCs/>
                <w:sz w:val="22"/>
                <w:szCs w:val="18"/>
              </w:rPr>
            </w:pPr>
            <w:bookmarkStart w:id="0" w:name="Addressee_S"/>
            <w:bookmarkEnd w:id="0"/>
            <w:r w:rsidRPr="00664D4E">
              <w:rPr>
                <w:b/>
                <w:bCs/>
                <w:sz w:val="22"/>
                <w:szCs w:val="18"/>
              </w:rPr>
              <w:t>A:</w:t>
            </w:r>
          </w:p>
          <w:p w14:paraId="5443A84A" w14:textId="1C0B59D2" w:rsidR="00B27F34" w:rsidRPr="00664D4E" w:rsidRDefault="00B27F34" w:rsidP="004C6135">
            <w:pPr>
              <w:tabs>
                <w:tab w:val="clear" w:pos="794"/>
                <w:tab w:val="left" w:pos="533"/>
              </w:tabs>
              <w:spacing w:before="40"/>
              <w:ind w:left="533" w:hanging="533"/>
              <w:rPr>
                <w:sz w:val="22"/>
                <w:szCs w:val="18"/>
              </w:rPr>
            </w:pPr>
            <w:r w:rsidRPr="00664D4E">
              <w:rPr>
                <w:sz w:val="22"/>
                <w:szCs w:val="18"/>
              </w:rPr>
              <w:t>–</w:t>
            </w:r>
            <w:r w:rsidRPr="00664D4E">
              <w:rPr>
                <w:sz w:val="22"/>
                <w:szCs w:val="18"/>
              </w:rPr>
              <w:tab/>
            </w:r>
            <w:r w:rsidR="006D7DEE" w:rsidRPr="00664D4E">
              <w:rPr>
                <w:sz w:val="22"/>
                <w:szCs w:val="18"/>
                <w:lang w:val="es-ES"/>
              </w:rPr>
              <w:t>las Administraciones de los Estados Miembros de la Unión;</w:t>
            </w:r>
          </w:p>
          <w:p w14:paraId="429C1319" w14:textId="4846BEBE" w:rsidR="00B27F34" w:rsidRPr="00664D4E" w:rsidRDefault="00B27F34" w:rsidP="004C6135">
            <w:pPr>
              <w:tabs>
                <w:tab w:val="clear" w:pos="794"/>
                <w:tab w:val="left" w:pos="533"/>
              </w:tabs>
              <w:spacing w:before="40"/>
              <w:ind w:left="533" w:hanging="533"/>
              <w:rPr>
                <w:sz w:val="22"/>
                <w:szCs w:val="18"/>
              </w:rPr>
            </w:pPr>
            <w:r w:rsidRPr="00664D4E">
              <w:rPr>
                <w:sz w:val="22"/>
                <w:szCs w:val="18"/>
              </w:rPr>
              <w:t>–</w:t>
            </w:r>
            <w:r w:rsidRPr="00664D4E">
              <w:rPr>
                <w:sz w:val="22"/>
                <w:szCs w:val="18"/>
              </w:rPr>
              <w:tab/>
            </w:r>
            <w:r w:rsidRPr="00664D4E">
              <w:rPr>
                <w:sz w:val="22"/>
                <w:szCs w:val="18"/>
                <w:lang w:val="es-ES"/>
              </w:rPr>
              <w:t>los Miembros de Sector del UIT-T;</w:t>
            </w:r>
          </w:p>
          <w:p w14:paraId="7895755A" w14:textId="42F121C3" w:rsidR="00B27F34" w:rsidRPr="00664D4E" w:rsidRDefault="00B27F34" w:rsidP="004C6135">
            <w:pPr>
              <w:tabs>
                <w:tab w:val="clear" w:pos="794"/>
                <w:tab w:val="left" w:pos="533"/>
              </w:tabs>
              <w:spacing w:before="40"/>
              <w:ind w:left="533" w:hanging="533"/>
              <w:rPr>
                <w:sz w:val="22"/>
                <w:szCs w:val="18"/>
              </w:rPr>
            </w:pPr>
            <w:r w:rsidRPr="00664D4E">
              <w:rPr>
                <w:sz w:val="22"/>
                <w:szCs w:val="18"/>
              </w:rPr>
              <w:t>–</w:t>
            </w:r>
            <w:r w:rsidRPr="00664D4E">
              <w:rPr>
                <w:sz w:val="22"/>
                <w:szCs w:val="18"/>
              </w:rPr>
              <w:tab/>
              <w:t>los Asociados del UIT-T;</w:t>
            </w:r>
          </w:p>
          <w:p w14:paraId="14097D3C" w14:textId="20925BCA" w:rsidR="00B27F34" w:rsidRPr="00664D4E" w:rsidRDefault="00B27F34" w:rsidP="00CC397A">
            <w:pPr>
              <w:tabs>
                <w:tab w:val="clear" w:pos="794"/>
                <w:tab w:val="left" w:pos="533"/>
              </w:tabs>
              <w:spacing w:before="40" w:after="40"/>
              <w:ind w:left="533" w:hanging="533"/>
              <w:rPr>
                <w:sz w:val="22"/>
                <w:szCs w:val="18"/>
              </w:rPr>
            </w:pPr>
            <w:r w:rsidRPr="00664D4E">
              <w:rPr>
                <w:sz w:val="22"/>
                <w:szCs w:val="18"/>
              </w:rPr>
              <w:t>–</w:t>
            </w:r>
            <w:r w:rsidRPr="00664D4E">
              <w:rPr>
                <w:sz w:val="22"/>
                <w:szCs w:val="18"/>
              </w:rPr>
              <w:tab/>
              <w:t>las Instituciones Académicas de la UIT</w:t>
            </w:r>
          </w:p>
        </w:tc>
      </w:tr>
      <w:tr w:rsidR="006D7DEE" w:rsidRPr="00664D4E" w14:paraId="39D567AA" w14:textId="77777777" w:rsidTr="00664D4E">
        <w:trPr>
          <w:cantSplit/>
        </w:trPr>
        <w:tc>
          <w:tcPr>
            <w:tcW w:w="1559" w:type="dxa"/>
            <w:gridSpan w:val="2"/>
          </w:tcPr>
          <w:p w14:paraId="4A4EF224" w14:textId="7C7C1CBB" w:rsidR="006D7DEE" w:rsidRPr="00664D4E" w:rsidRDefault="006D7DEE" w:rsidP="00B27F34">
            <w:pPr>
              <w:spacing w:before="40" w:after="40"/>
              <w:rPr>
                <w:sz w:val="22"/>
                <w:szCs w:val="18"/>
              </w:rPr>
            </w:pPr>
            <w:r w:rsidRPr="00664D4E">
              <w:rPr>
                <w:sz w:val="22"/>
                <w:szCs w:val="18"/>
              </w:rPr>
              <w:t>Contacto:</w:t>
            </w:r>
          </w:p>
        </w:tc>
        <w:tc>
          <w:tcPr>
            <w:tcW w:w="3470" w:type="dxa"/>
          </w:tcPr>
          <w:p w14:paraId="51AC3DF9" w14:textId="4AC6A30C" w:rsidR="006D7DEE" w:rsidRPr="00664D4E" w:rsidRDefault="006D7DEE" w:rsidP="006D7DEE">
            <w:pPr>
              <w:spacing w:before="40" w:after="40"/>
              <w:rPr>
                <w:sz w:val="22"/>
                <w:szCs w:val="18"/>
              </w:rPr>
            </w:pPr>
            <w:r w:rsidRPr="00664D4E">
              <w:rPr>
                <w:sz w:val="22"/>
                <w:szCs w:val="18"/>
              </w:rPr>
              <w:t>Stefano Polidori</w:t>
            </w:r>
          </w:p>
        </w:tc>
        <w:tc>
          <w:tcPr>
            <w:tcW w:w="5327" w:type="dxa"/>
            <w:vMerge/>
          </w:tcPr>
          <w:p w14:paraId="57D24CB4" w14:textId="77777777" w:rsidR="006D7DEE" w:rsidRPr="00664D4E" w:rsidRDefault="006D7DEE" w:rsidP="00B27F34">
            <w:pPr>
              <w:spacing w:before="40" w:after="40"/>
              <w:rPr>
                <w:b/>
                <w:bCs/>
                <w:sz w:val="22"/>
                <w:szCs w:val="18"/>
              </w:rPr>
            </w:pPr>
          </w:p>
        </w:tc>
      </w:tr>
      <w:tr w:rsidR="00B27F34" w:rsidRPr="00664D4E" w14:paraId="5A35F8CD" w14:textId="77777777" w:rsidTr="00664D4E">
        <w:trPr>
          <w:cantSplit/>
        </w:trPr>
        <w:tc>
          <w:tcPr>
            <w:tcW w:w="1559" w:type="dxa"/>
            <w:gridSpan w:val="2"/>
          </w:tcPr>
          <w:p w14:paraId="2C2B47E2" w14:textId="77777777" w:rsidR="00B27F34" w:rsidRPr="00664D4E" w:rsidRDefault="00B27F34" w:rsidP="00B27F34">
            <w:pPr>
              <w:spacing w:before="40" w:after="40"/>
              <w:rPr>
                <w:sz w:val="22"/>
                <w:szCs w:val="18"/>
              </w:rPr>
            </w:pPr>
            <w:r w:rsidRPr="00664D4E">
              <w:rPr>
                <w:sz w:val="22"/>
                <w:szCs w:val="18"/>
              </w:rPr>
              <w:t>Tel.:</w:t>
            </w:r>
          </w:p>
        </w:tc>
        <w:tc>
          <w:tcPr>
            <w:tcW w:w="3470" w:type="dxa"/>
          </w:tcPr>
          <w:p w14:paraId="13718484" w14:textId="5F42B100" w:rsidR="00B27F34" w:rsidRPr="00664D4E" w:rsidRDefault="006D7DEE" w:rsidP="00B27F34">
            <w:pPr>
              <w:spacing w:before="40" w:after="40"/>
              <w:rPr>
                <w:sz w:val="22"/>
                <w:szCs w:val="18"/>
              </w:rPr>
            </w:pPr>
            <w:r w:rsidRPr="00664D4E">
              <w:rPr>
                <w:sz w:val="22"/>
                <w:szCs w:val="18"/>
              </w:rPr>
              <w:t>+41 22 730 5858</w:t>
            </w:r>
          </w:p>
        </w:tc>
        <w:tc>
          <w:tcPr>
            <w:tcW w:w="5327" w:type="dxa"/>
            <w:vMerge/>
          </w:tcPr>
          <w:p w14:paraId="04F58683" w14:textId="77777777" w:rsidR="00B27F34" w:rsidRPr="00664D4E" w:rsidRDefault="00B27F34" w:rsidP="00303D62">
            <w:pPr>
              <w:tabs>
                <w:tab w:val="left" w:pos="226"/>
                <w:tab w:val="left" w:pos="510"/>
              </w:tabs>
              <w:spacing w:before="0"/>
              <w:ind w:left="226" w:hanging="169"/>
              <w:rPr>
                <w:b/>
                <w:sz w:val="22"/>
                <w:szCs w:val="18"/>
              </w:rPr>
            </w:pPr>
          </w:p>
        </w:tc>
      </w:tr>
      <w:tr w:rsidR="00B27F34" w:rsidRPr="00664D4E" w14:paraId="5FD19783" w14:textId="77777777" w:rsidTr="00664D4E">
        <w:trPr>
          <w:cantSplit/>
        </w:trPr>
        <w:tc>
          <w:tcPr>
            <w:tcW w:w="1559" w:type="dxa"/>
            <w:gridSpan w:val="2"/>
          </w:tcPr>
          <w:p w14:paraId="6E9B7F6F" w14:textId="187234D9" w:rsidR="00B27F34" w:rsidRPr="00664D4E" w:rsidRDefault="00B27F34" w:rsidP="00B27F34">
            <w:pPr>
              <w:spacing w:before="40" w:after="40"/>
              <w:rPr>
                <w:sz w:val="22"/>
                <w:szCs w:val="18"/>
              </w:rPr>
            </w:pPr>
            <w:r w:rsidRPr="00664D4E">
              <w:rPr>
                <w:sz w:val="22"/>
                <w:szCs w:val="18"/>
              </w:rPr>
              <w:t>Fax:</w:t>
            </w:r>
          </w:p>
        </w:tc>
        <w:tc>
          <w:tcPr>
            <w:tcW w:w="3470" w:type="dxa"/>
          </w:tcPr>
          <w:p w14:paraId="5E74B74A" w14:textId="23A53D9A" w:rsidR="00B27F34" w:rsidRPr="00664D4E" w:rsidRDefault="006D7DEE" w:rsidP="00B27F34">
            <w:pPr>
              <w:spacing w:before="40" w:after="40"/>
              <w:rPr>
                <w:sz w:val="22"/>
                <w:szCs w:val="18"/>
              </w:rPr>
            </w:pPr>
            <w:r w:rsidRPr="00664D4E">
              <w:rPr>
                <w:sz w:val="22"/>
                <w:szCs w:val="18"/>
              </w:rPr>
              <w:t>+41 22 730 5853</w:t>
            </w:r>
          </w:p>
        </w:tc>
        <w:tc>
          <w:tcPr>
            <w:tcW w:w="5327" w:type="dxa"/>
            <w:vMerge/>
          </w:tcPr>
          <w:p w14:paraId="3EA8765D" w14:textId="77777777" w:rsidR="00B27F34" w:rsidRPr="00664D4E" w:rsidRDefault="00B27F34" w:rsidP="00303D62">
            <w:pPr>
              <w:tabs>
                <w:tab w:val="left" w:pos="226"/>
                <w:tab w:val="left" w:pos="510"/>
              </w:tabs>
              <w:spacing w:before="0"/>
              <w:ind w:left="226" w:hanging="169"/>
              <w:rPr>
                <w:b/>
                <w:sz w:val="22"/>
                <w:szCs w:val="18"/>
              </w:rPr>
            </w:pPr>
          </w:p>
        </w:tc>
      </w:tr>
      <w:tr w:rsidR="00B27F34" w:rsidRPr="00664D4E" w14:paraId="78356505" w14:textId="77777777" w:rsidTr="00664D4E">
        <w:trPr>
          <w:cantSplit/>
        </w:trPr>
        <w:tc>
          <w:tcPr>
            <w:tcW w:w="1559" w:type="dxa"/>
            <w:gridSpan w:val="2"/>
          </w:tcPr>
          <w:p w14:paraId="6396A690" w14:textId="3F74B716" w:rsidR="00B27F34" w:rsidRPr="00664D4E" w:rsidRDefault="00B27F34" w:rsidP="00B27F34">
            <w:pPr>
              <w:spacing w:before="40" w:after="40"/>
              <w:rPr>
                <w:sz w:val="22"/>
                <w:szCs w:val="18"/>
              </w:rPr>
            </w:pPr>
            <w:r w:rsidRPr="00664D4E">
              <w:rPr>
                <w:sz w:val="22"/>
                <w:szCs w:val="18"/>
              </w:rPr>
              <w:t>Correo-e:</w:t>
            </w:r>
          </w:p>
        </w:tc>
        <w:tc>
          <w:tcPr>
            <w:tcW w:w="3470" w:type="dxa"/>
          </w:tcPr>
          <w:p w14:paraId="2580D734" w14:textId="413E180A" w:rsidR="00B27F34" w:rsidRPr="00664D4E" w:rsidRDefault="009C0632" w:rsidP="00B27F34">
            <w:pPr>
              <w:spacing w:before="40" w:after="40"/>
              <w:rPr>
                <w:sz w:val="22"/>
                <w:szCs w:val="18"/>
              </w:rPr>
            </w:pPr>
            <w:hyperlink r:id="rId9" w:history="1">
              <w:r w:rsidR="006D7DEE" w:rsidRPr="00664D4E">
                <w:rPr>
                  <w:rStyle w:val="Hyperlink"/>
                  <w:sz w:val="22"/>
                  <w:szCs w:val="18"/>
                </w:rPr>
                <w:t>tsbsevents@itu.int</w:t>
              </w:r>
            </w:hyperlink>
          </w:p>
        </w:tc>
        <w:tc>
          <w:tcPr>
            <w:tcW w:w="5327" w:type="dxa"/>
          </w:tcPr>
          <w:p w14:paraId="0D578BA8" w14:textId="77777777" w:rsidR="00B27F34" w:rsidRPr="00664D4E" w:rsidRDefault="00B27F34" w:rsidP="00B27F34">
            <w:pPr>
              <w:spacing w:before="40" w:after="40"/>
              <w:rPr>
                <w:b/>
                <w:bCs/>
                <w:sz w:val="22"/>
                <w:szCs w:val="18"/>
              </w:rPr>
            </w:pPr>
            <w:r w:rsidRPr="00664D4E">
              <w:rPr>
                <w:b/>
                <w:bCs/>
                <w:sz w:val="22"/>
                <w:szCs w:val="18"/>
              </w:rPr>
              <w:t>Copia:</w:t>
            </w:r>
          </w:p>
          <w:p w14:paraId="729566C6" w14:textId="3D79A9E7" w:rsidR="00B27F34" w:rsidRPr="00664D4E" w:rsidRDefault="00B27F34" w:rsidP="006D7DEE">
            <w:pPr>
              <w:tabs>
                <w:tab w:val="clear" w:pos="794"/>
                <w:tab w:val="left" w:pos="533"/>
              </w:tabs>
              <w:spacing w:before="40"/>
              <w:ind w:left="533" w:hanging="533"/>
              <w:rPr>
                <w:sz w:val="22"/>
                <w:szCs w:val="18"/>
              </w:rPr>
            </w:pPr>
            <w:r w:rsidRPr="00664D4E">
              <w:rPr>
                <w:sz w:val="22"/>
                <w:szCs w:val="18"/>
              </w:rPr>
              <w:t>–</w:t>
            </w:r>
            <w:r w:rsidRPr="00664D4E">
              <w:rPr>
                <w:sz w:val="22"/>
                <w:szCs w:val="18"/>
              </w:rPr>
              <w:tab/>
            </w:r>
            <w:r w:rsidR="009567D8" w:rsidRPr="00664D4E">
              <w:rPr>
                <w:sz w:val="22"/>
                <w:szCs w:val="18"/>
              </w:rPr>
              <w:t xml:space="preserve">a </w:t>
            </w:r>
            <w:r w:rsidR="006D7DEE" w:rsidRPr="00664D4E">
              <w:rPr>
                <w:sz w:val="22"/>
                <w:szCs w:val="18"/>
              </w:rPr>
              <w:t>los Presidentes y a los Vicepresidentes de las Comisiones de Estudio</w:t>
            </w:r>
            <w:r w:rsidRPr="00664D4E">
              <w:rPr>
                <w:sz w:val="22"/>
                <w:szCs w:val="18"/>
              </w:rPr>
              <w:t>;</w:t>
            </w:r>
          </w:p>
          <w:p w14:paraId="6894A35A" w14:textId="77777777" w:rsidR="00B27F34" w:rsidRPr="00664D4E" w:rsidRDefault="00B27F34" w:rsidP="004C6135">
            <w:pPr>
              <w:tabs>
                <w:tab w:val="clear" w:pos="794"/>
                <w:tab w:val="left" w:pos="533"/>
              </w:tabs>
              <w:spacing w:before="40"/>
              <w:ind w:left="533" w:hanging="533"/>
              <w:rPr>
                <w:sz w:val="22"/>
                <w:szCs w:val="18"/>
              </w:rPr>
            </w:pPr>
            <w:r w:rsidRPr="00664D4E">
              <w:rPr>
                <w:sz w:val="22"/>
                <w:szCs w:val="18"/>
              </w:rPr>
              <w:t>–</w:t>
            </w:r>
            <w:r w:rsidRPr="00664D4E">
              <w:rPr>
                <w:sz w:val="22"/>
                <w:szCs w:val="18"/>
              </w:rPr>
              <w:tab/>
              <w:t>al Director de la Oficina de Desarrollo de las Telecomunicaciones;</w:t>
            </w:r>
          </w:p>
          <w:p w14:paraId="5ACCA727" w14:textId="294BA36A" w:rsidR="00B27F34" w:rsidRPr="00664D4E" w:rsidRDefault="00B27F34" w:rsidP="007115AF">
            <w:pPr>
              <w:tabs>
                <w:tab w:val="clear" w:pos="794"/>
                <w:tab w:val="left" w:pos="533"/>
              </w:tabs>
              <w:spacing w:before="40" w:after="40"/>
              <w:ind w:left="533" w:hanging="533"/>
              <w:rPr>
                <w:sz w:val="22"/>
                <w:szCs w:val="18"/>
              </w:rPr>
            </w:pPr>
            <w:r w:rsidRPr="00664D4E">
              <w:rPr>
                <w:sz w:val="22"/>
                <w:szCs w:val="18"/>
              </w:rPr>
              <w:t>–</w:t>
            </w:r>
            <w:r w:rsidRPr="00664D4E">
              <w:rPr>
                <w:sz w:val="22"/>
                <w:szCs w:val="18"/>
              </w:rPr>
              <w:tab/>
              <w:t>al Director de la Oficina de Radiocomunicaciones</w:t>
            </w:r>
          </w:p>
        </w:tc>
      </w:tr>
      <w:tr w:rsidR="007B6316" w:rsidRPr="00664D4E" w14:paraId="69F32791" w14:textId="77777777" w:rsidTr="00664D4E">
        <w:trPr>
          <w:cantSplit/>
        </w:trPr>
        <w:tc>
          <w:tcPr>
            <w:tcW w:w="1559" w:type="dxa"/>
            <w:gridSpan w:val="2"/>
          </w:tcPr>
          <w:p w14:paraId="33C4087A" w14:textId="77777777" w:rsidR="007B6316" w:rsidRPr="00664D4E" w:rsidRDefault="007B6316" w:rsidP="004C6135">
            <w:pPr>
              <w:rPr>
                <w:sz w:val="22"/>
                <w:szCs w:val="18"/>
              </w:rPr>
            </w:pPr>
            <w:r w:rsidRPr="00664D4E">
              <w:rPr>
                <w:b/>
                <w:bCs/>
                <w:sz w:val="22"/>
                <w:szCs w:val="18"/>
              </w:rPr>
              <w:t>Asunto</w:t>
            </w:r>
            <w:r w:rsidRPr="00664D4E">
              <w:rPr>
                <w:sz w:val="22"/>
                <w:szCs w:val="18"/>
              </w:rPr>
              <w:t>:</w:t>
            </w:r>
          </w:p>
        </w:tc>
        <w:tc>
          <w:tcPr>
            <w:tcW w:w="8797" w:type="dxa"/>
            <w:gridSpan w:val="2"/>
          </w:tcPr>
          <w:p w14:paraId="02860179" w14:textId="5D95C49E" w:rsidR="007B6316" w:rsidRPr="00664D4E" w:rsidRDefault="006D7DEE" w:rsidP="006D7DEE">
            <w:pPr>
              <w:rPr>
                <w:sz w:val="22"/>
                <w:szCs w:val="18"/>
              </w:rPr>
            </w:pPr>
            <w:r w:rsidRPr="00664D4E">
              <w:rPr>
                <w:b/>
                <w:bCs/>
                <w:sz w:val="22"/>
                <w:szCs w:val="18"/>
                <w:lang w:val="es-ES"/>
              </w:rPr>
              <w:t>Simposio sobre el Automóvil Conectado del Futuro (FNC-2024)</w:t>
            </w:r>
            <w:r w:rsidRPr="00664D4E">
              <w:rPr>
                <w:b/>
                <w:bCs/>
                <w:sz w:val="22"/>
                <w:szCs w:val="18"/>
                <w:lang w:val="es-ES"/>
              </w:rPr>
              <w:br/>
              <w:t>(Reunión plenamente virtual, del 11 al 14 de marzo de 2024)</w:t>
            </w:r>
          </w:p>
        </w:tc>
      </w:tr>
    </w:tbl>
    <w:p w14:paraId="616E9C0B" w14:textId="1E960DC7" w:rsidR="005B6A15" w:rsidRPr="00664D4E" w:rsidRDefault="005B6A15" w:rsidP="00C953CC">
      <w:pPr>
        <w:pStyle w:val="Normalaftertitle"/>
        <w:jc w:val="both"/>
        <w:rPr>
          <w:sz w:val="22"/>
          <w:szCs w:val="18"/>
          <w:lang w:val="es-ES"/>
        </w:rPr>
      </w:pPr>
      <w:bookmarkStart w:id="1" w:name="StartTyping_S"/>
      <w:bookmarkStart w:id="2" w:name="suitetext"/>
      <w:bookmarkStart w:id="3" w:name="text"/>
      <w:bookmarkEnd w:id="1"/>
      <w:bookmarkEnd w:id="2"/>
      <w:bookmarkEnd w:id="3"/>
      <w:r w:rsidRPr="00664D4E">
        <w:rPr>
          <w:sz w:val="22"/>
          <w:szCs w:val="18"/>
          <w:lang w:val="es-ES"/>
        </w:rPr>
        <w:t>Muy Señora mía/Muy Señor mío</w:t>
      </w:r>
      <w:r w:rsidR="00664D4E">
        <w:rPr>
          <w:sz w:val="22"/>
          <w:szCs w:val="18"/>
          <w:lang w:val="es-ES"/>
        </w:rPr>
        <w:t>,</w:t>
      </w:r>
    </w:p>
    <w:p w14:paraId="5952104E" w14:textId="534EC67C" w:rsidR="006D7DEE" w:rsidRPr="00664D4E" w:rsidRDefault="006D7DEE" w:rsidP="005D31FC">
      <w:pPr>
        <w:rPr>
          <w:b/>
          <w:bCs/>
          <w:sz w:val="22"/>
          <w:szCs w:val="18"/>
          <w:lang w:val="es-ES"/>
        </w:rPr>
      </w:pPr>
      <w:r w:rsidRPr="00664D4E">
        <w:rPr>
          <w:sz w:val="22"/>
          <w:szCs w:val="18"/>
          <w:lang w:val="es-ES"/>
        </w:rPr>
        <w:t>1</w:t>
      </w:r>
      <w:r w:rsidRPr="00664D4E">
        <w:rPr>
          <w:sz w:val="22"/>
          <w:szCs w:val="18"/>
          <w:lang w:val="es-ES"/>
        </w:rPr>
        <w:tab/>
      </w:r>
      <w:proofErr w:type="gramStart"/>
      <w:r w:rsidRPr="00664D4E">
        <w:rPr>
          <w:sz w:val="22"/>
          <w:szCs w:val="18"/>
          <w:lang w:val="es-ES"/>
        </w:rPr>
        <w:t>Me</w:t>
      </w:r>
      <w:proofErr w:type="gramEnd"/>
      <w:r w:rsidRPr="00664D4E">
        <w:rPr>
          <w:sz w:val="22"/>
          <w:szCs w:val="18"/>
          <w:lang w:val="es-ES"/>
        </w:rPr>
        <w:t xml:space="preserve"> complace informarle que la Unión Internacional de Telecomunicaciones (UIT) y la Comisión Económica para Europa (CEPE) de las Naciones Unidas organizarán conjuntamente la 19ª edición del </w:t>
      </w:r>
      <w:r w:rsidRPr="00664D4E">
        <w:rPr>
          <w:b/>
          <w:bCs/>
          <w:sz w:val="22"/>
          <w:szCs w:val="18"/>
          <w:lang w:val="es-ES"/>
        </w:rPr>
        <w:t>Simposio sobre el Automóvil Conectado del Futuro (FNC-2024)</w:t>
      </w:r>
      <w:r w:rsidRPr="00664D4E">
        <w:rPr>
          <w:sz w:val="22"/>
          <w:szCs w:val="18"/>
          <w:lang w:val="es-ES"/>
        </w:rPr>
        <w:t xml:space="preserve">, que se celebrará de manera virtual del </w:t>
      </w:r>
      <w:r w:rsidRPr="00664D4E">
        <w:rPr>
          <w:b/>
          <w:bCs/>
          <w:sz w:val="22"/>
          <w:szCs w:val="18"/>
          <w:lang w:val="es-ES"/>
        </w:rPr>
        <w:t>11</w:t>
      </w:r>
      <w:r w:rsidR="00691A72">
        <w:rPr>
          <w:b/>
          <w:bCs/>
          <w:sz w:val="22"/>
          <w:szCs w:val="18"/>
          <w:lang w:val="es-ES"/>
        </w:rPr>
        <w:t> </w:t>
      </w:r>
      <w:r w:rsidRPr="00664D4E">
        <w:rPr>
          <w:b/>
          <w:bCs/>
          <w:sz w:val="22"/>
          <w:szCs w:val="18"/>
          <w:lang w:val="es-ES"/>
        </w:rPr>
        <w:t>al 14 de marzo de 2024</w:t>
      </w:r>
      <w:r w:rsidRPr="00664D4E">
        <w:rPr>
          <w:sz w:val="22"/>
          <w:szCs w:val="18"/>
          <w:lang w:val="es-ES"/>
        </w:rPr>
        <w:t xml:space="preserve">, </w:t>
      </w:r>
      <w:r w:rsidRPr="00664D4E">
        <w:rPr>
          <w:b/>
          <w:bCs/>
          <w:sz w:val="22"/>
          <w:szCs w:val="18"/>
          <w:lang w:val="es-ES"/>
        </w:rPr>
        <w:t xml:space="preserve">de 13.00 a 16.00 horas </w:t>
      </w:r>
      <w:r w:rsidR="00941221" w:rsidRPr="00664D4E">
        <w:rPr>
          <w:b/>
          <w:bCs/>
          <w:sz w:val="22"/>
          <w:szCs w:val="18"/>
          <w:lang w:val="es-ES"/>
        </w:rPr>
        <w:t>(</w:t>
      </w:r>
      <w:r w:rsidRPr="00664D4E">
        <w:rPr>
          <w:b/>
          <w:bCs/>
          <w:sz w:val="22"/>
          <w:szCs w:val="18"/>
          <w:lang w:val="es-ES"/>
        </w:rPr>
        <w:t>CET</w:t>
      </w:r>
      <w:r w:rsidR="00941221" w:rsidRPr="00664D4E">
        <w:rPr>
          <w:b/>
          <w:bCs/>
          <w:sz w:val="22"/>
          <w:szCs w:val="18"/>
          <w:lang w:val="es-ES"/>
        </w:rPr>
        <w:t>)</w:t>
      </w:r>
      <w:r w:rsidRPr="00664D4E">
        <w:rPr>
          <w:b/>
          <w:bCs/>
          <w:sz w:val="22"/>
          <w:szCs w:val="18"/>
          <w:lang w:val="es-ES"/>
        </w:rPr>
        <w:t>, cada día</w:t>
      </w:r>
      <w:r w:rsidRPr="00664D4E">
        <w:rPr>
          <w:sz w:val="22"/>
          <w:szCs w:val="18"/>
          <w:lang w:val="es-ES"/>
        </w:rPr>
        <w:t>.</w:t>
      </w:r>
    </w:p>
    <w:p w14:paraId="3C485FDF" w14:textId="242DB6A9" w:rsidR="006D7DEE" w:rsidRPr="00664D4E" w:rsidRDefault="006D7DEE" w:rsidP="005D31FC">
      <w:pPr>
        <w:rPr>
          <w:sz w:val="22"/>
          <w:szCs w:val="18"/>
        </w:rPr>
      </w:pPr>
      <w:r w:rsidRPr="00664D4E">
        <w:rPr>
          <w:sz w:val="22"/>
          <w:szCs w:val="18"/>
          <w:lang w:val="es-ES"/>
        </w:rPr>
        <w:t>2</w:t>
      </w:r>
      <w:r w:rsidRPr="00664D4E">
        <w:rPr>
          <w:sz w:val="22"/>
          <w:szCs w:val="18"/>
          <w:lang w:val="es-ES"/>
        </w:rPr>
        <w:tab/>
      </w:r>
      <w:r w:rsidRPr="00664D4E">
        <w:rPr>
          <w:sz w:val="22"/>
          <w:szCs w:val="18"/>
        </w:rPr>
        <w:t xml:space="preserve">Después del Simposio se celebrará la </w:t>
      </w:r>
      <w:r w:rsidR="00071AA1" w:rsidRPr="00664D4E">
        <w:rPr>
          <w:sz w:val="22"/>
          <w:szCs w:val="18"/>
        </w:rPr>
        <w:t>r</w:t>
      </w:r>
      <w:r w:rsidRPr="00664D4E">
        <w:rPr>
          <w:sz w:val="22"/>
          <w:szCs w:val="18"/>
        </w:rPr>
        <w:t xml:space="preserve">eunión de la </w:t>
      </w:r>
      <w:r w:rsidRPr="00664D4E">
        <w:rPr>
          <w:b/>
          <w:bCs/>
          <w:sz w:val="22"/>
          <w:szCs w:val="18"/>
        </w:rPr>
        <w:t>Colaboración sobre Normas de Comunicación en los Sistemas de Transporte Inteligentes (CITS)</w:t>
      </w:r>
      <w:r w:rsidRPr="00664D4E">
        <w:rPr>
          <w:sz w:val="22"/>
          <w:szCs w:val="18"/>
        </w:rPr>
        <w:t xml:space="preserve"> el </w:t>
      </w:r>
      <w:r w:rsidRPr="00664D4E">
        <w:rPr>
          <w:b/>
          <w:bCs/>
          <w:sz w:val="22"/>
          <w:szCs w:val="18"/>
        </w:rPr>
        <w:t>15 de marzo de 2024</w:t>
      </w:r>
      <w:r w:rsidRPr="00664D4E">
        <w:rPr>
          <w:sz w:val="22"/>
          <w:szCs w:val="18"/>
        </w:rPr>
        <w:t xml:space="preserve">. Puede obtenerse más información en el sitio web de la CITS: </w:t>
      </w:r>
      <w:hyperlink r:id="rId10" w:history="1">
        <w:r w:rsidRPr="00664D4E">
          <w:rPr>
            <w:rStyle w:val="Hyperlink"/>
            <w:sz w:val="22"/>
            <w:szCs w:val="18"/>
            <w:lang w:val="es-ES"/>
          </w:rPr>
          <w:t>https://www.itu.int/go/cits</w:t>
        </w:r>
      </w:hyperlink>
      <w:r w:rsidRPr="00664D4E">
        <w:rPr>
          <w:sz w:val="22"/>
          <w:szCs w:val="18"/>
          <w:lang w:val="es-ES"/>
        </w:rPr>
        <w:t>.</w:t>
      </w:r>
    </w:p>
    <w:p w14:paraId="3F92B831" w14:textId="77777777" w:rsidR="006D7DEE" w:rsidRPr="00664D4E" w:rsidRDefault="006D7DEE" w:rsidP="005D31FC">
      <w:pPr>
        <w:rPr>
          <w:sz w:val="22"/>
          <w:szCs w:val="18"/>
        </w:rPr>
      </w:pPr>
      <w:r w:rsidRPr="00664D4E">
        <w:rPr>
          <w:sz w:val="22"/>
          <w:szCs w:val="18"/>
        </w:rPr>
        <w:t>3</w:t>
      </w:r>
      <w:r w:rsidRPr="00664D4E">
        <w:rPr>
          <w:sz w:val="22"/>
          <w:szCs w:val="18"/>
        </w:rPr>
        <w:tab/>
      </w:r>
      <w:proofErr w:type="gramStart"/>
      <w:r w:rsidRPr="00664D4E">
        <w:rPr>
          <w:sz w:val="22"/>
          <w:szCs w:val="18"/>
        </w:rPr>
        <w:t>En</w:t>
      </w:r>
      <w:proofErr w:type="gramEnd"/>
      <w:r w:rsidRPr="00664D4E">
        <w:rPr>
          <w:sz w:val="22"/>
          <w:szCs w:val="18"/>
        </w:rPr>
        <w:t xml:space="preserve"> el Simposio sobre el automóvil conectado del futuro se examinan los últimos avances en materia de conectividad vehicular, movilidad automatizada y el papel de la inteligencia artificial en el sector del transporte, y se comparten informaciones esenciales sobre las implicaciones en materia de tecnología, empresas, normalización y reglamentación.</w:t>
      </w:r>
    </w:p>
    <w:p w14:paraId="7AB102E5" w14:textId="77777777" w:rsidR="006D7DEE" w:rsidRPr="00664D4E" w:rsidRDefault="006D7DEE" w:rsidP="005D31FC">
      <w:pPr>
        <w:rPr>
          <w:sz w:val="22"/>
          <w:szCs w:val="18"/>
        </w:rPr>
      </w:pPr>
      <w:r w:rsidRPr="00664D4E">
        <w:rPr>
          <w:sz w:val="22"/>
          <w:szCs w:val="18"/>
        </w:rPr>
        <w:t>4</w:t>
      </w:r>
      <w:r w:rsidRPr="00664D4E">
        <w:rPr>
          <w:sz w:val="22"/>
          <w:szCs w:val="18"/>
        </w:rPr>
        <w:tab/>
      </w:r>
      <w:proofErr w:type="gramStart"/>
      <w:r w:rsidRPr="00664D4E">
        <w:rPr>
          <w:sz w:val="22"/>
          <w:szCs w:val="18"/>
        </w:rPr>
        <w:t>Desde</w:t>
      </w:r>
      <w:proofErr w:type="gramEnd"/>
      <w:r w:rsidRPr="00664D4E">
        <w:rPr>
          <w:sz w:val="22"/>
          <w:szCs w:val="18"/>
        </w:rPr>
        <w:t xml:space="preserve"> su creación en 2005, el Simposio sobre el Automóvil Conectado del Futuro ha reunido a representantes de las industrias del automóvil, el transporte y las tecnologías de la información y las comunicaciones con dirigentes gubernamentales y organismos reguladores para examinar la situación y el futuro de las comunicaciones de los vehículos y la conducción automática, desde los puntos de vista técnico y reglamentario.</w:t>
      </w:r>
    </w:p>
    <w:p w14:paraId="73C8F5E3" w14:textId="77777777" w:rsidR="006D7DEE" w:rsidRPr="00664D4E" w:rsidRDefault="006D7DEE" w:rsidP="005D31FC">
      <w:pPr>
        <w:rPr>
          <w:sz w:val="22"/>
          <w:szCs w:val="18"/>
          <w:lang w:val="es-ES"/>
        </w:rPr>
      </w:pPr>
      <w:r w:rsidRPr="00664D4E">
        <w:rPr>
          <w:sz w:val="22"/>
          <w:szCs w:val="18"/>
        </w:rPr>
        <w:t>5</w:t>
      </w:r>
      <w:r w:rsidRPr="00664D4E">
        <w:rPr>
          <w:sz w:val="22"/>
          <w:szCs w:val="18"/>
        </w:rPr>
        <w:tab/>
        <w:t>Los expertos del FNC-2024 examinarán la tecnología y el marco mundial de reglamentación, sobre el que se apoyará el despliegue de soluciones de movilidad altamente automatizadas. Se debatirá sobre los avances tecnológicos más recientes en materia de conectividad de vehículos y aplicaciones de inteligencia artificial (IA) como forma de mejorar el funcionamiento de los vehículos sin conductor, su diseño y fabricación, la gestión de las carreteras y la experiencia de los pasajeros. El Simposio profundizará en las relaciones entre las comunicaciones de los vehículos y la conducción automatizada analizando el papel crucial de los requisitos de pruebas y de los marcos normativos. La colaboración entre los diversos organismos de normalización es un componente esencial para lograr una movilidad del futuro más segura impulsada por la inteligencia artificial.</w:t>
      </w:r>
    </w:p>
    <w:p w14:paraId="22241604" w14:textId="786E6046" w:rsidR="006D7DEE" w:rsidRPr="00664D4E" w:rsidRDefault="006D7DEE" w:rsidP="005D31FC">
      <w:pPr>
        <w:rPr>
          <w:sz w:val="22"/>
          <w:szCs w:val="18"/>
        </w:rPr>
      </w:pPr>
      <w:r w:rsidRPr="00664D4E">
        <w:rPr>
          <w:sz w:val="22"/>
          <w:szCs w:val="18"/>
        </w:rPr>
        <w:lastRenderedPageBreak/>
        <w:t>6</w:t>
      </w:r>
      <w:r w:rsidRPr="00664D4E">
        <w:rPr>
          <w:sz w:val="22"/>
          <w:szCs w:val="18"/>
        </w:rPr>
        <w:tab/>
        <w:t>La participación está abierta a los Estados Miembros, a los Miembros de Sector, a los Asociados y a las Instituciones Académicas de la UIT, y a cualquier persona de un país que sea miembro de las Naciones Unidas y desee contribuir a los trabajos. Esto incluye a las personas que también son miembros de organizaciones nacionales, regionales e internacionales. La participación en el Simposio será gratuita.</w:t>
      </w:r>
      <w:bookmarkStart w:id="4" w:name="_Hlk54906746"/>
      <w:bookmarkEnd w:id="4"/>
    </w:p>
    <w:p w14:paraId="5D6D6574" w14:textId="08C5495D" w:rsidR="006D7DEE" w:rsidRPr="00664D4E" w:rsidRDefault="006D7DEE" w:rsidP="005D31FC">
      <w:pPr>
        <w:rPr>
          <w:sz w:val="22"/>
          <w:szCs w:val="18"/>
        </w:rPr>
      </w:pPr>
      <w:r w:rsidRPr="00664D4E">
        <w:rPr>
          <w:sz w:val="22"/>
          <w:szCs w:val="18"/>
        </w:rPr>
        <w:t>7</w:t>
      </w:r>
      <w:r w:rsidRPr="00664D4E">
        <w:rPr>
          <w:sz w:val="22"/>
          <w:szCs w:val="18"/>
        </w:rPr>
        <w:tab/>
        <w:t>Toda la información pertinente relativa al Simposio (oradores, proyecto de programa, detalles de la conexión a distancia, enlaces para la inscripción) estará disponible en el sitio web del evento principal que se encuentra en</w:t>
      </w:r>
      <w:r w:rsidRPr="00664D4E">
        <w:rPr>
          <w:sz w:val="22"/>
          <w:szCs w:val="18"/>
          <w:lang w:val="es-ES"/>
        </w:rPr>
        <w:t xml:space="preserve"> </w:t>
      </w:r>
      <w:hyperlink r:id="rId11" w:history="1">
        <w:r w:rsidRPr="00664D4E">
          <w:rPr>
            <w:rStyle w:val="Hyperlink"/>
            <w:bCs/>
            <w:sz w:val="22"/>
            <w:szCs w:val="18"/>
            <w:lang w:val="es-ES"/>
          </w:rPr>
          <w:t>https://fnc.itu.int/</w:t>
        </w:r>
      </w:hyperlink>
      <w:r w:rsidRPr="00664D4E">
        <w:rPr>
          <w:sz w:val="22"/>
          <w:szCs w:val="18"/>
          <w:lang w:val="es-ES"/>
        </w:rPr>
        <w:t>.</w:t>
      </w:r>
    </w:p>
    <w:p w14:paraId="48D9F05A" w14:textId="139C31B4" w:rsidR="006D7DEE" w:rsidRPr="00664D4E" w:rsidRDefault="006D7DEE" w:rsidP="005D31FC">
      <w:pPr>
        <w:rPr>
          <w:bCs/>
          <w:sz w:val="22"/>
          <w:szCs w:val="18"/>
          <w:lang w:val="es-ES"/>
        </w:rPr>
      </w:pPr>
      <w:r w:rsidRPr="00664D4E">
        <w:rPr>
          <w:sz w:val="22"/>
          <w:szCs w:val="18"/>
          <w:lang w:val="es-ES"/>
        </w:rPr>
        <w:t>8</w:t>
      </w:r>
      <w:r w:rsidRPr="00664D4E">
        <w:rPr>
          <w:sz w:val="22"/>
          <w:szCs w:val="18"/>
          <w:lang w:val="es-ES"/>
        </w:rPr>
        <w:tab/>
      </w:r>
      <w:r w:rsidRPr="00664D4E">
        <w:rPr>
          <w:b/>
          <w:bCs/>
          <w:sz w:val="22"/>
          <w:szCs w:val="18"/>
          <w:lang w:val="es-ES"/>
        </w:rPr>
        <w:t>Rogamos tenga presente que la inscripción es obligatoria</w:t>
      </w:r>
      <w:r w:rsidRPr="00664D4E">
        <w:rPr>
          <w:sz w:val="22"/>
          <w:szCs w:val="18"/>
          <w:lang w:val="es-ES"/>
        </w:rPr>
        <w:t xml:space="preserve">. El sitio web se actualizará periódicamente a medida que se disponga de información nueva o modificada. Se ruega a los participantes que visiten periódicamente el sitio web del Simposio para comprobar las actualizaciones. Por favor, si necesita información adicional sobre el programa, no dude en comunicarse con el Sr. Stefano Polidori </w:t>
      </w:r>
      <w:r w:rsidRPr="00664D4E">
        <w:rPr>
          <w:bCs/>
          <w:sz w:val="22"/>
          <w:szCs w:val="18"/>
          <w:lang w:val="es-ES"/>
        </w:rPr>
        <w:t>(</w:t>
      </w:r>
      <w:hyperlink r:id="rId12" w:history="1">
        <w:r w:rsidRPr="00664D4E">
          <w:rPr>
            <w:rStyle w:val="Hyperlink"/>
            <w:bCs/>
            <w:sz w:val="22"/>
            <w:szCs w:val="18"/>
            <w:lang w:val="es-ES"/>
          </w:rPr>
          <w:t>stefano.polidori@itu.int</w:t>
        </w:r>
      </w:hyperlink>
      <w:r w:rsidRPr="00664D4E">
        <w:rPr>
          <w:bCs/>
          <w:sz w:val="22"/>
          <w:szCs w:val="18"/>
          <w:lang w:val="es-ES"/>
        </w:rPr>
        <w:t>)</w:t>
      </w:r>
      <w:r w:rsidRPr="00664D4E">
        <w:rPr>
          <w:sz w:val="22"/>
          <w:szCs w:val="18"/>
          <w:lang w:val="es-ES"/>
        </w:rPr>
        <w:t>.</w:t>
      </w:r>
    </w:p>
    <w:p w14:paraId="6BE68509" w14:textId="6266189D" w:rsidR="006D7DEE" w:rsidRPr="00664D4E" w:rsidRDefault="005D31FC" w:rsidP="005D31FC">
      <w:pPr>
        <w:rPr>
          <w:bCs/>
          <w:sz w:val="22"/>
          <w:szCs w:val="18"/>
          <w:u w:val="single"/>
          <w:lang w:val="es-ES"/>
        </w:rPr>
      </w:pPr>
      <w:r>
        <w:rPr>
          <w:sz w:val="22"/>
          <w:szCs w:val="18"/>
          <w:lang w:val="es-ES"/>
        </w:rPr>
        <w:t>9</w:t>
      </w:r>
      <w:r>
        <w:rPr>
          <w:sz w:val="22"/>
          <w:szCs w:val="18"/>
          <w:lang w:val="es-ES"/>
        </w:rPr>
        <w:tab/>
      </w:r>
      <w:proofErr w:type="gramStart"/>
      <w:r w:rsidR="006D7DEE" w:rsidRPr="00664D4E">
        <w:rPr>
          <w:sz w:val="22"/>
          <w:szCs w:val="18"/>
          <w:lang w:val="es-ES"/>
        </w:rPr>
        <w:t>Para</w:t>
      </w:r>
      <w:proofErr w:type="gramEnd"/>
      <w:r w:rsidR="006D7DEE" w:rsidRPr="00664D4E">
        <w:rPr>
          <w:sz w:val="22"/>
          <w:szCs w:val="18"/>
          <w:lang w:val="es-ES"/>
        </w:rPr>
        <w:t xml:space="preserve"> información sobre las </w:t>
      </w:r>
      <w:r w:rsidR="006D7DEE" w:rsidRPr="00664D4E">
        <w:rPr>
          <w:b/>
          <w:bCs/>
          <w:sz w:val="22"/>
          <w:szCs w:val="18"/>
          <w:lang w:val="es-ES"/>
        </w:rPr>
        <w:t>oportunidades de patrocinio</w:t>
      </w:r>
      <w:r w:rsidR="006D7DEE" w:rsidRPr="00664D4E">
        <w:rPr>
          <w:sz w:val="22"/>
          <w:szCs w:val="18"/>
          <w:lang w:val="es-ES"/>
        </w:rPr>
        <w:t xml:space="preserve"> del FNC-2024, puede comunicarse con </w:t>
      </w:r>
      <w:hyperlink r:id="rId13" w:history="1">
        <w:r w:rsidR="006D7DEE" w:rsidRPr="00664D4E">
          <w:rPr>
            <w:rStyle w:val="Hyperlink"/>
            <w:sz w:val="22"/>
            <w:szCs w:val="18"/>
            <w:lang w:val="es-ES"/>
          </w:rPr>
          <w:t>tsbevents@itu.int</w:t>
        </w:r>
      </w:hyperlink>
      <w:r w:rsidR="006D7DEE" w:rsidRPr="00664D4E">
        <w:rPr>
          <w:sz w:val="22"/>
          <w:szCs w:val="18"/>
          <w:lang w:val="es-ES"/>
        </w:rPr>
        <w:t xml:space="preserve">. El paquete de patrocinio puede descargarse en línea en la dirección </w:t>
      </w:r>
      <w:hyperlink r:id="rId14" w:history="1">
        <w:r w:rsidR="006D7DEE" w:rsidRPr="00664D4E">
          <w:rPr>
            <w:rStyle w:val="Hyperlink"/>
            <w:sz w:val="22"/>
            <w:szCs w:val="18"/>
            <w:lang w:val="es-ES"/>
          </w:rPr>
          <w:t>https://fnc.itu.int/engage/</w:t>
        </w:r>
      </w:hyperlink>
      <w:r w:rsidR="006D7DEE" w:rsidRPr="00664D4E">
        <w:rPr>
          <w:sz w:val="22"/>
          <w:szCs w:val="18"/>
          <w:lang w:val="es-ES"/>
        </w:rPr>
        <w:t>.</w:t>
      </w:r>
    </w:p>
    <w:p w14:paraId="058A8A08" w14:textId="4D504F63" w:rsidR="006D7DEE" w:rsidRPr="00664D4E" w:rsidRDefault="006D7DEE" w:rsidP="006D7DEE">
      <w:pPr>
        <w:rPr>
          <w:sz w:val="22"/>
          <w:szCs w:val="18"/>
        </w:rPr>
      </w:pPr>
      <w:r w:rsidRPr="00664D4E">
        <w:rPr>
          <w:sz w:val="22"/>
          <w:szCs w:val="18"/>
        </w:rPr>
        <w:t>Atentamente,</w:t>
      </w:r>
    </w:p>
    <w:p w14:paraId="2EDE0DC7" w14:textId="5E4DD37B" w:rsidR="006D7DEE" w:rsidRPr="00664D4E" w:rsidRDefault="009C0632" w:rsidP="00664D4E">
      <w:pPr>
        <w:spacing w:before="840"/>
        <w:rPr>
          <w:sz w:val="22"/>
          <w:szCs w:val="18"/>
        </w:rPr>
      </w:pPr>
      <w:r>
        <w:rPr>
          <w:noProof/>
          <w:sz w:val="22"/>
          <w:szCs w:val="18"/>
        </w:rPr>
        <w:drawing>
          <wp:anchor distT="0" distB="0" distL="114300" distR="114300" simplePos="0" relativeHeight="251658240" behindDoc="1" locked="0" layoutInCell="1" allowOverlap="1" wp14:anchorId="6AB6EC00" wp14:editId="2306768C">
            <wp:simplePos x="0" y="0"/>
            <wp:positionH relativeFrom="column">
              <wp:posOffset>3810</wp:posOffset>
            </wp:positionH>
            <wp:positionV relativeFrom="paragraph">
              <wp:posOffset>75565</wp:posOffset>
            </wp:positionV>
            <wp:extent cx="761354" cy="342900"/>
            <wp:effectExtent l="0" t="0" r="1270" b="0"/>
            <wp:wrapNone/>
            <wp:docPr id="991431135"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31135" name="Picture 1" descr="A black and blu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61354" cy="342900"/>
                    </a:xfrm>
                    <a:prstGeom prst="rect">
                      <a:avLst/>
                    </a:prstGeom>
                  </pic:spPr>
                </pic:pic>
              </a:graphicData>
            </a:graphic>
            <wp14:sizeRelH relativeFrom="margin">
              <wp14:pctWidth>0</wp14:pctWidth>
            </wp14:sizeRelH>
            <wp14:sizeRelV relativeFrom="margin">
              <wp14:pctHeight>0</wp14:pctHeight>
            </wp14:sizeRelV>
          </wp:anchor>
        </w:drawing>
      </w:r>
      <w:r w:rsidR="006D7DEE" w:rsidRPr="00664D4E">
        <w:rPr>
          <w:sz w:val="22"/>
          <w:szCs w:val="18"/>
        </w:rPr>
        <w:t xml:space="preserve">Seizo Onoe </w:t>
      </w:r>
      <w:r w:rsidR="006D7DEE" w:rsidRPr="00664D4E">
        <w:rPr>
          <w:sz w:val="22"/>
          <w:szCs w:val="18"/>
        </w:rPr>
        <w:br/>
      </w:r>
      <w:proofErr w:type="gramStart"/>
      <w:r w:rsidR="006D7DEE" w:rsidRPr="00664D4E">
        <w:rPr>
          <w:sz w:val="22"/>
          <w:szCs w:val="18"/>
        </w:rPr>
        <w:t>Director</w:t>
      </w:r>
      <w:proofErr w:type="gramEnd"/>
      <w:r w:rsidR="006D7DEE" w:rsidRPr="00664D4E">
        <w:rPr>
          <w:sz w:val="22"/>
          <w:szCs w:val="18"/>
        </w:rPr>
        <w:t xml:space="preserve"> de la Oficina de </w:t>
      </w:r>
      <w:r w:rsidR="006D7DEE" w:rsidRPr="00664D4E">
        <w:rPr>
          <w:sz w:val="22"/>
          <w:szCs w:val="18"/>
        </w:rPr>
        <w:br/>
        <w:t>Normalización de las Telecomunicaciones</w:t>
      </w:r>
    </w:p>
    <w:p w14:paraId="17C35FF7" w14:textId="77777777" w:rsidR="006D7DEE" w:rsidRPr="00664D4E" w:rsidRDefault="006D7DEE" w:rsidP="006D7DEE">
      <w:pPr>
        <w:spacing w:before="600"/>
        <w:rPr>
          <w:sz w:val="22"/>
          <w:szCs w:val="18"/>
        </w:rPr>
      </w:pPr>
      <w:r w:rsidRPr="00664D4E">
        <w:rPr>
          <w:b/>
          <w:bCs/>
          <w:sz w:val="22"/>
          <w:szCs w:val="18"/>
        </w:rPr>
        <w:t>Anexo</w:t>
      </w:r>
      <w:r w:rsidRPr="00664D4E">
        <w:rPr>
          <w:sz w:val="22"/>
          <w:szCs w:val="18"/>
        </w:rPr>
        <w:t>: 1</w:t>
      </w:r>
    </w:p>
    <w:p w14:paraId="64B4DC03" w14:textId="05031F94" w:rsidR="006D7DEE" w:rsidRDefault="006D7DEE">
      <w:pPr>
        <w:tabs>
          <w:tab w:val="clear" w:pos="794"/>
          <w:tab w:val="clear" w:pos="1191"/>
          <w:tab w:val="clear" w:pos="1588"/>
          <w:tab w:val="clear" w:pos="1985"/>
        </w:tabs>
        <w:overflowPunct/>
        <w:autoSpaceDE/>
        <w:autoSpaceDN/>
        <w:adjustRightInd/>
        <w:spacing w:before="0"/>
        <w:textAlignment w:val="auto"/>
      </w:pPr>
      <w:r>
        <w:br w:type="page"/>
      </w:r>
    </w:p>
    <w:p w14:paraId="2DBF129D" w14:textId="4BA66230" w:rsidR="006D7DEE" w:rsidRPr="006D7DEE" w:rsidRDefault="006D7DEE" w:rsidP="009567D8">
      <w:pPr>
        <w:pStyle w:val="AnnexNotitle"/>
        <w:spacing w:after="120"/>
        <w:rPr>
          <w:b w:val="0"/>
          <w:bCs/>
          <w:sz w:val="24"/>
          <w:szCs w:val="24"/>
          <w:lang w:val="es-ES"/>
        </w:rPr>
      </w:pPr>
      <w:bookmarkStart w:id="5" w:name="annex"/>
      <w:r w:rsidRPr="006D7DEE">
        <w:rPr>
          <w:lang w:val="es-ES"/>
        </w:rPr>
        <w:lastRenderedPageBreak/>
        <w:t>ANEXO</w:t>
      </w:r>
      <w:r w:rsidRPr="006D7DEE">
        <w:rPr>
          <w:lang w:val="es-ES"/>
        </w:rPr>
        <w:br/>
      </w:r>
      <w:r w:rsidRPr="00664D4E">
        <w:rPr>
          <w:sz w:val="24"/>
          <w:szCs w:val="18"/>
          <w:lang w:val="es-ES"/>
        </w:rPr>
        <w:t xml:space="preserve">Proyecto de </w:t>
      </w:r>
      <w:r w:rsidR="00336F85" w:rsidRPr="00664D4E">
        <w:rPr>
          <w:sz w:val="24"/>
          <w:szCs w:val="18"/>
          <w:lang w:val="es-ES"/>
        </w:rPr>
        <w:t>p</w:t>
      </w:r>
      <w:r w:rsidRPr="00664D4E">
        <w:rPr>
          <w:sz w:val="24"/>
          <w:szCs w:val="18"/>
          <w:lang w:val="es-ES"/>
        </w:rPr>
        <w:t>rograma del FNC-2024</w:t>
      </w:r>
      <w:r w:rsidR="009567D8" w:rsidRPr="00664D4E">
        <w:rPr>
          <w:sz w:val="24"/>
          <w:szCs w:val="18"/>
          <w:lang w:val="es-ES"/>
        </w:rPr>
        <w:br/>
      </w:r>
      <w:r w:rsidRPr="00664D4E">
        <w:rPr>
          <w:b w:val="0"/>
          <w:bCs/>
          <w:sz w:val="22"/>
          <w:szCs w:val="22"/>
          <w:lang w:val="es-ES"/>
        </w:rPr>
        <w:t>Plenamente virtual, 11-14 de marzo de 2024</w:t>
      </w:r>
    </w:p>
    <w:tbl>
      <w:tblPr>
        <w:tblW w:w="5000" w:type="pct"/>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629"/>
      </w:tblGrid>
      <w:tr w:rsidR="006D7DEE" w:rsidRPr="006D7DEE" w14:paraId="31A3308B" w14:textId="77777777" w:rsidTr="00691A72">
        <w:trPr>
          <w:cantSplit/>
          <w:trHeight w:val="629"/>
          <w:jc w:val="center"/>
        </w:trPr>
        <w:tc>
          <w:tcPr>
            <w:tcW w:w="9639" w:type="dxa"/>
            <w:tcBorders>
              <w:top w:val="single" w:sz="4" w:space="0" w:color="4F81BD"/>
              <w:left w:val="single" w:sz="4" w:space="0" w:color="4F81BD"/>
              <w:bottom w:val="single" w:sz="4" w:space="0" w:color="4F81BD"/>
              <w:right w:val="single" w:sz="4" w:space="0" w:color="4F81BD"/>
            </w:tcBorders>
          </w:tcPr>
          <w:p w14:paraId="1639D6A5" w14:textId="6DAA881F" w:rsidR="006D7DEE" w:rsidRPr="00664D4E" w:rsidRDefault="006D7DEE" w:rsidP="009567D8">
            <w:pPr>
              <w:rPr>
                <w:b/>
                <w:bCs/>
                <w:i/>
                <w:iCs/>
                <w:color w:val="5B9BD5"/>
                <w:sz w:val="22"/>
                <w:szCs w:val="18"/>
                <w:lang w:val="es-ES"/>
              </w:rPr>
            </w:pPr>
            <w:r w:rsidRPr="00664D4E">
              <w:rPr>
                <w:b/>
                <w:bCs/>
                <w:i/>
                <w:iCs/>
                <w:color w:val="5B9BD5"/>
                <w:sz w:val="22"/>
                <w:szCs w:val="18"/>
                <w:lang w:val="es-ES"/>
              </w:rPr>
              <w:t>11 de marzo de 2024 (13.00-16.00</w:t>
            </w:r>
            <w:r w:rsidR="00071AA1" w:rsidRPr="00664D4E">
              <w:rPr>
                <w:b/>
                <w:bCs/>
                <w:i/>
                <w:iCs/>
                <w:color w:val="5B9BD5"/>
                <w:sz w:val="22"/>
                <w:szCs w:val="18"/>
                <w:lang w:val="es-ES"/>
              </w:rPr>
              <w:t xml:space="preserve"> horas</w:t>
            </w:r>
            <w:r w:rsidRPr="00664D4E">
              <w:rPr>
                <w:b/>
                <w:bCs/>
                <w:i/>
                <w:iCs/>
                <w:color w:val="5B9BD5"/>
                <w:sz w:val="22"/>
                <w:szCs w:val="18"/>
                <w:lang w:val="es-ES"/>
              </w:rPr>
              <w:t xml:space="preserve"> </w:t>
            </w:r>
            <w:r w:rsidR="00CE10A4" w:rsidRPr="00664D4E">
              <w:rPr>
                <w:b/>
                <w:bCs/>
                <w:i/>
                <w:iCs/>
                <w:color w:val="5B9BD5"/>
                <w:sz w:val="22"/>
                <w:szCs w:val="18"/>
                <w:lang w:val="es-ES"/>
              </w:rPr>
              <w:t>(</w:t>
            </w:r>
            <w:r w:rsidRPr="00664D4E">
              <w:rPr>
                <w:b/>
                <w:bCs/>
                <w:i/>
                <w:iCs/>
                <w:color w:val="5B9BD5"/>
                <w:sz w:val="22"/>
                <w:szCs w:val="18"/>
                <w:lang w:val="es-ES"/>
              </w:rPr>
              <w:t>CET</w:t>
            </w:r>
            <w:r w:rsidR="00CE10A4" w:rsidRPr="00664D4E">
              <w:rPr>
                <w:b/>
                <w:bCs/>
                <w:i/>
                <w:iCs/>
                <w:color w:val="5B9BD5"/>
                <w:sz w:val="22"/>
                <w:szCs w:val="18"/>
                <w:lang w:val="es-ES"/>
              </w:rPr>
              <w:t>)</w:t>
            </w:r>
            <w:r w:rsidRPr="00664D4E">
              <w:rPr>
                <w:b/>
                <w:bCs/>
                <w:i/>
                <w:iCs/>
                <w:color w:val="5B9BD5"/>
                <w:sz w:val="22"/>
                <w:szCs w:val="18"/>
                <w:lang w:val="es-ES"/>
              </w:rPr>
              <w:t>)</w:t>
            </w:r>
          </w:p>
          <w:p w14:paraId="43EC47F7" w14:textId="6309FAD0" w:rsidR="006D7DEE" w:rsidRPr="00664D4E" w:rsidRDefault="006D7DEE" w:rsidP="009567D8">
            <w:pPr>
              <w:rPr>
                <w:b/>
                <w:bCs/>
                <w:sz w:val="22"/>
                <w:szCs w:val="18"/>
                <w:lang w:val="es-ES"/>
              </w:rPr>
            </w:pPr>
            <w:r w:rsidRPr="00664D4E">
              <w:rPr>
                <w:b/>
                <w:bCs/>
                <w:sz w:val="22"/>
                <w:szCs w:val="18"/>
                <w:lang w:val="es-ES"/>
              </w:rPr>
              <w:t>APERTURA</w:t>
            </w:r>
          </w:p>
          <w:p w14:paraId="5A91A845" w14:textId="77777777" w:rsidR="006D7DEE" w:rsidRPr="00664D4E" w:rsidRDefault="006D7DEE" w:rsidP="006D7DEE">
            <w:pPr>
              <w:rPr>
                <w:sz w:val="22"/>
                <w:szCs w:val="18"/>
                <w:lang w:val="es-ES"/>
              </w:rPr>
            </w:pPr>
            <w:r w:rsidRPr="00664D4E">
              <w:rPr>
                <w:sz w:val="22"/>
                <w:szCs w:val="18"/>
                <w:lang w:val="es-ES"/>
              </w:rPr>
              <w:t>Discursos inaugurales de la UIT y la CEPE</w:t>
            </w:r>
          </w:p>
          <w:p w14:paraId="20F13B3B" w14:textId="5478829B" w:rsidR="006D7DEE" w:rsidRPr="00664D4E" w:rsidRDefault="006D7DEE" w:rsidP="009567D8">
            <w:pPr>
              <w:rPr>
                <w:b/>
                <w:bCs/>
                <w:sz w:val="22"/>
                <w:szCs w:val="18"/>
                <w:lang w:val="es-ES"/>
              </w:rPr>
            </w:pPr>
            <w:r w:rsidRPr="00664D4E">
              <w:rPr>
                <w:b/>
                <w:bCs/>
                <w:sz w:val="22"/>
                <w:szCs w:val="18"/>
                <w:lang w:val="es-ES"/>
              </w:rPr>
              <w:t xml:space="preserve">SESIÓN: </w:t>
            </w:r>
            <w:r w:rsidR="007D24EB" w:rsidRPr="00664D4E">
              <w:rPr>
                <w:b/>
                <w:bCs/>
                <w:sz w:val="22"/>
                <w:szCs w:val="18"/>
                <w:lang w:val="es-ES"/>
              </w:rPr>
              <w:t>Últimas</w:t>
            </w:r>
            <w:r w:rsidRPr="00664D4E">
              <w:rPr>
                <w:b/>
                <w:bCs/>
                <w:sz w:val="22"/>
                <w:szCs w:val="18"/>
                <w:lang w:val="es-ES"/>
              </w:rPr>
              <w:t xml:space="preserve"> novedades en el Reglamento Internacional de Vehículos y Normas de Circulación ADS</w:t>
            </w:r>
          </w:p>
          <w:p w14:paraId="617A09F1" w14:textId="77777777" w:rsidR="006D7DEE" w:rsidRPr="00664D4E" w:rsidRDefault="006D7DEE" w:rsidP="006D7DEE">
            <w:pPr>
              <w:rPr>
                <w:sz w:val="22"/>
                <w:szCs w:val="18"/>
                <w:lang w:val="es-ES"/>
              </w:rPr>
            </w:pPr>
            <w:r w:rsidRPr="00664D4E">
              <w:rPr>
                <w:sz w:val="22"/>
                <w:szCs w:val="18"/>
                <w:lang w:val="es-ES"/>
              </w:rPr>
              <w:t>La primera sesión de este evento en línea explorará los últimos avances y retos en el campo de los vehículos conectados y automatizados. La sesión se centrará en los esfuerzos a escala mundial para armonizar los reglamentos técnicos de los vehículos automatizados, liderados por la Comisión Económica para Europa de las Naciones Unidas (CEPE) y escuchará a expertos de los grupos de trabajo de la CEPE, compuestos por reguladores de todos los continentes y partes interesadas relacionadas. Expertos tanto del sector como de los organismos reguladores compartirán sus puntos de vista sobre las normas y reglamentos actuales y futuros de los sistemas avanzados de asistencia al conductor (ADAS), los sistemas de conducción automatizada (ADS) y la comunicación vehicular, así como los retos y oportunidades para la innovación y la colaboración.</w:t>
            </w:r>
          </w:p>
          <w:p w14:paraId="1CCE4E6B" w14:textId="77777777" w:rsidR="006D7DEE" w:rsidRPr="00664D4E" w:rsidRDefault="006D7DEE" w:rsidP="009567D8">
            <w:pPr>
              <w:spacing w:after="120"/>
              <w:rPr>
                <w:b/>
                <w:bCs/>
                <w:sz w:val="22"/>
                <w:szCs w:val="18"/>
                <w:lang w:val="es-ES"/>
              </w:rPr>
            </w:pPr>
            <w:r w:rsidRPr="00664D4E">
              <w:rPr>
                <w:b/>
                <w:bCs/>
                <w:sz w:val="22"/>
                <w:szCs w:val="18"/>
                <w:lang w:val="es-ES"/>
              </w:rPr>
              <w:t>Moderador: (a decidir)</w:t>
            </w:r>
          </w:p>
        </w:tc>
      </w:tr>
      <w:tr w:rsidR="007D24EB" w:rsidRPr="009567D8" w14:paraId="61F7EFDA" w14:textId="77777777" w:rsidTr="00691A72">
        <w:trPr>
          <w:cantSplit/>
          <w:trHeight w:val="629"/>
          <w:jc w:val="center"/>
        </w:trPr>
        <w:tc>
          <w:tcPr>
            <w:tcW w:w="9639" w:type="dxa"/>
            <w:tcBorders>
              <w:top w:val="single" w:sz="4" w:space="0" w:color="4F81BD"/>
              <w:bottom w:val="single" w:sz="4" w:space="0" w:color="4F81BD"/>
              <w:right w:val="single" w:sz="4" w:space="0" w:color="4F81BD"/>
            </w:tcBorders>
          </w:tcPr>
          <w:p w14:paraId="3558B7C8" w14:textId="13EDF959" w:rsidR="007D24EB" w:rsidRPr="00664D4E" w:rsidRDefault="007D24EB" w:rsidP="009567D8">
            <w:pPr>
              <w:rPr>
                <w:b/>
                <w:bCs/>
                <w:i/>
                <w:iCs/>
                <w:color w:val="5B9BD5"/>
                <w:sz w:val="22"/>
                <w:szCs w:val="18"/>
                <w:lang w:val="es-ES"/>
              </w:rPr>
            </w:pPr>
            <w:r w:rsidRPr="00664D4E">
              <w:rPr>
                <w:b/>
                <w:bCs/>
                <w:i/>
                <w:iCs/>
                <w:color w:val="5B9BD5"/>
                <w:sz w:val="22"/>
                <w:szCs w:val="18"/>
                <w:lang w:val="es-ES"/>
              </w:rPr>
              <w:t xml:space="preserve">12 de marzo de 2024 (13.00-16.00 </w:t>
            </w:r>
            <w:r w:rsidR="00CC397A" w:rsidRPr="00664D4E">
              <w:rPr>
                <w:b/>
                <w:bCs/>
                <w:i/>
                <w:iCs/>
                <w:color w:val="5B9BD5"/>
                <w:sz w:val="22"/>
                <w:szCs w:val="18"/>
                <w:lang w:val="es-ES"/>
              </w:rPr>
              <w:t xml:space="preserve">horas </w:t>
            </w:r>
            <w:r w:rsidR="00CE10A4" w:rsidRPr="00664D4E">
              <w:rPr>
                <w:b/>
                <w:bCs/>
                <w:i/>
                <w:iCs/>
                <w:color w:val="5B9BD5"/>
                <w:sz w:val="22"/>
                <w:szCs w:val="18"/>
                <w:lang w:val="es-ES"/>
              </w:rPr>
              <w:t>(</w:t>
            </w:r>
            <w:r w:rsidRPr="00664D4E">
              <w:rPr>
                <w:b/>
                <w:bCs/>
                <w:i/>
                <w:iCs/>
                <w:color w:val="5B9BD5"/>
                <w:sz w:val="22"/>
                <w:szCs w:val="18"/>
                <w:lang w:val="es-ES"/>
              </w:rPr>
              <w:t>CET</w:t>
            </w:r>
            <w:r w:rsidR="00CE10A4" w:rsidRPr="00664D4E">
              <w:rPr>
                <w:b/>
                <w:bCs/>
                <w:i/>
                <w:iCs/>
                <w:color w:val="5B9BD5"/>
                <w:sz w:val="22"/>
                <w:szCs w:val="18"/>
                <w:lang w:val="es-ES"/>
              </w:rPr>
              <w:t>)</w:t>
            </w:r>
            <w:r w:rsidRPr="00664D4E">
              <w:rPr>
                <w:b/>
                <w:bCs/>
                <w:i/>
                <w:iCs/>
                <w:color w:val="5B9BD5"/>
                <w:sz w:val="22"/>
                <w:szCs w:val="18"/>
                <w:lang w:val="es-ES"/>
              </w:rPr>
              <w:t>)</w:t>
            </w:r>
          </w:p>
          <w:p w14:paraId="278F4D59" w14:textId="24DD2896" w:rsidR="007D24EB" w:rsidRPr="00664D4E" w:rsidRDefault="007D24EB" w:rsidP="009567D8">
            <w:pPr>
              <w:rPr>
                <w:b/>
                <w:bCs/>
                <w:sz w:val="22"/>
                <w:szCs w:val="18"/>
                <w:lang w:val="es-ES"/>
              </w:rPr>
            </w:pPr>
            <w:r w:rsidRPr="00664D4E">
              <w:rPr>
                <w:b/>
                <w:bCs/>
                <w:sz w:val="22"/>
                <w:szCs w:val="18"/>
                <w:lang w:val="es-ES"/>
              </w:rPr>
              <w:t>SESIÓN 2</w:t>
            </w:r>
            <w:r w:rsidR="00CC397A" w:rsidRPr="00664D4E">
              <w:rPr>
                <w:b/>
                <w:bCs/>
                <w:sz w:val="22"/>
                <w:szCs w:val="18"/>
                <w:lang w:val="es-ES"/>
              </w:rPr>
              <w:t>:</w:t>
            </w:r>
            <w:r w:rsidRPr="00664D4E">
              <w:rPr>
                <w:b/>
                <w:bCs/>
                <w:sz w:val="22"/>
                <w:szCs w:val="18"/>
                <w:lang w:val="es-ES"/>
              </w:rPr>
              <w:t xml:space="preserve"> Aplicaciones de </w:t>
            </w:r>
            <w:r w:rsidR="00CC397A" w:rsidRPr="00664D4E">
              <w:rPr>
                <w:b/>
                <w:bCs/>
                <w:sz w:val="22"/>
                <w:szCs w:val="18"/>
                <w:lang w:val="es-ES"/>
              </w:rPr>
              <w:t>i</w:t>
            </w:r>
            <w:r w:rsidRPr="00664D4E">
              <w:rPr>
                <w:b/>
                <w:bCs/>
                <w:sz w:val="22"/>
                <w:szCs w:val="18"/>
                <w:lang w:val="es-ES"/>
              </w:rPr>
              <w:t xml:space="preserve">nteligencia </w:t>
            </w:r>
            <w:r w:rsidR="00CC397A" w:rsidRPr="00664D4E">
              <w:rPr>
                <w:b/>
                <w:bCs/>
                <w:sz w:val="22"/>
                <w:szCs w:val="18"/>
                <w:lang w:val="es-ES"/>
              </w:rPr>
              <w:t>a</w:t>
            </w:r>
            <w:r w:rsidRPr="00664D4E">
              <w:rPr>
                <w:b/>
                <w:bCs/>
                <w:sz w:val="22"/>
                <w:szCs w:val="18"/>
                <w:lang w:val="es-ES"/>
              </w:rPr>
              <w:t>rtificial para vehículos</w:t>
            </w:r>
          </w:p>
          <w:p w14:paraId="3F971311" w14:textId="1E2CC3D2" w:rsidR="007D24EB" w:rsidRPr="00664D4E" w:rsidRDefault="007D24EB" w:rsidP="007D24EB">
            <w:pPr>
              <w:rPr>
                <w:sz w:val="22"/>
                <w:szCs w:val="18"/>
                <w:lang w:val="es-ES"/>
              </w:rPr>
            </w:pPr>
            <w:r w:rsidRPr="00664D4E">
              <w:rPr>
                <w:sz w:val="22"/>
                <w:szCs w:val="18"/>
                <w:lang w:val="es-ES"/>
              </w:rPr>
              <w:t xml:space="preserve">La </w:t>
            </w:r>
            <w:r w:rsidR="00CC397A" w:rsidRPr="00664D4E">
              <w:rPr>
                <w:sz w:val="22"/>
                <w:szCs w:val="18"/>
                <w:lang w:val="es-ES"/>
              </w:rPr>
              <w:t>i</w:t>
            </w:r>
            <w:r w:rsidRPr="00664D4E">
              <w:rPr>
                <w:sz w:val="22"/>
                <w:szCs w:val="18"/>
                <w:lang w:val="es-ES"/>
              </w:rPr>
              <w:t xml:space="preserve">nteligencia </w:t>
            </w:r>
            <w:r w:rsidR="00CC397A" w:rsidRPr="00664D4E">
              <w:rPr>
                <w:sz w:val="22"/>
                <w:szCs w:val="18"/>
                <w:lang w:val="es-ES"/>
              </w:rPr>
              <w:t>a</w:t>
            </w:r>
            <w:r w:rsidRPr="00664D4E">
              <w:rPr>
                <w:sz w:val="22"/>
                <w:szCs w:val="18"/>
                <w:lang w:val="es-ES"/>
              </w:rPr>
              <w:t>rtificial está presente en todos los aspectos de nuestras vidas, tanto en el ámbito personal como en el empresarial, y sus aplicaciones e influencia están aumentando rápidamente. Esta sesión ofrecerá una visión general de la IA, centrada específicamente en las aplicaciones para vehículos. Los ponentes debatirán sobre los avances actuales y previstos, las actividades de colaboración y normalización, y las lagunas que deben abordarse para apoyar la implantación, validación, despliegue y gestión de la tecnología de IA para el funcionamiento seguro y eficiente de los vehículos terrestres y las infraestructuras de transporte. Además, la sesión explorará cómo las aplicaciones de automoción basadas en IA están transformando las interacciones humanas dentro y alrededor de los vehículos, abordando la dinámica cambiante con conductores, pasajeros y personas fuera de los vehículos.</w:t>
            </w:r>
          </w:p>
          <w:p w14:paraId="5A4D490A" w14:textId="21C354CF" w:rsidR="007D24EB" w:rsidRPr="00664D4E" w:rsidRDefault="007D24EB" w:rsidP="009567D8">
            <w:pPr>
              <w:spacing w:after="120"/>
              <w:rPr>
                <w:sz w:val="22"/>
                <w:szCs w:val="18"/>
                <w:lang w:val="en-GB"/>
              </w:rPr>
            </w:pPr>
            <w:r w:rsidRPr="00664D4E">
              <w:rPr>
                <w:b/>
                <w:bCs/>
                <w:sz w:val="22"/>
                <w:szCs w:val="18"/>
                <w:lang w:val="es-ES"/>
              </w:rPr>
              <w:t>Moderador</w:t>
            </w:r>
            <w:r w:rsidRPr="00664D4E">
              <w:rPr>
                <w:b/>
                <w:bCs/>
                <w:sz w:val="22"/>
                <w:szCs w:val="18"/>
                <w:lang w:val="en-GB"/>
              </w:rPr>
              <w:t>: William (Bill) Gouse</w:t>
            </w:r>
            <w:r w:rsidRPr="00664D4E">
              <w:rPr>
                <w:sz w:val="22"/>
                <w:szCs w:val="18"/>
                <w:lang w:val="en-GB"/>
              </w:rPr>
              <w:t>, SAE International</w:t>
            </w:r>
          </w:p>
        </w:tc>
      </w:tr>
      <w:tr w:rsidR="007D24EB" w:rsidRPr="009567D8" w14:paraId="147571C5" w14:textId="77777777" w:rsidTr="00691A72">
        <w:trPr>
          <w:cantSplit/>
          <w:trHeight w:val="629"/>
          <w:jc w:val="center"/>
        </w:trPr>
        <w:tc>
          <w:tcPr>
            <w:tcW w:w="9639" w:type="dxa"/>
            <w:tcBorders>
              <w:top w:val="single" w:sz="4" w:space="0" w:color="4F81BD"/>
              <w:left w:val="single" w:sz="4" w:space="0" w:color="4F81BD"/>
              <w:bottom w:val="single" w:sz="4" w:space="0" w:color="4F81BD"/>
              <w:right w:val="single" w:sz="4" w:space="0" w:color="4F81BD"/>
            </w:tcBorders>
          </w:tcPr>
          <w:p w14:paraId="29C1D364" w14:textId="047E2C28" w:rsidR="007D24EB" w:rsidRPr="00664D4E" w:rsidRDefault="007D24EB" w:rsidP="009567D8">
            <w:pPr>
              <w:rPr>
                <w:b/>
                <w:bCs/>
                <w:i/>
                <w:iCs/>
                <w:color w:val="5B9BD5"/>
                <w:sz w:val="22"/>
                <w:szCs w:val="18"/>
                <w:lang w:val="es-ES"/>
              </w:rPr>
            </w:pPr>
            <w:r w:rsidRPr="00664D4E">
              <w:rPr>
                <w:b/>
                <w:bCs/>
                <w:i/>
                <w:iCs/>
                <w:color w:val="5B9BD5"/>
                <w:sz w:val="22"/>
                <w:szCs w:val="18"/>
                <w:lang w:val="es-ES"/>
              </w:rPr>
              <w:t xml:space="preserve">13 de marzo de 2024 (13.00-16.00 </w:t>
            </w:r>
            <w:r w:rsidR="00CC397A" w:rsidRPr="00664D4E">
              <w:rPr>
                <w:b/>
                <w:bCs/>
                <w:i/>
                <w:iCs/>
                <w:color w:val="5B9BD5"/>
                <w:sz w:val="22"/>
                <w:szCs w:val="18"/>
                <w:lang w:val="es-ES"/>
              </w:rPr>
              <w:t xml:space="preserve">horas </w:t>
            </w:r>
            <w:r w:rsidR="00CE10A4" w:rsidRPr="00664D4E">
              <w:rPr>
                <w:b/>
                <w:bCs/>
                <w:i/>
                <w:iCs/>
                <w:color w:val="5B9BD5"/>
                <w:sz w:val="22"/>
                <w:szCs w:val="18"/>
                <w:lang w:val="es-ES"/>
              </w:rPr>
              <w:t>(</w:t>
            </w:r>
            <w:r w:rsidRPr="00664D4E">
              <w:rPr>
                <w:b/>
                <w:bCs/>
                <w:i/>
                <w:iCs/>
                <w:color w:val="5B9BD5"/>
                <w:sz w:val="22"/>
                <w:szCs w:val="18"/>
                <w:lang w:val="es-ES"/>
              </w:rPr>
              <w:t>CET</w:t>
            </w:r>
            <w:r w:rsidR="00CE10A4" w:rsidRPr="00664D4E">
              <w:rPr>
                <w:b/>
                <w:bCs/>
                <w:i/>
                <w:iCs/>
                <w:color w:val="5B9BD5"/>
                <w:sz w:val="22"/>
                <w:szCs w:val="18"/>
                <w:lang w:val="es-ES"/>
              </w:rPr>
              <w:t>)</w:t>
            </w:r>
            <w:r w:rsidRPr="00664D4E">
              <w:rPr>
                <w:b/>
                <w:bCs/>
                <w:i/>
                <w:iCs/>
                <w:color w:val="5B9BD5"/>
                <w:sz w:val="22"/>
                <w:szCs w:val="18"/>
                <w:lang w:val="es-ES"/>
              </w:rPr>
              <w:t>)</w:t>
            </w:r>
          </w:p>
          <w:p w14:paraId="0BD76BCA" w14:textId="4AA157F3" w:rsidR="007D24EB" w:rsidRPr="00664D4E" w:rsidRDefault="007D24EB" w:rsidP="009567D8">
            <w:pPr>
              <w:rPr>
                <w:b/>
                <w:bCs/>
                <w:sz w:val="22"/>
                <w:szCs w:val="18"/>
                <w:lang w:val="es-ES"/>
              </w:rPr>
            </w:pPr>
            <w:r w:rsidRPr="00664D4E">
              <w:rPr>
                <w:b/>
                <w:bCs/>
                <w:sz w:val="22"/>
                <w:szCs w:val="18"/>
                <w:lang w:val="es-ES"/>
              </w:rPr>
              <w:t>SESIÓN 3</w:t>
            </w:r>
            <w:r w:rsidR="00CC397A" w:rsidRPr="00664D4E">
              <w:rPr>
                <w:b/>
                <w:bCs/>
                <w:sz w:val="22"/>
                <w:szCs w:val="18"/>
                <w:lang w:val="es-ES"/>
              </w:rPr>
              <w:t>:</w:t>
            </w:r>
            <w:r w:rsidRPr="00664D4E">
              <w:rPr>
                <w:b/>
                <w:bCs/>
                <w:sz w:val="22"/>
                <w:szCs w:val="18"/>
                <w:lang w:val="es-ES"/>
              </w:rPr>
              <w:t xml:space="preserve"> Situación mundial de </w:t>
            </w:r>
            <w:proofErr w:type="gramStart"/>
            <w:r w:rsidRPr="00664D4E">
              <w:rPr>
                <w:b/>
                <w:bCs/>
                <w:sz w:val="22"/>
                <w:szCs w:val="18"/>
                <w:lang w:val="es-ES"/>
              </w:rPr>
              <w:t>la pruebas</w:t>
            </w:r>
            <w:proofErr w:type="gramEnd"/>
            <w:r w:rsidRPr="00664D4E">
              <w:rPr>
                <w:b/>
                <w:bCs/>
                <w:sz w:val="22"/>
                <w:szCs w:val="18"/>
                <w:lang w:val="es-ES"/>
              </w:rPr>
              <w:t xml:space="preserve"> de vehículos automatizados</w:t>
            </w:r>
          </w:p>
          <w:p w14:paraId="624ECA4B" w14:textId="2AB7D574" w:rsidR="007D24EB" w:rsidRPr="00664D4E" w:rsidRDefault="007D24EB" w:rsidP="007D24EB">
            <w:pPr>
              <w:rPr>
                <w:sz w:val="22"/>
                <w:szCs w:val="18"/>
                <w:lang w:val="es-ES"/>
              </w:rPr>
            </w:pPr>
            <w:r w:rsidRPr="00664D4E">
              <w:rPr>
                <w:sz w:val="22"/>
                <w:szCs w:val="18"/>
                <w:lang w:val="es-ES"/>
              </w:rPr>
              <w:t>Los vehículos automatizados se están probando en todo el mundo en diversos entornos operativos y tipos de vehículos. En el último año ha aumentado la demanda de normas de seguridad, requisitos de pruebas y reglamentación, así como el número de fallos operativos de los que se ha informado en los medios de comunicación. Este panel reunirá a representantes de la comunidad de reglamentación y operadores para debatir los próximos pasos necesarios para comercializar la tecnología de los vehículos automatizados.</w:t>
            </w:r>
          </w:p>
          <w:p w14:paraId="2C24EEBE" w14:textId="3552DCCD" w:rsidR="00691A72" w:rsidRDefault="007D24EB" w:rsidP="00691A72">
            <w:pPr>
              <w:spacing w:after="120"/>
              <w:rPr>
                <w:sz w:val="22"/>
                <w:szCs w:val="18"/>
                <w:lang w:val="en-GB"/>
              </w:rPr>
            </w:pPr>
            <w:r w:rsidRPr="00664D4E">
              <w:rPr>
                <w:b/>
                <w:bCs/>
                <w:sz w:val="22"/>
                <w:szCs w:val="18"/>
                <w:lang w:val="es-ES"/>
              </w:rPr>
              <w:t>Moderador</w:t>
            </w:r>
            <w:r w:rsidRPr="00664D4E">
              <w:rPr>
                <w:b/>
                <w:bCs/>
                <w:sz w:val="22"/>
                <w:szCs w:val="18"/>
                <w:lang w:val="en-GB"/>
              </w:rPr>
              <w:t>: Roger Lanctot</w:t>
            </w:r>
            <w:r w:rsidRPr="00664D4E">
              <w:rPr>
                <w:sz w:val="22"/>
                <w:szCs w:val="18"/>
                <w:lang w:val="en-GB"/>
              </w:rPr>
              <w:t xml:space="preserve">, </w:t>
            </w:r>
            <w:proofErr w:type="gramStart"/>
            <w:r w:rsidRPr="00664D4E">
              <w:rPr>
                <w:sz w:val="22"/>
                <w:szCs w:val="18"/>
                <w:lang w:val="en-GB"/>
              </w:rPr>
              <w:t>Director</w:t>
            </w:r>
            <w:proofErr w:type="gramEnd"/>
            <w:r w:rsidRPr="00664D4E">
              <w:rPr>
                <w:sz w:val="22"/>
                <w:szCs w:val="18"/>
                <w:lang w:val="en-GB"/>
              </w:rPr>
              <w:t xml:space="preserve">, Automotive Connected Mobility, </w:t>
            </w:r>
            <w:proofErr w:type="spellStart"/>
            <w:r w:rsidRPr="00664D4E">
              <w:rPr>
                <w:sz w:val="22"/>
                <w:szCs w:val="18"/>
                <w:lang w:val="en-GB"/>
              </w:rPr>
              <w:t>TechInsights</w:t>
            </w:r>
            <w:proofErr w:type="spellEnd"/>
          </w:p>
          <w:p w14:paraId="5E9EFDA4" w14:textId="03B39C01" w:rsidR="00691A72" w:rsidRPr="00664D4E" w:rsidRDefault="00691A72" w:rsidP="009567D8">
            <w:pPr>
              <w:spacing w:after="120"/>
              <w:rPr>
                <w:sz w:val="22"/>
                <w:szCs w:val="18"/>
                <w:lang w:val="en-GB"/>
              </w:rPr>
            </w:pPr>
          </w:p>
        </w:tc>
      </w:tr>
      <w:tr w:rsidR="009567D8" w:rsidRPr="00CC397A" w14:paraId="324CD131" w14:textId="77777777" w:rsidTr="00691A72">
        <w:trPr>
          <w:cantSplit/>
          <w:trHeight w:val="629"/>
          <w:jc w:val="center"/>
        </w:trPr>
        <w:tc>
          <w:tcPr>
            <w:tcW w:w="9639" w:type="dxa"/>
            <w:tcBorders>
              <w:top w:val="single" w:sz="4" w:space="0" w:color="4F81BD"/>
              <w:left w:val="single" w:sz="4" w:space="0" w:color="4F81BD"/>
              <w:bottom w:val="single" w:sz="4" w:space="0" w:color="4F81BD"/>
              <w:right w:val="single" w:sz="4" w:space="0" w:color="4F81BD"/>
            </w:tcBorders>
          </w:tcPr>
          <w:p w14:paraId="6F97E3BB" w14:textId="38B67590" w:rsidR="009567D8" w:rsidRPr="00664D4E" w:rsidRDefault="009567D8" w:rsidP="009567D8">
            <w:pPr>
              <w:rPr>
                <w:b/>
                <w:bCs/>
                <w:i/>
                <w:iCs/>
                <w:color w:val="5B9BD5"/>
                <w:sz w:val="22"/>
                <w:szCs w:val="18"/>
                <w:lang w:val="es-ES"/>
              </w:rPr>
            </w:pPr>
            <w:r w:rsidRPr="00664D4E">
              <w:rPr>
                <w:b/>
                <w:bCs/>
                <w:i/>
                <w:iCs/>
                <w:color w:val="5B9BD5"/>
                <w:sz w:val="22"/>
                <w:szCs w:val="18"/>
                <w:lang w:val="es-ES"/>
              </w:rPr>
              <w:lastRenderedPageBreak/>
              <w:t>14 de marzo de 2024 (13.00-16.00</w:t>
            </w:r>
            <w:r w:rsidR="00CC397A" w:rsidRPr="00664D4E">
              <w:rPr>
                <w:b/>
                <w:bCs/>
                <w:i/>
                <w:iCs/>
                <w:color w:val="5B9BD5"/>
                <w:sz w:val="22"/>
                <w:szCs w:val="18"/>
                <w:lang w:val="es-ES"/>
              </w:rPr>
              <w:t xml:space="preserve"> horas</w:t>
            </w:r>
            <w:r w:rsidRPr="00664D4E">
              <w:rPr>
                <w:b/>
                <w:bCs/>
                <w:i/>
                <w:iCs/>
                <w:color w:val="5B9BD5"/>
                <w:sz w:val="22"/>
                <w:szCs w:val="18"/>
                <w:lang w:val="es-ES"/>
              </w:rPr>
              <w:t xml:space="preserve"> </w:t>
            </w:r>
            <w:r w:rsidR="00CE10A4" w:rsidRPr="00664D4E">
              <w:rPr>
                <w:b/>
                <w:bCs/>
                <w:i/>
                <w:iCs/>
                <w:color w:val="5B9BD5"/>
                <w:sz w:val="22"/>
                <w:szCs w:val="18"/>
                <w:lang w:val="es-ES"/>
              </w:rPr>
              <w:t>(</w:t>
            </w:r>
            <w:r w:rsidRPr="00664D4E">
              <w:rPr>
                <w:b/>
                <w:bCs/>
                <w:i/>
                <w:iCs/>
                <w:color w:val="5B9BD5"/>
                <w:sz w:val="22"/>
                <w:szCs w:val="18"/>
                <w:lang w:val="es-ES"/>
              </w:rPr>
              <w:t>CET</w:t>
            </w:r>
            <w:r w:rsidR="00CE10A4" w:rsidRPr="00664D4E">
              <w:rPr>
                <w:b/>
                <w:bCs/>
                <w:i/>
                <w:iCs/>
                <w:color w:val="5B9BD5"/>
                <w:sz w:val="22"/>
                <w:szCs w:val="18"/>
                <w:lang w:val="es-ES"/>
              </w:rPr>
              <w:t>)</w:t>
            </w:r>
            <w:r w:rsidRPr="00664D4E">
              <w:rPr>
                <w:b/>
                <w:bCs/>
                <w:i/>
                <w:iCs/>
                <w:color w:val="5B9BD5"/>
                <w:sz w:val="22"/>
                <w:szCs w:val="18"/>
                <w:lang w:val="es-ES"/>
              </w:rPr>
              <w:t>)</w:t>
            </w:r>
          </w:p>
          <w:p w14:paraId="31086C6E" w14:textId="3F894817" w:rsidR="009567D8" w:rsidRPr="00664D4E" w:rsidRDefault="009567D8" w:rsidP="009567D8">
            <w:pPr>
              <w:rPr>
                <w:b/>
                <w:bCs/>
                <w:sz w:val="22"/>
                <w:szCs w:val="18"/>
                <w:lang w:val="es-ES"/>
              </w:rPr>
            </w:pPr>
            <w:r w:rsidRPr="00664D4E">
              <w:rPr>
                <w:b/>
                <w:bCs/>
                <w:sz w:val="22"/>
                <w:szCs w:val="18"/>
                <w:lang w:val="es-ES"/>
              </w:rPr>
              <w:t>SESIÓN 4</w:t>
            </w:r>
            <w:r w:rsidR="00CC397A" w:rsidRPr="00664D4E">
              <w:rPr>
                <w:b/>
                <w:bCs/>
                <w:sz w:val="22"/>
                <w:szCs w:val="18"/>
                <w:lang w:val="es-ES"/>
              </w:rPr>
              <w:t>:</w:t>
            </w:r>
            <w:r w:rsidRPr="00664D4E">
              <w:rPr>
                <w:b/>
                <w:bCs/>
                <w:sz w:val="22"/>
                <w:szCs w:val="18"/>
                <w:lang w:val="es-ES"/>
              </w:rPr>
              <w:t xml:space="preserve"> Comunicación vehicular para la conducción automatizada</w:t>
            </w:r>
          </w:p>
          <w:p w14:paraId="2B34763A" w14:textId="109F72C6" w:rsidR="009567D8" w:rsidRPr="00664D4E" w:rsidRDefault="009567D8" w:rsidP="009567D8">
            <w:pPr>
              <w:rPr>
                <w:sz w:val="22"/>
                <w:szCs w:val="18"/>
                <w:lang w:val="es-ES"/>
              </w:rPr>
            </w:pPr>
            <w:r w:rsidRPr="00664D4E">
              <w:rPr>
                <w:sz w:val="22"/>
                <w:szCs w:val="18"/>
                <w:lang w:val="es-ES"/>
              </w:rPr>
              <w:t>Los vehículos con sistemas de conducción automatizada (ADS) llevan muchos años en fase de desarrollo. Se ha realizado una amplia gama de pruebas de vehículos con ADS y han comenzado los despliegues iniciales. Los conductores se están familiarizando con la automatización de los vehículos. La creencia general es que seguirá creciendo el nivel de automatización en los vehículos. En esta sesión se explorará cómo se utilizarán las comunicaciones vehiculares en los vehículos con ADS y qué medidas serán necesarias en el futuro.</w:t>
            </w:r>
          </w:p>
          <w:p w14:paraId="70EC3F7F" w14:textId="17E3D636" w:rsidR="009567D8" w:rsidRPr="00664D4E" w:rsidRDefault="009567D8" w:rsidP="009567D8">
            <w:pPr>
              <w:spacing w:after="120"/>
              <w:rPr>
                <w:sz w:val="22"/>
                <w:szCs w:val="18"/>
                <w:lang w:val="es-ES"/>
              </w:rPr>
            </w:pPr>
            <w:r w:rsidRPr="00664D4E">
              <w:rPr>
                <w:b/>
                <w:bCs/>
                <w:sz w:val="22"/>
                <w:szCs w:val="18"/>
                <w:lang w:val="es-ES"/>
              </w:rPr>
              <w:t>Moderador</w:t>
            </w:r>
            <w:r w:rsidR="00CC397A" w:rsidRPr="00664D4E">
              <w:rPr>
                <w:b/>
                <w:bCs/>
                <w:sz w:val="22"/>
                <w:szCs w:val="18"/>
                <w:lang w:val="es-ES"/>
              </w:rPr>
              <w:t>:</w:t>
            </w:r>
            <w:r w:rsidRPr="00664D4E">
              <w:rPr>
                <w:b/>
                <w:bCs/>
                <w:sz w:val="22"/>
                <w:szCs w:val="18"/>
                <w:lang w:val="es-ES"/>
              </w:rPr>
              <w:t xml:space="preserve"> T. Russell Shields</w:t>
            </w:r>
            <w:r w:rsidRPr="00664D4E">
              <w:rPr>
                <w:sz w:val="22"/>
                <w:szCs w:val="18"/>
                <w:lang w:val="es-ES"/>
              </w:rPr>
              <w:t xml:space="preserve">, </w:t>
            </w:r>
            <w:proofErr w:type="gramStart"/>
            <w:r w:rsidRPr="00664D4E">
              <w:rPr>
                <w:sz w:val="22"/>
                <w:szCs w:val="18"/>
                <w:lang w:val="es-ES"/>
              </w:rPr>
              <w:t>Presidente</w:t>
            </w:r>
            <w:proofErr w:type="gramEnd"/>
            <w:r w:rsidRPr="00664D4E">
              <w:rPr>
                <w:sz w:val="22"/>
                <w:szCs w:val="18"/>
                <w:lang w:val="es-ES"/>
              </w:rPr>
              <w:t>, Colaboración sobre Normas de Comunicación para Sistemas de Transporte Inteligente de la UIT</w:t>
            </w:r>
          </w:p>
        </w:tc>
      </w:tr>
      <w:bookmarkEnd w:id="5"/>
    </w:tbl>
    <w:p w14:paraId="715D2894" w14:textId="77777777" w:rsidR="006D7DEE" w:rsidRPr="00CC397A" w:rsidRDefault="006D7DEE" w:rsidP="00411C49">
      <w:pPr>
        <w:pStyle w:val="Reasons"/>
        <w:rPr>
          <w:lang w:val="es-ES"/>
        </w:rPr>
      </w:pPr>
    </w:p>
    <w:p w14:paraId="1DEAB419" w14:textId="26FCB23A" w:rsidR="006D7DEE" w:rsidRDefault="006D7DEE">
      <w:pPr>
        <w:jc w:val="center"/>
      </w:pPr>
    </w:p>
    <w:sectPr w:rsidR="006D7DEE" w:rsidSect="004D351B">
      <w:headerReference w:type="default" r:id="rId16"/>
      <w:footerReference w:type="first" r:id="rId1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4138" w14:textId="77777777" w:rsidR="004D351B" w:rsidRDefault="004D351B">
      <w:r>
        <w:separator/>
      </w:r>
    </w:p>
  </w:endnote>
  <w:endnote w:type="continuationSeparator" w:id="0">
    <w:p w14:paraId="2E167635" w14:textId="77777777" w:rsidR="004D351B" w:rsidRDefault="004D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4D5D" w14:textId="735D4C5B" w:rsidR="0014464D" w:rsidRPr="00D834E7" w:rsidRDefault="0014464D" w:rsidP="00FC416A">
    <w:pPr>
      <w:pStyle w:val="FirstFooter"/>
      <w:ind w:left="-397" w:right="-397"/>
      <w:jc w:val="center"/>
      <w:rPr>
        <w:color w:val="0070C0"/>
        <w:szCs w:val="18"/>
        <w:lang w:val="es-ES"/>
      </w:rPr>
    </w:pPr>
    <w:r w:rsidRPr="00D834E7">
      <w:rPr>
        <w:color w:val="0070C0"/>
        <w:szCs w:val="18"/>
        <w:lang w:val="es-ES"/>
      </w:rPr>
      <w:t>Unión Internacional de Telecomunicaciones • Place des Nations, CH</w:t>
    </w:r>
    <w:r w:rsidRPr="00D834E7">
      <w:rPr>
        <w:color w:val="0070C0"/>
        <w:szCs w:val="18"/>
        <w:lang w:val="es-ES"/>
      </w:rPr>
      <w:noBreakHyphen/>
      <w:t xml:space="preserve">1211 Ginebra 20, Suiza </w:t>
    </w:r>
    <w:r w:rsidRPr="00D834E7">
      <w:rPr>
        <w:color w:val="0070C0"/>
        <w:szCs w:val="18"/>
        <w:lang w:val="es-ES"/>
      </w:rPr>
      <w:br/>
      <w:t>Tel</w:t>
    </w:r>
    <w:r w:rsidR="00DE6400">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r w:rsidRPr="00D834E7">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5649" w14:textId="77777777" w:rsidR="004D351B" w:rsidRDefault="004D351B">
      <w:r>
        <w:t>____________________</w:t>
      </w:r>
    </w:p>
  </w:footnote>
  <w:footnote w:type="continuationSeparator" w:id="0">
    <w:p w14:paraId="558FC964" w14:textId="77777777" w:rsidR="004D351B" w:rsidRDefault="004D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7322" w14:textId="596CCA62"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r w:rsidR="007115AF">
      <w:rPr>
        <w:sz w:val="18"/>
        <w:szCs w:val="18"/>
      </w:rPr>
      <w:br/>
    </w:r>
    <w:r w:rsidR="007115AF" w:rsidRPr="007115AF">
      <w:rPr>
        <w:sz w:val="18"/>
        <w:szCs w:val="18"/>
      </w:rPr>
      <w:t>Circular TSB 16</w:t>
    </w:r>
    <w:r w:rsidR="006D7DEE">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C4"/>
    <w:rsid w:val="00002529"/>
    <w:rsid w:val="000355AB"/>
    <w:rsid w:val="00053DF2"/>
    <w:rsid w:val="00071AA1"/>
    <w:rsid w:val="00085662"/>
    <w:rsid w:val="000C382F"/>
    <w:rsid w:val="001173CC"/>
    <w:rsid w:val="001350B9"/>
    <w:rsid w:val="0014464D"/>
    <w:rsid w:val="001A54CC"/>
    <w:rsid w:val="001F17BE"/>
    <w:rsid w:val="00257FB4"/>
    <w:rsid w:val="002E496E"/>
    <w:rsid w:val="00303D62"/>
    <w:rsid w:val="003119C4"/>
    <w:rsid w:val="00335367"/>
    <w:rsid w:val="00336F85"/>
    <w:rsid w:val="00370C2D"/>
    <w:rsid w:val="003D1E8D"/>
    <w:rsid w:val="003D673B"/>
    <w:rsid w:val="003F2855"/>
    <w:rsid w:val="00401C20"/>
    <w:rsid w:val="004A7957"/>
    <w:rsid w:val="004C4144"/>
    <w:rsid w:val="004C6135"/>
    <w:rsid w:val="004D351B"/>
    <w:rsid w:val="00535999"/>
    <w:rsid w:val="0055719E"/>
    <w:rsid w:val="005B6A15"/>
    <w:rsid w:val="005D31FC"/>
    <w:rsid w:val="00664D4E"/>
    <w:rsid w:val="00691A72"/>
    <w:rsid w:val="006969B4"/>
    <w:rsid w:val="006D7DEE"/>
    <w:rsid w:val="006E4F7B"/>
    <w:rsid w:val="007115AF"/>
    <w:rsid w:val="00781E2A"/>
    <w:rsid w:val="007933A2"/>
    <w:rsid w:val="00797FC6"/>
    <w:rsid w:val="007B6316"/>
    <w:rsid w:val="007D24EB"/>
    <w:rsid w:val="00814503"/>
    <w:rsid w:val="008258C2"/>
    <w:rsid w:val="008505BD"/>
    <w:rsid w:val="00850C78"/>
    <w:rsid w:val="00876165"/>
    <w:rsid w:val="00884D12"/>
    <w:rsid w:val="008C17AD"/>
    <w:rsid w:val="008D02CD"/>
    <w:rsid w:val="0091370C"/>
    <w:rsid w:val="00941221"/>
    <w:rsid w:val="0095172A"/>
    <w:rsid w:val="009567D8"/>
    <w:rsid w:val="009A0BA0"/>
    <w:rsid w:val="009C0632"/>
    <w:rsid w:val="00A0486D"/>
    <w:rsid w:val="00A54E47"/>
    <w:rsid w:val="00AB6E3A"/>
    <w:rsid w:val="00AE7093"/>
    <w:rsid w:val="00B27F34"/>
    <w:rsid w:val="00B422BC"/>
    <w:rsid w:val="00B43F77"/>
    <w:rsid w:val="00B55A3E"/>
    <w:rsid w:val="00B87E9E"/>
    <w:rsid w:val="00B95F0A"/>
    <w:rsid w:val="00B96180"/>
    <w:rsid w:val="00C116FE"/>
    <w:rsid w:val="00C17AC0"/>
    <w:rsid w:val="00C34772"/>
    <w:rsid w:val="00C524DA"/>
    <w:rsid w:val="00C5465A"/>
    <w:rsid w:val="00C953CC"/>
    <w:rsid w:val="00CC397A"/>
    <w:rsid w:val="00CE10A4"/>
    <w:rsid w:val="00D54642"/>
    <w:rsid w:val="00D834E7"/>
    <w:rsid w:val="00DD77C9"/>
    <w:rsid w:val="00DE6400"/>
    <w:rsid w:val="00DF3538"/>
    <w:rsid w:val="00E839B0"/>
    <w:rsid w:val="00E92C09"/>
    <w:rsid w:val="00EF73AA"/>
    <w:rsid w:val="00F14380"/>
    <w:rsid w:val="00F47BBB"/>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EDD0B"/>
  <w15:docId w15:val="{E1914C38-9639-409F-BA3D-5F264D4C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styleId="TableGrid">
    <w:name w:val="Table Grid"/>
    <w:basedOn w:val="TableNormal"/>
    <w:rsid w:val="005B6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6A15"/>
    <w:rPr>
      <w:color w:val="605E5C"/>
      <w:shd w:val="clear" w:color="auto" w:fill="E1DFDD"/>
    </w:rPr>
  </w:style>
  <w:style w:type="paragraph" w:styleId="Revision">
    <w:name w:val="Revision"/>
    <w:hidden/>
    <w:uiPriority w:val="99"/>
    <w:semiHidden/>
    <w:rsid w:val="00C524DA"/>
    <w:rPr>
      <w:rFonts w:asciiTheme="minorHAnsi" w:hAnsiTheme="minorHAnsi"/>
      <w:sz w:val="24"/>
      <w:lang w:val="es-ES_tradnl" w:eastAsia="en-US"/>
    </w:rPr>
  </w:style>
  <w:style w:type="paragraph" w:customStyle="1" w:styleId="Reasons">
    <w:name w:val="Reasons"/>
    <w:basedOn w:val="Normal"/>
    <w:qFormat/>
    <w:rsid w:val="006D7DE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events@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o.polidori@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c.itu.in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itu.int/go/c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events@itu.int" TargetMode="External"/><Relationship Id="rId14" Type="http://schemas.openxmlformats.org/officeDocument/2006/relationships/hyperlink" Target="https://fnc.itu.int/engag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62</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8381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Spanish83</dc:creator>
  <cp:lastModifiedBy>Braud, Olivia</cp:lastModifiedBy>
  <cp:revision>13</cp:revision>
  <cp:lastPrinted>2024-01-30T12:09:00Z</cp:lastPrinted>
  <dcterms:created xsi:type="dcterms:W3CDTF">2023-12-14T21:46:00Z</dcterms:created>
  <dcterms:modified xsi:type="dcterms:W3CDTF">2024-01-30T12:10:00Z</dcterms:modified>
</cp:coreProperties>
</file>