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32DC8F01" w14:textId="77777777" w:rsidTr="003C2262">
        <w:trPr>
          <w:trHeight w:hRule="exact" w:val="1418"/>
        </w:trPr>
        <w:tc>
          <w:tcPr>
            <w:tcW w:w="1428" w:type="dxa"/>
            <w:gridSpan w:val="2"/>
          </w:tcPr>
          <w:p w14:paraId="1E89F5CC" w14:textId="560A9A93" w:rsidR="00AA662C" w:rsidRPr="00F06651" w:rsidRDefault="00AA662C" w:rsidP="00F75135">
            <w:pPr>
              <w:rPr>
                <w:b/>
                <w:sz w:val="16"/>
              </w:rPr>
            </w:pPr>
            <w:bookmarkStart w:id="0" w:name="_Toc400020851"/>
            <w:bookmarkStart w:id="1" w:name="_Toc400106136"/>
            <w:bookmarkStart w:id="2" w:name="_Toc417909865"/>
            <w:r w:rsidRPr="00F06651">
              <w:rPr>
                <w:noProof/>
                <w:lang w:eastAsia="en-GB"/>
              </w:rPr>
              <w:drawing>
                <wp:anchor distT="0" distB="0" distL="114300" distR="114300" simplePos="0" relativeHeight="251616768" behindDoc="0" locked="0" layoutInCell="0" allowOverlap="1" wp14:anchorId="3F3619BD" wp14:editId="1986348A">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Start w:id="3" w:name="_GoBack"/>
            <w:bookmarkEnd w:id="0"/>
            <w:bookmarkEnd w:id="1"/>
            <w:bookmarkEnd w:id="2"/>
            <w:bookmarkEnd w:id="3"/>
          </w:p>
        </w:tc>
        <w:tc>
          <w:tcPr>
            <w:tcW w:w="8520" w:type="dxa"/>
            <w:gridSpan w:val="3"/>
          </w:tcPr>
          <w:p w14:paraId="2DA75F03" w14:textId="77777777" w:rsidR="00AA662C" w:rsidRPr="00F06651" w:rsidRDefault="00AA662C" w:rsidP="003C2262">
            <w:pPr>
              <w:spacing w:before="0"/>
              <w:rPr>
                <w:rFonts w:ascii="Arial" w:hAnsi="Arial" w:cs="Arial"/>
              </w:rPr>
            </w:pPr>
          </w:p>
          <w:p w14:paraId="08F4D002"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3B3BA95F" w14:textId="77777777" w:rsidTr="003C2262">
        <w:trPr>
          <w:trHeight w:hRule="exact" w:val="992"/>
        </w:trPr>
        <w:tc>
          <w:tcPr>
            <w:tcW w:w="1428" w:type="dxa"/>
            <w:gridSpan w:val="2"/>
          </w:tcPr>
          <w:p w14:paraId="5266EEA2" w14:textId="71026E19" w:rsidR="00AA662C" w:rsidRPr="00F06651" w:rsidRDefault="00AA662C" w:rsidP="003C2262">
            <w:pPr>
              <w:spacing w:before="0"/>
            </w:pPr>
          </w:p>
        </w:tc>
        <w:tc>
          <w:tcPr>
            <w:tcW w:w="8520" w:type="dxa"/>
            <w:gridSpan w:val="3"/>
          </w:tcPr>
          <w:p w14:paraId="51DD8B73" w14:textId="77777777" w:rsidR="00AA662C" w:rsidRPr="00F06651" w:rsidRDefault="00AA662C" w:rsidP="003C2262"/>
        </w:tc>
      </w:tr>
      <w:tr w:rsidR="00AA662C" w:rsidRPr="00F06651" w14:paraId="023F5B02" w14:textId="77777777" w:rsidTr="003C2262">
        <w:tblPrEx>
          <w:tblCellMar>
            <w:left w:w="85" w:type="dxa"/>
            <w:right w:w="85" w:type="dxa"/>
          </w:tblCellMar>
        </w:tblPrEx>
        <w:trPr>
          <w:gridBefore w:val="2"/>
          <w:wBefore w:w="1428" w:type="dxa"/>
        </w:trPr>
        <w:tc>
          <w:tcPr>
            <w:tcW w:w="2520" w:type="dxa"/>
          </w:tcPr>
          <w:p w14:paraId="7ADD7F3E" w14:textId="77777777" w:rsidR="00AA662C" w:rsidRPr="00F06651" w:rsidRDefault="00AA662C" w:rsidP="003C2262">
            <w:pPr>
              <w:rPr>
                <w:b/>
                <w:sz w:val="18"/>
              </w:rPr>
            </w:pPr>
            <w:bookmarkStart w:id="4" w:name="dnume" w:colFirst="1" w:colLast="1"/>
            <w:r w:rsidRPr="00F06651">
              <w:rPr>
                <w:rFonts w:ascii="Arial" w:hAnsi="Arial"/>
                <w:b/>
                <w:spacing w:val="40"/>
                <w:sz w:val="72"/>
              </w:rPr>
              <w:t>ITU-T</w:t>
            </w:r>
          </w:p>
        </w:tc>
        <w:tc>
          <w:tcPr>
            <w:tcW w:w="6000" w:type="dxa"/>
            <w:gridSpan w:val="2"/>
          </w:tcPr>
          <w:p w14:paraId="1E6776A5" w14:textId="3CF0569B" w:rsidR="00AA662C" w:rsidRPr="00F06651" w:rsidRDefault="000B3EEB" w:rsidP="00AC5D3D">
            <w:pPr>
              <w:spacing w:before="240"/>
              <w:jc w:val="right"/>
              <w:rPr>
                <w:rFonts w:ascii="Arial" w:hAnsi="Arial" w:cs="Arial"/>
                <w:b/>
                <w:sz w:val="60"/>
              </w:rPr>
            </w:pPr>
            <w:r w:rsidRPr="000A6F83">
              <w:rPr>
                <w:rFonts w:ascii="Arial" w:hAnsi="Arial" w:cs="Arial"/>
                <w:b/>
                <w:sz w:val="52"/>
              </w:rPr>
              <w:t xml:space="preserve">Technical </w:t>
            </w:r>
            <w:r>
              <w:rPr>
                <w:rFonts w:ascii="Arial" w:hAnsi="Arial" w:cs="Arial"/>
                <w:b/>
                <w:sz w:val="52"/>
              </w:rPr>
              <w:t>Specification</w:t>
            </w:r>
          </w:p>
        </w:tc>
      </w:tr>
      <w:tr w:rsidR="00AA662C" w:rsidRPr="00F06651" w14:paraId="7E5A6319" w14:textId="77777777" w:rsidTr="004C37E7">
        <w:tblPrEx>
          <w:tblCellMar>
            <w:left w:w="85" w:type="dxa"/>
            <w:right w:w="85" w:type="dxa"/>
          </w:tblCellMar>
        </w:tblPrEx>
        <w:trPr>
          <w:gridBefore w:val="2"/>
          <w:wBefore w:w="1428" w:type="dxa"/>
          <w:trHeight w:val="974"/>
        </w:trPr>
        <w:tc>
          <w:tcPr>
            <w:tcW w:w="3642" w:type="dxa"/>
            <w:gridSpan w:val="2"/>
          </w:tcPr>
          <w:p w14:paraId="5392FEA4" w14:textId="77777777" w:rsidR="00AA662C" w:rsidRPr="00F06651" w:rsidRDefault="004C37E7" w:rsidP="004C37E7">
            <w:pPr>
              <w:rPr>
                <w:b/>
              </w:rPr>
            </w:pPr>
            <w:bookmarkStart w:id="5" w:name="ddatee" w:colFirst="1" w:colLast="1"/>
            <w:bookmarkEnd w:id="4"/>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493FCC25" w14:textId="77777777" w:rsidR="00AA662C" w:rsidRPr="00F06651" w:rsidRDefault="00AA662C" w:rsidP="003C2262">
            <w:pPr>
              <w:spacing w:before="0"/>
              <w:jc w:val="right"/>
              <w:rPr>
                <w:rFonts w:ascii="Arial" w:hAnsi="Arial" w:cs="Arial"/>
                <w:sz w:val="28"/>
              </w:rPr>
            </w:pPr>
          </w:p>
          <w:p w14:paraId="2F878DDF" w14:textId="5A722CF3" w:rsidR="00AA662C" w:rsidRPr="00F06651" w:rsidRDefault="00AA662C" w:rsidP="00AC5D3D">
            <w:pPr>
              <w:spacing w:before="0"/>
              <w:jc w:val="right"/>
              <w:rPr>
                <w:rFonts w:ascii="Arial" w:hAnsi="Arial" w:cs="Arial"/>
                <w:sz w:val="28"/>
              </w:rPr>
            </w:pPr>
            <w:r w:rsidRPr="00F06651">
              <w:rPr>
                <w:rFonts w:ascii="Arial" w:hAnsi="Arial" w:cs="Arial"/>
                <w:sz w:val="28"/>
              </w:rPr>
              <w:t>(</w:t>
            </w:r>
            <w:r w:rsidR="008C279E">
              <w:rPr>
                <w:rFonts w:ascii="Arial" w:hAnsi="Arial" w:cs="Arial"/>
                <w:sz w:val="28"/>
              </w:rPr>
              <w:t>19 July 2019</w:t>
            </w:r>
            <w:r w:rsidRPr="00F06651">
              <w:rPr>
                <w:rFonts w:ascii="Arial" w:hAnsi="Arial" w:cs="Arial"/>
                <w:sz w:val="28"/>
              </w:rPr>
              <w:t>)</w:t>
            </w:r>
            <w:r w:rsidR="0049069D">
              <w:rPr>
                <w:rFonts w:ascii="Arial" w:hAnsi="Arial" w:cs="Arial"/>
                <w:sz w:val="28"/>
              </w:rPr>
              <w:t xml:space="preserve"> </w:t>
            </w:r>
          </w:p>
        </w:tc>
      </w:tr>
      <w:tr w:rsidR="00AA662C" w:rsidRPr="00F06651" w14:paraId="7914B6B3" w14:textId="77777777" w:rsidTr="003C2262">
        <w:trPr>
          <w:cantSplit/>
          <w:trHeight w:hRule="exact" w:val="3402"/>
        </w:trPr>
        <w:tc>
          <w:tcPr>
            <w:tcW w:w="1418" w:type="dxa"/>
          </w:tcPr>
          <w:p w14:paraId="6C98B409" w14:textId="06578706" w:rsidR="00AA662C" w:rsidRPr="00F06651" w:rsidRDefault="00AA662C" w:rsidP="003C2262">
            <w:pPr>
              <w:tabs>
                <w:tab w:val="right" w:pos="9639"/>
              </w:tabs>
              <w:rPr>
                <w:rFonts w:ascii="Arial" w:hAnsi="Arial"/>
                <w:sz w:val="18"/>
              </w:rPr>
            </w:pPr>
            <w:bookmarkStart w:id="6" w:name="dsece" w:colFirst="1" w:colLast="1"/>
            <w:bookmarkEnd w:id="5"/>
          </w:p>
        </w:tc>
        <w:tc>
          <w:tcPr>
            <w:tcW w:w="8530" w:type="dxa"/>
            <w:gridSpan w:val="4"/>
            <w:tcBorders>
              <w:bottom w:val="single" w:sz="12" w:space="0" w:color="auto"/>
            </w:tcBorders>
            <w:vAlign w:val="bottom"/>
          </w:tcPr>
          <w:p w14:paraId="433FD7D0" w14:textId="2B974077" w:rsidR="00AC5D3D" w:rsidRPr="00F06651" w:rsidRDefault="00AC5D3D" w:rsidP="00AC5D3D">
            <w:pPr>
              <w:tabs>
                <w:tab w:val="right" w:pos="9639"/>
              </w:tabs>
              <w:rPr>
                <w:rFonts w:ascii="Arial" w:hAnsi="Arial" w:cs="Arial"/>
                <w:sz w:val="32"/>
              </w:rPr>
            </w:pPr>
            <w:r w:rsidRPr="00F06651">
              <w:rPr>
                <w:rFonts w:ascii="Arial" w:hAnsi="Arial" w:cs="Arial"/>
                <w:sz w:val="32"/>
              </w:rPr>
              <w:t xml:space="preserve">ITU-T Focus Group on </w:t>
            </w:r>
            <w:r w:rsidRPr="002D1CF8">
              <w:rPr>
                <w:rFonts w:ascii="Arial" w:hAnsi="Arial" w:cs="Arial"/>
                <w:sz w:val="32"/>
              </w:rPr>
              <w:t>Data Processing and Management to support IoT and Smart Cities &amp; Communities</w:t>
            </w:r>
          </w:p>
          <w:p w14:paraId="5989086A" w14:textId="77777777" w:rsidR="00AA662C" w:rsidRPr="00F06651" w:rsidRDefault="00AA662C" w:rsidP="003C2262">
            <w:pPr>
              <w:tabs>
                <w:tab w:val="right" w:pos="9639"/>
              </w:tabs>
              <w:rPr>
                <w:rFonts w:ascii="Arial" w:hAnsi="Arial" w:cs="Arial"/>
                <w:sz w:val="32"/>
              </w:rPr>
            </w:pPr>
          </w:p>
        </w:tc>
      </w:tr>
      <w:tr w:rsidR="00AA662C" w:rsidRPr="00F06651" w14:paraId="1D609AE4" w14:textId="77777777" w:rsidTr="003C2262">
        <w:trPr>
          <w:cantSplit/>
          <w:trHeight w:hRule="exact" w:val="4536"/>
        </w:trPr>
        <w:tc>
          <w:tcPr>
            <w:tcW w:w="1418" w:type="dxa"/>
          </w:tcPr>
          <w:p w14:paraId="2AB1FC52" w14:textId="27BBB758" w:rsidR="00AA662C" w:rsidRPr="00F06651" w:rsidRDefault="00AA662C" w:rsidP="003C2262">
            <w:pPr>
              <w:tabs>
                <w:tab w:val="right" w:pos="9639"/>
              </w:tabs>
              <w:rPr>
                <w:rFonts w:ascii="Arial" w:hAnsi="Arial"/>
                <w:sz w:val="18"/>
              </w:rPr>
            </w:pPr>
            <w:bookmarkStart w:id="7" w:name="c1tite" w:colFirst="1" w:colLast="1"/>
            <w:bookmarkEnd w:id="6"/>
          </w:p>
        </w:tc>
        <w:tc>
          <w:tcPr>
            <w:tcW w:w="8530" w:type="dxa"/>
            <w:gridSpan w:val="4"/>
          </w:tcPr>
          <w:p w14:paraId="7235A021" w14:textId="144719EB" w:rsidR="008C279E" w:rsidRDefault="00657559" w:rsidP="00116DCF">
            <w:pPr>
              <w:tabs>
                <w:tab w:val="right" w:pos="9639"/>
              </w:tabs>
              <w:rPr>
                <w:rFonts w:ascii="Arial" w:hAnsi="Arial" w:cs="Arial"/>
                <w:b/>
                <w:sz w:val="36"/>
                <w:szCs w:val="36"/>
              </w:rPr>
            </w:pPr>
            <w:r w:rsidRPr="009429F0">
              <w:rPr>
                <w:rFonts w:ascii="Arial" w:hAnsi="Arial" w:cs="Arial"/>
                <w:b/>
                <w:sz w:val="36"/>
                <w:szCs w:val="36"/>
                <w:lang w:eastAsia="zh-CN"/>
              </w:rPr>
              <w:t xml:space="preserve">Technical Specification </w:t>
            </w:r>
            <w:r>
              <w:rPr>
                <w:rFonts w:ascii="Arial" w:hAnsi="Arial" w:cs="Arial"/>
                <w:b/>
                <w:sz w:val="36"/>
                <w:szCs w:val="36"/>
                <w:lang w:eastAsia="zh-CN"/>
              </w:rPr>
              <w:t>D2.1</w:t>
            </w:r>
          </w:p>
          <w:p w14:paraId="0929A30B" w14:textId="6CEA901F" w:rsidR="00AA662C" w:rsidRPr="00F06651" w:rsidRDefault="00DD0F31" w:rsidP="00657559">
            <w:pPr>
              <w:tabs>
                <w:tab w:val="right" w:pos="9639"/>
              </w:tabs>
              <w:rPr>
                <w:rFonts w:ascii="Arial" w:hAnsi="Arial"/>
                <w:b/>
                <w:bCs/>
                <w:sz w:val="36"/>
              </w:rPr>
            </w:pPr>
            <w:r w:rsidRPr="00DD0F31">
              <w:rPr>
                <w:rFonts w:ascii="Arial" w:hAnsi="Arial" w:cs="Arial"/>
                <w:b/>
                <w:sz w:val="36"/>
                <w:szCs w:val="36"/>
              </w:rPr>
              <w:t xml:space="preserve">Data </w:t>
            </w:r>
            <w:r w:rsidR="00DF4DA5">
              <w:rPr>
                <w:rFonts w:ascii="Arial" w:hAnsi="Arial" w:cs="Arial"/>
                <w:b/>
                <w:sz w:val="36"/>
                <w:szCs w:val="36"/>
              </w:rPr>
              <w:t>p</w:t>
            </w:r>
            <w:r w:rsidRPr="00DD0F31">
              <w:rPr>
                <w:rFonts w:ascii="Arial" w:hAnsi="Arial" w:cs="Arial"/>
                <w:b/>
                <w:sz w:val="36"/>
                <w:szCs w:val="36"/>
              </w:rPr>
              <w:t xml:space="preserve">rocessing and </w:t>
            </w:r>
            <w:r w:rsidR="00DF4DA5">
              <w:rPr>
                <w:rFonts w:ascii="Arial" w:hAnsi="Arial" w:cs="Arial"/>
                <w:b/>
                <w:sz w:val="36"/>
                <w:szCs w:val="36"/>
              </w:rPr>
              <w:t>m</w:t>
            </w:r>
            <w:r w:rsidRPr="00DD0F31">
              <w:rPr>
                <w:rFonts w:ascii="Arial" w:hAnsi="Arial" w:cs="Arial"/>
                <w:b/>
                <w:sz w:val="36"/>
                <w:szCs w:val="36"/>
              </w:rPr>
              <w:t xml:space="preserve">anagement </w:t>
            </w:r>
            <w:r w:rsidR="00DF4DA5">
              <w:rPr>
                <w:rFonts w:ascii="Arial" w:hAnsi="Arial" w:cs="Arial"/>
                <w:b/>
                <w:sz w:val="36"/>
                <w:szCs w:val="36"/>
              </w:rPr>
              <w:t>f</w:t>
            </w:r>
            <w:r w:rsidRPr="00DD0F31">
              <w:rPr>
                <w:rFonts w:ascii="Arial" w:hAnsi="Arial" w:cs="Arial"/>
                <w:b/>
                <w:sz w:val="36"/>
                <w:szCs w:val="36"/>
              </w:rPr>
              <w:t xml:space="preserve">ramework for IoT and </w:t>
            </w:r>
            <w:r w:rsidR="00726A32">
              <w:rPr>
                <w:rFonts w:ascii="Arial" w:hAnsi="Arial" w:cs="Arial"/>
                <w:b/>
                <w:sz w:val="36"/>
                <w:szCs w:val="36"/>
              </w:rPr>
              <w:t>s</w:t>
            </w:r>
            <w:r w:rsidRPr="00DD0F31">
              <w:rPr>
                <w:rFonts w:ascii="Arial" w:hAnsi="Arial" w:cs="Arial"/>
                <w:b/>
                <w:sz w:val="36"/>
                <w:szCs w:val="36"/>
              </w:rPr>
              <w:t xml:space="preserve">mart </w:t>
            </w:r>
            <w:r w:rsidR="00726A32">
              <w:rPr>
                <w:rFonts w:ascii="Arial" w:hAnsi="Arial" w:cs="Arial"/>
                <w:b/>
                <w:sz w:val="36"/>
                <w:szCs w:val="36"/>
              </w:rPr>
              <w:t>c</w:t>
            </w:r>
            <w:r w:rsidRPr="00DD0F31">
              <w:rPr>
                <w:rFonts w:ascii="Arial" w:hAnsi="Arial" w:cs="Arial"/>
                <w:b/>
                <w:sz w:val="36"/>
                <w:szCs w:val="36"/>
              </w:rPr>
              <w:t xml:space="preserve">ities and </w:t>
            </w:r>
            <w:r w:rsidR="00726A32">
              <w:rPr>
                <w:rFonts w:ascii="Arial" w:hAnsi="Arial" w:cs="Arial"/>
                <w:b/>
                <w:sz w:val="36"/>
                <w:szCs w:val="36"/>
              </w:rPr>
              <w:t>c</w:t>
            </w:r>
            <w:r w:rsidRPr="00DD0F31">
              <w:rPr>
                <w:rFonts w:ascii="Arial" w:hAnsi="Arial" w:cs="Arial"/>
                <w:b/>
                <w:sz w:val="36"/>
                <w:szCs w:val="36"/>
              </w:rPr>
              <w:t>ommunities</w:t>
            </w:r>
          </w:p>
        </w:tc>
      </w:tr>
      <w:bookmarkEnd w:id="7"/>
      <w:tr w:rsidR="00AA662C" w:rsidRPr="00F06651" w14:paraId="333FE0C6" w14:textId="77777777" w:rsidTr="003C2262">
        <w:trPr>
          <w:cantSplit/>
          <w:trHeight w:hRule="exact" w:val="1418"/>
        </w:trPr>
        <w:tc>
          <w:tcPr>
            <w:tcW w:w="1418" w:type="dxa"/>
          </w:tcPr>
          <w:p w14:paraId="1E22D1A8" w14:textId="77777777" w:rsidR="00AA662C" w:rsidRPr="00F06651" w:rsidRDefault="00AA662C" w:rsidP="003C2262">
            <w:pPr>
              <w:tabs>
                <w:tab w:val="right" w:pos="9639"/>
              </w:tabs>
              <w:rPr>
                <w:rFonts w:ascii="Arial" w:hAnsi="Arial"/>
                <w:sz w:val="18"/>
              </w:rPr>
            </w:pPr>
          </w:p>
        </w:tc>
        <w:tc>
          <w:tcPr>
            <w:tcW w:w="8530" w:type="dxa"/>
            <w:gridSpan w:val="4"/>
            <w:vAlign w:val="bottom"/>
          </w:tcPr>
          <w:p w14:paraId="64192225" w14:textId="77777777" w:rsidR="00AA662C" w:rsidRPr="00F06651" w:rsidRDefault="00AA662C" w:rsidP="00BF3779">
            <w:pPr>
              <w:tabs>
                <w:tab w:val="right" w:pos="9639"/>
              </w:tabs>
              <w:spacing w:before="60" w:after="240"/>
              <w:rPr>
                <w:rFonts w:ascii="Arial" w:hAnsi="Arial" w:cs="Arial"/>
                <w:sz w:val="32"/>
              </w:rPr>
            </w:pPr>
            <w:bookmarkStart w:id="8" w:name="dnum2e"/>
            <w:bookmarkEnd w:id="8"/>
          </w:p>
        </w:tc>
      </w:tr>
    </w:tbl>
    <w:p w14:paraId="349EE505" w14:textId="406C8236"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eastAsia="en-GB"/>
        </w:rPr>
        <w:drawing>
          <wp:inline distT="0" distB="0" distL="0" distR="0" wp14:anchorId="4C9A538B" wp14:editId="1DCC2E75">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7C786ED2" w14:textId="77777777" w:rsidR="00164EB8" w:rsidRDefault="00164EB8" w:rsidP="00AA662C">
      <w:pPr>
        <w:spacing w:before="480"/>
        <w:jc w:val="center"/>
        <w:rPr>
          <w:sz w:val="22"/>
        </w:rPr>
        <w:sectPr w:rsidR="00164EB8" w:rsidSect="00164EB8">
          <w:headerReference w:type="even" r:id="rId13"/>
          <w:headerReference w:type="default" r:id="rId14"/>
          <w:type w:val="oddPage"/>
          <w:pgSz w:w="11907" w:h="16840" w:code="9"/>
          <w:pgMar w:top="1134" w:right="1418" w:bottom="709" w:left="1418" w:header="720" w:footer="720" w:gutter="0"/>
          <w:cols w:space="720"/>
          <w:titlePg/>
          <w:docGrid w:linePitch="326"/>
        </w:sectPr>
      </w:pPr>
    </w:p>
    <w:p w14:paraId="6E7442A4" w14:textId="66EF1152" w:rsidR="00AA662C" w:rsidRPr="00F06651" w:rsidRDefault="00AA662C" w:rsidP="00AA662C">
      <w:pPr>
        <w:spacing w:before="480"/>
        <w:jc w:val="center"/>
        <w:rPr>
          <w:sz w:val="22"/>
        </w:rPr>
      </w:pPr>
      <w:r w:rsidRPr="00F06651">
        <w:rPr>
          <w:sz w:val="22"/>
        </w:rPr>
        <w:lastRenderedPageBreak/>
        <w:t>FOREWORD</w:t>
      </w:r>
    </w:p>
    <w:p w14:paraId="2BE2F711" w14:textId="77777777" w:rsidR="007D29B1" w:rsidRPr="00F06651" w:rsidRDefault="007D29B1" w:rsidP="007D29B1">
      <w:pPr>
        <w:rPr>
          <w:sz w:val="22"/>
        </w:rPr>
      </w:pPr>
      <w:r w:rsidRPr="00F06651">
        <w:rPr>
          <w:sz w:val="22"/>
        </w:rPr>
        <w:t xml:space="preserve">The International Telecommunication Union (ITU) is the United Nations specialized </w:t>
      </w:r>
      <w:r>
        <w:rPr>
          <w:sz w:val="22"/>
        </w:rPr>
        <w:t>agency in the field of telecommunica</w:t>
      </w:r>
      <w:r w:rsidRPr="00F06651">
        <w:rPr>
          <w:sz w:val="22"/>
        </w:rPr>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3D2D1720" w14:textId="77777777" w:rsidR="007D29B1" w:rsidRPr="00F06651" w:rsidRDefault="007D29B1" w:rsidP="007D29B1">
      <w:pPr>
        <w:rPr>
          <w:sz w:val="22"/>
        </w:rPr>
      </w:pPr>
      <w:r w:rsidRPr="00F06651">
        <w:rPr>
          <w:sz w:val="22"/>
        </w:rPr>
        <w:t>The procedures for establishment of focus groups are defined in Recommendatio</w:t>
      </w:r>
      <w:r>
        <w:rPr>
          <w:sz w:val="22"/>
        </w:rPr>
        <w:t>n ITU-T A.7. ITU-T Study Group 20</w:t>
      </w:r>
      <w:r w:rsidRPr="00F06651">
        <w:rPr>
          <w:sz w:val="22"/>
        </w:rPr>
        <w:t xml:space="preserve"> </w:t>
      </w:r>
      <w:r>
        <w:rPr>
          <w:sz w:val="22"/>
        </w:rPr>
        <w:t xml:space="preserve">set up the </w:t>
      </w:r>
      <w:r w:rsidRPr="00F06651">
        <w:rPr>
          <w:sz w:val="22"/>
        </w:rPr>
        <w:t xml:space="preserve">ITU-T Focus Group on </w:t>
      </w:r>
      <w:r w:rsidRPr="002D1CF8">
        <w:rPr>
          <w:sz w:val="22"/>
        </w:rPr>
        <w:t xml:space="preserve">Data Processing and Management to support IoT and Smart Cities &amp; Communities </w:t>
      </w:r>
      <w:r w:rsidRPr="00F06651">
        <w:rPr>
          <w:sz w:val="22"/>
        </w:rPr>
        <w:t>(FG</w:t>
      </w:r>
      <w:r>
        <w:rPr>
          <w:sz w:val="22"/>
        </w:rPr>
        <w:t>-DPM</w:t>
      </w:r>
      <w:r w:rsidRPr="00F06651">
        <w:rPr>
          <w:sz w:val="22"/>
        </w:rPr>
        <w:t xml:space="preserve">) at its meeting in </w:t>
      </w:r>
      <w:r>
        <w:rPr>
          <w:sz w:val="22"/>
        </w:rPr>
        <w:t>March</w:t>
      </w:r>
      <w:r w:rsidRPr="00F06651">
        <w:rPr>
          <w:sz w:val="22"/>
        </w:rPr>
        <w:t xml:space="preserve"> 201</w:t>
      </w:r>
      <w:r>
        <w:rPr>
          <w:sz w:val="22"/>
        </w:rPr>
        <w:t>7</w:t>
      </w:r>
      <w:r w:rsidRPr="00F06651">
        <w:rPr>
          <w:sz w:val="22"/>
        </w:rPr>
        <w:t xml:space="preserve">. ITU-T Study Group </w:t>
      </w:r>
      <w:r>
        <w:rPr>
          <w:sz w:val="22"/>
        </w:rPr>
        <w:t>20</w:t>
      </w:r>
      <w:r w:rsidRPr="00F06651">
        <w:rPr>
          <w:sz w:val="22"/>
        </w:rPr>
        <w:t xml:space="preserve"> is the parent group of FG</w:t>
      </w:r>
      <w:r>
        <w:rPr>
          <w:sz w:val="22"/>
        </w:rPr>
        <w:noBreakHyphen/>
        <w:t>DPM</w:t>
      </w:r>
      <w:r w:rsidRPr="00F06651">
        <w:rPr>
          <w:sz w:val="22"/>
        </w:rPr>
        <w:t>.</w:t>
      </w:r>
    </w:p>
    <w:p w14:paraId="494ACDF8" w14:textId="39E5B811" w:rsidR="00B82BEC" w:rsidRPr="00F06651" w:rsidRDefault="007D29B1" w:rsidP="007D29B1">
      <w:pPr>
        <w:rPr>
          <w:sz w:val="22"/>
        </w:rPr>
      </w:pPr>
      <w:r w:rsidRPr="00F06651">
        <w:rPr>
          <w:sz w:val="22"/>
        </w:rPr>
        <w:t>Deliverables of focus groups can take the form of technical reports, specifications, etc.</w:t>
      </w:r>
      <w:r>
        <w:rPr>
          <w:sz w:val="22"/>
        </w:rPr>
        <w:t>,</w:t>
      </w:r>
      <w:r w:rsidRPr="00F06651">
        <w:rPr>
          <w:sz w:val="22"/>
        </w:rPr>
        <w:t xml:space="preserve"> and aim to provide material for consideration by the parent group in its standardization activities. Deliverables of focus groups are not ITU-T Recommendations.</w:t>
      </w:r>
    </w:p>
    <w:p w14:paraId="456DA054" w14:textId="77777777" w:rsidR="00B82BEC" w:rsidRPr="00F06651" w:rsidRDefault="00B82BEC" w:rsidP="00B82BEC">
      <w:pPr>
        <w:spacing w:before="7920"/>
        <w:jc w:val="center"/>
        <w:rPr>
          <w:sz w:val="22"/>
        </w:rPr>
      </w:pPr>
      <w:r w:rsidRPr="00F06651">
        <w:rPr>
          <w:sz w:val="22"/>
        </w:rPr>
        <w:sym w:font="Symbol" w:char="F0E3"/>
      </w:r>
      <w:r w:rsidRPr="00F06651">
        <w:rPr>
          <w:sz w:val="22"/>
        </w:rPr>
        <w:t> ITU </w:t>
      </w:r>
      <w:bookmarkStart w:id="9" w:name="iiannee"/>
      <w:bookmarkEnd w:id="9"/>
      <w:r>
        <w:rPr>
          <w:sz w:val="22"/>
        </w:rPr>
        <w:t>2019</w:t>
      </w:r>
    </w:p>
    <w:p w14:paraId="19AC8D83" w14:textId="77777777" w:rsidR="00B82BEC" w:rsidRDefault="00B82BEC" w:rsidP="00B82BEC">
      <w:pPr>
        <w:rPr>
          <w:sz w:val="22"/>
        </w:rPr>
      </w:pPr>
      <w:r w:rsidRPr="00F06651">
        <w:rPr>
          <w:sz w:val="22"/>
        </w:rPr>
        <w:t>All rights reserved. No part of this publication may be reproduced, by any means whatsoever, without the prior written permission of ITU.</w:t>
      </w:r>
    </w:p>
    <w:p w14:paraId="5B099B8A" w14:textId="4B915E3F" w:rsidR="00CE52D6" w:rsidRDefault="00CE52D6">
      <w:pPr>
        <w:tabs>
          <w:tab w:val="clear" w:pos="794"/>
          <w:tab w:val="clear" w:pos="1191"/>
          <w:tab w:val="clear" w:pos="1588"/>
          <w:tab w:val="clear" w:pos="1985"/>
        </w:tabs>
        <w:overflowPunct/>
        <w:autoSpaceDE/>
        <w:autoSpaceDN/>
        <w:adjustRightInd/>
        <w:spacing w:before="0"/>
        <w:jc w:val="left"/>
        <w:textAlignment w:val="auto"/>
      </w:pPr>
      <w:r>
        <w:br w:type="page"/>
      </w:r>
    </w:p>
    <w:p w14:paraId="22D96F7E" w14:textId="67FCFF1F" w:rsidR="00FA3D51" w:rsidRDefault="00FA3D51" w:rsidP="00FA3D51"/>
    <w:p w14:paraId="75D49487" w14:textId="42459069" w:rsidR="006609C3" w:rsidRPr="009429F0" w:rsidRDefault="006609C3" w:rsidP="006609C3">
      <w:pPr>
        <w:pStyle w:val="Rectitle"/>
        <w:spacing w:before="2640"/>
        <w:rPr>
          <w:sz w:val="52"/>
          <w:szCs w:val="52"/>
          <w:lang w:eastAsia="zh-CN"/>
        </w:rPr>
      </w:pPr>
      <w:r w:rsidRPr="009429F0">
        <w:rPr>
          <w:sz w:val="52"/>
          <w:szCs w:val="52"/>
        </w:rPr>
        <w:t xml:space="preserve">Technical Specification </w:t>
      </w:r>
      <w:r>
        <w:rPr>
          <w:sz w:val="52"/>
          <w:szCs w:val="52"/>
        </w:rPr>
        <w:t>D2.1</w:t>
      </w:r>
    </w:p>
    <w:p w14:paraId="7752E850" w14:textId="2DD987B0" w:rsidR="006609C3" w:rsidRPr="000E067A" w:rsidRDefault="006609C3" w:rsidP="006609C3">
      <w:pPr>
        <w:spacing w:before="1320"/>
        <w:jc w:val="center"/>
        <w:rPr>
          <w:b/>
          <w:sz w:val="52"/>
          <w:szCs w:val="52"/>
          <w:lang w:eastAsia="zh-CN"/>
        </w:rPr>
      </w:pPr>
      <w:r w:rsidRPr="00DD0F31">
        <w:rPr>
          <w:b/>
          <w:sz w:val="48"/>
          <w:szCs w:val="48"/>
        </w:rPr>
        <w:t>Data Processing and Management Framework for IoT and Smart Cities and Communities</w:t>
      </w:r>
    </w:p>
    <w:p w14:paraId="6FF9F655" w14:textId="77777777" w:rsidR="007E0528" w:rsidRDefault="007E0528">
      <w:pPr>
        <w:tabs>
          <w:tab w:val="clear" w:pos="794"/>
          <w:tab w:val="clear" w:pos="1191"/>
          <w:tab w:val="clear" w:pos="1588"/>
          <w:tab w:val="clear" w:pos="1985"/>
        </w:tabs>
        <w:overflowPunct/>
        <w:autoSpaceDE/>
        <w:autoSpaceDN/>
        <w:adjustRightInd/>
        <w:spacing w:before="0"/>
        <w:jc w:val="left"/>
        <w:textAlignment w:val="auto"/>
        <w:rPr>
          <w:b/>
          <w:bCs/>
          <w:sz w:val="52"/>
          <w:szCs w:val="52"/>
          <w:lang w:val="en-US" w:eastAsia="ko-KR"/>
        </w:rPr>
      </w:pPr>
      <w:r w:rsidRPr="00DD0F31">
        <w:rPr>
          <w:b/>
          <w:bCs/>
          <w:sz w:val="48"/>
          <w:szCs w:val="48"/>
          <w:lang w:val="en-US" w:eastAsia="ko-KR"/>
        </w:rPr>
        <w:br w:type="page"/>
      </w:r>
    </w:p>
    <w:p w14:paraId="366BFD68" w14:textId="77777777" w:rsidR="00FE0DF2" w:rsidRPr="00F06651" w:rsidRDefault="00FE0DF2" w:rsidP="00FE0DF2">
      <w:pPr>
        <w:pStyle w:val="Headingb"/>
      </w:pPr>
      <w:bookmarkStart w:id="10" w:name="_Toc409783899"/>
      <w:bookmarkStart w:id="11" w:name="_Toc409790198"/>
      <w:r w:rsidRPr="00F06651">
        <w:lastRenderedPageBreak/>
        <w:t>Summary</w:t>
      </w:r>
    </w:p>
    <w:p w14:paraId="67E55672" w14:textId="77777777" w:rsidR="00FE0DF2" w:rsidRPr="00DB60F8" w:rsidRDefault="00FE0DF2" w:rsidP="00FE0DF2">
      <w:r>
        <w:t>This Technical Specification describes the Data Processing and Management Framework organised into five dimensions that are Data lifecycle dimension, trust dimension, data commercialisation, data ecosystem and data governance.</w:t>
      </w:r>
      <w:r w:rsidDel="005C29DF">
        <w:t xml:space="preserve"> </w:t>
      </w:r>
      <w:r>
        <w:t>This framework covers all IoT and Smart Cities and communities applications and services.</w:t>
      </w:r>
    </w:p>
    <w:p w14:paraId="6432412F" w14:textId="77777777" w:rsidR="00FE0DF2" w:rsidRPr="000A364F" w:rsidRDefault="00FE0DF2" w:rsidP="00FE0DF2">
      <w:pPr>
        <w:keepNext/>
        <w:spacing w:before="160"/>
        <w:rPr>
          <w:b/>
        </w:rPr>
      </w:pPr>
      <w:bookmarkStart w:id="12" w:name="_Toc19701"/>
      <w:bookmarkStart w:id="13" w:name="_Toc19766"/>
      <w:bookmarkStart w:id="14" w:name="_Toc11856"/>
      <w:bookmarkStart w:id="15" w:name="_Toc12402"/>
      <w:bookmarkStart w:id="16" w:name="_Toc12110"/>
      <w:bookmarkStart w:id="17" w:name="_Toc416344248"/>
      <w:r w:rsidRPr="000A364F">
        <w:rPr>
          <w:b/>
        </w:rPr>
        <w:t>Acknowledgements</w:t>
      </w:r>
    </w:p>
    <w:p w14:paraId="76FB85E2" w14:textId="46E0B373" w:rsidR="00FE0DF2" w:rsidRPr="005629A8" w:rsidRDefault="00FE0DF2" w:rsidP="00FE0DF2">
      <w:pPr>
        <w:rPr>
          <w:lang w:val="en-US"/>
        </w:rPr>
      </w:pPr>
      <w:r w:rsidRPr="000A364F">
        <w:rPr>
          <w:lang w:val="en-US"/>
        </w:rPr>
        <w:t xml:space="preserve">This Technical Specification was researched and principally authored by </w:t>
      </w:r>
      <w:r w:rsidR="006E4907" w:rsidRPr="006E4907">
        <w:rPr>
          <w:lang w:val="en-US"/>
        </w:rPr>
        <w:t>Hakima Chaouchi</w:t>
      </w:r>
      <w:r w:rsidR="006E4907">
        <w:rPr>
          <w:lang w:val="en-US"/>
        </w:rPr>
        <w:t xml:space="preserve"> </w:t>
      </w:r>
      <w:r w:rsidR="006E4907" w:rsidRPr="006E4907">
        <w:rPr>
          <w:lang w:val="en-US"/>
        </w:rPr>
        <w:t>(Telecom SudParis)</w:t>
      </w:r>
      <w:r w:rsidR="006E4907">
        <w:rPr>
          <w:lang w:val="en-US"/>
        </w:rPr>
        <w:t xml:space="preserve">, </w:t>
      </w:r>
      <w:r w:rsidR="006E4907" w:rsidRPr="006E4907">
        <w:rPr>
          <w:lang w:val="en-US"/>
        </w:rPr>
        <w:t>Okan Geray</w:t>
      </w:r>
      <w:r w:rsidR="003B3A29">
        <w:rPr>
          <w:lang w:val="en-US"/>
        </w:rPr>
        <w:t xml:space="preserve"> (</w:t>
      </w:r>
      <w:r w:rsidR="006E64E3" w:rsidRPr="0005151F">
        <w:rPr>
          <w:rFonts w:asciiTheme="majorBidi" w:hAnsiTheme="majorBidi" w:cstheme="majorBidi"/>
          <w:noProof/>
          <w:sz w:val="22"/>
          <w:szCs w:val="22"/>
          <w:lang w:val="en-US" w:eastAsia="ko-KR"/>
        </w:rPr>
        <w:t>Smart Dubai</w:t>
      </w:r>
      <w:r w:rsidR="003B3A29">
        <w:rPr>
          <w:lang w:val="en-US"/>
        </w:rPr>
        <w:t>)</w:t>
      </w:r>
      <w:r w:rsidR="006E64E3">
        <w:rPr>
          <w:lang w:val="en-US"/>
        </w:rPr>
        <w:t xml:space="preserve">, </w:t>
      </w:r>
      <w:r w:rsidR="006E4907" w:rsidRPr="006E4907">
        <w:rPr>
          <w:lang w:val="en-US"/>
        </w:rPr>
        <w:t>Xiaomi An (RUC)</w:t>
      </w:r>
      <w:r w:rsidR="006E64E3">
        <w:rPr>
          <w:lang w:val="en-US"/>
        </w:rPr>
        <w:t xml:space="preserve">, </w:t>
      </w:r>
      <w:r w:rsidR="006E4907" w:rsidRPr="006E4907">
        <w:rPr>
          <w:lang w:val="en-US"/>
        </w:rPr>
        <w:t>Nathalie Feingold (</w:t>
      </w:r>
      <w:r w:rsidR="0083708E" w:rsidRPr="1C3D2EA9">
        <w:rPr>
          <w:sz w:val="22"/>
          <w:szCs w:val="22"/>
          <w:lang w:val="de-CH" w:eastAsia="ko-KR"/>
        </w:rPr>
        <w:t>NPBA</w:t>
      </w:r>
      <w:r w:rsidR="006E4907" w:rsidRPr="006E4907">
        <w:rPr>
          <w:lang w:val="en-US"/>
        </w:rPr>
        <w:t>)</w:t>
      </w:r>
      <w:r w:rsidR="0083708E">
        <w:rPr>
          <w:lang w:val="en-US"/>
        </w:rPr>
        <w:t xml:space="preserve"> and </w:t>
      </w:r>
      <w:r w:rsidR="006E4907" w:rsidRPr="006E4907">
        <w:rPr>
          <w:lang w:val="en-US"/>
        </w:rPr>
        <w:t>Wei Wei (RUC)</w:t>
      </w:r>
      <w:r>
        <w:rPr>
          <w:lang w:val="en-US"/>
        </w:rPr>
        <w:t xml:space="preserve"> </w:t>
      </w:r>
      <w:r w:rsidRPr="004925AF">
        <w:rPr>
          <w:kern w:val="2"/>
          <w:szCs w:val="24"/>
        </w:rPr>
        <w:t xml:space="preserve">under the </w:t>
      </w:r>
      <w:r>
        <w:rPr>
          <w:kern w:val="2"/>
          <w:szCs w:val="24"/>
        </w:rPr>
        <w:t>chairmanship</w:t>
      </w:r>
      <w:r w:rsidRPr="004925AF">
        <w:rPr>
          <w:kern w:val="2"/>
          <w:szCs w:val="24"/>
        </w:rPr>
        <w:t xml:space="preserve"> of Gyu Myoung Lee (Korea, Rep.of).</w:t>
      </w:r>
    </w:p>
    <w:p w14:paraId="2A4C18D4" w14:textId="77777777" w:rsidR="00FE0DF2" w:rsidRPr="000A364F" w:rsidRDefault="00FE0DF2" w:rsidP="00FE0DF2">
      <w:r w:rsidRPr="000A364F">
        <w:rPr>
          <w:bCs/>
          <w:lang w:val="en-US"/>
        </w:rPr>
        <w:t xml:space="preserve">Additional information and materials relating to </w:t>
      </w:r>
      <w:r w:rsidRPr="000A364F">
        <w:rPr>
          <w:lang w:val="en-US"/>
        </w:rPr>
        <w:t xml:space="preserve">this Technical Specification </w:t>
      </w:r>
      <w:r w:rsidRPr="000A364F">
        <w:rPr>
          <w:bCs/>
          <w:lang w:val="en-US"/>
        </w:rPr>
        <w:t xml:space="preserve">can be found at: </w:t>
      </w:r>
      <w:hyperlink r:id="rId15" w:history="1">
        <w:r w:rsidRPr="000A364F">
          <w:rPr>
            <w:color w:val="0000FF" w:themeColor="hyperlink"/>
            <w:u w:val="single"/>
          </w:rPr>
          <w:t>www.itu.int/go/tfgdpm</w:t>
        </w:r>
      </w:hyperlink>
      <w:r w:rsidRPr="000A364F">
        <w:rPr>
          <w:bCs/>
          <w:lang w:val="en-US"/>
        </w:rPr>
        <w:t xml:space="preserve">. If you would like to provide any additional information, please contact Denis Andreev at </w:t>
      </w:r>
      <w:hyperlink r:id="rId16" w:history="1">
        <w:r w:rsidRPr="000A364F">
          <w:rPr>
            <w:bCs/>
            <w:color w:val="0000FF" w:themeColor="hyperlink"/>
            <w:u w:val="single"/>
            <w:lang w:val="en-US"/>
          </w:rPr>
          <w:t>tsbfgdpm@itu.int</w:t>
        </w:r>
      </w:hyperlink>
      <w:r w:rsidRPr="000A364F">
        <w:rPr>
          <w:bCs/>
          <w:lang w:val="en-US"/>
        </w:rPr>
        <w:t>.</w:t>
      </w:r>
    </w:p>
    <w:p w14:paraId="44613BE1" w14:textId="77777777" w:rsidR="00FE0DF2" w:rsidRPr="009E1AF6" w:rsidRDefault="00FE0DF2" w:rsidP="00FE0DF2">
      <w:pPr>
        <w:pStyle w:val="Headingb"/>
      </w:pPr>
      <w:r w:rsidRPr="009E1AF6">
        <w:rPr>
          <w:rFonts w:hint="eastAsia"/>
        </w:rPr>
        <w:t>Keywords</w:t>
      </w:r>
      <w:bookmarkEnd w:id="12"/>
      <w:bookmarkEnd w:id="13"/>
      <w:bookmarkEnd w:id="14"/>
      <w:bookmarkEnd w:id="15"/>
      <w:bookmarkEnd w:id="16"/>
      <w:bookmarkEnd w:id="17"/>
    </w:p>
    <w:p w14:paraId="61430FC9" w14:textId="77777777" w:rsidR="00FE0DF2" w:rsidRPr="00DB60F8" w:rsidRDefault="00FE0DF2" w:rsidP="00FE0DF2">
      <w:r>
        <w:t xml:space="preserve">Internet of Things, Smart Cities and Communities, IoT, SC&amp;C, </w:t>
      </w:r>
      <w:r w:rsidRPr="00AA3DCF">
        <w:t xml:space="preserve">Data Processing, Data Management, Framework, </w:t>
      </w:r>
      <w:r>
        <w:t>Data lifecycle, Data Trust, Data commercialisation, DPM Value Chain, DPM ecosystem, Governance, Interoperability</w:t>
      </w:r>
    </w:p>
    <w:bookmarkEnd w:id="10"/>
    <w:bookmarkEnd w:id="11"/>
    <w:p w14:paraId="64C1852F" w14:textId="77777777" w:rsidR="00FE0DF2" w:rsidRDefault="00FE0DF2" w:rsidP="00FE0DF2">
      <w:pPr>
        <w:tabs>
          <w:tab w:val="clear" w:pos="794"/>
          <w:tab w:val="clear" w:pos="1191"/>
          <w:tab w:val="clear" w:pos="1588"/>
          <w:tab w:val="clear" w:pos="1985"/>
        </w:tabs>
        <w:overflowPunct/>
        <w:autoSpaceDE/>
        <w:autoSpaceDN/>
        <w:adjustRightInd/>
        <w:spacing w:before="0"/>
        <w:jc w:val="left"/>
        <w:textAlignment w:val="auto"/>
        <w:rPr>
          <w:sz w:val="22"/>
        </w:rPr>
      </w:pPr>
      <w:r>
        <w:rPr>
          <w:sz w:val="22"/>
        </w:rPr>
        <w:br w:type="page"/>
      </w:r>
    </w:p>
    <w:p w14:paraId="494EB6B9" w14:textId="77777777" w:rsidR="008B13CD" w:rsidRDefault="008B13CD" w:rsidP="008B13CD">
      <w:pPr>
        <w:tabs>
          <w:tab w:val="clear" w:pos="794"/>
          <w:tab w:val="clear" w:pos="1191"/>
          <w:tab w:val="clear" w:pos="1588"/>
          <w:tab w:val="clear" w:pos="1985"/>
        </w:tabs>
        <w:overflowPunct/>
        <w:autoSpaceDE/>
        <w:autoSpaceDN/>
        <w:adjustRightInd/>
        <w:spacing w:before="0"/>
        <w:jc w:val="left"/>
        <w:textAlignment w:val="auto"/>
        <w:rPr>
          <w:b/>
          <w:sz w:val="28"/>
        </w:rPr>
      </w:pPr>
      <w:r w:rsidRPr="009440A4">
        <w:rPr>
          <w:b/>
          <w:sz w:val="28"/>
        </w:rPr>
        <w:lastRenderedPageBreak/>
        <w:t xml:space="preserve">Technical Specification </w:t>
      </w:r>
      <w:r>
        <w:rPr>
          <w:b/>
          <w:sz w:val="28"/>
        </w:rPr>
        <w:t>D2.1</w:t>
      </w:r>
    </w:p>
    <w:p w14:paraId="6BC4A26F" w14:textId="77777777" w:rsidR="008B13CD" w:rsidRPr="00871F1E" w:rsidRDefault="008B13CD" w:rsidP="008B13CD">
      <w:pPr>
        <w:tabs>
          <w:tab w:val="clear" w:pos="794"/>
          <w:tab w:val="clear" w:pos="1191"/>
          <w:tab w:val="clear" w:pos="1588"/>
          <w:tab w:val="clear" w:pos="1985"/>
        </w:tabs>
        <w:jc w:val="center"/>
        <w:rPr>
          <w:rFonts w:eastAsia="Batang"/>
          <w:b/>
          <w:sz w:val="28"/>
          <w:szCs w:val="28"/>
        </w:rPr>
      </w:pPr>
      <w:r w:rsidRPr="00871F1E">
        <w:rPr>
          <w:rFonts w:eastAsia="Batang"/>
          <w:b/>
          <w:sz w:val="28"/>
          <w:szCs w:val="28"/>
        </w:rPr>
        <w:t>Data Processing and Management Framework for IoT and Smart Cities and Communities</w:t>
      </w:r>
    </w:p>
    <w:p w14:paraId="7198643F" w14:textId="77777777" w:rsidR="008B13CD" w:rsidRDefault="008B13CD" w:rsidP="008B13CD">
      <w:pPr>
        <w:spacing w:before="240" w:after="120"/>
        <w:jc w:val="center"/>
        <w:rPr>
          <w:b/>
          <w:lang w:val="en-US"/>
        </w:rPr>
      </w:pPr>
      <w:r>
        <w:rPr>
          <w:b/>
          <w:lang w:val="en-US"/>
        </w:rPr>
        <w:t>Table of Contents</w:t>
      </w:r>
    </w:p>
    <w:p w14:paraId="7E4AC2B0" w14:textId="77777777" w:rsidR="008B13CD" w:rsidRDefault="008B13CD" w:rsidP="008B13CD">
      <w:pPr>
        <w:pStyle w:val="TOC1"/>
        <w:ind w:left="0" w:right="992" w:firstLine="0"/>
        <w:rPr>
          <w:lang w:val="en-US"/>
        </w:rPr>
      </w:pPr>
    </w:p>
    <w:p w14:paraId="202675BF" w14:textId="45A9B748" w:rsidR="00096A23" w:rsidRDefault="008B13CD">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val="en-US" w:eastAsia="zh-CN"/>
        </w:rPr>
        <w:fldChar w:fldCharType="begin"/>
      </w:r>
      <w:r>
        <w:rPr>
          <w:rFonts w:asciiTheme="minorHAnsi" w:eastAsiaTheme="minorEastAsia" w:hAnsiTheme="minorHAnsi" w:cstheme="minorBidi"/>
          <w:noProof/>
          <w:sz w:val="22"/>
          <w:szCs w:val="22"/>
          <w:lang w:val="en-US" w:eastAsia="zh-CN"/>
        </w:rPr>
        <w:instrText xml:space="preserve"> TOC \o "1-3" \h \z \u </w:instrText>
      </w:r>
      <w:r>
        <w:rPr>
          <w:rFonts w:asciiTheme="minorHAnsi" w:eastAsiaTheme="minorEastAsia" w:hAnsiTheme="minorHAnsi" w:cstheme="minorBidi"/>
          <w:noProof/>
          <w:sz w:val="22"/>
          <w:szCs w:val="22"/>
          <w:lang w:val="en-US" w:eastAsia="zh-CN"/>
        </w:rPr>
        <w:fldChar w:fldCharType="separate"/>
      </w:r>
      <w:hyperlink w:anchor="_Toc18321951" w:history="1">
        <w:r w:rsidR="00096A23" w:rsidRPr="00BB4422">
          <w:rPr>
            <w:rStyle w:val="Hyperlink"/>
            <w:noProof/>
          </w:rPr>
          <w:t>1</w:t>
        </w:r>
        <w:r w:rsidR="00096A23">
          <w:rPr>
            <w:rFonts w:asciiTheme="minorHAnsi" w:eastAsiaTheme="minorEastAsia" w:hAnsiTheme="minorHAnsi" w:cstheme="minorBidi"/>
            <w:noProof/>
            <w:sz w:val="22"/>
            <w:szCs w:val="22"/>
            <w:lang w:eastAsia="en-GB"/>
          </w:rPr>
          <w:tab/>
        </w:r>
        <w:r w:rsidR="00096A23" w:rsidRPr="00BB4422">
          <w:rPr>
            <w:rStyle w:val="Hyperlink"/>
            <w:noProof/>
          </w:rPr>
          <w:t>Scope</w:t>
        </w:r>
        <w:r w:rsidR="00096A23">
          <w:rPr>
            <w:noProof/>
            <w:webHidden/>
          </w:rPr>
          <w:tab/>
        </w:r>
        <w:r w:rsidR="00096A23">
          <w:rPr>
            <w:noProof/>
            <w:webHidden/>
          </w:rPr>
          <w:fldChar w:fldCharType="begin"/>
        </w:r>
        <w:r w:rsidR="00096A23">
          <w:rPr>
            <w:noProof/>
            <w:webHidden/>
          </w:rPr>
          <w:instrText xml:space="preserve"> PAGEREF _Toc18321951 \h </w:instrText>
        </w:r>
        <w:r w:rsidR="00096A23">
          <w:rPr>
            <w:noProof/>
            <w:webHidden/>
          </w:rPr>
        </w:r>
        <w:r w:rsidR="00096A23">
          <w:rPr>
            <w:noProof/>
            <w:webHidden/>
          </w:rPr>
          <w:fldChar w:fldCharType="separate"/>
        </w:r>
        <w:r w:rsidR="00096A23">
          <w:rPr>
            <w:noProof/>
            <w:webHidden/>
          </w:rPr>
          <w:t>6</w:t>
        </w:r>
        <w:r w:rsidR="00096A23">
          <w:rPr>
            <w:noProof/>
            <w:webHidden/>
          </w:rPr>
          <w:fldChar w:fldCharType="end"/>
        </w:r>
      </w:hyperlink>
    </w:p>
    <w:p w14:paraId="7E7FE4B8" w14:textId="4B510885" w:rsidR="00096A23" w:rsidRDefault="00DB28D4">
      <w:pPr>
        <w:pStyle w:val="TOC1"/>
        <w:rPr>
          <w:rFonts w:asciiTheme="minorHAnsi" w:eastAsiaTheme="minorEastAsia" w:hAnsiTheme="minorHAnsi" w:cstheme="minorBidi"/>
          <w:noProof/>
          <w:sz w:val="22"/>
          <w:szCs w:val="22"/>
          <w:lang w:eastAsia="en-GB"/>
        </w:rPr>
      </w:pPr>
      <w:hyperlink w:anchor="_Toc18321952" w:history="1">
        <w:r w:rsidR="00096A23" w:rsidRPr="00BB4422">
          <w:rPr>
            <w:rStyle w:val="Hyperlink"/>
            <w:noProof/>
          </w:rPr>
          <w:t>2</w:t>
        </w:r>
        <w:r w:rsidR="00096A23">
          <w:rPr>
            <w:rFonts w:asciiTheme="minorHAnsi" w:eastAsiaTheme="minorEastAsia" w:hAnsiTheme="minorHAnsi" w:cstheme="minorBidi"/>
            <w:noProof/>
            <w:sz w:val="22"/>
            <w:szCs w:val="22"/>
            <w:lang w:eastAsia="en-GB"/>
          </w:rPr>
          <w:tab/>
        </w:r>
        <w:r w:rsidR="00096A23" w:rsidRPr="00BB4422">
          <w:rPr>
            <w:rStyle w:val="Hyperlink"/>
            <w:noProof/>
          </w:rPr>
          <w:t>References</w:t>
        </w:r>
        <w:r w:rsidR="00096A23">
          <w:rPr>
            <w:noProof/>
            <w:webHidden/>
          </w:rPr>
          <w:tab/>
        </w:r>
        <w:r w:rsidR="00096A23">
          <w:rPr>
            <w:noProof/>
            <w:webHidden/>
          </w:rPr>
          <w:fldChar w:fldCharType="begin"/>
        </w:r>
        <w:r w:rsidR="00096A23">
          <w:rPr>
            <w:noProof/>
            <w:webHidden/>
          </w:rPr>
          <w:instrText xml:space="preserve"> PAGEREF _Toc18321952 \h </w:instrText>
        </w:r>
        <w:r w:rsidR="00096A23">
          <w:rPr>
            <w:noProof/>
            <w:webHidden/>
          </w:rPr>
        </w:r>
        <w:r w:rsidR="00096A23">
          <w:rPr>
            <w:noProof/>
            <w:webHidden/>
          </w:rPr>
          <w:fldChar w:fldCharType="separate"/>
        </w:r>
        <w:r w:rsidR="00096A23">
          <w:rPr>
            <w:noProof/>
            <w:webHidden/>
          </w:rPr>
          <w:t>6</w:t>
        </w:r>
        <w:r w:rsidR="00096A23">
          <w:rPr>
            <w:noProof/>
            <w:webHidden/>
          </w:rPr>
          <w:fldChar w:fldCharType="end"/>
        </w:r>
      </w:hyperlink>
    </w:p>
    <w:p w14:paraId="0B7659DD" w14:textId="6B74E2D7" w:rsidR="00096A23" w:rsidRDefault="00DB28D4">
      <w:pPr>
        <w:pStyle w:val="TOC1"/>
        <w:rPr>
          <w:rFonts w:asciiTheme="minorHAnsi" w:eastAsiaTheme="minorEastAsia" w:hAnsiTheme="minorHAnsi" w:cstheme="minorBidi"/>
          <w:noProof/>
          <w:sz w:val="22"/>
          <w:szCs w:val="22"/>
          <w:lang w:eastAsia="en-GB"/>
        </w:rPr>
      </w:pPr>
      <w:hyperlink w:anchor="_Toc18321953" w:history="1">
        <w:r w:rsidR="00096A23" w:rsidRPr="00BB4422">
          <w:rPr>
            <w:rStyle w:val="Hyperlink"/>
            <w:noProof/>
          </w:rPr>
          <w:t>3</w:t>
        </w:r>
        <w:r w:rsidR="00096A23">
          <w:rPr>
            <w:rFonts w:asciiTheme="minorHAnsi" w:eastAsiaTheme="minorEastAsia" w:hAnsiTheme="minorHAnsi" w:cstheme="minorBidi"/>
            <w:noProof/>
            <w:sz w:val="22"/>
            <w:szCs w:val="22"/>
            <w:lang w:eastAsia="en-GB"/>
          </w:rPr>
          <w:tab/>
        </w:r>
        <w:r w:rsidR="00096A23" w:rsidRPr="00BB4422">
          <w:rPr>
            <w:rStyle w:val="Hyperlink"/>
            <w:noProof/>
          </w:rPr>
          <w:t>Definitions</w:t>
        </w:r>
        <w:r w:rsidR="00096A23">
          <w:rPr>
            <w:noProof/>
            <w:webHidden/>
          </w:rPr>
          <w:tab/>
        </w:r>
        <w:r w:rsidR="00096A23">
          <w:rPr>
            <w:noProof/>
            <w:webHidden/>
          </w:rPr>
          <w:fldChar w:fldCharType="begin"/>
        </w:r>
        <w:r w:rsidR="00096A23">
          <w:rPr>
            <w:noProof/>
            <w:webHidden/>
          </w:rPr>
          <w:instrText xml:space="preserve"> PAGEREF _Toc18321953 \h </w:instrText>
        </w:r>
        <w:r w:rsidR="00096A23">
          <w:rPr>
            <w:noProof/>
            <w:webHidden/>
          </w:rPr>
        </w:r>
        <w:r w:rsidR="00096A23">
          <w:rPr>
            <w:noProof/>
            <w:webHidden/>
          </w:rPr>
          <w:fldChar w:fldCharType="separate"/>
        </w:r>
        <w:r w:rsidR="00096A23">
          <w:rPr>
            <w:noProof/>
            <w:webHidden/>
          </w:rPr>
          <w:t>6</w:t>
        </w:r>
        <w:r w:rsidR="00096A23">
          <w:rPr>
            <w:noProof/>
            <w:webHidden/>
          </w:rPr>
          <w:fldChar w:fldCharType="end"/>
        </w:r>
      </w:hyperlink>
    </w:p>
    <w:p w14:paraId="56621FDE" w14:textId="6B1B1DCD" w:rsidR="00096A23" w:rsidRDefault="00DB28D4">
      <w:pPr>
        <w:pStyle w:val="TOC2"/>
        <w:rPr>
          <w:rFonts w:asciiTheme="minorHAnsi" w:eastAsiaTheme="minorEastAsia" w:hAnsiTheme="minorHAnsi" w:cstheme="minorBidi"/>
          <w:noProof/>
          <w:sz w:val="22"/>
          <w:szCs w:val="22"/>
          <w:lang w:eastAsia="en-GB"/>
        </w:rPr>
      </w:pPr>
      <w:hyperlink w:anchor="_Toc18321954" w:history="1">
        <w:r w:rsidR="00096A23" w:rsidRPr="00BB4422">
          <w:rPr>
            <w:rStyle w:val="Hyperlink"/>
            <w:rFonts w:eastAsia="Batang"/>
            <w:noProof/>
          </w:rPr>
          <w:t>3.1</w:t>
        </w:r>
        <w:r w:rsidR="00096A23">
          <w:rPr>
            <w:rFonts w:asciiTheme="minorHAnsi" w:eastAsiaTheme="minorEastAsia" w:hAnsiTheme="minorHAnsi" w:cstheme="minorBidi"/>
            <w:noProof/>
            <w:sz w:val="22"/>
            <w:szCs w:val="22"/>
            <w:lang w:eastAsia="en-GB"/>
          </w:rPr>
          <w:tab/>
        </w:r>
        <w:r w:rsidR="00096A23" w:rsidRPr="00BB4422">
          <w:rPr>
            <w:rStyle w:val="Hyperlink"/>
            <w:rFonts w:eastAsia="Batang"/>
            <w:noProof/>
          </w:rPr>
          <w:t>Terms defined elsewhere</w:t>
        </w:r>
        <w:r w:rsidR="00096A23">
          <w:rPr>
            <w:noProof/>
            <w:webHidden/>
          </w:rPr>
          <w:tab/>
        </w:r>
        <w:r w:rsidR="00096A23">
          <w:rPr>
            <w:noProof/>
            <w:webHidden/>
          </w:rPr>
          <w:fldChar w:fldCharType="begin"/>
        </w:r>
        <w:r w:rsidR="00096A23">
          <w:rPr>
            <w:noProof/>
            <w:webHidden/>
          </w:rPr>
          <w:instrText xml:space="preserve"> PAGEREF _Toc18321954 \h </w:instrText>
        </w:r>
        <w:r w:rsidR="00096A23">
          <w:rPr>
            <w:noProof/>
            <w:webHidden/>
          </w:rPr>
        </w:r>
        <w:r w:rsidR="00096A23">
          <w:rPr>
            <w:noProof/>
            <w:webHidden/>
          </w:rPr>
          <w:fldChar w:fldCharType="separate"/>
        </w:r>
        <w:r w:rsidR="00096A23">
          <w:rPr>
            <w:noProof/>
            <w:webHidden/>
          </w:rPr>
          <w:t>6</w:t>
        </w:r>
        <w:r w:rsidR="00096A23">
          <w:rPr>
            <w:noProof/>
            <w:webHidden/>
          </w:rPr>
          <w:fldChar w:fldCharType="end"/>
        </w:r>
      </w:hyperlink>
    </w:p>
    <w:p w14:paraId="0D6D646A" w14:textId="785A10F8" w:rsidR="00096A23" w:rsidRDefault="00DB28D4">
      <w:pPr>
        <w:pStyle w:val="TOC2"/>
        <w:rPr>
          <w:rFonts w:asciiTheme="minorHAnsi" w:eastAsiaTheme="minorEastAsia" w:hAnsiTheme="minorHAnsi" w:cstheme="minorBidi"/>
          <w:noProof/>
          <w:sz w:val="22"/>
          <w:szCs w:val="22"/>
          <w:lang w:eastAsia="en-GB"/>
        </w:rPr>
      </w:pPr>
      <w:hyperlink w:anchor="_Toc18321955" w:history="1">
        <w:r w:rsidR="00096A23" w:rsidRPr="00BB4422">
          <w:rPr>
            <w:rStyle w:val="Hyperlink"/>
            <w:rFonts w:eastAsia="Batang"/>
            <w:noProof/>
          </w:rPr>
          <w:t>3.2</w:t>
        </w:r>
        <w:r w:rsidR="00096A23">
          <w:rPr>
            <w:rFonts w:asciiTheme="minorHAnsi" w:eastAsiaTheme="minorEastAsia" w:hAnsiTheme="minorHAnsi" w:cstheme="minorBidi"/>
            <w:noProof/>
            <w:sz w:val="22"/>
            <w:szCs w:val="22"/>
            <w:lang w:eastAsia="en-GB"/>
          </w:rPr>
          <w:tab/>
        </w:r>
        <w:r w:rsidR="00096A23" w:rsidRPr="00BB4422">
          <w:rPr>
            <w:rStyle w:val="Hyperlink"/>
            <w:rFonts w:eastAsia="Batang"/>
            <w:noProof/>
          </w:rPr>
          <w:t>Terms defined in this document</w:t>
        </w:r>
        <w:r w:rsidR="00096A23">
          <w:rPr>
            <w:noProof/>
            <w:webHidden/>
          </w:rPr>
          <w:tab/>
        </w:r>
        <w:r w:rsidR="00096A23">
          <w:rPr>
            <w:noProof/>
            <w:webHidden/>
          </w:rPr>
          <w:fldChar w:fldCharType="begin"/>
        </w:r>
        <w:r w:rsidR="00096A23">
          <w:rPr>
            <w:noProof/>
            <w:webHidden/>
          </w:rPr>
          <w:instrText xml:space="preserve"> PAGEREF _Toc18321955 \h </w:instrText>
        </w:r>
        <w:r w:rsidR="00096A23">
          <w:rPr>
            <w:noProof/>
            <w:webHidden/>
          </w:rPr>
        </w:r>
        <w:r w:rsidR="00096A23">
          <w:rPr>
            <w:noProof/>
            <w:webHidden/>
          </w:rPr>
          <w:fldChar w:fldCharType="separate"/>
        </w:r>
        <w:r w:rsidR="00096A23">
          <w:rPr>
            <w:noProof/>
            <w:webHidden/>
          </w:rPr>
          <w:t>8</w:t>
        </w:r>
        <w:r w:rsidR="00096A23">
          <w:rPr>
            <w:noProof/>
            <w:webHidden/>
          </w:rPr>
          <w:fldChar w:fldCharType="end"/>
        </w:r>
      </w:hyperlink>
    </w:p>
    <w:p w14:paraId="38B1E50A" w14:textId="6697257E" w:rsidR="00096A23" w:rsidRDefault="00DB28D4">
      <w:pPr>
        <w:pStyle w:val="TOC1"/>
        <w:rPr>
          <w:rFonts w:asciiTheme="minorHAnsi" w:eastAsiaTheme="minorEastAsia" w:hAnsiTheme="minorHAnsi" w:cstheme="minorBidi"/>
          <w:noProof/>
          <w:sz w:val="22"/>
          <w:szCs w:val="22"/>
          <w:lang w:eastAsia="en-GB"/>
        </w:rPr>
      </w:pPr>
      <w:hyperlink w:anchor="_Toc18321956" w:history="1">
        <w:r w:rsidR="00096A23" w:rsidRPr="00BB4422">
          <w:rPr>
            <w:rStyle w:val="Hyperlink"/>
            <w:noProof/>
          </w:rPr>
          <w:t>4</w:t>
        </w:r>
        <w:r w:rsidR="00096A23">
          <w:rPr>
            <w:rFonts w:asciiTheme="minorHAnsi" w:eastAsiaTheme="minorEastAsia" w:hAnsiTheme="minorHAnsi" w:cstheme="minorBidi"/>
            <w:noProof/>
            <w:sz w:val="22"/>
            <w:szCs w:val="22"/>
            <w:lang w:eastAsia="en-GB"/>
          </w:rPr>
          <w:tab/>
        </w:r>
        <w:r w:rsidR="00096A23" w:rsidRPr="00BB4422">
          <w:rPr>
            <w:rStyle w:val="Hyperlink"/>
            <w:noProof/>
          </w:rPr>
          <w:t>Abbreviations and acronyms</w:t>
        </w:r>
        <w:r w:rsidR="00096A23">
          <w:rPr>
            <w:noProof/>
            <w:webHidden/>
          </w:rPr>
          <w:tab/>
        </w:r>
        <w:r w:rsidR="00096A23">
          <w:rPr>
            <w:noProof/>
            <w:webHidden/>
          </w:rPr>
          <w:fldChar w:fldCharType="begin"/>
        </w:r>
        <w:r w:rsidR="00096A23">
          <w:rPr>
            <w:noProof/>
            <w:webHidden/>
          </w:rPr>
          <w:instrText xml:space="preserve"> PAGEREF _Toc18321956 \h </w:instrText>
        </w:r>
        <w:r w:rsidR="00096A23">
          <w:rPr>
            <w:noProof/>
            <w:webHidden/>
          </w:rPr>
        </w:r>
        <w:r w:rsidR="00096A23">
          <w:rPr>
            <w:noProof/>
            <w:webHidden/>
          </w:rPr>
          <w:fldChar w:fldCharType="separate"/>
        </w:r>
        <w:r w:rsidR="00096A23">
          <w:rPr>
            <w:noProof/>
            <w:webHidden/>
          </w:rPr>
          <w:t>9</w:t>
        </w:r>
        <w:r w:rsidR="00096A23">
          <w:rPr>
            <w:noProof/>
            <w:webHidden/>
          </w:rPr>
          <w:fldChar w:fldCharType="end"/>
        </w:r>
      </w:hyperlink>
    </w:p>
    <w:p w14:paraId="1BAC82C2" w14:textId="6AAF999E" w:rsidR="00096A23" w:rsidRDefault="00DB28D4">
      <w:pPr>
        <w:pStyle w:val="TOC1"/>
        <w:rPr>
          <w:rFonts w:asciiTheme="minorHAnsi" w:eastAsiaTheme="minorEastAsia" w:hAnsiTheme="minorHAnsi" w:cstheme="minorBidi"/>
          <w:noProof/>
          <w:sz w:val="22"/>
          <w:szCs w:val="22"/>
          <w:lang w:eastAsia="en-GB"/>
        </w:rPr>
      </w:pPr>
      <w:hyperlink w:anchor="_Toc18321957" w:history="1">
        <w:r w:rsidR="00096A23" w:rsidRPr="00BB4422">
          <w:rPr>
            <w:rStyle w:val="Hyperlink"/>
            <w:noProof/>
          </w:rPr>
          <w:t>5</w:t>
        </w:r>
        <w:r w:rsidR="00096A23">
          <w:rPr>
            <w:rFonts w:asciiTheme="minorHAnsi" w:eastAsiaTheme="minorEastAsia" w:hAnsiTheme="minorHAnsi" w:cstheme="minorBidi"/>
            <w:noProof/>
            <w:sz w:val="22"/>
            <w:szCs w:val="22"/>
            <w:lang w:eastAsia="en-GB"/>
          </w:rPr>
          <w:tab/>
        </w:r>
        <w:r w:rsidR="00096A23" w:rsidRPr="00BB4422">
          <w:rPr>
            <w:rStyle w:val="Hyperlink"/>
            <w:noProof/>
          </w:rPr>
          <w:t>Conventions</w:t>
        </w:r>
        <w:r w:rsidR="00096A23">
          <w:rPr>
            <w:noProof/>
            <w:webHidden/>
          </w:rPr>
          <w:tab/>
        </w:r>
        <w:r w:rsidR="00096A23">
          <w:rPr>
            <w:noProof/>
            <w:webHidden/>
          </w:rPr>
          <w:fldChar w:fldCharType="begin"/>
        </w:r>
        <w:r w:rsidR="00096A23">
          <w:rPr>
            <w:noProof/>
            <w:webHidden/>
          </w:rPr>
          <w:instrText xml:space="preserve"> PAGEREF _Toc18321957 \h </w:instrText>
        </w:r>
        <w:r w:rsidR="00096A23">
          <w:rPr>
            <w:noProof/>
            <w:webHidden/>
          </w:rPr>
        </w:r>
        <w:r w:rsidR="00096A23">
          <w:rPr>
            <w:noProof/>
            <w:webHidden/>
          </w:rPr>
          <w:fldChar w:fldCharType="separate"/>
        </w:r>
        <w:r w:rsidR="00096A23">
          <w:rPr>
            <w:noProof/>
            <w:webHidden/>
          </w:rPr>
          <w:t>9</w:t>
        </w:r>
        <w:r w:rsidR="00096A23">
          <w:rPr>
            <w:noProof/>
            <w:webHidden/>
          </w:rPr>
          <w:fldChar w:fldCharType="end"/>
        </w:r>
      </w:hyperlink>
    </w:p>
    <w:p w14:paraId="442102F3" w14:textId="711092C5" w:rsidR="00096A23" w:rsidRDefault="00DB28D4">
      <w:pPr>
        <w:pStyle w:val="TOC1"/>
        <w:rPr>
          <w:rFonts w:asciiTheme="minorHAnsi" w:eastAsiaTheme="minorEastAsia" w:hAnsiTheme="minorHAnsi" w:cstheme="minorBidi"/>
          <w:noProof/>
          <w:sz w:val="22"/>
          <w:szCs w:val="22"/>
          <w:lang w:eastAsia="en-GB"/>
        </w:rPr>
      </w:pPr>
      <w:hyperlink w:anchor="_Toc18321958" w:history="1">
        <w:r w:rsidR="00096A23" w:rsidRPr="00BB4422">
          <w:rPr>
            <w:rStyle w:val="Hyperlink"/>
            <w:noProof/>
          </w:rPr>
          <w:t>6</w:t>
        </w:r>
        <w:r w:rsidR="00096A23">
          <w:rPr>
            <w:rFonts w:asciiTheme="minorHAnsi" w:eastAsiaTheme="minorEastAsia" w:hAnsiTheme="minorHAnsi" w:cstheme="minorBidi"/>
            <w:noProof/>
            <w:sz w:val="22"/>
            <w:szCs w:val="22"/>
            <w:lang w:eastAsia="en-GB"/>
          </w:rPr>
          <w:tab/>
        </w:r>
        <w:r w:rsidR="00096A23" w:rsidRPr="00BB4422">
          <w:rPr>
            <w:rStyle w:val="Hyperlink"/>
            <w:noProof/>
          </w:rPr>
          <w:t>DPM Framework concepts and high-level considerations</w:t>
        </w:r>
        <w:r w:rsidR="00096A23">
          <w:rPr>
            <w:noProof/>
            <w:webHidden/>
          </w:rPr>
          <w:tab/>
        </w:r>
        <w:r w:rsidR="00096A23">
          <w:rPr>
            <w:noProof/>
            <w:webHidden/>
          </w:rPr>
          <w:fldChar w:fldCharType="begin"/>
        </w:r>
        <w:r w:rsidR="00096A23">
          <w:rPr>
            <w:noProof/>
            <w:webHidden/>
          </w:rPr>
          <w:instrText xml:space="preserve"> PAGEREF _Toc18321958 \h </w:instrText>
        </w:r>
        <w:r w:rsidR="00096A23">
          <w:rPr>
            <w:noProof/>
            <w:webHidden/>
          </w:rPr>
        </w:r>
        <w:r w:rsidR="00096A23">
          <w:rPr>
            <w:noProof/>
            <w:webHidden/>
          </w:rPr>
          <w:fldChar w:fldCharType="separate"/>
        </w:r>
        <w:r w:rsidR="00096A23">
          <w:rPr>
            <w:noProof/>
            <w:webHidden/>
          </w:rPr>
          <w:t>9</w:t>
        </w:r>
        <w:r w:rsidR="00096A23">
          <w:rPr>
            <w:noProof/>
            <w:webHidden/>
          </w:rPr>
          <w:fldChar w:fldCharType="end"/>
        </w:r>
      </w:hyperlink>
    </w:p>
    <w:p w14:paraId="417B0024" w14:textId="580DBA64" w:rsidR="00096A23" w:rsidRDefault="00DB28D4">
      <w:pPr>
        <w:pStyle w:val="TOC1"/>
        <w:rPr>
          <w:rFonts w:asciiTheme="minorHAnsi" w:eastAsiaTheme="minorEastAsia" w:hAnsiTheme="minorHAnsi" w:cstheme="minorBidi"/>
          <w:noProof/>
          <w:sz w:val="22"/>
          <w:szCs w:val="22"/>
          <w:lang w:eastAsia="en-GB"/>
        </w:rPr>
      </w:pPr>
      <w:hyperlink w:anchor="_Toc18321959" w:history="1">
        <w:r w:rsidR="00096A23" w:rsidRPr="00BB4422">
          <w:rPr>
            <w:rStyle w:val="Hyperlink"/>
            <w:noProof/>
          </w:rPr>
          <w:t>7</w:t>
        </w:r>
        <w:r w:rsidR="00096A23">
          <w:rPr>
            <w:rFonts w:asciiTheme="minorHAnsi" w:eastAsiaTheme="minorEastAsia" w:hAnsiTheme="minorHAnsi" w:cstheme="minorBidi"/>
            <w:noProof/>
            <w:sz w:val="22"/>
            <w:szCs w:val="22"/>
            <w:lang w:eastAsia="en-GB"/>
          </w:rPr>
          <w:tab/>
        </w:r>
        <w:r w:rsidR="00096A23" w:rsidRPr="00BB4422">
          <w:rPr>
            <w:rStyle w:val="Hyperlink"/>
            <w:noProof/>
          </w:rPr>
          <w:t>Data Processing and Management framework</w:t>
        </w:r>
        <w:r w:rsidR="00096A23">
          <w:rPr>
            <w:noProof/>
            <w:webHidden/>
          </w:rPr>
          <w:tab/>
        </w:r>
        <w:r w:rsidR="00096A23">
          <w:rPr>
            <w:noProof/>
            <w:webHidden/>
          </w:rPr>
          <w:fldChar w:fldCharType="begin"/>
        </w:r>
        <w:r w:rsidR="00096A23">
          <w:rPr>
            <w:noProof/>
            <w:webHidden/>
          </w:rPr>
          <w:instrText xml:space="preserve"> PAGEREF _Toc18321959 \h </w:instrText>
        </w:r>
        <w:r w:rsidR="00096A23">
          <w:rPr>
            <w:noProof/>
            <w:webHidden/>
          </w:rPr>
        </w:r>
        <w:r w:rsidR="00096A23">
          <w:rPr>
            <w:noProof/>
            <w:webHidden/>
          </w:rPr>
          <w:fldChar w:fldCharType="separate"/>
        </w:r>
        <w:r w:rsidR="00096A23">
          <w:rPr>
            <w:noProof/>
            <w:webHidden/>
          </w:rPr>
          <w:t>11</w:t>
        </w:r>
        <w:r w:rsidR="00096A23">
          <w:rPr>
            <w:noProof/>
            <w:webHidden/>
          </w:rPr>
          <w:fldChar w:fldCharType="end"/>
        </w:r>
      </w:hyperlink>
    </w:p>
    <w:p w14:paraId="26C13315" w14:textId="793C667B" w:rsidR="00096A23" w:rsidRDefault="00DB28D4">
      <w:pPr>
        <w:pStyle w:val="TOC2"/>
        <w:rPr>
          <w:rFonts w:asciiTheme="minorHAnsi" w:eastAsiaTheme="minorEastAsia" w:hAnsiTheme="minorHAnsi" w:cstheme="minorBidi"/>
          <w:noProof/>
          <w:sz w:val="22"/>
          <w:szCs w:val="22"/>
          <w:lang w:eastAsia="en-GB"/>
        </w:rPr>
      </w:pPr>
      <w:hyperlink w:anchor="_Toc18321960" w:history="1">
        <w:r w:rsidR="00096A23" w:rsidRPr="00BB4422">
          <w:rPr>
            <w:rStyle w:val="Hyperlink"/>
            <w:rFonts w:eastAsia="Batang"/>
            <w:noProof/>
          </w:rPr>
          <w:t>7.1 Dimensions of DPM framework</w:t>
        </w:r>
        <w:r w:rsidR="00096A23">
          <w:rPr>
            <w:noProof/>
            <w:webHidden/>
          </w:rPr>
          <w:tab/>
        </w:r>
        <w:r w:rsidR="00096A23">
          <w:rPr>
            <w:noProof/>
            <w:webHidden/>
          </w:rPr>
          <w:fldChar w:fldCharType="begin"/>
        </w:r>
        <w:r w:rsidR="00096A23">
          <w:rPr>
            <w:noProof/>
            <w:webHidden/>
          </w:rPr>
          <w:instrText xml:space="preserve"> PAGEREF _Toc18321960 \h </w:instrText>
        </w:r>
        <w:r w:rsidR="00096A23">
          <w:rPr>
            <w:noProof/>
            <w:webHidden/>
          </w:rPr>
        </w:r>
        <w:r w:rsidR="00096A23">
          <w:rPr>
            <w:noProof/>
            <w:webHidden/>
          </w:rPr>
          <w:fldChar w:fldCharType="separate"/>
        </w:r>
        <w:r w:rsidR="00096A23">
          <w:rPr>
            <w:noProof/>
            <w:webHidden/>
          </w:rPr>
          <w:t>11</w:t>
        </w:r>
        <w:r w:rsidR="00096A23">
          <w:rPr>
            <w:noProof/>
            <w:webHidden/>
          </w:rPr>
          <w:fldChar w:fldCharType="end"/>
        </w:r>
      </w:hyperlink>
    </w:p>
    <w:p w14:paraId="5CD1637A" w14:textId="5CFBFD4C" w:rsidR="00096A23" w:rsidRDefault="00DB28D4">
      <w:pPr>
        <w:pStyle w:val="TOC2"/>
        <w:rPr>
          <w:rFonts w:asciiTheme="minorHAnsi" w:eastAsiaTheme="minorEastAsia" w:hAnsiTheme="minorHAnsi" w:cstheme="minorBidi"/>
          <w:noProof/>
          <w:sz w:val="22"/>
          <w:szCs w:val="22"/>
          <w:lang w:eastAsia="en-GB"/>
        </w:rPr>
      </w:pPr>
      <w:hyperlink w:anchor="_Toc18321961" w:history="1">
        <w:r w:rsidR="00096A23" w:rsidRPr="00BB4422">
          <w:rPr>
            <w:rStyle w:val="Hyperlink"/>
            <w:rFonts w:eastAsia="Batang"/>
            <w:noProof/>
          </w:rPr>
          <w:t>7.2 Data Lifecycle Dimension</w:t>
        </w:r>
        <w:r w:rsidR="00096A23">
          <w:rPr>
            <w:noProof/>
            <w:webHidden/>
          </w:rPr>
          <w:tab/>
        </w:r>
        <w:r w:rsidR="00096A23">
          <w:rPr>
            <w:noProof/>
            <w:webHidden/>
          </w:rPr>
          <w:fldChar w:fldCharType="begin"/>
        </w:r>
        <w:r w:rsidR="00096A23">
          <w:rPr>
            <w:noProof/>
            <w:webHidden/>
          </w:rPr>
          <w:instrText xml:space="preserve"> PAGEREF _Toc18321961 \h </w:instrText>
        </w:r>
        <w:r w:rsidR="00096A23">
          <w:rPr>
            <w:noProof/>
            <w:webHidden/>
          </w:rPr>
        </w:r>
        <w:r w:rsidR="00096A23">
          <w:rPr>
            <w:noProof/>
            <w:webHidden/>
          </w:rPr>
          <w:fldChar w:fldCharType="separate"/>
        </w:r>
        <w:r w:rsidR="00096A23">
          <w:rPr>
            <w:noProof/>
            <w:webHidden/>
          </w:rPr>
          <w:t>12</w:t>
        </w:r>
        <w:r w:rsidR="00096A23">
          <w:rPr>
            <w:noProof/>
            <w:webHidden/>
          </w:rPr>
          <w:fldChar w:fldCharType="end"/>
        </w:r>
      </w:hyperlink>
    </w:p>
    <w:p w14:paraId="67E217A9" w14:textId="6221E7E0" w:rsidR="00096A23" w:rsidRDefault="00DB28D4">
      <w:pPr>
        <w:pStyle w:val="TOC2"/>
        <w:rPr>
          <w:rFonts w:asciiTheme="minorHAnsi" w:eastAsiaTheme="minorEastAsia" w:hAnsiTheme="minorHAnsi" w:cstheme="minorBidi"/>
          <w:noProof/>
          <w:sz w:val="22"/>
          <w:szCs w:val="22"/>
          <w:lang w:eastAsia="en-GB"/>
        </w:rPr>
      </w:pPr>
      <w:hyperlink w:anchor="_Toc18321962" w:history="1">
        <w:r w:rsidR="00096A23" w:rsidRPr="00BB4422">
          <w:rPr>
            <w:rStyle w:val="Hyperlink"/>
            <w:rFonts w:eastAsia="Batang"/>
            <w:noProof/>
          </w:rPr>
          <w:t>7.3 Data trust Dimension</w:t>
        </w:r>
        <w:r w:rsidR="00096A23">
          <w:rPr>
            <w:noProof/>
            <w:webHidden/>
          </w:rPr>
          <w:tab/>
        </w:r>
        <w:r w:rsidR="00096A23">
          <w:rPr>
            <w:noProof/>
            <w:webHidden/>
          </w:rPr>
          <w:fldChar w:fldCharType="begin"/>
        </w:r>
        <w:r w:rsidR="00096A23">
          <w:rPr>
            <w:noProof/>
            <w:webHidden/>
          </w:rPr>
          <w:instrText xml:space="preserve"> PAGEREF _Toc18321962 \h </w:instrText>
        </w:r>
        <w:r w:rsidR="00096A23">
          <w:rPr>
            <w:noProof/>
            <w:webHidden/>
          </w:rPr>
        </w:r>
        <w:r w:rsidR="00096A23">
          <w:rPr>
            <w:noProof/>
            <w:webHidden/>
          </w:rPr>
          <w:fldChar w:fldCharType="separate"/>
        </w:r>
        <w:r w:rsidR="00096A23">
          <w:rPr>
            <w:noProof/>
            <w:webHidden/>
          </w:rPr>
          <w:t>16</w:t>
        </w:r>
        <w:r w:rsidR="00096A23">
          <w:rPr>
            <w:noProof/>
            <w:webHidden/>
          </w:rPr>
          <w:fldChar w:fldCharType="end"/>
        </w:r>
      </w:hyperlink>
    </w:p>
    <w:p w14:paraId="67B28E27" w14:textId="277B68EA" w:rsidR="00096A23" w:rsidRDefault="00DB28D4">
      <w:pPr>
        <w:pStyle w:val="TOC2"/>
        <w:rPr>
          <w:rFonts w:asciiTheme="minorHAnsi" w:eastAsiaTheme="minorEastAsia" w:hAnsiTheme="minorHAnsi" w:cstheme="minorBidi"/>
          <w:noProof/>
          <w:sz w:val="22"/>
          <w:szCs w:val="22"/>
          <w:lang w:eastAsia="en-GB"/>
        </w:rPr>
      </w:pPr>
      <w:hyperlink w:anchor="_Toc18321963" w:history="1">
        <w:r w:rsidR="00096A23" w:rsidRPr="00BB4422">
          <w:rPr>
            <w:rStyle w:val="Hyperlink"/>
            <w:rFonts w:eastAsia="Batang"/>
            <w:noProof/>
          </w:rPr>
          <w:t>7.4 Data Commercialisation dimension</w:t>
        </w:r>
        <w:r w:rsidR="00096A23">
          <w:rPr>
            <w:noProof/>
            <w:webHidden/>
          </w:rPr>
          <w:tab/>
        </w:r>
        <w:r w:rsidR="00096A23">
          <w:rPr>
            <w:noProof/>
            <w:webHidden/>
          </w:rPr>
          <w:fldChar w:fldCharType="begin"/>
        </w:r>
        <w:r w:rsidR="00096A23">
          <w:rPr>
            <w:noProof/>
            <w:webHidden/>
          </w:rPr>
          <w:instrText xml:space="preserve"> PAGEREF _Toc18321963 \h </w:instrText>
        </w:r>
        <w:r w:rsidR="00096A23">
          <w:rPr>
            <w:noProof/>
            <w:webHidden/>
          </w:rPr>
        </w:r>
        <w:r w:rsidR="00096A23">
          <w:rPr>
            <w:noProof/>
            <w:webHidden/>
          </w:rPr>
          <w:fldChar w:fldCharType="separate"/>
        </w:r>
        <w:r w:rsidR="00096A23">
          <w:rPr>
            <w:noProof/>
            <w:webHidden/>
          </w:rPr>
          <w:t>18</w:t>
        </w:r>
        <w:r w:rsidR="00096A23">
          <w:rPr>
            <w:noProof/>
            <w:webHidden/>
          </w:rPr>
          <w:fldChar w:fldCharType="end"/>
        </w:r>
      </w:hyperlink>
    </w:p>
    <w:p w14:paraId="48044D40" w14:textId="273970DD" w:rsidR="00096A23" w:rsidRDefault="00DB28D4">
      <w:pPr>
        <w:pStyle w:val="TOC2"/>
        <w:rPr>
          <w:rFonts w:asciiTheme="minorHAnsi" w:eastAsiaTheme="minorEastAsia" w:hAnsiTheme="minorHAnsi" w:cstheme="minorBidi"/>
          <w:noProof/>
          <w:sz w:val="22"/>
          <w:szCs w:val="22"/>
          <w:lang w:eastAsia="en-GB"/>
        </w:rPr>
      </w:pPr>
      <w:hyperlink w:anchor="_Toc18321964" w:history="1">
        <w:r w:rsidR="00096A23" w:rsidRPr="00BB4422">
          <w:rPr>
            <w:rStyle w:val="Hyperlink"/>
            <w:rFonts w:eastAsia="Batang"/>
            <w:noProof/>
          </w:rPr>
          <w:t>7.5 Data Ecosystem dimension</w:t>
        </w:r>
        <w:r w:rsidR="00096A23">
          <w:rPr>
            <w:noProof/>
            <w:webHidden/>
          </w:rPr>
          <w:tab/>
        </w:r>
        <w:r w:rsidR="00096A23">
          <w:rPr>
            <w:noProof/>
            <w:webHidden/>
          </w:rPr>
          <w:fldChar w:fldCharType="begin"/>
        </w:r>
        <w:r w:rsidR="00096A23">
          <w:rPr>
            <w:noProof/>
            <w:webHidden/>
          </w:rPr>
          <w:instrText xml:space="preserve"> PAGEREF _Toc18321964 \h </w:instrText>
        </w:r>
        <w:r w:rsidR="00096A23">
          <w:rPr>
            <w:noProof/>
            <w:webHidden/>
          </w:rPr>
        </w:r>
        <w:r w:rsidR="00096A23">
          <w:rPr>
            <w:noProof/>
            <w:webHidden/>
          </w:rPr>
          <w:fldChar w:fldCharType="separate"/>
        </w:r>
        <w:r w:rsidR="00096A23">
          <w:rPr>
            <w:noProof/>
            <w:webHidden/>
          </w:rPr>
          <w:t>19</w:t>
        </w:r>
        <w:r w:rsidR="00096A23">
          <w:rPr>
            <w:noProof/>
            <w:webHidden/>
          </w:rPr>
          <w:fldChar w:fldCharType="end"/>
        </w:r>
      </w:hyperlink>
    </w:p>
    <w:p w14:paraId="68147D58" w14:textId="29E27D0A" w:rsidR="00096A23" w:rsidRDefault="00DB28D4">
      <w:pPr>
        <w:pStyle w:val="TOC2"/>
        <w:rPr>
          <w:rFonts w:asciiTheme="minorHAnsi" w:eastAsiaTheme="minorEastAsia" w:hAnsiTheme="minorHAnsi" w:cstheme="minorBidi"/>
          <w:noProof/>
          <w:sz w:val="22"/>
          <w:szCs w:val="22"/>
          <w:lang w:eastAsia="en-GB"/>
        </w:rPr>
      </w:pPr>
      <w:hyperlink w:anchor="_Toc18321965" w:history="1">
        <w:r w:rsidR="00096A23" w:rsidRPr="00BB4422">
          <w:rPr>
            <w:rStyle w:val="Hyperlink"/>
            <w:rFonts w:eastAsia="Batang"/>
            <w:noProof/>
          </w:rPr>
          <w:t>7.6 Governance Dimension</w:t>
        </w:r>
        <w:r w:rsidR="00096A23">
          <w:rPr>
            <w:noProof/>
            <w:webHidden/>
          </w:rPr>
          <w:tab/>
        </w:r>
        <w:r w:rsidR="00096A23">
          <w:rPr>
            <w:noProof/>
            <w:webHidden/>
          </w:rPr>
          <w:fldChar w:fldCharType="begin"/>
        </w:r>
        <w:r w:rsidR="00096A23">
          <w:rPr>
            <w:noProof/>
            <w:webHidden/>
          </w:rPr>
          <w:instrText xml:space="preserve"> PAGEREF _Toc18321965 \h </w:instrText>
        </w:r>
        <w:r w:rsidR="00096A23">
          <w:rPr>
            <w:noProof/>
            <w:webHidden/>
          </w:rPr>
        </w:r>
        <w:r w:rsidR="00096A23">
          <w:rPr>
            <w:noProof/>
            <w:webHidden/>
          </w:rPr>
          <w:fldChar w:fldCharType="separate"/>
        </w:r>
        <w:r w:rsidR="00096A23">
          <w:rPr>
            <w:noProof/>
            <w:webHidden/>
          </w:rPr>
          <w:t>20</w:t>
        </w:r>
        <w:r w:rsidR="00096A23">
          <w:rPr>
            <w:noProof/>
            <w:webHidden/>
          </w:rPr>
          <w:fldChar w:fldCharType="end"/>
        </w:r>
      </w:hyperlink>
    </w:p>
    <w:p w14:paraId="751984CA" w14:textId="59D0A5F2" w:rsidR="00096A23" w:rsidRDefault="00DB28D4">
      <w:pPr>
        <w:pStyle w:val="TOC1"/>
        <w:rPr>
          <w:rFonts w:asciiTheme="minorHAnsi" w:eastAsiaTheme="minorEastAsia" w:hAnsiTheme="minorHAnsi" w:cstheme="minorBidi"/>
          <w:noProof/>
          <w:sz w:val="22"/>
          <w:szCs w:val="22"/>
          <w:lang w:eastAsia="en-GB"/>
        </w:rPr>
      </w:pPr>
      <w:hyperlink w:anchor="_Toc18321966" w:history="1">
        <w:r w:rsidR="00096A23" w:rsidRPr="00BB4422">
          <w:rPr>
            <w:rStyle w:val="Hyperlink"/>
            <w:noProof/>
          </w:rPr>
          <w:t>8</w:t>
        </w:r>
        <w:r w:rsidR="00096A23">
          <w:rPr>
            <w:rFonts w:asciiTheme="minorHAnsi" w:eastAsiaTheme="minorEastAsia" w:hAnsiTheme="minorHAnsi" w:cstheme="minorBidi"/>
            <w:noProof/>
            <w:sz w:val="22"/>
            <w:szCs w:val="22"/>
            <w:lang w:eastAsia="en-GB"/>
          </w:rPr>
          <w:tab/>
        </w:r>
        <w:r w:rsidR="00096A23" w:rsidRPr="00BB4422">
          <w:rPr>
            <w:rStyle w:val="Hyperlink"/>
            <w:noProof/>
          </w:rPr>
          <w:t>Common considerations for dimensions</w:t>
        </w:r>
        <w:r w:rsidR="00096A23">
          <w:rPr>
            <w:noProof/>
            <w:webHidden/>
          </w:rPr>
          <w:tab/>
        </w:r>
        <w:r w:rsidR="00096A23">
          <w:rPr>
            <w:noProof/>
            <w:webHidden/>
          </w:rPr>
          <w:fldChar w:fldCharType="begin"/>
        </w:r>
        <w:r w:rsidR="00096A23">
          <w:rPr>
            <w:noProof/>
            <w:webHidden/>
          </w:rPr>
          <w:instrText xml:space="preserve"> PAGEREF _Toc18321966 \h </w:instrText>
        </w:r>
        <w:r w:rsidR="00096A23">
          <w:rPr>
            <w:noProof/>
            <w:webHidden/>
          </w:rPr>
        </w:r>
        <w:r w:rsidR="00096A23">
          <w:rPr>
            <w:noProof/>
            <w:webHidden/>
          </w:rPr>
          <w:fldChar w:fldCharType="separate"/>
        </w:r>
        <w:r w:rsidR="00096A23">
          <w:rPr>
            <w:noProof/>
            <w:webHidden/>
          </w:rPr>
          <w:t>21</w:t>
        </w:r>
        <w:r w:rsidR="00096A23">
          <w:rPr>
            <w:noProof/>
            <w:webHidden/>
          </w:rPr>
          <w:fldChar w:fldCharType="end"/>
        </w:r>
      </w:hyperlink>
    </w:p>
    <w:p w14:paraId="6F0821D5" w14:textId="71C612FA" w:rsidR="00096A23" w:rsidRDefault="00DB28D4">
      <w:pPr>
        <w:pStyle w:val="TOC2"/>
        <w:rPr>
          <w:rFonts w:asciiTheme="minorHAnsi" w:eastAsiaTheme="minorEastAsia" w:hAnsiTheme="minorHAnsi" w:cstheme="minorBidi"/>
          <w:noProof/>
          <w:sz w:val="22"/>
          <w:szCs w:val="22"/>
          <w:lang w:eastAsia="en-GB"/>
        </w:rPr>
      </w:pPr>
      <w:hyperlink w:anchor="_Toc18321967" w:history="1">
        <w:r w:rsidR="00096A23" w:rsidRPr="00BB4422">
          <w:rPr>
            <w:rStyle w:val="Hyperlink"/>
            <w:rFonts w:eastAsia="Batang"/>
            <w:noProof/>
          </w:rPr>
          <w:t>8.1 Interoperability</w:t>
        </w:r>
        <w:r w:rsidR="00096A23">
          <w:rPr>
            <w:noProof/>
            <w:webHidden/>
          </w:rPr>
          <w:tab/>
        </w:r>
        <w:r w:rsidR="00096A23">
          <w:rPr>
            <w:noProof/>
            <w:webHidden/>
          </w:rPr>
          <w:fldChar w:fldCharType="begin"/>
        </w:r>
        <w:r w:rsidR="00096A23">
          <w:rPr>
            <w:noProof/>
            <w:webHidden/>
          </w:rPr>
          <w:instrText xml:space="preserve"> PAGEREF _Toc18321967 \h </w:instrText>
        </w:r>
        <w:r w:rsidR="00096A23">
          <w:rPr>
            <w:noProof/>
            <w:webHidden/>
          </w:rPr>
        </w:r>
        <w:r w:rsidR="00096A23">
          <w:rPr>
            <w:noProof/>
            <w:webHidden/>
          </w:rPr>
          <w:fldChar w:fldCharType="separate"/>
        </w:r>
        <w:r w:rsidR="00096A23">
          <w:rPr>
            <w:noProof/>
            <w:webHidden/>
          </w:rPr>
          <w:t>21</w:t>
        </w:r>
        <w:r w:rsidR="00096A23">
          <w:rPr>
            <w:noProof/>
            <w:webHidden/>
          </w:rPr>
          <w:fldChar w:fldCharType="end"/>
        </w:r>
      </w:hyperlink>
    </w:p>
    <w:p w14:paraId="2606CA50" w14:textId="3261643A" w:rsidR="00096A23" w:rsidRDefault="00DB28D4">
      <w:pPr>
        <w:pStyle w:val="TOC2"/>
        <w:rPr>
          <w:rFonts w:asciiTheme="minorHAnsi" w:eastAsiaTheme="minorEastAsia" w:hAnsiTheme="minorHAnsi" w:cstheme="minorBidi"/>
          <w:noProof/>
          <w:sz w:val="22"/>
          <w:szCs w:val="22"/>
          <w:lang w:eastAsia="en-GB"/>
        </w:rPr>
      </w:pPr>
      <w:hyperlink w:anchor="_Toc18321968" w:history="1">
        <w:r w:rsidR="00096A23" w:rsidRPr="00BB4422">
          <w:rPr>
            <w:rStyle w:val="Hyperlink"/>
            <w:rFonts w:eastAsia="Batang"/>
            <w:noProof/>
          </w:rPr>
          <w:t>8.2 Risk Management</w:t>
        </w:r>
        <w:r w:rsidR="00096A23">
          <w:rPr>
            <w:noProof/>
            <w:webHidden/>
          </w:rPr>
          <w:tab/>
        </w:r>
        <w:r w:rsidR="00096A23">
          <w:rPr>
            <w:noProof/>
            <w:webHidden/>
          </w:rPr>
          <w:fldChar w:fldCharType="begin"/>
        </w:r>
        <w:r w:rsidR="00096A23">
          <w:rPr>
            <w:noProof/>
            <w:webHidden/>
          </w:rPr>
          <w:instrText xml:space="preserve"> PAGEREF _Toc18321968 \h </w:instrText>
        </w:r>
        <w:r w:rsidR="00096A23">
          <w:rPr>
            <w:noProof/>
            <w:webHidden/>
          </w:rPr>
        </w:r>
        <w:r w:rsidR="00096A23">
          <w:rPr>
            <w:noProof/>
            <w:webHidden/>
          </w:rPr>
          <w:fldChar w:fldCharType="separate"/>
        </w:r>
        <w:r w:rsidR="00096A23">
          <w:rPr>
            <w:noProof/>
            <w:webHidden/>
          </w:rPr>
          <w:t>22</w:t>
        </w:r>
        <w:r w:rsidR="00096A23">
          <w:rPr>
            <w:noProof/>
            <w:webHidden/>
          </w:rPr>
          <w:fldChar w:fldCharType="end"/>
        </w:r>
      </w:hyperlink>
    </w:p>
    <w:p w14:paraId="6D8C221F" w14:textId="13830DAA" w:rsidR="00096A23" w:rsidRDefault="00DB28D4">
      <w:pPr>
        <w:pStyle w:val="TOC2"/>
        <w:rPr>
          <w:rFonts w:asciiTheme="minorHAnsi" w:eastAsiaTheme="minorEastAsia" w:hAnsiTheme="minorHAnsi" w:cstheme="minorBidi"/>
          <w:noProof/>
          <w:sz w:val="22"/>
          <w:szCs w:val="22"/>
          <w:lang w:eastAsia="en-GB"/>
        </w:rPr>
      </w:pPr>
      <w:hyperlink w:anchor="_Toc18321969" w:history="1">
        <w:r w:rsidR="00096A23" w:rsidRPr="00BB4422">
          <w:rPr>
            <w:rStyle w:val="Hyperlink"/>
            <w:rFonts w:eastAsia="Batang"/>
            <w:noProof/>
          </w:rPr>
          <w:t>8.3 Data Impact assessments</w:t>
        </w:r>
        <w:r w:rsidR="00096A23">
          <w:rPr>
            <w:noProof/>
            <w:webHidden/>
          </w:rPr>
          <w:tab/>
        </w:r>
        <w:r w:rsidR="00096A23">
          <w:rPr>
            <w:noProof/>
            <w:webHidden/>
          </w:rPr>
          <w:fldChar w:fldCharType="begin"/>
        </w:r>
        <w:r w:rsidR="00096A23">
          <w:rPr>
            <w:noProof/>
            <w:webHidden/>
          </w:rPr>
          <w:instrText xml:space="preserve"> PAGEREF _Toc18321969 \h </w:instrText>
        </w:r>
        <w:r w:rsidR="00096A23">
          <w:rPr>
            <w:noProof/>
            <w:webHidden/>
          </w:rPr>
        </w:r>
        <w:r w:rsidR="00096A23">
          <w:rPr>
            <w:noProof/>
            <w:webHidden/>
          </w:rPr>
          <w:fldChar w:fldCharType="separate"/>
        </w:r>
        <w:r w:rsidR="00096A23">
          <w:rPr>
            <w:noProof/>
            <w:webHidden/>
          </w:rPr>
          <w:t>24</w:t>
        </w:r>
        <w:r w:rsidR="00096A23">
          <w:rPr>
            <w:noProof/>
            <w:webHidden/>
          </w:rPr>
          <w:fldChar w:fldCharType="end"/>
        </w:r>
      </w:hyperlink>
    </w:p>
    <w:p w14:paraId="3405EEE8" w14:textId="272BA8EF" w:rsidR="00096A23" w:rsidRDefault="00DB28D4">
      <w:pPr>
        <w:pStyle w:val="TOC1"/>
        <w:rPr>
          <w:rFonts w:asciiTheme="minorHAnsi" w:eastAsiaTheme="minorEastAsia" w:hAnsiTheme="minorHAnsi" w:cstheme="minorBidi"/>
          <w:noProof/>
          <w:sz w:val="22"/>
          <w:szCs w:val="22"/>
          <w:lang w:eastAsia="en-GB"/>
        </w:rPr>
      </w:pPr>
      <w:hyperlink w:anchor="_Toc18321970" w:history="1">
        <w:r w:rsidR="00096A23" w:rsidRPr="00BB4422">
          <w:rPr>
            <w:rStyle w:val="Hyperlink"/>
            <w:noProof/>
          </w:rPr>
          <w:t xml:space="preserve">Appendix I </w:t>
        </w:r>
        <w:r w:rsidR="00096A23">
          <w:rPr>
            <w:rStyle w:val="Hyperlink"/>
            <w:noProof/>
          </w:rPr>
          <w:t xml:space="preserve">- </w:t>
        </w:r>
        <w:r w:rsidR="00096A23" w:rsidRPr="00BB4422">
          <w:rPr>
            <w:rStyle w:val="Hyperlink"/>
            <w:bCs/>
            <w:noProof/>
          </w:rPr>
          <w:t>Semantic Interoperability Capabilities Example</w:t>
        </w:r>
        <w:r w:rsidR="00096A23">
          <w:rPr>
            <w:noProof/>
            <w:webHidden/>
          </w:rPr>
          <w:tab/>
        </w:r>
        <w:r w:rsidR="00096A23">
          <w:rPr>
            <w:noProof/>
            <w:webHidden/>
          </w:rPr>
          <w:fldChar w:fldCharType="begin"/>
        </w:r>
        <w:r w:rsidR="00096A23">
          <w:rPr>
            <w:noProof/>
            <w:webHidden/>
          </w:rPr>
          <w:instrText xml:space="preserve"> PAGEREF _Toc18321970 \h </w:instrText>
        </w:r>
        <w:r w:rsidR="00096A23">
          <w:rPr>
            <w:noProof/>
            <w:webHidden/>
          </w:rPr>
        </w:r>
        <w:r w:rsidR="00096A23">
          <w:rPr>
            <w:noProof/>
            <w:webHidden/>
          </w:rPr>
          <w:fldChar w:fldCharType="separate"/>
        </w:r>
        <w:r w:rsidR="00096A23">
          <w:rPr>
            <w:noProof/>
            <w:webHidden/>
          </w:rPr>
          <w:t>25</w:t>
        </w:r>
        <w:r w:rsidR="00096A23">
          <w:rPr>
            <w:noProof/>
            <w:webHidden/>
          </w:rPr>
          <w:fldChar w:fldCharType="end"/>
        </w:r>
      </w:hyperlink>
    </w:p>
    <w:p w14:paraId="62AB06A2" w14:textId="4C18A233" w:rsidR="00096A23" w:rsidRDefault="00DB28D4">
      <w:pPr>
        <w:pStyle w:val="TOC1"/>
        <w:rPr>
          <w:rFonts w:asciiTheme="minorHAnsi" w:eastAsiaTheme="minorEastAsia" w:hAnsiTheme="minorHAnsi" w:cstheme="minorBidi"/>
          <w:noProof/>
          <w:sz w:val="22"/>
          <w:szCs w:val="22"/>
          <w:lang w:eastAsia="en-GB"/>
        </w:rPr>
      </w:pPr>
      <w:hyperlink w:anchor="_Toc18321971" w:history="1">
        <w:r w:rsidR="00096A23" w:rsidRPr="00BB4422">
          <w:rPr>
            <w:rStyle w:val="Hyperlink"/>
            <w:noProof/>
            <w:lang w:val="en-US"/>
          </w:rPr>
          <w:t>Bibliography</w:t>
        </w:r>
        <w:r w:rsidR="00096A23">
          <w:rPr>
            <w:noProof/>
            <w:webHidden/>
          </w:rPr>
          <w:tab/>
        </w:r>
        <w:r w:rsidR="00096A23">
          <w:rPr>
            <w:noProof/>
            <w:webHidden/>
          </w:rPr>
          <w:fldChar w:fldCharType="begin"/>
        </w:r>
        <w:r w:rsidR="00096A23">
          <w:rPr>
            <w:noProof/>
            <w:webHidden/>
          </w:rPr>
          <w:instrText xml:space="preserve"> PAGEREF _Toc18321971 \h </w:instrText>
        </w:r>
        <w:r w:rsidR="00096A23">
          <w:rPr>
            <w:noProof/>
            <w:webHidden/>
          </w:rPr>
        </w:r>
        <w:r w:rsidR="00096A23">
          <w:rPr>
            <w:noProof/>
            <w:webHidden/>
          </w:rPr>
          <w:fldChar w:fldCharType="separate"/>
        </w:r>
        <w:r w:rsidR="00096A23">
          <w:rPr>
            <w:noProof/>
            <w:webHidden/>
          </w:rPr>
          <w:t>28</w:t>
        </w:r>
        <w:r w:rsidR="00096A23">
          <w:rPr>
            <w:noProof/>
            <w:webHidden/>
          </w:rPr>
          <w:fldChar w:fldCharType="end"/>
        </w:r>
      </w:hyperlink>
    </w:p>
    <w:p w14:paraId="0EC2EB82" w14:textId="48D7F6DE" w:rsidR="00164EB8" w:rsidRDefault="008B13CD" w:rsidP="00164EB8">
      <w:pPr>
        <w:pStyle w:val="TOC1"/>
        <w:ind w:left="0" w:right="992" w:firstLine="0"/>
        <w:rPr>
          <w:b/>
          <w:sz w:val="28"/>
        </w:rPr>
        <w:sectPr w:rsidR="00164EB8" w:rsidSect="00164EB8">
          <w:pgSz w:w="11907" w:h="16840" w:code="9"/>
          <w:pgMar w:top="1134" w:right="1418" w:bottom="1134" w:left="1418" w:header="720" w:footer="720" w:gutter="0"/>
          <w:cols w:space="720"/>
          <w:docGrid w:linePitch="326"/>
        </w:sectPr>
      </w:pPr>
      <w:r>
        <w:rPr>
          <w:rFonts w:asciiTheme="minorHAnsi" w:eastAsiaTheme="minorEastAsia" w:hAnsiTheme="minorHAnsi" w:cstheme="minorBidi"/>
          <w:noProof/>
          <w:sz w:val="22"/>
          <w:szCs w:val="22"/>
          <w:lang w:val="en-US" w:eastAsia="zh-CN"/>
        </w:rPr>
        <w:fldChar w:fldCharType="end"/>
      </w:r>
    </w:p>
    <w:p w14:paraId="3287BA42" w14:textId="336D9A3D" w:rsidR="008B13CD" w:rsidRDefault="008B13CD" w:rsidP="008B13CD">
      <w:pPr>
        <w:tabs>
          <w:tab w:val="clear" w:pos="794"/>
          <w:tab w:val="clear" w:pos="1191"/>
          <w:tab w:val="clear" w:pos="1588"/>
          <w:tab w:val="clear" w:pos="1985"/>
        </w:tabs>
        <w:overflowPunct/>
        <w:autoSpaceDE/>
        <w:autoSpaceDN/>
        <w:adjustRightInd/>
        <w:spacing w:before="0"/>
        <w:jc w:val="left"/>
        <w:textAlignment w:val="auto"/>
        <w:rPr>
          <w:b/>
          <w:sz w:val="28"/>
        </w:rPr>
      </w:pPr>
      <w:r w:rsidRPr="009440A4">
        <w:rPr>
          <w:b/>
          <w:sz w:val="28"/>
        </w:rPr>
        <w:lastRenderedPageBreak/>
        <w:t xml:space="preserve">Technical Specification </w:t>
      </w:r>
      <w:r>
        <w:rPr>
          <w:b/>
          <w:sz w:val="28"/>
        </w:rPr>
        <w:t>D2.1</w:t>
      </w:r>
    </w:p>
    <w:p w14:paraId="1C013EBC" w14:textId="77777777" w:rsidR="008B13CD" w:rsidRPr="00871F1E" w:rsidRDefault="008B13CD" w:rsidP="008B13CD">
      <w:pPr>
        <w:tabs>
          <w:tab w:val="clear" w:pos="794"/>
          <w:tab w:val="clear" w:pos="1191"/>
          <w:tab w:val="clear" w:pos="1588"/>
          <w:tab w:val="clear" w:pos="1985"/>
        </w:tabs>
        <w:jc w:val="center"/>
        <w:rPr>
          <w:rFonts w:eastAsia="Batang"/>
          <w:b/>
          <w:sz w:val="28"/>
          <w:szCs w:val="28"/>
        </w:rPr>
      </w:pPr>
      <w:r w:rsidRPr="00871F1E">
        <w:rPr>
          <w:rFonts w:eastAsia="Batang"/>
          <w:b/>
          <w:sz w:val="28"/>
          <w:szCs w:val="28"/>
        </w:rPr>
        <w:t>Data Processing and Management Framework for IoT and Smart Cities and Communities</w:t>
      </w:r>
    </w:p>
    <w:p w14:paraId="76D07415" w14:textId="77777777" w:rsidR="008B13CD" w:rsidRPr="009E1AF6" w:rsidRDefault="008B13CD" w:rsidP="008B13CD">
      <w:pPr>
        <w:pStyle w:val="Headingb"/>
      </w:pPr>
      <w:bookmarkStart w:id="18" w:name="_Toc209"/>
      <w:bookmarkStart w:id="19" w:name="_Toc10262"/>
      <w:bookmarkStart w:id="20" w:name="_Toc25413"/>
      <w:bookmarkStart w:id="21" w:name="_Toc10521"/>
      <w:bookmarkStart w:id="22" w:name="_Toc27356"/>
      <w:bookmarkStart w:id="23" w:name="_Toc416344249"/>
      <w:bookmarkStart w:id="24" w:name="_Toc369015744"/>
      <w:bookmarkStart w:id="25" w:name="_Toc351036642"/>
      <w:r w:rsidRPr="009E1AF6">
        <w:rPr>
          <w:rFonts w:hint="eastAsia"/>
        </w:rPr>
        <w:t>Introduction</w:t>
      </w:r>
      <w:bookmarkEnd w:id="18"/>
      <w:bookmarkEnd w:id="19"/>
      <w:bookmarkEnd w:id="20"/>
      <w:bookmarkEnd w:id="21"/>
      <w:bookmarkEnd w:id="22"/>
      <w:bookmarkEnd w:id="23"/>
    </w:p>
    <w:p w14:paraId="360235E7" w14:textId="77777777" w:rsidR="008B13CD" w:rsidRDefault="008B13CD" w:rsidP="008B13CD">
      <w:pPr>
        <w:pStyle w:val="Normal1"/>
      </w:pPr>
      <w:bookmarkStart w:id="26" w:name="_Toc397945026"/>
      <w:bookmarkStart w:id="27" w:name="_Toc400020852"/>
      <w:bookmarkStart w:id="28" w:name="_Toc400106137"/>
      <w:bookmarkStart w:id="29" w:name="_Toc417909866"/>
      <w:r>
        <w:t>Data Processing and Management framework proposes a multi-dimension representation of the data related activities. It provides the abstract view of the DPM capabilities required at each stage of the Data lifecycle considering different inherent aspects to the data such as its source (personal data, legacy data, and public data) and external aspects that are the actions to be applied to the data following the data manipulation, sharing, security and governance requirements and the commercialisation objectives. These actions require a set of DPM capabilities related to each identified dimension.</w:t>
      </w:r>
    </w:p>
    <w:p w14:paraId="0DDAA488" w14:textId="77777777" w:rsidR="008B13CD" w:rsidRPr="00380E8A" w:rsidRDefault="008B13CD" w:rsidP="00C903A6">
      <w:pPr>
        <w:pStyle w:val="Heading1"/>
      </w:pPr>
      <w:bookmarkStart w:id="30" w:name="_Toc18321951"/>
      <w:r w:rsidRPr="00380E8A">
        <w:t>1</w:t>
      </w:r>
      <w:r w:rsidRPr="00380E8A">
        <w:tab/>
      </w:r>
      <w:bookmarkEnd w:id="26"/>
      <w:bookmarkEnd w:id="27"/>
      <w:bookmarkEnd w:id="28"/>
      <w:r w:rsidRPr="00380E8A">
        <w:t>Scope</w:t>
      </w:r>
      <w:bookmarkEnd w:id="29"/>
      <w:bookmarkEnd w:id="30"/>
    </w:p>
    <w:p w14:paraId="17E69F12" w14:textId="77777777" w:rsidR="008B13CD" w:rsidRDefault="008B13CD" w:rsidP="008B13CD">
      <w:pPr>
        <w:pStyle w:val="Normal1"/>
        <w:jc w:val="both"/>
      </w:pPr>
      <w:r>
        <w:t>The Technical Specifications are expected to cover the following:</w:t>
      </w:r>
    </w:p>
    <w:p w14:paraId="057128B8" w14:textId="77777777" w:rsidR="008B13CD" w:rsidRDefault="008B13CD" w:rsidP="008B13CD">
      <w:pPr>
        <w:pStyle w:val="Normal1"/>
        <w:numPr>
          <w:ilvl w:val="0"/>
          <w:numId w:val="3"/>
        </w:numPr>
        <w:pBdr>
          <w:top w:val="nil"/>
          <w:left w:val="nil"/>
          <w:bottom w:val="nil"/>
          <w:right w:val="nil"/>
          <w:between w:val="nil"/>
        </w:pBdr>
        <w:spacing w:before="0"/>
        <w:jc w:val="both"/>
        <w:rPr>
          <w:color w:val="000000"/>
        </w:rPr>
      </w:pPr>
      <w:r>
        <w:rPr>
          <w:color w:val="000000"/>
        </w:rPr>
        <w:t>A high level DPM framework in IoT and smart cities and communities from a capability perspective.</w:t>
      </w:r>
    </w:p>
    <w:p w14:paraId="6133D0A4" w14:textId="77777777" w:rsidR="008B13CD" w:rsidRPr="00AA3DCF" w:rsidRDefault="008B13CD" w:rsidP="008B13CD">
      <w:pPr>
        <w:pStyle w:val="Normal1"/>
        <w:numPr>
          <w:ilvl w:val="0"/>
          <w:numId w:val="3"/>
        </w:numPr>
        <w:pBdr>
          <w:top w:val="nil"/>
          <w:left w:val="nil"/>
          <w:bottom w:val="nil"/>
          <w:right w:val="nil"/>
          <w:between w:val="nil"/>
        </w:pBdr>
        <w:spacing w:before="0"/>
        <w:jc w:val="both"/>
        <w:rPr>
          <w:color w:val="000000"/>
        </w:rPr>
      </w:pPr>
      <w:r>
        <w:rPr>
          <w:color w:val="000000"/>
        </w:rPr>
        <w:t>The identification of the related data processing and management concepts and their relationships</w:t>
      </w:r>
    </w:p>
    <w:p w14:paraId="1BD80D74" w14:textId="77777777" w:rsidR="008B13CD" w:rsidRDefault="008B13CD" w:rsidP="008B13CD">
      <w:pPr>
        <w:pStyle w:val="Normal1"/>
        <w:numPr>
          <w:ilvl w:val="0"/>
          <w:numId w:val="3"/>
        </w:numPr>
        <w:pBdr>
          <w:top w:val="nil"/>
          <w:left w:val="nil"/>
          <w:bottom w:val="nil"/>
          <w:right w:val="nil"/>
          <w:between w:val="nil"/>
        </w:pBdr>
        <w:spacing w:before="0"/>
        <w:jc w:val="both"/>
        <w:rPr>
          <w:color w:val="000000"/>
        </w:rPr>
      </w:pPr>
      <w:r>
        <w:rPr>
          <w:color w:val="000000"/>
        </w:rPr>
        <w:t>Overview of the data value chain in IoT and smart cities and communities;</w:t>
      </w:r>
    </w:p>
    <w:p w14:paraId="4A88E7DE" w14:textId="77777777" w:rsidR="008B13CD" w:rsidRPr="00D63A6F" w:rsidRDefault="008B13CD" w:rsidP="008B13CD">
      <w:pPr>
        <w:pStyle w:val="Normal1"/>
        <w:numPr>
          <w:ilvl w:val="0"/>
          <w:numId w:val="3"/>
        </w:numPr>
        <w:pBdr>
          <w:top w:val="nil"/>
          <w:left w:val="nil"/>
          <w:bottom w:val="nil"/>
          <w:right w:val="nil"/>
          <w:between w:val="nil"/>
        </w:pBdr>
        <w:spacing w:before="0"/>
        <w:jc w:val="both"/>
        <w:rPr>
          <w:color w:val="000000"/>
        </w:rPr>
      </w:pPr>
      <w:r w:rsidRPr="00D63A6F">
        <w:rPr>
          <w:color w:val="000000"/>
        </w:rPr>
        <w:t xml:space="preserve">The </w:t>
      </w:r>
      <w:r>
        <w:rPr>
          <w:color w:val="000000"/>
        </w:rPr>
        <w:t xml:space="preserve">common considerations </w:t>
      </w:r>
      <w:r w:rsidRPr="00D63A6F">
        <w:rPr>
          <w:color w:val="000000"/>
        </w:rPr>
        <w:t xml:space="preserve">of DPM in IoT and smart cities and communities </w:t>
      </w:r>
    </w:p>
    <w:p w14:paraId="0134097E" w14:textId="77777777" w:rsidR="008B13CD" w:rsidRPr="007A7624" w:rsidRDefault="008B13CD" w:rsidP="008B13CD">
      <w:pPr>
        <w:rPr>
          <w:color w:val="000000" w:themeColor="text1"/>
          <w:u w:color="000000"/>
          <w:shd w:val="clear" w:color="auto" w:fill="FFFFFF"/>
        </w:rPr>
      </w:pPr>
      <w:r w:rsidRPr="007A7624">
        <w:rPr>
          <w:color w:val="000000" w:themeColor="text1"/>
          <w:u w:color="000000"/>
          <w:shd w:val="clear" w:color="auto" w:fill="FFFFFF"/>
        </w:rPr>
        <w:t>This document is intended to be used by:</w:t>
      </w:r>
    </w:p>
    <w:p w14:paraId="445CD215" w14:textId="77777777" w:rsidR="008B13CD" w:rsidRPr="007A7624" w:rsidRDefault="008B13CD" w:rsidP="008B13CD">
      <w:pPr>
        <w:spacing w:before="0"/>
        <w:rPr>
          <w:color w:val="000000" w:themeColor="text1"/>
          <w:u w:color="000000"/>
          <w:shd w:val="clear" w:color="auto" w:fill="FFFFFF"/>
        </w:rPr>
      </w:pPr>
      <w:r w:rsidRPr="007A7624">
        <w:rPr>
          <w:color w:val="000000" w:themeColor="text1"/>
          <w:u w:color="000000"/>
          <w:shd w:val="clear" w:color="auto" w:fill="FFFFFF"/>
        </w:rPr>
        <w:t xml:space="preserve">a) </w:t>
      </w:r>
      <w:r>
        <w:rPr>
          <w:color w:val="000000" w:themeColor="text1"/>
          <w:u w:color="000000"/>
          <w:shd w:val="clear" w:color="auto" w:fill="FFFFFF"/>
        </w:rPr>
        <w:t>T</w:t>
      </w:r>
      <w:r w:rsidRPr="007A7624">
        <w:rPr>
          <w:color w:val="000000" w:themeColor="text1"/>
          <w:u w:color="000000"/>
          <w:shd w:val="clear" w:color="auto" w:fill="FFFFFF"/>
        </w:rPr>
        <w:t xml:space="preserve">hose </w:t>
      </w:r>
      <w:r>
        <w:rPr>
          <w:color w:val="000000" w:themeColor="text1"/>
          <w:u w:color="000000"/>
          <w:shd w:val="clear" w:color="auto" w:fill="FFFFFF"/>
        </w:rPr>
        <w:t xml:space="preserve">who are </w:t>
      </w:r>
      <w:r w:rsidRPr="007A7624">
        <w:rPr>
          <w:color w:val="000000" w:themeColor="text1"/>
          <w:u w:color="000000"/>
          <w:shd w:val="clear" w:color="auto" w:fill="FFFFFF"/>
        </w:rPr>
        <w:t>engaged in D</w:t>
      </w:r>
      <w:r>
        <w:rPr>
          <w:color w:val="000000" w:themeColor="text1"/>
          <w:u w:color="000000"/>
          <w:shd w:val="clear" w:color="auto" w:fill="FFFFFF"/>
        </w:rPr>
        <w:t xml:space="preserve">ata </w:t>
      </w:r>
      <w:r w:rsidRPr="007A7624">
        <w:rPr>
          <w:color w:val="000000" w:themeColor="text1"/>
          <w:u w:color="000000"/>
          <w:shd w:val="clear" w:color="auto" w:fill="FFFFFF"/>
        </w:rPr>
        <w:t>P</w:t>
      </w:r>
      <w:r>
        <w:rPr>
          <w:color w:val="000000" w:themeColor="text1"/>
          <w:u w:color="000000"/>
          <w:shd w:val="clear" w:color="auto" w:fill="FFFFFF"/>
        </w:rPr>
        <w:t xml:space="preserve">rocessing and </w:t>
      </w:r>
      <w:r w:rsidRPr="007A7624">
        <w:rPr>
          <w:color w:val="000000" w:themeColor="text1"/>
          <w:u w:color="000000"/>
          <w:shd w:val="clear" w:color="auto" w:fill="FFFFFF"/>
        </w:rPr>
        <w:t>M</w:t>
      </w:r>
      <w:r>
        <w:rPr>
          <w:color w:val="000000" w:themeColor="text1"/>
          <w:u w:color="000000"/>
          <w:shd w:val="clear" w:color="auto" w:fill="FFFFFF"/>
        </w:rPr>
        <w:t xml:space="preserve">anagement </w:t>
      </w:r>
      <w:r w:rsidRPr="007A7624">
        <w:rPr>
          <w:color w:val="000000" w:themeColor="text1"/>
          <w:u w:color="000000"/>
          <w:shd w:val="clear" w:color="auto" w:fill="FFFFFF"/>
        </w:rPr>
        <w:t>activities</w:t>
      </w:r>
      <w:r>
        <w:rPr>
          <w:color w:val="000000" w:themeColor="text1"/>
          <w:u w:color="000000"/>
          <w:shd w:val="clear" w:color="auto" w:fill="FFFFFF"/>
        </w:rPr>
        <w:t>;</w:t>
      </w:r>
    </w:p>
    <w:p w14:paraId="37F44905" w14:textId="77777777" w:rsidR="008B13CD" w:rsidRPr="007A7624" w:rsidRDefault="008B13CD" w:rsidP="008B13CD">
      <w:pPr>
        <w:spacing w:before="0"/>
        <w:rPr>
          <w:color w:val="000000" w:themeColor="text1"/>
          <w:u w:color="000000"/>
          <w:shd w:val="clear" w:color="auto" w:fill="FFFFFF"/>
        </w:rPr>
      </w:pPr>
      <w:r w:rsidRPr="007A7624">
        <w:rPr>
          <w:color w:val="000000" w:themeColor="text1"/>
          <w:u w:color="000000"/>
          <w:shd w:val="clear" w:color="auto" w:fill="FFFFFF"/>
        </w:rPr>
        <w:t xml:space="preserve">b) </w:t>
      </w:r>
      <w:r>
        <w:rPr>
          <w:color w:val="000000" w:themeColor="text1"/>
          <w:u w:color="000000"/>
          <w:shd w:val="clear" w:color="auto" w:fill="FFFFFF"/>
        </w:rPr>
        <w:t>T</w:t>
      </w:r>
      <w:r w:rsidRPr="007A7624">
        <w:rPr>
          <w:color w:val="000000" w:themeColor="text1"/>
          <w:u w:color="000000"/>
          <w:shd w:val="clear" w:color="auto" w:fill="FFFFFF"/>
        </w:rPr>
        <w:t xml:space="preserve">hose </w:t>
      </w:r>
      <w:r>
        <w:rPr>
          <w:color w:val="000000" w:themeColor="text1"/>
          <w:u w:color="000000"/>
          <w:shd w:val="clear" w:color="auto" w:fill="FFFFFF"/>
        </w:rPr>
        <w:t xml:space="preserve">who are </w:t>
      </w:r>
      <w:r w:rsidRPr="007A7624">
        <w:rPr>
          <w:color w:val="000000" w:themeColor="text1"/>
          <w:u w:color="000000"/>
          <w:shd w:val="clear" w:color="auto" w:fill="FFFFFF"/>
        </w:rPr>
        <w:t xml:space="preserve">involved in </w:t>
      </w:r>
      <w:r>
        <w:rPr>
          <w:color w:val="000000" w:themeColor="text1"/>
          <w:u w:color="000000"/>
          <w:shd w:val="clear" w:color="auto" w:fill="FFFFFF"/>
        </w:rPr>
        <w:t xml:space="preserve">data related standardisation </w:t>
      </w:r>
      <w:r w:rsidRPr="007A7624">
        <w:rPr>
          <w:color w:val="000000" w:themeColor="text1"/>
          <w:u w:color="000000"/>
          <w:shd w:val="clear" w:color="auto" w:fill="FFFFFF"/>
        </w:rPr>
        <w:t>activities</w:t>
      </w:r>
      <w:r>
        <w:rPr>
          <w:color w:val="000000" w:themeColor="text1"/>
          <w:u w:color="000000"/>
          <w:shd w:val="clear" w:color="auto" w:fill="FFFFFF"/>
        </w:rPr>
        <w:t>;</w:t>
      </w:r>
    </w:p>
    <w:p w14:paraId="31A21E82" w14:textId="77777777" w:rsidR="008B13CD" w:rsidRPr="00227F2A" w:rsidRDefault="008B13CD" w:rsidP="008B13CD">
      <w:pPr>
        <w:spacing w:before="0"/>
        <w:rPr>
          <w:color w:val="000000" w:themeColor="text1"/>
          <w:u w:color="000000"/>
          <w:shd w:val="clear" w:color="auto" w:fill="FFFFFF"/>
        </w:rPr>
      </w:pPr>
      <w:r>
        <w:rPr>
          <w:color w:val="000000" w:themeColor="text1"/>
          <w:u w:color="000000"/>
          <w:shd w:val="clear" w:color="auto" w:fill="FFFFFF"/>
        </w:rPr>
        <w:t>c) Data processing and management policy makers and regulators.</w:t>
      </w:r>
    </w:p>
    <w:p w14:paraId="337924F6" w14:textId="77777777" w:rsidR="008B13CD" w:rsidRPr="00380E8A" w:rsidRDefault="008B13CD" w:rsidP="00C903A6">
      <w:pPr>
        <w:pStyle w:val="Heading1"/>
      </w:pPr>
      <w:bookmarkStart w:id="31" w:name="_Toc399780200"/>
      <w:bookmarkStart w:id="32" w:name="_Toc8203"/>
      <w:bookmarkStart w:id="33" w:name="_Toc713"/>
      <w:bookmarkStart w:id="34" w:name="_Toc17395"/>
      <w:bookmarkStart w:id="35" w:name="_Toc27777"/>
      <w:bookmarkStart w:id="36" w:name="_Toc21355"/>
      <w:bookmarkStart w:id="37" w:name="_Toc416344251"/>
      <w:bookmarkStart w:id="38" w:name="_Toc417892650"/>
      <w:bookmarkStart w:id="39" w:name="_Toc417909867"/>
      <w:bookmarkStart w:id="40" w:name="_Toc18321952"/>
      <w:bookmarkStart w:id="41" w:name="_Toc7094"/>
      <w:bookmarkStart w:id="42" w:name="_Toc15556"/>
      <w:bookmarkStart w:id="43" w:name="_Toc386726236"/>
      <w:bookmarkStart w:id="44" w:name="_Toc11570"/>
      <w:bookmarkStart w:id="45" w:name="_Toc1816"/>
      <w:bookmarkStart w:id="46" w:name="_Toc17759"/>
      <w:bookmarkStart w:id="47" w:name="_Toc10104"/>
      <w:bookmarkStart w:id="48" w:name="_Toc4284"/>
      <w:r w:rsidRPr="00380E8A">
        <w:t>2</w:t>
      </w:r>
      <w:r w:rsidRPr="00380E8A">
        <w:tab/>
        <w:t>References</w:t>
      </w:r>
      <w:bookmarkEnd w:id="31"/>
      <w:bookmarkEnd w:id="32"/>
      <w:bookmarkEnd w:id="33"/>
      <w:bookmarkEnd w:id="34"/>
      <w:bookmarkEnd w:id="35"/>
      <w:bookmarkEnd w:id="36"/>
      <w:bookmarkEnd w:id="37"/>
      <w:bookmarkEnd w:id="38"/>
      <w:bookmarkEnd w:id="39"/>
      <w:bookmarkEnd w:id="40"/>
    </w:p>
    <w:p w14:paraId="498BD300" w14:textId="77777777" w:rsidR="008B13CD" w:rsidRPr="00E45670" w:rsidRDefault="008B13CD" w:rsidP="008B13CD">
      <w:pPr>
        <w:pStyle w:val="Reftext"/>
        <w:rPr>
          <w:lang w:val="en-US"/>
        </w:rPr>
      </w:pPr>
      <w:bookmarkStart w:id="49" w:name="_Toc416344252"/>
      <w:bookmarkStart w:id="50" w:name="_Toc417892651"/>
      <w:bookmarkStart w:id="51" w:name="_Toc417909868"/>
      <w:bookmarkStart w:id="52" w:name="_Toc399780201"/>
      <w:bookmarkStart w:id="53" w:name="_Toc14537"/>
      <w:bookmarkStart w:id="54" w:name="_Toc17774"/>
      <w:bookmarkStart w:id="55" w:name="_Toc29582"/>
      <w:bookmarkStart w:id="56" w:name="_Toc26566"/>
      <w:bookmarkStart w:id="57" w:name="_Toc287"/>
      <w:bookmarkStart w:id="58" w:name="_Toc17251"/>
      <w:bookmarkStart w:id="59" w:name="_Toc386726237"/>
      <w:bookmarkStart w:id="60" w:name="_Toc13842"/>
      <w:bookmarkStart w:id="61" w:name="_Toc10920"/>
      <w:bookmarkStart w:id="62" w:name="_Toc1011"/>
      <w:bookmarkStart w:id="63" w:name="_Toc20690"/>
      <w:bookmarkStart w:id="64" w:name="_Toc21442"/>
      <w:bookmarkStart w:id="65" w:name="_Toc13608"/>
      <w:bookmarkEnd w:id="41"/>
      <w:bookmarkEnd w:id="42"/>
      <w:bookmarkEnd w:id="43"/>
      <w:bookmarkEnd w:id="44"/>
      <w:bookmarkEnd w:id="45"/>
      <w:bookmarkEnd w:id="46"/>
      <w:bookmarkEnd w:id="47"/>
      <w:bookmarkEnd w:id="48"/>
      <w:r w:rsidRPr="00E45670">
        <w:rPr>
          <w:lang w:val="en-US"/>
        </w:rPr>
        <w:t>None</w:t>
      </w:r>
    </w:p>
    <w:p w14:paraId="142A747B" w14:textId="77777777" w:rsidR="008B13CD" w:rsidRPr="000A212C" w:rsidRDefault="008B13CD" w:rsidP="00C903A6">
      <w:pPr>
        <w:pStyle w:val="Heading1"/>
      </w:pPr>
      <w:bookmarkStart w:id="66" w:name="_Toc18321953"/>
      <w:r w:rsidRPr="000A212C">
        <w:t>3</w:t>
      </w:r>
      <w:r w:rsidRPr="000A212C">
        <w:tab/>
        <w:t>Definitions</w:t>
      </w:r>
      <w:bookmarkEnd w:id="49"/>
      <w:bookmarkEnd w:id="50"/>
      <w:bookmarkEnd w:id="51"/>
      <w:bookmarkEnd w:id="66"/>
    </w:p>
    <w:p w14:paraId="3BC33F1E" w14:textId="77777777" w:rsidR="008B13CD" w:rsidRPr="00515B32" w:rsidRDefault="008B13CD" w:rsidP="008B13CD">
      <w:pPr>
        <w:pStyle w:val="Heading2"/>
        <w:tabs>
          <w:tab w:val="clear" w:pos="794"/>
          <w:tab w:val="clear" w:pos="1191"/>
          <w:tab w:val="clear" w:pos="1588"/>
          <w:tab w:val="clear" w:pos="1985"/>
        </w:tabs>
        <w:jc w:val="left"/>
        <w:rPr>
          <w:rFonts w:eastAsia="Batang"/>
        </w:rPr>
      </w:pPr>
      <w:bookmarkStart w:id="67" w:name="_Toc416344253"/>
      <w:bookmarkStart w:id="68" w:name="_Toc417892652"/>
      <w:bookmarkStart w:id="69" w:name="_Toc417909869"/>
      <w:bookmarkStart w:id="70" w:name="_Toc18321954"/>
      <w:r w:rsidRPr="00515B32">
        <w:rPr>
          <w:rFonts w:eastAsia="Batang"/>
        </w:rPr>
        <w:t>3.1</w:t>
      </w:r>
      <w:r w:rsidRPr="00515B32">
        <w:rPr>
          <w:rFonts w:eastAsia="Batang"/>
        </w:rPr>
        <w:tab/>
        <w:t>Terms defined elsewhere</w:t>
      </w:r>
      <w:bookmarkEnd w:id="67"/>
      <w:bookmarkEnd w:id="68"/>
      <w:bookmarkEnd w:id="69"/>
      <w:bookmarkEnd w:id="70"/>
    </w:p>
    <w:p w14:paraId="4C5930B9" w14:textId="77777777" w:rsidR="008B13CD" w:rsidRPr="00EC2A42" w:rsidRDefault="008B13CD" w:rsidP="008B13CD">
      <w:r w:rsidRPr="00EC2A42">
        <w:t>Th</w:t>
      </w:r>
      <w:r>
        <w:t>ese</w:t>
      </w:r>
      <w:r w:rsidRPr="00EC2A42">
        <w:t xml:space="preserve"> </w:t>
      </w:r>
      <w:r>
        <w:t>Technical Specifications</w:t>
      </w:r>
      <w:r w:rsidRPr="00EC2A42">
        <w:t xml:space="preserve"> use the following terms defined elsewhere:</w:t>
      </w:r>
    </w:p>
    <w:p w14:paraId="14AF0659" w14:textId="77777777" w:rsidR="008B13CD" w:rsidRPr="00E45670" w:rsidRDefault="008B13CD" w:rsidP="008B13CD">
      <w:pPr>
        <w:spacing w:before="0"/>
        <w:rPr>
          <w:rFonts w:eastAsia="DengXian"/>
          <w:color w:val="000000" w:themeColor="text1"/>
        </w:rPr>
      </w:pPr>
      <w:r w:rsidRPr="00806B30">
        <w:rPr>
          <w:rFonts w:eastAsia="DengXian"/>
          <w:b/>
          <w:color w:val="000000"/>
          <w:lang w:val="en-US" w:eastAsia="zh-CN"/>
        </w:rPr>
        <w:t>3.1.1</w:t>
      </w:r>
      <w:r>
        <w:rPr>
          <w:rFonts w:eastAsia="DengXian"/>
          <w:color w:val="000000"/>
          <w:lang w:val="en-US" w:eastAsia="zh-CN"/>
        </w:rPr>
        <w:tab/>
      </w:r>
      <w:r>
        <w:rPr>
          <w:rFonts w:eastAsia="DengXian"/>
          <w:b/>
          <w:color w:val="000000"/>
        </w:rPr>
        <w:t>&lt;</w:t>
      </w:r>
      <w:r w:rsidRPr="00F749FC">
        <w:rPr>
          <w:rFonts w:eastAsia="DengXian"/>
          <w:b/>
          <w:color w:val="000000"/>
        </w:rPr>
        <w:t>application</w:t>
      </w:r>
      <w:r>
        <w:rPr>
          <w:rFonts w:eastAsia="DengXian"/>
          <w:b/>
          <w:color w:val="000000"/>
        </w:rPr>
        <w:t>&gt;</w:t>
      </w:r>
      <w:r w:rsidRPr="00F749FC">
        <w:rPr>
          <w:rFonts w:eastAsia="DengXian" w:hint="eastAsia"/>
          <w:color w:val="000000"/>
        </w:rPr>
        <w:t xml:space="preserve"> </w:t>
      </w:r>
      <w:r w:rsidRPr="00D37945">
        <w:rPr>
          <w:rFonts w:eastAsia="DengXian"/>
          <w:color w:val="000000" w:themeColor="text1"/>
        </w:rPr>
        <w:t>[b-ITU-T Y.2091]: A structured set of capabilities which provide value added functionality supported by one or more services, which may be supported by an API interface.</w:t>
      </w:r>
    </w:p>
    <w:p w14:paraId="19932F58" w14:textId="77777777" w:rsidR="008B13CD" w:rsidRPr="00E45670" w:rsidRDefault="008B13CD" w:rsidP="008B13CD">
      <w:pPr>
        <w:rPr>
          <w:rFonts w:eastAsia="DengXian"/>
          <w:color w:val="000000" w:themeColor="text1"/>
        </w:rPr>
      </w:pPr>
      <w:r w:rsidRPr="00C40A65">
        <w:rPr>
          <w:rFonts w:eastAsia="DengXian"/>
          <w:b/>
          <w:color w:val="000000"/>
        </w:rPr>
        <w:t>3.1.2</w:t>
      </w:r>
      <w:r w:rsidRPr="00F954EB">
        <w:rPr>
          <w:rFonts w:eastAsia="DengXian"/>
          <w:b/>
          <w:color w:val="000000"/>
        </w:rPr>
        <w:tab/>
        <w:t>&lt;</w:t>
      </w:r>
      <w:r w:rsidRPr="00F954EB">
        <w:rPr>
          <w:rFonts w:eastAsia="DengXian" w:hint="eastAsia"/>
          <w:b/>
          <w:color w:val="000000"/>
        </w:rPr>
        <w:t>capabilities</w:t>
      </w:r>
      <w:r w:rsidRPr="00F954EB">
        <w:rPr>
          <w:rFonts w:eastAsia="DengXian"/>
          <w:b/>
          <w:color w:val="000000"/>
        </w:rPr>
        <w:t>&gt;</w:t>
      </w:r>
      <w:r w:rsidRPr="00F954EB">
        <w:rPr>
          <w:rFonts w:eastAsia="DengXian" w:hint="eastAsia"/>
          <w:color w:val="000000"/>
        </w:rPr>
        <w:t xml:space="preserve"> </w:t>
      </w:r>
      <w:r w:rsidRPr="00F954EB">
        <w:rPr>
          <w:rFonts w:eastAsia="DengXian"/>
          <w:color w:val="000000" w:themeColor="text1"/>
        </w:rPr>
        <w:t>[b-ITU-T X.1601]: Quality of being able to perform a given activity.</w:t>
      </w:r>
    </w:p>
    <w:p w14:paraId="3E8C007C" w14:textId="77777777" w:rsidR="008B13CD" w:rsidRPr="00F954EB" w:rsidRDefault="008B13CD" w:rsidP="008B13CD">
      <w:pPr>
        <w:rPr>
          <w:color w:val="000000" w:themeColor="text1"/>
        </w:rPr>
      </w:pPr>
      <w:r w:rsidRPr="00F954EB">
        <w:rPr>
          <w:rFonts w:eastAsia="DengXian"/>
          <w:b/>
          <w:color w:val="000000" w:themeColor="text1"/>
        </w:rPr>
        <w:t>3.1.3</w:t>
      </w:r>
      <w:r w:rsidRPr="00F954EB">
        <w:rPr>
          <w:rFonts w:eastAsia="DengXian"/>
          <w:b/>
          <w:color w:val="000000" w:themeColor="text1"/>
        </w:rPr>
        <w:tab/>
        <w:t xml:space="preserve">&lt;closed data&gt; </w:t>
      </w:r>
      <w:r w:rsidRPr="00F954EB">
        <w:rPr>
          <w:rFonts w:hint="eastAsia"/>
        </w:rPr>
        <w:t>[</w:t>
      </w:r>
      <w:r w:rsidRPr="00E45670">
        <w:rPr>
          <w:bCs/>
          <w:lang w:eastAsia="zh-CN"/>
        </w:rPr>
        <w:t>b-FG-DPM TS D0.1]</w:t>
      </w:r>
      <w:r w:rsidRPr="00C40A65">
        <w:rPr>
          <w:rFonts w:eastAsia="DengXian"/>
          <w:color w:val="000000" w:themeColor="text1"/>
        </w:rPr>
        <w:t xml:space="preserve">: </w:t>
      </w:r>
      <w:r w:rsidRPr="00C40A65">
        <w:rPr>
          <w:color w:val="000000" w:themeColor="text1"/>
        </w:rPr>
        <w:t xml:space="preserve">Data that </w:t>
      </w:r>
      <w:r w:rsidRPr="00F954EB">
        <w:rPr>
          <w:color w:val="000000" w:themeColor="text1"/>
        </w:rPr>
        <w:t>requires access control to be divulgated.</w:t>
      </w:r>
    </w:p>
    <w:p w14:paraId="1BFB73C2" w14:textId="77777777" w:rsidR="008B13CD" w:rsidRPr="00F954EB" w:rsidRDefault="008B13CD" w:rsidP="008B13CD">
      <w:pPr>
        <w:rPr>
          <w:rFonts w:eastAsia="DengXian"/>
          <w:color w:val="000000"/>
        </w:rPr>
      </w:pPr>
    </w:p>
    <w:p w14:paraId="1894A3BC" w14:textId="77777777" w:rsidR="008B13CD" w:rsidRPr="00F954EB" w:rsidRDefault="008B13CD" w:rsidP="008B13CD">
      <w:pPr>
        <w:rPr>
          <w:rFonts w:eastAsia="DengXian"/>
          <w:color w:val="000000" w:themeColor="text1"/>
        </w:rPr>
      </w:pPr>
      <w:r w:rsidRPr="00E45670">
        <w:rPr>
          <w:rFonts w:eastAsia="Microsoft YaHei"/>
          <w:b/>
        </w:rPr>
        <w:t>3.1.4</w:t>
      </w:r>
      <w:r w:rsidRPr="00E45670">
        <w:rPr>
          <w:rFonts w:eastAsia="Microsoft YaHei"/>
          <w:b/>
        </w:rPr>
        <w:tab/>
        <w:t>&lt;data</w:t>
      </w:r>
      <w:r w:rsidRPr="00C40A65">
        <w:rPr>
          <w:rFonts w:eastAsia="Microsoft YaHei"/>
        </w:rPr>
        <w:t xml:space="preserve">&gt; </w:t>
      </w:r>
      <w:r w:rsidRPr="00F954EB">
        <w:rPr>
          <w:rFonts w:eastAsia="DengXian"/>
          <w:color w:val="000000" w:themeColor="text1"/>
        </w:rPr>
        <w:t xml:space="preserve">[b-ISO 16091:2018]: Information represented in a manner suitable for automatic processing. </w:t>
      </w:r>
    </w:p>
    <w:p w14:paraId="195A1700" w14:textId="77777777" w:rsidR="008B13CD" w:rsidRPr="00F954EB" w:rsidRDefault="008B13CD" w:rsidP="008B13CD">
      <w:pPr>
        <w:rPr>
          <w:rFonts w:eastAsia="DengXian"/>
          <w:b/>
          <w:color w:val="000000"/>
        </w:rPr>
      </w:pPr>
      <w:r w:rsidRPr="00F954EB">
        <w:rPr>
          <w:rFonts w:eastAsia="DengXian"/>
          <w:b/>
          <w:color w:val="000000"/>
        </w:rPr>
        <w:t>3.1.5</w:t>
      </w:r>
      <w:r w:rsidRPr="00F954EB">
        <w:rPr>
          <w:rFonts w:eastAsia="DengXian"/>
          <w:b/>
          <w:color w:val="000000"/>
        </w:rPr>
        <w:tab/>
        <w:t xml:space="preserve">&lt;data commercialization&gt; </w:t>
      </w:r>
      <w:r w:rsidRPr="00F954EB">
        <w:rPr>
          <w:rFonts w:hint="eastAsia"/>
        </w:rPr>
        <w:t>[</w:t>
      </w:r>
      <w:r w:rsidRPr="00E45670">
        <w:rPr>
          <w:bCs/>
          <w:lang w:eastAsia="zh-CN"/>
        </w:rPr>
        <w:t>b-FG-DPM TS D0.1]</w:t>
      </w:r>
      <w:r w:rsidRPr="00C40A65">
        <w:rPr>
          <w:bCs/>
          <w:lang w:eastAsia="zh-CN"/>
        </w:rPr>
        <w:t xml:space="preserve">: </w:t>
      </w:r>
      <w:r w:rsidRPr="00F954EB">
        <w:rPr>
          <w:rFonts w:eastAsia="DengXian"/>
          <w:color w:val="000000" w:themeColor="text1"/>
        </w:rPr>
        <w:t xml:space="preserve">The process of creating commercial value from data. </w:t>
      </w:r>
    </w:p>
    <w:p w14:paraId="30311B37" w14:textId="77777777" w:rsidR="008B13CD" w:rsidRPr="00E45670" w:rsidRDefault="008B13CD" w:rsidP="008B13CD">
      <w:pPr>
        <w:rPr>
          <w:rFonts w:eastAsia="DengXian"/>
          <w:color w:val="000000" w:themeColor="text1"/>
        </w:rPr>
      </w:pPr>
      <w:r w:rsidRPr="00F954EB">
        <w:rPr>
          <w:rFonts w:eastAsia="DengXian"/>
          <w:color w:val="000000" w:themeColor="text1"/>
        </w:rPr>
        <w:t>NOTE – It may encompass various activities, including but not limited to, monetization, valuation, pricing, licensing, distribution, marketing and sales.</w:t>
      </w:r>
    </w:p>
    <w:p w14:paraId="66EDDA01" w14:textId="77777777" w:rsidR="008B13CD" w:rsidRPr="00E45670" w:rsidRDefault="008B13CD" w:rsidP="008B13CD">
      <w:pPr>
        <w:rPr>
          <w:rFonts w:eastAsia="DengXian"/>
          <w:b/>
          <w:color w:val="000000" w:themeColor="text1"/>
        </w:rPr>
      </w:pPr>
      <w:r w:rsidRPr="00F954EB">
        <w:rPr>
          <w:rFonts w:eastAsia="DengXian"/>
          <w:b/>
          <w:color w:val="000000"/>
        </w:rPr>
        <w:lastRenderedPageBreak/>
        <w:t>3.1.6</w:t>
      </w:r>
      <w:r w:rsidRPr="00F954EB">
        <w:rPr>
          <w:rFonts w:eastAsia="DengXian"/>
          <w:b/>
          <w:color w:val="000000"/>
        </w:rPr>
        <w:tab/>
        <w:t>&lt;</w:t>
      </w:r>
      <w:r w:rsidRPr="00F954EB">
        <w:rPr>
          <w:rFonts w:eastAsia="DengXian"/>
          <w:b/>
          <w:color w:val="000000" w:themeColor="text1"/>
        </w:rPr>
        <w:t xml:space="preserve">data exchange&gt; </w:t>
      </w:r>
      <w:r w:rsidRPr="00F954EB">
        <w:rPr>
          <w:rFonts w:hint="eastAsia"/>
        </w:rPr>
        <w:t>[</w:t>
      </w:r>
      <w:r w:rsidRPr="00E45670">
        <w:rPr>
          <w:bCs/>
          <w:lang w:eastAsia="zh-CN"/>
        </w:rPr>
        <w:t>b-FG-DPM TS D0.1]</w:t>
      </w:r>
      <w:r w:rsidRPr="00C40A65">
        <w:rPr>
          <w:rFonts w:eastAsia="DengXian"/>
          <w:b/>
          <w:color w:val="000000" w:themeColor="text1"/>
        </w:rPr>
        <w:t xml:space="preserve">: </w:t>
      </w:r>
      <w:r w:rsidRPr="00F954EB">
        <w:rPr>
          <w:rFonts w:eastAsia="DengXian"/>
          <w:bCs/>
          <w:color w:val="000000" w:themeColor="text1"/>
        </w:rPr>
        <w:t>Accessing, transferring and archiving of data.</w:t>
      </w:r>
    </w:p>
    <w:p w14:paraId="4DD14E13" w14:textId="77777777" w:rsidR="008B13CD" w:rsidRPr="00E45670" w:rsidRDefault="008B13CD" w:rsidP="008B13CD">
      <w:pPr>
        <w:rPr>
          <w:rFonts w:eastAsia="DengXian"/>
          <w:b/>
          <w:color w:val="000000"/>
        </w:rPr>
      </w:pPr>
      <w:r w:rsidRPr="00E45670">
        <w:rPr>
          <w:rFonts w:eastAsia="DengXian"/>
          <w:b/>
          <w:color w:val="000000"/>
        </w:rPr>
        <w:t>3.1.7</w:t>
      </w:r>
      <w:r w:rsidRPr="00E45670">
        <w:rPr>
          <w:rFonts w:eastAsia="DengXian"/>
          <w:b/>
          <w:color w:val="000000"/>
        </w:rPr>
        <w:tab/>
        <w:t>&lt;data governance</w:t>
      </w:r>
      <w:r w:rsidRPr="00C40A65">
        <w:rPr>
          <w:rFonts w:eastAsia="DengXian"/>
          <w:b/>
          <w:color w:val="000000"/>
        </w:rPr>
        <w:t xml:space="preserve">&gt; </w:t>
      </w:r>
      <w:r w:rsidRPr="00F954EB">
        <w:rPr>
          <w:rFonts w:hint="eastAsia"/>
        </w:rPr>
        <w:t>[</w:t>
      </w:r>
      <w:r w:rsidRPr="00E45670">
        <w:rPr>
          <w:bCs/>
          <w:lang w:eastAsia="zh-CN"/>
        </w:rPr>
        <w:t>b-FG-DPM TS D0.1]</w:t>
      </w:r>
      <w:r w:rsidRPr="00C40A65">
        <w:rPr>
          <w:bCs/>
          <w:lang w:eastAsia="zh-CN"/>
        </w:rPr>
        <w:t xml:space="preserve">: </w:t>
      </w:r>
      <w:r w:rsidRPr="00F954EB">
        <w:rPr>
          <w:rFonts w:eastAsia="DengXian"/>
          <w:color w:val="000000" w:themeColor="text1"/>
        </w:rPr>
        <w:t>Set of activities aimed to design, implement and monitor a strategic plan for data asset management.</w:t>
      </w:r>
    </w:p>
    <w:p w14:paraId="71AD1673" w14:textId="77777777" w:rsidR="008B13CD" w:rsidRPr="00F954EB" w:rsidRDefault="008B13CD" w:rsidP="008B13CD">
      <w:pPr>
        <w:rPr>
          <w:rFonts w:eastAsia="DengXian"/>
          <w:color w:val="000000" w:themeColor="text1"/>
        </w:rPr>
      </w:pPr>
      <w:r w:rsidRPr="00E45670">
        <w:rPr>
          <w:rFonts w:eastAsia="DengXian"/>
          <w:b/>
          <w:color w:val="000000"/>
        </w:rPr>
        <w:t>3.1.8</w:t>
      </w:r>
      <w:r w:rsidRPr="00E45670">
        <w:rPr>
          <w:rFonts w:eastAsia="DengXian"/>
          <w:b/>
          <w:color w:val="000000"/>
        </w:rPr>
        <w:tab/>
        <w:t>&lt;data management</w:t>
      </w:r>
      <w:r w:rsidRPr="00C40A65">
        <w:rPr>
          <w:rFonts w:eastAsia="DengXian"/>
          <w:b/>
          <w:color w:val="000000"/>
        </w:rPr>
        <w:t>&gt;</w:t>
      </w:r>
      <w:r w:rsidRPr="00F954EB">
        <w:rPr>
          <w:rFonts w:eastAsia="DengXian" w:hint="eastAsia"/>
          <w:color w:val="000000"/>
        </w:rPr>
        <w:t xml:space="preserve"> </w:t>
      </w:r>
      <w:r w:rsidRPr="00F954EB">
        <w:rPr>
          <w:rFonts w:eastAsia="DengXian"/>
          <w:color w:val="000000" w:themeColor="text1"/>
        </w:rPr>
        <w:t>[b-ISO/IEC TR 10032:2003]: The activities of defining, creating, storing, maintaining and providing access to data and associated processes in one or more information systems.</w:t>
      </w:r>
    </w:p>
    <w:p w14:paraId="18433B08" w14:textId="77777777" w:rsidR="008B13CD" w:rsidRPr="00E45670" w:rsidRDefault="008B13CD" w:rsidP="008B13CD">
      <w:pPr>
        <w:rPr>
          <w:rFonts w:eastAsia="DengXian"/>
          <w:b/>
          <w:color w:val="000000"/>
        </w:rPr>
      </w:pPr>
      <w:r w:rsidRPr="00F954EB">
        <w:rPr>
          <w:rFonts w:eastAsia="DengXian"/>
          <w:b/>
          <w:color w:val="000000"/>
        </w:rPr>
        <w:t>3.1.9</w:t>
      </w:r>
      <w:r w:rsidRPr="00F954EB">
        <w:rPr>
          <w:rFonts w:eastAsia="DengXian"/>
          <w:b/>
          <w:color w:val="000000"/>
        </w:rPr>
        <w:tab/>
        <w:t>&lt;</w:t>
      </w:r>
      <w:r w:rsidRPr="00E45670">
        <w:rPr>
          <w:rFonts w:eastAsia="DengXian"/>
          <w:b/>
          <w:color w:val="000000"/>
        </w:rPr>
        <w:t>data marketplace</w:t>
      </w:r>
      <w:r w:rsidRPr="00C40A65">
        <w:rPr>
          <w:rFonts w:eastAsia="DengXian"/>
          <w:b/>
          <w:color w:val="000000"/>
        </w:rPr>
        <w:t>&gt;</w:t>
      </w:r>
      <w:r w:rsidRPr="00F954EB">
        <w:rPr>
          <w:rFonts w:eastAsia="DengXian"/>
          <w:b/>
          <w:color w:val="000000"/>
        </w:rPr>
        <w:t xml:space="preserve"> </w:t>
      </w:r>
      <w:r w:rsidRPr="00F954EB">
        <w:rPr>
          <w:rFonts w:hint="eastAsia"/>
        </w:rPr>
        <w:t>[</w:t>
      </w:r>
      <w:r w:rsidRPr="00E45670">
        <w:rPr>
          <w:bCs/>
          <w:lang w:eastAsia="zh-CN"/>
        </w:rPr>
        <w:t>b-FG-DPM TS D0.1]</w:t>
      </w:r>
      <w:r w:rsidRPr="00C40A65">
        <w:rPr>
          <w:bCs/>
          <w:lang w:eastAsia="zh-CN"/>
        </w:rPr>
        <w:t xml:space="preserve">: </w:t>
      </w:r>
      <w:r w:rsidRPr="00F954EB">
        <w:rPr>
          <w:rFonts w:eastAsia="DengXian"/>
          <w:color w:val="000000" w:themeColor="text1"/>
        </w:rPr>
        <w:t>An electronic marketplace whose main product is provisioning of data and/or related services around data.</w:t>
      </w:r>
    </w:p>
    <w:p w14:paraId="663C621E" w14:textId="77777777" w:rsidR="008B13CD" w:rsidRPr="00F954EB" w:rsidRDefault="008B13CD" w:rsidP="008B13CD">
      <w:pPr>
        <w:rPr>
          <w:rFonts w:eastAsia="DengXian"/>
          <w:color w:val="000000" w:themeColor="text1"/>
        </w:rPr>
      </w:pPr>
      <w:r w:rsidRPr="00F954EB">
        <w:rPr>
          <w:rFonts w:eastAsia="DengXian"/>
          <w:b/>
          <w:color w:val="000000"/>
        </w:rPr>
        <w:t>3.1.10</w:t>
      </w:r>
      <w:r w:rsidRPr="00F954EB">
        <w:rPr>
          <w:rFonts w:eastAsia="DengXian"/>
          <w:b/>
          <w:color w:val="000000"/>
        </w:rPr>
        <w:tab/>
        <w:t>&lt;</w:t>
      </w:r>
      <w:r w:rsidRPr="00F954EB">
        <w:rPr>
          <w:rFonts w:eastAsia="DengXian" w:hint="eastAsia"/>
          <w:b/>
          <w:color w:val="000000"/>
        </w:rPr>
        <w:t>d</w:t>
      </w:r>
      <w:r w:rsidRPr="00E45670">
        <w:rPr>
          <w:rFonts w:eastAsia="DengXian"/>
          <w:b/>
          <w:color w:val="000000"/>
        </w:rPr>
        <w:t>ata processing</w:t>
      </w:r>
      <w:r w:rsidRPr="00C40A65">
        <w:rPr>
          <w:rFonts w:eastAsia="DengXian"/>
          <w:b/>
          <w:color w:val="000000"/>
        </w:rPr>
        <w:t>&gt;</w:t>
      </w:r>
      <w:r w:rsidRPr="00F954EB">
        <w:rPr>
          <w:rFonts w:eastAsia="DengXian" w:hint="eastAsia"/>
          <w:color w:val="000000"/>
        </w:rPr>
        <w:t xml:space="preserve"> </w:t>
      </w:r>
      <w:r w:rsidRPr="00F954EB">
        <w:rPr>
          <w:rFonts w:eastAsia="DengXian"/>
          <w:color w:val="000000" w:themeColor="text1"/>
        </w:rPr>
        <w:t xml:space="preserve">[b-ISO 5127:2017]: </w:t>
      </w:r>
      <w:r w:rsidRPr="00F954EB">
        <w:rPr>
          <w:rFonts w:eastAsia="Times New Roman"/>
          <w:color w:val="000000" w:themeColor="text1"/>
          <w:shd w:val="clear" w:color="auto" w:fill="FFFFFF"/>
        </w:rPr>
        <w:t>Systematic performance of operations upon data.</w:t>
      </w:r>
      <w:r w:rsidRPr="00F954EB" w:rsidDel="00D54CA9">
        <w:rPr>
          <w:rFonts w:eastAsia="DengXian"/>
          <w:color w:val="000000" w:themeColor="text1"/>
        </w:rPr>
        <w:t xml:space="preserve"> </w:t>
      </w:r>
    </w:p>
    <w:p w14:paraId="358D0C4A" w14:textId="77777777" w:rsidR="008B13CD" w:rsidRPr="00F954EB" w:rsidRDefault="008B13CD" w:rsidP="008B13CD">
      <w:pPr>
        <w:rPr>
          <w:rFonts w:eastAsia="DengXian"/>
          <w:color w:val="000000" w:themeColor="text1"/>
        </w:rPr>
      </w:pPr>
      <w:r w:rsidRPr="00F954EB">
        <w:rPr>
          <w:rFonts w:eastAsia="DengXian"/>
          <w:b/>
          <w:color w:val="000000"/>
        </w:rPr>
        <w:t>3.1.11</w:t>
      </w:r>
      <w:r w:rsidRPr="00F954EB">
        <w:rPr>
          <w:rFonts w:eastAsia="DengXian"/>
          <w:b/>
          <w:color w:val="000000"/>
        </w:rPr>
        <w:tab/>
        <w:t>&lt;</w:t>
      </w:r>
      <w:r w:rsidRPr="00F954EB">
        <w:rPr>
          <w:rFonts w:eastAsia="Microsoft YaHei"/>
          <w:b/>
        </w:rPr>
        <w:t>data processing and management</w:t>
      </w:r>
      <w:r w:rsidRPr="00E45670">
        <w:rPr>
          <w:rFonts w:eastAsia="Microsoft YaHei"/>
          <w:b/>
        </w:rPr>
        <w:t xml:space="preserve"> (DPM)&gt;</w:t>
      </w:r>
      <w:r w:rsidRPr="00E45670">
        <w:rPr>
          <w:rFonts w:eastAsia="Microsoft YaHei"/>
          <w:b/>
          <w:i/>
        </w:rPr>
        <w:t xml:space="preserve"> </w:t>
      </w:r>
      <w:r w:rsidRPr="00E45670">
        <w:rPr>
          <w:rFonts w:hint="eastAsia"/>
        </w:rPr>
        <w:t>[</w:t>
      </w:r>
      <w:r w:rsidRPr="00E45670">
        <w:rPr>
          <w:bCs/>
          <w:lang w:eastAsia="zh-CN"/>
        </w:rPr>
        <w:t>b-FG-DPM TS D0.1]</w:t>
      </w:r>
      <w:r w:rsidRPr="00C40A65">
        <w:rPr>
          <w:bCs/>
          <w:lang w:eastAsia="zh-CN"/>
        </w:rPr>
        <w:t>:</w:t>
      </w:r>
      <w:r w:rsidRPr="00F954EB">
        <w:rPr>
          <w:color w:val="000000" w:themeColor="text1"/>
        </w:rPr>
        <w:t xml:space="preserve"> T</w:t>
      </w:r>
      <w:r w:rsidRPr="00F954EB">
        <w:rPr>
          <w:rFonts w:eastAsia="DengXian"/>
          <w:color w:val="000000" w:themeColor="text1"/>
        </w:rPr>
        <w:t xml:space="preserve">he combination of all activities either directly performed on or indirectly influencing data. </w:t>
      </w:r>
    </w:p>
    <w:p w14:paraId="7F1D423A" w14:textId="77777777" w:rsidR="008B13CD" w:rsidRPr="00E45670" w:rsidRDefault="008B13CD" w:rsidP="008B13CD">
      <w:pPr>
        <w:rPr>
          <w:rFonts w:eastAsia="DengXian"/>
          <w:color w:val="000000" w:themeColor="text1"/>
        </w:rPr>
      </w:pPr>
      <w:r w:rsidRPr="00E45670">
        <w:rPr>
          <w:rFonts w:eastAsia="DengXian"/>
          <w:color w:val="000000" w:themeColor="text1"/>
        </w:rPr>
        <w:t xml:space="preserve">NOTE 1 - Directly performed activities include among others [collecting/acquiring/capturing], exchanging, storing, securing, manipulating, reusing, aggregating, curating, disposing, monetizing and deleting data. </w:t>
      </w:r>
    </w:p>
    <w:p w14:paraId="2082B8FD" w14:textId="77777777" w:rsidR="008B13CD" w:rsidRPr="00E45670" w:rsidRDefault="008B13CD" w:rsidP="008B13CD">
      <w:pPr>
        <w:rPr>
          <w:rFonts w:eastAsia="DengXian"/>
          <w:color w:val="000000" w:themeColor="text1"/>
        </w:rPr>
      </w:pPr>
      <w:r w:rsidRPr="00E45670">
        <w:rPr>
          <w:rFonts w:eastAsia="DengXian"/>
          <w:color w:val="000000" w:themeColor="text1"/>
        </w:rPr>
        <w:t xml:space="preserve">NOTE 2 - Indirectly influencing activities include among others policy and standards making, skills and innovation enhancement. </w:t>
      </w:r>
    </w:p>
    <w:p w14:paraId="51FF7695" w14:textId="77777777" w:rsidR="008B13CD" w:rsidRPr="00E45670" w:rsidRDefault="008B13CD" w:rsidP="008B13CD">
      <w:pPr>
        <w:rPr>
          <w:color w:val="000000" w:themeColor="text1"/>
        </w:rPr>
      </w:pPr>
      <w:r w:rsidRPr="00F954EB">
        <w:rPr>
          <w:b/>
        </w:rPr>
        <w:t>3.1.12</w:t>
      </w:r>
      <w:r w:rsidRPr="00F954EB">
        <w:rPr>
          <w:b/>
        </w:rPr>
        <w:tab/>
        <w:t>&lt;data sharing&gt;</w:t>
      </w:r>
      <w:r w:rsidRPr="00F954EB">
        <w:rPr>
          <w:rFonts w:eastAsia="Microsoft YaHei"/>
          <w:b/>
        </w:rPr>
        <w:t xml:space="preserve"> </w:t>
      </w:r>
      <w:r w:rsidRPr="00E45670">
        <w:t>[</w:t>
      </w:r>
      <w:r w:rsidRPr="00E45670">
        <w:rPr>
          <w:bCs/>
          <w:lang w:eastAsia="zh-CN"/>
        </w:rPr>
        <w:t>b-FG-DPM TS D0.1]</w:t>
      </w:r>
      <w:r w:rsidRPr="00C40A65">
        <w:rPr>
          <w:bCs/>
          <w:lang w:eastAsia="zh-CN"/>
        </w:rPr>
        <w:t>:</w:t>
      </w:r>
      <w:r w:rsidRPr="00F954EB">
        <w:rPr>
          <w:color w:val="000000" w:themeColor="text1"/>
        </w:rPr>
        <w:t xml:space="preserve"> The process of data exchange among different parties with specified conditions.  </w:t>
      </w:r>
    </w:p>
    <w:p w14:paraId="50752691" w14:textId="77777777" w:rsidR="008B13CD" w:rsidRPr="00F954EB" w:rsidRDefault="008B13CD" w:rsidP="008B13CD">
      <w:pPr>
        <w:pStyle w:val="NormalWeb"/>
        <w:shd w:val="clear" w:color="auto" w:fill="FFFFFF"/>
        <w:spacing w:before="0" w:beforeAutospacing="0" w:after="0" w:afterAutospacing="0"/>
        <w:rPr>
          <w:color w:val="222222"/>
        </w:rPr>
      </w:pPr>
      <w:r w:rsidRPr="00F954EB">
        <w:rPr>
          <w:rFonts w:eastAsia="DengXian"/>
          <w:b/>
          <w:color w:val="000000"/>
        </w:rPr>
        <w:t>3.1.13</w:t>
      </w:r>
      <w:r w:rsidRPr="00F954EB">
        <w:rPr>
          <w:rFonts w:eastAsia="DengXian"/>
          <w:b/>
          <w:color w:val="000000"/>
        </w:rPr>
        <w:tab/>
        <w:t>&lt;e</w:t>
      </w:r>
      <w:r w:rsidRPr="00E45670">
        <w:rPr>
          <w:rFonts w:eastAsia="DengXian"/>
          <w:b/>
          <w:color w:val="000000"/>
        </w:rPr>
        <w:t>cosystem</w:t>
      </w:r>
      <w:r w:rsidRPr="00C40A65">
        <w:rPr>
          <w:rFonts w:eastAsia="DengXian"/>
          <w:b/>
          <w:color w:val="000000"/>
        </w:rPr>
        <w:t xml:space="preserve">&gt; </w:t>
      </w:r>
      <w:r w:rsidRPr="00F954EB">
        <w:rPr>
          <w:rFonts w:hint="eastAsia"/>
        </w:rPr>
        <w:t>[</w:t>
      </w:r>
      <w:r w:rsidRPr="00E45670">
        <w:rPr>
          <w:bCs/>
        </w:rPr>
        <w:t>b-FG-DPM TS D0.1]</w:t>
      </w:r>
      <w:r w:rsidRPr="00C40A65">
        <w:rPr>
          <w:bCs/>
        </w:rPr>
        <w:t>:</w:t>
      </w:r>
      <w:r w:rsidRPr="00F954EB">
        <w:rPr>
          <w:bCs/>
        </w:rPr>
        <w:t xml:space="preserve"> </w:t>
      </w:r>
      <w:r w:rsidRPr="00F954EB">
        <w:rPr>
          <w:color w:val="222222"/>
        </w:rPr>
        <w:t>A set of organisations forming a distributed system with both technical and non-technical properties.</w:t>
      </w:r>
    </w:p>
    <w:p w14:paraId="39556CDB" w14:textId="77777777" w:rsidR="008B13CD" w:rsidRPr="00E45670" w:rsidRDefault="008B13CD" w:rsidP="008B13CD">
      <w:pPr>
        <w:rPr>
          <w:rFonts w:eastAsia="DengXian"/>
          <w:b/>
          <w:color w:val="000000"/>
        </w:rPr>
      </w:pPr>
      <w:r w:rsidRPr="00F954EB">
        <w:rPr>
          <w:color w:val="222222"/>
        </w:rPr>
        <w:t>NOTE - In DPM, ecosystem refers to a data ecosystem, which is comprised of the technical and non-technical factors and mechanisms which directly or indirectly impact DPM activities in an ecosystem, based on various degrees of interoperability. Factors and mechanisms incl</w:t>
      </w:r>
      <w:r w:rsidRPr="00E45670">
        <w:rPr>
          <w:color w:val="222222"/>
        </w:rPr>
        <w:t>ude, but are not limited to, data laws, regulations and policies, data standards, data skills, data research and development programs, data entrepreneurship, data economy financial incentives and data platforms.</w:t>
      </w:r>
    </w:p>
    <w:p w14:paraId="1D3DE1C8" w14:textId="77777777" w:rsidR="008B13CD" w:rsidRPr="00E45670" w:rsidRDefault="008B13CD" w:rsidP="008B13CD">
      <w:pPr>
        <w:rPr>
          <w:rFonts w:eastAsia="DengXian"/>
          <w:color w:val="000000" w:themeColor="text1"/>
        </w:rPr>
      </w:pPr>
      <w:r w:rsidRPr="00F954EB">
        <w:rPr>
          <w:b/>
          <w:bCs/>
        </w:rPr>
        <w:t>3.1.1</w:t>
      </w:r>
      <w:r w:rsidRPr="00E45670">
        <w:rPr>
          <w:b/>
          <w:bCs/>
        </w:rPr>
        <w:t>4</w:t>
      </w:r>
      <w:r w:rsidRPr="00E45670">
        <w:rPr>
          <w:b/>
          <w:bCs/>
        </w:rPr>
        <w:tab/>
      </w:r>
      <w:r w:rsidRPr="00E45670">
        <w:rPr>
          <w:rFonts w:eastAsia="DengXian"/>
          <w:b/>
          <w:color w:val="000000"/>
        </w:rPr>
        <w:t>&lt;</w:t>
      </w:r>
      <w:r w:rsidRPr="00E45670">
        <w:rPr>
          <w:rFonts w:eastAsia="DengXian" w:hint="eastAsia"/>
          <w:b/>
          <w:color w:val="000000"/>
        </w:rPr>
        <w:t>Internet of Things</w:t>
      </w:r>
      <w:r w:rsidRPr="00E45670">
        <w:rPr>
          <w:rFonts w:eastAsia="DengXian"/>
          <w:b/>
          <w:color w:val="000000"/>
        </w:rPr>
        <w:t xml:space="preserve">&gt; </w:t>
      </w:r>
      <w:r w:rsidRPr="00E45670">
        <w:rPr>
          <w:rFonts w:eastAsia="DengXian"/>
          <w:color w:val="000000" w:themeColor="text1"/>
        </w:rPr>
        <w:t xml:space="preserve">[b-ITU-T </w:t>
      </w:r>
      <w:r w:rsidRPr="00E45670">
        <w:rPr>
          <w:rFonts w:eastAsia="DengXian"/>
          <w:color w:val="000000"/>
        </w:rPr>
        <w:t>Y.4000</w:t>
      </w:r>
      <w:r w:rsidRPr="00E45670">
        <w:rPr>
          <w:rFonts w:eastAsia="DengXian"/>
          <w:color w:val="000000" w:themeColor="text1"/>
        </w:rPr>
        <w:t xml:space="preserve">]: A global infrastructure for the information society, enabling advanced services by interconnecting (physical and virtual) things based on existing and evolving interoperable information and communication technologies. </w:t>
      </w:r>
    </w:p>
    <w:p w14:paraId="6A0B6F6C" w14:textId="77777777" w:rsidR="008B13CD" w:rsidRPr="00E45670" w:rsidRDefault="008B13CD" w:rsidP="008B13CD">
      <w:pPr>
        <w:rPr>
          <w:rFonts w:eastAsia="DengXian"/>
          <w:color w:val="000000" w:themeColor="text1"/>
        </w:rPr>
      </w:pPr>
      <w:r w:rsidRPr="00E45670">
        <w:rPr>
          <w:rFonts w:eastAsia="DengXian"/>
          <w:color w:val="000000" w:themeColor="text1"/>
        </w:rPr>
        <w:t xml:space="preserve">NOTE 1 – Through the exploitation of identification, data capture, processing and communication capabilities, the IoT makes full use of things to offer services to all kinds of applications, whilst ensuring that security and privacy requirements are fulfilled. </w:t>
      </w:r>
    </w:p>
    <w:p w14:paraId="53BE8429" w14:textId="77777777" w:rsidR="008B13CD" w:rsidRPr="00F954EB" w:rsidRDefault="008B13CD" w:rsidP="008B13CD">
      <w:pPr>
        <w:rPr>
          <w:rFonts w:eastAsia="DengXian"/>
          <w:color w:val="000000" w:themeColor="text1"/>
        </w:rPr>
      </w:pPr>
      <w:r w:rsidRPr="00E45670">
        <w:rPr>
          <w:rFonts w:eastAsia="DengXian"/>
          <w:color w:val="000000" w:themeColor="text1"/>
        </w:rPr>
        <w:t>NOTE 2 – In a broader perspective, the IoT can be perceived as a vision with technological and societal implications.</w:t>
      </w:r>
    </w:p>
    <w:p w14:paraId="4EE0F162" w14:textId="77777777" w:rsidR="008B13CD" w:rsidRPr="00F954EB" w:rsidRDefault="008B13CD" w:rsidP="008B13CD">
      <w:pPr>
        <w:rPr>
          <w:rFonts w:eastAsia="DengXian"/>
          <w:color w:val="000000" w:themeColor="text1"/>
        </w:rPr>
      </w:pPr>
      <w:r w:rsidRPr="00E45670">
        <w:rPr>
          <w:rFonts w:eastAsia="DengXian"/>
          <w:b/>
        </w:rPr>
        <w:t>3.1.15</w:t>
      </w:r>
      <w:r w:rsidRPr="00E45670">
        <w:rPr>
          <w:rFonts w:eastAsia="DengXian"/>
          <w:b/>
        </w:rPr>
        <w:tab/>
        <w:t>&lt;interoperability&gt;</w:t>
      </w:r>
      <w:r w:rsidRPr="00E45670">
        <w:rPr>
          <w:rFonts w:eastAsia="DengXian"/>
        </w:rPr>
        <w:t xml:space="preserve"> </w:t>
      </w:r>
      <w:r w:rsidRPr="00F954EB">
        <w:rPr>
          <w:rFonts w:eastAsia="DengXian"/>
          <w:color w:val="000000" w:themeColor="text1"/>
        </w:rPr>
        <w:t>[b-ITU-T Y.101]: The ability of two or more systems or applications to exchange information and to mutually use the information that has been exchanged.</w:t>
      </w:r>
    </w:p>
    <w:p w14:paraId="26992A4C" w14:textId="77777777" w:rsidR="008B13CD" w:rsidRPr="00E45670" w:rsidRDefault="008B13CD" w:rsidP="008B13CD">
      <w:pPr>
        <w:rPr>
          <w:color w:val="000000" w:themeColor="text1"/>
        </w:rPr>
      </w:pPr>
      <w:r w:rsidRPr="00F954EB">
        <w:rPr>
          <w:rFonts w:eastAsia="DengXian"/>
          <w:b/>
          <w:color w:val="000000" w:themeColor="text1"/>
        </w:rPr>
        <w:t>3.1.16</w:t>
      </w:r>
      <w:r w:rsidRPr="00F954EB">
        <w:rPr>
          <w:rFonts w:eastAsia="DengXian"/>
          <w:b/>
          <w:color w:val="000000" w:themeColor="text1"/>
        </w:rPr>
        <w:tab/>
        <w:t>&lt;minimal interoperability&gt;</w:t>
      </w:r>
      <w:r w:rsidRPr="00F954EB">
        <w:rPr>
          <w:rFonts w:eastAsia="DengXian"/>
          <w:color w:val="000000" w:themeColor="text1"/>
        </w:rPr>
        <w:t xml:space="preserve"> </w:t>
      </w:r>
      <w:r w:rsidRPr="00F954EB">
        <w:rPr>
          <w:rFonts w:hint="eastAsia"/>
        </w:rPr>
        <w:t>[</w:t>
      </w:r>
      <w:r w:rsidRPr="00E45670">
        <w:rPr>
          <w:bCs/>
          <w:lang w:eastAsia="zh-CN"/>
        </w:rPr>
        <w:t>b-FG-DPM TS D0.1]</w:t>
      </w:r>
      <w:r w:rsidRPr="00C40A65">
        <w:rPr>
          <w:bCs/>
          <w:lang w:eastAsia="zh-CN"/>
        </w:rPr>
        <w:t xml:space="preserve">: </w:t>
      </w:r>
      <w:r w:rsidRPr="00F954EB">
        <w:rPr>
          <w:rFonts w:eastAsia="SimSun"/>
          <w:color w:val="000000"/>
        </w:rPr>
        <w:t xml:space="preserve">The minimal sufficient degree needed to meet a certain requirement for data sharing, use and reuse. </w:t>
      </w:r>
      <w:r w:rsidRPr="00F954EB">
        <w:rPr>
          <w:rFonts w:eastAsia="SimSun"/>
          <w:color w:val="000000"/>
        </w:rPr>
        <w:br/>
        <w:t>NOTE – This is an approach to build a set of modular mechanisms, including information models, across multiple domains</w:t>
      </w:r>
      <w:r w:rsidRPr="00E45670">
        <w:rPr>
          <w:rFonts w:eastAsia="SimSun"/>
          <w:color w:val="000000"/>
        </w:rPr>
        <w:t xml:space="preserve">, locations and events. The definition aligns with the definition of </w:t>
      </w:r>
      <w:r w:rsidRPr="00E45670">
        <w:rPr>
          <w:color w:val="000000" w:themeColor="text1"/>
        </w:rPr>
        <w:t>“interoperability” in [b-ITU-T Y.101].</w:t>
      </w:r>
    </w:p>
    <w:p w14:paraId="5CF87C73" w14:textId="77777777" w:rsidR="008B13CD" w:rsidRPr="00E45670" w:rsidRDefault="008B13CD" w:rsidP="008B13CD">
      <w:pPr>
        <w:rPr>
          <w:color w:val="000000" w:themeColor="text1"/>
        </w:rPr>
      </w:pPr>
      <w:r w:rsidRPr="00F954EB">
        <w:rPr>
          <w:rFonts w:eastAsia="DengXian"/>
          <w:b/>
          <w:color w:val="000000" w:themeColor="text1"/>
        </w:rPr>
        <w:t>3.1.17</w:t>
      </w:r>
      <w:r w:rsidRPr="00F954EB">
        <w:rPr>
          <w:rFonts w:eastAsia="DengXian"/>
          <w:b/>
          <w:color w:val="000000" w:themeColor="text1"/>
        </w:rPr>
        <w:tab/>
        <w:t>&lt;lifecycle&gt;</w:t>
      </w:r>
      <w:r w:rsidRPr="00F954EB">
        <w:rPr>
          <w:rFonts w:eastAsia="DengXian"/>
          <w:color w:val="000000" w:themeColor="text1"/>
        </w:rPr>
        <w:t xml:space="preserve"> [b-</w:t>
      </w:r>
      <w:r w:rsidRPr="00F954EB">
        <w:rPr>
          <w:color w:val="000000" w:themeColor="text1"/>
        </w:rPr>
        <w:t>ISO/IEC TR 29110-5-3:2018</w:t>
      </w:r>
      <w:r w:rsidRPr="00F954EB">
        <w:rPr>
          <w:rFonts w:eastAsia="DengXian"/>
          <w:color w:val="000000" w:themeColor="text1"/>
        </w:rPr>
        <w:t xml:space="preserve">]: </w:t>
      </w:r>
      <w:r w:rsidRPr="00F954EB">
        <w:rPr>
          <w:color w:val="000000" w:themeColor="text1"/>
        </w:rPr>
        <w:t>Evolution of a system, product, service, project or other human-made entity from conception through retirement.</w:t>
      </w:r>
    </w:p>
    <w:p w14:paraId="43CB359F" w14:textId="77777777" w:rsidR="008B13CD" w:rsidRPr="00F954EB" w:rsidRDefault="008B13CD" w:rsidP="008B13CD">
      <w:pPr>
        <w:rPr>
          <w:color w:val="000000" w:themeColor="text1"/>
        </w:rPr>
      </w:pPr>
      <w:r w:rsidRPr="00E45670">
        <w:rPr>
          <w:rFonts w:eastAsia="DengXian"/>
          <w:b/>
        </w:rPr>
        <w:lastRenderedPageBreak/>
        <w:t>3.1.18</w:t>
      </w:r>
      <w:r w:rsidRPr="00E45670">
        <w:rPr>
          <w:rFonts w:eastAsia="DengXian"/>
          <w:b/>
        </w:rPr>
        <w:tab/>
        <w:t>&lt;</w:t>
      </w:r>
      <w:r w:rsidRPr="00C40A65">
        <w:rPr>
          <w:b/>
          <w:color w:val="000000" w:themeColor="text1"/>
        </w:rPr>
        <w:t>open data</w:t>
      </w:r>
      <w:r w:rsidRPr="00F954EB">
        <w:rPr>
          <w:b/>
          <w:color w:val="000000" w:themeColor="text1"/>
        </w:rPr>
        <w:t xml:space="preserve">&gt; </w:t>
      </w:r>
      <w:r w:rsidRPr="00F954EB">
        <w:rPr>
          <w:rFonts w:hint="eastAsia"/>
        </w:rPr>
        <w:t>[</w:t>
      </w:r>
      <w:r w:rsidRPr="00E45670">
        <w:rPr>
          <w:bCs/>
          <w:lang w:eastAsia="zh-CN"/>
        </w:rPr>
        <w:t>b-FG-DPM TS D0.1]</w:t>
      </w:r>
      <w:r w:rsidRPr="00C40A65">
        <w:rPr>
          <w:bCs/>
          <w:lang w:eastAsia="zh-CN"/>
        </w:rPr>
        <w:t xml:space="preserve">: </w:t>
      </w:r>
      <w:r w:rsidRPr="00F954EB">
        <w:rPr>
          <w:color w:val="000000" w:themeColor="text1"/>
        </w:rPr>
        <w:t xml:space="preserve">Any information that has been made available for anyone under a legal framework to access, alter, and share without restrictions. </w:t>
      </w:r>
    </w:p>
    <w:p w14:paraId="65D4F98A" w14:textId="77777777" w:rsidR="008B13CD" w:rsidRPr="00F954EB" w:rsidRDefault="008B13CD" w:rsidP="008B13CD">
      <w:pPr>
        <w:rPr>
          <w:color w:val="000000" w:themeColor="text1"/>
        </w:rPr>
      </w:pPr>
      <w:r w:rsidRPr="00F954EB">
        <w:rPr>
          <w:color w:val="000000" w:themeColor="text1"/>
        </w:rPr>
        <w:t>NOTE - It can be from a public source, e.g. government data, or from a business, e.g. company intelligence, and can be used f</w:t>
      </w:r>
      <w:r w:rsidRPr="00E45670">
        <w:rPr>
          <w:color w:val="000000" w:themeColor="text1"/>
        </w:rPr>
        <w:t>or both commercial and non-commercial purposes.</w:t>
      </w:r>
    </w:p>
    <w:p w14:paraId="367608BD" w14:textId="77777777" w:rsidR="008B13CD" w:rsidRPr="00F954EB" w:rsidRDefault="008B13CD" w:rsidP="008B13CD">
      <w:pPr>
        <w:tabs>
          <w:tab w:val="left" w:pos="851"/>
        </w:tabs>
        <w:rPr>
          <w:color w:val="000000" w:themeColor="text1"/>
        </w:rPr>
      </w:pPr>
      <w:r w:rsidRPr="00F954EB">
        <w:rPr>
          <w:b/>
          <w:color w:val="000000" w:themeColor="text1"/>
        </w:rPr>
        <w:t>3.1.19</w:t>
      </w:r>
      <w:r w:rsidRPr="00F954EB">
        <w:rPr>
          <w:b/>
          <w:color w:val="000000" w:themeColor="text1"/>
        </w:rPr>
        <w:tab/>
        <w:t>&lt;personal data</w:t>
      </w:r>
      <w:r w:rsidRPr="00F954EB">
        <w:rPr>
          <w:color w:val="000000" w:themeColor="text1"/>
        </w:rPr>
        <w:t xml:space="preserve">&gt; [b-PAS 185:2017]: Data which relates to a living individual who can be identified: a) from those data; or </w:t>
      </w:r>
      <w:r w:rsidRPr="00F954EB">
        <w:rPr>
          <w:rFonts w:ascii="MS Mincho" w:eastAsia="MS Mincho" w:hAnsi="MS Mincho" w:cs="MS Mincho" w:hint="eastAsia"/>
          <w:color w:val="000000" w:themeColor="text1"/>
        </w:rPr>
        <w:t> </w:t>
      </w:r>
      <w:r w:rsidRPr="00F954EB">
        <w:rPr>
          <w:color w:val="000000" w:themeColor="text1"/>
        </w:rPr>
        <w:t xml:space="preserve">b)  from those data and other information which is in the possession of, or </w:t>
      </w:r>
      <w:r w:rsidRPr="00E45670">
        <w:rPr>
          <w:color w:val="000000" w:themeColor="text1"/>
        </w:rPr>
        <w:t>is likely to come into the possession of, the data controller, and includes any expression of opinion about the individual and any indication of the intentions of the data controller or any other person in respect of the individual.</w:t>
      </w:r>
    </w:p>
    <w:p w14:paraId="6939F9D3" w14:textId="77777777" w:rsidR="008B13CD" w:rsidRPr="00F954EB" w:rsidRDefault="008B13CD" w:rsidP="008B13CD">
      <w:pPr>
        <w:rPr>
          <w:color w:val="000000" w:themeColor="text1"/>
        </w:rPr>
      </w:pPr>
      <w:r w:rsidRPr="00F954EB">
        <w:rPr>
          <w:b/>
          <w:color w:val="000000" w:themeColor="text1"/>
        </w:rPr>
        <w:t>3.1.20</w:t>
      </w:r>
      <w:r w:rsidRPr="00F954EB">
        <w:rPr>
          <w:b/>
          <w:color w:val="000000" w:themeColor="text1"/>
        </w:rPr>
        <w:tab/>
        <w:t xml:space="preserve">&lt;processed data&gt; </w:t>
      </w:r>
      <w:r w:rsidRPr="00F954EB">
        <w:rPr>
          <w:color w:val="000000" w:themeColor="text1"/>
        </w:rPr>
        <w:t xml:space="preserve">[b-ISO 5127:2017]: </w:t>
      </w:r>
      <w:r w:rsidRPr="00F954EB">
        <w:rPr>
          <w:rFonts w:hint="eastAsia"/>
          <w:color w:val="000000" w:themeColor="text1"/>
        </w:rPr>
        <w:t>D</w:t>
      </w:r>
      <w:r w:rsidRPr="00F954EB">
        <w:rPr>
          <w:color w:val="000000" w:themeColor="text1"/>
        </w:rPr>
        <w:t>ata which have been transformed from raw data or from an earlier data stage into a more refined stage by data cleaning, sorting, linking, verifying and similar operations.</w:t>
      </w:r>
    </w:p>
    <w:p w14:paraId="7031F236" w14:textId="77777777" w:rsidR="008B13CD" w:rsidRPr="00E45670" w:rsidRDefault="008B13CD" w:rsidP="008B13CD">
      <w:pPr>
        <w:pStyle w:val="Normal1"/>
        <w:jc w:val="both"/>
        <w:rPr>
          <w:color w:val="000000" w:themeColor="text1"/>
        </w:rPr>
      </w:pPr>
      <w:r w:rsidRPr="00F954EB">
        <w:rPr>
          <w:b/>
          <w:color w:val="000000" w:themeColor="text1"/>
        </w:rPr>
        <w:t>3.1.21</w:t>
      </w:r>
      <w:r w:rsidRPr="00F954EB">
        <w:rPr>
          <w:b/>
          <w:color w:val="000000" w:themeColor="text1"/>
        </w:rPr>
        <w:tab/>
        <w:t>&lt;raw data&gt;</w:t>
      </w:r>
      <w:r w:rsidRPr="00F954EB">
        <w:rPr>
          <w:color w:val="000000" w:themeColor="text1"/>
        </w:rPr>
        <w:t xml:space="preserve"> [b-PAS 185:2017]: </w:t>
      </w:r>
      <w:r w:rsidRPr="00F954EB">
        <w:rPr>
          <w:rFonts w:hint="eastAsia"/>
          <w:color w:val="000000" w:themeColor="text1"/>
        </w:rPr>
        <w:t>D</w:t>
      </w:r>
      <w:r w:rsidRPr="00F954EB">
        <w:rPr>
          <w:color w:val="000000" w:themeColor="text1"/>
        </w:rPr>
        <w:t>ata that has not been processed for use.</w:t>
      </w:r>
    </w:p>
    <w:p w14:paraId="4725E44C" w14:textId="77777777" w:rsidR="008B13CD" w:rsidRPr="00F954EB" w:rsidRDefault="008B13CD" w:rsidP="008B13CD">
      <w:pPr>
        <w:rPr>
          <w:rFonts w:eastAsia="DengXian"/>
          <w:color w:val="000000" w:themeColor="text1"/>
        </w:rPr>
      </w:pPr>
      <w:r w:rsidRPr="00F954EB">
        <w:rPr>
          <w:rFonts w:eastAsia="DengXian"/>
          <w:b/>
          <w:color w:val="000000"/>
          <w:lang w:val="en-US"/>
        </w:rPr>
        <w:t>3.1.22</w:t>
      </w:r>
      <w:r w:rsidRPr="00F954EB">
        <w:rPr>
          <w:rFonts w:eastAsia="DengXian"/>
          <w:b/>
          <w:color w:val="000000"/>
          <w:lang w:val="en-US"/>
        </w:rPr>
        <w:tab/>
        <w:t>&lt;</w:t>
      </w:r>
      <w:r w:rsidRPr="00F954EB">
        <w:rPr>
          <w:rFonts w:eastAsia="DengXian" w:hint="eastAsia"/>
          <w:b/>
          <w:color w:val="000000"/>
        </w:rPr>
        <w:t>requirements</w:t>
      </w:r>
      <w:r w:rsidRPr="00F954EB">
        <w:rPr>
          <w:rFonts w:eastAsia="DengXian"/>
          <w:b/>
          <w:color w:val="000000"/>
        </w:rPr>
        <w:t>&gt;</w:t>
      </w:r>
      <w:r w:rsidRPr="00F954EB">
        <w:rPr>
          <w:rFonts w:eastAsia="DengXian" w:hint="eastAsia"/>
          <w:color w:val="000000"/>
        </w:rPr>
        <w:t xml:space="preserve"> </w:t>
      </w:r>
      <w:r w:rsidRPr="00F954EB">
        <w:rPr>
          <w:rFonts w:eastAsia="DengXian"/>
          <w:color w:val="000000" w:themeColor="text1"/>
        </w:rPr>
        <w:t>[b-ISO 8000-2:2018]: Need or expectation that is stated, generally implied or obligatory.</w:t>
      </w:r>
    </w:p>
    <w:p w14:paraId="13B419FE" w14:textId="77777777" w:rsidR="008B13CD" w:rsidRPr="00E45670" w:rsidRDefault="008B13CD" w:rsidP="008B13CD">
      <w:pPr>
        <w:rPr>
          <w:rFonts w:eastAsia="DengXian"/>
          <w:color w:val="000000" w:themeColor="text1"/>
        </w:rPr>
      </w:pPr>
      <w:r w:rsidRPr="00F954EB">
        <w:rPr>
          <w:rFonts w:eastAsia="DengXian"/>
          <w:b/>
          <w:color w:val="000000"/>
        </w:rPr>
        <w:t>3.1.23</w:t>
      </w:r>
      <w:r w:rsidRPr="00F954EB">
        <w:rPr>
          <w:rFonts w:eastAsia="DengXian"/>
          <w:b/>
          <w:color w:val="000000"/>
        </w:rPr>
        <w:tab/>
        <w:t>&lt;</w:t>
      </w:r>
      <w:r w:rsidRPr="00E45670">
        <w:rPr>
          <w:rFonts w:eastAsia="DengXian"/>
          <w:b/>
          <w:color w:val="000000"/>
        </w:rPr>
        <w:t>risk</w:t>
      </w:r>
      <w:r w:rsidRPr="00C40A65">
        <w:rPr>
          <w:rFonts w:eastAsia="DengXian"/>
          <w:b/>
          <w:color w:val="000000"/>
        </w:rPr>
        <w:t>&gt;</w:t>
      </w:r>
      <w:r w:rsidRPr="00F954EB">
        <w:rPr>
          <w:rFonts w:eastAsia="DengXian"/>
          <w:color w:val="000000" w:themeColor="text1"/>
        </w:rPr>
        <w:t xml:space="preserve"> [b-ISO 31000:2018]: Effect of uncertainty on objects.</w:t>
      </w:r>
    </w:p>
    <w:p w14:paraId="7F55EBB4" w14:textId="77777777" w:rsidR="008B13CD" w:rsidRPr="00E45670" w:rsidRDefault="008B13CD" w:rsidP="008B13CD">
      <w:pPr>
        <w:rPr>
          <w:rFonts w:eastAsia="DengXian"/>
          <w:color w:val="000000" w:themeColor="text1"/>
        </w:rPr>
      </w:pPr>
      <w:r w:rsidRPr="00E45670">
        <w:rPr>
          <w:rFonts w:eastAsia="DengXian"/>
          <w:b/>
          <w:color w:val="000000"/>
          <w:lang w:val="en-US"/>
        </w:rPr>
        <w:t>3.1.24</w:t>
      </w:r>
      <w:r w:rsidRPr="00E45670">
        <w:rPr>
          <w:rFonts w:eastAsia="DengXian"/>
          <w:b/>
          <w:color w:val="000000"/>
          <w:lang w:val="en-US"/>
        </w:rPr>
        <w:tab/>
      </w:r>
      <w:r w:rsidRPr="00E45670">
        <w:rPr>
          <w:rFonts w:eastAsia="DengXian"/>
          <w:b/>
          <w:color w:val="000000"/>
        </w:rPr>
        <w:t>&lt;safety</w:t>
      </w:r>
      <w:r w:rsidRPr="00C40A65">
        <w:rPr>
          <w:rFonts w:eastAsia="DengXian"/>
          <w:b/>
          <w:color w:val="000000"/>
        </w:rPr>
        <w:t>&gt;</w:t>
      </w:r>
      <w:r w:rsidRPr="00F954EB">
        <w:rPr>
          <w:rFonts w:eastAsia="DengXian"/>
          <w:color w:val="000000"/>
        </w:rPr>
        <w:t xml:space="preserve"> </w:t>
      </w:r>
      <w:r w:rsidRPr="00F954EB">
        <w:rPr>
          <w:rFonts w:eastAsia="DengXian"/>
          <w:color w:val="000000" w:themeColor="text1"/>
        </w:rPr>
        <w:t>[b-ISO/IEC Guide 51:2014]: Freedom from risk which is not tolerable.</w:t>
      </w:r>
    </w:p>
    <w:p w14:paraId="1E404EB4" w14:textId="77777777" w:rsidR="008B13CD" w:rsidRPr="00F954EB" w:rsidRDefault="008B13CD" w:rsidP="008B13CD">
      <w:pPr>
        <w:rPr>
          <w:rFonts w:ascii="Times" w:hAnsi="Times" w:cs="Times"/>
          <w:color w:val="000000" w:themeColor="text1"/>
        </w:rPr>
      </w:pPr>
      <w:r w:rsidRPr="00E45670">
        <w:rPr>
          <w:rFonts w:eastAsia="DengXian"/>
          <w:b/>
          <w:color w:val="000000"/>
        </w:rPr>
        <w:t>3.1.25</w:t>
      </w:r>
      <w:r w:rsidRPr="00E45670">
        <w:rPr>
          <w:rFonts w:eastAsia="DengXian"/>
          <w:b/>
          <w:color w:val="000000"/>
        </w:rPr>
        <w:tab/>
        <w:t>&lt;security</w:t>
      </w:r>
      <w:r w:rsidRPr="00C40A65">
        <w:rPr>
          <w:rFonts w:eastAsia="DengXian"/>
          <w:b/>
          <w:color w:val="000000"/>
        </w:rPr>
        <w:t>&gt;</w:t>
      </w:r>
      <w:r w:rsidRPr="00F954EB">
        <w:rPr>
          <w:rFonts w:eastAsia="DengXian" w:hint="eastAsia"/>
          <w:color w:val="000000"/>
        </w:rPr>
        <w:t xml:space="preserve"> </w:t>
      </w:r>
      <w:r w:rsidRPr="00F954EB">
        <w:rPr>
          <w:rFonts w:eastAsia="DengXian"/>
          <w:color w:val="000000" w:themeColor="text1"/>
        </w:rPr>
        <w:t>[b-IEC Guide</w:t>
      </w:r>
      <w:r w:rsidRPr="00F954EB">
        <w:rPr>
          <w:rFonts w:ascii="Times" w:hAnsi="Times" w:cs="Times"/>
          <w:color w:val="000000" w:themeColor="text1"/>
        </w:rPr>
        <w:t xml:space="preserve"> 120: 2018]: Condition that results from the establishment and maintenance of protective measures that insure a state of inviolability from hostile acts or influences.</w:t>
      </w:r>
    </w:p>
    <w:p w14:paraId="4CDE9A85" w14:textId="2138C741" w:rsidR="008B13CD" w:rsidRPr="00423B7C" w:rsidRDefault="008B13CD" w:rsidP="008B13CD">
      <w:pPr>
        <w:rPr>
          <w:rFonts w:eastAsia="DengXian"/>
          <w:color w:val="000000" w:themeColor="text1"/>
        </w:rPr>
      </w:pPr>
      <w:r w:rsidRPr="00F954EB">
        <w:rPr>
          <w:rFonts w:eastAsia="DengXian"/>
          <w:b/>
          <w:color w:val="000000"/>
        </w:rPr>
        <w:t>3.1.26</w:t>
      </w:r>
      <w:r w:rsidRPr="00F954EB">
        <w:rPr>
          <w:rFonts w:eastAsia="DengXian"/>
          <w:b/>
          <w:color w:val="000000"/>
        </w:rPr>
        <w:tab/>
        <w:t>&lt;</w:t>
      </w:r>
      <w:r w:rsidRPr="00F954EB">
        <w:rPr>
          <w:rFonts w:eastAsia="DengXian" w:hint="eastAsia"/>
          <w:b/>
          <w:color w:val="000000"/>
        </w:rPr>
        <w:t>service</w:t>
      </w:r>
      <w:r w:rsidRPr="00F954EB">
        <w:rPr>
          <w:rFonts w:eastAsia="DengXian"/>
          <w:b/>
          <w:color w:val="000000"/>
        </w:rPr>
        <w:t>&gt;</w:t>
      </w:r>
      <w:r w:rsidRPr="00E45670">
        <w:rPr>
          <w:rFonts w:eastAsia="DengXian" w:hint="eastAsia"/>
          <w:color w:val="000000"/>
        </w:rPr>
        <w:t xml:space="preserve"> </w:t>
      </w:r>
      <w:r w:rsidRPr="00E45670">
        <w:rPr>
          <w:rFonts w:eastAsia="DengXian"/>
          <w:color w:val="000000" w:themeColor="text1"/>
        </w:rPr>
        <w:t>[b-ITU-T Y.2091]: A set of functions and facilities offered to a user by a provider.</w:t>
      </w:r>
    </w:p>
    <w:p w14:paraId="12DAC5B3" w14:textId="77777777" w:rsidR="008B13CD" w:rsidRPr="00E45670" w:rsidRDefault="008B13CD" w:rsidP="008B13CD">
      <w:pPr>
        <w:rPr>
          <w:rFonts w:ascii="Times" w:hAnsi="Times" w:cs="Times"/>
          <w:color w:val="000000" w:themeColor="text1"/>
        </w:rPr>
      </w:pPr>
      <w:r w:rsidRPr="00E45670">
        <w:rPr>
          <w:b/>
          <w:color w:val="000000" w:themeColor="text1"/>
        </w:rPr>
        <w:t>3.1.27</w:t>
      </w:r>
      <w:r w:rsidRPr="00E45670">
        <w:rPr>
          <w:b/>
          <w:color w:val="000000" w:themeColor="text1"/>
        </w:rPr>
        <w:tab/>
        <w:t>&lt;shared data&gt;</w:t>
      </w:r>
      <w:r w:rsidRPr="00E45670">
        <w:rPr>
          <w:color w:val="000000" w:themeColor="text1"/>
        </w:rPr>
        <w:t xml:space="preserve"> [b-PAS 185:2017]: </w:t>
      </w:r>
      <w:r w:rsidRPr="00E45670">
        <w:rPr>
          <w:rFonts w:ascii="Times" w:hAnsi="Times" w:cs="Times"/>
          <w:color w:val="000000" w:themeColor="text1"/>
        </w:rPr>
        <w:t>Data where the data owner has the legal authority</w:t>
      </w:r>
      <w:r w:rsidRPr="00E45670">
        <w:rPr>
          <w:rFonts w:ascii="MS Mincho" w:eastAsia="MS Mincho" w:hAnsi="MS Mincho" w:cs="MS Mincho"/>
          <w:color w:val="000000" w:themeColor="text1"/>
        </w:rPr>
        <w:t> </w:t>
      </w:r>
      <w:r w:rsidRPr="00E45670">
        <w:rPr>
          <w:rFonts w:ascii="Times" w:hAnsi="Times" w:cs="Times"/>
          <w:color w:val="000000" w:themeColor="text1"/>
        </w:rPr>
        <w:t>to share it with one or more organizations, subject to</w:t>
      </w:r>
      <w:r w:rsidRPr="00E45670">
        <w:rPr>
          <w:rFonts w:ascii="MS Mincho" w:eastAsia="MS Mincho" w:hAnsi="MS Mincho" w:cs="MS Mincho"/>
          <w:color w:val="000000" w:themeColor="text1"/>
        </w:rPr>
        <w:t> </w:t>
      </w:r>
      <w:r w:rsidRPr="00E45670">
        <w:rPr>
          <w:rFonts w:ascii="Times" w:hAnsi="Times" w:cs="Times"/>
          <w:color w:val="000000" w:themeColor="text1"/>
        </w:rPr>
        <w:t>a data or information sharing agreement which specifies that access is granted subject to specific restrictions and, where between different legal entities, is legally enforceable</w:t>
      </w:r>
    </w:p>
    <w:p w14:paraId="6DDF0E49" w14:textId="77777777" w:rsidR="008B13CD" w:rsidRPr="00F954EB" w:rsidRDefault="008B13CD" w:rsidP="008B13CD">
      <w:pPr>
        <w:rPr>
          <w:rFonts w:eastAsia="DengXian"/>
          <w:color w:val="000000" w:themeColor="text1"/>
        </w:rPr>
      </w:pPr>
      <w:r w:rsidRPr="00E45670">
        <w:rPr>
          <w:b/>
          <w:lang w:val="en-US"/>
        </w:rPr>
        <w:t>3.1.28</w:t>
      </w:r>
      <w:r w:rsidRPr="00E45670">
        <w:rPr>
          <w:b/>
          <w:lang w:val="en-US"/>
        </w:rPr>
        <w:tab/>
        <w:t>&lt;</w:t>
      </w:r>
      <w:r w:rsidRPr="00E45670">
        <w:rPr>
          <w:b/>
        </w:rPr>
        <w:t>Smart Cities</w:t>
      </w:r>
      <w:r w:rsidRPr="00C40A65">
        <w:rPr>
          <w:b/>
        </w:rPr>
        <w:t xml:space="preserve"> and </w:t>
      </w:r>
      <w:r w:rsidRPr="00F954EB">
        <w:rPr>
          <w:b/>
        </w:rPr>
        <w:t>Communities&gt;</w:t>
      </w:r>
      <w:r w:rsidRPr="00F954EB">
        <w:t xml:space="preserve"> </w:t>
      </w:r>
      <w:r w:rsidRPr="00F954EB">
        <w:rPr>
          <w:rFonts w:hint="eastAsia"/>
        </w:rPr>
        <w:t>[</w:t>
      </w:r>
      <w:r w:rsidRPr="00E45670">
        <w:rPr>
          <w:bCs/>
          <w:lang w:eastAsia="zh-CN"/>
        </w:rPr>
        <w:t>b-FG-DPM TS D0.1]</w:t>
      </w:r>
      <w:r w:rsidRPr="00C40A65">
        <w:rPr>
          <w:rFonts w:eastAsia="DengXian" w:hint="eastAsia"/>
          <w:color w:val="000000"/>
        </w:rPr>
        <w:t xml:space="preserve">]: </w:t>
      </w:r>
      <w:r w:rsidRPr="00F954EB">
        <w:rPr>
          <w:rFonts w:eastAsia="DengXian"/>
          <w:color w:val="000000" w:themeColor="text1"/>
        </w:rPr>
        <w:t>Effective integration of physical, digital and human systems in the built environment to deliver a sustainable, prosperous and inclusive future for its citizens.</w:t>
      </w:r>
    </w:p>
    <w:p w14:paraId="2133F172" w14:textId="77777777" w:rsidR="008B13CD" w:rsidRPr="00E45670" w:rsidRDefault="008B13CD" w:rsidP="008B13CD">
      <w:pPr>
        <w:rPr>
          <w:color w:val="000000" w:themeColor="text1"/>
        </w:rPr>
      </w:pPr>
      <w:r w:rsidRPr="00F954EB">
        <w:rPr>
          <w:rFonts w:eastAsia="DengXian"/>
          <w:color w:val="000000" w:themeColor="text1"/>
        </w:rPr>
        <w:t>NOTE – This definition aligns with the definition of “Smart City” in [</w:t>
      </w:r>
      <w:r w:rsidRPr="00F954EB">
        <w:rPr>
          <w:color w:val="000000" w:themeColor="text1"/>
        </w:rPr>
        <w:t>b-ISO/IEC 30182:2017] and with the recommendation from the IEC/ISO/ITU Smart City terminology coordination Task team</w:t>
      </w:r>
      <w:r w:rsidRPr="00E45670">
        <w:rPr>
          <w:color w:val="000000" w:themeColor="text1"/>
        </w:rPr>
        <w:t xml:space="preserve"> [b- IEC/ISO/ITU Daft White Paper:2019].</w:t>
      </w:r>
    </w:p>
    <w:p w14:paraId="60C25DAE" w14:textId="77777777" w:rsidR="008B13CD" w:rsidRPr="00E45670" w:rsidRDefault="008B13CD" w:rsidP="008B13CD">
      <w:pPr>
        <w:rPr>
          <w:rFonts w:eastAsia="DengXian"/>
          <w:color w:val="000000" w:themeColor="text1"/>
        </w:rPr>
      </w:pPr>
      <w:r w:rsidRPr="00F954EB">
        <w:rPr>
          <w:rFonts w:eastAsia="DengXian"/>
          <w:b/>
          <w:color w:val="000000"/>
          <w:lang w:val="en-US"/>
        </w:rPr>
        <w:t>3.1.29</w:t>
      </w:r>
      <w:r w:rsidRPr="00F954EB">
        <w:rPr>
          <w:rFonts w:eastAsia="DengXian"/>
          <w:b/>
          <w:color w:val="000000"/>
          <w:lang w:val="en-US"/>
        </w:rPr>
        <w:tab/>
        <w:t>&lt;</w:t>
      </w:r>
      <w:r w:rsidRPr="00F954EB">
        <w:rPr>
          <w:rFonts w:eastAsia="DengXian" w:hint="eastAsia"/>
          <w:b/>
          <w:color w:val="000000"/>
        </w:rPr>
        <w:t>s</w:t>
      </w:r>
      <w:r w:rsidRPr="00E45670">
        <w:rPr>
          <w:rFonts w:eastAsia="DengXian"/>
          <w:b/>
          <w:color w:val="000000"/>
        </w:rPr>
        <w:t>takeholders</w:t>
      </w:r>
      <w:r w:rsidRPr="00C40A65">
        <w:rPr>
          <w:rFonts w:eastAsia="DengXian"/>
          <w:b/>
          <w:color w:val="000000"/>
        </w:rPr>
        <w:t>&gt;</w:t>
      </w:r>
      <w:r w:rsidRPr="00F954EB">
        <w:t xml:space="preserve"> </w:t>
      </w:r>
      <w:r w:rsidRPr="00F954EB">
        <w:rPr>
          <w:rFonts w:eastAsia="DengXian"/>
          <w:color w:val="000000" w:themeColor="text1"/>
        </w:rPr>
        <w:t>[b-ISO/Guide 73:2009]: Person or organization that can affect, be affected by, or perceive themselves to be affected by a decision or activity.</w:t>
      </w:r>
    </w:p>
    <w:p w14:paraId="1B90D00D" w14:textId="77777777" w:rsidR="008B13CD" w:rsidRPr="00D37945" w:rsidRDefault="008B13CD" w:rsidP="008B13CD">
      <w:pPr>
        <w:rPr>
          <w:rFonts w:eastAsia="DengXian"/>
          <w:color w:val="000000" w:themeColor="text1"/>
        </w:rPr>
      </w:pPr>
      <w:r w:rsidRPr="00F954EB">
        <w:rPr>
          <w:rFonts w:eastAsia="DengXian"/>
          <w:b/>
          <w:color w:val="000000"/>
        </w:rPr>
        <w:t>3.1.30</w:t>
      </w:r>
      <w:r w:rsidRPr="00F954EB">
        <w:rPr>
          <w:rFonts w:eastAsia="DengXian"/>
          <w:b/>
          <w:color w:val="000000"/>
        </w:rPr>
        <w:tab/>
        <w:t>&lt;</w:t>
      </w:r>
      <w:r w:rsidRPr="00E45670">
        <w:rPr>
          <w:rFonts w:eastAsia="DengXian"/>
          <w:b/>
          <w:color w:val="000000"/>
        </w:rPr>
        <w:t>trust</w:t>
      </w:r>
      <w:r w:rsidRPr="00C40A65">
        <w:rPr>
          <w:rFonts w:eastAsia="DengXian"/>
          <w:b/>
          <w:color w:val="000000"/>
        </w:rPr>
        <w:t>&gt;</w:t>
      </w:r>
      <w:r w:rsidRPr="00F954EB">
        <w:rPr>
          <w:rFonts w:eastAsia="DengXian" w:hint="eastAsia"/>
          <w:color w:val="000000"/>
        </w:rPr>
        <w:t xml:space="preserve"> </w:t>
      </w:r>
      <w:r w:rsidRPr="00F954EB">
        <w:rPr>
          <w:rFonts w:eastAsia="DengXian"/>
          <w:color w:val="000000" w:themeColor="text1"/>
        </w:rPr>
        <w:t>[b-ITU-T X.1252]: The reliability and truth of information or the ability and disposition of an entity to act appropriately, within a specified context.</w:t>
      </w:r>
    </w:p>
    <w:p w14:paraId="1D8A5585" w14:textId="77777777" w:rsidR="008B13CD" w:rsidRPr="00515B32" w:rsidRDefault="008B13CD" w:rsidP="008B13CD">
      <w:pPr>
        <w:pStyle w:val="Heading2"/>
        <w:tabs>
          <w:tab w:val="clear" w:pos="794"/>
          <w:tab w:val="clear" w:pos="1191"/>
          <w:tab w:val="clear" w:pos="1588"/>
          <w:tab w:val="clear" w:pos="1985"/>
        </w:tabs>
        <w:jc w:val="left"/>
        <w:rPr>
          <w:rFonts w:eastAsia="Batang"/>
        </w:rPr>
      </w:pPr>
      <w:bookmarkStart w:id="71" w:name="_Toc416344255"/>
      <w:bookmarkStart w:id="72" w:name="_Toc417892653"/>
      <w:bookmarkStart w:id="73" w:name="_Toc417909870"/>
      <w:bookmarkStart w:id="74" w:name="_Toc18321955"/>
      <w:r w:rsidRPr="00515B32">
        <w:rPr>
          <w:rFonts w:eastAsia="Batang"/>
        </w:rPr>
        <w:t>3.2</w:t>
      </w:r>
      <w:r w:rsidRPr="00515B32">
        <w:rPr>
          <w:rFonts w:eastAsia="Batang"/>
        </w:rPr>
        <w:tab/>
        <w:t>Terms defined in this document</w:t>
      </w:r>
      <w:bookmarkEnd w:id="71"/>
      <w:bookmarkEnd w:id="72"/>
      <w:bookmarkEnd w:id="73"/>
      <w:bookmarkEnd w:id="74"/>
    </w:p>
    <w:p w14:paraId="5EFF9E24" w14:textId="77777777" w:rsidR="008B13CD" w:rsidRPr="00F954EB" w:rsidRDefault="008B13CD" w:rsidP="008B13CD">
      <w:bookmarkStart w:id="75" w:name="_Toc399780202"/>
      <w:bookmarkStart w:id="76" w:name="_Toc20221"/>
      <w:bookmarkStart w:id="77" w:name="_Toc7343"/>
      <w:bookmarkStart w:id="78" w:name="_Toc21688"/>
      <w:bookmarkStart w:id="79" w:name="_Toc13931"/>
      <w:bookmarkStart w:id="80" w:name="_Toc7866"/>
      <w:bookmarkStart w:id="81" w:name="_Toc416344262"/>
      <w:bookmarkStart w:id="82" w:name="_Toc417892654"/>
      <w:bookmarkStart w:id="83" w:name="_Toc417909871"/>
      <w:r w:rsidRPr="00B31207">
        <w:t>These Technical Specifications defines the following terms:</w:t>
      </w:r>
    </w:p>
    <w:p w14:paraId="0F62A838"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hAnsi="Times New Roman" w:cs="Times New Roman"/>
          <w:b/>
          <w:i/>
        </w:rPr>
        <w:t>IoT &amp; Smart cities Data category:</w:t>
      </w:r>
      <w:r w:rsidRPr="00B31207">
        <w:rPr>
          <w:rFonts w:ascii="Times New Roman" w:hAnsi="Times New Roman" w:cs="Times New Roman"/>
        </w:rPr>
        <w:t xml:space="preserve"> Refers to the data classification based on the corresponding security, privacy, quality and governance rules. Examples are personal data which require privacy respect and open data which is technically and legally open to access. </w:t>
      </w:r>
    </w:p>
    <w:p w14:paraId="56DC175A"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hAnsi="Times New Roman" w:cs="Times New Roman"/>
          <w:b/>
          <w:i/>
        </w:rPr>
        <w:t>IoT &amp; Smart cities Data types:</w:t>
      </w:r>
      <w:r w:rsidRPr="00B31207">
        <w:rPr>
          <w:rFonts w:ascii="Times New Roman" w:hAnsi="Times New Roman" w:cs="Times New Roman"/>
        </w:rPr>
        <w:t xml:space="preserve"> Corresponds to the reception regularity of data at the databases and applications, and the way this data is retrieved either directly by the application or </w:t>
      </w:r>
      <w:r w:rsidRPr="00B31207">
        <w:rPr>
          <w:rFonts w:ascii="Times New Roman" w:hAnsi="Times New Roman" w:cs="Times New Roman"/>
        </w:rPr>
        <w:lastRenderedPageBreak/>
        <w:t>spontaneously by the sensors. Data types in IoT and Smart cities applications count passive, active and dynamic data.</w:t>
      </w:r>
    </w:p>
    <w:p w14:paraId="5478BB93"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eastAsia="Times New Roman" w:hAnsi="Times New Roman" w:cs="Times New Roman"/>
          <w:b/>
          <w:i/>
          <w:szCs w:val="24"/>
          <w:lang w:eastAsia="fr-FR"/>
        </w:rPr>
        <w:t>IoT Passive data:</w:t>
      </w:r>
      <w:r w:rsidRPr="00B31207">
        <w:rPr>
          <w:rFonts w:ascii="Times New Roman" w:eastAsia="Times New Roman" w:hAnsi="Times New Roman" w:cs="Times New Roman"/>
          <w:szCs w:val="24"/>
          <w:lang w:eastAsia="fr-FR"/>
        </w:rPr>
        <w:t xml:space="preserve"> is the data that is not sent on a regular basis, it is obtained by the application requesting explicitly the sensor to send its data. </w:t>
      </w:r>
    </w:p>
    <w:p w14:paraId="36C0D51D"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eastAsia="Times New Roman" w:hAnsi="Times New Roman" w:cs="Times New Roman"/>
          <w:b/>
          <w:i/>
          <w:szCs w:val="24"/>
          <w:lang w:eastAsia="fr-FR"/>
        </w:rPr>
        <w:t>IoT active data:</w:t>
      </w:r>
      <w:r w:rsidRPr="00B31207">
        <w:rPr>
          <w:rFonts w:ascii="Times New Roman" w:eastAsia="Times New Roman" w:hAnsi="Times New Roman" w:cs="Times New Roman"/>
          <w:szCs w:val="24"/>
          <w:lang w:eastAsia="fr-FR"/>
        </w:rPr>
        <w:t xml:space="preserve"> is the data streamed on a regular basis by the sensors. It is also named Time Series data. </w:t>
      </w:r>
    </w:p>
    <w:p w14:paraId="1EBC83CB"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eastAsia="Times New Roman" w:hAnsi="Times New Roman" w:cs="Times New Roman"/>
          <w:b/>
          <w:i/>
          <w:szCs w:val="24"/>
          <w:lang w:eastAsia="fr-FR"/>
        </w:rPr>
        <w:t>IoT dynamic data:</w:t>
      </w:r>
      <w:r w:rsidRPr="00B31207">
        <w:rPr>
          <w:rFonts w:ascii="Times New Roman" w:eastAsia="Times New Roman" w:hAnsi="Times New Roman" w:cs="Times New Roman"/>
          <w:szCs w:val="24"/>
          <w:lang w:eastAsia="fr-FR"/>
        </w:rPr>
        <w:t xml:space="preserve"> refers to data generated by sophisticated sensors that are able to send and receive information to the applications directly. These types of sensors allows a full range of capabilities, including the ability to change the data that’s produced, change the format of the data, change the frequency, and even deal with security issues and provide automated software updates to dynamically deal with issues.</w:t>
      </w:r>
    </w:p>
    <w:p w14:paraId="4118B672"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eastAsia="Times New Roman" w:hAnsi="Times New Roman" w:cs="Times New Roman"/>
          <w:b/>
          <w:i/>
          <w:szCs w:val="24"/>
          <w:lang w:eastAsia="fr-FR"/>
        </w:rPr>
        <w:t xml:space="preserve">IoT </w:t>
      </w:r>
      <w:r w:rsidRPr="00B31207">
        <w:rPr>
          <w:rFonts w:ascii="Times New Roman" w:hAnsi="Times New Roman" w:cs="Times New Roman"/>
          <w:b/>
          <w:i/>
        </w:rPr>
        <w:t>Time series data:</w:t>
      </w:r>
      <w:r w:rsidRPr="00B31207">
        <w:rPr>
          <w:rFonts w:ascii="Times New Roman" w:hAnsi="Times New Roman" w:cs="Times New Roman"/>
        </w:rPr>
        <w:t xml:space="preserve"> is any data which is time stamped. Time-series data workload differs from the workload of other sorts of data as time-series data is primarily inserted but rarely updated. Time-series databases require treating this data on a high priority basis.</w:t>
      </w:r>
      <w:r w:rsidRPr="00B31207">
        <w:rPr>
          <w:rFonts w:ascii="Times New Roman" w:eastAsia="Times New Roman" w:hAnsi="Times New Roman" w:cs="Times New Roman"/>
          <w:szCs w:val="24"/>
          <w:lang w:eastAsia="fr-FR"/>
        </w:rPr>
        <w:t xml:space="preserve"> Recording a huge amount of time-series data allows to build different applications that allow to analyze the past, monitor the present or predict the future of a given IoT and SC application.</w:t>
      </w:r>
    </w:p>
    <w:p w14:paraId="6C1C19FD"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E45670">
        <w:rPr>
          <w:rFonts w:ascii="Times New Roman" w:hAnsi="Times New Roman" w:cs="Times New Roman"/>
          <w:b/>
          <w:i/>
        </w:rPr>
        <w:t>DPM data lifecycle dimension interoperability:</w:t>
      </w:r>
      <w:r w:rsidRPr="00E45670">
        <w:rPr>
          <w:rFonts w:ascii="Times New Roman" w:hAnsi="Times New Roman" w:cs="Times New Roman"/>
        </w:rPr>
        <w:t xml:space="preserve"> Refers to a set of technical and organizational</w:t>
      </w:r>
      <w:r w:rsidRPr="00B31207">
        <w:rPr>
          <w:rFonts w:ascii="Times New Roman" w:hAnsi="Times New Roman" w:cs="Times New Roman"/>
        </w:rPr>
        <w:t xml:space="preserve"> arrangements that allow both Communication networks interoperability and data interoperability, and data sharing business interoperability</w:t>
      </w:r>
    </w:p>
    <w:p w14:paraId="0D1DF24E" w14:textId="77777777" w:rsidR="008B13CD" w:rsidRPr="00B31207" w:rsidRDefault="008B13CD" w:rsidP="008B13CD">
      <w:pPr>
        <w:pStyle w:val="ListParagraph"/>
        <w:numPr>
          <w:ilvl w:val="2"/>
          <w:numId w:val="44"/>
        </w:numPr>
        <w:rPr>
          <w:rFonts w:ascii="Times New Roman" w:eastAsia="DengXian" w:hAnsi="Times New Roman" w:cs="Times New Roman"/>
          <w:color w:val="000000"/>
        </w:rPr>
      </w:pPr>
      <w:r w:rsidRPr="00B31207">
        <w:rPr>
          <w:rFonts w:ascii="Times New Roman" w:hAnsi="Times New Roman" w:cs="Times New Roman"/>
          <w:b/>
          <w:i/>
        </w:rPr>
        <w:t>DPM Data Lifecycle:</w:t>
      </w:r>
      <w:r w:rsidRPr="00B31207">
        <w:rPr>
          <w:rFonts w:ascii="Times New Roman" w:hAnsi="Times New Roman" w:cs="Times New Roman"/>
        </w:rPr>
        <w:t xml:space="preserve"> Concerns all the steps of Data since its creation to it use and disposal.</w:t>
      </w:r>
    </w:p>
    <w:p w14:paraId="06548858" w14:textId="77777777" w:rsidR="008B13CD" w:rsidRPr="000A212C" w:rsidRDefault="008B13CD" w:rsidP="00C903A6">
      <w:pPr>
        <w:pStyle w:val="Heading1"/>
      </w:pPr>
      <w:bookmarkStart w:id="84" w:name="_Toc18321956"/>
      <w:r w:rsidRPr="000A212C">
        <w:t>4</w:t>
      </w:r>
      <w:r w:rsidRPr="000A212C">
        <w:tab/>
        <w:t>Abbreviations and acronyms</w:t>
      </w:r>
      <w:bookmarkEnd w:id="75"/>
      <w:bookmarkEnd w:id="76"/>
      <w:bookmarkEnd w:id="77"/>
      <w:bookmarkEnd w:id="78"/>
      <w:bookmarkEnd w:id="79"/>
      <w:bookmarkEnd w:id="80"/>
      <w:bookmarkEnd w:id="81"/>
      <w:bookmarkEnd w:id="82"/>
      <w:bookmarkEnd w:id="83"/>
      <w:bookmarkEnd w:id="84"/>
    </w:p>
    <w:p w14:paraId="73FF4C7E" w14:textId="77777777" w:rsidR="008B13CD" w:rsidRDefault="008B13CD" w:rsidP="008B13CD">
      <w:pPr>
        <w:rPr>
          <w:lang w:val="en-US" w:eastAsia="zh-CN"/>
        </w:rPr>
      </w:pPr>
      <w:r w:rsidRPr="009E1AF6">
        <w:rPr>
          <w:lang w:val="en-US" w:eastAsia="zh-CN"/>
        </w:rPr>
        <w:t>Th</w:t>
      </w:r>
      <w:r>
        <w:rPr>
          <w:lang w:val="en-US" w:eastAsia="zh-CN"/>
        </w:rPr>
        <w:t>ese</w:t>
      </w:r>
      <w:r w:rsidRPr="009E1AF6">
        <w:rPr>
          <w:lang w:val="en-US" w:eastAsia="zh-CN"/>
        </w:rPr>
        <w:t xml:space="preserve"> Technical Specification</w:t>
      </w:r>
      <w:r>
        <w:rPr>
          <w:lang w:val="en-US" w:eastAsia="zh-CN"/>
        </w:rPr>
        <w:t>s</w:t>
      </w:r>
      <w:r w:rsidRPr="009E1AF6">
        <w:rPr>
          <w:lang w:val="en-US" w:eastAsia="zh-CN"/>
        </w:rPr>
        <w:t xml:space="preserve"> use the following abbreviations and acronyms:</w:t>
      </w:r>
    </w:p>
    <w:p w14:paraId="24266447" w14:textId="77777777" w:rsidR="008B13CD" w:rsidRPr="00E45670" w:rsidRDefault="008B13CD" w:rsidP="008B13CD">
      <w:pPr>
        <w:rPr>
          <w:lang w:val="en-US"/>
        </w:rPr>
      </w:pPr>
      <w:bookmarkStart w:id="85" w:name="_Toc416344263"/>
      <w:bookmarkStart w:id="86" w:name="_Toc417892655"/>
      <w:bookmarkStart w:id="87" w:name="_Toc417909872"/>
      <w:bookmarkStart w:id="88" w:name="_Toc10036"/>
      <w:r w:rsidRPr="00E45670">
        <w:rPr>
          <w:lang w:val="en-US"/>
        </w:rPr>
        <w:t>ITU</w:t>
      </w:r>
      <w:r w:rsidRPr="00E45670">
        <w:rPr>
          <w:lang w:val="en-US"/>
        </w:rPr>
        <w:tab/>
        <w:t>International Telecommunication Union</w:t>
      </w:r>
    </w:p>
    <w:p w14:paraId="6FE1BDD9" w14:textId="77777777" w:rsidR="008B13CD" w:rsidRPr="00B31207" w:rsidRDefault="008B13CD" w:rsidP="008B13CD">
      <w:r w:rsidRPr="00B31207">
        <w:t>IoT</w:t>
      </w:r>
      <w:r w:rsidRPr="00B31207">
        <w:tab/>
        <w:t>Internet of Things</w:t>
      </w:r>
    </w:p>
    <w:p w14:paraId="423D27AA" w14:textId="77777777" w:rsidR="008B13CD" w:rsidRDefault="008B13CD" w:rsidP="008B13CD">
      <w:r w:rsidRPr="00B31207">
        <w:t>SC&amp;C</w:t>
      </w:r>
      <w:r>
        <w:tab/>
      </w:r>
      <w:r w:rsidRPr="00B31207">
        <w:t>Smart Cities and Communities</w:t>
      </w:r>
    </w:p>
    <w:p w14:paraId="3F278C16" w14:textId="77777777" w:rsidR="008B13CD" w:rsidRDefault="008B13CD" w:rsidP="008B13CD">
      <w:r>
        <w:t>STI</w:t>
      </w:r>
      <w:r>
        <w:tab/>
        <w:t>Science and Technology Innovation</w:t>
      </w:r>
    </w:p>
    <w:p w14:paraId="6B35EDF9" w14:textId="77777777" w:rsidR="008B13CD" w:rsidRPr="000A212C" w:rsidRDefault="008B13CD" w:rsidP="00C903A6">
      <w:pPr>
        <w:pStyle w:val="Heading1"/>
      </w:pPr>
      <w:bookmarkStart w:id="89" w:name="_Toc18321957"/>
      <w:r w:rsidRPr="000A212C">
        <w:t>5</w:t>
      </w:r>
      <w:r w:rsidRPr="000A212C">
        <w:tab/>
      </w:r>
      <w:bookmarkEnd w:id="85"/>
      <w:bookmarkEnd w:id="86"/>
      <w:bookmarkEnd w:id="87"/>
      <w:bookmarkEnd w:id="88"/>
      <w:r w:rsidRPr="000A212C">
        <w:t>Conventions</w:t>
      </w:r>
      <w:bookmarkEnd w:id="89"/>
    </w:p>
    <w:p w14:paraId="0EF75C53" w14:textId="50E82C6D" w:rsidR="008B13CD" w:rsidRPr="00EC2A42" w:rsidRDefault="008B13CD" w:rsidP="008B13CD">
      <w:r w:rsidRPr="00DC2E3C">
        <w:t>None</w:t>
      </w:r>
      <w:r w:rsidR="00423B7C">
        <w:t>.</w:t>
      </w:r>
    </w:p>
    <w:p w14:paraId="429DA129" w14:textId="77777777" w:rsidR="008B13CD" w:rsidRPr="000A212C" w:rsidRDefault="008B13CD" w:rsidP="00C903A6">
      <w:pPr>
        <w:pStyle w:val="Heading1"/>
      </w:pPr>
      <w:bookmarkStart w:id="90" w:name="_Toc416344270"/>
      <w:bookmarkStart w:id="91" w:name="_Toc417892662"/>
      <w:bookmarkStart w:id="92" w:name="_Toc417909879"/>
      <w:bookmarkStart w:id="93" w:name="_Toc18321958"/>
      <w:r w:rsidRPr="000A212C">
        <w:t>6</w:t>
      </w:r>
      <w:r w:rsidRPr="000A212C">
        <w:tab/>
      </w:r>
      <w:bookmarkStart w:id="94" w:name="_Toc13114339"/>
      <w:bookmarkStart w:id="95" w:name="_Toc286237445"/>
      <w:bookmarkStart w:id="96" w:name="_Toc286246107"/>
      <w:bookmarkStart w:id="97" w:name="_Toc401159832"/>
      <w:bookmarkEnd w:id="90"/>
      <w:bookmarkEnd w:id="91"/>
      <w:bookmarkEnd w:id="92"/>
      <w:r w:rsidRPr="000A212C">
        <w:t>DPM Framework concepts and high-level considerations</w:t>
      </w:r>
      <w:bookmarkEnd w:id="93"/>
      <w:bookmarkEnd w:id="94"/>
    </w:p>
    <w:p w14:paraId="343C86E6" w14:textId="77777777" w:rsidR="008B13CD" w:rsidRPr="00716E32" w:rsidRDefault="008B13CD" w:rsidP="008B13CD">
      <w:pPr>
        <w:rPr>
          <w:b/>
          <w:bCs/>
          <w:i/>
          <w:iCs/>
        </w:rPr>
      </w:pPr>
      <w:r>
        <w:rPr>
          <w:b/>
          <w:bCs/>
          <w:i/>
          <w:iCs/>
        </w:rPr>
        <w:t xml:space="preserve">Cities and communities </w:t>
      </w:r>
      <w:r w:rsidRPr="00716E32">
        <w:rPr>
          <w:b/>
          <w:bCs/>
          <w:i/>
          <w:iCs/>
        </w:rPr>
        <w:t xml:space="preserve">and </w:t>
      </w:r>
      <w:r>
        <w:rPr>
          <w:b/>
          <w:bCs/>
          <w:i/>
          <w:iCs/>
        </w:rPr>
        <w:t>their</w:t>
      </w:r>
      <w:r w:rsidRPr="00716E32">
        <w:rPr>
          <w:b/>
          <w:bCs/>
          <w:i/>
          <w:iCs/>
        </w:rPr>
        <w:t xml:space="preserve"> Challenges</w:t>
      </w:r>
    </w:p>
    <w:p w14:paraId="110FF9B4" w14:textId="77777777" w:rsidR="008B13CD" w:rsidRDefault="008B13CD" w:rsidP="008B13CD">
      <w:pPr>
        <w:rPr>
          <w:sz w:val="14"/>
          <w:szCs w:val="14"/>
        </w:rPr>
      </w:pPr>
      <w:r>
        <w:t>Cities are dense and large human settlements in which a large majority of natural and man-made resources are consumed. More than half the world’s population currently lives in urban areas. These urban areas consume 75 percent of natural resources, produce 60 to 80 percent of greenhouse gas emissions, and generate more than 50 percent of all waste. Cities contribute an estimated 80 percent of gross domestic product (GDP) globally.</w:t>
      </w:r>
      <w:r>
        <w:rPr>
          <w:sz w:val="14"/>
          <w:szCs w:val="14"/>
        </w:rPr>
        <w:t xml:space="preserve"> </w:t>
      </w:r>
      <w:r>
        <w:t xml:space="preserve">Therefore, our social, economic and environmental challenges are mostly manifested in urban environments. Additionally, urbanization is further progressing at a hitherto unforeseen rate with 68% of the world population expected to reside in cities by 2050. </w:t>
      </w:r>
    </w:p>
    <w:p w14:paraId="2CEB2132" w14:textId="77777777" w:rsidR="008B13CD" w:rsidRDefault="008B13CD" w:rsidP="008B13CD">
      <w:r>
        <w:t xml:space="preserve">In 2015, United Nations (UN) has adopted 17 global sustainable development goals (SDGs) for the year 2030 covering social, economic and environmental development issues.  Specifically SDG11, Sustainable Cities and Communities, intend to make cities </w:t>
      </w:r>
      <w:r w:rsidRPr="00581AA5">
        <w:t>and human settlements inclusive, safe, resilient and sustainable</w:t>
      </w:r>
      <w:r>
        <w:t xml:space="preserve">, among others. </w:t>
      </w:r>
    </w:p>
    <w:p w14:paraId="5365347C" w14:textId="77777777" w:rsidR="008B13CD" w:rsidRDefault="008B13CD" w:rsidP="008B13CD">
      <w:r>
        <w:lastRenderedPageBreak/>
        <w:t>The unprecedented growth of cities and communities across the globe is bringing about significant challenges in housing, mobility, governance, environment, energy and water, safety, and economic and social welfare, among others.</w:t>
      </w:r>
    </w:p>
    <w:p w14:paraId="6C9B5129" w14:textId="77777777" w:rsidR="008B13CD" w:rsidRDefault="008B13CD" w:rsidP="008B13CD">
      <w:r>
        <w:t xml:space="preserve">On the other hand, advances in science and technology present enormous opportunities in addressing these challenges and building novel IoT-enabled services for cities and communities.  In fact, Internet of things and related technologies such as AI, 5G, Big Data, Blockchain, etc. unlock the full potential of Science and Technology Innovation (STI)  [Ref] in smart cities and communities. STI-based innovative urban solutions are becoming pervasive in cities and communities to provide much needed support. </w:t>
      </w:r>
    </w:p>
    <w:p w14:paraId="1D85831D" w14:textId="77777777" w:rsidR="008B13CD" w:rsidRDefault="008B13CD" w:rsidP="008B13CD">
      <w:pPr>
        <w:rPr>
          <w:b/>
          <w:bCs/>
          <w:i/>
          <w:iCs/>
        </w:rPr>
      </w:pPr>
      <w:r>
        <w:rPr>
          <w:b/>
          <w:bCs/>
          <w:i/>
          <w:iCs/>
        </w:rPr>
        <w:t>Data as an Enabler</w:t>
      </w:r>
    </w:p>
    <w:p w14:paraId="2603B4B2" w14:textId="77777777" w:rsidR="008B13CD" w:rsidRDefault="008B13CD" w:rsidP="008B13CD">
      <w:r>
        <w:t>Digital transformation and ICT initiatives together with the application of STI have proliferated substantial data creation in cities. Public and private sector organizations have accumulated data which can be turned into practical use and benefit to address cities’ and communities’ challenges.</w:t>
      </w:r>
    </w:p>
    <w:p w14:paraId="7737DD3D" w14:textId="77777777" w:rsidR="008B13CD" w:rsidRDefault="008B13CD" w:rsidP="008B13CD">
      <w:r>
        <w:t xml:space="preserve">In fact, aforementioned STI-based solutions almost all require data for problem solving. In this context, data acts as a strategic asset and enabler. Data allows problem identification, understanding, diagnostics, and solution. It acts as a raw material, input and, also output depending on problem and innovation selected. It also helps determine cities’ and communities’ problems, shape appropriate solutions and validate outcomes. Hence, it acts as a highly critical ingredient in innovating solutions. </w:t>
      </w:r>
    </w:p>
    <w:p w14:paraId="352F5F6D" w14:textId="77777777" w:rsidR="008B13CD" w:rsidRPr="00E34668" w:rsidRDefault="008B13CD" w:rsidP="008B13CD">
      <w:pPr>
        <w:rPr>
          <w:b/>
          <w:bCs/>
          <w:i/>
          <w:iCs/>
        </w:rPr>
      </w:pPr>
      <w:r>
        <w:rPr>
          <w:b/>
          <w:bCs/>
          <w:i/>
          <w:iCs/>
        </w:rPr>
        <w:t>Data and its Challenges</w:t>
      </w:r>
    </w:p>
    <w:p w14:paraId="756CB295" w14:textId="77777777" w:rsidR="008B13CD" w:rsidRDefault="008B13CD" w:rsidP="008B13CD">
      <w:r>
        <w:t>Utilizing data in cities and communities context poses its own data related challenges. It is important to identify data specific capabilities since they play a critical role throughout the lifecycle of data. It is also vital to ensure trust in data for accurate, ethical and secure processing while preserving and respecting privacy. Additionally, appropriate commercialization and monetization schemes might be needed to achieve tangible business benefits while contributing to sustainability of data and creation of a viable economy around it. Furthermore, it is also crucial to establish a prolific innovation ecosystem around data. This entails among others availing requisite data skills, potentially providing business support for data related innovation, conducting R&amp;D programs, formulating policies, regulations and standards where needed. It is also highly critical to establish an appropriate governance framework around data processing and management.</w:t>
      </w:r>
    </w:p>
    <w:p w14:paraId="660C0419" w14:textId="77777777" w:rsidR="008B13CD" w:rsidRDefault="008B13CD" w:rsidP="008B13CD">
      <w:r>
        <w:t>The data processing and management framework depicted in this document aims to address these data related challenges from a holistic perspective. This all-encompassing approach enables policy makers as well as practitioners to appreciate the broad scope inherent in data related activities and capabilities.</w:t>
      </w:r>
    </w:p>
    <w:p w14:paraId="76062A97" w14:textId="77777777" w:rsidR="008B13CD" w:rsidRDefault="008B13CD" w:rsidP="008B13CD">
      <w:pPr>
        <w:rPr>
          <w:highlight w:val="yellow"/>
        </w:rPr>
      </w:pPr>
      <w:r w:rsidRPr="00DC2E3C">
        <w:rPr>
          <w:b/>
          <w:i/>
        </w:rPr>
        <w:t>Data Value chain</w:t>
      </w:r>
    </w:p>
    <w:p w14:paraId="659CD831" w14:textId="77777777" w:rsidR="008B13CD" w:rsidRDefault="008B13CD" w:rsidP="008B13CD">
      <w:pPr>
        <w:pStyle w:val="Normal1"/>
      </w:pPr>
      <w:r>
        <w:rPr>
          <w:rFonts w:eastAsia="Batang"/>
        </w:rPr>
        <w:t xml:space="preserve">In the context of DPM framework, different capabilities applied on the data since its creation to its use will follow a value creation process where different stakeholders interacts at different stages of the data lifecycle. </w:t>
      </w:r>
      <w:r w:rsidRPr="00A90509">
        <w:rPr>
          <w:rFonts w:eastAsia="Batang"/>
        </w:rPr>
        <w:t xml:space="preserve">It is important to identify various, potentially commercial, value adding activities related to data, which is commonly referred to as data value chain. </w:t>
      </w:r>
      <w:r>
        <w:rPr>
          <w:rFonts w:eastAsia="Batang"/>
        </w:rPr>
        <w:t xml:space="preserve">For instance how Data creation, collection, storage, transmission, trust and quality check, data sharing, …etc can potentially be monetized. </w:t>
      </w:r>
      <w:r w:rsidRPr="00A90509">
        <w:rPr>
          <w:rFonts w:eastAsia="Batang"/>
        </w:rPr>
        <w:t xml:space="preserve">In other words, each and every activity in the </w:t>
      </w:r>
      <w:r>
        <w:rPr>
          <w:rFonts w:eastAsia="Batang"/>
        </w:rPr>
        <w:t xml:space="preserve">data </w:t>
      </w:r>
      <w:r w:rsidRPr="00A90509">
        <w:rPr>
          <w:rFonts w:eastAsia="Batang"/>
        </w:rPr>
        <w:t>value chain identified can potentially be monetized</w:t>
      </w:r>
      <w:r>
        <w:rPr>
          <w:rFonts w:eastAsia="Batang"/>
        </w:rPr>
        <w:t>. In that perspective [</w:t>
      </w:r>
      <w:r w:rsidRPr="00806B30">
        <w:rPr>
          <w:bCs/>
          <w:lang w:eastAsia="zh-CN"/>
        </w:rPr>
        <w:t xml:space="preserve">b-FG-DPM TS </w:t>
      </w:r>
      <w:r>
        <w:rPr>
          <w:rFonts w:eastAsia="Batang"/>
        </w:rPr>
        <w:t xml:space="preserve">D5] propose the data value chain with two parts related to what is named “data core activities” and “data support activities” that </w:t>
      </w:r>
      <w:r w:rsidRPr="00A90509">
        <w:rPr>
          <w:rFonts w:eastAsia="Batang"/>
        </w:rPr>
        <w:t>contribute directly or indirectly to value creation from data</w:t>
      </w:r>
      <w:r>
        <w:rPr>
          <w:rFonts w:eastAsia="Batang"/>
        </w:rPr>
        <w:t xml:space="preserve">. </w:t>
      </w:r>
      <w:r>
        <w:t xml:space="preserve">Data support activities complement and supplement the core data activities and therefore help in enhancing value of data and / or provisioning of data.  An </w:t>
      </w:r>
      <w:r>
        <w:lastRenderedPageBreak/>
        <w:t xml:space="preserve">example of data core activities in that value chain is data creation, collection and aggregation. On the hand examples of support data activities are data laws, regulation and policies. </w:t>
      </w:r>
    </w:p>
    <w:p w14:paraId="4D1EBB06" w14:textId="7C2850FC" w:rsidR="008B13CD" w:rsidRDefault="008B13CD" w:rsidP="008B13CD">
      <w:pPr>
        <w:rPr>
          <w:rFonts w:eastAsia="Batang"/>
        </w:rPr>
      </w:pPr>
      <w:r>
        <w:rPr>
          <w:rFonts w:eastAsia="Batang"/>
        </w:rPr>
        <w:t xml:space="preserve"> </w:t>
      </w:r>
      <w:r w:rsidRPr="00A90509">
        <w:rPr>
          <w:rFonts w:eastAsia="Batang"/>
        </w:rPr>
        <w:t>An organization can conduct one or more activities in the da</w:t>
      </w:r>
      <w:r>
        <w:rPr>
          <w:rFonts w:eastAsia="Batang"/>
        </w:rPr>
        <w:t>ta value chain proposed</w:t>
      </w:r>
      <w:r w:rsidRPr="00DC2E3C">
        <w:rPr>
          <w:rFonts w:eastAsia="Batang"/>
        </w:rPr>
        <w:t xml:space="preserve"> in [</w:t>
      </w:r>
      <w:r w:rsidRPr="00806B30">
        <w:rPr>
          <w:bCs/>
          <w:lang w:eastAsia="zh-CN"/>
        </w:rPr>
        <w:t xml:space="preserve">b-FG-DPM TS </w:t>
      </w:r>
      <w:r>
        <w:rPr>
          <w:rFonts w:eastAsia="Batang"/>
        </w:rPr>
        <w:t>D5</w:t>
      </w:r>
      <w:r w:rsidRPr="00DC2E3C">
        <w:rPr>
          <w:rFonts w:eastAsia="Batang"/>
        </w:rPr>
        <w:t>]</w:t>
      </w:r>
      <w:r>
        <w:rPr>
          <w:rFonts w:eastAsia="Batang"/>
        </w:rPr>
        <w:t xml:space="preserve">. </w:t>
      </w:r>
      <w:r w:rsidRPr="00A90509">
        <w:rPr>
          <w:rFonts w:eastAsia="Batang"/>
        </w:rPr>
        <w:t>In some cases, even multiple entities or organizations can participate in a single activity in the data value chain.</w:t>
      </w:r>
    </w:p>
    <w:p w14:paraId="2EF9AC3F" w14:textId="05AFFD40" w:rsidR="008B13CD" w:rsidRPr="000A212C" w:rsidRDefault="00855FF5" w:rsidP="00C903A6">
      <w:pPr>
        <w:pStyle w:val="Heading1"/>
      </w:pPr>
      <w:bookmarkStart w:id="98" w:name="_Toc13114342"/>
      <w:bookmarkStart w:id="99" w:name="_Toc18321959"/>
      <w:r>
        <w:t>7</w:t>
      </w:r>
      <w:r w:rsidR="00423B7C">
        <w:tab/>
      </w:r>
      <w:r w:rsidR="008B13CD" w:rsidRPr="000A212C">
        <w:t>Data Processing and Management framework</w:t>
      </w:r>
      <w:bookmarkEnd w:id="98"/>
      <w:bookmarkEnd w:id="99"/>
    </w:p>
    <w:p w14:paraId="3B51C946" w14:textId="77777777" w:rsidR="008B13CD" w:rsidRPr="00DC2E3C" w:rsidRDefault="008B13CD" w:rsidP="008B13CD">
      <w:pPr>
        <w:pStyle w:val="Normal1"/>
        <w:jc w:val="both"/>
      </w:pPr>
      <w:r>
        <w:t>This clause presents a comprehensive DPM framework. The framework is composed of dimensions and capabilities for each dimension.</w:t>
      </w:r>
    </w:p>
    <w:p w14:paraId="4BA35AD8" w14:textId="5536DA54" w:rsidR="008B13CD" w:rsidRPr="00515B32" w:rsidRDefault="00855FF5" w:rsidP="008B13CD">
      <w:pPr>
        <w:pStyle w:val="Heading2"/>
        <w:tabs>
          <w:tab w:val="clear" w:pos="794"/>
          <w:tab w:val="clear" w:pos="1191"/>
          <w:tab w:val="clear" w:pos="1588"/>
          <w:tab w:val="clear" w:pos="1985"/>
        </w:tabs>
        <w:jc w:val="left"/>
        <w:rPr>
          <w:rFonts w:eastAsia="Batang"/>
        </w:rPr>
      </w:pPr>
      <w:bookmarkStart w:id="100" w:name="_370n6bp28521" w:colFirst="0" w:colLast="0"/>
      <w:bookmarkStart w:id="101" w:name="_Toc18321960"/>
      <w:bookmarkEnd w:id="100"/>
      <w:r>
        <w:rPr>
          <w:rFonts w:eastAsia="Batang"/>
        </w:rPr>
        <w:t>7</w:t>
      </w:r>
      <w:r w:rsidR="008B13CD" w:rsidRPr="00515B32">
        <w:rPr>
          <w:rFonts w:eastAsia="Batang"/>
        </w:rPr>
        <w:t>.1 Dimensions of DPM framework</w:t>
      </w:r>
      <w:bookmarkEnd w:id="101"/>
    </w:p>
    <w:p w14:paraId="54E0F732" w14:textId="77777777" w:rsidR="008B13CD" w:rsidRPr="001B6ED1" w:rsidRDefault="008B13CD" w:rsidP="008B13CD">
      <w:pPr>
        <w:rPr>
          <w:szCs w:val="24"/>
          <w:lang w:val="en-US"/>
        </w:rPr>
      </w:pPr>
      <w:r w:rsidRPr="001B6ED1">
        <w:rPr>
          <w:szCs w:val="24"/>
          <w:lang w:val="en-US"/>
        </w:rPr>
        <w:t>The proposed DPM DPM framework is composed along five dimensions, namely:</w:t>
      </w:r>
    </w:p>
    <w:p w14:paraId="55781420" w14:textId="77777777" w:rsidR="008B13CD" w:rsidRPr="00CE3441" w:rsidRDefault="008B13CD" w:rsidP="008B13CD">
      <w:pPr>
        <w:pStyle w:val="ListParagraph"/>
        <w:numPr>
          <w:ilvl w:val="0"/>
          <w:numId w:val="48"/>
        </w:numPr>
        <w:rPr>
          <w:szCs w:val="24"/>
        </w:rPr>
      </w:pPr>
      <w:r w:rsidRPr="00DC2E3C">
        <w:rPr>
          <w:rFonts w:ascii="Times New Roman" w:hAnsi="Times New Roman" w:cs="Times New Roman"/>
          <w:sz w:val="24"/>
          <w:szCs w:val="24"/>
        </w:rPr>
        <w:t>Data lifecycle Dimension</w:t>
      </w:r>
    </w:p>
    <w:p w14:paraId="7AA8FD18" w14:textId="77777777" w:rsidR="008B13CD" w:rsidRPr="00CE3441" w:rsidRDefault="008B13CD" w:rsidP="008B13CD">
      <w:pPr>
        <w:pStyle w:val="ListParagraph"/>
        <w:numPr>
          <w:ilvl w:val="0"/>
          <w:numId w:val="48"/>
        </w:numPr>
        <w:rPr>
          <w:szCs w:val="24"/>
        </w:rPr>
      </w:pPr>
      <w:r w:rsidRPr="00DC2E3C">
        <w:rPr>
          <w:rFonts w:ascii="Times New Roman" w:hAnsi="Times New Roman" w:cs="Times New Roman"/>
          <w:sz w:val="24"/>
          <w:szCs w:val="24"/>
        </w:rPr>
        <w:t>Data Trust Dimension</w:t>
      </w:r>
    </w:p>
    <w:p w14:paraId="40026A05" w14:textId="77777777" w:rsidR="008B13CD" w:rsidRPr="00CE3441" w:rsidRDefault="008B13CD" w:rsidP="008B13CD">
      <w:pPr>
        <w:pStyle w:val="ListParagraph"/>
        <w:numPr>
          <w:ilvl w:val="0"/>
          <w:numId w:val="48"/>
        </w:numPr>
        <w:rPr>
          <w:szCs w:val="24"/>
        </w:rPr>
      </w:pPr>
      <w:r w:rsidRPr="00DC2E3C">
        <w:rPr>
          <w:rFonts w:ascii="Times New Roman" w:hAnsi="Times New Roman" w:cs="Times New Roman"/>
          <w:sz w:val="24"/>
          <w:szCs w:val="24"/>
        </w:rPr>
        <w:t>Data Commercialization dimension</w:t>
      </w:r>
    </w:p>
    <w:p w14:paraId="37AA15A9" w14:textId="77777777" w:rsidR="008B13CD" w:rsidRPr="00CE3441" w:rsidRDefault="008B13CD" w:rsidP="008B13CD">
      <w:pPr>
        <w:pStyle w:val="ListParagraph"/>
        <w:numPr>
          <w:ilvl w:val="0"/>
          <w:numId w:val="48"/>
        </w:numPr>
        <w:rPr>
          <w:szCs w:val="24"/>
        </w:rPr>
      </w:pPr>
      <w:r w:rsidRPr="00DC2E3C">
        <w:rPr>
          <w:rFonts w:ascii="Times New Roman" w:hAnsi="Times New Roman" w:cs="Times New Roman"/>
          <w:sz w:val="24"/>
          <w:szCs w:val="24"/>
        </w:rPr>
        <w:t>Ecosystem Dimension</w:t>
      </w:r>
    </w:p>
    <w:p w14:paraId="130DD80D" w14:textId="77777777" w:rsidR="008B13CD" w:rsidRPr="00CE3441" w:rsidRDefault="008B13CD" w:rsidP="008B13CD">
      <w:pPr>
        <w:pStyle w:val="ListParagraph"/>
        <w:numPr>
          <w:ilvl w:val="0"/>
          <w:numId w:val="48"/>
        </w:numPr>
        <w:rPr>
          <w:szCs w:val="24"/>
        </w:rPr>
      </w:pPr>
      <w:r w:rsidRPr="00DC2E3C">
        <w:rPr>
          <w:rFonts w:ascii="Times New Roman" w:hAnsi="Times New Roman" w:cs="Times New Roman"/>
          <w:sz w:val="24"/>
          <w:szCs w:val="24"/>
        </w:rPr>
        <w:t>Governance Dimension</w:t>
      </w:r>
    </w:p>
    <w:p w14:paraId="15263488" w14:textId="77777777" w:rsidR="008B13CD" w:rsidRPr="00EE5E94" w:rsidRDefault="008B13CD" w:rsidP="008B13CD">
      <w:r w:rsidRPr="001B6ED1">
        <w:rPr>
          <w:szCs w:val="24"/>
        </w:rPr>
        <w:t>As depicted in Figure 1 It designed flexibly to accommodate future expansion in terms of</w:t>
      </w:r>
      <w:r>
        <w:t xml:space="preserve"> dimensions and capabilities.</w:t>
      </w:r>
    </w:p>
    <w:p w14:paraId="75B9F5A8" w14:textId="77777777" w:rsidR="008B13CD" w:rsidRDefault="008B13CD" w:rsidP="008B13CD">
      <w:pPr>
        <w:pStyle w:val="Normal1"/>
        <w:jc w:val="center"/>
        <w:rPr>
          <w:rFonts w:asciiTheme="minorHAnsi" w:eastAsiaTheme="minorEastAsia" w:hAnsi="Cambria" w:cstheme="minorBidi"/>
          <w:b/>
          <w:bCs/>
          <w:color w:val="000000" w:themeColor="text1"/>
          <w:kern w:val="24"/>
          <w:sz w:val="36"/>
          <w:szCs w:val="36"/>
          <w:lang w:val="fr-FR" w:eastAsia="en-GB"/>
        </w:rPr>
      </w:pPr>
      <w:r w:rsidRPr="00DC2E3C">
        <w:rPr>
          <w:rFonts w:asciiTheme="minorHAnsi" w:eastAsiaTheme="minorEastAsia" w:hAnsi="Cambria" w:cstheme="minorBidi"/>
          <w:b/>
          <w:bCs/>
          <w:noProof/>
          <w:color w:val="000000" w:themeColor="text1"/>
          <w:kern w:val="24"/>
          <w:sz w:val="36"/>
          <w:szCs w:val="36"/>
          <w:lang w:eastAsia="en-GB"/>
        </w:rPr>
        <w:drawing>
          <wp:inline distT="0" distB="0" distL="0" distR="0" wp14:anchorId="6C749CA8" wp14:editId="50AABE69">
            <wp:extent cx="4615121" cy="49225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1).jpg"/>
                    <pic:cNvPicPr/>
                  </pic:nvPicPr>
                  <pic:blipFill>
                    <a:blip r:embed="rId17">
                      <a:extLst>
                        <a:ext uri="{28A0092B-C50C-407E-A947-70E740481C1C}">
                          <a14:useLocalDpi xmlns:a14="http://schemas.microsoft.com/office/drawing/2010/main" val="0"/>
                        </a:ext>
                      </a:extLst>
                    </a:blip>
                    <a:stretch>
                      <a:fillRect/>
                    </a:stretch>
                  </pic:blipFill>
                  <pic:spPr>
                    <a:xfrm>
                      <a:off x="0" y="0"/>
                      <a:ext cx="4648775" cy="4958426"/>
                    </a:xfrm>
                    <a:prstGeom prst="rect">
                      <a:avLst/>
                    </a:prstGeom>
                  </pic:spPr>
                </pic:pic>
              </a:graphicData>
            </a:graphic>
          </wp:inline>
        </w:drawing>
      </w:r>
    </w:p>
    <w:p w14:paraId="7A122D55" w14:textId="77777777" w:rsidR="008B13CD" w:rsidRPr="00DC2E3C" w:rsidRDefault="008B13CD" w:rsidP="008B13CD">
      <w:pPr>
        <w:pStyle w:val="Normal1"/>
        <w:jc w:val="center"/>
        <w:rPr>
          <w:b/>
          <w:lang w:val="en-US"/>
        </w:rPr>
      </w:pPr>
      <w:r w:rsidRPr="00DC2E3C">
        <w:rPr>
          <w:b/>
          <w:lang w:val="en-US"/>
        </w:rPr>
        <w:t xml:space="preserve">Figure 1: Data Processing and Management framework </w:t>
      </w:r>
    </w:p>
    <w:p w14:paraId="26620719" w14:textId="77777777" w:rsidR="008B13CD" w:rsidRDefault="008B13CD" w:rsidP="008B13CD">
      <w:r>
        <w:lastRenderedPageBreak/>
        <w:t xml:space="preserve">Each dimension offers a particular perspective on data processing and management. In principle, they are independent, however taken together they complement each other. </w:t>
      </w:r>
    </w:p>
    <w:p w14:paraId="19B70F3E" w14:textId="77777777" w:rsidR="008B13CD" w:rsidRDefault="008B13CD" w:rsidP="008B13CD">
      <w:r w:rsidRPr="00DC2E3C" w:rsidDel="00765290">
        <w:rPr>
          <w:b/>
        </w:rPr>
        <w:t>Th</w:t>
      </w:r>
      <w:r w:rsidRPr="00DC2E3C">
        <w:rPr>
          <w:b/>
        </w:rPr>
        <w:t>e Data lifecycle</w:t>
      </w:r>
      <w:r>
        <w:t xml:space="preserve"> dimension</w:t>
      </w:r>
      <w:r w:rsidDel="00765290">
        <w:t xml:space="preserve"> concerns the processing and management activities </w:t>
      </w:r>
      <w:r>
        <w:t xml:space="preserve">conducted </w:t>
      </w:r>
      <w:r w:rsidDel="00765290">
        <w:t>on data</w:t>
      </w:r>
      <w:r>
        <w:t xml:space="preserve"> from </w:t>
      </w:r>
      <w:r w:rsidDel="00765290">
        <w:t xml:space="preserve">its creation to its </w:t>
      </w:r>
      <w:r>
        <w:t>use and disposal</w:t>
      </w:r>
      <w:r w:rsidDel="00765290">
        <w:t xml:space="preserve">. </w:t>
      </w:r>
    </w:p>
    <w:p w14:paraId="1ED08A1A" w14:textId="77777777" w:rsidR="008B13CD" w:rsidRDefault="008B13CD" w:rsidP="008B13CD">
      <w:r>
        <w:rPr>
          <w:b/>
        </w:rPr>
        <w:t xml:space="preserve">The Data trust </w:t>
      </w:r>
      <w:r w:rsidRPr="00DC2E3C">
        <w:rPr>
          <w:b/>
        </w:rPr>
        <w:t>dimension</w:t>
      </w:r>
      <w:r>
        <w:t xml:space="preserve"> includes various actions taken to safeguard the security, privacy and quality of data and enhance trust for it by also including ethical requirements. </w:t>
      </w:r>
    </w:p>
    <w:p w14:paraId="414ED359" w14:textId="77777777" w:rsidR="008B13CD" w:rsidRDefault="008B13CD" w:rsidP="008B13CD">
      <w:r w:rsidRPr="00DC2E3C">
        <w:rPr>
          <w:b/>
        </w:rPr>
        <w:t xml:space="preserve">The </w:t>
      </w:r>
      <w:r>
        <w:rPr>
          <w:b/>
        </w:rPr>
        <w:t xml:space="preserve">Data </w:t>
      </w:r>
      <w:r w:rsidRPr="00DC2E3C">
        <w:rPr>
          <w:b/>
        </w:rPr>
        <w:t>commercialisation dimension</w:t>
      </w:r>
      <w:r>
        <w:t xml:space="preserve"> includes all activities regarding the monetization and commercialization of data.</w:t>
      </w:r>
    </w:p>
    <w:p w14:paraId="080ED740" w14:textId="77777777" w:rsidR="008B13CD" w:rsidRDefault="008B13CD" w:rsidP="008B13CD">
      <w:pPr>
        <w:rPr>
          <w:lang w:val="en-US"/>
        </w:rPr>
      </w:pPr>
      <w:r w:rsidRPr="00DC2E3C">
        <w:rPr>
          <w:b/>
        </w:rPr>
        <w:t xml:space="preserve">The </w:t>
      </w:r>
      <w:r w:rsidRPr="00DC2E3C">
        <w:rPr>
          <w:b/>
          <w:lang w:val="en-US"/>
        </w:rPr>
        <w:t>Ecosystem Dimension</w:t>
      </w:r>
      <w:r>
        <w:rPr>
          <w:lang w:val="en-US"/>
        </w:rPr>
        <w:t xml:space="preserve"> includes all factors and mechanisms that directly or indirectly impact DPM activities.</w:t>
      </w:r>
    </w:p>
    <w:p w14:paraId="3C646487" w14:textId="77777777" w:rsidR="008B13CD" w:rsidRPr="005E2583" w:rsidRDefault="008B13CD" w:rsidP="008B13CD">
      <w:r w:rsidRPr="00DC2E3C">
        <w:rPr>
          <w:b/>
          <w:lang w:val="en-US"/>
        </w:rPr>
        <w:t xml:space="preserve">The Governance dimension </w:t>
      </w:r>
      <w:r>
        <w:rPr>
          <w:lang w:val="en-US"/>
        </w:rPr>
        <w:t xml:space="preserve">will cover all the policy related aspects that will be applied on each dimension. </w:t>
      </w:r>
    </w:p>
    <w:p w14:paraId="7271644F" w14:textId="77777777" w:rsidR="008B13CD" w:rsidRDefault="008B13CD" w:rsidP="008B13CD">
      <w:r>
        <w:rPr>
          <w:lang w:val="en-US"/>
        </w:rPr>
        <w:t xml:space="preserve">Note that </w:t>
      </w:r>
      <w:r w:rsidRPr="00DC2E3C">
        <w:rPr>
          <w:b/>
          <w:lang w:val="en-US"/>
        </w:rPr>
        <w:t>Interoperability aspect</w:t>
      </w:r>
      <w:r>
        <w:rPr>
          <w:lang w:val="en-US"/>
        </w:rPr>
        <w:t xml:space="preserve"> is needed at each dimension to enable the added value creation and new innovations following the DPM framework.</w:t>
      </w:r>
    </w:p>
    <w:p w14:paraId="03221FAB" w14:textId="5125D5B6" w:rsidR="008B13CD" w:rsidRPr="00515B32" w:rsidRDefault="00855FF5" w:rsidP="008B13CD">
      <w:pPr>
        <w:pStyle w:val="Heading2"/>
        <w:tabs>
          <w:tab w:val="clear" w:pos="794"/>
          <w:tab w:val="clear" w:pos="1191"/>
          <w:tab w:val="clear" w:pos="1588"/>
          <w:tab w:val="clear" w:pos="1985"/>
        </w:tabs>
        <w:jc w:val="left"/>
        <w:rPr>
          <w:rFonts w:eastAsia="Batang"/>
        </w:rPr>
      </w:pPr>
      <w:bookmarkStart w:id="102" w:name="_Toc13114343"/>
      <w:bookmarkStart w:id="103" w:name="_Toc18321961"/>
      <w:r>
        <w:rPr>
          <w:rFonts w:eastAsia="Batang"/>
        </w:rPr>
        <w:t>7</w:t>
      </w:r>
      <w:r w:rsidR="008B13CD" w:rsidRPr="00515B32">
        <w:rPr>
          <w:rFonts w:eastAsia="Batang"/>
        </w:rPr>
        <w:t>.2 Data Lifecycle Dimension</w:t>
      </w:r>
      <w:bookmarkEnd w:id="102"/>
      <w:bookmarkEnd w:id="103"/>
    </w:p>
    <w:p w14:paraId="4F258510" w14:textId="77777777" w:rsidR="008B13CD" w:rsidRPr="00DC2E3C" w:rsidRDefault="008B13CD" w:rsidP="008B13CD">
      <w:pPr>
        <w:pStyle w:val="Normal1"/>
        <w:jc w:val="both"/>
        <w:rPr>
          <w:lang w:val="en-US"/>
        </w:rPr>
      </w:pPr>
      <w:bookmarkStart w:id="104" w:name="_Toc13114344"/>
      <w:r>
        <w:rPr>
          <w:lang w:val="en-US"/>
        </w:rPr>
        <w:t xml:space="preserve">This dimension reflects all the steps and the related data processing and management capabilities followed by data from its creation to its use and disposal. </w:t>
      </w:r>
      <w:r>
        <w:t>From a data point of view,  the listed capabilities might affect the state and structure of data, the location of the data, its combination with other data, its transformation, its use and its disposal.</w:t>
      </w:r>
    </w:p>
    <w:p w14:paraId="6D6E9B84" w14:textId="77777777" w:rsidR="008B13CD" w:rsidRPr="00DC2E3C" w:rsidRDefault="008B13CD" w:rsidP="008B13CD">
      <w:pPr>
        <w:pStyle w:val="Normal1"/>
        <w:spacing w:after="240"/>
        <w:jc w:val="both"/>
      </w:pPr>
      <w:r>
        <w:t>In the data lifecyle dimension, a list of data processing and management capabilities is provided in table 1 bellow.</w:t>
      </w:r>
    </w:p>
    <w:tbl>
      <w:tblPr>
        <w:tblStyle w:val="TableGrid"/>
        <w:tblW w:w="9779" w:type="dxa"/>
        <w:tblLook w:val="04A0" w:firstRow="1" w:lastRow="0" w:firstColumn="1" w:lastColumn="0" w:noHBand="0" w:noVBand="1"/>
      </w:tblPr>
      <w:tblGrid>
        <w:gridCol w:w="2910"/>
        <w:gridCol w:w="6869"/>
      </w:tblGrid>
      <w:tr w:rsidR="008B13CD" w:rsidRPr="00FE7ADF" w14:paraId="04ADB071" w14:textId="77777777" w:rsidTr="008B3C24">
        <w:trPr>
          <w:tblHeader/>
        </w:trPr>
        <w:tc>
          <w:tcPr>
            <w:tcW w:w="2910" w:type="dxa"/>
          </w:tcPr>
          <w:p w14:paraId="47510C97" w14:textId="77777777" w:rsidR="008B13CD" w:rsidRPr="00FE7ADF" w:rsidRDefault="008B13CD" w:rsidP="0044453C">
            <w:pPr>
              <w:pStyle w:val="Normal1"/>
              <w:jc w:val="center"/>
              <w:rPr>
                <w:b/>
              </w:rPr>
            </w:pPr>
            <w:r>
              <w:rPr>
                <w:b/>
              </w:rPr>
              <w:t>D</w:t>
            </w:r>
            <w:r w:rsidRPr="00FE7ADF">
              <w:rPr>
                <w:b/>
              </w:rPr>
              <w:t>imension Capabilities</w:t>
            </w:r>
          </w:p>
        </w:tc>
        <w:tc>
          <w:tcPr>
            <w:tcW w:w="6869" w:type="dxa"/>
          </w:tcPr>
          <w:p w14:paraId="0B5CDD97" w14:textId="77777777" w:rsidR="008B13CD" w:rsidRPr="00FE7ADF" w:rsidRDefault="008B13CD" w:rsidP="0044453C">
            <w:pPr>
              <w:pStyle w:val="Normal1"/>
              <w:pageBreakBefore/>
              <w:jc w:val="center"/>
              <w:rPr>
                <w:b/>
              </w:rPr>
            </w:pPr>
            <w:r w:rsidRPr="00FE7ADF">
              <w:rPr>
                <w:b/>
              </w:rPr>
              <w:t>Capability description</w:t>
            </w:r>
          </w:p>
        </w:tc>
      </w:tr>
      <w:tr w:rsidR="008B13CD" w14:paraId="028E99F8" w14:textId="77777777" w:rsidTr="0044453C">
        <w:tc>
          <w:tcPr>
            <w:tcW w:w="2910" w:type="dxa"/>
          </w:tcPr>
          <w:p w14:paraId="16569693" w14:textId="77777777" w:rsidR="008B13CD" w:rsidRDefault="008B13CD" w:rsidP="0044453C">
            <w:pPr>
              <w:pStyle w:val="Normal1"/>
            </w:pPr>
            <w:r>
              <w:t>Data source identification</w:t>
            </w:r>
          </w:p>
        </w:tc>
        <w:tc>
          <w:tcPr>
            <w:tcW w:w="6869" w:type="dxa"/>
          </w:tcPr>
          <w:p w14:paraId="12DB4FBC" w14:textId="77777777" w:rsidR="008B13CD" w:rsidRDefault="008B13CD" w:rsidP="0044453C">
            <w:pPr>
              <w:pStyle w:val="Normal1"/>
            </w:pPr>
            <w:r>
              <w:t>The process of identifying the IoT data source type (sensor actuators, ..), its location and eventually its owner.</w:t>
            </w:r>
          </w:p>
        </w:tc>
      </w:tr>
      <w:tr w:rsidR="008B13CD" w14:paraId="4370F3F0" w14:textId="77777777" w:rsidTr="0044453C">
        <w:tc>
          <w:tcPr>
            <w:tcW w:w="2910" w:type="dxa"/>
          </w:tcPr>
          <w:p w14:paraId="33B57B30" w14:textId="77777777" w:rsidR="008B13CD" w:rsidRDefault="008B13CD" w:rsidP="0044453C">
            <w:pPr>
              <w:pStyle w:val="Normal1"/>
            </w:pPr>
            <w:r>
              <w:t>Data categorization</w:t>
            </w:r>
          </w:p>
        </w:tc>
        <w:tc>
          <w:tcPr>
            <w:tcW w:w="6869" w:type="dxa"/>
          </w:tcPr>
          <w:p w14:paraId="5443ADD7" w14:textId="77777777" w:rsidR="008B13CD" w:rsidRDefault="008B13CD" w:rsidP="0044453C">
            <w:pPr>
              <w:pStyle w:val="Normal1"/>
            </w:pPr>
            <w:r>
              <w:t>The process of identifying the related security, privacy, trust and governance level of the data which can be private, close, open or public.</w:t>
            </w:r>
          </w:p>
        </w:tc>
      </w:tr>
      <w:tr w:rsidR="008B13CD" w:rsidRPr="00DC2E3C" w14:paraId="682A7AA8" w14:textId="77777777" w:rsidTr="0044453C">
        <w:tc>
          <w:tcPr>
            <w:tcW w:w="2910" w:type="dxa"/>
          </w:tcPr>
          <w:p w14:paraId="5F4B0811" w14:textId="77777777" w:rsidR="008B13CD" w:rsidRPr="00DC2E3C" w:rsidRDefault="008B13CD" w:rsidP="0044453C">
            <w:pPr>
              <w:pStyle w:val="Normal1"/>
            </w:pPr>
            <w:r w:rsidRPr="00DC2E3C">
              <w:t>Data creation</w:t>
            </w:r>
          </w:p>
        </w:tc>
        <w:tc>
          <w:tcPr>
            <w:tcW w:w="6869" w:type="dxa"/>
          </w:tcPr>
          <w:p w14:paraId="5C8151C3" w14:textId="77777777" w:rsidR="008B13CD" w:rsidRPr="00DC2E3C" w:rsidRDefault="008B13CD" w:rsidP="0044453C">
            <w:pPr>
              <w:pStyle w:val="Normal1"/>
            </w:pPr>
            <w:r w:rsidRPr="00DC2E3C">
              <w:t xml:space="preserve">The process of an IoT device to generates data when it is available. For example a sensor monitoring environment phenomena generates data either when the phenomena changes (event data), or on a regular monitoring basis (Time Series data).  </w:t>
            </w:r>
          </w:p>
        </w:tc>
      </w:tr>
      <w:tr w:rsidR="008B13CD" w:rsidRPr="00DC2E3C" w14:paraId="1A32AC6A" w14:textId="77777777" w:rsidTr="0044453C">
        <w:tc>
          <w:tcPr>
            <w:tcW w:w="2910" w:type="dxa"/>
          </w:tcPr>
          <w:p w14:paraId="40B0708C" w14:textId="77777777" w:rsidR="008B13CD" w:rsidRPr="00DC2E3C" w:rsidRDefault="008B13CD" w:rsidP="0044453C">
            <w:pPr>
              <w:pStyle w:val="Normal1"/>
            </w:pPr>
            <w:r w:rsidRPr="00DC2E3C">
              <w:t>Data acquisition/retrieval/capture</w:t>
            </w:r>
          </w:p>
        </w:tc>
        <w:tc>
          <w:tcPr>
            <w:tcW w:w="6869" w:type="dxa"/>
          </w:tcPr>
          <w:p w14:paraId="4BDA8BD1" w14:textId="77777777" w:rsidR="008B13CD" w:rsidRPr="00DC2E3C" w:rsidRDefault="008B13CD" w:rsidP="0044453C">
            <w:pPr>
              <w:pStyle w:val="Normal1"/>
            </w:pPr>
            <w:r w:rsidRPr="00DC2E3C">
              <w:t>The process used by IoT application that runs a logic of requesting the data from the sensors and proceeds with the data acquisition.</w:t>
            </w:r>
          </w:p>
        </w:tc>
      </w:tr>
      <w:tr w:rsidR="008B13CD" w14:paraId="26AE95E4" w14:textId="77777777" w:rsidTr="0044453C">
        <w:tc>
          <w:tcPr>
            <w:tcW w:w="2910" w:type="dxa"/>
          </w:tcPr>
          <w:p w14:paraId="250D3008" w14:textId="77777777" w:rsidR="008B13CD" w:rsidRPr="00DC2E3C" w:rsidRDefault="008B13CD" w:rsidP="0044453C">
            <w:pPr>
              <w:pStyle w:val="Normal1"/>
            </w:pPr>
            <w:r w:rsidRPr="00DC2E3C">
              <w:t>Data collection</w:t>
            </w:r>
          </w:p>
        </w:tc>
        <w:tc>
          <w:tcPr>
            <w:tcW w:w="6869" w:type="dxa"/>
          </w:tcPr>
          <w:p w14:paraId="05F86E5D" w14:textId="77777777" w:rsidR="008B13CD" w:rsidRDefault="008B13CD" w:rsidP="0044453C">
            <w:pPr>
              <w:pStyle w:val="Normal1"/>
            </w:pPr>
            <w:r w:rsidRPr="00DC2E3C">
              <w:t>The process used by IoT application to run business logic might need to collect data from different sources that might be the sensors or the databases where datasets are stored.</w:t>
            </w:r>
            <w:r>
              <w:t xml:space="preserve"> </w:t>
            </w:r>
          </w:p>
        </w:tc>
      </w:tr>
      <w:tr w:rsidR="008B13CD" w14:paraId="612178C8" w14:textId="77777777" w:rsidTr="0044453C">
        <w:tc>
          <w:tcPr>
            <w:tcW w:w="2910" w:type="dxa"/>
          </w:tcPr>
          <w:p w14:paraId="12B916D6" w14:textId="77777777" w:rsidR="008B13CD" w:rsidRDefault="008B13CD" w:rsidP="0044453C">
            <w:pPr>
              <w:pStyle w:val="Normal1"/>
            </w:pPr>
            <w:r>
              <w:t>Data masking</w:t>
            </w:r>
          </w:p>
        </w:tc>
        <w:tc>
          <w:tcPr>
            <w:tcW w:w="6869" w:type="dxa"/>
          </w:tcPr>
          <w:p w14:paraId="61ADBC66" w14:textId="77777777" w:rsidR="008B13CD" w:rsidRDefault="008B13CD" w:rsidP="0044453C">
            <w:pPr>
              <w:pStyle w:val="Normal1"/>
            </w:pPr>
            <w:r>
              <w:t>The process of making the data not possible to link with its owner. Techniques as anonymization and pseudonymisation are possible to enable the privacy of data during its lifecycle.</w:t>
            </w:r>
          </w:p>
        </w:tc>
      </w:tr>
      <w:tr w:rsidR="008B13CD" w14:paraId="308FA8D7" w14:textId="77777777" w:rsidTr="0044453C">
        <w:tc>
          <w:tcPr>
            <w:tcW w:w="2910" w:type="dxa"/>
          </w:tcPr>
          <w:p w14:paraId="5C2387CA" w14:textId="77777777" w:rsidR="008B13CD" w:rsidRDefault="008B13CD" w:rsidP="0044453C">
            <w:pPr>
              <w:pStyle w:val="Normal1"/>
            </w:pPr>
            <w:r>
              <w:t>Data organization</w:t>
            </w:r>
          </w:p>
        </w:tc>
        <w:tc>
          <w:tcPr>
            <w:tcW w:w="6869" w:type="dxa"/>
          </w:tcPr>
          <w:p w14:paraId="5A1D493E" w14:textId="77777777" w:rsidR="008B13CD" w:rsidRDefault="008B13CD" w:rsidP="0044453C">
            <w:pPr>
              <w:pStyle w:val="Normal1"/>
            </w:pPr>
            <w:r>
              <w:t>The process of enriching the data during its structuring with contextual information following a common Metadata model.</w:t>
            </w:r>
          </w:p>
        </w:tc>
      </w:tr>
      <w:tr w:rsidR="008B13CD" w14:paraId="61DD00FF" w14:textId="77777777" w:rsidTr="0044453C">
        <w:tc>
          <w:tcPr>
            <w:tcW w:w="2910" w:type="dxa"/>
          </w:tcPr>
          <w:p w14:paraId="124D075E" w14:textId="77777777" w:rsidR="008B13CD" w:rsidRDefault="008B13CD" w:rsidP="0044453C">
            <w:pPr>
              <w:pStyle w:val="Normal1"/>
            </w:pPr>
            <w:r>
              <w:lastRenderedPageBreak/>
              <w:t>Data transmission</w:t>
            </w:r>
          </w:p>
        </w:tc>
        <w:tc>
          <w:tcPr>
            <w:tcW w:w="6869" w:type="dxa"/>
          </w:tcPr>
          <w:p w14:paraId="30204AA9" w14:textId="77777777" w:rsidR="008B13CD" w:rsidRDefault="008B13CD" w:rsidP="0044453C">
            <w:pPr>
              <w:pStyle w:val="Normal1"/>
            </w:pPr>
            <w:r>
              <w:t>The process to move data from one location to another. Require communication technologies between diferent entities as the sensor devices to the gateway, the gateway to the cloud or the servers…etc.</w:t>
            </w:r>
          </w:p>
        </w:tc>
      </w:tr>
      <w:tr w:rsidR="008B13CD" w14:paraId="5F35E152" w14:textId="77777777" w:rsidTr="0044453C">
        <w:tc>
          <w:tcPr>
            <w:tcW w:w="2910" w:type="dxa"/>
          </w:tcPr>
          <w:p w14:paraId="767C1B0A" w14:textId="77777777" w:rsidR="008B13CD" w:rsidRDefault="008B13CD" w:rsidP="0044453C">
            <w:pPr>
              <w:pStyle w:val="Normal1"/>
            </w:pPr>
            <w:r>
              <w:t>Data storage</w:t>
            </w:r>
          </w:p>
        </w:tc>
        <w:tc>
          <w:tcPr>
            <w:tcW w:w="6869" w:type="dxa"/>
          </w:tcPr>
          <w:p w14:paraId="122637C3" w14:textId="77777777" w:rsidR="008B13CD" w:rsidRDefault="008B13CD" w:rsidP="0044453C">
            <w:pPr>
              <w:pStyle w:val="Normal1"/>
            </w:pPr>
            <w:r>
              <w:t>The process to accumulate data for future processing and use. The duration of storage depends on the application and the security, privacy and governance rules.</w:t>
            </w:r>
          </w:p>
        </w:tc>
      </w:tr>
      <w:tr w:rsidR="008B13CD" w14:paraId="3ADBF7F6" w14:textId="77777777" w:rsidTr="0044453C">
        <w:tc>
          <w:tcPr>
            <w:tcW w:w="2910" w:type="dxa"/>
          </w:tcPr>
          <w:p w14:paraId="3111EA72" w14:textId="77777777" w:rsidR="008B13CD" w:rsidRDefault="008B13CD" w:rsidP="0044453C">
            <w:pPr>
              <w:pStyle w:val="Normal1"/>
            </w:pPr>
            <w:r>
              <w:t>Data securing</w:t>
            </w:r>
          </w:p>
        </w:tc>
        <w:tc>
          <w:tcPr>
            <w:tcW w:w="6869" w:type="dxa"/>
          </w:tcPr>
          <w:p w14:paraId="175BE139" w14:textId="77777777" w:rsidR="008B13CD" w:rsidRDefault="008B13CD" w:rsidP="0044453C">
            <w:pPr>
              <w:pStyle w:val="Normal1"/>
            </w:pPr>
            <w:r>
              <w:t>The process to control the access to the data, to ensure its confidentiality and integrity.</w:t>
            </w:r>
          </w:p>
        </w:tc>
      </w:tr>
      <w:tr w:rsidR="008B13CD" w14:paraId="06A162CE" w14:textId="77777777" w:rsidTr="0044453C">
        <w:tc>
          <w:tcPr>
            <w:tcW w:w="2910" w:type="dxa"/>
          </w:tcPr>
          <w:p w14:paraId="23C4714F" w14:textId="77777777" w:rsidR="008B13CD" w:rsidRDefault="008B13CD" w:rsidP="0044453C">
            <w:pPr>
              <w:pStyle w:val="Normal1"/>
            </w:pPr>
            <w:r>
              <w:t>Data validation</w:t>
            </w:r>
          </w:p>
        </w:tc>
        <w:tc>
          <w:tcPr>
            <w:tcW w:w="6869" w:type="dxa"/>
          </w:tcPr>
          <w:p w14:paraId="423BAE7A" w14:textId="77777777" w:rsidR="008B13CD" w:rsidRDefault="008B13CD" w:rsidP="0044453C">
            <w:pPr>
              <w:pStyle w:val="Normal1"/>
            </w:pPr>
            <w:r>
              <w:t xml:space="preserve">The process to check the quality, the correctness and trustworthiness of data. </w:t>
            </w:r>
          </w:p>
        </w:tc>
      </w:tr>
      <w:tr w:rsidR="008B13CD" w14:paraId="6E537944" w14:textId="77777777" w:rsidTr="0044453C">
        <w:tc>
          <w:tcPr>
            <w:tcW w:w="2910" w:type="dxa"/>
          </w:tcPr>
          <w:p w14:paraId="78581C33" w14:textId="77777777" w:rsidR="008B13CD" w:rsidRDefault="008B13CD" w:rsidP="0044453C">
            <w:pPr>
              <w:pStyle w:val="Normal1"/>
            </w:pPr>
            <w:r>
              <w:t>Data cleaning</w:t>
            </w:r>
          </w:p>
        </w:tc>
        <w:tc>
          <w:tcPr>
            <w:tcW w:w="6869" w:type="dxa"/>
          </w:tcPr>
          <w:p w14:paraId="673EC68A" w14:textId="77777777" w:rsidR="008B13CD" w:rsidRDefault="008B13CD" w:rsidP="0044453C">
            <w:pPr>
              <w:pStyle w:val="Normal1"/>
            </w:pPr>
            <w:r>
              <w:t>The process of removing wrong data by using for instance Data anomaly detection, remove useless data for the application.</w:t>
            </w:r>
          </w:p>
        </w:tc>
      </w:tr>
      <w:tr w:rsidR="008B13CD" w14:paraId="2B579A21" w14:textId="77777777" w:rsidTr="0044453C">
        <w:tc>
          <w:tcPr>
            <w:tcW w:w="2910" w:type="dxa"/>
          </w:tcPr>
          <w:p w14:paraId="13601D71" w14:textId="77777777" w:rsidR="008B13CD" w:rsidRDefault="008B13CD" w:rsidP="0044453C">
            <w:pPr>
              <w:pStyle w:val="Normal1"/>
            </w:pPr>
            <w:r>
              <w:t>Data filtering</w:t>
            </w:r>
          </w:p>
        </w:tc>
        <w:tc>
          <w:tcPr>
            <w:tcW w:w="6869" w:type="dxa"/>
          </w:tcPr>
          <w:p w14:paraId="695635B7" w14:textId="77777777" w:rsidR="008B13CD" w:rsidRDefault="008B13CD" w:rsidP="0044453C">
            <w:pPr>
              <w:pStyle w:val="Normal1"/>
            </w:pPr>
            <w:r>
              <w:t>The process of removing duplicate data.</w:t>
            </w:r>
          </w:p>
        </w:tc>
      </w:tr>
      <w:tr w:rsidR="008B13CD" w14:paraId="2D039319" w14:textId="77777777" w:rsidTr="0044453C">
        <w:tc>
          <w:tcPr>
            <w:tcW w:w="2910" w:type="dxa"/>
          </w:tcPr>
          <w:p w14:paraId="5AC0A600" w14:textId="77777777" w:rsidR="008B13CD" w:rsidRPr="00DC2E3C" w:rsidRDefault="008B13CD" w:rsidP="0044453C">
            <w:pPr>
              <w:pStyle w:val="Normal1"/>
            </w:pPr>
            <w:r w:rsidRPr="00DC2E3C">
              <w:t>Data aggregation</w:t>
            </w:r>
          </w:p>
        </w:tc>
        <w:tc>
          <w:tcPr>
            <w:tcW w:w="6869" w:type="dxa"/>
          </w:tcPr>
          <w:p w14:paraId="2BAD28D1" w14:textId="77777777" w:rsidR="008B13CD" w:rsidRDefault="008B13CD" w:rsidP="0044453C">
            <w:pPr>
              <w:pStyle w:val="Normal1"/>
            </w:pPr>
            <w:r w:rsidRPr="00DC2E3C">
              <w:t>The process of selecting data from different sources and aggregates them to create new knowledge value.</w:t>
            </w:r>
          </w:p>
        </w:tc>
      </w:tr>
      <w:tr w:rsidR="008B13CD" w14:paraId="58444619" w14:textId="77777777" w:rsidTr="0044453C">
        <w:tc>
          <w:tcPr>
            <w:tcW w:w="2910" w:type="dxa"/>
          </w:tcPr>
          <w:p w14:paraId="7D2EF042" w14:textId="77777777" w:rsidR="008B13CD" w:rsidRDefault="008B13CD" w:rsidP="0044453C">
            <w:pPr>
              <w:pStyle w:val="Normal1"/>
            </w:pPr>
            <w:r>
              <w:t>Data sharing</w:t>
            </w:r>
          </w:p>
        </w:tc>
        <w:tc>
          <w:tcPr>
            <w:tcW w:w="6869" w:type="dxa"/>
          </w:tcPr>
          <w:p w14:paraId="0CC40D70" w14:textId="77777777" w:rsidR="008B13CD" w:rsidRDefault="008B13CD" w:rsidP="0044453C">
            <w:pPr>
              <w:pStyle w:val="Normal1"/>
            </w:pPr>
            <w:r>
              <w:t xml:space="preserve">Data sharing is not only about communication technology interoperability. It is the process of combining data from different sources (devices, data bases…) and this is possible only by identifying and applying the business intelligence related rules to allow data sharing, and the communication and metadata standards to enable the effective use of data owned by different players and stored and processed by different technologies. </w:t>
            </w:r>
          </w:p>
        </w:tc>
      </w:tr>
      <w:tr w:rsidR="008B13CD" w14:paraId="0C07E340" w14:textId="77777777" w:rsidTr="0044453C">
        <w:tc>
          <w:tcPr>
            <w:tcW w:w="2910" w:type="dxa"/>
          </w:tcPr>
          <w:p w14:paraId="4E4200B4" w14:textId="77777777" w:rsidR="008B13CD" w:rsidRDefault="008B13CD" w:rsidP="0044453C">
            <w:pPr>
              <w:pStyle w:val="Normal1"/>
            </w:pPr>
            <w:r>
              <w:t>Data ingestion</w:t>
            </w:r>
          </w:p>
        </w:tc>
        <w:tc>
          <w:tcPr>
            <w:tcW w:w="6869" w:type="dxa"/>
          </w:tcPr>
          <w:p w14:paraId="5521C824" w14:textId="77777777" w:rsidR="008B13CD" w:rsidRDefault="008B13CD" w:rsidP="0044453C">
            <w:pPr>
              <w:pStyle w:val="Normal1"/>
            </w:pPr>
            <w:r>
              <w:t>The process of absorbing a bulk of data specified by the applications without losing the value of the original raw data.</w:t>
            </w:r>
          </w:p>
        </w:tc>
      </w:tr>
      <w:tr w:rsidR="008B13CD" w14:paraId="74D1FC40" w14:textId="77777777" w:rsidTr="0044453C">
        <w:tc>
          <w:tcPr>
            <w:tcW w:w="2910" w:type="dxa"/>
          </w:tcPr>
          <w:p w14:paraId="25A5BD62" w14:textId="77777777" w:rsidR="008B13CD" w:rsidRPr="00DC2E3C" w:rsidRDefault="008B13CD" w:rsidP="0044453C">
            <w:pPr>
              <w:pStyle w:val="Normal1"/>
            </w:pPr>
            <w:r w:rsidRPr="00DC2E3C">
              <w:t>Data integration</w:t>
            </w:r>
          </w:p>
        </w:tc>
        <w:tc>
          <w:tcPr>
            <w:tcW w:w="6869" w:type="dxa"/>
          </w:tcPr>
          <w:p w14:paraId="625F15BE" w14:textId="77777777" w:rsidR="008B13CD" w:rsidRDefault="008B13CD" w:rsidP="0044453C">
            <w:pPr>
              <w:pStyle w:val="Normal1"/>
            </w:pPr>
            <w:r w:rsidRPr="00DC2E3C">
              <w:t>The process of combining different datasets, it deals with the data format heterogeneity. For example combine a dataset using a certain database standard with another dataset using other database standards requires a syntactic and semantic interpretation of the datasets to be able to integrate them correctly.</w:t>
            </w:r>
          </w:p>
        </w:tc>
      </w:tr>
      <w:tr w:rsidR="008B13CD" w14:paraId="715B7D5D" w14:textId="77777777" w:rsidTr="0044453C">
        <w:tc>
          <w:tcPr>
            <w:tcW w:w="2910" w:type="dxa"/>
          </w:tcPr>
          <w:p w14:paraId="36C72879" w14:textId="77777777" w:rsidR="008B13CD" w:rsidRDefault="008B13CD" w:rsidP="0044453C">
            <w:pPr>
              <w:pStyle w:val="Normal1"/>
            </w:pPr>
            <w:r>
              <w:t>Data processing</w:t>
            </w:r>
          </w:p>
        </w:tc>
        <w:tc>
          <w:tcPr>
            <w:tcW w:w="6869" w:type="dxa"/>
          </w:tcPr>
          <w:p w14:paraId="1168824D" w14:textId="77777777" w:rsidR="008B13CD" w:rsidRDefault="008B13CD" w:rsidP="0044453C">
            <w:pPr>
              <w:pStyle w:val="Normal1"/>
            </w:pPr>
            <w:r>
              <w:t>The ability to handle data as input and apply different treatment that might modify the data, or combine it without modifying it with other data in order to produce an output that is useful for a given application or service in the data lifecycle.</w:t>
            </w:r>
          </w:p>
        </w:tc>
      </w:tr>
      <w:tr w:rsidR="008B13CD" w14:paraId="5EA108BC" w14:textId="77777777" w:rsidTr="0044453C">
        <w:tc>
          <w:tcPr>
            <w:tcW w:w="2910" w:type="dxa"/>
          </w:tcPr>
          <w:p w14:paraId="5DE55E3B" w14:textId="77777777" w:rsidR="008B13CD" w:rsidRDefault="008B13CD" w:rsidP="0044453C">
            <w:pPr>
              <w:pStyle w:val="Normal1"/>
            </w:pPr>
            <w:r>
              <w:t xml:space="preserve">Data discovery </w:t>
            </w:r>
          </w:p>
        </w:tc>
        <w:tc>
          <w:tcPr>
            <w:tcW w:w="6869" w:type="dxa"/>
          </w:tcPr>
          <w:p w14:paraId="435CEA9B" w14:textId="77777777" w:rsidR="008B13CD" w:rsidRDefault="008B13CD" w:rsidP="0044453C">
            <w:pPr>
              <w:pStyle w:val="Normal1"/>
              <w:jc w:val="both"/>
            </w:pPr>
            <w:r w:rsidRPr="0098254C">
              <w:rPr>
                <w:rStyle w:val="st"/>
              </w:rPr>
              <w:t xml:space="preserve">The process that will enable application to access the </w:t>
            </w:r>
            <w:r w:rsidRPr="00375E06">
              <w:rPr>
                <w:rStyle w:val="Emphasis"/>
              </w:rPr>
              <w:t>IoT data</w:t>
            </w:r>
            <w:r w:rsidRPr="0098254C">
              <w:rPr>
                <w:rStyle w:val="st"/>
              </w:rPr>
              <w:t xml:space="preserve"> without the need to know the actual source of </w:t>
            </w:r>
            <w:r w:rsidRPr="00375E06">
              <w:rPr>
                <w:rStyle w:val="Emphasis"/>
              </w:rPr>
              <w:t>data</w:t>
            </w:r>
            <w:r w:rsidRPr="0098254C">
              <w:rPr>
                <w:rStyle w:val="st"/>
              </w:rPr>
              <w:t>, sensor description, or location.</w:t>
            </w:r>
            <w:r w:rsidRPr="008E5E87">
              <w:rPr>
                <w:rStyle w:val="st"/>
              </w:rPr>
              <w:t xml:space="preserve"> It is enabled by the data abstraction </w:t>
            </w:r>
            <w:r w:rsidRPr="00FD7A78">
              <w:rPr>
                <w:rStyle w:val="st"/>
              </w:rPr>
              <w:t>techniques that hide</w:t>
            </w:r>
            <w:r w:rsidRPr="00C23B4D">
              <w:rPr>
                <w:rStyle w:val="st"/>
              </w:rPr>
              <w:t xml:space="preserve"> the device heterogeneity to the applications</w:t>
            </w:r>
            <w:r>
              <w:rPr>
                <w:rStyle w:val="st"/>
              </w:rPr>
              <w:t>.</w:t>
            </w:r>
          </w:p>
        </w:tc>
      </w:tr>
      <w:tr w:rsidR="008B13CD" w14:paraId="4396460C" w14:textId="77777777" w:rsidTr="0044453C">
        <w:tc>
          <w:tcPr>
            <w:tcW w:w="2910" w:type="dxa"/>
          </w:tcPr>
          <w:p w14:paraId="62D8F8A0" w14:textId="77777777" w:rsidR="008B13CD" w:rsidRDefault="008B13CD" w:rsidP="0044453C">
            <w:pPr>
              <w:pStyle w:val="Normal1"/>
            </w:pPr>
            <w:r>
              <w:t>Data visualisation</w:t>
            </w:r>
          </w:p>
        </w:tc>
        <w:tc>
          <w:tcPr>
            <w:tcW w:w="6869" w:type="dxa"/>
          </w:tcPr>
          <w:p w14:paraId="38C6F448" w14:textId="77777777" w:rsidR="008B13CD" w:rsidRDefault="008B13CD" w:rsidP="0044453C">
            <w:pPr>
              <w:pStyle w:val="Normal1"/>
            </w:pPr>
            <w:r>
              <w:t>The process of displaying the data to be analysed for the application business intelligence purpose.</w:t>
            </w:r>
          </w:p>
        </w:tc>
      </w:tr>
      <w:tr w:rsidR="008B13CD" w14:paraId="05C8B663" w14:textId="77777777" w:rsidTr="0044453C">
        <w:tc>
          <w:tcPr>
            <w:tcW w:w="2910" w:type="dxa"/>
          </w:tcPr>
          <w:p w14:paraId="770A16AB" w14:textId="77777777" w:rsidR="008B13CD" w:rsidRDefault="008B13CD" w:rsidP="0044453C">
            <w:pPr>
              <w:pStyle w:val="Normal1"/>
            </w:pPr>
            <w:r>
              <w:t>Data analysis</w:t>
            </w:r>
          </w:p>
        </w:tc>
        <w:tc>
          <w:tcPr>
            <w:tcW w:w="6869" w:type="dxa"/>
          </w:tcPr>
          <w:p w14:paraId="591495EE" w14:textId="77777777" w:rsidR="008B13CD" w:rsidRDefault="008B13CD" w:rsidP="0044453C">
            <w:pPr>
              <w:pStyle w:val="Normal1"/>
            </w:pPr>
            <w:r>
              <w:t xml:space="preserve">The process used during the data visualization to derive new knowledge useful to the application. </w:t>
            </w:r>
          </w:p>
        </w:tc>
      </w:tr>
      <w:tr w:rsidR="008B13CD" w14:paraId="7EAB0C55" w14:textId="77777777" w:rsidTr="0044453C">
        <w:tc>
          <w:tcPr>
            <w:tcW w:w="2910" w:type="dxa"/>
          </w:tcPr>
          <w:p w14:paraId="0009AF2A" w14:textId="77777777" w:rsidR="008B13CD" w:rsidRDefault="008B13CD" w:rsidP="0044453C">
            <w:pPr>
              <w:pStyle w:val="Normal1"/>
            </w:pPr>
            <w:r>
              <w:t>Data use</w:t>
            </w:r>
          </w:p>
        </w:tc>
        <w:tc>
          <w:tcPr>
            <w:tcW w:w="6869" w:type="dxa"/>
          </w:tcPr>
          <w:p w14:paraId="0E917E68" w14:textId="77777777" w:rsidR="008B13CD" w:rsidRDefault="008B13CD" w:rsidP="0044453C">
            <w:pPr>
              <w:pStyle w:val="Normal1"/>
            </w:pPr>
            <w:r>
              <w:t xml:space="preserve">After the data visualization and analysis, the data use is the process that application run to either to understand the monitored phenomena </w:t>
            </w:r>
            <w:r>
              <w:lastRenderedPageBreak/>
              <w:t>by analysing the past and monitor the present, or predict the future and build new decisions.</w:t>
            </w:r>
          </w:p>
        </w:tc>
      </w:tr>
      <w:tr w:rsidR="008B13CD" w14:paraId="1FDBCA55" w14:textId="77777777" w:rsidTr="0044453C">
        <w:tc>
          <w:tcPr>
            <w:tcW w:w="2910" w:type="dxa"/>
          </w:tcPr>
          <w:p w14:paraId="03051B5A" w14:textId="77777777" w:rsidR="008B13CD" w:rsidRDefault="008B13CD" w:rsidP="0044453C">
            <w:pPr>
              <w:pStyle w:val="Normal1"/>
            </w:pPr>
            <w:r>
              <w:lastRenderedPageBreak/>
              <w:t>Data disposal</w:t>
            </w:r>
          </w:p>
        </w:tc>
        <w:tc>
          <w:tcPr>
            <w:tcW w:w="6869" w:type="dxa"/>
          </w:tcPr>
          <w:p w14:paraId="75F70084" w14:textId="77777777" w:rsidR="008B13CD" w:rsidRDefault="008B13CD" w:rsidP="0044453C">
            <w:pPr>
              <w:pStyle w:val="Normal1"/>
            </w:pPr>
            <w:r>
              <w:t>The processes of deciding of using the data either to archive it, backup it, or destroy it.</w:t>
            </w:r>
          </w:p>
        </w:tc>
      </w:tr>
    </w:tbl>
    <w:p w14:paraId="4DEDEB88" w14:textId="77777777" w:rsidR="008B13CD" w:rsidRDefault="008B13CD" w:rsidP="008B13CD">
      <w:pPr>
        <w:jc w:val="center"/>
      </w:pPr>
      <w:r w:rsidRPr="00DC2E3C">
        <w:rPr>
          <w:b/>
          <w:noProof/>
          <w:szCs w:val="24"/>
          <w:lang w:val="en-US" w:eastAsia="zh-CN"/>
        </w:rPr>
        <w:t xml:space="preserve">Table 1: DPM Data lifecycle dimension capabilities. </w:t>
      </w:r>
    </w:p>
    <w:p w14:paraId="3B719347" w14:textId="77777777" w:rsidR="008B13CD" w:rsidRDefault="008B13CD" w:rsidP="008B13CD">
      <w:pPr>
        <w:pStyle w:val="Normal1"/>
        <w:jc w:val="both"/>
      </w:pPr>
      <w:r>
        <w:t>Based on the IoT and SC&amp;C scenario, the listed capabilities might apply fully or partially and in different order and at different phases of the data lifecycle. For that, it is recommended to apply data processing and management capabilities that respect the data category related trust, ecosystem and governance rules. In that sense, data category refers to the differentiation of personal data, closed data, public data, and open data for instance.</w:t>
      </w:r>
    </w:p>
    <w:p w14:paraId="0F2BE097" w14:textId="77777777" w:rsidR="008B13CD" w:rsidRDefault="008B13CD" w:rsidP="008B13CD">
      <w:pPr>
        <w:pStyle w:val="Normal1"/>
        <w:jc w:val="both"/>
      </w:pPr>
      <w:r>
        <w:t>It is also important to align the DPM capabilities selection strategies following the agreed expectations from all the DPM dimensions.</w:t>
      </w:r>
    </w:p>
    <w:p w14:paraId="2153B382" w14:textId="77777777" w:rsidR="008B13CD" w:rsidRDefault="008B13CD" w:rsidP="008B13CD">
      <w:pPr>
        <w:pStyle w:val="Normal1"/>
        <w:jc w:val="both"/>
      </w:pPr>
      <w:r>
        <w:t>Figure 2 depicts an example of data lifecycle phases where different DPM capabilities will be activated according to the data category allowed and agreed actions. In this example, the IoT and SC scenarios data are considered to fit into three data categories following the security, privacy, trust and quality and governance related rules. These data categories might use different IoT data types as Time series data which generates huge data volume or passive data which is acquired on demand by the application. The categories are defined as:</w:t>
      </w:r>
    </w:p>
    <w:p w14:paraId="231A53FA" w14:textId="77777777" w:rsidR="008B13CD" w:rsidRDefault="008B13CD" w:rsidP="008B13CD">
      <w:pPr>
        <w:pStyle w:val="Normal1"/>
        <w:numPr>
          <w:ilvl w:val="0"/>
          <w:numId w:val="12"/>
        </w:numPr>
        <w:jc w:val="both"/>
      </w:pPr>
      <w:r>
        <w:t xml:space="preserve">Closed Personal data: </w:t>
      </w:r>
      <w:r w:rsidRPr="00EA65D7">
        <w:rPr>
          <w:lang w:val="en-US"/>
        </w:rPr>
        <w:t xml:space="preserve">Data that </w:t>
      </w:r>
      <w:r>
        <w:rPr>
          <w:lang w:val="en-US"/>
        </w:rPr>
        <w:t xml:space="preserve">is generated by individuals, it is private and </w:t>
      </w:r>
      <w:r w:rsidRPr="00EA65D7">
        <w:rPr>
          <w:lang w:val="en-US"/>
        </w:rPr>
        <w:t xml:space="preserve">requires access control </w:t>
      </w:r>
      <w:r>
        <w:rPr>
          <w:lang w:val="en-US"/>
        </w:rPr>
        <w:t xml:space="preserve">and masking techniques </w:t>
      </w:r>
      <w:r w:rsidRPr="00EA65D7">
        <w:rPr>
          <w:lang w:val="en-US"/>
        </w:rPr>
        <w:t xml:space="preserve">to be </w:t>
      </w:r>
      <w:r>
        <w:rPr>
          <w:lang w:val="en-US"/>
        </w:rPr>
        <w:t xml:space="preserve">used or </w:t>
      </w:r>
      <w:r w:rsidRPr="00EA65D7">
        <w:rPr>
          <w:lang w:val="en-US"/>
        </w:rPr>
        <w:t xml:space="preserve">divulgated, </w:t>
      </w:r>
      <w:r>
        <w:rPr>
          <w:lang w:val="en-US"/>
        </w:rPr>
        <w:t xml:space="preserve">it also requires consent of use and traceability of use accessible by its owner. </w:t>
      </w:r>
    </w:p>
    <w:p w14:paraId="441457D1" w14:textId="77777777" w:rsidR="008B13CD" w:rsidRDefault="008B13CD" w:rsidP="008B13CD">
      <w:pPr>
        <w:pStyle w:val="Normal1"/>
        <w:numPr>
          <w:ilvl w:val="0"/>
          <w:numId w:val="12"/>
        </w:numPr>
        <w:jc w:val="both"/>
      </w:pPr>
      <w:r>
        <w:t>Closed organisation data, Data that is generated and administered by companies, they are confidential and require security and governance rule to be accessed or used.</w:t>
      </w:r>
    </w:p>
    <w:p w14:paraId="5B79B707" w14:textId="77777777" w:rsidR="008B13CD" w:rsidRDefault="008B13CD" w:rsidP="008B13CD">
      <w:pPr>
        <w:pStyle w:val="Normal1"/>
        <w:numPr>
          <w:ilvl w:val="0"/>
          <w:numId w:val="12"/>
        </w:numPr>
        <w:jc w:val="both"/>
      </w:pPr>
      <w:r>
        <w:t xml:space="preserve">Open data: </w:t>
      </w:r>
      <w:r w:rsidRPr="00EA65D7">
        <w:rPr>
          <w:lang w:val="en-US"/>
        </w:rPr>
        <w:t xml:space="preserve">Open data refers to any information that has been made available for anyone to access, alter, and share. It is open technically but also legally.  It could be from a public source, e.g. government data, or from a business, e.g. company intelligence, and can be used for both commercial and non-commercial purposes. </w:t>
      </w:r>
    </w:p>
    <w:p w14:paraId="676F7A08" w14:textId="77777777" w:rsidR="008B13CD" w:rsidRPr="0040512B" w:rsidRDefault="008B13CD" w:rsidP="008B13CD">
      <w:pPr>
        <w:rPr>
          <w:b/>
          <w:u w:val="single"/>
          <w:lang w:val="en-US"/>
        </w:rPr>
      </w:pPr>
      <w:r>
        <w:rPr>
          <w:b/>
          <w:noProof/>
          <w:u w:val="single"/>
          <w:lang w:eastAsia="en-GB"/>
        </w:rPr>
        <w:lastRenderedPageBreak/>
        <w:drawing>
          <wp:inline distT="0" distB="0" distL="0" distR="0" wp14:anchorId="415792D8" wp14:editId="57A933FF">
            <wp:extent cx="6552710" cy="4387126"/>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lifecycle dimension(1).png"/>
                    <pic:cNvPicPr/>
                  </pic:nvPicPr>
                  <pic:blipFill>
                    <a:blip r:embed="rId18">
                      <a:extLst>
                        <a:ext uri="{28A0092B-C50C-407E-A947-70E740481C1C}">
                          <a14:useLocalDpi xmlns:a14="http://schemas.microsoft.com/office/drawing/2010/main" val="0"/>
                        </a:ext>
                      </a:extLst>
                    </a:blip>
                    <a:stretch>
                      <a:fillRect/>
                    </a:stretch>
                  </pic:blipFill>
                  <pic:spPr>
                    <a:xfrm>
                      <a:off x="0" y="0"/>
                      <a:ext cx="6552710" cy="4387126"/>
                    </a:xfrm>
                    <a:prstGeom prst="rect">
                      <a:avLst/>
                    </a:prstGeom>
                  </pic:spPr>
                </pic:pic>
              </a:graphicData>
            </a:graphic>
          </wp:inline>
        </w:drawing>
      </w:r>
    </w:p>
    <w:p w14:paraId="3AA973BA" w14:textId="77777777" w:rsidR="008B13CD" w:rsidRDefault="008B13CD" w:rsidP="008B13CD">
      <w:pPr>
        <w:pStyle w:val="Normal1"/>
        <w:jc w:val="center"/>
      </w:pPr>
      <w:r w:rsidRPr="00DC2E3C">
        <w:rPr>
          <w:b/>
        </w:rPr>
        <w:t>Figure 2: IoT &amp; Smart Cities Data life cycle dimension phases Examples.</w:t>
      </w:r>
      <w:r>
        <w:t xml:space="preserve"> </w:t>
      </w:r>
    </w:p>
    <w:p w14:paraId="11C972DA" w14:textId="77777777" w:rsidR="008B13CD" w:rsidRDefault="008B13CD" w:rsidP="008B13CD">
      <w:pPr>
        <w:pStyle w:val="Normal1"/>
        <w:jc w:val="both"/>
      </w:pPr>
      <w:r>
        <w:t xml:space="preserve">Note that the above mentioned data lifecycle phase are not fixed in that order for all IoT and SC&amp;C scenarios. Also the data categorisation phase is provided here as a possible way to proactively know what would be the DPM capabilities allowed to be applied on the data, but this is not mandatory, it fully depends on the DPM framework related capabilities selection strategies. </w:t>
      </w:r>
    </w:p>
    <w:p w14:paraId="7847C539" w14:textId="77777777" w:rsidR="008B13CD" w:rsidRDefault="008B13CD" w:rsidP="008B13CD">
      <w:pPr>
        <w:pStyle w:val="Normal1"/>
        <w:jc w:val="both"/>
      </w:pPr>
      <w:r>
        <w:t xml:space="preserve">Note: There are other data categories are available as </w:t>
      </w:r>
      <w:r w:rsidRPr="00DC2E3C">
        <w:t>Data commons [b-1]</w:t>
      </w:r>
      <w:r>
        <w:t xml:space="preserve"> which are mainly covered in this framework under the Open Data category. The related AI commons </w:t>
      </w:r>
      <w:r w:rsidRPr="00DC2E3C">
        <w:t>[b-1]</w:t>
      </w:r>
      <w:r>
        <w:t xml:space="preserve"> is out of the scope of this document, but worth mentioning as the strategy of open data might lead not only to open data for better data valuation but also open AI analytics methods and algorithms as a framework for the benefit of all humanity following the united nations SDG objectives roadmap </w:t>
      </w:r>
      <w:r w:rsidRPr="00DC2E3C">
        <w:t>[b-2].</w:t>
      </w:r>
    </w:p>
    <w:p w14:paraId="7466061A" w14:textId="77777777" w:rsidR="008B13CD" w:rsidRPr="009F71F9" w:rsidRDefault="008B13CD" w:rsidP="008B13CD">
      <w:pPr>
        <w:pStyle w:val="Normal1"/>
        <w:jc w:val="both"/>
      </w:pPr>
      <w:r>
        <w:t>Figure 3 bellow propose an example of mapping of the proposed Data lifecycle capabilities on the existing IoT &amp; SC ITU-T reference architecture [b-ITU-T Y2060]. This is to show the DPM capabilities that might be activated at each layer of the IoT and SC&amp;C  architecture. It is important to mention that the same DPM capability might be activated at different layers following specific requirements related to the IoT and SC&amp;C Scenarios objectives. For instance the Data storage capability might appear closer to the devices and also at the service layer. In the case of Closed Personal Data, the trust and governance dimension might lead to the strategy of storing the personal data locally and not transmit it remotely.</w:t>
      </w:r>
    </w:p>
    <w:p w14:paraId="090510F4" w14:textId="77777777" w:rsidR="008B13CD" w:rsidRDefault="008B13CD" w:rsidP="008B13CD">
      <w:pPr>
        <w:pStyle w:val="Normal1"/>
        <w:jc w:val="center"/>
      </w:pPr>
      <w:r>
        <w:rPr>
          <w:noProof/>
          <w:lang w:eastAsia="en-GB"/>
        </w:rPr>
        <w:lastRenderedPageBreak/>
        <w:drawing>
          <wp:inline distT="0" distB="0" distL="0" distR="0" wp14:anchorId="113C9B13" wp14:editId="5D15EEC8">
            <wp:extent cx="5144862" cy="669136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DPM mapping.jpg"/>
                    <pic:cNvPicPr/>
                  </pic:nvPicPr>
                  <pic:blipFill>
                    <a:blip r:embed="rId19">
                      <a:extLst>
                        <a:ext uri="{28A0092B-C50C-407E-A947-70E740481C1C}">
                          <a14:useLocalDpi xmlns:a14="http://schemas.microsoft.com/office/drawing/2010/main" val="0"/>
                        </a:ext>
                      </a:extLst>
                    </a:blip>
                    <a:stretch>
                      <a:fillRect/>
                    </a:stretch>
                  </pic:blipFill>
                  <pic:spPr>
                    <a:xfrm>
                      <a:off x="0" y="0"/>
                      <a:ext cx="5144862" cy="6691366"/>
                    </a:xfrm>
                    <a:prstGeom prst="rect">
                      <a:avLst/>
                    </a:prstGeom>
                  </pic:spPr>
                </pic:pic>
              </a:graphicData>
            </a:graphic>
          </wp:inline>
        </w:drawing>
      </w:r>
    </w:p>
    <w:p w14:paraId="22681DB6" w14:textId="77777777" w:rsidR="008B13CD" w:rsidRPr="00DC2E3C" w:rsidRDefault="008B13CD" w:rsidP="008B13CD">
      <w:pPr>
        <w:jc w:val="center"/>
        <w:rPr>
          <w:b/>
        </w:rPr>
      </w:pPr>
      <w:r w:rsidRPr="00DC2E3C">
        <w:rPr>
          <w:b/>
        </w:rPr>
        <w:t>Figure 3: DPM capabilities mapping example to ITU-T reference architectures.</w:t>
      </w:r>
    </w:p>
    <w:p w14:paraId="0F488405" w14:textId="77777777" w:rsidR="008B13CD" w:rsidRDefault="008B13CD" w:rsidP="008B13CD">
      <w:pPr>
        <w:pStyle w:val="Normal1"/>
        <w:jc w:val="both"/>
        <w:rPr>
          <w:lang w:val="en-US"/>
        </w:rPr>
      </w:pPr>
      <w:r>
        <w:rPr>
          <w:lang w:val="en-US"/>
        </w:rPr>
        <w:t>In this example, The ITU-T device and network layers will host the data creation, structuring, and gathering. Different gateways are needed to facilitate the data gathering process. These gateways might be deployed at the Edge and at the IoT cloud platform.</w:t>
      </w:r>
    </w:p>
    <w:p w14:paraId="6BFD706E" w14:textId="77777777" w:rsidR="008B13CD" w:rsidRPr="00544E46" w:rsidRDefault="008B13CD" w:rsidP="008B13CD">
      <w:r w:rsidRPr="00DC2E3C">
        <w:rPr>
          <w:lang w:val="en-US"/>
        </w:rPr>
        <w:t xml:space="preserve">The ITU-T application layer will allow users and consumers to get </w:t>
      </w:r>
      <w:r w:rsidRPr="00E711EA">
        <w:rPr>
          <w:lang w:val="en-US"/>
        </w:rPr>
        <w:t>useful</w:t>
      </w:r>
      <w:r w:rsidRPr="00DC2E3C">
        <w:rPr>
          <w:lang w:val="en-US"/>
        </w:rPr>
        <w:t xml:space="preserve"> knowledge to take action</w:t>
      </w:r>
      <w:r>
        <w:rPr>
          <w:lang w:val="en-US"/>
        </w:rPr>
        <w:t>s</w:t>
      </w:r>
      <w:r w:rsidRPr="00DC2E3C">
        <w:rPr>
          <w:lang w:val="en-US"/>
        </w:rPr>
        <w:t xml:space="preserve"> and decisions in their business or personal processes.</w:t>
      </w:r>
      <w:bookmarkStart w:id="105" w:name="_6uny9j2grvfv" w:colFirst="0" w:colLast="0"/>
      <w:bookmarkStart w:id="106" w:name="_54nk85g5kw1x" w:colFirst="0" w:colLast="0"/>
      <w:bookmarkStart w:id="107" w:name="_h9279z2ocs47" w:colFirst="0" w:colLast="0"/>
      <w:bookmarkStart w:id="108" w:name="_q42yhxdht67" w:colFirst="0" w:colLast="0"/>
      <w:bookmarkStart w:id="109" w:name="_Toc534221829"/>
      <w:bookmarkStart w:id="110" w:name="_Toc534511141"/>
      <w:bookmarkStart w:id="111" w:name="_Toc534511298"/>
      <w:bookmarkStart w:id="112" w:name="_Toc534511900"/>
      <w:bookmarkStart w:id="113" w:name="_Toc534512562"/>
      <w:bookmarkStart w:id="114" w:name="_Toc13114360"/>
      <w:bookmarkEnd w:id="104"/>
      <w:bookmarkEnd w:id="105"/>
      <w:bookmarkEnd w:id="106"/>
      <w:bookmarkEnd w:id="107"/>
      <w:bookmarkEnd w:id="108"/>
      <w:bookmarkEnd w:id="109"/>
      <w:bookmarkEnd w:id="110"/>
      <w:bookmarkEnd w:id="111"/>
      <w:bookmarkEnd w:id="112"/>
      <w:bookmarkEnd w:id="113"/>
    </w:p>
    <w:p w14:paraId="74CF2A23" w14:textId="365D3280" w:rsidR="008B13CD" w:rsidRPr="00515B32" w:rsidRDefault="00855FF5" w:rsidP="008B13CD">
      <w:pPr>
        <w:pStyle w:val="Heading2"/>
        <w:tabs>
          <w:tab w:val="clear" w:pos="794"/>
          <w:tab w:val="clear" w:pos="1191"/>
          <w:tab w:val="clear" w:pos="1588"/>
          <w:tab w:val="clear" w:pos="1985"/>
        </w:tabs>
        <w:jc w:val="left"/>
        <w:rPr>
          <w:rFonts w:eastAsia="Batang"/>
        </w:rPr>
      </w:pPr>
      <w:bookmarkStart w:id="115" w:name="_Toc18321962"/>
      <w:r>
        <w:rPr>
          <w:rFonts w:eastAsia="Batang"/>
        </w:rPr>
        <w:t>7</w:t>
      </w:r>
      <w:r w:rsidR="008B13CD" w:rsidRPr="00515B32">
        <w:rPr>
          <w:rFonts w:eastAsia="Batang"/>
        </w:rPr>
        <w:t>.3 Data trust Dimension</w:t>
      </w:r>
      <w:bookmarkEnd w:id="114"/>
      <w:bookmarkEnd w:id="115"/>
    </w:p>
    <w:p w14:paraId="4A907C6C" w14:textId="77777777" w:rsidR="008B13CD" w:rsidRPr="00DC2E3C" w:rsidRDefault="008B13CD" w:rsidP="008B13CD">
      <w:r w:rsidRPr="00DC2E3C">
        <w:t>This dimension proposes</w:t>
      </w:r>
      <w:r>
        <w:t xml:space="preserve"> a</w:t>
      </w:r>
      <w:r w:rsidRPr="00DC2E3C">
        <w:t xml:space="preserve"> </w:t>
      </w:r>
      <w:r>
        <w:t xml:space="preserve">broad perspective of data trust which covers all the aspects of security, privacy, and quality among others in the DPM framework including relevant capabilities </w:t>
      </w:r>
      <w:r w:rsidRPr="00DC2E3C">
        <w:t xml:space="preserve">to enhance </w:t>
      </w:r>
      <w:r w:rsidRPr="004F77C6">
        <w:t>data</w:t>
      </w:r>
      <w:r w:rsidRPr="00DC2E3C">
        <w:t xml:space="preserve"> trustworthiness</w:t>
      </w:r>
      <w:r w:rsidRPr="004F77C6">
        <w:t>.</w:t>
      </w:r>
      <w:r w:rsidRPr="00DC2E3C">
        <w:t xml:space="preserve"> </w:t>
      </w:r>
    </w:p>
    <w:p w14:paraId="240210E1" w14:textId="77777777" w:rsidR="008B13CD" w:rsidRPr="00DC2E3C" w:rsidRDefault="008B13CD" w:rsidP="008B13CD">
      <w:r w:rsidRPr="00DC2E3C">
        <w:lastRenderedPageBreak/>
        <w:t>Security and Privacy capabilities will refer to all the</w:t>
      </w:r>
      <w:r w:rsidRPr="00086371">
        <w:t xml:space="preserve"> activities that allo</w:t>
      </w:r>
      <w:r>
        <w:t>w</w:t>
      </w:r>
      <w:r w:rsidRPr="00DC2E3C">
        <w:t xml:space="preserve"> identification, confidentiality, integrity</w:t>
      </w:r>
      <w:r>
        <w:t>, availability</w:t>
      </w:r>
      <w:r w:rsidRPr="00DC2E3C">
        <w:t xml:space="preserve"> and access control to the data. Examples are data encryption, data authentication, data integrity check, data </w:t>
      </w:r>
      <w:r w:rsidRPr="00946144">
        <w:t>masking,</w:t>
      </w:r>
      <w:r w:rsidRPr="00DC2E3C">
        <w:t xml:space="preserve"> data access control…etc.</w:t>
      </w:r>
    </w:p>
    <w:p w14:paraId="7E4E52D0" w14:textId="77777777" w:rsidR="008B13CD" w:rsidRPr="001E637A" w:rsidRDefault="008B13CD" w:rsidP="008B13CD">
      <w:r w:rsidRPr="00DC2E3C">
        <w:t xml:space="preserve">Quality capabilities will refer </w:t>
      </w:r>
      <w:r w:rsidRPr="004F77C6">
        <w:t>to all</w:t>
      </w:r>
      <w:r w:rsidRPr="00DC2E3C">
        <w:t xml:space="preserve"> the activities that will allow the assessment of the data quality from the technical and </w:t>
      </w:r>
      <w:r w:rsidRPr="000A754E">
        <w:t>non-technical</w:t>
      </w:r>
      <w:r w:rsidRPr="00DC2E3C">
        <w:t xml:space="preserve"> point of view</w:t>
      </w:r>
      <w:r>
        <w:t>s</w:t>
      </w:r>
      <w:r w:rsidRPr="00DC2E3C">
        <w:t xml:space="preserve">. </w:t>
      </w:r>
      <w:r>
        <w:t xml:space="preserve">This will </w:t>
      </w:r>
      <w:r w:rsidRPr="00A62EC1">
        <w:t>enhance</w:t>
      </w:r>
      <w:r>
        <w:t xml:space="preserve"> confidence and</w:t>
      </w:r>
      <w:r w:rsidRPr="00A62EC1">
        <w:t xml:space="preserve"> the reliability</w:t>
      </w:r>
      <w:r>
        <w:t xml:space="preserve"> of data</w:t>
      </w:r>
      <w:r w:rsidRPr="00A62EC1">
        <w:t xml:space="preserve"> in</w:t>
      </w:r>
      <w:r>
        <w:t xml:space="preserve"> accordance with</w:t>
      </w:r>
      <w:r w:rsidRPr="00A62EC1">
        <w:t xml:space="preserve"> the data quality indicators</w:t>
      </w:r>
      <w:r>
        <w:t xml:space="preserve"> such as </w:t>
      </w:r>
      <w:r w:rsidRPr="00A62EC1">
        <w:t xml:space="preserve">completeness, </w:t>
      </w:r>
      <w:r>
        <w:t xml:space="preserve">and </w:t>
      </w:r>
      <w:r w:rsidRPr="00A62EC1">
        <w:t>uniqueness</w:t>
      </w:r>
      <w:r>
        <w:t xml:space="preserve">. An </w:t>
      </w:r>
      <w:r w:rsidRPr="001E637A">
        <w:t xml:space="preserve">Example </w:t>
      </w:r>
      <w:r>
        <w:t>of data quality capability is f</w:t>
      </w:r>
      <w:r w:rsidRPr="001E637A">
        <w:t>it</w:t>
      </w:r>
      <w:r w:rsidRPr="00DC2E3C">
        <w:t xml:space="preserve"> </w:t>
      </w:r>
      <w:r w:rsidRPr="001E637A">
        <w:t>for use</w:t>
      </w:r>
      <w:r>
        <w:t xml:space="preserve"> check that ensures </w:t>
      </w:r>
      <w:r w:rsidRPr="00DC2E3C">
        <w:t xml:space="preserve">data </w:t>
      </w:r>
      <w:r>
        <w:t>is adequate for its intended</w:t>
      </w:r>
      <w:r w:rsidRPr="00DC2E3C">
        <w:t xml:space="preserve"> </w:t>
      </w:r>
      <w:r>
        <w:t>purpose</w:t>
      </w:r>
      <w:r w:rsidRPr="00DC2E3C">
        <w:t xml:space="preserve">. </w:t>
      </w:r>
    </w:p>
    <w:p w14:paraId="1DCBF5EB" w14:textId="77777777" w:rsidR="008B13CD" w:rsidRDefault="008B13CD" w:rsidP="008B13CD">
      <w:r w:rsidRPr="00DC2E3C">
        <w:t>[b-Y 3052]</w:t>
      </w:r>
      <w:r>
        <w:t xml:space="preserve"> provides recommendation on trusted environment in IoT where different capabilities are provided. The following table provides non exhaustive capabilities needed in this trust dimensions.</w:t>
      </w:r>
    </w:p>
    <w:p w14:paraId="34A5F1B1" w14:textId="77777777" w:rsidR="008B13CD" w:rsidRDefault="008B13CD" w:rsidP="008B13CD"/>
    <w:tbl>
      <w:tblPr>
        <w:tblW w:w="9203"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521"/>
      </w:tblGrid>
      <w:tr w:rsidR="008B13CD" w:rsidRPr="00DC2E3C" w14:paraId="0EC7CEA8" w14:textId="77777777" w:rsidTr="0044453C">
        <w:tc>
          <w:tcPr>
            <w:tcW w:w="2682" w:type="dxa"/>
            <w:tcBorders>
              <w:top w:val="single" w:sz="4" w:space="0" w:color="auto"/>
              <w:left w:val="single" w:sz="4" w:space="0" w:color="auto"/>
              <w:bottom w:val="single" w:sz="4" w:space="0" w:color="auto"/>
              <w:right w:val="single" w:sz="4" w:space="0" w:color="auto"/>
            </w:tcBorders>
            <w:vAlign w:val="center"/>
          </w:tcPr>
          <w:p w14:paraId="5D35EB6A" w14:textId="77777777" w:rsidR="008B13CD" w:rsidRPr="00DC2E3C" w:rsidRDefault="008B13CD" w:rsidP="0044453C">
            <w:pPr>
              <w:pStyle w:val="TableauNormal1"/>
              <w:rPr>
                <w:b/>
                <w:sz w:val="24"/>
                <w:szCs w:val="24"/>
              </w:rPr>
            </w:pPr>
            <w:r w:rsidRPr="00DC2E3C">
              <w:rPr>
                <w:b/>
                <w:sz w:val="24"/>
                <w:szCs w:val="24"/>
              </w:rPr>
              <w:t xml:space="preserve">Dimension Capabilities </w:t>
            </w:r>
          </w:p>
        </w:tc>
        <w:tc>
          <w:tcPr>
            <w:tcW w:w="6521" w:type="dxa"/>
            <w:tcBorders>
              <w:top w:val="single" w:sz="4" w:space="0" w:color="auto"/>
              <w:left w:val="single" w:sz="4" w:space="0" w:color="auto"/>
              <w:bottom w:val="single" w:sz="4" w:space="0" w:color="auto"/>
              <w:right w:val="single" w:sz="4" w:space="0" w:color="auto"/>
            </w:tcBorders>
            <w:vAlign w:val="center"/>
          </w:tcPr>
          <w:p w14:paraId="789532B9" w14:textId="77777777" w:rsidR="008B13CD" w:rsidRPr="00DC2E3C" w:rsidRDefault="008B13CD" w:rsidP="0044453C">
            <w:pPr>
              <w:pStyle w:val="TableauNormal1"/>
              <w:jc w:val="center"/>
              <w:rPr>
                <w:b/>
                <w:sz w:val="24"/>
                <w:szCs w:val="24"/>
              </w:rPr>
            </w:pPr>
            <w:r w:rsidRPr="00DC2E3C">
              <w:rPr>
                <w:b/>
                <w:sz w:val="24"/>
                <w:szCs w:val="24"/>
              </w:rPr>
              <w:t>Capability description</w:t>
            </w:r>
          </w:p>
        </w:tc>
      </w:tr>
      <w:tr w:rsidR="008B13CD" w:rsidRPr="00DC2E3C" w14:paraId="7233CD9D" w14:textId="77777777" w:rsidTr="0044453C">
        <w:tc>
          <w:tcPr>
            <w:tcW w:w="2682" w:type="dxa"/>
            <w:tcBorders>
              <w:top w:val="single" w:sz="4" w:space="0" w:color="auto"/>
              <w:left w:val="single" w:sz="4" w:space="0" w:color="auto"/>
              <w:bottom w:val="single" w:sz="4" w:space="0" w:color="auto"/>
              <w:right w:val="single" w:sz="4" w:space="0" w:color="auto"/>
            </w:tcBorders>
            <w:vAlign w:val="center"/>
            <w:hideMark/>
          </w:tcPr>
          <w:p w14:paraId="224FC8CB" w14:textId="77777777" w:rsidR="008B13CD" w:rsidRPr="00DC2E3C" w:rsidRDefault="008B13CD" w:rsidP="0044453C">
            <w:pPr>
              <w:pStyle w:val="TableauNormal1"/>
              <w:rPr>
                <w:sz w:val="24"/>
                <w:szCs w:val="24"/>
              </w:rPr>
            </w:pPr>
            <w:r w:rsidRPr="00DC2E3C">
              <w:rPr>
                <w:sz w:val="24"/>
                <w:szCs w:val="24"/>
              </w:rPr>
              <w:t>Data Confidentiality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9D6CB57" w14:textId="77777777" w:rsidR="008B13CD" w:rsidRDefault="008B13CD" w:rsidP="0044453C">
            <w:pPr>
              <w:pStyle w:val="TableauNormal1"/>
              <w:rPr>
                <w:sz w:val="24"/>
                <w:szCs w:val="24"/>
              </w:rPr>
            </w:pPr>
            <w:r w:rsidRPr="00DC2E3C">
              <w:rPr>
                <w:sz w:val="24"/>
                <w:szCs w:val="24"/>
              </w:rPr>
              <w:t>Ensures that information is not made available or disclosed to unauthorized individuals, entities, or processes.</w:t>
            </w:r>
          </w:p>
          <w:p w14:paraId="7043C043" w14:textId="77777777" w:rsidR="008B13CD" w:rsidRPr="00DC2E3C" w:rsidRDefault="008B13CD" w:rsidP="0044453C">
            <w:pPr>
              <w:pStyle w:val="TableauNormal1"/>
              <w:rPr>
                <w:sz w:val="24"/>
                <w:szCs w:val="24"/>
              </w:rPr>
            </w:pPr>
          </w:p>
        </w:tc>
      </w:tr>
      <w:tr w:rsidR="008B13CD" w:rsidRPr="00DC2E3C" w14:paraId="50037F32" w14:textId="77777777" w:rsidTr="0044453C">
        <w:tc>
          <w:tcPr>
            <w:tcW w:w="2682" w:type="dxa"/>
            <w:tcBorders>
              <w:top w:val="single" w:sz="4" w:space="0" w:color="auto"/>
              <w:left w:val="single" w:sz="4" w:space="0" w:color="auto"/>
              <w:bottom w:val="single" w:sz="4" w:space="0" w:color="auto"/>
              <w:right w:val="single" w:sz="4" w:space="0" w:color="auto"/>
            </w:tcBorders>
            <w:vAlign w:val="center"/>
            <w:hideMark/>
          </w:tcPr>
          <w:p w14:paraId="4863E2DE" w14:textId="77777777" w:rsidR="008B13CD" w:rsidRPr="00DC2E3C" w:rsidRDefault="008B13CD" w:rsidP="0044453C">
            <w:pPr>
              <w:pStyle w:val="TableauNormal1"/>
              <w:rPr>
                <w:sz w:val="24"/>
                <w:szCs w:val="24"/>
              </w:rPr>
            </w:pPr>
            <w:r w:rsidRPr="00DC2E3C">
              <w:rPr>
                <w:sz w:val="24"/>
                <w:szCs w:val="24"/>
              </w:rPr>
              <w:t>Data Integrity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B03289A" w14:textId="77777777" w:rsidR="008B13CD" w:rsidRDefault="008B13CD" w:rsidP="0044453C">
            <w:pPr>
              <w:pStyle w:val="TableauNormal1"/>
              <w:rPr>
                <w:sz w:val="24"/>
                <w:szCs w:val="24"/>
              </w:rPr>
            </w:pPr>
            <w:r w:rsidRPr="00DC2E3C">
              <w:rPr>
                <w:sz w:val="24"/>
                <w:szCs w:val="24"/>
              </w:rPr>
              <w:t>Ensures the accuracy and completeness of data over its entire life cycle.</w:t>
            </w:r>
          </w:p>
          <w:p w14:paraId="03398081" w14:textId="77777777" w:rsidR="008B13CD" w:rsidRPr="00DC2E3C" w:rsidRDefault="008B13CD" w:rsidP="0044453C">
            <w:pPr>
              <w:pStyle w:val="TableauNormal1"/>
              <w:rPr>
                <w:sz w:val="24"/>
                <w:szCs w:val="24"/>
              </w:rPr>
            </w:pPr>
          </w:p>
        </w:tc>
      </w:tr>
      <w:tr w:rsidR="008B13CD" w:rsidRPr="00DC2E3C" w14:paraId="533BF824" w14:textId="77777777" w:rsidTr="0044453C">
        <w:tc>
          <w:tcPr>
            <w:tcW w:w="2682" w:type="dxa"/>
            <w:tcBorders>
              <w:top w:val="single" w:sz="4" w:space="0" w:color="auto"/>
              <w:left w:val="single" w:sz="4" w:space="0" w:color="auto"/>
              <w:bottom w:val="single" w:sz="4" w:space="0" w:color="auto"/>
              <w:right w:val="single" w:sz="4" w:space="0" w:color="auto"/>
            </w:tcBorders>
            <w:vAlign w:val="center"/>
            <w:hideMark/>
          </w:tcPr>
          <w:p w14:paraId="3133930F" w14:textId="77777777" w:rsidR="008B13CD" w:rsidRPr="00DC2E3C" w:rsidRDefault="008B13CD" w:rsidP="0044453C">
            <w:pPr>
              <w:pStyle w:val="TableauNormal1"/>
              <w:rPr>
                <w:sz w:val="24"/>
                <w:szCs w:val="24"/>
              </w:rPr>
            </w:pPr>
            <w:r w:rsidRPr="00DC2E3C">
              <w:rPr>
                <w:sz w:val="24"/>
                <w:szCs w:val="24"/>
              </w:rPr>
              <w:t>Data Availability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29D7487" w14:textId="77777777" w:rsidR="008B13CD" w:rsidRDefault="008B13CD" w:rsidP="0044453C">
            <w:pPr>
              <w:pStyle w:val="TableauNormal1"/>
              <w:rPr>
                <w:sz w:val="24"/>
                <w:szCs w:val="24"/>
              </w:rPr>
            </w:pPr>
            <w:r w:rsidRPr="00DC2E3C">
              <w:rPr>
                <w:sz w:val="24"/>
                <w:szCs w:val="24"/>
              </w:rPr>
              <w:t>Ensures accessibility and usability upon demand by an authorized entity</w:t>
            </w:r>
          </w:p>
          <w:p w14:paraId="0D8C1CDD" w14:textId="77777777" w:rsidR="008B13CD" w:rsidRPr="00DC2E3C" w:rsidRDefault="008B13CD" w:rsidP="0044453C">
            <w:pPr>
              <w:pStyle w:val="TableauNormal1"/>
              <w:rPr>
                <w:sz w:val="24"/>
                <w:szCs w:val="24"/>
              </w:rPr>
            </w:pPr>
          </w:p>
        </w:tc>
      </w:tr>
      <w:tr w:rsidR="008B13CD" w:rsidRPr="00DC2E3C" w14:paraId="2828D739" w14:textId="77777777" w:rsidTr="0044453C">
        <w:tc>
          <w:tcPr>
            <w:tcW w:w="2682" w:type="dxa"/>
            <w:tcBorders>
              <w:top w:val="single" w:sz="4" w:space="0" w:color="auto"/>
              <w:left w:val="single" w:sz="4" w:space="0" w:color="auto"/>
              <w:bottom w:val="single" w:sz="4" w:space="0" w:color="auto"/>
              <w:right w:val="single" w:sz="4" w:space="0" w:color="auto"/>
            </w:tcBorders>
            <w:vAlign w:val="center"/>
            <w:hideMark/>
          </w:tcPr>
          <w:p w14:paraId="3EAB5D36" w14:textId="77777777" w:rsidR="008B13CD" w:rsidRPr="00DC2E3C" w:rsidRDefault="008B13CD" w:rsidP="0044453C">
            <w:pPr>
              <w:pStyle w:val="TableauNormal1"/>
              <w:rPr>
                <w:sz w:val="24"/>
                <w:szCs w:val="24"/>
              </w:rPr>
            </w:pPr>
            <w:r w:rsidRPr="00DC2E3C">
              <w:rPr>
                <w:sz w:val="24"/>
                <w:szCs w:val="24"/>
              </w:rPr>
              <w:t>Data Unlinkability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F23BC2E" w14:textId="77777777" w:rsidR="008B13CD" w:rsidRDefault="008B13CD" w:rsidP="0044453C">
            <w:pPr>
              <w:pStyle w:val="TableauNormal1"/>
              <w:rPr>
                <w:sz w:val="24"/>
                <w:szCs w:val="24"/>
              </w:rPr>
            </w:pPr>
            <w:r w:rsidRPr="00DC2E3C">
              <w:rPr>
                <w:sz w:val="24"/>
                <w:szCs w:val="24"/>
              </w:rPr>
              <w:t>Ensures that a user may make multiple uses of resources or services without others being able to link these uses together</w:t>
            </w:r>
          </w:p>
          <w:p w14:paraId="28F70934" w14:textId="77777777" w:rsidR="008B13CD" w:rsidRPr="00DC2E3C" w:rsidRDefault="008B13CD" w:rsidP="0044453C">
            <w:pPr>
              <w:pStyle w:val="TableauNormal1"/>
              <w:rPr>
                <w:sz w:val="24"/>
                <w:szCs w:val="24"/>
              </w:rPr>
            </w:pPr>
          </w:p>
        </w:tc>
      </w:tr>
      <w:tr w:rsidR="008B13CD" w:rsidRPr="00DC2E3C" w14:paraId="1775913A" w14:textId="77777777" w:rsidTr="0044453C">
        <w:trPr>
          <w:trHeight w:val="85"/>
        </w:trPr>
        <w:tc>
          <w:tcPr>
            <w:tcW w:w="2682" w:type="dxa"/>
            <w:tcBorders>
              <w:top w:val="single" w:sz="4" w:space="0" w:color="auto"/>
              <w:left w:val="single" w:sz="4" w:space="0" w:color="auto"/>
              <w:bottom w:val="single" w:sz="4" w:space="0" w:color="auto"/>
              <w:right w:val="single" w:sz="4" w:space="0" w:color="auto"/>
            </w:tcBorders>
            <w:vAlign w:val="center"/>
            <w:hideMark/>
          </w:tcPr>
          <w:p w14:paraId="41D57C8D" w14:textId="77777777" w:rsidR="008B13CD" w:rsidRPr="00DC2E3C" w:rsidRDefault="008B13CD" w:rsidP="0044453C">
            <w:pPr>
              <w:pStyle w:val="TableauNormal1"/>
              <w:rPr>
                <w:sz w:val="24"/>
                <w:szCs w:val="24"/>
              </w:rPr>
            </w:pPr>
            <w:r w:rsidRPr="00DC2E3C">
              <w:rPr>
                <w:sz w:val="24"/>
                <w:szCs w:val="24"/>
              </w:rPr>
              <w:t>Data Transparency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617F4B5" w14:textId="77777777" w:rsidR="008B13CD" w:rsidRDefault="008B13CD" w:rsidP="0044453C">
            <w:pPr>
              <w:pStyle w:val="TableauNormal1"/>
              <w:rPr>
                <w:sz w:val="24"/>
                <w:szCs w:val="24"/>
              </w:rPr>
            </w:pPr>
            <w:r w:rsidRPr="00DC2E3C">
              <w:rPr>
                <w:sz w:val="24"/>
                <w:szCs w:val="24"/>
              </w:rPr>
              <w:t>Ensures that an adequate level of clarity of the processes in privacy-relevant data processing is reached so that the collection, processing and use of the information can be understood and reconstructed at any time.</w:t>
            </w:r>
          </w:p>
          <w:p w14:paraId="5013822B" w14:textId="77777777" w:rsidR="008B13CD" w:rsidRPr="00DC2E3C" w:rsidRDefault="008B13CD" w:rsidP="0044453C">
            <w:pPr>
              <w:pStyle w:val="TableauNormal1"/>
              <w:rPr>
                <w:sz w:val="24"/>
                <w:szCs w:val="24"/>
              </w:rPr>
            </w:pPr>
          </w:p>
        </w:tc>
      </w:tr>
      <w:tr w:rsidR="008B13CD" w:rsidRPr="00DC2E3C" w14:paraId="1A5CD2F8" w14:textId="77777777" w:rsidTr="0044453C">
        <w:tc>
          <w:tcPr>
            <w:tcW w:w="2682" w:type="dxa"/>
            <w:tcBorders>
              <w:top w:val="single" w:sz="4" w:space="0" w:color="auto"/>
              <w:left w:val="single" w:sz="4" w:space="0" w:color="auto"/>
              <w:bottom w:val="single" w:sz="4" w:space="0" w:color="auto"/>
              <w:right w:val="single" w:sz="4" w:space="0" w:color="auto"/>
            </w:tcBorders>
            <w:vAlign w:val="center"/>
            <w:hideMark/>
          </w:tcPr>
          <w:p w14:paraId="14511D3D" w14:textId="77777777" w:rsidR="008B13CD" w:rsidRPr="00DC2E3C" w:rsidRDefault="008B13CD" w:rsidP="0044453C">
            <w:pPr>
              <w:pStyle w:val="TableauNormal1"/>
              <w:rPr>
                <w:sz w:val="24"/>
                <w:szCs w:val="24"/>
              </w:rPr>
            </w:pPr>
            <w:r w:rsidRPr="00DC2E3C">
              <w:rPr>
                <w:sz w:val="24"/>
                <w:szCs w:val="24"/>
              </w:rPr>
              <w:t>Data Intervenability</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6DB655C" w14:textId="77777777" w:rsidR="008B13CD" w:rsidRDefault="008B13CD" w:rsidP="0044453C">
            <w:pPr>
              <w:pStyle w:val="TableauNormal1"/>
              <w:rPr>
                <w:sz w:val="24"/>
                <w:szCs w:val="24"/>
              </w:rPr>
            </w:pPr>
            <w:r w:rsidRPr="00DC2E3C">
              <w:rPr>
                <w:sz w:val="24"/>
                <w:szCs w:val="24"/>
              </w:rPr>
              <w:t>Ensures that users, data controller, data processors and supervisory authorities can intervene in all privacy-relevant data processing</w:t>
            </w:r>
          </w:p>
          <w:p w14:paraId="29CC36BE" w14:textId="77777777" w:rsidR="008B13CD" w:rsidRPr="00DC2E3C" w:rsidRDefault="008B13CD" w:rsidP="0044453C">
            <w:pPr>
              <w:pStyle w:val="TableauNormal1"/>
              <w:rPr>
                <w:sz w:val="24"/>
                <w:szCs w:val="24"/>
              </w:rPr>
            </w:pPr>
          </w:p>
        </w:tc>
      </w:tr>
    </w:tbl>
    <w:p w14:paraId="7616338E" w14:textId="77777777" w:rsidR="008B13CD" w:rsidRPr="00DC2E3C" w:rsidRDefault="008B13CD" w:rsidP="008B13CD">
      <w:pPr>
        <w:jc w:val="center"/>
        <w:rPr>
          <w:b/>
        </w:rPr>
      </w:pPr>
      <w:r w:rsidRPr="00DC2E3C">
        <w:rPr>
          <w:b/>
        </w:rPr>
        <w:t>Table 2: Data Trust Capabilities</w:t>
      </w:r>
    </w:p>
    <w:p w14:paraId="4CC4C905" w14:textId="77777777" w:rsidR="008B13CD" w:rsidRDefault="008B13CD" w:rsidP="008B13CD">
      <w:r>
        <w:t>One of the major concerns in IoT &amp; Smart cities applications is the lack of an integrated standard framework to ensur</w:t>
      </w:r>
      <w:r w:rsidRPr="00DC2E3C">
        <w:t>e “trusted data”</w:t>
      </w:r>
      <w:r>
        <w:t xml:space="preserve"> which is fundamental to quality of services. In case of trusted data most of the issues are from non functional aspects as introduced the table bellow [b-4.3]. There are several considerations.</w:t>
      </w:r>
    </w:p>
    <w:p w14:paraId="3460972A" w14:textId="77777777" w:rsidR="008B13CD" w:rsidRDefault="008B13CD" w:rsidP="008B13CD"/>
    <w:tbl>
      <w:tblPr>
        <w:tblW w:w="9007"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6912"/>
      </w:tblGrid>
      <w:tr w:rsidR="008B13CD" w:rsidRPr="00F52241" w14:paraId="32AC40AE" w14:textId="77777777" w:rsidTr="0044453C">
        <w:trPr>
          <w:trHeight w:val="1215"/>
        </w:trPr>
        <w:tc>
          <w:tcPr>
            <w:tcW w:w="2095" w:type="dxa"/>
            <w:tcBorders>
              <w:top w:val="single" w:sz="4" w:space="0" w:color="auto"/>
              <w:left w:val="single" w:sz="4" w:space="0" w:color="auto"/>
              <w:bottom w:val="single" w:sz="4" w:space="0" w:color="auto"/>
              <w:right w:val="single" w:sz="4" w:space="0" w:color="auto"/>
            </w:tcBorders>
          </w:tcPr>
          <w:p w14:paraId="7893F1A2" w14:textId="77777777" w:rsidR="008B13CD" w:rsidRPr="00DC2E3C" w:rsidRDefault="008B13CD" w:rsidP="0044453C">
            <w:pPr>
              <w:pStyle w:val="TableauNormal1"/>
              <w:rPr>
                <w:sz w:val="24"/>
                <w:szCs w:val="24"/>
                <w:lang w:val="en-GB"/>
              </w:rPr>
            </w:pPr>
            <w:r w:rsidRPr="00DC2E3C">
              <w:rPr>
                <w:rFonts w:eastAsia="DengXian"/>
                <w:sz w:val="24"/>
                <w:szCs w:val="24"/>
                <w:lang w:val="en-US" w:eastAsia="zh-CN"/>
              </w:rPr>
              <w:t>Environment enablers</w:t>
            </w:r>
          </w:p>
        </w:tc>
        <w:tc>
          <w:tcPr>
            <w:tcW w:w="6912" w:type="dxa"/>
            <w:tcBorders>
              <w:top w:val="single" w:sz="4" w:space="0" w:color="auto"/>
              <w:left w:val="single" w:sz="4" w:space="0" w:color="auto"/>
              <w:bottom w:val="single" w:sz="4" w:space="0" w:color="auto"/>
              <w:right w:val="single" w:sz="4" w:space="0" w:color="auto"/>
            </w:tcBorders>
          </w:tcPr>
          <w:p w14:paraId="5EA9C9B6" w14:textId="77777777" w:rsidR="008B13CD" w:rsidRPr="00DC2E3C" w:rsidRDefault="008B13CD" w:rsidP="0044453C">
            <w:r w:rsidRPr="00DC2E3C">
              <w:rPr>
                <w:rFonts w:eastAsiaTheme="minorEastAsia"/>
              </w:rPr>
              <w:t xml:space="preserve"> The process to take external factors as supporting sources to enable trusted data, including social context, macro-economy, physical environment, infrastructure, security threats and organizational change. </w:t>
            </w:r>
          </w:p>
        </w:tc>
      </w:tr>
      <w:tr w:rsidR="008B13CD" w:rsidRPr="00F52241" w14:paraId="06A4476A" w14:textId="77777777" w:rsidTr="0044453C">
        <w:trPr>
          <w:trHeight w:val="1503"/>
        </w:trPr>
        <w:tc>
          <w:tcPr>
            <w:tcW w:w="2095" w:type="dxa"/>
            <w:tcBorders>
              <w:top w:val="single" w:sz="4" w:space="0" w:color="auto"/>
              <w:left w:val="single" w:sz="4" w:space="0" w:color="auto"/>
              <w:bottom w:val="single" w:sz="4" w:space="0" w:color="auto"/>
              <w:right w:val="single" w:sz="4" w:space="0" w:color="auto"/>
            </w:tcBorders>
          </w:tcPr>
          <w:p w14:paraId="153A2CD4" w14:textId="77777777" w:rsidR="008B13CD" w:rsidRPr="00DC2E3C" w:rsidRDefault="008B13CD" w:rsidP="0044453C">
            <w:pPr>
              <w:pStyle w:val="TableauNormal1"/>
              <w:rPr>
                <w:sz w:val="24"/>
                <w:szCs w:val="24"/>
                <w:lang w:val="en-GB"/>
              </w:rPr>
            </w:pPr>
            <w:r w:rsidRPr="00DC2E3C">
              <w:rPr>
                <w:rFonts w:eastAsia="DengXian"/>
                <w:sz w:val="24"/>
                <w:szCs w:val="24"/>
                <w:lang w:val="en-US" w:eastAsia="zh-CN"/>
              </w:rPr>
              <w:lastRenderedPageBreak/>
              <w:t>Policy enablers</w:t>
            </w:r>
          </w:p>
        </w:tc>
        <w:tc>
          <w:tcPr>
            <w:tcW w:w="6912" w:type="dxa"/>
            <w:tcBorders>
              <w:top w:val="single" w:sz="4" w:space="0" w:color="auto"/>
              <w:left w:val="single" w:sz="4" w:space="0" w:color="auto"/>
              <w:bottom w:val="single" w:sz="4" w:space="0" w:color="auto"/>
              <w:right w:val="single" w:sz="4" w:space="0" w:color="auto"/>
            </w:tcBorders>
          </w:tcPr>
          <w:p w14:paraId="73D67DC8" w14:textId="77777777" w:rsidR="008B13CD" w:rsidRPr="00DC2E3C" w:rsidRDefault="008B13CD" w:rsidP="0044453C">
            <w:r w:rsidRPr="00DC2E3C">
              <w:rPr>
                <w:rFonts w:eastAsiaTheme="minorEastAsia"/>
              </w:rPr>
              <w:t>The process to include top management, evidence-based decision making, leadership and accountability and customer and other stakeholders’ focus into data trust enhancing activities, including trusted assessorship and authority control of technology.</w:t>
            </w:r>
          </w:p>
        </w:tc>
      </w:tr>
      <w:tr w:rsidR="008B13CD" w:rsidRPr="00F52241" w14:paraId="2C7D411A" w14:textId="77777777" w:rsidTr="0044453C">
        <w:trPr>
          <w:trHeight w:val="1503"/>
        </w:trPr>
        <w:tc>
          <w:tcPr>
            <w:tcW w:w="2095" w:type="dxa"/>
            <w:tcBorders>
              <w:top w:val="single" w:sz="4" w:space="0" w:color="auto"/>
              <w:left w:val="single" w:sz="4" w:space="0" w:color="auto"/>
              <w:bottom w:val="single" w:sz="4" w:space="0" w:color="auto"/>
              <w:right w:val="single" w:sz="4" w:space="0" w:color="auto"/>
            </w:tcBorders>
          </w:tcPr>
          <w:p w14:paraId="67545465" w14:textId="77777777" w:rsidR="008B13CD" w:rsidRPr="00DC2E3C" w:rsidRDefault="008B13CD" w:rsidP="0044453C">
            <w:pPr>
              <w:pStyle w:val="TableauNormal1"/>
              <w:rPr>
                <w:sz w:val="24"/>
                <w:szCs w:val="24"/>
                <w:lang w:val="en-GB"/>
              </w:rPr>
            </w:pPr>
            <w:r w:rsidRPr="00DC2E3C">
              <w:rPr>
                <w:rFonts w:eastAsia="DengXian"/>
                <w:sz w:val="24"/>
                <w:szCs w:val="24"/>
                <w:lang w:val="en-US" w:eastAsia="zh-CN"/>
              </w:rPr>
              <w:t>Technology enablers</w:t>
            </w:r>
          </w:p>
        </w:tc>
        <w:tc>
          <w:tcPr>
            <w:tcW w:w="6912" w:type="dxa"/>
            <w:tcBorders>
              <w:top w:val="single" w:sz="4" w:space="0" w:color="auto"/>
              <w:left w:val="single" w:sz="4" w:space="0" w:color="auto"/>
              <w:bottom w:val="single" w:sz="4" w:space="0" w:color="auto"/>
              <w:right w:val="single" w:sz="4" w:space="0" w:color="auto"/>
            </w:tcBorders>
          </w:tcPr>
          <w:p w14:paraId="29368AF2" w14:textId="77777777" w:rsidR="008B13CD" w:rsidRPr="00DC2E3C" w:rsidRDefault="008B13CD" w:rsidP="0044453C">
            <w:r w:rsidRPr="00DC2E3C">
              <w:rPr>
                <w:rFonts w:eastAsiaTheme="minorEastAsia"/>
              </w:rPr>
              <w:t>The process to use security technology to promote the systematic and appropriate use of data, including data authentication, data authorization, data anonymization, data encryption, data ethics, data privacy by design, security labels and personalized I/O device</w:t>
            </w:r>
          </w:p>
        </w:tc>
      </w:tr>
      <w:tr w:rsidR="008B13CD" w:rsidRPr="00F52241" w14:paraId="61DEE605" w14:textId="77777777" w:rsidTr="0044453C">
        <w:trPr>
          <w:trHeight w:val="1778"/>
        </w:trPr>
        <w:tc>
          <w:tcPr>
            <w:tcW w:w="2095" w:type="dxa"/>
            <w:tcBorders>
              <w:top w:val="single" w:sz="4" w:space="0" w:color="auto"/>
              <w:left w:val="single" w:sz="4" w:space="0" w:color="auto"/>
              <w:bottom w:val="single" w:sz="4" w:space="0" w:color="auto"/>
              <w:right w:val="single" w:sz="4" w:space="0" w:color="auto"/>
            </w:tcBorders>
          </w:tcPr>
          <w:p w14:paraId="5C375E75" w14:textId="77777777" w:rsidR="008B13CD" w:rsidRPr="00DC2E3C" w:rsidRDefault="008B13CD" w:rsidP="0044453C">
            <w:pPr>
              <w:pStyle w:val="TableauNormal1"/>
              <w:rPr>
                <w:sz w:val="24"/>
                <w:szCs w:val="24"/>
                <w:lang w:val="en-GB"/>
              </w:rPr>
            </w:pPr>
            <w:r w:rsidRPr="00DC2E3C">
              <w:rPr>
                <w:rFonts w:eastAsia="DengXian"/>
                <w:sz w:val="24"/>
                <w:szCs w:val="24"/>
                <w:lang w:val="en-US" w:eastAsia="zh-CN"/>
              </w:rPr>
              <w:t>Data quality enablers</w:t>
            </w:r>
          </w:p>
        </w:tc>
        <w:tc>
          <w:tcPr>
            <w:tcW w:w="6912" w:type="dxa"/>
            <w:tcBorders>
              <w:top w:val="single" w:sz="4" w:space="0" w:color="auto"/>
              <w:left w:val="single" w:sz="4" w:space="0" w:color="auto"/>
              <w:bottom w:val="single" w:sz="4" w:space="0" w:color="auto"/>
              <w:right w:val="single" w:sz="4" w:space="0" w:color="auto"/>
            </w:tcBorders>
          </w:tcPr>
          <w:p w14:paraId="532F8A71" w14:textId="77777777" w:rsidR="008B13CD" w:rsidRPr="00DC2E3C" w:rsidRDefault="008B13CD" w:rsidP="0044453C">
            <w:pPr>
              <w:rPr>
                <w:rFonts w:eastAsiaTheme="minorEastAsia"/>
              </w:rPr>
            </w:pPr>
            <w:r w:rsidRPr="00DC2E3C">
              <w:rPr>
                <w:rFonts w:eastAsiaTheme="minorEastAsia"/>
              </w:rPr>
              <w:t>The process to enhance traceable actions and appropriate metadata to promote the accuracy, completeness, consistency, continuity, timeliness, uniqueness and validity of data to make it trustworthy, including  accessibility data quality, contextual data quality, intrinsic data quality and representational data quality of technology .</w:t>
            </w:r>
          </w:p>
        </w:tc>
      </w:tr>
    </w:tbl>
    <w:p w14:paraId="3F2B26E8" w14:textId="77777777" w:rsidR="008B13CD" w:rsidRPr="00DC2E3C" w:rsidRDefault="008B13CD" w:rsidP="008B13CD">
      <w:pPr>
        <w:jc w:val="center"/>
      </w:pPr>
      <w:r w:rsidRPr="00DC2E3C">
        <w:rPr>
          <w:b/>
        </w:rPr>
        <w:t>Table</w:t>
      </w:r>
      <w:r>
        <w:rPr>
          <w:b/>
        </w:rPr>
        <w:t xml:space="preserve"> 3</w:t>
      </w:r>
      <w:r w:rsidRPr="00DC2E3C">
        <w:rPr>
          <w:b/>
        </w:rPr>
        <w:t>: Trusted Data enablers</w:t>
      </w:r>
      <w:bookmarkStart w:id="116" w:name="_Toc4629851"/>
      <w:bookmarkStart w:id="117" w:name="_Toc13610354"/>
    </w:p>
    <w:p w14:paraId="75806AFE" w14:textId="77777777" w:rsidR="008B13CD" w:rsidRPr="00E44EE9" w:rsidRDefault="008B13CD" w:rsidP="008B13CD">
      <w:r w:rsidRPr="00DC2E3C">
        <w:rPr>
          <w:b/>
        </w:rPr>
        <w:t>Note:</w:t>
      </w:r>
      <w:r w:rsidRPr="00F52241">
        <w:t xml:space="preserve"> In the context of IoT and SC&amp;C data security, trust and sharing, emerging approach namely Blockchain with new concepts and methods are introducing distribution and decentralised authority access control. This can better respond to IoT and SC&amp; C scalability requirement and also new trusted processes at different dimensions of the DPM framework. [</w:t>
      </w:r>
      <w:r w:rsidRPr="00806B30">
        <w:rPr>
          <w:bCs/>
          <w:lang w:eastAsia="zh-CN"/>
        </w:rPr>
        <w:t xml:space="preserve">b-FG-DPM TS </w:t>
      </w:r>
      <w:r w:rsidRPr="00F52241">
        <w:t>D3.5 to D3.8] propose a detailed description of this approach and its potential use.</w:t>
      </w:r>
    </w:p>
    <w:p w14:paraId="5A9594DF" w14:textId="2E93B90C" w:rsidR="008B13CD" w:rsidRPr="00515B32" w:rsidRDefault="00855FF5" w:rsidP="008B13CD">
      <w:pPr>
        <w:pStyle w:val="Heading2"/>
        <w:tabs>
          <w:tab w:val="clear" w:pos="794"/>
          <w:tab w:val="clear" w:pos="1191"/>
          <w:tab w:val="clear" w:pos="1588"/>
          <w:tab w:val="clear" w:pos="1985"/>
        </w:tabs>
        <w:jc w:val="left"/>
        <w:rPr>
          <w:rFonts w:eastAsia="Batang"/>
        </w:rPr>
      </w:pPr>
      <w:bookmarkStart w:id="118" w:name="_Toc13114364"/>
      <w:bookmarkStart w:id="119" w:name="_Toc18321963"/>
      <w:bookmarkEnd w:id="116"/>
      <w:bookmarkEnd w:id="117"/>
      <w:r>
        <w:rPr>
          <w:rFonts w:eastAsia="Batang"/>
        </w:rPr>
        <w:t>7</w:t>
      </w:r>
      <w:r w:rsidR="008B13CD" w:rsidRPr="00515B32">
        <w:rPr>
          <w:rFonts w:eastAsia="Batang"/>
        </w:rPr>
        <w:t>.4 Data Commercialisation dimension</w:t>
      </w:r>
      <w:bookmarkEnd w:id="118"/>
      <w:bookmarkEnd w:id="119"/>
    </w:p>
    <w:p w14:paraId="377D1FEE" w14:textId="77777777" w:rsidR="008B13CD" w:rsidRDefault="008B13CD" w:rsidP="008B13CD">
      <w:bookmarkStart w:id="120" w:name="_Toc13578498"/>
      <w:r>
        <w:t>Individuals (consumers) and organizations routinely provide and exchange information while interacting and consuming online. This collected massive amount of information is potentially commercially valuable and is enabling new business models to emerge.</w:t>
      </w:r>
    </w:p>
    <w:p w14:paraId="563EBD09" w14:textId="77777777" w:rsidR="008B13CD" w:rsidRDefault="008B13CD" w:rsidP="008B13CD">
      <w:r>
        <w:t xml:space="preserve">Data can be sold and purchased (i.e. traded or commercially exchanged) just like raw materials in the form of goods and services. Data can also be directly or indirectly monetized; it can be an organization’s main or supplementary offering. </w:t>
      </w:r>
    </w:p>
    <w:p w14:paraId="3FE6D85D" w14:textId="77777777" w:rsidR="008B13CD" w:rsidRDefault="008B13CD" w:rsidP="008B13CD">
      <w:pPr>
        <w:spacing w:after="240"/>
      </w:pPr>
      <w:r>
        <w:t>In this context, data commercialization is the process of creating commercial value from data, and it encompasses a set of capabilities, including but not limited to, monetization, valuation, pricing, licensing, distribution, marketing and sales as briefly described in the below table.</w:t>
      </w:r>
    </w:p>
    <w:tbl>
      <w:tblPr>
        <w:tblStyle w:val="TableGrid"/>
        <w:tblW w:w="9889" w:type="dxa"/>
        <w:tblLook w:val="04A0" w:firstRow="1" w:lastRow="0" w:firstColumn="1" w:lastColumn="0" w:noHBand="0" w:noVBand="1"/>
      </w:tblPr>
      <w:tblGrid>
        <w:gridCol w:w="3085"/>
        <w:gridCol w:w="6804"/>
      </w:tblGrid>
      <w:tr w:rsidR="008B13CD" w14:paraId="07D1BE03"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16073650" w14:textId="77777777" w:rsidR="008B13CD" w:rsidRPr="00DC2E3C" w:rsidRDefault="008B13CD" w:rsidP="0044453C">
            <w:pPr>
              <w:pStyle w:val="Normal1"/>
              <w:jc w:val="center"/>
              <w:rPr>
                <w:rFonts w:eastAsia="Times New Roman"/>
                <w:b/>
                <w:lang w:val="en-US" w:eastAsia="zh-CN"/>
              </w:rPr>
            </w:pPr>
            <w:r w:rsidRPr="00DC2E3C">
              <w:rPr>
                <w:b/>
                <w:lang w:val="en-US" w:eastAsia="zh-CN"/>
              </w:rPr>
              <w:t>Dimension Capabilities</w:t>
            </w:r>
          </w:p>
        </w:tc>
        <w:tc>
          <w:tcPr>
            <w:tcW w:w="6804" w:type="dxa"/>
            <w:tcBorders>
              <w:top w:val="single" w:sz="4" w:space="0" w:color="auto"/>
              <w:left w:val="single" w:sz="4" w:space="0" w:color="auto"/>
              <w:bottom w:val="single" w:sz="4" w:space="0" w:color="auto"/>
              <w:right w:val="single" w:sz="4" w:space="0" w:color="auto"/>
            </w:tcBorders>
            <w:hideMark/>
          </w:tcPr>
          <w:p w14:paraId="2DBB5C54" w14:textId="77777777" w:rsidR="008B13CD" w:rsidRDefault="008B13CD" w:rsidP="0044453C">
            <w:pPr>
              <w:pStyle w:val="Normal1"/>
              <w:jc w:val="center"/>
              <w:rPr>
                <w:rFonts w:eastAsia="Times New Roman"/>
                <w:b/>
                <w:lang w:val="en-US" w:eastAsia="zh-CN"/>
              </w:rPr>
            </w:pPr>
            <w:r w:rsidRPr="00DC2E3C">
              <w:rPr>
                <w:b/>
                <w:lang w:val="en-US" w:eastAsia="zh-CN"/>
              </w:rPr>
              <w:t>Capability description</w:t>
            </w:r>
          </w:p>
        </w:tc>
      </w:tr>
      <w:tr w:rsidR="008B13CD" w:rsidRPr="00227F2A" w14:paraId="1CB3BF42"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1473351C" w14:textId="77777777" w:rsidR="008B13CD" w:rsidRDefault="008B13CD" w:rsidP="0044453C">
            <w:pPr>
              <w:pStyle w:val="Normal1"/>
              <w:rPr>
                <w:rFonts w:eastAsia="Times New Roman"/>
                <w:lang w:val="en-US" w:eastAsia="zh-CN"/>
              </w:rPr>
            </w:pPr>
            <w:r>
              <w:rPr>
                <w:lang w:val="en-US" w:eastAsia="zh-CN"/>
              </w:rPr>
              <w:t>Data Monetization</w:t>
            </w:r>
          </w:p>
        </w:tc>
        <w:tc>
          <w:tcPr>
            <w:tcW w:w="6804" w:type="dxa"/>
            <w:tcBorders>
              <w:top w:val="single" w:sz="4" w:space="0" w:color="auto"/>
              <w:left w:val="single" w:sz="4" w:space="0" w:color="auto"/>
              <w:bottom w:val="single" w:sz="4" w:space="0" w:color="auto"/>
              <w:right w:val="single" w:sz="4" w:space="0" w:color="auto"/>
            </w:tcBorders>
            <w:hideMark/>
          </w:tcPr>
          <w:p w14:paraId="22C9399B" w14:textId="77777777" w:rsidR="008B13CD" w:rsidRPr="00DC2E3C" w:rsidRDefault="008B13CD" w:rsidP="0044453C">
            <w:pPr>
              <w:pStyle w:val="Normal1"/>
              <w:rPr>
                <w:lang w:val="en-US" w:eastAsia="zh-CN"/>
              </w:rPr>
            </w:pPr>
            <w:r>
              <w:rPr>
                <w:lang w:val="en-US" w:eastAsia="zh-CN"/>
              </w:rPr>
              <w:t>The process of generating incoming money flow with and out of data and data-derived information products and services.</w:t>
            </w:r>
          </w:p>
        </w:tc>
      </w:tr>
      <w:tr w:rsidR="008B13CD" w:rsidRPr="00227F2A" w14:paraId="39CE7E94"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36BD198C" w14:textId="77777777" w:rsidR="008B13CD" w:rsidRDefault="008B13CD" w:rsidP="0044453C">
            <w:pPr>
              <w:pStyle w:val="Normal1"/>
              <w:rPr>
                <w:rFonts w:eastAsia="Times New Roman"/>
                <w:lang w:val="en-US" w:eastAsia="zh-CN"/>
              </w:rPr>
            </w:pPr>
            <w:r>
              <w:rPr>
                <w:lang w:val="en-US" w:eastAsia="zh-CN"/>
              </w:rPr>
              <w:t>Data Valuation</w:t>
            </w:r>
          </w:p>
        </w:tc>
        <w:tc>
          <w:tcPr>
            <w:tcW w:w="6804" w:type="dxa"/>
            <w:tcBorders>
              <w:top w:val="single" w:sz="4" w:space="0" w:color="auto"/>
              <w:left w:val="single" w:sz="4" w:space="0" w:color="auto"/>
              <w:bottom w:val="single" w:sz="4" w:space="0" w:color="auto"/>
              <w:right w:val="single" w:sz="4" w:space="0" w:color="auto"/>
            </w:tcBorders>
            <w:hideMark/>
          </w:tcPr>
          <w:p w14:paraId="0F89F025" w14:textId="77777777" w:rsidR="008B13CD" w:rsidRPr="00DC2E3C" w:rsidRDefault="008B13CD" w:rsidP="0044453C">
            <w:pPr>
              <w:pStyle w:val="Normal1"/>
              <w:rPr>
                <w:lang w:val="en-US" w:eastAsia="zh-CN"/>
              </w:rPr>
            </w:pPr>
            <w:r>
              <w:rPr>
                <w:lang w:val="en-US" w:eastAsia="zh-CN"/>
              </w:rPr>
              <w:t>The process of estimating the worth of data from a data consumer perspective. Note: Contextualizing data to identify applicable use case(s) and to determine an appropriate valuation method are significant issues in data valuation.</w:t>
            </w:r>
          </w:p>
        </w:tc>
      </w:tr>
      <w:tr w:rsidR="008B13CD" w:rsidRPr="00227F2A" w14:paraId="5EDB7891"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41DAC404" w14:textId="77777777" w:rsidR="008B13CD" w:rsidRDefault="008B13CD" w:rsidP="0044453C">
            <w:pPr>
              <w:pStyle w:val="Normal1"/>
              <w:rPr>
                <w:rFonts w:eastAsia="Times New Roman"/>
                <w:lang w:val="en-US" w:eastAsia="zh-CN"/>
              </w:rPr>
            </w:pPr>
            <w:r>
              <w:rPr>
                <w:lang w:val="en-US" w:eastAsia="zh-CN"/>
              </w:rPr>
              <w:t>Data Pricing</w:t>
            </w:r>
          </w:p>
        </w:tc>
        <w:tc>
          <w:tcPr>
            <w:tcW w:w="6804" w:type="dxa"/>
            <w:tcBorders>
              <w:top w:val="single" w:sz="4" w:space="0" w:color="auto"/>
              <w:left w:val="single" w:sz="4" w:space="0" w:color="auto"/>
              <w:bottom w:val="single" w:sz="4" w:space="0" w:color="auto"/>
              <w:right w:val="single" w:sz="4" w:space="0" w:color="auto"/>
            </w:tcBorders>
            <w:hideMark/>
          </w:tcPr>
          <w:p w14:paraId="009E958A" w14:textId="77777777" w:rsidR="008B13CD" w:rsidRPr="00DC2E3C" w:rsidRDefault="008B13CD" w:rsidP="0044453C">
            <w:pPr>
              <w:pStyle w:val="Normal1"/>
              <w:rPr>
                <w:lang w:val="en-US" w:eastAsia="zh-CN"/>
              </w:rPr>
            </w:pPr>
            <w:r>
              <w:rPr>
                <w:lang w:val="en-US" w:eastAsia="zh-CN"/>
              </w:rPr>
              <w:t xml:space="preserve">The process of determining price of data by an organization for selling it as a product / service. </w:t>
            </w:r>
          </w:p>
        </w:tc>
      </w:tr>
      <w:tr w:rsidR="008B13CD" w:rsidRPr="00227F2A" w14:paraId="6CDA79B0"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24AD3DAD" w14:textId="77777777" w:rsidR="008B13CD" w:rsidRDefault="008B13CD" w:rsidP="0044453C">
            <w:pPr>
              <w:pStyle w:val="Normal1"/>
              <w:rPr>
                <w:rFonts w:eastAsia="Times New Roman"/>
                <w:lang w:val="en-US" w:eastAsia="zh-CN"/>
              </w:rPr>
            </w:pPr>
            <w:r>
              <w:rPr>
                <w:lang w:val="en-US" w:eastAsia="zh-CN"/>
              </w:rPr>
              <w:t>Data Licensing</w:t>
            </w:r>
          </w:p>
        </w:tc>
        <w:tc>
          <w:tcPr>
            <w:tcW w:w="6804" w:type="dxa"/>
            <w:tcBorders>
              <w:top w:val="single" w:sz="4" w:space="0" w:color="auto"/>
              <w:left w:val="single" w:sz="4" w:space="0" w:color="auto"/>
              <w:bottom w:val="single" w:sz="4" w:space="0" w:color="auto"/>
              <w:right w:val="single" w:sz="4" w:space="0" w:color="auto"/>
            </w:tcBorders>
            <w:hideMark/>
          </w:tcPr>
          <w:p w14:paraId="2523E37A" w14:textId="77777777" w:rsidR="008B13CD" w:rsidRPr="00DC2E3C" w:rsidRDefault="008B13CD" w:rsidP="0044453C">
            <w:pPr>
              <w:pStyle w:val="Normal1"/>
              <w:rPr>
                <w:lang w:val="en-US" w:eastAsia="zh-CN"/>
              </w:rPr>
            </w:pPr>
            <w:r>
              <w:rPr>
                <w:lang w:val="en-US" w:eastAsia="zh-CN"/>
              </w:rPr>
              <w:t>The process of determining data related terms and conditions for the legally binding agreement between the data licensor and the data licensee.</w:t>
            </w:r>
          </w:p>
        </w:tc>
      </w:tr>
      <w:tr w:rsidR="008B13CD" w:rsidRPr="00227F2A" w14:paraId="7DB76BFA"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147B41E3" w14:textId="77777777" w:rsidR="008B13CD" w:rsidRDefault="008B13CD" w:rsidP="0044453C">
            <w:pPr>
              <w:pStyle w:val="Normal1"/>
              <w:rPr>
                <w:rFonts w:eastAsia="Times New Roman"/>
                <w:lang w:val="en-US" w:eastAsia="zh-CN"/>
              </w:rPr>
            </w:pPr>
            <w:r>
              <w:rPr>
                <w:lang w:val="en-US" w:eastAsia="zh-CN"/>
              </w:rPr>
              <w:lastRenderedPageBreak/>
              <w:t>Data Distribution Channel</w:t>
            </w:r>
          </w:p>
        </w:tc>
        <w:tc>
          <w:tcPr>
            <w:tcW w:w="6804" w:type="dxa"/>
            <w:tcBorders>
              <w:top w:val="single" w:sz="4" w:space="0" w:color="auto"/>
              <w:left w:val="single" w:sz="4" w:space="0" w:color="auto"/>
              <w:bottom w:val="single" w:sz="4" w:space="0" w:color="auto"/>
              <w:right w:val="single" w:sz="4" w:space="0" w:color="auto"/>
            </w:tcBorders>
            <w:hideMark/>
          </w:tcPr>
          <w:p w14:paraId="579B5923" w14:textId="77777777" w:rsidR="008B13CD" w:rsidRPr="00DC2E3C" w:rsidRDefault="008B13CD" w:rsidP="0044453C">
            <w:pPr>
              <w:pStyle w:val="Normal1"/>
              <w:rPr>
                <w:lang w:val="en-US" w:eastAsia="zh-CN"/>
              </w:rPr>
            </w:pPr>
            <w:r>
              <w:rPr>
                <w:lang w:val="en-US" w:eastAsia="zh-CN"/>
              </w:rPr>
              <w:t xml:space="preserve">The channel through which data will be sold (distributed) by a seller to the buyer(s). </w:t>
            </w:r>
          </w:p>
        </w:tc>
      </w:tr>
      <w:tr w:rsidR="008B13CD" w:rsidRPr="00227F2A" w14:paraId="47239AFD"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00B654FA" w14:textId="77777777" w:rsidR="008B13CD" w:rsidRDefault="008B13CD" w:rsidP="0044453C">
            <w:pPr>
              <w:pStyle w:val="Normal1"/>
              <w:rPr>
                <w:rFonts w:eastAsia="Times New Roman"/>
                <w:lang w:val="en-US" w:eastAsia="zh-CN"/>
              </w:rPr>
            </w:pPr>
            <w:r>
              <w:rPr>
                <w:lang w:val="en-US" w:eastAsia="zh-CN"/>
              </w:rPr>
              <w:t>Data Marketing</w:t>
            </w:r>
          </w:p>
        </w:tc>
        <w:tc>
          <w:tcPr>
            <w:tcW w:w="6804" w:type="dxa"/>
            <w:tcBorders>
              <w:top w:val="single" w:sz="4" w:space="0" w:color="auto"/>
              <w:left w:val="single" w:sz="4" w:space="0" w:color="auto"/>
              <w:bottom w:val="single" w:sz="4" w:space="0" w:color="auto"/>
              <w:right w:val="single" w:sz="4" w:space="0" w:color="auto"/>
            </w:tcBorders>
            <w:hideMark/>
          </w:tcPr>
          <w:p w14:paraId="6DE6B7BC" w14:textId="77777777" w:rsidR="008B13CD" w:rsidRPr="00DC2E3C" w:rsidRDefault="008B13CD" w:rsidP="0044453C">
            <w:pPr>
              <w:pStyle w:val="Normal1"/>
              <w:rPr>
                <w:lang w:val="en-US" w:eastAsia="zh-CN"/>
              </w:rPr>
            </w:pPr>
            <w:r>
              <w:rPr>
                <w:lang w:val="en-US" w:eastAsia="zh-CN"/>
              </w:rPr>
              <w:t>The process of determining and conducting activities to create awareness for data and to incentivize its usage.</w:t>
            </w:r>
          </w:p>
        </w:tc>
      </w:tr>
      <w:tr w:rsidR="008B13CD" w:rsidRPr="00227F2A" w14:paraId="52CEE266"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3BFDAC4F" w14:textId="77777777" w:rsidR="008B13CD" w:rsidRDefault="008B13CD" w:rsidP="0044453C">
            <w:pPr>
              <w:pStyle w:val="Normal1"/>
              <w:rPr>
                <w:rFonts w:eastAsia="Times New Roman"/>
                <w:lang w:val="en-US" w:eastAsia="zh-CN"/>
              </w:rPr>
            </w:pPr>
            <w:r>
              <w:rPr>
                <w:lang w:val="en-US" w:eastAsia="zh-CN"/>
              </w:rPr>
              <w:t>Data Sales</w:t>
            </w:r>
          </w:p>
        </w:tc>
        <w:tc>
          <w:tcPr>
            <w:tcW w:w="6804" w:type="dxa"/>
            <w:tcBorders>
              <w:top w:val="single" w:sz="4" w:space="0" w:color="auto"/>
              <w:left w:val="single" w:sz="4" w:space="0" w:color="auto"/>
              <w:bottom w:val="single" w:sz="4" w:space="0" w:color="auto"/>
              <w:right w:val="single" w:sz="4" w:space="0" w:color="auto"/>
            </w:tcBorders>
            <w:hideMark/>
          </w:tcPr>
          <w:p w14:paraId="0DC828B8" w14:textId="77777777" w:rsidR="008B13CD" w:rsidRPr="00DC2E3C" w:rsidRDefault="008B13CD" w:rsidP="0044453C">
            <w:pPr>
              <w:pStyle w:val="Normal1"/>
              <w:rPr>
                <w:lang w:val="en-US" w:eastAsia="zh-CN"/>
              </w:rPr>
            </w:pPr>
            <w:r>
              <w:rPr>
                <w:lang w:val="en-US" w:eastAsia="zh-CN"/>
              </w:rPr>
              <w:t>The process of conducting activities to fulfill a data sales order, including the receiving, processing and delivering the order.</w:t>
            </w:r>
          </w:p>
        </w:tc>
      </w:tr>
    </w:tbl>
    <w:p w14:paraId="65D04ECD" w14:textId="77777777" w:rsidR="008B13CD" w:rsidRDefault="008B13CD" w:rsidP="008B13CD">
      <w:pPr>
        <w:tabs>
          <w:tab w:val="left" w:pos="708"/>
        </w:tabs>
        <w:overflowPunct/>
        <w:autoSpaceDE/>
        <w:adjustRightInd/>
        <w:spacing w:before="240"/>
        <w:jc w:val="center"/>
      </w:pPr>
      <w:r w:rsidRPr="00DC2E3C">
        <w:rPr>
          <w:b/>
        </w:rPr>
        <w:t xml:space="preserve">Table </w:t>
      </w:r>
      <w:r>
        <w:rPr>
          <w:b/>
        </w:rPr>
        <w:t>4</w:t>
      </w:r>
      <w:r w:rsidRPr="00DC2E3C">
        <w:rPr>
          <w:b/>
        </w:rPr>
        <w:t>: Data Commercialisation capabilities.</w:t>
      </w:r>
    </w:p>
    <w:p w14:paraId="036BEFF5" w14:textId="3637F485" w:rsidR="008B13CD" w:rsidRPr="00515B32" w:rsidRDefault="00855FF5" w:rsidP="008B13CD">
      <w:pPr>
        <w:pStyle w:val="Heading2"/>
        <w:tabs>
          <w:tab w:val="clear" w:pos="794"/>
          <w:tab w:val="clear" w:pos="1191"/>
          <w:tab w:val="clear" w:pos="1588"/>
          <w:tab w:val="clear" w:pos="1985"/>
        </w:tabs>
        <w:jc w:val="left"/>
        <w:rPr>
          <w:rFonts w:eastAsia="Batang"/>
        </w:rPr>
      </w:pPr>
      <w:bookmarkStart w:id="121" w:name="_Toc18321964"/>
      <w:r>
        <w:rPr>
          <w:rFonts w:eastAsia="Batang"/>
        </w:rPr>
        <w:t>7</w:t>
      </w:r>
      <w:r w:rsidR="008B13CD" w:rsidRPr="00515B32">
        <w:rPr>
          <w:rFonts w:eastAsia="Batang"/>
        </w:rPr>
        <w:t xml:space="preserve">.5 Data </w:t>
      </w:r>
      <w:bookmarkEnd w:id="120"/>
      <w:r w:rsidR="00FF5185">
        <w:rPr>
          <w:rFonts w:eastAsia="Batang"/>
        </w:rPr>
        <w:t>Ecosystem</w:t>
      </w:r>
      <w:r w:rsidR="00FF5185" w:rsidRPr="00515B32">
        <w:rPr>
          <w:rFonts w:eastAsia="Batang"/>
        </w:rPr>
        <w:t xml:space="preserve"> </w:t>
      </w:r>
      <w:r w:rsidR="008B13CD" w:rsidRPr="00515B32">
        <w:rPr>
          <w:rFonts w:eastAsia="Batang"/>
        </w:rPr>
        <w:t>dimension</w:t>
      </w:r>
      <w:bookmarkEnd w:id="121"/>
    </w:p>
    <w:p w14:paraId="5EE1498B" w14:textId="77777777" w:rsidR="008B13CD" w:rsidRDefault="008B13CD" w:rsidP="008B13CD">
      <w:r>
        <w:t>DPM activities and more generally data economy exist in a broad context and are influenced by several factors which directly and indirectly shape or impact it. These factors may be considered peripheral; however, they tend to affect how various DPM activities are in reality conducted.</w:t>
      </w:r>
    </w:p>
    <w:p w14:paraId="03CF348A" w14:textId="77777777" w:rsidR="008B13CD" w:rsidRDefault="008B13CD" w:rsidP="008B13CD">
      <w:r>
        <w:t xml:space="preserve">Hence, the term data ecosystem incorporates all other value adding peripheral and non-specific factors (in addition to the ones addressed by other dimensions). </w:t>
      </w:r>
    </w:p>
    <w:p w14:paraId="3F1F39D8" w14:textId="77777777" w:rsidR="008B13CD" w:rsidRDefault="008B13CD" w:rsidP="008B13CD">
      <w:pPr>
        <w:spacing w:after="120"/>
      </w:pPr>
      <w:r>
        <w:t>Below table briefly describes capabilities included in the Data Ecosystem dimension.</w:t>
      </w:r>
    </w:p>
    <w:tbl>
      <w:tblPr>
        <w:tblStyle w:val="TableGrid"/>
        <w:tblW w:w="9889" w:type="dxa"/>
        <w:tblLook w:val="04A0" w:firstRow="1" w:lastRow="0" w:firstColumn="1" w:lastColumn="0" w:noHBand="0" w:noVBand="1"/>
      </w:tblPr>
      <w:tblGrid>
        <w:gridCol w:w="3085"/>
        <w:gridCol w:w="6804"/>
      </w:tblGrid>
      <w:tr w:rsidR="008B13CD" w14:paraId="29F247D0"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2BFAF7A6" w14:textId="77777777" w:rsidR="008B13CD" w:rsidRPr="00DC2E3C" w:rsidRDefault="008B13CD" w:rsidP="0044453C">
            <w:pPr>
              <w:pStyle w:val="Normal1"/>
              <w:jc w:val="center"/>
              <w:rPr>
                <w:rFonts w:eastAsia="Times New Roman"/>
                <w:b/>
                <w:lang w:val="en-US" w:eastAsia="zh-CN"/>
              </w:rPr>
            </w:pPr>
            <w:r w:rsidRPr="00DC2E3C">
              <w:rPr>
                <w:b/>
                <w:lang w:val="en-US" w:eastAsia="zh-CN"/>
              </w:rPr>
              <w:t>Dimension Capabilities</w:t>
            </w:r>
          </w:p>
        </w:tc>
        <w:tc>
          <w:tcPr>
            <w:tcW w:w="6804" w:type="dxa"/>
            <w:tcBorders>
              <w:top w:val="single" w:sz="4" w:space="0" w:color="auto"/>
              <w:left w:val="single" w:sz="4" w:space="0" w:color="auto"/>
              <w:bottom w:val="single" w:sz="4" w:space="0" w:color="auto"/>
              <w:right w:val="single" w:sz="4" w:space="0" w:color="auto"/>
            </w:tcBorders>
            <w:hideMark/>
          </w:tcPr>
          <w:p w14:paraId="55FB6F86" w14:textId="77777777" w:rsidR="008B13CD" w:rsidRDefault="008B13CD" w:rsidP="0044453C">
            <w:pPr>
              <w:pStyle w:val="Normal1"/>
              <w:jc w:val="center"/>
              <w:rPr>
                <w:rFonts w:eastAsia="Times New Roman"/>
                <w:b/>
                <w:lang w:val="en-US" w:eastAsia="zh-CN"/>
              </w:rPr>
            </w:pPr>
            <w:r w:rsidRPr="00DC2E3C">
              <w:rPr>
                <w:b/>
                <w:lang w:val="en-US" w:eastAsia="zh-CN"/>
              </w:rPr>
              <w:t>Capability description</w:t>
            </w:r>
          </w:p>
        </w:tc>
      </w:tr>
      <w:tr w:rsidR="008B13CD" w:rsidRPr="00227F2A" w14:paraId="6F5EFA46"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4EB9D220" w14:textId="77777777" w:rsidR="008B13CD" w:rsidRDefault="008B13CD" w:rsidP="0044453C">
            <w:pPr>
              <w:pStyle w:val="Normal1"/>
              <w:rPr>
                <w:rFonts w:eastAsia="Times New Roman"/>
                <w:lang w:val="en-US" w:eastAsia="zh-CN"/>
              </w:rPr>
            </w:pPr>
            <w:r>
              <w:rPr>
                <w:lang w:eastAsia="zh-CN"/>
              </w:rPr>
              <w:t>Data Laws, Regulations and Policies</w:t>
            </w:r>
          </w:p>
        </w:tc>
        <w:tc>
          <w:tcPr>
            <w:tcW w:w="6804" w:type="dxa"/>
            <w:tcBorders>
              <w:top w:val="single" w:sz="4" w:space="0" w:color="auto"/>
              <w:left w:val="single" w:sz="4" w:space="0" w:color="auto"/>
              <w:bottom w:val="single" w:sz="4" w:space="0" w:color="auto"/>
              <w:right w:val="single" w:sz="4" w:space="0" w:color="auto"/>
            </w:tcBorders>
            <w:hideMark/>
          </w:tcPr>
          <w:p w14:paraId="49BEEE1D" w14:textId="77777777" w:rsidR="008B13CD" w:rsidRDefault="008B13CD" w:rsidP="0044453C">
            <w:pPr>
              <w:pStyle w:val="Normal1"/>
              <w:rPr>
                <w:sz w:val="20"/>
                <w:szCs w:val="20"/>
                <w:lang w:val="en-US" w:eastAsia="zh-CN"/>
              </w:rPr>
            </w:pPr>
            <w:r>
              <w:rPr>
                <w:lang w:val="en-US" w:eastAsia="zh-CN"/>
              </w:rPr>
              <w:t>Include all the laws, regulations and policies that directly impact or indirectly shape DPM activities.</w:t>
            </w:r>
          </w:p>
          <w:p w14:paraId="3CC1BC3B" w14:textId="77777777" w:rsidR="008B13CD" w:rsidRDefault="008B13CD" w:rsidP="0044453C">
            <w:pPr>
              <w:pStyle w:val="Normal1"/>
              <w:rPr>
                <w:rFonts w:eastAsia="Times New Roman"/>
                <w:lang w:val="en-US" w:eastAsia="zh-CN"/>
              </w:rPr>
            </w:pPr>
            <w:r>
              <w:rPr>
                <w:lang w:val="en-US" w:eastAsia="zh-CN"/>
              </w:rPr>
              <w:t xml:space="preserve">Note: </w:t>
            </w:r>
            <w:r>
              <w:rPr>
                <w:lang w:eastAsia="zh-CN"/>
              </w:rPr>
              <w:t>Data laws and regulations can be thought of as data rules promulgated by legally authorized bodies such as a government agency or an appropriating agency. Data policies are deliberate system of principles to guide decisions and achieve certain intended outcomes related to data.</w:t>
            </w:r>
          </w:p>
        </w:tc>
      </w:tr>
      <w:tr w:rsidR="008B13CD" w:rsidRPr="00227F2A" w14:paraId="3DB21599"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29B43D47" w14:textId="77777777" w:rsidR="008B13CD" w:rsidRDefault="008B13CD" w:rsidP="0044453C">
            <w:pPr>
              <w:pStyle w:val="Normal1"/>
              <w:rPr>
                <w:rFonts w:eastAsia="Times New Roman"/>
                <w:lang w:val="en-US" w:eastAsia="zh-CN"/>
              </w:rPr>
            </w:pPr>
            <w:r>
              <w:rPr>
                <w:lang w:val="en-US" w:eastAsia="zh-CN"/>
              </w:rPr>
              <w:t>Data Standards</w:t>
            </w:r>
          </w:p>
        </w:tc>
        <w:tc>
          <w:tcPr>
            <w:tcW w:w="6804" w:type="dxa"/>
            <w:tcBorders>
              <w:top w:val="single" w:sz="4" w:space="0" w:color="auto"/>
              <w:left w:val="single" w:sz="4" w:space="0" w:color="auto"/>
              <w:bottom w:val="single" w:sz="4" w:space="0" w:color="auto"/>
              <w:right w:val="single" w:sz="4" w:space="0" w:color="auto"/>
            </w:tcBorders>
            <w:hideMark/>
          </w:tcPr>
          <w:p w14:paraId="029F8B5D" w14:textId="77777777" w:rsidR="008B13CD" w:rsidRDefault="008B13CD" w:rsidP="0044453C">
            <w:pPr>
              <w:pStyle w:val="Normal1"/>
              <w:rPr>
                <w:rFonts w:eastAsia="Times New Roman"/>
                <w:lang w:val="en-US" w:eastAsia="zh-CN"/>
              </w:rPr>
            </w:pPr>
            <w:r>
              <w:rPr>
                <w:lang w:val="en-US" w:eastAsia="zh-CN"/>
              </w:rPr>
              <w:t>Include all the commonly agreed norms, specifications and procedures related to data developed by Standards Development Organizations (SDOs).</w:t>
            </w:r>
          </w:p>
        </w:tc>
      </w:tr>
      <w:tr w:rsidR="008B13CD" w:rsidRPr="00227F2A" w14:paraId="6CB6C503"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73F36BDE" w14:textId="77777777" w:rsidR="008B13CD" w:rsidRDefault="008B13CD" w:rsidP="0044453C">
            <w:pPr>
              <w:pStyle w:val="Normal1"/>
              <w:rPr>
                <w:rFonts w:eastAsia="Times New Roman"/>
                <w:lang w:val="en-US" w:eastAsia="zh-CN"/>
              </w:rPr>
            </w:pPr>
            <w:r>
              <w:rPr>
                <w:lang w:val="en-US" w:eastAsia="zh-CN"/>
              </w:rPr>
              <w:t>Data Skills</w:t>
            </w:r>
          </w:p>
        </w:tc>
        <w:tc>
          <w:tcPr>
            <w:tcW w:w="6804" w:type="dxa"/>
            <w:tcBorders>
              <w:top w:val="single" w:sz="4" w:space="0" w:color="auto"/>
              <w:left w:val="single" w:sz="4" w:space="0" w:color="auto"/>
              <w:bottom w:val="single" w:sz="4" w:space="0" w:color="auto"/>
              <w:right w:val="single" w:sz="4" w:space="0" w:color="auto"/>
            </w:tcBorders>
            <w:hideMark/>
          </w:tcPr>
          <w:p w14:paraId="5C7E19F5" w14:textId="77777777" w:rsidR="008B13CD" w:rsidRDefault="008B13CD" w:rsidP="0044453C">
            <w:pPr>
              <w:pStyle w:val="Normal1"/>
              <w:rPr>
                <w:rFonts w:eastAsia="Times New Roman"/>
                <w:lang w:val="en-US" w:eastAsia="zh-CN"/>
              </w:rPr>
            </w:pPr>
            <w:r>
              <w:rPr>
                <w:lang w:val="en-US" w:eastAsia="zh-CN"/>
              </w:rPr>
              <w:t xml:space="preserve">Refer to various DPM related skills and their availability, including but not limited to, problem solving by data, collecting and drawing insights from data, performing data analytics and quantitative reasoning. </w:t>
            </w:r>
          </w:p>
        </w:tc>
      </w:tr>
      <w:tr w:rsidR="008B13CD" w:rsidRPr="00227F2A" w14:paraId="545F4CE9"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3AB0EB57" w14:textId="77777777" w:rsidR="008B13CD" w:rsidRDefault="008B13CD" w:rsidP="0044453C">
            <w:pPr>
              <w:pStyle w:val="Normal1"/>
              <w:rPr>
                <w:rFonts w:eastAsia="Times New Roman"/>
                <w:lang w:val="en-US" w:eastAsia="zh-CN"/>
              </w:rPr>
            </w:pPr>
            <w:r>
              <w:rPr>
                <w:lang w:val="en-US" w:eastAsia="zh-CN"/>
              </w:rPr>
              <w:t>Data R&amp;D Programs</w:t>
            </w:r>
          </w:p>
        </w:tc>
        <w:tc>
          <w:tcPr>
            <w:tcW w:w="6804" w:type="dxa"/>
            <w:tcBorders>
              <w:top w:val="single" w:sz="4" w:space="0" w:color="auto"/>
              <w:left w:val="single" w:sz="4" w:space="0" w:color="auto"/>
              <w:bottom w:val="single" w:sz="4" w:space="0" w:color="auto"/>
              <w:right w:val="single" w:sz="4" w:space="0" w:color="auto"/>
            </w:tcBorders>
            <w:hideMark/>
          </w:tcPr>
          <w:p w14:paraId="30414E22" w14:textId="77777777" w:rsidR="008B13CD" w:rsidRDefault="008B13CD" w:rsidP="0044453C">
            <w:pPr>
              <w:pStyle w:val="Normal1"/>
              <w:rPr>
                <w:rFonts w:eastAsia="Times New Roman"/>
                <w:lang w:val="en-US" w:eastAsia="zh-CN"/>
              </w:rPr>
            </w:pPr>
            <w:r>
              <w:rPr>
                <w:lang w:val="en-US" w:eastAsia="zh-CN"/>
              </w:rPr>
              <w:t>Include all Research and Development programs undertaken by government, private sector and academia related to data, various DPM capabilities and requirements for it.</w:t>
            </w:r>
          </w:p>
        </w:tc>
      </w:tr>
      <w:tr w:rsidR="008B13CD" w:rsidRPr="00227F2A" w14:paraId="089AA956"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67166953" w14:textId="77777777" w:rsidR="008B13CD" w:rsidRDefault="008B13CD" w:rsidP="0044453C">
            <w:pPr>
              <w:pStyle w:val="Normal1"/>
              <w:rPr>
                <w:rFonts w:eastAsia="Times New Roman"/>
                <w:lang w:val="en-US" w:eastAsia="zh-CN"/>
              </w:rPr>
            </w:pPr>
            <w:r>
              <w:rPr>
                <w:lang w:val="en-US" w:eastAsia="zh-CN"/>
              </w:rPr>
              <w:t>Data Entrepreneurship</w:t>
            </w:r>
          </w:p>
        </w:tc>
        <w:tc>
          <w:tcPr>
            <w:tcW w:w="6804" w:type="dxa"/>
            <w:tcBorders>
              <w:top w:val="single" w:sz="4" w:space="0" w:color="auto"/>
              <w:left w:val="single" w:sz="4" w:space="0" w:color="auto"/>
              <w:bottom w:val="single" w:sz="4" w:space="0" w:color="auto"/>
              <w:right w:val="single" w:sz="4" w:space="0" w:color="auto"/>
            </w:tcBorders>
            <w:hideMark/>
          </w:tcPr>
          <w:p w14:paraId="61D37775" w14:textId="77777777" w:rsidR="008B13CD" w:rsidRDefault="008B13CD" w:rsidP="0044453C">
            <w:pPr>
              <w:pStyle w:val="Normal1"/>
              <w:rPr>
                <w:rFonts w:eastAsia="Times New Roman"/>
                <w:lang w:val="en-US" w:eastAsia="zh-CN"/>
              </w:rPr>
            </w:pPr>
            <w:r>
              <w:rPr>
                <w:lang w:val="en-US" w:eastAsia="zh-CN"/>
              </w:rPr>
              <w:t xml:space="preserve">Includes all activities and support schemes </w:t>
            </w:r>
            <w:r>
              <w:rPr>
                <w:lang w:eastAsia="zh-CN"/>
              </w:rPr>
              <w:t>to create a business environment that fosters DPM start-ups and expansion of new firms</w:t>
            </w:r>
            <w:r>
              <w:rPr>
                <w:lang w:val="en-US" w:eastAsia="zh-CN"/>
              </w:rPr>
              <w:t xml:space="preserve">. </w:t>
            </w:r>
          </w:p>
        </w:tc>
      </w:tr>
      <w:tr w:rsidR="008B13CD" w:rsidRPr="00227F2A" w14:paraId="2B592EC3"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305EF5F3" w14:textId="77777777" w:rsidR="008B13CD" w:rsidRDefault="008B13CD" w:rsidP="0044453C">
            <w:pPr>
              <w:pStyle w:val="Normal1"/>
              <w:rPr>
                <w:rFonts w:eastAsia="Times New Roman"/>
                <w:lang w:val="en-US" w:eastAsia="zh-CN"/>
              </w:rPr>
            </w:pPr>
            <w:r>
              <w:rPr>
                <w:lang w:val="en-US" w:eastAsia="zh-CN"/>
              </w:rPr>
              <w:t>Data Economy Financial Incentives</w:t>
            </w:r>
          </w:p>
        </w:tc>
        <w:tc>
          <w:tcPr>
            <w:tcW w:w="6804" w:type="dxa"/>
            <w:tcBorders>
              <w:top w:val="single" w:sz="4" w:space="0" w:color="auto"/>
              <w:left w:val="single" w:sz="4" w:space="0" w:color="auto"/>
              <w:bottom w:val="single" w:sz="4" w:space="0" w:color="auto"/>
              <w:right w:val="single" w:sz="4" w:space="0" w:color="auto"/>
            </w:tcBorders>
            <w:hideMark/>
          </w:tcPr>
          <w:p w14:paraId="460E3D79" w14:textId="77777777" w:rsidR="008B13CD" w:rsidRDefault="008B13CD" w:rsidP="0044453C">
            <w:pPr>
              <w:pStyle w:val="Normal1"/>
              <w:rPr>
                <w:rFonts w:eastAsia="Times New Roman"/>
                <w:lang w:val="en-US" w:eastAsia="zh-CN"/>
              </w:rPr>
            </w:pPr>
            <w:r>
              <w:rPr>
                <w:lang w:val="en-US" w:eastAsia="zh-CN"/>
              </w:rPr>
              <w:t xml:space="preserve">Refers to </w:t>
            </w:r>
            <w:r>
              <w:rPr>
                <w:lang w:eastAsia="zh-CN"/>
              </w:rPr>
              <w:t>monetary benefits to motivate or encourage data economy related activities</w:t>
            </w:r>
            <w:r>
              <w:rPr>
                <w:lang w:val="en-US" w:eastAsia="zh-CN"/>
              </w:rPr>
              <w:t>.</w:t>
            </w:r>
          </w:p>
        </w:tc>
      </w:tr>
      <w:tr w:rsidR="008B13CD" w:rsidRPr="00227F2A" w14:paraId="72F95151" w14:textId="77777777" w:rsidTr="0044453C">
        <w:tc>
          <w:tcPr>
            <w:tcW w:w="3085" w:type="dxa"/>
            <w:tcBorders>
              <w:top w:val="single" w:sz="4" w:space="0" w:color="auto"/>
              <w:left w:val="single" w:sz="4" w:space="0" w:color="auto"/>
              <w:bottom w:val="single" w:sz="4" w:space="0" w:color="auto"/>
              <w:right w:val="single" w:sz="4" w:space="0" w:color="auto"/>
            </w:tcBorders>
            <w:hideMark/>
          </w:tcPr>
          <w:p w14:paraId="1763C695" w14:textId="77777777" w:rsidR="008B13CD" w:rsidRDefault="008B13CD" w:rsidP="0044453C">
            <w:pPr>
              <w:pStyle w:val="Normal1"/>
              <w:rPr>
                <w:rFonts w:eastAsia="Times New Roman"/>
                <w:lang w:val="en-US" w:eastAsia="zh-CN"/>
              </w:rPr>
            </w:pPr>
            <w:r>
              <w:rPr>
                <w:lang w:val="en-US" w:eastAsia="zh-CN"/>
              </w:rPr>
              <w:t>Data Platforms</w:t>
            </w:r>
          </w:p>
        </w:tc>
        <w:tc>
          <w:tcPr>
            <w:tcW w:w="6804" w:type="dxa"/>
            <w:tcBorders>
              <w:top w:val="single" w:sz="4" w:space="0" w:color="auto"/>
              <w:left w:val="single" w:sz="4" w:space="0" w:color="auto"/>
              <w:bottom w:val="single" w:sz="4" w:space="0" w:color="auto"/>
              <w:right w:val="single" w:sz="4" w:space="0" w:color="auto"/>
            </w:tcBorders>
            <w:hideMark/>
          </w:tcPr>
          <w:p w14:paraId="69C61080" w14:textId="77777777" w:rsidR="008B13CD" w:rsidRDefault="008B13CD" w:rsidP="0044453C">
            <w:pPr>
              <w:pStyle w:val="Normal1"/>
              <w:rPr>
                <w:sz w:val="20"/>
                <w:szCs w:val="20"/>
                <w:lang w:eastAsia="zh-CN"/>
              </w:rPr>
            </w:pPr>
            <w:r>
              <w:rPr>
                <w:lang w:val="en-US" w:eastAsia="zh-CN"/>
              </w:rPr>
              <w:t xml:space="preserve">Refers to readily available </w:t>
            </w:r>
            <w:r>
              <w:rPr>
                <w:lang w:eastAsia="zh-CN"/>
              </w:rPr>
              <w:t xml:space="preserve">centralized systems for, among others, collecting, aggregating, analysing and processing large sets of data. </w:t>
            </w:r>
          </w:p>
          <w:p w14:paraId="6E73FE8D" w14:textId="77777777" w:rsidR="008B13CD" w:rsidRDefault="008B13CD" w:rsidP="0044453C">
            <w:pPr>
              <w:pStyle w:val="Normal1"/>
              <w:rPr>
                <w:rFonts w:eastAsia="Times New Roman"/>
                <w:lang w:val="en-US" w:eastAsia="zh-CN"/>
              </w:rPr>
            </w:pPr>
            <w:r>
              <w:rPr>
                <w:lang w:eastAsia="zh-CN"/>
              </w:rPr>
              <w:t>Note: Data platforms provide connectivity and DPM capabilities by architecting and implementing DPM related ICT infrastructure, solutions and services</w:t>
            </w:r>
            <w:r>
              <w:rPr>
                <w:lang w:val="en-US" w:eastAsia="zh-CN"/>
              </w:rPr>
              <w:t>.</w:t>
            </w:r>
          </w:p>
        </w:tc>
      </w:tr>
    </w:tbl>
    <w:p w14:paraId="61B1986B" w14:textId="77777777" w:rsidR="008B13CD" w:rsidRDefault="008B13CD" w:rsidP="008B13CD">
      <w:pPr>
        <w:jc w:val="center"/>
      </w:pPr>
      <w:r w:rsidRPr="00DC2E3C">
        <w:rPr>
          <w:rFonts w:eastAsia="Batang"/>
          <w:b/>
        </w:rPr>
        <w:lastRenderedPageBreak/>
        <w:t xml:space="preserve">Table 5: </w:t>
      </w:r>
      <w:r w:rsidRPr="00806B30">
        <w:rPr>
          <w:b/>
          <w:lang w:val="en-US" w:eastAsia="zh-CN"/>
        </w:rPr>
        <w:t>Data Ecosystem</w:t>
      </w:r>
      <w:r>
        <w:rPr>
          <w:b/>
          <w:lang w:val="en-US" w:eastAsia="zh-CN"/>
        </w:rPr>
        <w:t xml:space="preserve"> capabilities.</w:t>
      </w:r>
    </w:p>
    <w:p w14:paraId="753134C8" w14:textId="278F7D47" w:rsidR="008B13CD" w:rsidRPr="00515B32" w:rsidRDefault="00855FF5" w:rsidP="008B13CD">
      <w:pPr>
        <w:pStyle w:val="Heading2"/>
        <w:tabs>
          <w:tab w:val="clear" w:pos="794"/>
          <w:tab w:val="clear" w:pos="1191"/>
          <w:tab w:val="clear" w:pos="1588"/>
          <w:tab w:val="clear" w:pos="1985"/>
        </w:tabs>
        <w:jc w:val="left"/>
        <w:rPr>
          <w:rFonts w:eastAsia="Batang"/>
        </w:rPr>
      </w:pPr>
      <w:bookmarkStart w:id="122" w:name="_Toc13114379"/>
      <w:bookmarkStart w:id="123" w:name="_Toc18321965"/>
      <w:r>
        <w:rPr>
          <w:rFonts w:eastAsia="Batang"/>
        </w:rPr>
        <w:t>7</w:t>
      </w:r>
      <w:r w:rsidR="008B13CD" w:rsidRPr="00515B32">
        <w:rPr>
          <w:rFonts w:eastAsia="Batang"/>
        </w:rPr>
        <w:t>.6 Governance</w:t>
      </w:r>
      <w:bookmarkEnd w:id="122"/>
      <w:r w:rsidR="008B13CD" w:rsidRPr="00515B32">
        <w:rPr>
          <w:rFonts w:eastAsia="Batang"/>
        </w:rPr>
        <w:t xml:space="preserve"> Dimension</w:t>
      </w:r>
      <w:bookmarkEnd w:id="123"/>
    </w:p>
    <w:p w14:paraId="7BC2DCC8" w14:textId="77777777" w:rsidR="008B13CD" w:rsidRDefault="008B13CD" w:rsidP="008B13CD">
      <w:pPr>
        <w:rPr>
          <w:rFonts w:asciiTheme="majorBidi" w:hAnsiTheme="majorBidi" w:cstheme="majorBidi"/>
        </w:rPr>
      </w:pPr>
      <w:r>
        <w:rPr>
          <w:rFonts w:asciiTheme="majorBidi" w:hAnsiTheme="majorBidi" w:cstheme="majorBidi"/>
        </w:rPr>
        <w:t>This dimension establishes a method for the construction of a governance framework for DPM. It takes consideration of both formal and informal drivers and influencers of governance framework. It also takes consideration of the need for governance framework to accommodate a wide range of activity that occurs from the conceptual through to detailed operations.  As recommended in [</w:t>
      </w:r>
      <w:r w:rsidRPr="00806B30">
        <w:rPr>
          <w:bCs/>
          <w:lang w:eastAsia="zh-CN"/>
        </w:rPr>
        <w:t>b-FG-DPM TS</w:t>
      </w:r>
      <w:r>
        <w:rPr>
          <w:rFonts w:asciiTheme="majorBidi" w:hAnsiTheme="majorBidi" w:cstheme="majorBidi"/>
        </w:rPr>
        <w:t xml:space="preserve"> 4.1] the goals for governance include, but are not limited to, the following:</w:t>
      </w:r>
    </w:p>
    <w:p w14:paraId="7D9CD5DF" w14:textId="77777777" w:rsidR="008B13CD" w:rsidRDefault="008B13CD" w:rsidP="008B13CD">
      <w:pPr>
        <w:pStyle w:val="bullet1"/>
      </w:pPr>
      <w:r>
        <w:t xml:space="preserve">Create a </w:t>
      </w:r>
      <w:r>
        <w:rPr>
          <w:lang w:val="en-US"/>
        </w:rPr>
        <w:t>data</w:t>
      </w:r>
      <w:r>
        <w:t>-</w:t>
      </w:r>
      <w:r>
        <w:rPr>
          <w:lang w:val="en-US"/>
        </w:rPr>
        <w:t>driven</w:t>
      </w:r>
      <w:r>
        <w:t xml:space="preserve"> and</w:t>
      </w:r>
      <w:r>
        <w:rPr>
          <w:lang w:val="en-US"/>
        </w:rPr>
        <w:t xml:space="preserve"> evidence-based </w:t>
      </w:r>
      <w:r>
        <w:t>informed culture.</w:t>
      </w:r>
    </w:p>
    <w:p w14:paraId="04C5B78A" w14:textId="77777777" w:rsidR="008B13CD" w:rsidRDefault="008B13CD" w:rsidP="008B13CD">
      <w:pPr>
        <w:pStyle w:val="bullet1"/>
      </w:pPr>
      <w:r>
        <w:t>Promote appropriate regulation to enable, and not unreasonably contrained, the development of the sector.</w:t>
      </w:r>
    </w:p>
    <w:p w14:paraId="301ECF6C" w14:textId="77777777" w:rsidR="008B13CD" w:rsidRDefault="008B13CD" w:rsidP="008B13CD">
      <w:pPr>
        <w:pStyle w:val="bullet1"/>
      </w:pPr>
      <w:r>
        <w:t>Promote equity, inclusion and transparency in the data economy including optimum access to rights of use and ownership.</w:t>
      </w:r>
    </w:p>
    <w:p w14:paraId="2908351B" w14:textId="77777777" w:rsidR="008B13CD" w:rsidRDefault="008B13CD" w:rsidP="008B13CD">
      <w:pPr>
        <w:pStyle w:val="bullet1"/>
      </w:pPr>
      <w:r>
        <w:rPr>
          <w:lang w:val="en-US"/>
        </w:rPr>
        <w:t>Provide a transparent and equitable system of DPM ethics</w:t>
      </w:r>
    </w:p>
    <w:p w14:paraId="3AEA229A" w14:textId="77777777" w:rsidR="008B13CD" w:rsidRDefault="008B13CD" w:rsidP="008B13CD">
      <w:pPr>
        <w:pStyle w:val="bullet1"/>
      </w:pPr>
      <w:r>
        <w:t>Continue and strengthen the data governance programme by adopting a collaborative innovation community capacity building ideas.</w:t>
      </w:r>
    </w:p>
    <w:p w14:paraId="433E46F6" w14:textId="77777777" w:rsidR="008B13CD" w:rsidRDefault="008B13CD" w:rsidP="008B13CD">
      <w:pPr>
        <w:pStyle w:val="bullet1"/>
      </w:pPr>
      <w:r>
        <w:t xml:space="preserve">Provide </w:t>
      </w:r>
      <w:r>
        <w:rPr>
          <w:lang w:val="en-US"/>
        </w:rPr>
        <w:t xml:space="preserve">effective ways of enabling appropriate data privacy and </w:t>
      </w:r>
      <w:r>
        <w:t>security</w:t>
      </w:r>
      <w:r>
        <w:rPr>
          <w:lang w:val="en-US"/>
        </w:rPr>
        <w:t xml:space="preserve"> protection.</w:t>
      </w:r>
    </w:p>
    <w:p w14:paraId="47351D1D" w14:textId="77777777" w:rsidR="008B13CD" w:rsidRDefault="008B13CD" w:rsidP="008B13CD">
      <w:pPr>
        <w:pStyle w:val="bullet1"/>
      </w:pPr>
      <w:r>
        <w:t>Adopt suitable and effective data management tools.</w:t>
      </w:r>
    </w:p>
    <w:p w14:paraId="5BAAC1E4" w14:textId="77777777" w:rsidR="008B13CD" w:rsidRDefault="008B13CD" w:rsidP="008B13CD">
      <w:pPr>
        <w:pStyle w:val="bullet1"/>
      </w:pPr>
      <w:r w:rsidRPr="00DC2E3C">
        <w:t>Define the roles and responsabilities related to DPM and data analytics to improve evidence</w:t>
      </w:r>
      <w:r>
        <w:t xml:space="preserve"> based decision making. </w:t>
      </w:r>
    </w:p>
    <w:p w14:paraId="40DD384C" w14:textId="77777777" w:rsidR="008B13CD" w:rsidRPr="00DC2E3C" w:rsidRDefault="008B13CD" w:rsidP="008B13CD">
      <w:r w:rsidRPr="00DC2E3C">
        <w:t xml:space="preserve">The framework described in figure </w:t>
      </w:r>
      <w:r>
        <w:t>4</w:t>
      </w:r>
      <w:r w:rsidRPr="00DC2E3C">
        <w:t xml:space="preserve"> may be seen as a sequential process, albeit one that is expected to have feedback loops:</w:t>
      </w:r>
    </w:p>
    <w:p w14:paraId="01C587BE" w14:textId="77777777" w:rsidR="008B13CD" w:rsidRPr="00DC2E3C" w:rsidRDefault="008B13CD" w:rsidP="008B13CD">
      <w:pPr>
        <w:pStyle w:val="ListParagraph"/>
        <w:numPr>
          <w:ilvl w:val="0"/>
          <w:numId w:val="50"/>
        </w:numPr>
        <w:spacing w:after="0" w:line="240" w:lineRule="auto"/>
        <w:rPr>
          <w:rFonts w:ascii="Times New Roman" w:hAnsi="Times New Roman" w:cs="Times New Roman"/>
          <w:sz w:val="24"/>
          <w:szCs w:val="24"/>
        </w:rPr>
      </w:pPr>
      <w:r w:rsidRPr="00DC2E3C">
        <w:rPr>
          <w:rFonts w:ascii="Times New Roman" w:hAnsi="Times New Roman" w:cs="Times New Roman"/>
          <w:sz w:val="24"/>
          <w:szCs w:val="24"/>
        </w:rPr>
        <w:t>The first step, “Strategic decision making and oversight” relates to the definition of a strategic vision.</w:t>
      </w:r>
    </w:p>
    <w:p w14:paraId="11F5261E" w14:textId="77777777" w:rsidR="008B13CD" w:rsidRPr="00DC2E3C" w:rsidRDefault="008B13CD" w:rsidP="008B13CD">
      <w:pPr>
        <w:pStyle w:val="ListParagraph"/>
        <w:numPr>
          <w:ilvl w:val="0"/>
          <w:numId w:val="50"/>
        </w:numPr>
        <w:spacing w:after="0" w:line="240" w:lineRule="auto"/>
        <w:rPr>
          <w:rFonts w:ascii="Times New Roman" w:hAnsi="Times New Roman" w:cs="Times New Roman"/>
          <w:sz w:val="24"/>
          <w:szCs w:val="24"/>
        </w:rPr>
      </w:pPr>
      <w:r w:rsidRPr="00DC2E3C">
        <w:rPr>
          <w:rFonts w:ascii="Times New Roman" w:hAnsi="Times New Roman" w:cs="Times New Roman"/>
          <w:sz w:val="24"/>
          <w:szCs w:val="24"/>
        </w:rPr>
        <w:t>The second step, “Principles, safeguards and standards”, relates to the definition of a roadmap and of the tools allowing to reach the strategic goals defined in step 1, as in term of operational data governance (“application layer”) that enables efficiency of the data processes, than in term of strategic data governance (“ecosystem layer”) that fosters innovation and economic development through the setting of rules and the diffusion of good practices, while favoring social development, ethic and systemic resilience (graph 2).</w:t>
      </w:r>
    </w:p>
    <w:p w14:paraId="04C4192F" w14:textId="77777777" w:rsidR="008B13CD" w:rsidRPr="00DC2E3C" w:rsidRDefault="008B13CD" w:rsidP="008B13CD">
      <w:pPr>
        <w:pStyle w:val="ListParagraph"/>
        <w:numPr>
          <w:ilvl w:val="0"/>
          <w:numId w:val="50"/>
        </w:numPr>
        <w:spacing w:after="0" w:line="240" w:lineRule="auto"/>
        <w:rPr>
          <w:rFonts w:ascii="Times New Roman" w:hAnsi="Times New Roman" w:cs="Times New Roman"/>
          <w:sz w:val="24"/>
          <w:szCs w:val="24"/>
        </w:rPr>
      </w:pPr>
      <w:r w:rsidRPr="00DC2E3C">
        <w:rPr>
          <w:rFonts w:ascii="Times New Roman" w:hAnsi="Times New Roman" w:cs="Times New Roman"/>
          <w:sz w:val="24"/>
          <w:szCs w:val="24"/>
        </w:rPr>
        <w:t>The third step, “Management”, relates to the operational framework that needs to be deployed to implement the strategic vision, given the principles, safeguards and standards defined by the Ecosystem.</w:t>
      </w:r>
    </w:p>
    <w:p w14:paraId="7206C0BD" w14:textId="77777777" w:rsidR="008B13CD" w:rsidRDefault="008B13CD" w:rsidP="008B13CD">
      <w:pPr>
        <w:jc w:val="center"/>
      </w:pPr>
      <w:r>
        <w:rPr>
          <w:b/>
          <w:noProof/>
          <w:lang w:eastAsia="en-GB"/>
        </w:rPr>
        <w:drawing>
          <wp:inline distT="0" distB="0" distL="0" distR="0" wp14:anchorId="2D76686B" wp14:editId="32908AB8">
            <wp:extent cx="4474519" cy="2234185"/>
            <wp:effectExtent l="19050" t="19050" r="21590" b="139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4466222" cy="2230042"/>
                    </a:xfrm>
                    <a:prstGeom prst="rect">
                      <a:avLst/>
                    </a:prstGeom>
                    <a:noFill/>
                    <a:ln>
                      <a:solidFill>
                        <a:schemeClr val="tx1"/>
                      </a:solidFill>
                    </a:ln>
                  </pic:spPr>
                </pic:pic>
              </a:graphicData>
            </a:graphic>
          </wp:inline>
        </w:drawing>
      </w:r>
    </w:p>
    <w:p w14:paraId="081D1A5C" w14:textId="77777777" w:rsidR="008B13CD" w:rsidRPr="00DC2E3C" w:rsidRDefault="008B13CD" w:rsidP="008B13CD">
      <w:pPr>
        <w:jc w:val="center"/>
        <w:rPr>
          <w:b/>
        </w:rPr>
      </w:pPr>
      <w:r w:rsidRPr="00DC2E3C">
        <w:rPr>
          <w:b/>
        </w:rPr>
        <w:t>Figure 4 – Governance framework for DPM in SC&amp;C</w:t>
      </w:r>
    </w:p>
    <w:p w14:paraId="5F88ED19" w14:textId="77777777" w:rsidR="008B13CD" w:rsidRDefault="008B13CD" w:rsidP="008B13CD">
      <w:r>
        <w:lastRenderedPageBreak/>
        <w:t>[</w:t>
      </w:r>
      <w:r w:rsidRPr="00806B30">
        <w:rPr>
          <w:bCs/>
          <w:lang w:eastAsia="zh-CN"/>
        </w:rPr>
        <w:t>b-FG-DPM TS</w:t>
      </w:r>
      <w:r>
        <w:t xml:space="preserve"> 4-1] introduces the Jurisdictional framework for the governance of DPM in IoT and SC&amp;C depicted in </w:t>
      </w:r>
      <w:r w:rsidRPr="00DC2E3C">
        <w:t xml:space="preserve">Figure </w:t>
      </w:r>
      <w:r>
        <w:t xml:space="preserve">5, the  sources of the drivers and influencers of governance framework, that need to be accommodated for this framework to be both legitimate and locally relevant. </w:t>
      </w:r>
    </w:p>
    <w:p w14:paraId="22FCC255" w14:textId="77777777" w:rsidR="008B13CD" w:rsidRDefault="008B13CD" w:rsidP="008B13CD">
      <w:pPr>
        <w:jc w:val="center"/>
      </w:pPr>
      <w:r>
        <w:rPr>
          <w:noProof/>
          <w:lang w:eastAsia="en-GB"/>
        </w:rPr>
        <w:drawing>
          <wp:inline distT="0" distB="0" distL="0" distR="0" wp14:anchorId="6E267102" wp14:editId="53CA5475">
            <wp:extent cx="4182561" cy="2445487"/>
            <wp:effectExtent l="19050" t="19050" r="27940" b="1206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PM Governance Jurisdictional.png"/>
                    <pic:cNvPicPr/>
                  </pic:nvPicPr>
                  <pic:blipFill>
                    <a:blip r:embed="rId21">
                      <a:extLst>
                        <a:ext uri="{28A0092B-C50C-407E-A947-70E740481C1C}">
                          <a14:useLocalDpi xmlns:a14="http://schemas.microsoft.com/office/drawing/2010/main" val="0"/>
                        </a:ext>
                      </a:extLst>
                    </a:blip>
                    <a:stretch>
                      <a:fillRect/>
                    </a:stretch>
                  </pic:blipFill>
                  <pic:spPr>
                    <a:xfrm>
                      <a:off x="0" y="0"/>
                      <a:ext cx="4182561" cy="2445487"/>
                    </a:xfrm>
                    <a:prstGeom prst="rect">
                      <a:avLst/>
                    </a:prstGeom>
                    <a:ln>
                      <a:solidFill>
                        <a:schemeClr val="tx1"/>
                      </a:solidFill>
                    </a:ln>
                  </pic:spPr>
                </pic:pic>
              </a:graphicData>
            </a:graphic>
          </wp:inline>
        </w:drawing>
      </w:r>
    </w:p>
    <w:p w14:paraId="55B80015" w14:textId="77777777" w:rsidR="008B13CD" w:rsidRPr="00DC2E3C" w:rsidRDefault="008B13CD" w:rsidP="008B13CD">
      <w:pPr>
        <w:jc w:val="center"/>
        <w:rPr>
          <w:b/>
        </w:rPr>
      </w:pPr>
      <w:r w:rsidRPr="00DC2E3C">
        <w:rPr>
          <w:b/>
        </w:rPr>
        <w:t>Figure 5. Jurisdictional framework for the governance of DPM in IoT and SC&amp;C</w:t>
      </w:r>
    </w:p>
    <w:p w14:paraId="0EE8113B" w14:textId="43B0EA2D" w:rsidR="008B13CD" w:rsidRPr="000A212C" w:rsidRDefault="00855FF5" w:rsidP="00C903A6">
      <w:pPr>
        <w:pStyle w:val="Heading1"/>
      </w:pPr>
      <w:bookmarkStart w:id="124" w:name="_Toc13114381"/>
      <w:bookmarkStart w:id="125" w:name="_Toc18321966"/>
      <w:r>
        <w:t>8</w:t>
      </w:r>
      <w:r w:rsidR="00423B7C">
        <w:tab/>
      </w:r>
      <w:r w:rsidR="008B13CD" w:rsidRPr="000A212C">
        <w:t>Common considerations</w:t>
      </w:r>
      <w:bookmarkEnd w:id="124"/>
      <w:r w:rsidR="008B13CD" w:rsidRPr="000A212C">
        <w:t xml:space="preserve"> for dimensions</w:t>
      </w:r>
      <w:bookmarkEnd w:id="125"/>
    </w:p>
    <w:p w14:paraId="77E9B19D" w14:textId="6A17162B" w:rsidR="008B13CD" w:rsidRPr="00515B32" w:rsidRDefault="00855FF5" w:rsidP="008B13CD">
      <w:pPr>
        <w:pStyle w:val="Heading2"/>
        <w:tabs>
          <w:tab w:val="clear" w:pos="794"/>
          <w:tab w:val="clear" w:pos="1191"/>
          <w:tab w:val="clear" w:pos="1588"/>
          <w:tab w:val="clear" w:pos="1985"/>
        </w:tabs>
        <w:jc w:val="left"/>
        <w:rPr>
          <w:rFonts w:eastAsia="Batang"/>
        </w:rPr>
      </w:pPr>
      <w:bookmarkStart w:id="126" w:name="_Toc18321967"/>
      <w:bookmarkStart w:id="127" w:name="_Toc13114347"/>
      <w:r>
        <w:rPr>
          <w:rFonts w:eastAsia="Batang"/>
        </w:rPr>
        <w:t>8</w:t>
      </w:r>
      <w:r w:rsidR="008B13CD" w:rsidRPr="00515B32">
        <w:rPr>
          <w:rFonts w:eastAsia="Batang"/>
        </w:rPr>
        <w:t>.1 Interoperability</w:t>
      </w:r>
      <w:bookmarkEnd w:id="126"/>
    </w:p>
    <w:p w14:paraId="5B4FC22E" w14:textId="77777777" w:rsidR="008B13CD" w:rsidRDefault="008B13CD" w:rsidP="008B13CD">
      <w:r>
        <w:t xml:space="preserve">The FG-DPM has taken a holistic, ecosystem-based approach to understanding data processing and management to support IoT and smart cities &amp; communities. In the context of the DPM Framework, </w:t>
      </w:r>
      <w:r w:rsidRPr="007303AE">
        <w:t>ecosystem refers to a data ecosystem, which is comprised of the technical and non-technical factors and mechanisms directly or indirectly impact</w:t>
      </w:r>
      <w:r>
        <w:t>ing</w:t>
      </w:r>
      <w:r w:rsidRPr="007303AE">
        <w:t xml:space="preserve"> DPM activities in an ecosystem, based on various degrees of interoperability</w:t>
      </w:r>
      <w:r>
        <w:t>. Factors and mechanisms include, but are not limited to,</w:t>
      </w:r>
      <w:r w:rsidRPr="007303AE">
        <w:t xml:space="preserve"> data laws, regulations and policies, data standards, data skills, data research and development programs, data entrepreneurship, data economy</w:t>
      </w:r>
      <w:r>
        <w:t>,</w:t>
      </w:r>
      <w:r w:rsidRPr="007303AE">
        <w:t xml:space="preserve"> financial incentives</w:t>
      </w:r>
      <w:r>
        <w:t xml:space="preserve"> and</w:t>
      </w:r>
      <w:r w:rsidRPr="007303AE">
        <w:t xml:space="preserve"> data platforms.</w:t>
      </w:r>
      <w:r w:rsidRPr="00636A10">
        <w:t xml:space="preserve"> </w:t>
      </w:r>
    </w:p>
    <w:p w14:paraId="1DD93927" w14:textId="77777777" w:rsidR="008B13CD" w:rsidRDefault="008B13CD" w:rsidP="008B13CD">
      <w:r>
        <w:t>Therefore, while interoperability is a core concept for the entire field of DPM, it is important to recognise different types and degrees of interoperability.</w:t>
      </w:r>
    </w:p>
    <w:p w14:paraId="317249DC" w14:textId="77777777" w:rsidR="008B13CD" w:rsidRPr="00DC2E3C" w:rsidRDefault="008B13CD" w:rsidP="008B13CD">
      <w:pPr>
        <w:rPr>
          <w:i/>
        </w:rPr>
      </w:pPr>
      <w:r w:rsidRPr="00DC2E3C">
        <w:rPr>
          <w:b/>
          <w:i/>
        </w:rPr>
        <w:t>Degrees of Interoperability</w:t>
      </w:r>
    </w:p>
    <w:p w14:paraId="08885BB6" w14:textId="77777777" w:rsidR="008B13CD" w:rsidRDefault="008B13CD" w:rsidP="008B13CD">
      <w:r w:rsidRPr="00537F04">
        <w:t xml:space="preserve">In order to overcome the complexity and heterogeneity of </w:t>
      </w:r>
      <w:r>
        <w:t>IoT in smart cities and communities</w:t>
      </w:r>
      <w:r w:rsidRPr="00537F04">
        <w:t xml:space="preserve">, </w:t>
      </w:r>
      <w:r>
        <w:t xml:space="preserve">the </w:t>
      </w:r>
      <w:r w:rsidRPr="00DC2E3C">
        <w:t>DPM</w:t>
      </w:r>
      <w:r>
        <w:t xml:space="preserve"> Framework recognises the </w:t>
      </w:r>
      <w:r w:rsidRPr="00537F04">
        <w:t xml:space="preserve">principle of </w:t>
      </w:r>
      <w:r w:rsidRPr="00CD72D6">
        <w:t>minimal interoperability</w:t>
      </w:r>
      <w:r>
        <w:t>. It is an approach to establishing a set of modular mechanisms across multiple application domains and geographic territories, without having to specify everything in complete detail, and without requiring complete implementation of and compliance to the entire framework.</w:t>
      </w:r>
    </w:p>
    <w:p w14:paraId="7232FFF9" w14:textId="77777777" w:rsidR="008B13CD" w:rsidRDefault="008B13CD" w:rsidP="008B13CD">
      <w:r>
        <w:t xml:space="preserve">The DPM Framework does not directly establish such minimal interoperability mechanisms, but recognises the need for further work in this regard, preferably building on existing work, such as the </w:t>
      </w:r>
      <w:r w:rsidRPr="00DC2E3C">
        <w:rPr>
          <w:i/>
        </w:rPr>
        <w:t>OASC Minimal Interoperability</w:t>
      </w:r>
      <w:r>
        <w:t xml:space="preserve"> </w:t>
      </w:r>
      <w:r w:rsidRPr="00DC2E3C">
        <w:rPr>
          <w:i/>
        </w:rPr>
        <w:t>Mechanisms</w:t>
      </w:r>
      <w:r>
        <w:t xml:space="preserve"> (MIMs) </w:t>
      </w:r>
      <w:r w:rsidRPr="00673E23">
        <w:t>[b-OASC].</w:t>
      </w:r>
    </w:p>
    <w:p w14:paraId="2992EFC4" w14:textId="77777777" w:rsidR="008B13CD" w:rsidRDefault="008B13CD" w:rsidP="008B13CD">
      <w:r>
        <w:t>While the principle of minimal interoperability can be applied to all types of interoperability, in the case of the OASC MIMs, interoperability</w:t>
      </w:r>
      <w:r w:rsidRPr="001E5DCF">
        <w:t xml:space="preserve"> would at least include</w:t>
      </w:r>
      <w:r>
        <w:t>:</w:t>
      </w:r>
      <w:r w:rsidRPr="001E5DCF">
        <w:t xml:space="preserve"> (1) context information management (cross-domain information meta-model), (2) shared data models (domain-specific information models) and (3) ecosystem transaction management (conditions for exchange).</w:t>
      </w:r>
    </w:p>
    <w:p w14:paraId="0504F2DF" w14:textId="77777777" w:rsidR="008B13CD" w:rsidRPr="00DC2E3C" w:rsidRDefault="008B13CD" w:rsidP="008B13CD">
      <w:pPr>
        <w:rPr>
          <w:i/>
        </w:rPr>
      </w:pPr>
      <w:bookmarkStart w:id="128" w:name="OLE_LINK105"/>
      <w:bookmarkStart w:id="129" w:name="OLE_LINK106"/>
      <w:r w:rsidRPr="00DC2E3C">
        <w:rPr>
          <w:b/>
          <w:i/>
        </w:rPr>
        <w:t>Types of Interoperability</w:t>
      </w:r>
    </w:p>
    <w:bookmarkEnd w:id="128"/>
    <w:bookmarkEnd w:id="129"/>
    <w:p w14:paraId="29E5FF20" w14:textId="77777777" w:rsidR="008B13CD" w:rsidRPr="00806B30" w:rsidRDefault="008B13CD" w:rsidP="008B13CD">
      <w:r>
        <w:lastRenderedPageBreak/>
        <w:t xml:space="preserve">As shown in Figure 1 </w:t>
      </w:r>
      <w:r w:rsidRPr="00DC2E3C">
        <w:t>DPM framework,</w:t>
      </w:r>
      <w:r w:rsidRPr="00806B30">
        <w:t xml:space="preserve"> </w:t>
      </w:r>
      <w:r>
        <w:t>the interoperability applies to all the five dimensions described in this technical specification as shown in the figure bellow.</w:t>
      </w:r>
    </w:p>
    <w:p w14:paraId="7779253F" w14:textId="77777777" w:rsidR="008B13CD" w:rsidRPr="00806B30" w:rsidRDefault="008B13CD" w:rsidP="008B13CD">
      <w:pPr>
        <w:jc w:val="center"/>
      </w:pPr>
      <w:r w:rsidRPr="00806B30">
        <w:rPr>
          <w:noProof/>
          <w:lang w:eastAsia="en-GB"/>
        </w:rPr>
        <w:drawing>
          <wp:inline distT="0" distB="0" distL="0" distR="0" wp14:anchorId="1416FABA" wp14:editId="509D6C77">
            <wp:extent cx="2674329" cy="267432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Interop(1).jpg"/>
                    <pic:cNvPicPr/>
                  </pic:nvPicPr>
                  <pic:blipFill>
                    <a:blip r:embed="rId22">
                      <a:extLst>
                        <a:ext uri="{28A0092B-C50C-407E-A947-70E740481C1C}">
                          <a14:useLocalDpi xmlns:a14="http://schemas.microsoft.com/office/drawing/2010/main" val="0"/>
                        </a:ext>
                      </a:extLst>
                    </a:blip>
                    <a:stretch>
                      <a:fillRect/>
                    </a:stretch>
                  </pic:blipFill>
                  <pic:spPr>
                    <a:xfrm>
                      <a:off x="0" y="0"/>
                      <a:ext cx="2674329" cy="2674329"/>
                    </a:xfrm>
                    <a:prstGeom prst="rect">
                      <a:avLst/>
                    </a:prstGeom>
                  </pic:spPr>
                </pic:pic>
              </a:graphicData>
            </a:graphic>
          </wp:inline>
        </w:drawing>
      </w:r>
    </w:p>
    <w:p w14:paraId="7D96CBAF" w14:textId="77777777" w:rsidR="008B13CD" w:rsidRPr="00806B30" w:rsidRDefault="008B13CD" w:rsidP="008B13CD">
      <w:pPr>
        <w:jc w:val="center"/>
      </w:pPr>
      <w:r w:rsidRPr="00DC2E3C">
        <w:rPr>
          <w:b/>
        </w:rPr>
        <w:t>Figure 6: Types of interoperability in the DPM Framework</w:t>
      </w:r>
      <w:r w:rsidRPr="00806B30">
        <w:rPr>
          <w:sz w:val="16"/>
          <w:szCs w:val="16"/>
        </w:rPr>
        <w:t xml:space="preserve"> </w:t>
      </w:r>
    </w:p>
    <w:p w14:paraId="1D10E4B3" w14:textId="77777777" w:rsidR="008B13CD" w:rsidRDefault="008B13CD" w:rsidP="008B13CD">
      <w:r w:rsidRPr="00DC2E3C">
        <w:t>While Data lifecycle interoperability is concerned more by technical issues as controlling devices and communication technology heterogeneity [b-3], multi-domain data aggregation and integration standards used in case of data migration between databases or platforms, and Metadata and ontologies  that are related to the semantic interoperability of data [</w:t>
      </w:r>
      <w:r w:rsidRPr="00806B30">
        <w:rPr>
          <w:bCs/>
          <w:lang w:eastAsia="zh-CN"/>
        </w:rPr>
        <w:t xml:space="preserve">b-FG-DPM TS </w:t>
      </w:r>
      <w:r w:rsidRPr="00DC2E3C">
        <w:t xml:space="preserve">D3.3], </w:t>
      </w:r>
      <w:r>
        <w:t xml:space="preserve">The trust dimension, </w:t>
      </w:r>
      <w:r w:rsidRPr="00DC2E3C">
        <w:t xml:space="preserve">the governance dimension interoperability,  Ecosystem dimension interoperability and commercialisation dimension interoperability will be also concerned </w:t>
      </w:r>
      <w:r>
        <w:t>by other technical and</w:t>
      </w:r>
      <w:r w:rsidRPr="00DC2E3C">
        <w:t xml:space="preserve"> non-technical issues.</w:t>
      </w:r>
    </w:p>
    <w:p w14:paraId="2C225EB3" w14:textId="77777777" w:rsidR="008B13CD" w:rsidRPr="00DC2E3C" w:rsidRDefault="008B13CD" w:rsidP="008B13CD">
      <w:pPr>
        <w:rPr>
          <w:i/>
        </w:rPr>
      </w:pPr>
      <w:r w:rsidRPr="00DC2E3C">
        <w:rPr>
          <w:b/>
          <w:i/>
        </w:rPr>
        <w:t>Capabilities related to interoperability</w:t>
      </w:r>
    </w:p>
    <w:p w14:paraId="3D97D14B" w14:textId="77777777" w:rsidR="008B13CD" w:rsidRDefault="008B13CD" w:rsidP="008B13CD">
      <w:r>
        <w:t xml:space="preserve">To give an example drawn both from the work on requirements [TS D1.1] and on interoperability [b-TS D3.3], </w:t>
      </w:r>
      <w:r w:rsidRPr="00DC2E3C">
        <w:t>Annex I</w:t>
      </w:r>
      <w:r>
        <w:t xml:space="preserve"> summarises capabilities related specifically to semantic interoperability with a focus on platform interoperability.</w:t>
      </w:r>
      <w:bookmarkEnd w:id="127"/>
    </w:p>
    <w:p w14:paraId="0445030A" w14:textId="3C9BB7CB" w:rsidR="008B13CD" w:rsidRPr="00515B32" w:rsidRDefault="00855FF5" w:rsidP="008B13CD">
      <w:pPr>
        <w:pStyle w:val="Heading2"/>
        <w:tabs>
          <w:tab w:val="clear" w:pos="794"/>
          <w:tab w:val="clear" w:pos="1191"/>
          <w:tab w:val="clear" w:pos="1588"/>
          <w:tab w:val="clear" w:pos="1985"/>
        </w:tabs>
        <w:jc w:val="left"/>
        <w:rPr>
          <w:rFonts w:eastAsia="Batang"/>
        </w:rPr>
      </w:pPr>
      <w:bookmarkStart w:id="130" w:name="_Toc18321968"/>
      <w:r>
        <w:rPr>
          <w:rFonts w:eastAsia="Batang"/>
        </w:rPr>
        <w:t>8</w:t>
      </w:r>
      <w:r w:rsidR="008B13CD" w:rsidRPr="00515B32">
        <w:rPr>
          <w:rFonts w:eastAsia="Batang"/>
        </w:rPr>
        <w:t>.2 Risk Management</w:t>
      </w:r>
      <w:bookmarkEnd w:id="130"/>
    </w:p>
    <w:p w14:paraId="66925379" w14:textId="77777777" w:rsidR="008B13CD" w:rsidRPr="00BA2425" w:rsidRDefault="008B13CD" w:rsidP="008B13CD">
      <w:bookmarkStart w:id="131" w:name="_Toc4325255"/>
      <w:bookmarkStart w:id="132" w:name="_Toc13114383"/>
      <w:r w:rsidRPr="00DC2E3C">
        <w:rPr>
          <w:b/>
          <w:bCs/>
          <w:i/>
        </w:rPr>
        <w:t>Concepts and components</w:t>
      </w:r>
    </w:p>
    <w:p w14:paraId="169935AE" w14:textId="77777777" w:rsidR="008B13CD" w:rsidRPr="00BA2425" w:rsidRDefault="008B13CD" w:rsidP="008B13CD">
      <w:r w:rsidRPr="00BA2425">
        <w:t>Many unknown unknowns stem from data management and processing in IoT and SCC, with a direct impact on the ecosystems’s resilience and stability. This uncertainty generates a variety of risks that should be identified and managed through a risk management process to ensure a safe development of cities.</w:t>
      </w:r>
    </w:p>
    <w:p w14:paraId="0EAD1D32" w14:textId="77777777" w:rsidR="008B13CD" w:rsidRPr="00BA2425" w:rsidRDefault="008B13CD" w:rsidP="008B13CD">
      <w:pPr>
        <w:rPr>
          <w:color w:val="BFBFBF" w:themeColor="background1" w:themeShade="BF"/>
        </w:rPr>
      </w:pPr>
      <w:r w:rsidRPr="00BA2425">
        <w:t>To this purpose, existing standards and methodologies could be adapted to the specific needs, contexts and complexities of cities, communities and projects.</w:t>
      </w:r>
    </w:p>
    <w:p w14:paraId="2245B77F" w14:textId="77777777" w:rsidR="008B13CD" w:rsidRPr="00BA2425" w:rsidRDefault="008B13CD" w:rsidP="008B13CD">
      <w:r w:rsidRPr="00BA2425">
        <w:t>The common canvas of these standards and methodologies include the 4 following processes (definitions from ISO GUIDE 73:2009(E/F) Risk management — Vocabulary):</w:t>
      </w:r>
    </w:p>
    <w:p w14:paraId="679D3CAE" w14:textId="77777777" w:rsidR="008B13CD" w:rsidRPr="00433DBD" w:rsidRDefault="008B13CD" w:rsidP="008B13CD">
      <w:pPr>
        <w:numPr>
          <w:ilvl w:val="0"/>
          <w:numId w:val="20"/>
        </w:numPr>
        <w:tabs>
          <w:tab w:val="clear" w:pos="794"/>
          <w:tab w:val="clear" w:pos="1191"/>
          <w:tab w:val="clear" w:pos="1588"/>
          <w:tab w:val="clear" w:pos="1985"/>
        </w:tabs>
        <w:overflowPunct/>
        <w:autoSpaceDE/>
        <w:autoSpaceDN/>
        <w:adjustRightInd/>
        <w:spacing w:before="0"/>
        <w:jc w:val="left"/>
        <w:textAlignment w:val="auto"/>
      </w:pPr>
      <w:r w:rsidRPr="00433DBD">
        <w:t>Risk Identification : process of finding, recognizing and describing risks</w:t>
      </w:r>
    </w:p>
    <w:p w14:paraId="162DCC3C" w14:textId="77777777" w:rsidR="008B13CD" w:rsidRPr="00433DBD" w:rsidRDefault="008B13CD" w:rsidP="008B13CD">
      <w:pPr>
        <w:numPr>
          <w:ilvl w:val="0"/>
          <w:numId w:val="20"/>
        </w:numPr>
        <w:tabs>
          <w:tab w:val="clear" w:pos="794"/>
          <w:tab w:val="clear" w:pos="1191"/>
          <w:tab w:val="clear" w:pos="1588"/>
          <w:tab w:val="clear" w:pos="1985"/>
        </w:tabs>
        <w:overflowPunct/>
        <w:autoSpaceDE/>
        <w:autoSpaceDN/>
        <w:adjustRightInd/>
        <w:spacing w:before="0"/>
        <w:jc w:val="left"/>
        <w:textAlignment w:val="auto"/>
      </w:pPr>
      <w:r w:rsidRPr="00433DBD">
        <w:t>Risk Analysis : process to comprehend the nature of risk and to determine the level of risk</w:t>
      </w:r>
    </w:p>
    <w:p w14:paraId="7600D849" w14:textId="77777777" w:rsidR="008B13CD" w:rsidRPr="00433DBD" w:rsidRDefault="008B13CD" w:rsidP="008B13CD">
      <w:pPr>
        <w:numPr>
          <w:ilvl w:val="0"/>
          <w:numId w:val="20"/>
        </w:numPr>
        <w:tabs>
          <w:tab w:val="clear" w:pos="794"/>
          <w:tab w:val="clear" w:pos="1191"/>
          <w:tab w:val="clear" w:pos="1588"/>
          <w:tab w:val="clear" w:pos="1985"/>
        </w:tabs>
        <w:overflowPunct/>
        <w:autoSpaceDE/>
        <w:autoSpaceDN/>
        <w:adjustRightInd/>
        <w:spacing w:before="0"/>
        <w:jc w:val="left"/>
        <w:textAlignment w:val="auto"/>
      </w:pPr>
      <w:r w:rsidRPr="00433DBD">
        <w:t>Risk evaluation : process of comparing the results of risk analysis with risk criteria to determine whether the risk and/or its magnitude is acceptable or tolerable</w:t>
      </w:r>
    </w:p>
    <w:p w14:paraId="19765518" w14:textId="77777777" w:rsidR="008B13CD" w:rsidRPr="00BA2425" w:rsidRDefault="008B13CD" w:rsidP="008B13CD">
      <w:pPr>
        <w:numPr>
          <w:ilvl w:val="0"/>
          <w:numId w:val="20"/>
        </w:numPr>
        <w:tabs>
          <w:tab w:val="clear" w:pos="794"/>
          <w:tab w:val="clear" w:pos="1191"/>
          <w:tab w:val="clear" w:pos="1588"/>
          <w:tab w:val="clear" w:pos="1985"/>
        </w:tabs>
        <w:overflowPunct/>
        <w:autoSpaceDE/>
        <w:autoSpaceDN/>
        <w:adjustRightInd/>
        <w:spacing w:before="0"/>
        <w:jc w:val="left"/>
        <w:textAlignment w:val="auto"/>
      </w:pPr>
      <w:r w:rsidRPr="00433DBD">
        <w:t>Risk treatment : process to modify risk</w:t>
      </w:r>
    </w:p>
    <w:p w14:paraId="6BAB34D6" w14:textId="77777777" w:rsidR="008B13CD" w:rsidRDefault="008B13CD" w:rsidP="008B13CD">
      <w:r w:rsidRPr="00BA2425">
        <w:lastRenderedPageBreak/>
        <w:t xml:space="preserve">Moreover, </w:t>
      </w:r>
      <w:r w:rsidRPr="00DC2E3C">
        <w:t>as described in [</w:t>
      </w:r>
      <w:r w:rsidRPr="00806B30">
        <w:rPr>
          <w:bCs/>
          <w:lang w:eastAsia="zh-CN"/>
        </w:rPr>
        <w:t xml:space="preserve">b-FG-DPM TS </w:t>
      </w:r>
      <w:r w:rsidRPr="00DC2E3C">
        <w:t>D4.1],</w:t>
      </w:r>
      <w:r w:rsidRPr="00BA2425">
        <w:t xml:space="preserve"> a new paradigm calls for faster implementation of a dynamic and global risk management approach, able to quickly anticipate risks, cyber risks and threats through an ongoing process.</w:t>
      </w:r>
    </w:p>
    <w:p w14:paraId="2216DBA6" w14:textId="77777777" w:rsidR="008B13CD" w:rsidRDefault="008B13CD" w:rsidP="008B13CD">
      <w:r w:rsidRPr="00E53985">
        <w:t>To perform an efficient management of the risks, capabilities are required at a “micro”</w:t>
      </w:r>
      <w:r>
        <w:t xml:space="preserve"> and at a “macro” level.</w:t>
      </w:r>
    </w:p>
    <w:p w14:paraId="61F523FA" w14:textId="77777777" w:rsidR="008B13CD" w:rsidRPr="00E53985" w:rsidRDefault="008B13CD" w:rsidP="008B13CD">
      <w:r>
        <w:t>At a “micro” level,</w:t>
      </w:r>
      <w:r w:rsidRPr="00E53985">
        <w:t xml:space="preserve"> each project/city should be able to empower a risk management approach:</w:t>
      </w:r>
    </w:p>
    <w:p w14:paraId="14722243" w14:textId="77777777" w:rsidR="008B13CD" w:rsidRPr="00E53985" w:rsidRDefault="008B13CD" w:rsidP="008B13CD">
      <w:pPr>
        <w:numPr>
          <w:ilvl w:val="0"/>
          <w:numId w:val="20"/>
        </w:numPr>
        <w:tabs>
          <w:tab w:val="clear" w:pos="794"/>
          <w:tab w:val="clear" w:pos="1191"/>
          <w:tab w:val="clear" w:pos="1588"/>
          <w:tab w:val="clear" w:pos="1985"/>
        </w:tabs>
        <w:overflowPunct/>
        <w:autoSpaceDE/>
        <w:autoSpaceDN/>
        <w:adjustRightInd/>
        <w:spacing w:before="0"/>
        <w:textAlignment w:val="auto"/>
      </w:pPr>
      <w:r w:rsidRPr="00E53985">
        <w:t xml:space="preserve">Identify the different risks and threats that can appear </w:t>
      </w:r>
      <w:r>
        <w:t>at short, medium and long term;</w:t>
      </w:r>
    </w:p>
    <w:p w14:paraId="79992227" w14:textId="77777777" w:rsidR="008B13CD" w:rsidRPr="00E53985" w:rsidRDefault="008B13CD" w:rsidP="008B13CD">
      <w:pPr>
        <w:numPr>
          <w:ilvl w:val="0"/>
          <w:numId w:val="20"/>
        </w:numPr>
        <w:tabs>
          <w:tab w:val="clear" w:pos="794"/>
          <w:tab w:val="clear" w:pos="1191"/>
          <w:tab w:val="clear" w:pos="1588"/>
          <w:tab w:val="clear" w:pos="1985"/>
        </w:tabs>
        <w:overflowPunct/>
        <w:autoSpaceDE/>
        <w:autoSpaceDN/>
        <w:adjustRightInd/>
        <w:spacing w:before="0"/>
        <w:textAlignment w:val="auto"/>
      </w:pPr>
      <w:r w:rsidRPr="00E53985">
        <w:t>Analys</w:t>
      </w:r>
      <w:r>
        <w:t>e and</w:t>
      </w:r>
      <w:r w:rsidRPr="00A63666">
        <w:rPr>
          <w:lang w:val="en-US"/>
        </w:rPr>
        <w:t xml:space="preserve"> assess</w:t>
      </w:r>
      <w:r>
        <w:rPr>
          <w:lang w:val="en-US"/>
        </w:rPr>
        <w:t xml:space="preserve"> the impact of</w:t>
      </w:r>
      <w:r w:rsidRPr="00A63666">
        <w:rPr>
          <w:lang w:val="en-US"/>
        </w:rPr>
        <w:t xml:space="preserve"> each risk identified </w:t>
      </w:r>
      <w:r>
        <w:rPr>
          <w:lang w:val="en-US"/>
        </w:rPr>
        <w:t>in term of consequences and likelihood;</w:t>
      </w:r>
    </w:p>
    <w:p w14:paraId="02C02CC1" w14:textId="77777777" w:rsidR="008B13CD" w:rsidRPr="00E53985" w:rsidRDefault="008B13CD" w:rsidP="008B13CD">
      <w:pPr>
        <w:numPr>
          <w:ilvl w:val="0"/>
          <w:numId w:val="20"/>
        </w:numPr>
        <w:tabs>
          <w:tab w:val="clear" w:pos="794"/>
          <w:tab w:val="clear" w:pos="1191"/>
          <w:tab w:val="clear" w:pos="1588"/>
          <w:tab w:val="clear" w:pos="1985"/>
        </w:tabs>
        <w:overflowPunct/>
        <w:autoSpaceDE/>
        <w:autoSpaceDN/>
        <w:adjustRightInd/>
        <w:spacing w:before="0"/>
        <w:textAlignment w:val="auto"/>
      </w:pPr>
      <w:r w:rsidRPr="00E53985">
        <w:t>Evaluate the ability of the project/city to bear the risk or not</w:t>
      </w:r>
      <w:r>
        <w:t>, determine the risk tolerance;</w:t>
      </w:r>
    </w:p>
    <w:p w14:paraId="2181A1E3" w14:textId="77777777" w:rsidR="008B13CD" w:rsidRPr="009670CF" w:rsidRDefault="008B13CD" w:rsidP="008B13CD">
      <w:pPr>
        <w:numPr>
          <w:ilvl w:val="0"/>
          <w:numId w:val="20"/>
        </w:numPr>
        <w:tabs>
          <w:tab w:val="clear" w:pos="794"/>
          <w:tab w:val="clear" w:pos="1191"/>
          <w:tab w:val="clear" w:pos="1588"/>
          <w:tab w:val="clear" w:pos="1985"/>
        </w:tabs>
        <w:overflowPunct/>
        <w:autoSpaceDE/>
        <w:autoSpaceDN/>
        <w:adjustRightInd/>
        <w:spacing w:before="0"/>
        <w:textAlignment w:val="auto"/>
      </w:pPr>
      <w:r w:rsidRPr="00E53985">
        <w:t xml:space="preserve">Treat each risk and threat by providing an adapted answer regarding the ability of the project/city to bear the risk or </w:t>
      </w:r>
      <w:r w:rsidRPr="009670CF">
        <w:t>not (</w:t>
      </w:r>
      <w:r>
        <w:t>risk m</w:t>
      </w:r>
      <w:r w:rsidRPr="009670CF">
        <w:t xml:space="preserve">odification, </w:t>
      </w:r>
      <w:r>
        <w:t>r</w:t>
      </w:r>
      <w:r w:rsidRPr="009670CF">
        <w:t xml:space="preserve">etention, </w:t>
      </w:r>
      <w:r>
        <w:t>a</w:t>
      </w:r>
      <w:r w:rsidRPr="009670CF">
        <w:t xml:space="preserve">voidance or </w:t>
      </w:r>
      <w:r>
        <w:t>s</w:t>
      </w:r>
      <w:r w:rsidRPr="009670CF">
        <w:t>haring)</w:t>
      </w:r>
      <w:r>
        <w:t>.</w:t>
      </w:r>
    </w:p>
    <w:p w14:paraId="052C36AC" w14:textId="77777777" w:rsidR="008B13CD" w:rsidRPr="00502A2E" w:rsidRDefault="008B13CD" w:rsidP="008B13CD">
      <w:r w:rsidRPr="00502A2E">
        <w:t>At a “macro” level, ecosystems and organizations should be able to forecast and manage risks at 360° and to provide quick answers. Thus, ecosystems and organizations should build a risk management framework able to quickly forecast and manage global risks, through an efficient decision-making process.</w:t>
      </w:r>
    </w:p>
    <w:p w14:paraId="0C3A0741" w14:textId="77777777" w:rsidR="008B13CD" w:rsidRPr="00502A2E" w:rsidRDefault="008B13CD" w:rsidP="008B13CD">
      <w:r w:rsidRPr="00502A2E">
        <w:t xml:space="preserve">One important related capability is the ability </w:t>
      </w:r>
      <w:r>
        <w:t xml:space="preserve">to manage the global risks related to the ecosystem such as Systemic risk, and </w:t>
      </w:r>
      <w:r w:rsidRPr="00502A2E">
        <w:t xml:space="preserve">to analyse </w:t>
      </w:r>
      <w:r>
        <w:t xml:space="preserve">risk </w:t>
      </w:r>
      <w:r w:rsidRPr="00502A2E">
        <w:t>data and capture the big picture of the global activity through a</w:t>
      </w:r>
      <w:r>
        <w:t>n efficient</w:t>
      </w:r>
      <w:r w:rsidRPr="00502A2E">
        <w:t xml:space="preserve"> capacity of reporting and data aggregation. It also relies on the end-to-end visibility of treatments.</w:t>
      </w:r>
    </w:p>
    <w:p w14:paraId="293506E1" w14:textId="77777777" w:rsidR="008B13CD" w:rsidRDefault="008B13CD" w:rsidP="008B13CD">
      <w:r>
        <w:t>A second important related capability is the capacity to determine the ecosystem risk appetite and make sure that the stakeholders can afford the uncertainties generated by their strategies.</w:t>
      </w:r>
    </w:p>
    <w:p w14:paraId="7255BD67" w14:textId="77777777" w:rsidR="008B13CD" w:rsidRDefault="008B13CD" w:rsidP="008B13CD">
      <w:pPr>
        <w:rPr>
          <w:b/>
          <w:bCs/>
          <w:i/>
        </w:rPr>
      </w:pPr>
      <w:r>
        <w:t>A third important related capability is the ability, at a global level, to facilitate risk management at each stage of the process : foster digital education or develop a data and risk culture for example.</w:t>
      </w:r>
    </w:p>
    <w:p w14:paraId="5E500630" w14:textId="77777777" w:rsidR="008B13CD" w:rsidRDefault="008B13CD" w:rsidP="008B13CD">
      <w:r>
        <w:rPr>
          <w:b/>
          <w:bCs/>
          <w:i/>
        </w:rPr>
        <w:t>T</w:t>
      </w:r>
      <w:r w:rsidRPr="00DC2E3C">
        <w:rPr>
          <w:b/>
          <w:bCs/>
          <w:i/>
        </w:rPr>
        <w:t>he corresponding framework and its description</w:t>
      </w:r>
    </w:p>
    <w:p w14:paraId="3F0A3D53" w14:textId="77777777" w:rsidR="008B13CD" w:rsidRDefault="008B13CD" w:rsidP="008B13CD">
      <w:r>
        <w:rPr>
          <w:noProof/>
          <w:lang w:eastAsia="en-GB"/>
        </w:rPr>
        <w:lastRenderedPageBreak/>
        <mc:AlternateContent>
          <mc:Choice Requires="wps">
            <w:drawing>
              <wp:anchor distT="0" distB="0" distL="114300" distR="114300" simplePos="0" relativeHeight="251641856" behindDoc="0" locked="0" layoutInCell="1" allowOverlap="1" wp14:anchorId="4256E23A" wp14:editId="1A31B279">
                <wp:simplePos x="0" y="0"/>
                <wp:positionH relativeFrom="column">
                  <wp:posOffset>-203835</wp:posOffset>
                </wp:positionH>
                <wp:positionV relativeFrom="paragraph">
                  <wp:posOffset>1957070</wp:posOffset>
                </wp:positionV>
                <wp:extent cx="0" cy="2520315"/>
                <wp:effectExtent l="76200" t="38100" r="57150" b="51435"/>
                <wp:wrapNone/>
                <wp:docPr id="14" name="Connecteur droit avec flèche 14"/>
                <wp:cNvGraphicFramePr/>
                <a:graphic xmlns:a="http://schemas.openxmlformats.org/drawingml/2006/main">
                  <a:graphicData uri="http://schemas.microsoft.com/office/word/2010/wordprocessingShape">
                    <wps:wsp>
                      <wps:cNvCnPr/>
                      <wps:spPr>
                        <a:xfrm>
                          <a:off x="0" y="0"/>
                          <a:ext cx="0" cy="25203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6F4C17" id="_x0000_t32" coordsize="21600,21600" o:spt="32" o:oned="t" path="m,l21600,21600e" filled="f">
                <v:path arrowok="t" fillok="f" o:connecttype="none"/>
                <o:lock v:ext="edit" shapetype="t"/>
              </v:shapetype>
              <v:shape id="Connecteur droit avec flèche 14" o:spid="_x0000_s1026" type="#_x0000_t32" style="position:absolute;margin-left:-16.05pt;margin-top:154.1pt;width:0;height:19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" strokecolor="#4579b8 [3044]">
                <v:stroke startarrow="block" endarrow="block"/>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F9898E8" wp14:editId="1C2EEB07">
                <wp:simplePos x="0" y="0"/>
                <wp:positionH relativeFrom="column">
                  <wp:posOffset>-839152</wp:posOffset>
                </wp:positionH>
                <wp:positionV relativeFrom="paragraph">
                  <wp:posOffset>737552</wp:posOffset>
                </wp:positionV>
                <wp:extent cx="1200150" cy="398145"/>
                <wp:effectExtent l="952" t="0" r="953" b="952"/>
                <wp:wrapNone/>
                <wp:docPr id="61" name="Zone de texte 61"/>
                <wp:cNvGraphicFramePr/>
                <a:graphic xmlns:a="http://schemas.openxmlformats.org/drawingml/2006/main">
                  <a:graphicData uri="http://schemas.microsoft.com/office/word/2010/wordprocessingShape">
                    <wps:wsp>
                      <wps:cNvSpPr txBox="1"/>
                      <wps:spPr>
                        <a:xfrm rot="16200000">
                          <a:off x="0" y="0"/>
                          <a:ext cx="1200150" cy="398145"/>
                        </a:xfrm>
                        <a:prstGeom prst="rect">
                          <a:avLst/>
                        </a:prstGeom>
                        <a:solidFill>
                          <a:schemeClr val="bg1"/>
                        </a:solidFill>
                        <a:ln w="6350">
                          <a:noFill/>
                        </a:ln>
                      </wps:spPr>
                      <wps:txbx>
                        <w:txbxContent>
                          <w:p w14:paraId="52CDB917" w14:textId="77777777" w:rsidR="008B13CD" w:rsidRPr="000D2F51" w:rsidRDefault="008B13CD" w:rsidP="008B13CD">
                            <w:pPr>
                              <w:rPr>
                                <w:lang w:val="fr-FR"/>
                              </w:rPr>
                            </w:pPr>
                            <w:r w:rsidRPr="000D2F51">
                              <w:rPr>
                                <w:lang w:val="fr-FR"/>
                              </w:rPr>
                              <w:t>« m</w:t>
                            </w:r>
                            <w:r>
                              <w:rPr>
                                <w:lang w:val="fr-FR"/>
                              </w:rPr>
                              <w:t>a</w:t>
                            </w:r>
                            <w:r w:rsidRPr="000D2F51">
                              <w:rPr>
                                <w:lang w:val="fr-FR"/>
                              </w:rPr>
                              <w:t>cro »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898E8" id="_x0000_t202" coordsize="21600,21600" o:spt="202" path="m,l,21600r21600,l21600,xe">
                <v:stroke joinstyle="miter"/>
                <v:path gradientshapeok="t" o:connecttype="rect"/>
              </v:shapetype>
              <v:shape id="Zone de texte 61" o:spid="_x0000_s1026" type="#_x0000_t202" style="position:absolute;left:0;text-align:left;margin-left:-66.05pt;margin-top:58.05pt;width:94.5pt;height:31.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" fillcolor="white [3212]" stroked="f" strokeweight=".5pt">
                <v:textbox>
                  <w:txbxContent>
                    <w:p w14:paraId="52CDB917" w14:textId="77777777" w:rsidR="008B13CD" w:rsidRPr="000D2F51" w:rsidRDefault="008B13CD" w:rsidP="008B13CD">
                      <w:pPr>
                        <w:rPr>
                          <w:lang w:val="fr-FR"/>
                        </w:rPr>
                      </w:pPr>
                      <w:r w:rsidRPr="000D2F51">
                        <w:rPr>
                          <w:lang w:val="fr-FR"/>
                        </w:rPr>
                        <w:t>« </w:t>
                      </w:r>
                      <w:proofErr w:type="gramStart"/>
                      <w:r w:rsidRPr="000D2F51">
                        <w:rPr>
                          <w:lang w:val="fr-FR"/>
                        </w:rPr>
                        <w:t>m</w:t>
                      </w:r>
                      <w:r>
                        <w:rPr>
                          <w:lang w:val="fr-FR"/>
                        </w:rPr>
                        <w:t>a</w:t>
                      </w:r>
                      <w:r w:rsidRPr="000D2F51">
                        <w:rPr>
                          <w:lang w:val="fr-FR"/>
                        </w:rPr>
                        <w:t>cro</w:t>
                      </w:r>
                      <w:proofErr w:type="gramEnd"/>
                      <w:r w:rsidRPr="000D2F51">
                        <w:rPr>
                          <w:lang w:val="fr-FR"/>
                        </w:rPr>
                        <w:t xml:space="preserve"> » </w:t>
                      </w:r>
                      <w:proofErr w:type="spellStart"/>
                      <w:r w:rsidRPr="000D2F51">
                        <w:rPr>
                          <w:lang w:val="fr-FR"/>
                        </w:rPr>
                        <w:t>level</w:t>
                      </w:r>
                      <w:proofErr w:type="spellEnd"/>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4EFB3100" wp14:editId="1593B574">
                <wp:simplePos x="0" y="0"/>
                <wp:positionH relativeFrom="column">
                  <wp:posOffset>-205740</wp:posOffset>
                </wp:positionH>
                <wp:positionV relativeFrom="paragraph">
                  <wp:posOffset>108585</wp:posOffset>
                </wp:positionV>
                <wp:extent cx="0" cy="1670050"/>
                <wp:effectExtent l="76200" t="38100" r="57150" b="63500"/>
                <wp:wrapNone/>
                <wp:docPr id="62" name="Connecteur droit avec flèche 62"/>
                <wp:cNvGraphicFramePr/>
                <a:graphic xmlns:a="http://schemas.openxmlformats.org/drawingml/2006/main">
                  <a:graphicData uri="http://schemas.microsoft.com/office/word/2010/wordprocessingShape">
                    <wps:wsp>
                      <wps:cNvCnPr/>
                      <wps:spPr>
                        <a:xfrm>
                          <a:off x="0" y="0"/>
                          <a:ext cx="0" cy="1670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456A8" id="Connecteur droit avec flèche 62" o:spid="_x0000_s1026" type="#_x0000_t32" style="position:absolute;margin-left:-16.2pt;margin-top:8.55pt;width:0;height:131.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" strokecolor="#4579b8 [3044]">
                <v:stroke startarrow="block" endarrow="block"/>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EA4DE8F" wp14:editId="75FAEF5C">
                <wp:simplePos x="0" y="0"/>
                <wp:positionH relativeFrom="column">
                  <wp:posOffset>-807402</wp:posOffset>
                </wp:positionH>
                <wp:positionV relativeFrom="paragraph">
                  <wp:posOffset>3322002</wp:posOffset>
                </wp:positionV>
                <wp:extent cx="1200150" cy="385445"/>
                <wp:effectExtent l="7302" t="0" r="7303" b="7302"/>
                <wp:wrapNone/>
                <wp:docPr id="63" name="Zone de texte 63"/>
                <wp:cNvGraphicFramePr/>
                <a:graphic xmlns:a="http://schemas.openxmlformats.org/drawingml/2006/main">
                  <a:graphicData uri="http://schemas.microsoft.com/office/word/2010/wordprocessingShape">
                    <wps:wsp>
                      <wps:cNvSpPr txBox="1"/>
                      <wps:spPr>
                        <a:xfrm rot="16200000">
                          <a:off x="0" y="0"/>
                          <a:ext cx="1200150" cy="385445"/>
                        </a:xfrm>
                        <a:prstGeom prst="rect">
                          <a:avLst/>
                        </a:prstGeom>
                        <a:solidFill>
                          <a:schemeClr val="bg1"/>
                        </a:solidFill>
                        <a:ln w="6350">
                          <a:noFill/>
                        </a:ln>
                      </wps:spPr>
                      <wps:txbx>
                        <w:txbxContent>
                          <w:p w14:paraId="39428E02" w14:textId="77777777" w:rsidR="008B13CD" w:rsidRPr="000D2F51" w:rsidRDefault="008B13CD" w:rsidP="008B13CD">
                            <w:pPr>
                              <w:rPr>
                                <w:lang w:val="fr-FR"/>
                              </w:rPr>
                            </w:pPr>
                            <w:r w:rsidRPr="000D2F51">
                              <w:rPr>
                                <w:lang w:val="fr-FR"/>
                              </w:rPr>
                              <w:t>« micro »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DE8F" id="Zone de texte 63" o:spid="_x0000_s1027" type="#_x0000_t202" style="position:absolute;left:0;text-align:left;margin-left:-63.55pt;margin-top:261.55pt;width:94.5pt;height:30.3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" fillcolor="white [3212]" stroked="f" strokeweight=".5pt">
                <v:textbox>
                  <w:txbxContent>
                    <w:p w14:paraId="39428E02" w14:textId="77777777" w:rsidR="008B13CD" w:rsidRPr="000D2F51" w:rsidRDefault="008B13CD" w:rsidP="008B13CD">
                      <w:pPr>
                        <w:rPr>
                          <w:lang w:val="fr-FR"/>
                        </w:rPr>
                      </w:pPr>
                      <w:r w:rsidRPr="000D2F51">
                        <w:rPr>
                          <w:lang w:val="fr-FR"/>
                        </w:rPr>
                        <w:t>« </w:t>
                      </w:r>
                      <w:proofErr w:type="gramStart"/>
                      <w:r w:rsidRPr="000D2F51">
                        <w:rPr>
                          <w:lang w:val="fr-FR"/>
                        </w:rPr>
                        <w:t>micro</w:t>
                      </w:r>
                      <w:proofErr w:type="gramEnd"/>
                      <w:r w:rsidRPr="000D2F51">
                        <w:rPr>
                          <w:lang w:val="fr-FR"/>
                        </w:rPr>
                        <w:t xml:space="preserve"> » </w:t>
                      </w:r>
                      <w:proofErr w:type="spellStart"/>
                      <w:r w:rsidRPr="000D2F51">
                        <w:rPr>
                          <w:lang w:val="fr-FR"/>
                        </w:rPr>
                        <w:t>level</w:t>
                      </w:r>
                      <w:proofErr w:type="spellEnd"/>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6BD8D57" wp14:editId="20E41242">
                <wp:simplePos x="0" y="0"/>
                <wp:positionH relativeFrom="column">
                  <wp:posOffset>4770755</wp:posOffset>
                </wp:positionH>
                <wp:positionV relativeFrom="paragraph">
                  <wp:posOffset>1729105</wp:posOffset>
                </wp:positionV>
                <wp:extent cx="196850" cy="184150"/>
                <wp:effectExtent l="19050" t="19050" r="31750" b="25400"/>
                <wp:wrapNone/>
                <wp:docPr id="64" name="Flèche : haut 4"/>
                <wp:cNvGraphicFramePr/>
                <a:graphic xmlns:a="http://schemas.openxmlformats.org/drawingml/2006/main">
                  <a:graphicData uri="http://schemas.microsoft.com/office/word/2010/wordprocessingShape">
                    <wps:wsp>
                      <wps:cNvSpPr/>
                      <wps:spPr>
                        <a:xfrm>
                          <a:off x="0" y="0"/>
                          <a:ext cx="196850" cy="184150"/>
                        </a:xfrm>
                        <a:prstGeom prst="upArrow">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CEAE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4" o:spid="_x0000_s1026" type="#_x0000_t68" style="position:absolute;margin-left:375.65pt;margin-top:136.15pt;width:15.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" adj="10800" fillcolor="white [3212]" strokecolor="yellow" strokeweight="2pt"/>
            </w:pict>
          </mc:Fallback>
        </mc:AlternateContent>
      </w:r>
      <w:r>
        <w:rPr>
          <w:noProof/>
          <w:lang w:eastAsia="en-GB"/>
        </w:rPr>
        <mc:AlternateContent>
          <mc:Choice Requires="wps">
            <w:drawing>
              <wp:anchor distT="0" distB="0" distL="114300" distR="114300" simplePos="0" relativeHeight="251667456" behindDoc="0" locked="0" layoutInCell="1" allowOverlap="1" wp14:anchorId="689D24AC" wp14:editId="6F94CB40">
                <wp:simplePos x="0" y="0"/>
                <wp:positionH relativeFrom="column">
                  <wp:posOffset>3424555</wp:posOffset>
                </wp:positionH>
                <wp:positionV relativeFrom="paragraph">
                  <wp:posOffset>1729105</wp:posOffset>
                </wp:positionV>
                <wp:extent cx="196850" cy="184150"/>
                <wp:effectExtent l="19050" t="19050" r="31750" b="25400"/>
                <wp:wrapNone/>
                <wp:docPr id="65" name="Flèche : haut 5"/>
                <wp:cNvGraphicFramePr/>
                <a:graphic xmlns:a="http://schemas.openxmlformats.org/drawingml/2006/main">
                  <a:graphicData uri="http://schemas.microsoft.com/office/word/2010/wordprocessingShape">
                    <wps:wsp>
                      <wps:cNvSpPr/>
                      <wps:spPr>
                        <a:xfrm>
                          <a:off x="0" y="0"/>
                          <a:ext cx="196850" cy="184150"/>
                        </a:xfrm>
                        <a:prstGeom prst="upArrow">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EA808" id="Flèche : haut 5" o:spid="_x0000_s1026" type="#_x0000_t68" style="position:absolute;margin-left:269.65pt;margin-top:136.15pt;width:15.5pt;height: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" adj="10800" fillcolor="white [3212]" strokecolor="yellow" strokeweight="2pt"/>
            </w:pict>
          </mc:Fallback>
        </mc:AlternateContent>
      </w:r>
      <w:r>
        <w:rPr>
          <w:noProof/>
          <w:lang w:eastAsia="en-GB"/>
        </w:rPr>
        <mc:AlternateContent>
          <mc:Choice Requires="wps">
            <w:drawing>
              <wp:anchor distT="0" distB="0" distL="114300" distR="114300" simplePos="0" relativeHeight="251657216" behindDoc="0" locked="0" layoutInCell="1" allowOverlap="1" wp14:anchorId="3A463E40" wp14:editId="33CEFB96">
                <wp:simplePos x="0" y="0"/>
                <wp:positionH relativeFrom="column">
                  <wp:posOffset>2046605</wp:posOffset>
                </wp:positionH>
                <wp:positionV relativeFrom="paragraph">
                  <wp:posOffset>1729105</wp:posOffset>
                </wp:positionV>
                <wp:extent cx="196850" cy="184150"/>
                <wp:effectExtent l="19050" t="19050" r="31750" b="25400"/>
                <wp:wrapNone/>
                <wp:docPr id="66" name="Flèche : haut 1"/>
                <wp:cNvGraphicFramePr/>
                <a:graphic xmlns:a="http://schemas.openxmlformats.org/drawingml/2006/main">
                  <a:graphicData uri="http://schemas.microsoft.com/office/word/2010/wordprocessingShape">
                    <wps:wsp>
                      <wps:cNvSpPr/>
                      <wps:spPr>
                        <a:xfrm>
                          <a:off x="0" y="0"/>
                          <a:ext cx="196850" cy="184150"/>
                        </a:xfrm>
                        <a:prstGeom prst="upArrow">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74B8E" id="Flèche : haut 1" o:spid="_x0000_s1026" type="#_x0000_t68" style="position:absolute;margin-left:161.15pt;margin-top:136.15pt;width:15.5pt;height:1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" adj="10800" fillcolor="white [3212]" strokecolor="yellow" strokeweight="2pt"/>
            </w:pict>
          </mc:Fallback>
        </mc:AlternateContent>
      </w:r>
      <w:r>
        <w:rPr>
          <w:noProof/>
          <w:lang w:eastAsia="en-GB"/>
        </w:rPr>
        <mc:AlternateContent>
          <mc:Choice Requires="wps">
            <w:drawing>
              <wp:anchor distT="0" distB="0" distL="114300" distR="114300" simplePos="0" relativeHeight="251652096" behindDoc="0" locked="0" layoutInCell="1" allowOverlap="1" wp14:anchorId="26967745" wp14:editId="756A5A5F">
                <wp:simplePos x="0" y="0"/>
                <wp:positionH relativeFrom="column">
                  <wp:posOffset>605155</wp:posOffset>
                </wp:positionH>
                <wp:positionV relativeFrom="paragraph">
                  <wp:posOffset>1729105</wp:posOffset>
                </wp:positionV>
                <wp:extent cx="196850" cy="184150"/>
                <wp:effectExtent l="19050" t="19050" r="31750" b="25400"/>
                <wp:wrapNone/>
                <wp:docPr id="67" name="Flèche : haut 2"/>
                <wp:cNvGraphicFramePr/>
                <a:graphic xmlns:a="http://schemas.openxmlformats.org/drawingml/2006/main">
                  <a:graphicData uri="http://schemas.microsoft.com/office/word/2010/wordprocessingShape">
                    <wps:wsp>
                      <wps:cNvSpPr/>
                      <wps:spPr>
                        <a:xfrm>
                          <a:off x="0" y="0"/>
                          <a:ext cx="196850" cy="184150"/>
                        </a:xfrm>
                        <a:prstGeom prst="upArrow">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5B88E" id="Flèche : haut 2" o:spid="_x0000_s1026" type="#_x0000_t68" style="position:absolute;margin-left:47.65pt;margin-top:136.15pt;width:15.5pt;height:1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" adj="10800" fillcolor="white [3212]" strokecolor="yellow" strokeweight="2pt"/>
            </w:pict>
          </mc:Fallback>
        </mc:AlternateContent>
      </w:r>
      <w:r>
        <w:rPr>
          <w:noProof/>
          <w:lang w:eastAsia="en-GB"/>
        </w:rPr>
        <w:drawing>
          <wp:inline distT="0" distB="0" distL="0" distR="0" wp14:anchorId="0C19D338" wp14:editId="55C8C39D">
            <wp:extent cx="5518205" cy="4365266"/>
            <wp:effectExtent l="38100" t="19050" r="25400" b="0"/>
            <wp:docPr id="68" name="Diagramme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bookmarkStart w:id="133" w:name="_idb2f9jqsg87" w:colFirst="0" w:colLast="0"/>
      <w:bookmarkStart w:id="134" w:name="_Toc4323150"/>
      <w:bookmarkStart w:id="135" w:name="_Toc4323152"/>
      <w:bookmarkStart w:id="136" w:name="_w5xh5rmo2wxx" w:colFirst="0" w:colLast="0"/>
      <w:bookmarkEnd w:id="131"/>
      <w:bookmarkEnd w:id="132"/>
      <w:bookmarkEnd w:id="133"/>
      <w:bookmarkEnd w:id="134"/>
      <w:bookmarkEnd w:id="135"/>
      <w:bookmarkEnd w:id="136"/>
    </w:p>
    <w:p w14:paraId="06DF637C" w14:textId="77777777" w:rsidR="008B13CD" w:rsidRPr="00DC2E3C" w:rsidRDefault="008B13CD" w:rsidP="008B13CD">
      <w:pPr>
        <w:jc w:val="center"/>
        <w:rPr>
          <w:b/>
        </w:rPr>
      </w:pPr>
      <w:r>
        <w:rPr>
          <w:b/>
        </w:rPr>
        <w:t>Figure</w:t>
      </w:r>
      <w:r w:rsidRPr="00DC2E3C">
        <w:rPr>
          <w:b/>
        </w:rPr>
        <w:t> </w:t>
      </w:r>
      <w:r>
        <w:rPr>
          <w:b/>
        </w:rPr>
        <w:t>7</w:t>
      </w:r>
      <w:r w:rsidRPr="00DC2E3C">
        <w:rPr>
          <w:b/>
        </w:rPr>
        <w:t>: Risk management framework in DPM</w:t>
      </w:r>
    </w:p>
    <w:p w14:paraId="42F846B7" w14:textId="28ED23D0" w:rsidR="008B13CD" w:rsidRPr="00515B32" w:rsidRDefault="00855FF5" w:rsidP="008B13CD">
      <w:pPr>
        <w:pStyle w:val="Heading2"/>
        <w:tabs>
          <w:tab w:val="clear" w:pos="794"/>
          <w:tab w:val="clear" w:pos="1191"/>
          <w:tab w:val="clear" w:pos="1588"/>
          <w:tab w:val="clear" w:pos="1985"/>
        </w:tabs>
        <w:jc w:val="left"/>
        <w:rPr>
          <w:rFonts w:eastAsia="Batang"/>
        </w:rPr>
      </w:pPr>
      <w:bookmarkStart w:id="137" w:name="_Toc18321969"/>
      <w:r>
        <w:rPr>
          <w:rFonts w:eastAsia="Batang"/>
        </w:rPr>
        <w:t>8</w:t>
      </w:r>
      <w:r w:rsidR="008B13CD" w:rsidRPr="00515B32">
        <w:rPr>
          <w:rFonts w:eastAsia="Batang"/>
        </w:rPr>
        <w:t>.3 Data Impact assessments</w:t>
      </w:r>
      <w:bookmarkEnd w:id="137"/>
    </w:p>
    <w:p w14:paraId="49BDBCF0" w14:textId="77777777" w:rsidR="008B13CD" w:rsidRDefault="008B13CD" w:rsidP="008B13CD">
      <w:r>
        <w:t>As recommended in [</w:t>
      </w:r>
      <w:r w:rsidRPr="00806B30">
        <w:rPr>
          <w:bCs/>
          <w:lang w:eastAsia="zh-CN"/>
        </w:rPr>
        <w:t xml:space="preserve">b-FG-DPM TS </w:t>
      </w:r>
      <w:r>
        <w:t xml:space="preserve">-D5], International Association for Impact Assessment (IAIA) defines impact assessment as “the process of identifying the future consequences of a current or proposed action”. Impact assessment can help owners of DPM initiatives as well as their stakeholders determine the extent of impact for their data initiatives. It can be used to identify and circumvent the negative and unintended impacts while capitalizing on and enhancing the positive and sustainable impacts further. </w:t>
      </w:r>
    </w:p>
    <w:p w14:paraId="0F061097" w14:textId="77777777" w:rsidR="008B13CD" w:rsidRDefault="008B13CD" w:rsidP="008B13CD">
      <w:r>
        <w:t xml:space="preserve">Data economy impact assessment in smart cities </w:t>
      </w:r>
      <w:r w:rsidRPr="00DC2E3C">
        <w:t>[b-Y.4905]</w:t>
      </w:r>
      <w:r>
        <w:t xml:space="preserve"> considers in general social, economic and environmental dimensions. [</w:t>
      </w:r>
      <w:r w:rsidRPr="00806B30">
        <w:rPr>
          <w:bCs/>
          <w:lang w:eastAsia="zh-CN"/>
        </w:rPr>
        <w:t xml:space="preserve">b-FG-DPM TS </w:t>
      </w:r>
      <w:r>
        <w:t>D5] describes in detail those impact level assessment concerns and approaches. The DPM framework clearly needs to offer at each dimension impact assessment related capabilities.</w:t>
      </w:r>
    </w:p>
    <w:p w14:paraId="76B73CAE" w14:textId="77777777" w:rsidR="008B13CD" w:rsidRDefault="008B13CD" w:rsidP="008B13CD">
      <w:pPr>
        <w:pStyle w:val="Normal1"/>
      </w:pPr>
      <w:bookmarkStart w:id="138" w:name="_ovotlc4jqwst" w:colFirst="0" w:colLast="0"/>
      <w:bookmarkStart w:id="139" w:name="_49x2ik5" w:colFirst="0" w:colLast="0"/>
      <w:bookmarkStart w:id="140" w:name="_147n2zr" w:colFirst="0" w:colLast="0"/>
      <w:bookmarkStart w:id="141" w:name="_3o7alnk" w:colFirst="0" w:colLast="0"/>
      <w:bookmarkStart w:id="142" w:name="_28h4qwu" w:colFirst="0" w:colLast="0"/>
      <w:bookmarkStart w:id="143" w:name="_nmf14n" w:colFirst="0" w:colLast="0"/>
      <w:bookmarkStart w:id="144" w:name="_37m2jsg" w:colFirst="0" w:colLast="0"/>
      <w:bookmarkStart w:id="145" w:name="_1mrcu09" w:colFirst="0" w:colLast="0"/>
      <w:bookmarkStart w:id="146" w:name="_46r0co2" w:colFirst="0" w:colLast="0"/>
      <w:bookmarkStart w:id="147" w:name="_2lwamvv" w:colFirst="0" w:colLast="0"/>
      <w:bookmarkStart w:id="148" w:name="_111kx3o" w:colFirst="0" w:colLast="0"/>
      <w:bookmarkStart w:id="149" w:name="_3l18frh" w:colFirst="0" w:colLast="0"/>
      <w:bookmarkStart w:id="150" w:name="_206ipza" w:colFirst="0" w:colLast="0"/>
      <w:bookmarkStart w:id="151" w:name="_4k668n3" w:colFirst="0" w:colLast="0"/>
      <w:bookmarkStart w:id="152" w:name="_2zbgiuw" w:colFirst="0" w:colLast="0"/>
      <w:bookmarkStart w:id="153" w:name="_1egqt2p" w:colFirst="0" w:colLast="0"/>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br w:type="page"/>
      </w:r>
    </w:p>
    <w:p w14:paraId="7E4C2319" w14:textId="7CCCCF3D" w:rsidR="008B13CD" w:rsidRPr="008263E9" w:rsidRDefault="008B13CD" w:rsidP="00423B7C">
      <w:pPr>
        <w:pStyle w:val="Heading1"/>
        <w:jc w:val="center"/>
        <w:rPr>
          <w:bCs/>
        </w:rPr>
      </w:pPr>
      <w:bookmarkStart w:id="154" w:name="_Toc18321970"/>
      <w:bookmarkEnd w:id="95"/>
      <w:bookmarkEnd w:id="96"/>
      <w:bookmarkEnd w:id="97"/>
      <w:r w:rsidRPr="008263E9">
        <w:lastRenderedPageBreak/>
        <w:t>Appendix I</w:t>
      </w:r>
      <w:r w:rsidR="00423B7C">
        <w:br/>
      </w:r>
      <w:r w:rsidRPr="008263E9">
        <w:rPr>
          <w:bCs/>
        </w:rPr>
        <w:t>Semantic Interoperability Capabilities Example</w:t>
      </w:r>
      <w:bookmarkEnd w:id="154"/>
    </w:p>
    <w:p w14:paraId="49EB6E7E" w14:textId="77777777" w:rsidR="008B13CD" w:rsidRPr="00EC2A42" w:rsidRDefault="008B13CD" w:rsidP="008B13CD">
      <w:pPr>
        <w:jc w:val="center"/>
      </w:pPr>
      <w:r w:rsidRPr="00806B30">
        <w:t>(This appendix does not form an integral part of th</w:t>
      </w:r>
      <w:r>
        <w:t>is</w:t>
      </w:r>
      <w:r w:rsidRPr="00806B30">
        <w:t xml:space="preserve"> Technical Specification.)</w:t>
      </w:r>
      <w:r w:rsidRPr="00EC2A42">
        <w:br/>
      </w:r>
    </w:p>
    <w:p w14:paraId="67FAADB7" w14:textId="77777777" w:rsidR="008B13CD" w:rsidRPr="001012A7" w:rsidRDefault="008B13CD" w:rsidP="008B13CD">
      <w:pPr>
        <w:pStyle w:val="Normal1"/>
        <w:jc w:val="both"/>
        <w:rPr>
          <w:lang w:val="en-US"/>
        </w:rPr>
      </w:pPr>
      <w:r w:rsidRPr="001012A7">
        <w:rPr>
          <w:lang w:val="en-US"/>
        </w:rPr>
        <w:t>Data interoperability can be achieved in different ways to provide seamless integration of services in heterogeneous IoT environments. Several types of mediations can be considered to fully realize data interoperability in IoT platforms. These include semantic interoperability, syntactic interoperability, and object abstraction interoperability. These dimensions of data interoperability are briefly described as follows:</w:t>
      </w:r>
    </w:p>
    <w:p w14:paraId="16E72C6F" w14:textId="77777777" w:rsidR="008B13CD" w:rsidRPr="001012A7" w:rsidRDefault="008B13CD" w:rsidP="008B13CD">
      <w:pPr>
        <w:pStyle w:val="ListParagraph"/>
        <w:numPr>
          <w:ilvl w:val="0"/>
          <w:numId w:val="49"/>
        </w:numPr>
        <w:tabs>
          <w:tab w:val="left" w:pos="360"/>
          <w:tab w:val="left" w:pos="1191"/>
          <w:tab w:val="left" w:pos="1588"/>
          <w:tab w:val="left" w:pos="1985"/>
        </w:tabs>
        <w:overflowPunct w:val="0"/>
        <w:autoSpaceDE w:val="0"/>
        <w:autoSpaceDN w:val="0"/>
        <w:adjustRightInd w:val="0"/>
        <w:spacing w:before="120" w:after="0" w:line="240" w:lineRule="auto"/>
        <w:ind w:hanging="720"/>
        <w:jc w:val="left"/>
        <w:textAlignment w:val="baseline"/>
        <w:rPr>
          <w:rFonts w:ascii="Times New Roman" w:hAnsi="Times New Roman" w:cs="Times New Roman"/>
          <w:sz w:val="24"/>
          <w:szCs w:val="24"/>
        </w:rPr>
      </w:pPr>
      <w:r w:rsidRPr="001012A7">
        <w:rPr>
          <w:rFonts w:ascii="Times New Roman" w:hAnsi="Times New Roman" w:cs="Times New Roman"/>
          <w:sz w:val="24"/>
          <w:szCs w:val="24"/>
        </w:rPr>
        <w:t xml:space="preserve">Semantic Interoperability </w:t>
      </w:r>
    </w:p>
    <w:p w14:paraId="3DA067D4" w14:textId="77777777" w:rsidR="008B13CD" w:rsidRPr="001012A7" w:rsidRDefault="008B13CD" w:rsidP="008B13CD">
      <w:pPr>
        <w:pStyle w:val="Normal1"/>
        <w:jc w:val="both"/>
        <w:rPr>
          <w:lang w:val="en-US"/>
        </w:rPr>
      </w:pPr>
      <w:r w:rsidRPr="001012A7">
        <w:rPr>
          <w:lang w:val="en-US"/>
        </w:rPr>
        <w:t xml:space="preserve">The semantic interoperability is concerned with the meaning of data. Consensus on meaning is required while exchanging the data across systems. Semantic interoperability defines the true meaning of the contents that are generated by IoT devices and mutually agreed by a different system that use these contents. The semantic interoperability will enable different stakeholders to access and understand data unambiguously. </w:t>
      </w:r>
    </w:p>
    <w:p w14:paraId="4DBC111F" w14:textId="77777777" w:rsidR="008B13CD" w:rsidRPr="001012A7" w:rsidRDefault="008B13CD" w:rsidP="008B13CD">
      <w:pPr>
        <w:pStyle w:val="ListParagraph"/>
        <w:numPr>
          <w:ilvl w:val="0"/>
          <w:numId w:val="49"/>
        </w:numPr>
        <w:tabs>
          <w:tab w:val="left" w:pos="360"/>
          <w:tab w:val="left" w:pos="1191"/>
          <w:tab w:val="left" w:pos="1588"/>
          <w:tab w:val="left" w:pos="1985"/>
        </w:tabs>
        <w:overflowPunct w:val="0"/>
        <w:autoSpaceDE w:val="0"/>
        <w:autoSpaceDN w:val="0"/>
        <w:adjustRightInd w:val="0"/>
        <w:spacing w:before="120" w:after="0" w:line="240" w:lineRule="auto"/>
        <w:ind w:hanging="720"/>
        <w:jc w:val="left"/>
        <w:textAlignment w:val="baseline"/>
        <w:rPr>
          <w:rFonts w:ascii="Times New Roman" w:hAnsi="Times New Roman" w:cs="Times New Roman"/>
          <w:sz w:val="24"/>
          <w:szCs w:val="24"/>
        </w:rPr>
      </w:pPr>
      <w:r w:rsidRPr="001012A7">
        <w:rPr>
          <w:rFonts w:ascii="Times New Roman" w:hAnsi="Times New Roman" w:cs="Times New Roman"/>
          <w:sz w:val="24"/>
          <w:szCs w:val="24"/>
        </w:rPr>
        <w:t xml:space="preserve">Syntactical Interoperability </w:t>
      </w:r>
    </w:p>
    <w:p w14:paraId="42E9BBB0" w14:textId="77777777" w:rsidR="008B13CD" w:rsidRPr="001012A7" w:rsidRDefault="008B13CD" w:rsidP="008B13CD">
      <w:pPr>
        <w:pStyle w:val="Normal1"/>
        <w:jc w:val="both"/>
        <w:rPr>
          <w:lang w:val="en-US"/>
        </w:rPr>
      </w:pPr>
      <w:r w:rsidRPr="001012A7">
        <w:rPr>
          <w:lang w:val="en-US"/>
        </w:rPr>
        <w:t>Heterogeneous IoT devices generate data that are stored and used in different formats. Syntactical Interoperability is concerned with the data formats, syntax and coding methods.  Protocols used by IoT devices utilize standard syntax for communication of data. These are expressed in diverse formats such as XML, JSON or HTML.</w:t>
      </w:r>
    </w:p>
    <w:p w14:paraId="1BD21838" w14:textId="77777777" w:rsidR="008B13CD" w:rsidRPr="001012A7" w:rsidRDefault="008B13CD" w:rsidP="008B13CD">
      <w:pPr>
        <w:pStyle w:val="ListParagraph"/>
        <w:numPr>
          <w:ilvl w:val="0"/>
          <w:numId w:val="49"/>
        </w:numPr>
        <w:tabs>
          <w:tab w:val="left" w:pos="360"/>
          <w:tab w:val="left" w:pos="1191"/>
          <w:tab w:val="left" w:pos="1588"/>
          <w:tab w:val="left" w:pos="1985"/>
        </w:tabs>
        <w:overflowPunct w:val="0"/>
        <w:autoSpaceDE w:val="0"/>
        <w:autoSpaceDN w:val="0"/>
        <w:adjustRightInd w:val="0"/>
        <w:spacing w:before="120" w:after="0" w:line="240" w:lineRule="auto"/>
        <w:ind w:hanging="720"/>
        <w:jc w:val="left"/>
        <w:textAlignment w:val="baseline"/>
        <w:rPr>
          <w:rFonts w:ascii="Times New Roman" w:hAnsi="Times New Roman" w:cs="Times New Roman"/>
          <w:sz w:val="24"/>
          <w:szCs w:val="24"/>
        </w:rPr>
      </w:pPr>
      <w:r w:rsidRPr="001012A7">
        <w:rPr>
          <w:rFonts w:ascii="Times New Roman" w:hAnsi="Times New Roman" w:cs="Times New Roman"/>
          <w:sz w:val="24"/>
          <w:szCs w:val="24"/>
        </w:rPr>
        <w:t>Object Abstraction Interoperability</w:t>
      </w:r>
    </w:p>
    <w:p w14:paraId="65F7E88B" w14:textId="77777777" w:rsidR="008B13CD" w:rsidRPr="001012A7" w:rsidRDefault="008B13CD" w:rsidP="008B13CD">
      <w:pPr>
        <w:pStyle w:val="Normal1"/>
        <w:jc w:val="both"/>
        <w:rPr>
          <w:lang w:val="en-US"/>
        </w:rPr>
      </w:pPr>
      <w:r w:rsidRPr="001012A7">
        <w:rPr>
          <w:lang w:val="en-US"/>
        </w:rPr>
        <w:t xml:space="preserve">Object abstraction interoperability provides the functional capabilities to support diverse object abstractions. Developing object abstraction by </w:t>
      </w:r>
      <w:r w:rsidRPr="001012A7">
        <w:t>classification and categorization of heterogeneous data</w:t>
      </w:r>
      <w:r w:rsidRPr="001012A7">
        <w:rPr>
          <w:lang w:val="en-US"/>
        </w:rPr>
        <w:t xml:space="preserve"> and providing metadata description and coding.</w:t>
      </w:r>
    </w:p>
    <w:p w14:paraId="72A11248" w14:textId="77777777" w:rsidR="008B13CD" w:rsidRPr="001012A7" w:rsidRDefault="008B13CD" w:rsidP="008B13CD">
      <w:pPr>
        <w:pStyle w:val="Normal1"/>
        <w:jc w:val="both"/>
        <w:rPr>
          <w:lang w:val="en-US"/>
        </w:rPr>
      </w:pPr>
      <w:r w:rsidRPr="001012A7">
        <w:rPr>
          <w:lang w:val="en-US"/>
        </w:rPr>
        <w:t>Moreover, the capabilities related to data interoperability dimensions have been described in the following table.</w:t>
      </w:r>
    </w:p>
    <w:p w14:paraId="284742AD" w14:textId="77777777" w:rsidR="008B13CD" w:rsidRDefault="008B13CD" w:rsidP="008B13CD">
      <w:pPr>
        <w:pStyle w:val="Normal1"/>
        <w:rPr>
          <w:lang w:val="en-US"/>
        </w:rPr>
      </w:pPr>
    </w:p>
    <w:tbl>
      <w:tblPr>
        <w:tblStyle w:val="TableGrid"/>
        <w:tblW w:w="9889" w:type="dxa"/>
        <w:tblLook w:val="04A0" w:firstRow="1" w:lastRow="0" w:firstColumn="1" w:lastColumn="0" w:noHBand="0" w:noVBand="1"/>
      </w:tblPr>
      <w:tblGrid>
        <w:gridCol w:w="3085"/>
        <w:gridCol w:w="6804"/>
      </w:tblGrid>
      <w:tr w:rsidR="008B13CD" w:rsidRPr="00FE7ADF" w14:paraId="7606F6ED" w14:textId="77777777" w:rsidTr="00F232A2">
        <w:trPr>
          <w:tblHeader/>
        </w:trPr>
        <w:tc>
          <w:tcPr>
            <w:tcW w:w="3085" w:type="dxa"/>
            <w:tcBorders>
              <w:top w:val="single" w:sz="4" w:space="0" w:color="auto"/>
            </w:tcBorders>
          </w:tcPr>
          <w:p w14:paraId="50D5BDB0" w14:textId="77777777" w:rsidR="008B13CD" w:rsidRPr="00CA53FA" w:rsidRDefault="008B13CD" w:rsidP="0044453C">
            <w:pPr>
              <w:pStyle w:val="Normal1"/>
              <w:jc w:val="center"/>
              <w:rPr>
                <w:b/>
                <w:lang w:val="en-US" w:eastAsia="ko-KR"/>
              </w:rPr>
            </w:pPr>
            <w:r w:rsidRPr="00CA53FA">
              <w:rPr>
                <w:b/>
                <w:lang w:val="en-US" w:eastAsia="ko-KR"/>
              </w:rPr>
              <w:t>Data Interoperability</w:t>
            </w:r>
          </w:p>
          <w:p w14:paraId="32DAF6C9" w14:textId="77777777" w:rsidR="008B13CD" w:rsidRPr="003C0565" w:rsidRDefault="008B13CD" w:rsidP="0044453C">
            <w:pPr>
              <w:pStyle w:val="Normal1"/>
              <w:jc w:val="center"/>
              <w:rPr>
                <w:b/>
                <w:lang w:val="en-US"/>
              </w:rPr>
            </w:pPr>
            <w:r w:rsidRPr="00CA53FA">
              <w:rPr>
                <w:b/>
                <w:lang w:val="en-US"/>
              </w:rPr>
              <w:t>Capabilities</w:t>
            </w:r>
          </w:p>
        </w:tc>
        <w:tc>
          <w:tcPr>
            <w:tcW w:w="6804" w:type="dxa"/>
          </w:tcPr>
          <w:p w14:paraId="153A3B70" w14:textId="77777777" w:rsidR="008B13CD" w:rsidRPr="003C0565" w:rsidRDefault="008B13CD" w:rsidP="0044453C">
            <w:pPr>
              <w:pStyle w:val="Normal1"/>
              <w:jc w:val="center"/>
              <w:rPr>
                <w:b/>
                <w:lang w:val="en-US"/>
              </w:rPr>
            </w:pPr>
            <w:r w:rsidRPr="003C0565">
              <w:rPr>
                <w:b/>
                <w:lang w:val="en-US"/>
              </w:rPr>
              <w:t>Capability description</w:t>
            </w:r>
          </w:p>
        </w:tc>
      </w:tr>
      <w:tr w:rsidR="008B13CD" w14:paraId="5D76B320" w14:textId="77777777" w:rsidTr="0044453C">
        <w:tc>
          <w:tcPr>
            <w:tcW w:w="3085" w:type="dxa"/>
          </w:tcPr>
          <w:p w14:paraId="043BC7A1" w14:textId="77777777" w:rsidR="008B13CD" w:rsidRPr="003C0565" w:rsidRDefault="008B13CD" w:rsidP="0044453C">
            <w:pPr>
              <w:pStyle w:val="Normal1"/>
              <w:rPr>
                <w:lang w:val="en-US"/>
              </w:rPr>
            </w:pPr>
            <w:r>
              <w:rPr>
                <w:lang w:val="en-US"/>
              </w:rPr>
              <w:t>Data description registration</w:t>
            </w:r>
          </w:p>
        </w:tc>
        <w:tc>
          <w:tcPr>
            <w:tcW w:w="6804" w:type="dxa"/>
          </w:tcPr>
          <w:p w14:paraId="046623C3" w14:textId="77777777" w:rsidR="008B13CD" w:rsidRPr="003C0565" w:rsidRDefault="008B13CD" w:rsidP="0044453C">
            <w:pPr>
              <w:pStyle w:val="Normal1"/>
              <w:rPr>
                <w:lang w:val="en-US"/>
              </w:rPr>
            </w:pPr>
            <w:r>
              <w:rPr>
                <w:lang w:val="en-US"/>
              </w:rPr>
              <w:t xml:space="preserve">The process of data description registration provides the registration of heterogeneous data formats from diverse IoT platforms </w:t>
            </w:r>
            <w:r>
              <w:rPr>
                <w:rFonts w:ascii="Malgun Gothic" w:hAnsi="Malgun Gothic" w:hint="eastAsia"/>
                <w:lang w:val="en-US" w:eastAsia="ko-KR"/>
              </w:rPr>
              <w:t>to</w:t>
            </w:r>
            <w:r>
              <w:rPr>
                <w:lang w:val="en-US"/>
              </w:rPr>
              <w:t xml:space="preserve"> support the interoperability provisioning process with maintained record of data formats.</w:t>
            </w:r>
          </w:p>
        </w:tc>
      </w:tr>
      <w:tr w:rsidR="008B13CD" w14:paraId="78BECEF6" w14:textId="77777777" w:rsidTr="0044453C">
        <w:tc>
          <w:tcPr>
            <w:tcW w:w="3085" w:type="dxa"/>
          </w:tcPr>
          <w:p w14:paraId="2DC2B0D0" w14:textId="77777777" w:rsidR="008B13CD" w:rsidRPr="003C0565" w:rsidRDefault="008B13CD" w:rsidP="0044453C">
            <w:pPr>
              <w:pStyle w:val="Normal1"/>
              <w:rPr>
                <w:lang w:val="en-US"/>
              </w:rPr>
            </w:pPr>
            <w:r>
              <w:rPr>
                <w:lang w:val="en-US"/>
              </w:rPr>
              <w:t>Semantic data translation</w:t>
            </w:r>
          </w:p>
        </w:tc>
        <w:tc>
          <w:tcPr>
            <w:tcW w:w="6804" w:type="dxa"/>
          </w:tcPr>
          <w:p w14:paraId="2105DB67" w14:textId="77777777" w:rsidR="008B13CD" w:rsidRPr="003C0565" w:rsidRDefault="008B13CD" w:rsidP="0044453C">
            <w:pPr>
              <w:pStyle w:val="Normal1"/>
              <w:rPr>
                <w:lang w:val="en-US"/>
              </w:rPr>
            </w:pPr>
            <w:r w:rsidRPr="00C92647">
              <w:rPr>
                <w:lang w:val="en-US"/>
              </w:rPr>
              <w:t xml:space="preserve">The semantic translation </w:t>
            </w:r>
            <w:r>
              <w:rPr>
                <w:lang w:val="en-US"/>
              </w:rPr>
              <w:t>process</w:t>
            </w:r>
            <w:r w:rsidRPr="00C92647">
              <w:rPr>
                <w:lang w:val="en-US"/>
              </w:rPr>
              <w:t xml:space="preserve"> </w:t>
            </w:r>
            <w:r>
              <w:rPr>
                <w:lang w:val="en-US"/>
              </w:rPr>
              <w:t>provides</w:t>
            </w:r>
            <w:r w:rsidRPr="00C92647">
              <w:rPr>
                <w:lang w:val="en-US"/>
              </w:rPr>
              <w:t xml:space="preserve"> the translation of data formats to semantic formats that have been registered by </w:t>
            </w:r>
            <w:r>
              <w:rPr>
                <w:lang w:val="en-US"/>
              </w:rPr>
              <w:t>semantic description registry</w:t>
            </w:r>
            <w:r w:rsidRPr="00C92647">
              <w:rPr>
                <w:lang w:val="en-US"/>
              </w:rPr>
              <w:t>. The translation of data to semantic formats is achieved through the defined domain ontology</w:t>
            </w:r>
            <w:r>
              <w:rPr>
                <w:lang w:val="en-US"/>
              </w:rPr>
              <w:t>.</w:t>
            </w:r>
          </w:p>
        </w:tc>
      </w:tr>
      <w:tr w:rsidR="008B13CD" w14:paraId="084FEB7E" w14:textId="77777777" w:rsidTr="0044453C">
        <w:trPr>
          <w:trHeight w:val="716"/>
        </w:trPr>
        <w:tc>
          <w:tcPr>
            <w:tcW w:w="3085" w:type="dxa"/>
          </w:tcPr>
          <w:p w14:paraId="4B16BDAF" w14:textId="77777777" w:rsidR="008B13CD" w:rsidRPr="003C0565" w:rsidRDefault="008B13CD" w:rsidP="0044453C">
            <w:pPr>
              <w:pStyle w:val="Normal1"/>
              <w:rPr>
                <w:lang w:val="en-US"/>
              </w:rPr>
            </w:pPr>
            <w:r>
              <w:rPr>
                <w:lang w:val="en-US"/>
              </w:rPr>
              <w:t>Semantic annotation</w:t>
            </w:r>
          </w:p>
        </w:tc>
        <w:tc>
          <w:tcPr>
            <w:tcW w:w="6804" w:type="dxa"/>
          </w:tcPr>
          <w:p w14:paraId="4277C867" w14:textId="77777777" w:rsidR="008B13CD" w:rsidRPr="003C0565" w:rsidRDefault="008B13CD" w:rsidP="0044453C">
            <w:pPr>
              <w:pStyle w:val="Normal1"/>
              <w:rPr>
                <w:lang w:val="en-US"/>
              </w:rPr>
            </w:pPr>
            <w:r>
              <w:rPr>
                <w:lang w:val="en-US"/>
              </w:rPr>
              <w:t>The process to</w:t>
            </w:r>
            <w:r w:rsidRPr="00C92647">
              <w:rPr>
                <w:lang w:val="en-US"/>
              </w:rPr>
              <w:t xml:space="preserve"> </w:t>
            </w:r>
            <w:r>
              <w:rPr>
                <w:lang w:val="en-US"/>
              </w:rPr>
              <w:t>provide</w:t>
            </w:r>
            <w:r w:rsidRPr="00C92647">
              <w:rPr>
                <w:lang w:val="en-US"/>
              </w:rPr>
              <w:t xml:space="preserve"> annotation of the data based on the standard ontol</w:t>
            </w:r>
            <w:r>
              <w:rPr>
                <w:lang w:val="en-US"/>
              </w:rPr>
              <w:t>ogy and semantic data model</w:t>
            </w:r>
            <w:r w:rsidRPr="00C92647">
              <w:rPr>
                <w:lang w:val="en-US"/>
              </w:rPr>
              <w:t xml:space="preserve"> using the selected annotation description l</w:t>
            </w:r>
            <w:r>
              <w:rPr>
                <w:lang w:val="en-US"/>
              </w:rPr>
              <w:t>anguage. It specifies</w:t>
            </w:r>
            <w:r w:rsidRPr="00C92647">
              <w:rPr>
                <w:lang w:val="en-US"/>
              </w:rPr>
              <w:t xml:space="preserve"> the particular function of IoT resources, their information and their operations which can be understandable by other services.</w:t>
            </w:r>
          </w:p>
        </w:tc>
      </w:tr>
      <w:tr w:rsidR="008B13CD" w14:paraId="67AA6246" w14:textId="77777777" w:rsidTr="0044453C">
        <w:tc>
          <w:tcPr>
            <w:tcW w:w="3085" w:type="dxa"/>
          </w:tcPr>
          <w:p w14:paraId="7D09EC9A" w14:textId="77777777" w:rsidR="008B13CD" w:rsidRPr="003C0565" w:rsidRDefault="008B13CD" w:rsidP="0044453C">
            <w:pPr>
              <w:pStyle w:val="Normal1"/>
              <w:rPr>
                <w:lang w:val="en-US"/>
              </w:rPr>
            </w:pPr>
            <w:r>
              <w:rPr>
                <w:lang w:val="en-US"/>
              </w:rPr>
              <w:t>Semantic alignment and linking</w:t>
            </w:r>
          </w:p>
        </w:tc>
        <w:tc>
          <w:tcPr>
            <w:tcW w:w="6804" w:type="dxa"/>
          </w:tcPr>
          <w:p w14:paraId="00C6DA1E" w14:textId="77777777" w:rsidR="008B13CD" w:rsidRPr="003C0565" w:rsidRDefault="008B13CD" w:rsidP="0044453C">
            <w:pPr>
              <w:pStyle w:val="Normal1"/>
              <w:rPr>
                <w:lang w:val="en-US"/>
              </w:rPr>
            </w:pPr>
            <w:r>
              <w:rPr>
                <w:lang w:val="en-US"/>
              </w:rPr>
              <w:t xml:space="preserve">The alignment process is performed through </w:t>
            </w:r>
            <w:r w:rsidRPr="00C92647">
              <w:rPr>
                <w:lang w:val="en-US"/>
              </w:rPr>
              <w:t xml:space="preserve">an alignment strategy based on the defined </w:t>
            </w:r>
            <w:r>
              <w:rPr>
                <w:lang w:val="en-US"/>
              </w:rPr>
              <w:t>semantic alignment algorithm, and</w:t>
            </w:r>
            <w:r w:rsidRPr="00C92647">
              <w:rPr>
                <w:lang w:val="en-US"/>
              </w:rPr>
              <w:t xml:space="preserve"> is to align </w:t>
            </w:r>
            <w:r w:rsidRPr="00C92647">
              <w:rPr>
                <w:lang w:val="en-US"/>
              </w:rPr>
              <w:lastRenderedPageBreak/>
              <w:t xml:space="preserve">the information model or the semantic schema with another schema build to represent the same information but with different semantics. The Semantic alignment and linking </w:t>
            </w:r>
            <w:r>
              <w:rPr>
                <w:lang w:val="en-US"/>
              </w:rPr>
              <w:t>capability</w:t>
            </w:r>
            <w:r w:rsidRPr="00C92647">
              <w:rPr>
                <w:lang w:val="en-US"/>
              </w:rPr>
              <w:t xml:space="preserve"> enables to resolve semantic heterogeneity in system</w:t>
            </w:r>
            <w:r>
              <w:rPr>
                <w:lang w:val="en-US"/>
              </w:rPr>
              <w:t>s</w:t>
            </w:r>
            <w:r w:rsidRPr="00C92647">
              <w:rPr>
                <w:lang w:val="en-US"/>
              </w:rPr>
              <w:t xml:space="preserve"> where models have different meanings or </w:t>
            </w:r>
            <w:r>
              <w:rPr>
                <w:lang w:val="en-US"/>
              </w:rPr>
              <w:t>semantics</w:t>
            </w:r>
            <w:r w:rsidRPr="00C92647">
              <w:rPr>
                <w:lang w:val="en-US"/>
              </w:rPr>
              <w:t>.</w:t>
            </w:r>
          </w:p>
        </w:tc>
      </w:tr>
      <w:tr w:rsidR="008B13CD" w14:paraId="5B6B3802" w14:textId="77777777" w:rsidTr="0044453C">
        <w:tc>
          <w:tcPr>
            <w:tcW w:w="3085" w:type="dxa"/>
          </w:tcPr>
          <w:p w14:paraId="0E890C2C" w14:textId="77777777" w:rsidR="008B13CD" w:rsidRPr="003C0565" w:rsidRDefault="008B13CD" w:rsidP="0044453C">
            <w:pPr>
              <w:pStyle w:val="Normal1"/>
              <w:rPr>
                <w:lang w:val="en-US"/>
              </w:rPr>
            </w:pPr>
            <w:r>
              <w:rPr>
                <w:lang w:val="en-US"/>
              </w:rPr>
              <w:lastRenderedPageBreak/>
              <w:t xml:space="preserve">Semantic validation </w:t>
            </w:r>
          </w:p>
        </w:tc>
        <w:tc>
          <w:tcPr>
            <w:tcW w:w="6804" w:type="dxa"/>
          </w:tcPr>
          <w:p w14:paraId="3AA4B2C6" w14:textId="77777777" w:rsidR="008B13CD" w:rsidRPr="003C0565" w:rsidRDefault="008B13CD" w:rsidP="0044453C">
            <w:pPr>
              <w:pStyle w:val="Normal1"/>
              <w:rPr>
                <w:lang w:val="en-US"/>
              </w:rPr>
            </w:pPr>
            <w:r w:rsidRPr="00C92647">
              <w:rPr>
                <w:lang w:val="en-US"/>
              </w:rPr>
              <w:t xml:space="preserve">The </w:t>
            </w:r>
            <w:r>
              <w:rPr>
                <w:lang w:val="en-US"/>
              </w:rPr>
              <w:t xml:space="preserve">capability </w:t>
            </w:r>
            <w:r w:rsidRPr="00C92647">
              <w:rPr>
                <w:lang w:val="en-US"/>
              </w:rPr>
              <w:t>verif</w:t>
            </w:r>
            <w:r>
              <w:rPr>
                <w:lang w:val="en-US"/>
              </w:rPr>
              <w:t>ies</w:t>
            </w:r>
            <w:r w:rsidRPr="00C92647">
              <w:rPr>
                <w:lang w:val="en-US"/>
              </w:rPr>
              <w:t xml:space="preserve"> the semantic conversion of data with defined schema.  It constitutes</w:t>
            </w:r>
            <w:r>
              <w:rPr>
                <w:lang w:val="en-US"/>
              </w:rPr>
              <w:t xml:space="preserve"> of</w:t>
            </w:r>
            <w:r w:rsidRPr="00C92647">
              <w:rPr>
                <w:lang w:val="en-US"/>
              </w:rPr>
              <w:t xml:space="preserve"> the mechanism to validate the semantic structure of the data with validation test case defined on the bas</w:t>
            </w:r>
            <w:r>
              <w:rPr>
                <w:lang w:val="en-US"/>
              </w:rPr>
              <w:t>i</w:t>
            </w:r>
            <w:r w:rsidRPr="00C92647">
              <w:rPr>
                <w:lang w:val="en-US"/>
              </w:rPr>
              <w:t>s of semantic ontology.</w:t>
            </w:r>
          </w:p>
        </w:tc>
      </w:tr>
      <w:tr w:rsidR="008B13CD" w14:paraId="62C088C0" w14:textId="77777777" w:rsidTr="0044453C">
        <w:tc>
          <w:tcPr>
            <w:tcW w:w="3085" w:type="dxa"/>
          </w:tcPr>
          <w:p w14:paraId="3B509C03" w14:textId="77777777" w:rsidR="008B13CD" w:rsidRPr="003C0565" w:rsidRDefault="008B13CD" w:rsidP="0044453C">
            <w:pPr>
              <w:pStyle w:val="Normal1"/>
              <w:rPr>
                <w:lang w:val="en-US"/>
              </w:rPr>
            </w:pPr>
            <w:r w:rsidRPr="001E3362">
              <w:rPr>
                <w:lang w:val="en-US"/>
              </w:rPr>
              <w:t>Syntax interpretat</w:t>
            </w:r>
            <w:r>
              <w:rPr>
                <w:lang w:val="en-US"/>
              </w:rPr>
              <w:t>ion</w:t>
            </w:r>
          </w:p>
        </w:tc>
        <w:tc>
          <w:tcPr>
            <w:tcW w:w="6804" w:type="dxa"/>
          </w:tcPr>
          <w:p w14:paraId="1E7DFF86" w14:textId="77777777" w:rsidR="008B13CD" w:rsidRPr="003C0565" w:rsidRDefault="008B13CD" w:rsidP="0044453C">
            <w:pPr>
              <w:pStyle w:val="Normal1"/>
              <w:rPr>
                <w:lang w:val="en-US"/>
              </w:rPr>
            </w:pPr>
            <w:r w:rsidRPr="001E3362">
              <w:rPr>
                <w:lang w:val="en-US"/>
              </w:rPr>
              <w:t xml:space="preserve">This </w:t>
            </w:r>
            <w:r>
              <w:rPr>
                <w:lang w:val="en-US"/>
              </w:rPr>
              <w:t>capability</w:t>
            </w:r>
            <w:r w:rsidRPr="001E3362">
              <w:rPr>
                <w:lang w:val="en-US"/>
              </w:rPr>
              <w:t xml:space="preserve"> provides conversion among diverse data formats. In case of API requests to individual platforms, this functional component translates the queries specific to the platforms, for which data or services are requested.</w:t>
            </w:r>
          </w:p>
        </w:tc>
      </w:tr>
      <w:tr w:rsidR="008B13CD" w14:paraId="605E5379" w14:textId="77777777" w:rsidTr="0044453C">
        <w:tc>
          <w:tcPr>
            <w:tcW w:w="3085" w:type="dxa"/>
          </w:tcPr>
          <w:p w14:paraId="0F4B1C1F" w14:textId="77777777" w:rsidR="008B13CD" w:rsidRPr="003C0565" w:rsidRDefault="008B13CD" w:rsidP="0044453C">
            <w:pPr>
              <w:pStyle w:val="Normal1"/>
              <w:rPr>
                <w:lang w:val="en-US"/>
              </w:rPr>
            </w:pPr>
            <w:r w:rsidRPr="001E3362">
              <w:rPr>
                <w:lang w:val="en-US"/>
              </w:rPr>
              <w:t>Schema translation</w:t>
            </w:r>
          </w:p>
        </w:tc>
        <w:tc>
          <w:tcPr>
            <w:tcW w:w="6804" w:type="dxa"/>
          </w:tcPr>
          <w:p w14:paraId="4F829A17" w14:textId="77777777" w:rsidR="008B13CD" w:rsidRPr="003C0565" w:rsidRDefault="008B13CD" w:rsidP="0044453C">
            <w:pPr>
              <w:pStyle w:val="Normal1"/>
              <w:rPr>
                <w:lang w:val="en-US"/>
              </w:rPr>
            </w:pPr>
            <w:r w:rsidRPr="001E3362">
              <w:rPr>
                <w:lang w:val="en-US"/>
              </w:rPr>
              <w:t>Th</w:t>
            </w:r>
            <w:r>
              <w:rPr>
                <w:lang w:val="en-US"/>
              </w:rPr>
              <w:t>e</w:t>
            </w:r>
            <w:r w:rsidRPr="001E3362">
              <w:rPr>
                <w:lang w:val="en-US"/>
              </w:rPr>
              <w:t xml:space="preserve"> </w:t>
            </w:r>
            <w:r>
              <w:rPr>
                <w:lang w:val="en-US"/>
              </w:rPr>
              <w:t>capability to provide</w:t>
            </w:r>
            <w:r w:rsidRPr="001E3362">
              <w:rPr>
                <w:lang w:val="en-US"/>
              </w:rPr>
              <w:t xml:space="preserve"> translation mechanism at schema level. Different platforms make use of different schemas to describe the data. The function provides the conversion to interoperate the schemas at platform level.</w:t>
            </w:r>
          </w:p>
        </w:tc>
      </w:tr>
      <w:tr w:rsidR="008B13CD" w14:paraId="1C7A7C2A" w14:textId="77777777" w:rsidTr="0044453C">
        <w:tc>
          <w:tcPr>
            <w:tcW w:w="3085" w:type="dxa"/>
          </w:tcPr>
          <w:p w14:paraId="1DB5311C" w14:textId="77777777" w:rsidR="008B13CD" w:rsidRPr="003C0565" w:rsidRDefault="008B13CD" w:rsidP="0044453C">
            <w:pPr>
              <w:pStyle w:val="Normal1"/>
              <w:rPr>
                <w:lang w:val="en-US"/>
              </w:rPr>
            </w:pPr>
            <w:r w:rsidRPr="001E3362">
              <w:rPr>
                <w:lang w:val="en-US"/>
              </w:rPr>
              <w:t>Syntactical validation</w:t>
            </w:r>
          </w:p>
        </w:tc>
        <w:tc>
          <w:tcPr>
            <w:tcW w:w="6804" w:type="dxa"/>
          </w:tcPr>
          <w:p w14:paraId="4B29C514" w14:textId="77777777" w:rsidR="008B13CD" w:rsidRPr="003C0565" w:rsidRDefault="008B13CD" w:rsidP="0044453C">
            <w:pPr>
              <w:pStyle w:val="Normal1"/>
              <w:rPr>
                <w:lang w:val="en-US"/>
              </w:rPr>
            </w:pPr>
            <w:r w:rsidRPr="001E3362">
              <w:rPr>
                <w:lang w:val="en-US"/>
              </w:rPr>
              <w:t xml:space="preserve">The </w:t>
            </w:r>
            <w:r>
              <w:rPr>
                <w:lang w:val="en-US"/>
              </w:rPr>
              <w:t>capability</w:t>
            </w:r>
            <w:r w:rsidRPr="001E3362">
              <w:rPr>
                <w:lang w:val="en-US"/>
              </w:rPr>
              <w:t xml:space="preserve"> used to verify the syntactical integrity of the translation.  It constitutes the mechanism to validate the syntactical structure of the data based on the defined base schema.</w:t>
            </w:r>
          </w:p>
        </w:tc>
      </w:tr>
      <w:tr w:rsidR="008B13CD" w14:paraId="5A8EE6FE" w14:textId="77777777" w:rsidTr="0044453C">
        <w:tc>
          <w:tcPr>
            <w:tcW w:w="3085" w:type="dxa"/>
          </w:tcPr>
          <w:p w14:paraId="21FA2051" w14:textId="77777777" w:rsidR="008B13CD" w:rsidRPr="003C0565" w:rsidRDefault="008B13CD" w:rsidP="0044453C">
            <w:pPr>
              <w:pStyle w:val="Normal1"/>
              <w:rPr>
                <w:lang w:val="en-US"/>
              </w:rPr>
            </w:pPr>
            <w:r w:rsidRPr="001E3362">
              <w:rPr>
                <w:lang w:val="en-US"/>
              </w:rPr>
              <w:t xml:space="preserve">Data </w:t>
            </w:r>
            <w:r>
              <w:rPr>
                <w:lang w:val="en-US"/>
              </w:rPr>
              <w:t>c</w:t>
            </w:r>
            <w:r w:rsidRPr="001E3362">
              <w:rPr>
                <w:lang w:val="en-US"/>
              </w:rPr>
              <w:t>lassification</w:t>
            </w:r>
          </w:p>
        </w:tc>
        <w:tc>
          <w:tcPr>
            <w:tcW w:w="6804" w:type="dxa"/>
          </w:tcPr>
          <w:p w14:paraId="13B67ABA" w14:textId="77777777" w:rsidR="008B13CD" w:rsidRPr="003C0565" w:rsidRDefault="008B13CD" w:rsidP="0044453C">
            <w:pPr>
              <w:pStyle w:val="Normal1"/>
              <w:rPr>
                <w:lang w:val="en-US"/>
              </w:rPr>
            </w:pPr>
            <w:r w:rsidRPr="001E3362">
              <w:rPr>
                <w:lang w:val="en-US"/>
              </w:rPr>
              <w:t xml:space="preserve">The capability </w:t>
            </w:r>
            <w:r>
              <w:rPr>
                <w:lang w:val="en-US"/>
              </w:rPr>
              <w:t>provides</w:t>
            </w:r>
            <w:r w:rsidRPr="001E3362">
              <w:rPr>
                <w:lang w:val="en-US"/>
              </w:rPr>
              <w:t xml:space="preserve"> the classification and categorization of data. It enables the classified representation to be understandable through abstract representation model.</w:t>
            </w:r>
            <w:r>
              <w:rPr>
                <w:lang w:val="en-US"/>
              </w:rPr>
              <w:t xml:space="preserve"> The sub </w:t>
            </w:r>
            <w:r w:rsidRPr="0009446D">
              <w:rPr>
                <w:lang w:val="en-US"/>
              </w:rPr>
              <w:t xml:space="preserve">capabilities of data classification </w:t>
            </w:r>
            <w:r>
              <w:rPr>
                <w:lang w:val="en-US"/>
              </w:rPr>
              <w:t>process includes c</w:t>
            </w:r>
            <w:r w:rsidRPr="0009446D">
              <w:rPr>
                <w:lang w:val="en-US"/>
              </w:rPr>
              <w:t>lassif</w:t>
            </w:r>
            <w:r>
              <w:rPr>
                <w:lang w:val="en-US"/>
              </w:rPr>
              <w:t>ying</w:t>
            </w:r>
            <w:r w:rsidRPr="0009446D">
              <w:rPr>
                <w:lang w:val="en-US"/>
              </w:rPr>
              <w:t xml:space="preserve"> the data based on the metadata available with the core data.</w:t>
            </w:r>
            <w:r>
              <w:rPr>
                <w:lang w:val="en-US"/>
              </w:rPr>
              <w:t xml:space="preserve"> Also t</w:t>
            </w:r>
            <w:r w:rsidRPr="0009446D">
              <w:rPr>
                <w:lang w:val="en-US"/>
              </w:rPr>
              <w:t>agging the data according to the abstract representation model.</w:t>
            </w:r>
          </w:p>
        </w:tc>
      </w:tr>
      <w:tr w:rsidR="008B13CD" w14:paraId="6C8D3A1B" w14:textId="77777777" w:rsidTr="0044453C">
        <w:tc>
          <w:tcPr>
            <w:tcW w:w="3085" w:type="dxa"/>
          </w:tcPr>
          <w:p w14:paraId="37408BAB" w14:textId="77777777" w:rsidR="008B13CD" w:rsidRPr="003C0565" w:rsidRDefault="008B13CD" w:rsidP="0044453C">
            <w:pPr>
              <w:pStyle w:val="Normal1"/>
              <w:rPr>
                <w:lang w:val="en-US"/>
              </w:rPr>
            </w:pPr>
            <w:r w:rsidRPr="001E3362">
              <w:rPr>
                <w:lang w:val="en-US"/>
              </w:rPr>
              <w:t xml:space="preserve">Data </w:t>
            </w:r>
            <w:r>
              <w:rPr>
                <w:lang w:val="en-US"/>
              </w:rPr>
              <w:t>i</w:t>
            </w:r>
            <w:r w:rsidRPr="001E3362">
              <w:rPr>
                <w:lang w:val="en-US"/>
              </w:rPr>
              <w:t>ntegration</w:t>
            </w:r>
          </w:p>
        </w:tc>
        <w:tc>
          <w:tcPr>
            <w:tcW w:w="6804" w:type="dxa"/>
          </w:tcPr>
          <w:p w14:paraId="423B0074" w14:textId="77777777" w:rsidR="008B13CD" w:rsidRPr="003C0565" w:rsidRDefault="008B13CD" w:rsidP="0044453C">
            <w:pPr>
              <w:pStyle w:val="Normal1"/>
              <w:rPr>
                <w:lang w:val="en-US"/>
              </w:rPr>
            </w:pPr>
            <w:r w:rsidRPr="001E3362">
              <w:rPr>
                <w:lang w:val="en-US"/>
              </w:rPr>
              <w:t xml:space="preserve">This </w:t>
            </w:r>
            <w:r>
              <w:rPr>
                <w:lang w:val="en-US"/>
              </w:rPr>
              <w:t>capability</w:t>
            </w:r>
            <w:r w:rsidRPr="001E3362">
              <w:rPr>
                <w:lang w:val="en-US"/>
              </w:rPr>
              <w:t xml:space="preserve"> enables mechanisms for the extraction and integration of data. As data can be from different sources, the function provides procedures to integrate the data in standard formats such as a common data model.</w:t>
            </w:r>
          </w:p>
        </w:tc>
      </w:tr>
      <w:tr w:rsidR="008B13CD" w14:paraId="2D3B8A4E" w14:textId="77777777" w:rsidTr="0044453C">
        <w:tc>
          <w:tcPr>
            <w:tcW w:w="3085" w:type="dxa"/>
          </w:tcPr>
          <w:p w14:paraId="00FB0118" w14:textId="77777777" w:rsidR="008B13CD" w:rsidRPr="003C0565" w:rsidRDefault="008B13CD" w:rsidP="0044453C">
            <w:pPr>
              <w:pStyle w:val="Normal1"/>
              <w:rPr>
                <w:lang w:val="en-US"/>
              </w:rPr>
            </w:pPr>
            <w:r w:rsidRPr="001E3362">
              <w:rPr>
                <w:lang w:val="en-US"/>
              </w:rPr>
              <w:t>Metadata descriptions and coding</w:t>
            </w:r>
          </w:p>
        </w:tc>
        <w:tc>
          <w:tcPr>
            <w:tcW w:w="6804" w:type="dxa"/>
          </w:tcPr>
          <w:p w14:paraId="38659CC2" w14:textId="77777777" w:rsidR="008B13CD" w:rsidRPr="003C0565" w:rsidRDefault="008B13CD" w:rsidP="0044453C">
            <w:pPr>
              <w:pStyle w:val="Normal1"/>
              <w:rPr>
                <w:lang w:val="en-US"/>
              </w:rPr>
            </w:pPr>
            <w:r>
              <w:rPr>
                <w:lang w:val="en-US"/>
              </w:rPr>
              <w:t xml:space="preserve">The capability </w:t>
            </w:r>
            <w:r w:rsidRPr="001E3362">
              <w:rPr>
                <w:lang w:val="en-US"/>
              </w:rPr>
              <w:t xml:space="preserve">allows the </w:t>
            </w:r>
            <w:r>
              <w:rPr>
                <w:lang w:val="en-US"/>
              </w:rPr>
              <w:t>m</w:t>
            </w:r>
            <w:r w:rsidRPr="001E3362">
              <w:rPr>
                <w:lang w:val="en-US"/>
              </w:rPr>
              <w:t>etadata to be assigned to the data converted to the representation format. It enables to assign codes and other metadata description to the core data in order to identify its sources.</w:t>
            </w:r>
          </w:p>
        </w:tc>
      </w:tr>
      <w:tr w:rsidR="008B13CD" w14:paraId="1D70308A" w14:textId="77777777" w:rsidTr="0044453C">
        <w:tc>
          <w:tcPr>
            <w:tcW w:w="3085" w:type="dxa"/>
          </w:tcPr>
          <w:p w14:paraId="6035B0BE" w14:textId="77777777" w:rsidR="008B13CD" w:rsidRPr="003C0565" w:rsidRDefault="008B13CD" w:rsidP="0044453C">
            <w:pPr>
              <w:pStyle w:val="Normal1"/>
              <w:rPr>
                <w:lang w:val="en-US"/>
              </w:rPr>
            </w:pPr>
            <w:r w:rsidRPr="001E3362">
              <w:rPr>
                <w:lang w:val="en-US"/>
              </w:rPr>
              <w:t xml:space="preserve">Syntactic description </w:t>
            </w:r>
            <w:r>
              <w:rPr>
                <w:lang w:val="en-US"/>
              </w:rPr>
              <w:t>storage</w:t>
            </w:r>
          </w:p>
        </w:tc>
        <w:tc>
          <w:tcPr>
            <w:tcW w:w="6804" w:type="dxa"/>
          </w:tcPr>
          <w:p w14:paraId="06CA6422" w14:textId="77777777" w:rsidR="008B13CD" w:rsidRPr="003C0565" w:rsidRDefault="008B13CD" w:rsidP="0044453C">
            <w:pPr>
              <w:pStyle w:val="Normal1"/>
              <w:rPr>
                <w:lang w:val="en-US"/>
              </w:rPr>
            </w:pPr>
            <w:r>
              <w:rPr>
                <w:lang w:val="en-US"/>
              </w:rPr>
              <w:t xml:space="preserve">The capability to gather, manage and </w:t>
            </w:r>
            <w:r w:rsidRPr="001E3362">
              <w:rPr>
                <w:lang w:val="en-US"/>
              </w:rPr>
              <w:t>facilitate persistence of different data formats.</w:t>
            </w:r>
          </w:p>
        </w:tc>
      </w:tr>
      <w:tr w:rsidR="008B13CD" w14:paraId="0D7157F6" w14:textId="77777777" w:rsidTr="0044453C">
        <w:tc>
          <w:tcPr>
            <w:tcW w:w="3085" w:type="dxa"/>
          </w:tcPr>
          <w:p w14:paraId="7402DCD8" w14:textId="77777777" w:rsidR="008B13CD" w:rsidRPr="00F1513D" w:rsidRDefault="008B13CD" w:rsidP="0044453C">
            <w:pPr>
              <w:pStyle w:val="Normal1"/>
            </w:pPr>
            <w:r w:rsidRPr="00F1513D">
              <w:t>Semantic registry</w:t>
            </w:r>
          </w:p>
        </w:tc>
        <w:tc>
          <w:tcPr>
            <w:tcW w:w="6804" w:type="dxa"/>
          </w:tcPr>
          <w:p w14:paraId="2CDF4BF2" w14:textId="77777777" w:rsidR="008B13CD" w:rsidRPr="003C0565" w:rsidRDefault="008B13CD" w:rsidP="0044453C">
            <w:pPr>
              <w:pStyle w:val="Normal1"/>
              <w:rPr>
                <w:lang w:val="en-US"/>
              </w:rPr>
            </w:pPr>
            <w:r>
              <w:rPr>
                <w:lang w:val="en-US"/>
              </w:rPr>
              <w:t xml:space="preserve">The capability </w:t>
            </w:r>
            <w:r w:rsidRPr="00F1513D">
              <w:rPr>
                <w:lang w:val="en-US"/>
              </w:rPr>
              <w:t xml:space="preserve">provides the functional </w:t>
            </w:r>
            <w:r>
              <w:rPr>
                <w:lang w:val="en-US"/>
              </w:rPr>
              <w:t>process</w:t>
            </w:r>
            <w:r w:rsidRPr="00F1513D">
              <w:rPr>
                <w:lang w:val="en-US"/>
              </w:rPr>
              <w:t xml:space="preserve"> to register and manage the semantic ontology models.</w:t>
            </w:r>
          </w:p>
        </w:tc>
      </w:tr>
      <w:tr w:rsidR="008B13CD" w14:paraId="55D9C664" w14:textId="77777777" w:rsidTr="0044453C">
        <w:tc>
          <w:tcPr>
            <w:tcW w:w="3085" w:type="dxa"/>
          </w:tcPr>
          <w:p w14:paraId="50483210" w14:textId="77777777" w:rsidR="008B13CD" w:rsidRPr="003C0565" w:rsidRDefault="008B13CD" w:rsidP="0044453C">
            <w:pPr>
              <w:pStyle w:val="Normal1"/>
              <w:rPr>
                <w:lang w:val="en-US"/>
              </w:rPr>
            </w:pPr>
            <w:r w:rsidRPr="00F1513D">
              <w:rPr>
                <w:lang w:val="en-US"/>
              </w:rPr>
              <w:t>Ontology discovery</w:t>
            </w:r>
          </w:p>
        </w:tc>
        <w:tc>
          <w:tcPr>
            <w:tcW w:w="6804" w:type="dxa"/>
          </w:tcPr>
          <w:p w14:paraId="7CB56467" w14:textId="77777777" w:rsidR="008B13CD" w:rsidRPr="003C0565" w:rsidRDefault="008B13CD" w:rsidP="0044453C">
            <w:pPr>
              <w:pStyle w:val="Normal1"/>
              <w:rPr>
                <w:lang w:val="en-US"/>
              </w:rPr>
            </w:pPr>
            <w:r>
              <w:rPr>
                <w:lang w:val="en-US"/>
              </w:rPr>
              <w:t xml:space="preserve">The process used to </w:t>
            </w:r>
            <w:r w:rsidRPr="00F1513D">
              <w:rPr>
                <w:lang w:val="en-US"/>
              </w:rPr>
              <w:t xml:space="preserve">search and </w:t>
            </w:r>
            <w:r>
              <w:rPr>
                <w:lang w:val="en-US"/>
              </w:rPr>
              <w:t xml:space="preserve">provide </w:t>
            </w:r>
            <w:r w:rsidRPr="00F1513D">
              <w:rPr>
                <w:lang w:val="en-US"/>
              </w:rPr>
              <w:t>matching of ontology records in the semantic description registry.</w:t>
            </w:r>
          </w:p>
        </w:tc>
      </w:tr>
      <w:tr w:rsidR="008B13CD" w14:paraId="4E56DD35" w14:textId="77777777" w:rsidTr="0044453C">
        <w:tc>
          <w:tcPr>
            <w:tcW w:w="3085" w:type="dxa"/>
          </w:tcPr>
          <w:p w14:paraId="1E9CD7A7" w14:textId="77777777" w:rsidR="008B13CD" w:rsidRPr="003C0565" w:rsidRDefault="008B13CD" w:rsidP="0044453C">
            <w:pPr>
              <w:pStyle w:val="Normal1"/>
              <w:rPr>
                <w:lang w:val="en-US"/>
              </w:rPr>
            </w:pPr>
            <w:r>
              <w:rPr>
                <w:lang w:val="en-US"/>
              </w:rPr>
              <w:t xml:space="preserve">Semantic </w:t>
            </w:r>
            <w:r w:rsidRPr="00F1513D">
              <w:rPr>
                <w:lang w:val="en-US"/>
              </w:rPr>
              <w:t>Data Model</w:t>
            </w:r>
          </w:p>
        </w:tc>
        <w:tc>
          <w:tcPr>
            <w:tcW w:w="6804" w:type="dxa"/>
          </w:tcPr>
          <w:p w14:paraId="0209D5AC" w14:textId="77777777" w:rsidR="008B13CD" w:rsidRPr="003C0565" w:rsidRDefault="008B13CD" w:rsidP="0044453C">
            <w:pPr>
              <w:pStyle w:val="Normal1"/>
              <w:rPr>
                <w:lang w:val="en-US"/>
              </w:rPr>
            </w:pPr>
            <w:r>
              <w:rPr>
                <w:lang w:val="en-US"/>
              </w:rPr>
              <w:t xml:space="preserve">The capability </w:t>
            </w:r>
            <w:r w:rsidRPr="00F1513D">
              <w:rPr>
                <w:lang w:val="en-US"/>
              </w:rPr>
              <w:t>provides the ability to express the semantic meaning of the exchanged dat</w:t>
            </w:r>
            <w:r>
              <w:rPr>
                <w:lang w:val="en-US"/>
              </w:rPr>
              <w:t>a using the information objects.</w:t>
            </w:r>
          </w:p>
        </w:tc>
      </w:tr>
      <w:tr w:rsidR="008B13CD" w14:paraId="201590F0" w14:textId="77777777" w:rsidTr="0044453C">
        <w:tc>
          <w:tcPr>
            <w:tcW w:w="3085" w:type="dxa"/>
          </w:tcPr>
          <w:p w14:paraId="75711D29" w14:textId="77777777" w:rsidR="008B13CD" w:rsidRPr="003C0565" w:rsidRDefault="008B13CD" w:rsidP="0044453C">
            <w:pPr>
              <w:pStyle w:val="Normal1"/>
              <w:rPr>
                <w:lang w:val="en-US"/>
              </w:rPr>
            </w:pPr>
            <w:r>
              <w:rPr>
                <w:lang w:val="en-US"/>
              </w:rPr>
              <w:lastRenderedPageBreak/>
              <w:t>Base ontology translation</w:t>
            </w:r>
          </w:p>
        </w:tc>
        <w:tc>
          <w:tcPr>
            <w:tcW w:w="6804" w:type="dxa"/>
          </w:tcPr>
          <w:p w14:paraId="0F7895C0" w14:textId="77777777" w:rsidR="008B13CD" w:rsidRPr="003C0565" w:rsidRDefault="008B13CD" w:rsidP="0044453C">
            <w:pPr>
              <w:pStyle w:val="Normal1"/>
              <w:rPr>
                <w:lang w:val="en-US"/>
              </w:rPr>
            </w:pPr>
            <w:r>
              <w:rPr>
                <w:lang w:val="en-US"/>
              </w:rPr>
              <w:t xml:space="preserve">The capability </w:t>
            </w:r>
            <w:r w:rsidRPr="00F1513D">
              <w:rPr>
                <w:lang w:val="en-US"/>
              </w:rPr>
              <w:t xml:space="preserve">delivers the functional </w:t>
            </w:r>
            <w:r>
              <w:rPr>
                <w:lang w:val="en-US"/>
              </w:rPr>
              <w:t>process</w:t>
            </w:r>
            <w:r w:rsidRPr="00F1513D">
              <w:rPr>
                <w:lang w:val="en-US"/>
              </w:rPr>
              <w:t xml:space="preserve"> of translation of concepts from a domain ontology model to the </w:t>
            </w:r>
            <w:r>
              <w:rPr>
                <w:lang w:val="en-US"/>
              </w:rPr>
              <w:t xml:space="preserve">common </w:t>
            </w:r>
            <w:r w:rsidRPr="00F1513D">
              <w:rPr>
                <w:lang w:val="en-US"/>
              </w:rPr>
              <w:t>base ontology model.</w:t>
            </w:r>
          </w:p>
        </w:tc>
      </w:tr>
      <w:tr w:rsidR="008B13CD" w14:paraId="13EDB5AB" w14:textId="77777777" w:rsidTr="0044453C">
        <w:tc>
          <w:tcPr>
            <w:tcW w:w="3085" w:type="dxa"/>
          </w:tcPr>
          <w:p w14:paraId="766604C7" w14:textId="77777777" w:rsidR="008B13CD" w:rsidRPr="003C0565" w:rsidRDefault="008B13CD" w:rsidP="0044453C">
            <w:pPr>
              <w:pStyle w:val="Normal1"/>
              <w:rPr>
                <w:lang w:val="en-US"/>
              </w:rPr>
            </w:pPr>
            <w:r>
              <w:rPr>
                <w:lang w:val="en-US"/>
              </w:rPr>
              <w:t>Entity Loading</w:t>
            </w:r>
          </w:p>
        </w:tc>
        <w:tc>
          <w:tcPr>
            <w:tcW w:w="6804" w:type="dxa"/>
          </w:tcPr>
          <w:p w14:paraId="42D22BF9" w14:textId="77777777" w:rsidR="008B13CD" w:rsidRPr="003C0565" w:rsidRDefault="008B13CD" w:rsidP="0044453C">
            <w:pPr>
              <w:pStyle w:val="Normal1"/>
              <w:rPr>
                <w:lang w:val="en-US"/>
              </w:rPr>
            </w:pPr>
            <w:r>
              <w:rPr>
                <w:lang w:val="en-US"/>
              </w:rPr>
              <w:t xml:space="preserve">The process </w:t>
            </w:r>
            <w:r w:rsidRPr="00B71ED8">
              <w:rPr>
                <w:lang w:val="en-US"/>
              </w:rPr>
              <w:t>to load the entities fr</w:t>
            </w:r>
            <w:r>
              <w:rPr>
                <w:lang w:val="en-US"/>
              </w:rPr>
              <w:t xml:space="preserve">om source and target ontologies in order to provide semantic alignment. To extract and load entities in semantic ontology models may comprise diverse type of information including concepts, properties, and individuals. </w:t>
            </w:r>
          </w:p>
        </w:tc>
      </w:tr>
      <w:tr w:rsidR="008B13CD" w14:paraId="189F74F6" w14:textId="77777777" w:rsidTr="0044453C">
        <w:tc>
          <w:tcPr>
            <w:tcW w:w="3085" w:type="dxa"/>
          </w:tcPr>
          <w:p w14:paraId="215F1C2B" w14:textId="77777777" w:rsidR="008B13CD" w:rsidRPr="003C0565" w:rsidRDefault="008B13CD" w:rsidP="0044453C">
            <w:pPr>
              <w:pStyle w:val="Normal1"/>
              <w:rPr>
                <w:lang w:val="en-US"/>
              </w:rPr>
            </w:pPr>
            <w:r w:rsidRPr="00B71ED8">
              <w:rPr>
                <w:lang w:val="en-US"/>
              </w:rPr>
              <w:t>Template discovery</w:t>
            </w:r>
          </w:p>
        </w:tc>
        <w:tc>
          <w:tcPr>
            <w:tcW w:w="6804" w:type="dxa"/>
          </w:tcPr>
          <w:p w14:paraId="58C85631" w14:textId="77777777" w:rsidR="008B13CD" w:rsidRPr="003C0565" w:rsidRDefault="008B13CD" w:rsidP="0044453C">
            <w:pPr>
              <w:pStyle w:val="Normal1"/>
              <w:rPr>
                <w:lang w:val="en-US"/>
              </w:rPr>
            </w:pPr>
            <w:r w:rsidRPr="00B71ED8">
              <w:rPr>
                <w:lang w:val="en-US"/>
              </w:rPr>
              <w:t xml:space="preserve">Template discovery </w:t>
            </w:r>
            <w:r>
              <w:rPr>
                <w:lang w:val="en-US"/>
              </w:rPr>
              <w:t xml:space="preserve">capability </w:t>
            </w:r>
            <w:r w:rsidRPr="00B71ED8">
              <w:rPr>
                <w:lang w:val="en-US"/>
              </w:rPr>
              <w:t>provides the functional</w:t>
            </w:r>
            <w:r>
              <w:rPr>
                <w:lang w:val="en-US"/>
              </w:rPr>
              <w:t>ity</w:t>
            </w:r>
            <w:r w:rsidRPr="00B71ED8">
              <w:rPr>
                <w:lang w:val="en-US"/>
              </w:rPr>
              <w:t xml:space="preserve"> to dis</w:t>
            </w:r>
            <w:r>
              <w:rPr>
                <w:lang w:val="en-US"/>
              </w:rPr>
              <w:t>cover existing syntax templates which contain platform level description of syntactical formats.</w:t>
            </w:r>
          </w:p>
        </w:tc>
      </w:tr>
      <w:tr w:rsidR="008B13CD" w14:paraId="7ED8C832" w14:textId="77777777" w:rsidTr="0044453C">
        <w:tc>
          <w:tcPr>
            <w:tcW w:w="3085" w:type="dxa"/>
          </w:tcPr>
          <w:p w14:paraId="3856CF12" w14:textId="77777777" w:rsidR="008B13CD" w:rsidRPr="003C0565" w:rsidRDefault="008B13CD" w:rsidP="0044453C">
            <w:pPr>
              <w:pStyle w:val="Normal1"/>
              <w:rPr>
                <w:lang w:val="en-US"/>
              </w:rPr>
            </w:pPr>
            <w:r>
              <w:rPr>
                <w:lang w:val="en-US"/>
              </w:rPr>
              <w:t>C</w:t>
            </w:r>
            <w:r w:rsidRPr="00B71ED8">
              <w:rPr>
                <w:lang w:val="en-US"/>
              </w:rPr>
              <w:t>ommon data model</w:t>
            </w:r>
            <w:r>
              <w:rPr>
                <w:lang w:val="en-US"/>
              </w:rPr>
              <w:t xml:space="preserve"> Creation</w:t>
            </w:r>
          </w:p>
        </w:tc>
        <w:tc>
          <w:tcPr>
            <w:tcW w:w="6804" w:type="dxa"/>
          </w:tcPr>
          <w:p w14:paraId="7552A6E0" w14:textId="77777777" w:rsidR="008B13CD" w:rsidRPr="003C0565" w:rsidRDefault="008B13CD" w:rsidP="0044453C">
            <w:pPr>
              <w:pStyle w:val="Normal1"/>
              <w:jc w:val="both"/>
              <w:rPr>
                <w:lang w:val="en-US"/>
              </w:rPr>
            </w:pPr>
            <w:r>
              <w:rPr>
                <w:lang w:val="en-US"/>
              </w:rPr>
              <w:t>The capability to develop a c</w:t>
            </w:r>
            <w:r w:rsidRPr="00B71ED8">
              <w:rPr>
                <w:lang w:val="en-US"/>
              </w:rPr>
              <w:t xml:space="preserve">ommon data model that is a set of data elements </w:t>
            </w:r>
            <w:r>
              <w:rPr>
                <w:lang w:val="en-US"/>
              </w:rPr>
              <w:t>which</w:t>
            </w:r>
            <w:r w:rsidRPr="00B71ED8">
              <w:rPr>
                <w:lang w:val="en-US"/>
              </w:rPr>
              <w:t xml:space="preserve"> can be mapped among different interoperating systems. A core of a data service that is populated with different data elements and useful in multiple application domains.</w:t>
            </w:r>
          </w:p>
        </w:tc>
      </w:tr>
      <w:tr w:rsidR="008B13CD" w14:paraId="5F58C3FD" w14:textId="77777777" w:rsidTr="0044453C">
        <w:tc>
          <w:tcPr>
            <w:tcW w:w="3085" w:type="dxa"/>
          </w:tcPr>
          <w:p w14:paraId="5D852ADC" w14:textId="77777777" w:rsidR="008B13CD" w:rsidRPr="003C0565" w:rsidRDefault="008B13CD" w:rsidP="0044453C">
            <w:pPr>
              <w:pStyle w:val="Normal1"/>
              <w:rPr>
                <w:lang w:val="en-US"/>
              </w:rPr>
            </w:pPr>
            <w:r w:rsidRPr="00C1544D">
              <w:rPr>
                <w:lang w:val="en-US"/>
              </w:rPr>
              <w:t>API syntax convertor</w:t>
            </w:r>
          </w:p>
        </w:tc>
        <w:tc>
          <w:tcPr>
            <w:tcW w:w="6804" w:type="dxa"/>
          </w:tcPr>
          <w:p w14:paraId="58CA2E22" w14:textId="77777777" w:rsidR="008B13CD" w:rsidRPr="003C0565" w:rsidRDefault="008B13CD" w:rsidP="0044453C">
            <w:pPr>
              <w:pStyle w:val="Normal1"/>
              <w:rPr>
                <w:lang w:val="en-US"/>
              </w:rPr>
            </w:pPr>
            <w:r>
              <w:rPr>
                <w:lang w:val="en-US"/>
              </w:rPr>
              <w:t xml:space="preserve">The capability </w:t>
            </w:r>
            <w:r w:rsidRPr="00C1544D">
              <w:rPr>
                <w:lang w:val="en-US"/>
              </w:rPr>
              <w:t xml:space="preserve">provides </w:t>
            </w:r>
            <w:r>
              <w:rPr>
                <w:lang w:val="en-US"/>
              </w:rPr>
              <w:t>functionality</w:t>
            </w:r>
            <w:r w:rsidRPr="00C1544D">
              <w:rPr>
                <w:lang w:val="en-US"/>
              </w:rPr>
              <w:t xml:space="preserve"> to translate the API syntax description </w:t>
            </w:r>
            <w:r>
              <w:rPr>
                <w:lang w:val="en-US"/>
              </w:rPr>
              <w:t xml:space="preserve">from diverse applications </w:t>
            </w:r>
            <w:r w:rsidRPr="00C1544D">
              <w:rPr>
                <w:lang w:val="en-US"/>
              </w:rPr>
              <w:t>to standard format.</w:t>
            </w:r>
          </w:p>
        </w:tc>
      </w:tr>
      <w:tr w:rsidR="008B13CD" w14:paraId="2A4A07C9" w14:textId="77777777" w:rsidTr="0044453C">
        <w:tc>
          <w:tcPr>
            <w:tcW w:w="3085" w:type="dxa"/>
          </w:tcPr>
          <w:p w14:paraId="6B63A17E" w14:textId="77777777" w:rsidR="008B13CD" w:rsidRPr="003C0565" w:rsidRDefault="008B13CD" w:rsidP="0044453C">
            <w:pPr>
              <w:pStyle w:val="Normal1"/>
              <w:rPr>
                <w:lang w:val="en-US"/>
              </w:rPr>
            </w:pPr>
            <w:r w:rsidRPr="00887E75">
              <w:rPr>
                <w:lang w:val="en-US"/>
              </w:rPr>
              <w:t>Base ontology repository</w:t>
            </w:r>
          </w:p>
        </w:tc>
        <w:tc>
          <w:tcPr>
            <w:tcW w:w="6804" w:type="dxa"/>
          </w:tcPr>
          <w:p w14:paraId="68373DC8" w14:textId="77777777" w:rsidR="008B13CD" w:rsidRPr="003C0565" w:rsidRDefault="008B13CD" w:rsidP="0044453C">
            <w:pPr>
              <w:pStyle w:val="Normal1"/>
              <w:rPr>
                <w:lang w:val="en-US"/>
              </w:rPr>
            </w:pPr>
            <w:r>
              <w:rPr>
                <w:lang w:val="en-US"/>
              </w:rPr>
              <w:t xml:space="preserve">The capability </w:t>
            </w:r>
            <w:r w:rsidRPr="00887E75">
              <w:rPr>
                <w:lang w:val="en-US"/>
              </w:rPr>
              <w:t xml:space="preserve">provides the </w:t>
            </w:r>
            <w:r>
              <w:rPr>
                <w:lang w:val="en-US"/>
              </w:rPr>
              <w:t>functionality</w:t>
            </w:r>
            <w:r w:rsidRPr="00887E75">
              <w:rPr>
                <w:lang w:val="en-US"/>
              </w:rPr>
              <w:t xml:space="preserve"> for the persistent storage, retrieval on the entities of base ontology model</w:t>
            </w:r>
            <w:r>
              <w:rPr>
                <w:lang w:val="en-US"/>
              </w:rPr>
              <w:t>. The semantic</w:t>
            </w:r>
            <w:r w:rsidRPr="00887E75">
              <w:rPr>
                <w:lang w:val="en-US"/>
              </w:rPr>
              <w:t xml:space="preserve"> base ontology provides the generic concepts to support the semantic interoperability.</w:t>
            </w:r>
          </w:p>
        </w:tc>
      </w:tr>
    </w:tbl>
    <w:p w14:paraId="1D3DDA52" w14:textId="77777777" w:rsidR="007B2B17" w:rsidRPr="00726A32" w:rsidRDefault="007B2B17" w:rsidP="007B2B17">
      <w:pPr>
        <w:pStyle w:val="Heading1"/>
        <w:pageBreakBefore/>
        <w:jc w:val="center"/>
        <w:rPr>
          <w:lang w:val="en-US"/>
        </w:rPr>
      </w:pPr>
      <w:bookmarkStart w:id="155" w:name="_Toc18321971"/>
      <w:bookmarkEnd w:id="24"/>
      <w:bookmarkEnd w:id="25"/>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726A32">
        <w:rPr>
          <w:lang w:val="en-US"/>
        </w:rPr>
        <w:lastRenderedPageBreak/>
        <w:t>Bibliography</w:t>
      </w:r>
      <w:bookmarkEnd w:id="155"/>
    </w:p>
    <w:p w14:paraId="68ED5062"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[b-ITU-T Y.4000/Y.2060]</w:t>
      </w:r>
      <w:r w:rsidRPr="00F9366D">
        <w:rPr>
          <w:color w:val="000000" w:themeColor="text1"/>
          <w:szCs w:val="24"/>
        </w:rPr>
        <w:tab/>
        <w:t>Recommendation ITU-T Y.4000/Y.2060 (2012),</w:t>
      </w:r>
      <w:r w:rsidRPr="00F9366D">
        <w:rPr>
          <w:i/>
          <w:color w:val="000000" w:themeColor="text1"/>
          <w:szCs w:val="24"/>
        </w:rPr>
        <w:t xml:space="preserve"> Overview of the Internet of things.</w:t>
      </w:r>
    </w:p>
    <w:p w14:paraId="73319C36"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[b-ISO/IEC 30182:2017]</w:t>
      </w:r>
      <w:r w:rsidRPr="00F9366D">
        <w:rPr>
          <w:color w:val="000000" w:themeColor="text1"/>
          <w:szCs w:val="24"/>
        </w:rPr>
        <w:tab/>
        <w:t xml:space="preserve">ISO/IEC 30182: 2017, </w:t>
      </w:r>
      <w:r w:rsidRPr="00F9366D">
        <w:rPr>
          <w:i/>
          <w:color w:val="000000" w:themeColor="text1"/>
          <w:szCs w:val="24"/>
        </w:rPr>
        <w:t>Smart city concept model — Guidance for establishing a model for data interoperability.</w:t>
      </w:r>
    </w:p>
    <w:p w14:paraId="5142B0F0"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[b-ITU-T Y.2091]</w:t>
      </w:r>
      <w:r w:rsidRPr="00F9366D">
        <w:rPr>
          <w:color w:val="000000" w:themeColor="text1"/>
          <w:szCs w:val="24"/>
        </w:rPr>
        <w:tab/>
      </w:r>
      <w:r w:rsidRPr="00F9366D">
        <w:rPr>
          <w:color w:val="000000" w:themeColor="text1"/>
          <w:szCs w:val="24"/>
        </w:rPr>
        <w:tab/>
        <w:t xml:space="preserve">Recommendation ITU-T Y.2091 (2011), </w:t>
      </w:r>
      <w:r w:rsidRPr="00F9366D">
        <w:rPr>
          <w:i/>
          <w:color w:val="000000" w:themeColor="text1"/>
          <w:szCs w:val="24"/>
        </w:rPr>
        <w:t>Next Generation Networks – Frameworks and functional architecture models: Terms and definitions for next generation networks.</w:t>
      </w:r>
    </w:p>
    <w:p w14:paraId="068AC1A1"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[b-ISO/Guide 73]</w:t>
      </w:r>
      <w:r w:rsidRPr="00F9366D">
        <w:rPr>
          <w:color w:val="000000" w:themeColor="text1"/>
          <w:szCs w:val="24"/>
        </w:rPr>
        <w:tab/>
      </w:r>
      <w:r w:rsidRPr="00F9366D">
        <w:rPr>
          <w:color w:val="000000" w:themeColor="text1"/>
          <w:szCs w:val="24"/>
        </w:rPr>
        <w:tab/>
        <w:t xml:space="preserve">ISO/Guide 73:2009, </w:t>
      </w:r>
      <w:r w:rsidRPr="00F9366D">
        <w:rPr>
          <w:i/>
          <w:color w:val="000000" w:themeColor="text1"/>
          <w:szCs w:val="24"/>
        </w:rPr>
        <w:t>Risk management — Vocabulary.</w:t>
      </w:r>
    </w:p>
    <w:p w14:paraId="1432FA2F"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[b-ITU-T X.1601]</w:t>
      </w:r>
      <w:r w:rsidRPr="00F9366D">
        <w:rPr>
          <w:color w:val="000000" w:themeColor="text1"/>
          <w:szCs w:val="24"/>
        </w:rPr>
        <w:tab/>
      </w:r>
      <w:r w:rsidRPr="00F9366D">
        <w:rPr>
          <w:color w:val="000000" w:themeColor="text1"/>
          <w:szCs w:val="24"/>
        </w:rPr>
        <w:tab/>
        <w:t xml:space="preserve">Recommendation ITU-T X.1601 (2015), </w:t>
      </w:r>
      <w:r w:rsidRPr="00F9366D">
        <w:rPr>
          <w:i/>
          <w:color w:val="000000" w:themeColor="text1"/>
          <w:szCs w:val="24"/>
        </w:rPr>
        <w:t>Security framework for cloud computing.</w:t>
      </w:r>
    </w:p>
    <w:p w14:paraId="02B49580"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[b-ISO 8000-2]</w:t>
      </w:r>
      <w:r w:rsidRPr="00F9366D">
        <w:rPr>
          <w:color w:val="000000" w:themeColor="text1"/>
          <w:szCs w:val="24"/>
        </w:rPr>
        <w:tab/>
      </w:r>
      <w:r w:rsidRPr="00F9366D">
        <w:rPr>
          <w:color w:val="000000" w:themeColor="text1"/>
          <w:szCs w:val="24"/>
        </w:rPr>
        <w:tab/>
      </w:r>
      <w:r w:rsidRPr="00F9366D">
        <w:rPr>
          <w:color w:val="000000" w:themeColor="text1"/>
          <w:szCs w:val="24"/>
        </w:rPr>
        <w:tab/>
        <w:t xml:space="preserve">ISO 8000-2:2017, </w:t>
      </w:r>
      <w:r w:rsidRPr="00F9366D">
        <w:rPr>
          <w:i/>
          <w:color w:val="000000" w:themeColor="text1"/>
          <w:szCs w:val="24"/>
        </w:rPr>
        <w:t>Data quality — Part 2: Vocabulary.</w:t>
      </w:r>
    </w:p>
    <w:p w14:paraId="64D7FA5B" w14:textId="77777777" w:rsidR="007B2B17" w:rsidRPr="00F9366D" w:rsidRDefault="007B2B17" w:rsidP="007B2B17">
      <w:pPr>
        <w:ind w:left="3828" w:hangingChars="1595" w:hanging="3828"/>
        <w:rPr>
          <w:i/>
          <w:color w:val="000000" w:themeColor="text1"/>
          <w:szCs w:val="24"/>
        </w:rPr>
      </w:pPr>
      <w:r w:rsidRPr="00F9366D">
        <w:rPr>
          <w:color w:val="000000" w:themeColor="text1"/>
          <w:szCs w:val="24"/>
        </w:rPr>
        <w:t>[b-ISO/IEC TR 10032]</w:t>
      </w:r>
      <w:r w:rsidRPr="00F9366D">
        <w:rPr>
          <w:color w:val="000000" w:themeColor="text1"/>
          <w:szCs w:val="24"/>
        </w:rPr>
        <w:tab/>
        <w:t xml:space="preserve">ISO/IEC TR 10032:2003, </w:t>
      </w:r>
      <w:r w:rsidRPr="00F9366D">
        <w:rPr>
          <w:i/>
          <w:color w:val="000000" w:themeColor="text1"/>
          <w:szCs w:val="24"/>
        </w:rPr>
        <w:t>Information technology — Reference Model of Data Management.</w:t>
      </w:r>
    </w:p>
    <w:p w14:paraId="4CAC715E" w14:textId="166504ED" w:rsidR="007B2B17" w:rsidRPr="00F9366D" w:rsidRDefault="007B2B17" w:rsidP="007B2B17">
      <w:pPr>
        <w:ind w:left="3828" w:hangingChars="1595" w:hanging="3828"/>
        <w:rPr>
          <w:i/>
          <w:color w:val="000000" w:themeColor="text1"/>
          <w:szCs w:val="24"/>
        </w:rPr>
      </w:pPr>
      <w:r w:rsidRPr="00F9366D">
        <w:rPr>
          <w:color w:val="000000" w:themeColor="text1"/>
          <w:szCs w:val="24"/>
        </w:rPr>
        <w:t>[b-ISO 5127]</w:t>
      </w:r>
      <w:r w:rsidRPr="00F9366D">
        <w:rPr>
          <w:color w:val="000000" w:themeColor="text1"/>
          <w:szCs w:val="24"/>
        </w:rPr>
        <w:tab/>
      </w:r>
      <w:r w:rsidR="00F9366D">
        <w:rPr>
          <w:color w:val="000000" w:themeColor="text1"/>
          <w:szCs w:val="24"/>
        </w:rPr>
        <w:tab/>
      </w:r>
      <w:r w:rsidR="00F9366D">
        <w:rPr>
          <w:color w:val="000000" w:themeColor="text1"/>
          <w:szCs w:val="24"/>
        </w:rPr>
        <w:tab/>
      </w:r>
      <w:r w:rsidRPr="00F9366D">
        <w:rPr>
          <w:color w:val="000000" w:themeColor="text1"/>
          <w:szCs w:val="24"/>
        </w:rPr>
        <w:t xml:space="preserve">ISO 5127:2017, </w:t>
      </w:r>
      <w:r w:rsidRPr="00F9366D">
        <w:rPr>
          <w:i/>
          <w:color w:val="000000" w:themeColor="text1"/>
          <w:szCs w:val="24"/>
        </w:rPr>
        <w:t>Information and documentation — Foundation and vocabulary.</w:t>
      </w:r>
    </w:p>
    <w:p w14:paraId="0E85FABE" w14:textId="7D4622ED" w:rsidR="007B2B17" w:rsidRPr="00F9366D" w:rsidRDefault="007B2B17" w:rsidP="007B2B17">
      <w:pPr>
        <w:ind w:left="3828" w:hangingChars="1595" w:hanging="3828"/>
        <w:rPr>
          <w:i/>
          <w:color w:val="000000" w:themeColor="text1"/>
          <w:szCs w:val="24"/>
        </w:rPr>
      </w:pPr>
      <w:r w:rsidRPr="00F9366D">
        <w:rPr>
          <w:color w:val="000000" w:themeColor="text1"/>
          <w:szCs w:val="24"/>
        </w:rPr>
        <w:t>[b-ISO 31000]</w:t>
      </w:r>
      <w:r w:rsidRPr="00F9366D">
        <w:rPr>
          <w:color w:val="000000" w:themeColor="text1"/>
          <w:szCs w:val="24"/>
        </w:rPr>
        <w:tab/>
      </w:r>
      <w:r w:rsidR="00F9366D">
        <w:rPr>
          <w:color w:val="000000" w:themeColor="text1"/>
          <w:szCs w:val="24"/>
        </w:rPr>
        <w:tab/>
      </w:r>
      <w:r w:rsidR="00F9366D">
        <w:rPr>
          <w:color w:val="000000" w:themeColor="text1"/>
          <w:szCs w:val="24"/>
        </w:rPr>
        <w:tab/>
      </w:r>
      <w:r w:rsidRPr="00F9366D">
        <w:rPr>
          <w:color w:val="000000" w:themeColor="text1"/>
          <w:szCs w:val="24"/>
        </w:rPr>
        <w:t xml:space="preserve">ISO 31000:2018, </w:t>
      </w:r>
      <w:r w:rsidRPr="00F9366D">
        <w:rPr>
          <w:i/>
          <w:color w:val="000000" w:themeColor="text1"/>
          <w:szCs w:val="24"/>
        </w:rPr>
        <w:t>Risk management — Guidelines.</w:t>
      </w:r>
    </w:p>
    <w:p w14:paraId="44F10B76" w14:textId="29C62E4D" w:rsidR="007B2B17" w:rsidRPr="00F9366D" w:rsidRDefault="007B2B17" w:rsidP="007B2B17">
      <w:pPr>
        <w:ind w:left="3828" w:hangingChars="1595" w:hanging="3828"/>
        <w:rPr>
          <w:szCs w:val="24"/>
        </w:rPr>
      </w:pPr>
      <w:r w:rsidRPr="00F9366D">
        <w:rPr>
          <w:szCs w:val="24"/>
        </w:rPr>
        <w:t>[b-ISO/IEC 120]</w:t>
      </w:r>
      <w:r w:rsidR="00F9366D">
        <w:rPr>
          <w:szCs w:val="24"/>
        </w:rPr>
        <w:tab/>
      </w:r>
      <w:r w:rsidR="00F9366D">
        <w:rPr>
          <w:szCs w:val="24"/>
        </w:rPr>
        <w:tab/>
      </w:r>
      <w:r w:rsidRPr="00F9366D">
        <w:rPr>
          <w:szCs w:val="24"/>
        </w:rPr>
        <w:t>Security aspects –Guidelines for their inclusion in publications</w:t>
      </w:r>
    </w:p>
    <w:p w14:paraId="6E518FCC" w14:textId="048AE705" w:rsidR="007B2B17" w:rsidRPr="00F9366D" w:rsidRDefault="007B2B17" w:rsidP="00F9366D">
      <w:pPr>
        <w:ind w:left="3828" w:hangingChars="1595" w:hanging="3828"/>
        <w:rPr>
          <w:i/>
          <w:color w:val="000000" w:themeColor="text1"/>
          <w:szCs w:val="24"/>
        </w:rPr>
      </w:pPr>
      <w:r w:rsidRPr="00F9366D">
        <w:rPr>
          <w:color w:val="000000" w:themeColor="text1"/>
          <w:szCs w:val="24"/>
        </w:rPr>
        <w:t>[b-ITU-T X.1252]</w:t>
      </w:r>
      <w:r w:rsidRPr="00F9366D">
        <w:rPr>
          <w:color w:val="000000" w:themeColor="text1"/>
          <w:szCs w:val="24"/>
        </w:rPr>
        <w:tab/>
      </w:r>
      <w:r w:rsidR="00F9366D">
        <w:rPr>
          <w:color w:val="000000" w:themeColor="text1"/>
          <w:szCs w:val="24"/>
        </w:rPr>
        <w:tab/>
      </w:r>
      <w:r w:rsidRPr="00F9366D">
        <w:rPr>
          <w:color w:val="000000" w:themeColor="text1"/>
          <w:szCs w:val="24"/>
        </w:rPr>
        <w:t xml:space="preserve">Recommendation ITU-T X.1252 (2010), </w:t>
      </w:r>
      <w:r w:rsidRPr="00F9366D">
        <w:rPr>
          <w:i/>
          <w:color w:val="000000" w:themeColor="text1"/>
          <w:szCs w:val="24"/>
        </w:rPr>
        <w:t>Baseline identity management terms and definitions.</w:t>
      </w:r>
    </w:p>
    <w:p w14:paraId="4A066E75" w14:textId="5FCD70CC" w:rsidR="007B2B17" w:rsidRPr="00F9366D" w:rsidRDefault="007B2B17" w:rsidP="00F9366D">
      <w:pPr>
        <w:ind w:left="3828" w:hangingChars="1595" w:hanging="3828"/>
        <w:rPr>
          <w:color w:val="000000" w:themeColor="text1"/>
          <w:szCs w:val="24"/>
        </w:rPr>
      </w:pPr>
      <w:r w:rsidRPr="00F9366D">
        <w:rPr>
          <w:color w:val="000000" w:themeColor="text1"/>
          <w:szCs w:val="24"/>
        </w:rPr>
        <w:t>[b-ISO/IEC 25010]</w:t>
      </w:r>
      <w:r w:rsidRPr="00F9366D">
        <w:rPr>
          <w:color w:val="000000" w:themeColor="text1"/>
          <w:szCs w:val="24"/>
        </w:rPr>
        <w:tab/>
      </w:r>
      <w:r w:rsidR="00F9366D">
        <w:rPr>
          <w:color w:val="000000" w:themeColor="text1"/>
          <w:szCs w:val="24"/>
        </w:rPr>
        <w:tab/>
      </w:r>
      <w:r w:rsidRPr="00F9366D">
        <w:rPr>
          <w:color w:val="000000" w:themeColor="text1"/>
          <w:szCs w:val="24"/>
        </w:rPr>
        <w:t>ISO/IEC 25010:2011, Systems and software engineering — Systems and software Quality Requirements and Evaluation (SQuaRE) — System and software quality models.</w:t>
      </w:r>
    </w:p>
    <w:p w14:paraId="73C86753" w14:textId="676D34F9" w:rsidR="007B2B17" w:rsidRPr="00F9366D" w:rsidRDefault="007B2B17" w:rsidP="00F9366D">
      <w:pPr>
        <w:ind w:left="3828" w:hangingChars="1595" w:hanging="3828"/>
        <w:rPr>
          <w:i/>
          <w:color w:val="000000" w:themeColor="text1"/>
          <w:szCs w:val="24"/>
          <w:lang w:val="fr-CH"/>
        </w:rPr>
      </w:pPr>
      <w:r w:rsidRPr="00F9366D">
        <w:rPr>
          <w:color w:val="000000" w:themeColor="text1"/>
          <w:szCs w:val="24"/>
          <w:lang w:val="fr-CH"/>
        </w:rPr>
        <w:t>[b-ITU-T Y.2720]</w:t>
      </w:r>
      <w:r w:rsidRPr="00F9366D">
        <w:rPr>
          <w:color w:val="000000" w:themeColor="text1"/>
          <w:szCs w:val="24"/>
          <w:lang w:val="fr-CH"/>
        </w:rPr>
        <w:tab/>
      </w:r>
      <w:r w:rsidR="00F9366D">
        <w:rPr>
          <w:color w:val="000000" w:themeColor="text1"/>
          <w:szCs w:val="24"/>
          <w:lang w:val="fr-CH"/>
        </w:rPr>
        <w:tab/>
      </w:r>
      <w:r w:rsidRPr="00F9366D">
        <w:rPr>
          <w:color w:val="000000" w:themeColor="text1"/>
          <w:szCs w:val="24"/>
        </w:rPr>
        <w:t>Recommendation</w:t>
      </w:r>
      <w:r w:rsidRPr="00F9366D">
        <w:rPr>
          <w:color w:val="000000" w:themeColor="text1"/>
          <w:szCs w:val="24"/>
          <w:lang w:val="fr-CH"/>
        </w:rPr>
        <w:t xml:space="preserve"> ITU-T Y.2720 (2009), </w:t>
      </w:r>
      <w:r w:rsidRPr="00F9366D">
        <w:rPr>
          <w:i/>
          <w:color w:val="000000" w:themeColor="text1"/>
          <w:szCs w:val="24"/>
          <w:lang w:val="fr-CH"/>
        </w:rPr>
        <w:t>NGN identity management framework.</w:t>
      </w:r>
    </w:p>
    <w:p w14:paraId="6A30DFC6" w14:textId="6CDDBAFF" w:rsidR="007B2B17" w:rsidRPr="00F9366D" w:rsidRDefault="007B2B17" w:rsidP="00F9366D">
      <w:pPr>
        <w:ind w:left="3828" w:hangingChars="1595" w:hanging="3828"/>
        <w:rPr>
          <w:i/>
          <w:color w:val="000000" w:themeColor="text1"/>
          <w:szCs w:val="24"/>
        </w:rPr>
      </w:pPr>
      <w:r w:rsidRPr="00F9366D">
        <w:rPr>
          <w:color w:val="000000" w:themeColor="text1"/>
          <w:szCs w:val="24"/>
        </w:rPr>
        <w:t>[b-ISO/IEC</w:t>
      </w:r>
      <w:r w:rsidR="00F232A2">
        <w:rPr>
          <w:color w:val="000000" w:themeColor="text1"/>
          <w:szCs w:val="24"/>
        </w:rPr>
        <w:t xml:space="preserve"> </w:t>
      </w:r>
      <w:r w:rsidRPr="00F9366D">
        <w:rPr>
          <w:color w:val="000000" w:themeColor="text1"/>
          <w:szCs w:val="24"/>
        </w:rPr>
        <w:t>TR</w:t>
      </w:r>
      <w:r w:rsidR="00F232A2">
        <w:rPr>
          <w:color w:val="000000" w:themeColor="text1"/>
          <w:szCs w:val="24"/>
        </w:rPr>
        <w:t xml:space="preserve"> </w:t>
      </w:r>
      <w:r w:rsidRPr="00F9366D">
        <w:rPr>
          <w:color w:val="000000" w:themeColor="text1"/>
          <w:szCs w:val="24"/>
        </w:rPr>
        <w:t>26927]</w:t>
      </w:r>
      <w:r w:rsidRPr="00F9366D">
        <w:rPr>
          <w:color w:val="000000" w:themeColor="text1"/>
          <w:szCs w:val="24"/>
        </w:rPr>
        <w:tab/>
      </w:r>
      <w:r w:rsidRPr="00F9366D">
        <w:rPr>
          <w:i/>
          <w:color w:val="000000" w:themeColor="text1"/>
          <w:szCs w:val="24"/>
          <w:lang w:val="fr-CH"/>
        </w:rPr>
        <w:t>ISO</w:t>
      </w:r>
      <w:r w:rsidRPr="00F9366D">
        <w:rPr>
          <w:color w:val="000000" w:themeColor="text1"/>
          <w:szCs w:val="24"/>
        </w:rPr>
        <w:t xml:space="preserve">/IEC TR 26927:2011, </w:t>
      </w:r>
      <w:r w:rsidRPr="00F9366D">
        <w:rPr>
          <w:i/>
          <w:color w:val="000000" w:themeColor="text1"/>
          <w:szCs w:val="24"/>
        </w:rPr>
        <w:t>Information technology — Telecommunications and information exchange between systems — Corporate telecommunication networks — Mobility for enterprise communications.</w:t>
      </w:r>
    </w:p>
    <w:p w14:paraId="70059C3F" w14:textId="1A9E2B5E" w:rsidR="007B2B17" w:rsidRPr="00F9366D" w:rsidRDefault="007B2B17" w:rsidP="00F9366D">
      <w:pPr>
        <w:ind w:left="3828" w:hangingChars="1595" w:hanging="3828"/>
        <w:rPr>
          <w:color w:val="000000" w:themeColor="text1"/>
          <w:szCs w:val="24"/>
        </w:rPr>
      </w:pPr>
      <w:r w:rsidRPr="00F9366D">
        <w:rPr>
          <w:color w:val="000000" w:themeColor="text1"/>
          <w:szCs w:val="24"/>
        </w:rPr>
        <w:t>[b-ITU-T Y.101]</w:t>
      </w:r>
      <w:r w:rsidRPr="00F9366D">
        <w:rPr>
          <w:color w:val="000000" w:themeColor="text1"/>
          <w:szCs w:val="24"/>
        </w:rPr>
        <w:tab/>
      </w:r>
      <w:r w:rsidR="00B37631">
        <w:rPr>
          <w:color w:val="000000" w:themeColor="text1"/>
          <w:szCs w:val="24"/>
        </w:rPr>
        <w:tab/>
      </w:r>
      <w:r w:rsidRPr="00F9366D">
        <w:rPr>
          <w:color w:val="000000" w:themeColor="text1"/>
          <w:szCs w:val="24"/>
        </w:rPr>
        <w:t xml:space="preserve">Recommendation ITU-T Y.101 (2000), </w:t>
      </w:r>
      <w:r w:rsidRPr="00F9366D">
        <w:rPr>
          <w:i/>
          <w:color w:val="000000" w:themeColor="text1"/>
          <w:szCs w:val="24"/>
        </w:rPr>
        <w:t>Global Information Infrastructure terminology: Terms and definitions.</w:t>
      </w:r>
    </w:p>
    <w:p w14:paraId="22481D9E" w14:textId="77777777" w:rsidR="007B2B17" w:rsidRPr="00F9366D" w:rsidRDefault="007B2B17" w:rsidP="00F9366D">
      <w:pPr>
        <w:ind w:left="3828" w:hangingChars="1595" w:hanging="3828"/>
        <w:rPr>
          <w:i/>
          <w:color w:val="000000" w:themeColor="text1"/>
          <w:szCs w:val="24"/>
        </w:rPr>
      </w:pPr>
      <w:r w:rsidRPr="00F9366D">
        <w:rPr>
          <w:color w:val="000000" w:themeColor="text1"/>
          <w:szCs w:val="24"/>
        </w:rPr>
        <w:t>[b-IEV ref 101-12-03]</w:t>
      </w:r>
      <w:r w:rsidRPr="00F9366D">
        <w:rPr>
          <w:color w:val="000000" w:themeColor="text1"/>
          <w:szCs w:val="24"/>
        </w:rPr>
        <w:tab/>
        <w:t xml:space="preserve">Ref 101-12-03, </w:t>
      </w:r>
      <w:r w:rsidRPr="00F9366D">
        <w:rPr>
          <w:i/>
          <w:color w:val="000000" w:themeColor="text1"/>
          <w:szCs w:val="24"/>
        </w:rPr>
        <w:t>Mathematics/Concepts related to information.</w:t>
      </w:r>
    </w:p>
    <w:p w14:paraId="43A4EC46" w14:textId="40F28001" w:rsidR="007B2B17" w:rsidRPr="00F9366D" w:rsidRDefault="007B2B17" w:rsidP="00F9366D">
      <w:pPr>
        <w:ind w:left="3828" w:hangingChars="1595" w:hanging="3828"/>
        <w:rPr>
          <w:i/>
          <w:color w:val="000000" w:themeColor="text1"/>
          <w:szCs w:val="24"/>
        </w:rPr>
      </w:pPr>
      <w:r w:rsidRPr="00F9366D">
        <w:rPr>
          <w:color w:val="000000" w:themeColor="text1"/>
          <w:szCs w:val="24"/>
        </w:rPr>
        <w:t>[b-PAS 185:2017]</w:t>
      </w:r>
      <w:r w:rsidRPr="00F9366D">
        <w:rPr>
          <w:color w:val="000000" w:themeColor="text1"/>
          <w:szCs w:val="24"/>
        </w:rPr>
        <w:tab/>
      </w:r>
      <w:r w:rsidR="00B37631">
        <w:rPr>
          <w:color w:val="000000" w:themeColor="text1"/>
          <w:szCs w:val="24"/>
        </w:rPr>
        <w:tab/>
      </w:r>
      <w:r w:rsidRPr="00F9366D">
        <w:rPr>
          <w:color w:val="000000" w:themeColor="text1"/>
          <w:szCs w:val="24"/>
        </w:rPr>
        <w:t xml:space="preserve">PAS 185, </w:t>
      </w:r>
      <w:r w:rsidRPr="00F9366D">
        <w:rPr>
          <w:i/>
          <w:color w:val="000000" w:themeColor="text1"/>
          <w:szCs w:val="24"/>
        </w:rPr>
        <w:t>Smart cities – Specification for establishing and implementing a security-minded approach.</w:t>
      </w:r>
    </w:p>
    <w:p w14:paraId="290903E9" w14:textId="3E239519" w:rsidR="007B2B17" w:rsidRPr="00F9366D" w:rsidRDefault="007B2B17" w:rsidP="00F9366D">
      <w:pPr>
        <w:ind w:left="3828" w:hangingChars="1595" w:hanging="3828"/>
        <w:rPr>
          <w:rFonts w:eastAsia="Times New Roman"/>
          <w:color w:val="000000"/>
          <w:szCs w:val="24"/>
          <w:lang w:val="en-US" w:eastAsia="fr-FR"/>
        </w:rPr>
      </w:pPr>
      <w:r w:rsidRPr="00F9366D">
        <w:rPr>
          <w:rFonts w:eastAsia="Times New Roman"/>
          <w:color w:val="000000"/>
          <w:szCs w:val="24"/>
          <w:lang w:val="en-US" w:eastAsia="fr-FR"/>
        </w:rPr>
        <w:t>[b-ITU-T Y.3052: 2017]</w:t>
      </w:r>
      <w:r w:rsidR="00B37631">
        <w:rPr>
          <w:rFonts w:eastAsia="Times New Roman"/>
          <w:color w:val="000000"/>
          <w:szCs w:val="24"/>
          <w:lang w:val="en-US" w:eastAsia="fr-FR"/>
        </w:rPr>
        <w:tab/>
      </w:r>
      <w:r w:rsidRPr="00F9366D">
        <w:rPr>
          <w:color w:val="000000" w:themeColor="text1"/>
          <w:szCs w:val="24"/>
        </w:rPr>
        <w:t>Overview</w:t>
      </w:r>
      <w:r w:rsidRPr="00F9366D">
        <w:rPr>
          <w:rFonts w:eastAsia="Times New Roman"/>
          <w:color w:val="000000"/>
          <w:szCs w:val="24"/>
          <w:lang w:val="en-US" w:eastAsia="fr-FR"/>
        </w:rPr>
        <w:t xml:space="preserve"> of trust provisioning for information and communication technology infrastructures and services  </w:t>
      </w:r>
    </w:p>
    <w:p w14:paraId="59E7CA40" w14:textId="4CDDB767" w:rsidR="007B2B17" w:rsidRPr="00F9366D" w:rsidRDefault="007B2B17" w:rsidP="00F9366D">
      <w:pPr>
        <w:ind w:left="3828" w:hangingChars="1595" w:hanging="3828"/>
        <w:rPr>
          <w:rFonts w:eastAsia="Times New Roman"/>
          <w:color w:val="000000"/>
          <w:szCs w:val="24"/>
          <w:lang w:val="en-US" w:eastAsia="fr-FR"/>
        </w:rPr>
      </w:pPr>
      <w:r w:rsidRPr="00F9366D">
        <w:rPr>
          <w:rFonts w:eastAsia="Times New Roman"/>
          <w:color w:val="000000"/>
          <w:szCs w:val="24"/>
          <w:lang w:val="en-US" w:eastAsia="fr-FR"/>
        </w:rPr>
        <w:t>[b-ITU-T Y.4905: 2019]</w:t>
      </w:r>
      <w:r w:rsidR="00B37631">
        <w:rPr>
          <w:rFonts w:eastAsia="Times New Roman"/>
          <w:color w:val="000000"/>
          <w:szCs w:val="24"/>
          <w:lang w:val="en-US" w:eastAsia="fr-FR"/>
        </w:rPr>
        <w:tab/>
      </w:r>
      <w:r w:rsidRPr="00F9366D">
        <w:rPr>
          <w:color w:val="000000" w:themeColor="text1"/>
          <w:szCs w:val="24"/>
        </w:rPr>
        <w:t>Smart</w:t>
      </w:r>
      <w:r w:rsidRPr="00F9366D">
        <w:rPr>
          <w:szCs w:val="24"/>
        </w:rPr>
        <w:t xml:space="preserve"> sustainable city impact assessment</w:t>
      </w:r>
    </w:p>
    <w:p w14:paraId="342B4A62" w14:textId="3ACF4F57" w:rsidR="007B2B17" w:rsidRPr="00F9366D" w:rsidRDefault="007B2B17" w:rsidP="00FA1A28">
      <w:pPr>
        <w:ind w:left="3828" w:hangingChars="1595" w:hanging="3828"/>
        <w:rPr>
          <w:rFonts w:eastAsia="SimSun"/>
          <w:color w:val="000000" w:themeColor="text1"/>
          <w:szCs w:val="24"/>
        </w:rPr>
      </w:pPr>
      <w:r w:rsidRPr="00F9366D">
        <w:rPr>
          <w:color w:val="000000" w:themeColor="text1"/>
          <w:szCs w:val="24"/>
        </w:rPr>
        <w:lastRenderedPageBreak/>
        <w:t>[</w:t>
      </w:r>
      <w:r w:rsidRPr="00F9366D">
        <w:rPr>
          <w:bCs/>
          <w:szCs w:val="24"/>
          <w:lang w:eastAsia="zh-CN"/>
        </w:rPr>
        <w:t xml:space="preserve">b-FG-DPM TS </w:t>
      </w:r>
      <w:r w:rsidRPr="00F9366D">
        <w:rPr>
          <w:color w:val="000000" w:themeColor="text1"/>
          <w:szCs w:val="24"/>
        </w:rPr>
        <w:t>D0.1]</w:t>
      </w:r>
      <w:r w:rsidR="00B37631">
        <w:rPr>
          <w:color w:val="000000" w:themeColor="text1"/>
          <w:szCs w:val="24"/>
        </w:rPr>
        <w:tab/>
      </w:r>
      <w:r w:rsidRPr="00F9366D">
        <w:rPr>
          <w:color w:val="000000" w:themeColor="text1"/>
          <w:szCs w:val="24"/>
        </w:rPr>
        <w:t>Draft</w:t>
      </w:r>
      <w:r w:rsidRPr="00F9366D">
        <w:rPr>
          <w:rFonts w:eastAsia="SimSun"/>
          <w:color w:val="000000" w:themeColor="text1"/>
          <w:szCs w:val="24"/>
        </w:rPr>
        <w:t xml:space="preserve"> Technical Specification “Data Processing and Management for IoT and Smart Cities and Communities: Vocabulary”</w:t>
      </w:r>
    </w:p>
    <w:p w14:paraId="7BD15662" w14:textId="09F29874" w:rsidR="007B2B17" w:rsidRPr="00F9366D" w:rsidRDefault="007B2B17" w:rsidP="007B2B17">
      <w:pPr>
        <w:ind w:left="3828" w:hangingChars="1595" w:hanging="3828"/>
        <w:rPr>
          <w:color w:val="000000" w:themeColor="text1"/>
          <w:szCs w:val="24"/>
        </w:rPr>
      </w:pPr>
      <w:r w:rsidRPr="00F9366D">
        <w:rPr>
          <w:color w:val="000000" w:themeColor="text1"/>
          <w:szCs w:val="24"/>
        </w:rPr>
        <w:t>[</w:t>
      </w:r>
      <w:r w:rsidRPr="00F9366D">
        <w:rPr>
          <w:bCs/>
          <w:szCs w:val="24"/>
          <w:lang w:eastAsia="zh-CN"/>
        </w:rPr>
        <w:t xml:space="preserve">b-FG-DPM TS </w:t>
      </w:r>
      <w:r w:rsidRPr="00F9366D">
        <w:rPr>
          <w:color w:val="000000" w:themeColor="text1"/>
          <w:szCs w:val="24"/>
        </w:rPr>
        <w:t>D3.5]</w:t>
      </w:r>
      <w:r w:rsidRPr="00F9366D">
        <w:rPr>
          <w:color w:val="000000" w:themeColor="text1"/>
          <w:szCs w:val="24"/>
        </w:rPr>
        <w:tab/>
        <w:t>Technical Report D3.5, “</w:t>
      </w:r>
      <w:r w:rsidRPr="00F9366D">
        <w:rPr>
          <w:i/>
          <w:color w:val="000000" w:themeColor="text1"/>
          <w:szCs w:val="24"/>
        </w:rPr>
        <w:t>Overview of Blockchain for supporting IoT and SC&amp;C in DPM aspects</w:t>
      </w:r>
      <w:r w:rsidRPr="00F9366D">
        <w:rPr>
          <w:color w:val="000000" w:themeColor="text1"/>
          <w:szCs w:val="24"/>
        </w:rPr>
        <w:t>”.</w:t>
      </w:r>
    </w:p>
    <w:p w14:paraId="28EBE411" w14:textId="34285285" w:rsidR="007B2B17" w:rsidRPr="00F9366D" w:rsidRDefault="007B2B17" w:rsidP="007B2B17">
      <w:pPr>
        <w:ind w:left="3828" w:hangingChars="1595" w:hanging="3828"/>
        <w:rPr>
          <w:color w:val="000000" w:themeColor="text1"/>
          <w:szCs w:val="24"/>
        </w:rPr>
      </w:pPr>
      <w:r w:rsidRPr="00F9366D">
        <w:rPr>
          <w:color w:val="000000" w:themeColor="text1"/>
          <w:szCs w:val="24"/>
        </w:rPr>
        <w:t>[</w:t>
      </w:r>
      <w:r w:rsidRPr="00F9366D">
        <w:rPr>
          <w:bCs/>
          <w:szCs w:val="24"/>
          <w:lang w:eastAsia="zh-CN"/>
        </w:rPr>
        <w:t xml:space="preserve">b-FG-DPM TS </w:t>
      </w:r>
      <w:r w:rsidRPr="00F9366D">
        <w:rPr>
          <w:color w:val="000000" w:themeColor="text1"/>
          <w:szCs w:val="24"/>
        </w:rPr>
        <w:t>D4.1]</w:t>
      </w:r>
      <w:r w:rsidRPr="00F9366D">
        <w:rPr>
          <w:color w:val="000000" w:themeColor="text1"/>
          <w:szCs w:val="24"/>
        </w:rPr>
        <w:tab/>
        <w:t>Technical Report D4.1, “Framework of Security and Privacy in DPM”.</w:t>
      </w:r>
    </w:p>
    <w:p w14:paraId="7C991A64" w14:textId="75B176D2" w:rsidR="007B2B17" w:rsidRPr="00F9366D" w:rsidRDefault="007B2B17" w:rsidP="007B2B17">
      <w:pPr>
        <w:ind w:left="3828" w:hangingChars="1595" w:hanging="3828"/>
        <w:rPr>
          <w:color w:val="000000" w:themeColor="text1"/>
          <w:szCs w:val="24"/>
        </w:rPr>
      </w:pPr>
      <w:r w:rsidRPr="00F9366D">
        <w:rPr>
          <w:color w:val="000000" w:themeColor="text1"/>
          <w:szCs w:val="24"/>
        </w:rPr>
        <w:t>[</w:t>
      </w:r>
      <w:r w:rsidRPr="00F9366D">
        <w:rPr>
          <w:bCs/>
          <w:szCs w:val="24"/>
          <w:lang w:eastAsia="zh-CN"/>
        </w:rPr>
        <w:t xml:space="preserve">b-FG-DPM TS </w:t>
      </w:r>
      <w:r w:rsidRPr="00F9366D">
        <w:rPr>
          <w:color w:val="000000" w:themeColor="text1"/>
          <w:szCs w:val="24"/>
        </w:rPr>
        <w:t>D4.3]</w:t>
      </w:r>
      <w:r w:rsidRPr="00F9366D">
        <w:rPr>
          <w:color w:val="000000" w:themeColor="text1"/>
          <w:szCs w:val="24"/>
        </w:rPr>
        <w:tab/>
        <w:t>Technical Report D4.3, “Requirements and Concerns about Technical Enablers for Trusted Data”.</w:t>
      </w:r>
    </w:p>
    <w:p w14:paraId="189673B4" w14:textId="39B87D73" w:rsidR="007B2B17" w:rsidRPr="00F9366D" w:rsidRDefault="007B2B17" w:rsidP="007B2B17">
      <w:pPr>
        <w:ind w:left="3828" w:hangingChars="1595" w:hanging="3828"/>
        <w:rPr>
          <w:color w:val="000000" w:themeColor="text1"/>
          <w:szCs w:val="24"/>
        </w:rPr>
      </w:pPr>
      <w:r w:rsidRPr="00F9366D">
        <w:rPr>
          <w:color w:val="000000" w:themeColor="text1"/>
          <w:szCs w:val="24"/>
        </w:rPr>
        <w:t>[</w:t>
      </w:r>
      <w:r w:rsidRPr="00F9366D">
        <w:rPr>
          <w:bCs/>
          <w:szCs w:val="24"/>
          <w:lang w:eastAsia="zh-CN"/>
        </w:rPr>
        <w:t xml:space="preserve">b-FG-DPM TS </w:t>
      </w:r>
      <w:r w:rsidRPr="00F9366D">
        <w:rPr>
          <w:color w:val="000000" w:themeColor="text1"/>
          <w:szCs w:val="24"/>
        </w:rPr>
        <w:t>D4.4]</w:t>
      </w:r>
      <w:r w:rsidRPr="00F9366D">
        <w:rPr>
          <w:color w:val="000000" w:themeColor="text1"/>
          <w:szCs w:val="24"/>
        </w:rPr>
        <w:tab/>
        <w:t>Technical report D4.4, “Data Quality Management for Trusted Data”.</w:t>
      </w:r>
    </w:p>
    <w:p w14:paraId="5EE18027" w14:textId="195EFE21" w:rsidR="007B2B17" w:rsidRPr="00F9366D" w:rsidRDefault="007B2B17" w:rsidP="007B2B17">
      <w:pPr>
        <w:ind w:left="3828" w:hangingChars="1595" w:hanging="3828"/>
        <w:rPr>
          <w:color w:val="000000" w:themeColor="text1"/>
          <w:szCs w:val="24"/>
        </w:rPr>
      </w:pPr>
      <w:r w:rsidRPr="00F9366D">
        <w:rPr>
          <w:color w:val="000000" w:themeColor="text1"/>
          <w:szCs w:val="24"/>
        </w:rPr>
        <w:t>[</w:t>
      </w:r>
      <w:r w:rsidRPr="00F9366D">
        <w:rPr>
          <w:bCs/>
          <w:szCs w:val="24"/>
          <w:lang w:eastAsia="zh-CN"/>
        </w:rPr>
        <w:t xml:space="preserve">b-FG-DPM TS </w:t>
      </w:r>
      <w:r w:rsidRPr="00F9366D">
        <w:rPr>
          <w:color w:val="000000" w:themeColor="text1"/>
          <w:szCs w:val="24"/>
        </w:rPr>
        <w:t>D5]</w:t>
      </w:r>
      <w:r w:rsidRPr="00F9366D">
        <w:rPr>
          <w:color w:val="000000" w:themeColor="text1"/>
          <w:szCs w:val="24"/>
        </w:rPr>
        <w:tab/>
      </w:r>
      <w:r w:rsidR="00FA1A28">
        <w:rPr>
          <w:color w:val="000000" w:themeColor="text1"/>
          <w:szCs w:val="24"/>
        </w:rPr>
        <w:tab/>
      </w:r>
      <w:r w:rsidRPr="00F9366D">
        <w:rPr>
          <w:color w:val="000000" w:themeColor="text1"/>
          <w:szCs w:val="24"/>
        </w:rPr>
        <w:t>Technical Specifications D5.1-D5.4, “Data Economy Impact, Commercialization and Monetization”.</w:t>
      </w:r>
    </w:p>
    <w:p w14:paraId="0BFE481D" w14:textId="32EB183D" w:rsidR="007B2B17" w:rsidRPr="00F9366D" w:rsidRDefault="007B2B17" w:rsidP="00FA1A28">
      <w:pPr>
        <w:ind w:left="3828" w:hangingChars="1595" w:hanging="3828"/>
        <w:rPr>
          <w:i/>
          <w:color w:val="000000" w:themeColor="text1"/>
          <w:szCs w:val="24"/>
        </w:rPr>
      </w:pPr>
      <w:r w:rsidRPr="00F9366D">
        <w:rPr>
          <w:i/>
          <w:color w:val="000000" w:themeColor="text1"/>
          <w:szCs w:val="24"/>
        </w:rPr>
        <w:t>[b-1]</w:t>
      </w:r>
      <w:r w:rsidR="00FA1A28">
        <w:rPr>
          <w:i/>
          <w:color w:val="000000" w:themeColor="text1"/>
          <w:szCs w:val="24"/>
        </w:rPr>
        <w:tab/>
      </w:r>
      <w:r w:rsidR="00FA1A28">
        <w:rPr>
          <w:i/>
          <w:color w:val="000000" w:themeColor="text1"/>
          <w:szCs w:val="24"/>
        </w:rPr>
        <w:tab/>
      </w:r>
      <w:r w:rsidR="00FA1A28">
        <w:rPr>
          <w:i/>
          <w:color w:val="000000" w:themeColor="text1"/>
          <w:szCs w:val="24"/>
        </w:rPr>
        <w:tab/>
      </w:r>
      <w:r w:rsidR="00FA1A28">
        <w:rPr>
          <w:i/>
          <w:color w:val="000000" w:themeColor="text1"/>
          <w:szCs w:val="24"/>
        </w:rPr>
        <w:tab/>
      </w:r>
      <w:r w:rsidR="00FA1A28">
        <w:rPr>
          <w:i/>
          <w:color w:val="000000" w:themeColor="text1"/>
          <w:szCs w:val="24"/>
        </w:rPr>
        <w:tab/>
      </w:r>
      <w:hyperlink r:id="rId28" w:history="1">
        <w:r w:rsidRPr="00F9366D">
          <w:rPr>
            <w:rStyle w:val="Hyperlink"/>
            <w:i/>
            <w:szCs w:val="24"/>
          </w:rPr>
          <w:t>https://www.itu.int/en/ITU-T/AI/2018/Documents/Presentations/Session%20Day%203%20-%202pm.pdf</w:t>
        </w:r>
      </w:hyperlink>
    </w:p>
    <w:p w14:paraId="35214240" w14:textId="209C4953" w:rsidR="007B2B17" w:rsidRPr="00F9366D" w:rsidRDefault="007B2B17" w:rsidP="00FA1A28">
      <w:pPr>
        <w:ind w:left="3828" w:hangingChars="1595" w:hanging="3828"/>
        <w:rPr>
          <w:i/>
          <w:color w:val="000000" w:themeColor="text1"/>
          <w:szCs w:val="24"/>
        </w:rPr>
      </w:pPr>
      <w:r w:rsidRPr="00F9366D">
        <w:rPr>
          <w:i/>
          <w:color w:val="000000" w:themeColor="text1"/>
          <w:szCs w:val="24"/>
        </w:rPr>
        <w:t>[b-2]</w:t>
      </w:r>
      <w:r w:rsidR="00FA1A28">
        <w:rPr>
          <w:i/>
          <w:color w:val="000000" w:themeColor="text1"/>
          <w:szCs w:val="24"/>
        </w:rPr>
        <w:tab/>
      </w:r>
      <w:r w:rsidR="00FA1A28">
        <w:rPr>
          <w:i/>
          <w:color w:val="000000" w:themeColor="text1"/>
          <w:szCs w:val="24"/>
        </w:rPr>
        <w:tab/>
      </w:r>
      <w:r w:rsidR="00FA1A28">
        <w:rPr>
          <w:i/>
          <w:color w:val="000000" w:themeColor="text1"/>
          <w:szCs w:val="24"/>
        </w:rPr>
        <w:tab/>
      </w:r>
      <w:r w:rsidR="00FA1A28">
        <w:rPr>
          <w:i/>
          <w:color w:val="000000" w:themeColor="text1"/>
          <w:szCs w:val="24"/>
        </w:rPr>
        <w:tab/>
      </w:r>
      <w:r w:rsidR="00FA1A28">
        <w:rPr>
          <w:i/>
          <w:color w:val="000000" w:themeColor="text1"/>
          <w:szCs w:val="24"/>
        </w:rPr>
        <w:tab/>
      </w:r>
      <w:hyperlink r:id="rId29" w:history="1">
        <w:r w:rsidRPr="00FA1A28">
          <w:rPr>
            <w:rStyle w:val="Hyperlink"/>
            <w:i/>
          </w:rPr>
          <w:t>https</w:t>
        </w:r>
        <w:r w:rsidRPr="00F9366D">
          <w:rPr>
            <w:rStyle w:val="Hyperlink"/>
            <w:i/>
            <w:szCs w:val="24"/>
          </w:rPr>
          <w:t>://sustainabledevelopment.un.org</w:t>
        </w:r>
      </w:hyperlink>
    </w:p>
    <w:p w14:paraId="57F75030" w14:textId="04DEA5EC" w:rsidR="007B2B17" w:rsidRPr="00F9366D" w:rsidRDefault="007B2B17" w:rsidP="00F232A2">
      <w:pPr>
        <w:ind w:left="3828" w:hangingChars="1595" w:hanging="3828"/>
        <w:rPr>
          <w:szCs w:val="24"/>
        </w:rPr>
      </w:pPr>
      <w:r w:rsidRPr="00F9366D">
        <w:rPr>
          <w:i/>
          <w:color w:val="000000" w:themeColor="text1"/>
          <w:szCs w:val="24"/>
        </w:rPr>
        <w:t>[b-3]</w:t>
      </w:r>
      <w:r w:rsidR="00F232A2">
        <w:rPr>
          <w:i/>
          <w:color w:val="000000" w:themeColor="text1"/>
          <w:szCs w:val="24"/>
        </w:rPr>
        <w:tab/>
      </w:r>
      <w:r w:rsidR="00F232A2">
        <w:rPr>
          <w:i/>
          <w:color w:val="000000" w:themeColor="text1"/>
          <w:szCs w:val="24"/>
        </w:rPr>
        <w:tab/>
      </w:r>
      <w:r w:rsidR="00F232A2">
        <w:rPr>
          <w:i/>
          <w:color w:val="000000" w:themeColor="text1"/>
          <w:szCs w:val="24"/>
        </w:rPr>
        <w:tab/>
      </w:r>
      <w:r w:rsidR="00F232A2">
        <w:rPr>
          <w:i/>
          <w:color w:val="000000" w:themeColor="text1"/>
          <w:szCs w:val="24"/>
        </w:rPr>
        <w:tab/>
      </w:r>
      <w:r w:rsidR="00F232A2">
        <w:rPr>
          <w:i/>
          <w:color w:val="000000" w:themeColor="text1"/>
          <w:szCs w:val="24"/>
        </w:rPr>
        <w:tab/>
      </w:r>
      <w:hyperlink r:id="rId30" w:history="1">
        <w:r w:rsidRPr="00F232A2">
          <w:rPr>
            <w:rStyle w:val="Hyperlink"/>
            <w:color w:val="000000" w:themeColor="text1"/>
            <w:szCs w:val="24"/>
          </w:rPr>
          <w:t>PrIoT</w:t>
        </w:r>
        <w:r w:rsidRPr="00F9366D">
          <w:rPr>
            <w:rStyle w:val="Hyperlink"/>
            <w:szCs w:val="24"/>
          </w:rPr>
          <w:t>: Prototyping the Internet of Things</w:t>
        </w:r>
      </w:hyperlink>
      <w:r w:rsidRPr="00F9366D">
        <w:rPr>
          <w:szCs w:val="24"/>
        </w:rPr>
        <w:t xml:space="preserve">, </w:t>
      </w:r>
      <w:r w:rsidRPr="00F9366D">
        <w:rPr>
          <w:szCs w:val="24"/>
          <w:lang w:val="en-US"/>
        </w:rPr>
        <w:t>N Pawar, T Bourgeau, H Chaouchi, FICLOUD 2018</w:t>
      </w:r>
      <w:r w:rsidRPr="00F9366D">
        <w:rPr>
          <w:szCs w:val="24"/>
        </w:rPr>
        <w:t>2018 IEEE 6th International Conference on Future Internet of Things and</w:t>
      </w:r>
    </w:p>
    <w:p w14:paraId="45CC3175" w14:textId="73450407" w:rsidR="007B2B17" w:rsidRPr="00806B30" w:rsidRDefault="007B2B17" w:rsidP="00F232A2">
      <w:pPr>
        <w:ind w:left="3828" w:hangingChars="1595" w:hanging="3828"/>
        <w:rPr>
          <w:rFonts w:eastAsia="Times New Roman"/>
          <w:color w:val="000000"/>
          <w:szCs w:val="24"/>
          <w:lang w:val="en-US" w:eastAsia="fr-FR"/>
        </w:rPr>
      </w:pPr>
      <w:r w:rsidRPr="00F9366D">
        <w:rPr>
          <w:rFonts w:eastAsia="Times New Roman"/>
          <w:color w:val="000000"/>
          <w:szCs w:val="24"/>
          <w:lang w:val="en-US" w:eastAsia="fr-FR"/>
        </w:rPr>
        <w:t>[b-OASC]</w:t>
      </w:r>
      <w:r w:rsidR="00F232A2">
        <w:rPr>
          <w:rFonts w:eastAsia="Times New Roman"/>
          <w:color w:val="000000"/>
          <w:szCs w:val="24"/>
          <w:lang w:val="en-US" w:eastAsia="fr-FR"/>
        </w:rPr>
        <w:tab/>
      </w:r>
      <w:r w:rsidR="00F232A2">
        <w:rPr>
          <w:rFonts w:eastAsia="Times New Roman"/>
          <w:color w:val="000000"/>
          <w:szCs w:val="24"/>
          <w:lang w:val="en-US" w:eastAsia="fr-FR"/>
        </w:rPr>
        <w:tab/>
      </w:r>
      <w:r w:rsidR="00F232A2">
        <w:rPr>
          <w:rFonts w:eastAsia="Times New Roman"/>
          <w:color w:val="000000"/>
          <w:szCs w:val="24"/>
          <w:lang w:val="en-US" w:eastAsia="fr-FR"/>
        </w:rPr>
        <w:tab/>
      </w:r>
      <w:r w:rsidR="00F232A2">
        <w:rPr>
          <w:rFonts w:eastAsia="Times New Roman"/>
          <w:color w:val="000000"/>
          <w:szCs w:val="24"/>
          <w:lang w:val="en-US" w:eastAsia="fr-FR"/>
        </w:rPr>
        <w:tab/>
      </w:r>
      <w:r w:rsidRPr="00F232A2">
        <w:rPr>
          <w:szCs w:val="24"/>
          <w:lang w:val="en-US"/>
        </w:rPr>
        <w:t>Open</w:t>
      </w:r>
      <w:r w:rsidRPr="00F9366D">
        <w:rPr>
          <w:color w:val="000000" w:themeColor="text1"/>
          <w:szCs w:val="24"/>
        </w:rPr>
        <w:t xml:space="preserve"> &amp; Agile Smart Cities </w:t>
      </w:r>
      <w:hyperlink r:id="rId31" w:history="1">
        <w:r w:rsidRPr="00F9366D">
          <w:rPr>
            <w:rStyle w:val="Hyperlink"/>
            <w:szCs w:val="24"/>
          </w:rPr>
          <w:t>https://oascities.org/</w:t>
        </w:r>
      </w:hyperlink>
    </w:p>
    <w:p w14:paraId="67AED287" w14:textId="68CCAB23" w:rsidR="00C55B47" w:rsidRPr="00EB1290" w:rsidRDefault="008B13CD" w:rsidP="008B13CD">
      <w:pPr>
        <w:keepNext/>
        <w:keepLines/>
        <w:tabs>
          <w:tab w:val="left" w:pos="4343"/>
        </w:tabs>
        <w:spacing w:before="480"/>
        <w:jc w:val="center"/>
        <w:rPr>
          <w:lang w:val="fr-FR" w:eastAsia="zh-CN"/>
        </w:rPr>
      </w:pPr>
      <w:r>
        <w:rPr>
          <w:lang w:val="fr-FR" w:eastAsia="zh-CN"/>
        </w:rPr>
        <w:t>_____________________</w:t>
      </w:r>
    </w:p>
    <w:sectPr w:rsidR="00C55B47" w:rsidRPr="00EB1290" w:rsidSect="00164EB8">
      <w:pgSz w:w="11907" w:h="16840" w:code="9"/>
      <w:pgMar w:top="1134" w:right="1418"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29DCC" w14:textId="77777777" w:rsidR="00DB28D4" w:rsidRDefault="00DB28D4">
      <w:r>
        <w:separator/>
      </w:r>
    </w:p>
  </w:endnote>
  <w:endnote w:type="continuationSeparator" w:id="0">
    <w:p w14:paraId="6493F72B" w14:textId="77777777" w:rsidR="00DB28D4" w:rsidRDefault="00DB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0998A" w14:textId="77777777" w:rsidR="00DB28D4" w:rsidRDefault="00DB28D4">
      <w:r>
        <w:t>____________________</w:t>
      </w:r>
    </w:p>
  </w:footnote>
  <w:footnote w:type="continuationSeparator" w:id="0">
    <w:p w14:paraId="1F2141EC" w14:textId="77777777" w:rsidR="00DB28D4" w:rsidRDefault="00DB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6D68F" w14:textId="65D22D45" w:rsidR="00CE3441" w:rsidRPr="00725D30" w:rsidRDefault="00CE3441" w:rsidP="00725D30">
    <w:pPr>
      <w:spacing w:before="0"/>
      <w:jc w:val="center"/>
      <w:rPr>
        <w:rFonts w:eastAsia="Batang"/>
        <w:sz w:val="18"/>
      </w:rPr>
    </w:pPr>
    <w:r w:rsidRPr="0012245A">
      <w:rPr>
        <w:rFonts w:eastAsia="Batang"/>
        <w:sz w:val="18"/>
      </w:rPr>
      <w:t xml:space="preserve">- </w:t>
    </w:r>
    <w:r w:rsidRPr="0012245A">
      <w:rPr>
        <w:rFonts w:eastAsia="Batang"/>
        <w:sz w:val="18"/>
      </w:rPr>
      <w:fldChar w:fldCharType="begin"/>
    </w:r>
    <w:r w:rsidRPr="0012245A">
      <w:rPr>
        <w:rFonts w:eastAsia="Batang"/>
        <w:sz w:val="18"/>
      </w:rPr>
      <w:instrText xml:space="preserve"> PAGE  \* MERGEFORMAT </w:instrText>
    </w:r>
    <w:r w:rsidRPr="0012245A">
      <w:rPr>
        <w:rFonts w:eastAsia="Batang"/>
        <w:sz w:val="18"/>
      </w:rPr>
      <w:fldChar w:fldCharType="separate"/>
    </w:r>
    <w:r w:rsidR="00F75135">
      <w:rPr>
        <w:rFonts w:eastAsia="Batang"/>
        <w:noProof/>
        <w:sz w:val="18"/>
      </w:rPr>
      <w:t>26</w:t>
    </w:r>
    <w:r w:rsidRPr="0012245A">
      <w:rPr>
        <w:rFonts w:eastAsia="Batang"/>
        <w:sz w:val="18"/>
      </w:rPr>
      <w:fldChar w:fldCharType="end"/>
    </w:r>
    <w:r w:rsidRPr="0012245A">
      <w:rPr>
        <w:rFonts w:eastAsia="Batang"/>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DDEB0" w14:textId="40D44CFF" w:rsidR="00CE3441" w:rsidRDefault="00CE3441" w:rsidP="00BF41AE">
    <w:pPr>
      <w:pStyle w:val="Header"/>
      <w:rPr>
        <w:noProof/>
      </w:rPr>
    </w:pPr>
    <w:r>
      <w:t xml:space="preserve">- </w:t>
    </w:r>
    <w:r>
      <w:fldChar w:fldCharType="begin"/>
    </w:r>
    <w:r>
      <w:instrText xml:space="preserve"> PAGE   \* MERGEFORMAT </w:instrText>
    </w:r>
    <w:r>
      <w:fldChar w:fldCharType="separate"/>
    </w:r>
    <w:r w:rsidR="00F75135">
      <w:rPr>
        <w:noProof/>
      </w:rPr>
      <w:t>25</w:t>
    </w:r>
    <w:r>
      <w:rPr>
        <w:noProof/>
      </w:rPr>
      <w:fldChar w:fldCharType="end"/>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02236C9"/>
    <w:multiLevelType w:val="multilevel"/>
    <w:tmpl w:val="D2268C7C"/>
    <w:lvl w:ilvl="0">
      <w:start w:val="3"/>
      <w:numFmt w:val="decimal"/>
      <w:lvlText w:val="%1"/>
      <w:lvlJc w:val="left"/>
      <w:pPr>
        <w:ind w:left="480" w:hanging="480"/>
      </w:pPr>
      <w:rPr>
        <w:rFonts w:eastAsia="Times New Roman" w:hint="default"/>
        <w:i/>
        <w:color w:val="000000" w:themeColor="text1"/>
      </w:rPr>
    </w:lvl>
    <w:lvl w:ilvl="1">
      <w:start w:val="2"/>
      <w:numFmt w:val="decimal"/>
      <w:lvlText w:val="%1.%2"/>
      <w:lvlJc w:val="left"/>
      <w:pPr>
        <w:ind w:left="480" w:hanging="480"/>
      </w:pPr>
      <w:rPr>
        <w:rFonts w:eastAsia="Times New Roman" w:hint="default"/>
        <w:i/>
        <w:color w:val="000000" w:themeColor="text1"/>
      </w:rPr>
    </w:lvl>
    <w:lvl w:ilvl="2">
      <w:start w:val="2"/>
      <w:numFmt w:val="decimal"/>
      <w:lvlText w:val="%1.%2.%3"/>
      <w:lvlJc w:val="left"/>
      <w:pPr>
        <w:ind w:left="720" w:hanging="720"/>
      </w:pPr>
      <w:rPr>
        <w:rFonts w:eastAsia="Times New Roman" w:hint="default"/>
        <w:i/>
        <w:color w:val="000000" w:themeColor="text1"/>
      </w:rPr>
    </w:lvl>
    <w:lvl w:ilvl="3">
      <w:start w:val="1"/>
      <w:numFmt w:val="decimal"/>
      <w:lvlText w:val="%1.%2.%3.%4"/>
      <w:lvlJc w:val="left"/>
      <w:pPr>
        <w:ind w:left="720" w:hanging="720"/>
      </w:pPr>
      <w:rPr>
        <w:rFonts w:eastAsia="Times New Roman" w:hint="default"/>
        <w:i/>
        <w:color w:val="000000" w:themeColor="text1"/>
      </w:rPr>
    </w:lvl>
    <w:lvl w:ilvl="4">
      <w:start w:val="1"/>
      <w:numFmt w:val="decimal"/>
      <w:lvlText w:val="%1.%2.%3.%4.%5"/>
      <w:lvlJc w:val="left"/>
      <w:pPr>
        <w:ind w:left="1080" w:hanging="1080"/>
      </w:pPr>
      <w:rPr>
        <w:rFonts w:eastAsia="Times New Roman" w:hint="default"/>
        <w:i/>
        <w:color w:val="000000" w:themeColor="text1"/>
      </w:rPr>
    </w:lvl>
    <w:lvl w:ilvl="5">
      <w:start w:val="1"/>
      <w:numFmt w:val="decimal"/>
      <w:lvlText w:val="%1.%2.%3.%4.%5.%6"/>
      <w:lvlJc w:val="left"/>
      <w:pPr>
        <w:ind w:left="1080" w:hanging="1080"/>
      </w:pPr>
      <w:rPr>
        <w:rFonts w:eastAsia="Times New Roman" w:hint="default"/>
        <w:i/>
        <w:color w:val="000000" w:themeColor="text1"/>
      </w:rPr>
    </w:lvl>
    <w:lvl w:ilvl="6">
      <w:start w:val="1"/>
      <w:numFmt w:val="decimal"/>
      <w:lvlText w:val="%1.%2.%3.%4.%5.%6.%7"/>
      <w:lvlJc w:val="left"/>
      <w:pPr>
        <w:ind w:left="1440" w:hanging="1440"/>
      </w:pPr>
      <w:rPr>
        <w:rFonts w:eastAsia="Times New Roman" w:hint="default"/>
        <w:i/>
        <w:color w:val="000000" w:themeColor="text1"/>
      </w:rPr>
    </w:lvl>
    <w:lvl w:ilvl="7">
      <w:start w:val="1"/>
      <w:numFmt w:val="decimal"/>
      <w:lvlText w:val="%1.%2.%3.%4.%5.%6.%7.%8"/>
      <w:lvlJc w:val="left"/>
      <w:pPr>
        <w:ind w:left="1440" w:hanging="1440"/>
      </w:pPr>
      <w:rPr>
        <w:rFonts w:eastAsia="Times New Roman" w:hint="default"/>
        <w:i/>
        <w:color w:val="000000" w:themeColor="text1"/>
      </w:rPr>
    </w:lvl>
    <w:lvl w:ilvl="8">
      <w:start w:val="1"/>
      <w:numFmt w:val="decimal"/>
      <w:lvlText w:val="%1.%2.%3.%4.%5.%6.%7.%8.%9"/>
      <w:lvlJc w:val="left"/>
      <w:pPr>
        <w:ind w:left="1800" w:hanging="1800"/>
      </w:pPr>
      <w:rPr>
        <w:rFonts w:eastAsia="Times New Roman" w:hint="default"/>
        <w:i/>
        <w:color w:val="000000" w:themeColor="text1"/>
      </w:rPr>
    </w:lvl>
  </w:abstractNum>
  <w:abstractNum w:abstractNumId="2" w15:restartNumberingAfterBreak="0">
    <w:nsid w:val="03626B51"/>
    <w:multiLevelType w:val="hybridMultilevel"/>
    <w:tmpl w:val="9176C614"/>
    <w:lvl w:ilvl="0" w:tplc="D4BA9BD8">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D384029"/>
    <w:multiLevelType w:val="multilevel"/>
    <w:tmpl w:val="4CB090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1E15A5"/>
    <w:multiLevelType w:val="hybridMultilevel"/>
    <w:tmpl w:val="95C07B66"/>
    <w:lvl w:ilvl="0" w:tplc="DC0C6D2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5E5ED4AA">
      <w:start w:val="1"/>
      <w:numFmt w:val="bullet"/>
      <w:lvlText w:val=""/>
      <w:lvlJc w:val="left"/>
      <w:pPr>
        <w:ind w:left="2340" w:hanging="360"/>
      </w:pPr>
      <w:rPr>
        <w:rFonts w:ascii="Wingdings" w:eastAsia="Times New Roman"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67E45"/>
    <w:multiLevelType w:val="hybridMultilevel"/>
    <w:tmpl w:val="BE5C732E"/>
    <w:lvl w:ilvl="0" w:tplc="AA4E1A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6D4DAC"/>
    <w:multiLevelType w:val="multilevel"/>
    <w:tmpl w:val="05444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A0153D"/>
    <w:multiLevelType w:val="multilevel"/>
    <w:tmpl w:val="0F769A0C"/>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4AE6A6C"/>
    <w:multiLevelType w:val="hybridMultilevel"/>
    <w:tmpl w:val="0AA268EA"/>
    <w:lvl w:ilvl="0" w:tplc="487C5284">
      <w:start w:val="1"/>
      <w:numFmt w:val="bullet"/>
      <w:lvlText w:val="▪"/>
      <w:lvlJc w:val="left"/>
      <w:pPr>
        <w:ind w:left="780" w:hanging="420"/>
      </w:pPr>
      <w:rPr>
        <w:rFonts w:ascii="Arial Unicode MS" w:eastAsia="Arial Unicode MS" w:hAnsi="Arial Unicode MS" w:hint="eastAsia"/>
      </w:rPr>
    </w:lvl>
    <w:lvl w:ilvl="1" w:tplc="487C5284">
      <w:start w:val="1"/>
      <w:numFmt w:val="bullet"/>
      <w:lvlText w:val="▪"/>
      <w:lvlJc w:val="left"/>
      <w:pPr>
        <w:ind w:left="1200" w:hanging="420"/>
      </w:pPr>
      <w:rPr>
        <w:rFonts w:ascii="Arial Unicode MS" w:eastAsia="Arial Unicode MS" w:hAnsi="Arial Unicode MS" w:hint="eastAsia"/>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25697985"/>
    <w:multiLevelType w:val="hybridMultilevel"/>
    <w:tmpl w:val="5A1428C8"/>
    <w:lvl w:ilvl="0" w:tplc="89C27D7C">
      <w:start w:val="1"/>
      <w:numFmt w:val="decimal"/>
      <w:pStyle w:val="titreTS"/>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51642C"/>
    <w:multiLevelType w:val="multilevel"/>
    <w:tmpl w:val="7A0CAD6E"/>
    <w:lvl w:ilvl="0">
      <w:start w:val="6"/>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C0B94"/>
    <w:multiLevelType w:val="hybridMultilevel"/>
    <w:tmpl w:val="DCDEC436"/>
    <w:lvl w:ilvl="0" w:tplc="AE30E1E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113FF6"/>
    <w:multiLevelType w:val="multilevel"/>
    <w:tmpl w:val="E3909E7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4474BE8"/>
    <w:multiLevelType w:val="hybridMultilevel"/>
    <w:tmpl w:val="6E04F2CC"/>
    <w:lvl w:ilvl="0" w:tplc="40B83C34">
      <w:start w:val="1"/>
      <w:numFmt w:val="bullet"/>
      <w:lvlText w:val="•"/>
      <w:lvlJc w:val="left"/>
      <w:pPr>
        <w:tabs>
          <w:tab w:val="num" w:pos="720"/>
        </w:tabs>
        <w:ind w:left="720" w:hanging="360"/>
      </w:pPr>
      <w:rPr>
        <w:rFonts w:ascii="Times New Roman" w:hAnsi="Times New Roman" w:hint="default"/>
      </w:rPr>
    </w:lvl>
    <w:lvl w:ilvl="1" w:tplc="0310BDBE" w:tentative="1">
      <w:start w:val="1"/>
      <w:numFmt w:val="bullet"/>
      <w:lvlText w:val="•"/>
      <w:lvlJc w:val="left"/>
      <w:pPr>
        <w:tabs>
          <w:tab w:val="num" w:pos="1440"/>
        </w:tabs>
        <w:ind w:left="1440" w:hanging="360"/>
      </w:pPr>
      <w:rPr>
        <w:rFonts w:ascii="Times New Roman" w:hAnsi="Times New Roman" w:hint="default"/>
      </w:rPr>
    </w:lvl>
    <w:lvl w:ilvl="2" w:tplc="C2086954" w:tentative="1">
      <w:start w:val="1"/>
      <w:numFmt w:val="bullet"/>
      <w:lvlText w:val="•"/>
      <w:lvlJc w:val="left"/>
      <w:pPr>
        <w:tabs>
          <w:tab w:val="num" w:pos="2160"/>
        </w:tabs>
        <w:ind w:left="2160" w:hanging="360"/>
      </w:pPr>
      <w:rPr>
        <w:rFonts w:ascii="Times New Roman" w:hAnsi="Times New Roman" w:hint="default"/>
      </w:rPr>
    </w:lvl>
    <w:lvl w:ilvl="3" w:tplc="11BA542A" w:tentative="1">
      <w:start w:val="1"/>
      <w:numFmt w:val="bullet"/>
      <w:lvlText w:val="•"/>
      <w:lvlJc w:val="left"/>
      <w:pPr>
        <w:tabs>
          <w:tab w:val="num" w:pos="2880"/>
        </w:tabs>
        <w:ind w:left="2880" w:hanging="360"/>
      </w:pPr>
      <w:rPr>
        <w:rFonts w:ascii="Times New Roman" w:hAnsi="Times New Roman" w:hint="default"/>
      </w:rPr>
    </w:lvl>
    <w:lvl w:ilvl="4" w:tplc="48C2A7AA" w:tentative="1">
      <w:start w:val="1"/>
      <w:numFmt w:val="bullet"/>
      <w:lvlText w:val="•"/>
      <w:lvlJc w:val="left"/>
      <w:pPr>
        <w:tabs>
          <w:tab w:val="num" w:pos="3600"/>
        </w:tabs>
        <w:ind w:left="3600" w:hanging="360"/>
      </w:pPr>
      <w:rPr>
        <w:rFonts w:ascii="Times New Roman" w:hAnsi="Times New Roman" w:hint="default"/>
      </w:rPr>
    </w:lvl>
    <w:lvl w:ilvl="5" w:tplc="CB04D91A" w:tentative="1">
      <w:start w:val="1"/>
      <w:numFmt w:val="bullet"/>
      <w:lvlText w:val="•"/>
      <w:lvlJc w:val="left"/>
      <w:pPr>
        <w:tabs>
          <w:tab w:val="num" w:pos="4320"/>
        </w:tabs>
        <w:ind w:left="4320" w:hanging="360"/>
      </w:pPr>
      <w:rPr>
        <w:rFonts w:ascii="Times New Roman" w:hAnsi="Times New Roman" w:hint="default"/>
      </w:rPr>
    </w:lvl>
    <w:lvl w:ilvl="6" w:tplc="673AA826" w:tentative="1">
      <w:start w:val="1"/>
      <w:numFmt w:val="bullet"/>
      <w:lvlText w:val="•"/>
      <w:lvlJc w:val="left"/>
      <w:pPr>
        <w:tabs>
          <w:tab w:val="num" w:pos="5040"/>
        </w:tabs>
        <w:ind w:left="5040" w:hanging="360"/>
      </w:pPr>
      <w:rPr>
        <w:rFonts w:ascii="Times New Roman" w:hAnsi="Times New Roman" w:hint="default"/>
      </w:rPr>
    </w:lvl>
    <w:lvl w:ilvl="7" w:tplc="2FE60178" w:tentative="1">
      <w:start w:val="1"/>
      <w:numFmt w:val="bullet"/>
      <w:lvlText w:val="•"/>
      <w:lvlJc w:val="left"/>
      <w:pPr>
        <w:tabs>
          <w:tab w:val="num" w:pos="5760"/>
        </w:tabs>
        <w:ind w:left="5760" w:hanging="360"/>
      </w:pPr>
      <w:rPr>
        <w:rFonts w:ascii="Times New Roman" w:hAnsi="Times New Roman" w:hint="default"/>
      </w:rPr>
    </w:lvl>
    <w:lvl w:ilvl="8" w:tplc="AD8C5B6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5E010C7"/>
    <w:multiLevelType w:val="hybridMultilevel"/>
    <w:tmpl w:val="C96C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90A41"/>
    <w:multiLevelType w:val="hybridMultilevel"/>
    <w:tmpl w:val="B27815E8"/>
    <w:lvl w:ilvl="0" w:tplc="645C89DE">
      <w:start w:val="8"/>
      <w:numFmt w:val="bullet"/>
      <w:lvlText w:val="-"/>
      <w:lvlJc w:val="left"/>
      <w:pPr>
        <w:ind w:left="720" w:hanging="360"/>
      </w:pPr>
      <w:rPr>
        <w:rFonts w:ascii="Times New Roman" w:eastAsia="Malgun 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16508A"/>
    <w:multiLevelType w:val="hybridMultilevel"/>
    <w:tmpl w:val="A13E2E34"/>
    <w:lvl w:ilvl="0" w:tplc="04090019">
      <w:start w:val="1"/>
      <w:numFmt w:val="lowerLetter"/>
      <w:lvlText w:val="%1."/>
      <w:lvlJc w:val="left"/>
      <w:pPr>
        <w:ind w:left="1510" w:hanging="360"/>
      </w:pPr>
      <w:rPr>
        <w:rFonts w:hint="default"/>
      </w:r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17" w15:restartNumberingAfterBreak="0">
    <w:nsid w:val="39610A4D"/>
    <w:multiLevelType w:val="hybridMultilevel"/>
    <w:tmpl w:val="A13E2E34"/>
    <w:lvl w:ilvl="0" w:tplc="04090019">
      <w:start w:val="1"/>
      <w:numFmt w:val="lowerLetter"/>
      <w:lvlText w:val="%1."/>
      <w:lvlJc w:val="left"/>
      <w:pPr>
        <w:ind w:left="1510" w:hanging="360"/>
      </w:pPr>
      <w:rPr>
        <w:rFonts w:hint="default"/>
      </w:r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18" w15:restartNumberingAfterBreak="0">
    <w:nsid w:val="3C303012"/>
    <w:multiLevelType w:val="hybridMultilevel"/>
    <w:tmpl w:val="7512C0CC"/>
    <w:lvl w:ilvl="0" w:tplc="373C4F44">
      <w:start w:val="1"/>
      <w:numFmt w:val="lowerLetter"/>
      <w:lvlText w:val="%1)"/>
      <w:lvlJc w:val="left"/>
      <w:pPr>
        <w:ind w:left="36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9C5936"/>
    <w:multiLevelType w:val="hybridMultilevel"/>
    <w:tmpl w:val="87C8728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457F4C3B"/>
    <w:multiLevelType w:val="multilevel"/>
    <w:tmpl w:val="5010F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69E70A5"/>
    <w:multiLevelType w:val="multilevel"/>
    <w:tmpl w:val="6AF009B4"/>
    <w:lvl w:ilvl="0">
      <w:start w:val="8"/>
      <w:numFmt w:val="decimal"/>
      <w:lvlText w:val="%1"/>
      <w:lvlJc w:val="left"/>
      <w:pPr>
        <w:ind w:left="360" w:hanging="360"/>
      </w:pPr>
      <w:rPr>
        <w:rFonts w:hint="default"/>
      </w:rPr>
    </w:lvl>
    <w:lvl w:ilvl="1">
      <w:start w:val="1"/>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275" w:hanging="72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005" w:hanging="108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9735" w:hanging="1440"/>
      </w:pPr>
      <w:rPr>
        <w:rFonts w:hint="default"/>
      </w:rPr>
    </w:lvl>
    <w:lvl w:ilvl="8">
      <w:start w:val="1"/>
      <w:numFmt w:val="decimal"/>
      <w:lvlText w:val="%1.%2.%3.%4.%5.%6.%7.%8.%9"/>
      <w:lvlJc w:val="left"/>
      <w:pPr>
        <w:ind w:left="11280" w:hanging="1800"/>
      </w:pPr>
      <w:rPr>
        <w:rFonts w:hint="default"/>
      </w:rPr>
    </w:lvl>
  </w:abstractNum>
  <w:abstractNum w:abstractNumId="23" w15:restartNumberingAfterBreak="0">
    <w:nsid w:val="46A03607"/>
    <w:multiLevelType w:val="hybridMultilevel"/>
    <w:tmpl w:val="F562573C"/>
    <w:lvl w:ilvl="0" w:tplc="487C5284">
      <w:start w:val="1"/>
      <w:numFmt w:val="bullet"/>
      <w:lvlText w:val="▪"/>
      <w:lvlJc w:val="left"/>
      <w:pPr>
        <w:ind w:left="780" w:hanging="420"/>
      </w:pPr>
      <w:rPr>
        <w:rFonts w:ascii="Arial Unicode MS" w:eastAsia="Arial Unicode MS" w:hAnsi="Arial Unicode MS" w:hint="eastAsia"/>
      </w:rPr>
    </w:lvl>
    <w:lvl w:ilvl="1" w:tplc="487C5284">
      <w:start w:val="1"/>
      <w:numFmt w:val="bullet"/>
      <w:lvlText w:val="▪"/>
      <w:lvlJc w:val="left"/>
      <w:pPr>
        <w:ind w:left="1200" w:hanging="420"/>
      </w:pPr>
      <w:rPr>
        <w:rFonts w:ascii="Arial Unicode MS" w:eastAsia="Arial Unicode MS" w:hAnsi="Arial Unicode MS" w:hint="eastAsia"/>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 w15:restartNumberingAfterBreak="0">
    <w:nsid w:val="477A661D"/>
    <w:multiLevelType w:val="multilevel"/>
    <w:tmpl w:val="543005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86F14D4"/>
    <w:multiLevelType w:val="hybridMultilevel"/>
    <w:tmpl w:val="83EECF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C6F7556"/>
    <w:multiLevelType w:val="hybridMultilevel"/>
    <w:tmpl w:val="31026CF8"/>
    <w:lvl w:ilvl="0" w:tplc="546AFB30">
      <w:numFmt w:val="bullet"/>
      <w:lvlText w:val="-"/>
      <w:lvlJc w:val="left"/>
      <w:pPr>
        <w:ind w:left="420" w:hanging="420"/>
      </w:pPr>
      <w:rPr>
        <w:rFonts w:ascii="Symbol" w:eastAsia="SimSun"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C27BE6"/>
    <w:multiLevelType w:val="multilevel"/>
    <w:tmpl w:val="03204AA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E456BFB"/>
    <w:multiLevelType w:val="multilevel"/>
    <w:tmpl w:val="A8C88358"/>
    <w:lvl w:ilvl="0">
      <w:start w:val="6"/>
      <w:numFmt w:val="decimal"/>
      <w:lvlText w:val="%1"/>
      <w:lvlJc w:val="left"/>
      <w:pPr>
        <w:ind w:left="660" w:hanging="660"/>
      </w:pPr>
      <w:rPr>
        <w:rFonts w:hint="default"/>
        <w:sz w:val="24"/>
      </w:rPr>
    </w:lvl>
    <w:lvl w:ilvl="1">
      <w:start w:val="3"/>
      <w:numFmt w:val="decimal"/>
      <w:lvlText w:val="%1.%2"/>
      <w:lvlJc w:val="left"/>
      <w:pPr>
        <w:ind w:left="900" w:hanging="660"/>
      </w:pPr>
      <w:rPr>
        <w:rFonts w:hint="default"/>
        <w:sz w:val="24"/>
      </w:rPr>
    </w:lvl>
    <w:lvl w:ilvl="2">
      <w:start w:val="4"/>
      <w:numFmt w:val="decimal"/>
      <w:lvlText w:val="%1.%2.%3"/>
      <w:lvlJc w:val="left"/>
      <w:pPr>
        <w:ind w:left="1200" w:hanging="720"/>
      </w:pPr>
      <w:rPr>
        <w:rFonts w:hint="default"/>
        <w:sz w:val="24"/>
      </w:rPr>
    </w:lvl>
    <w:lvl w:ilvl="3">
      <w:start w:val="3"/>
      <w:numFmt w:val="decimal"/>
      <w:lvlText w:val="%1.%2.%3.%4"/>
      <w:lvlJc w:val="left"/>
      <w:pPr>
        <w:ind w:left="1440" w:hanging="720"/>
      </w:pPr>
      <w:rPr>
        <w:rFonts w:hint="default"/>
        <w:sz w:val="24"/>
      </w:rPr>
    </w:lvl>
    <w:lvl w:ilvl="4">
      <w:start w:val="1"/>
      <w:numFmt w:val="decimal"/>
      <w:lvlText w:val="%1.%2.%3.%4.%5"/>
      <w:lvlJc w:val="left"/>
      <w:pPr>
        <w:ind w:left="2040" w:hanging="1080"/>
      </w:pPr>
      <w:rPr>
        <w:rFonts w:hint="default"/>
        <w:sz w:val="24"/>
      </w:rPr>
    </w:lvl>
    <w:lvl w:ilvl="5">
      <w:start w:val="1"/>
      <w:numFmt w:val="decimal"/>
      <w:lvlText w:val="%1.%2.%3.%4.%5.%6"/>
      <w:lvlJc w:val="left"/>
      <w:pPr>
        <w:ind w:left="2280" w:hanging="1080"/>
      </w:pPr>
      <w:rPr>
        <w:rFonts w:hint="default"/>
        <w:sz w:val="24"/>
      </w:rPr>
    </w:lvl>
    <w:lvl w:ilvl="6">
      <w:start w:val="1"/>
      <w:numFmt w:val="decimal"/>
      <w:lvlText w:val="%1.%2.%3.%4.%5.%6.%7"/>
      <w:lvlJc w:val="left"/>
      <w:pPr>
        <w:ind w:left="2880" w:hanging="1440"/>
      </w:pPr>
      <w:rPr>
        <w:rFonts w:hint="default"/>
        <w:sz w:val="24"/>
      </w:rPr>
    </w:lvl>
    <w:lvl w:ilvl="7">
      <w:start w:val="1"/>
      <w:numFmt w:val="decimal"/>
      <w:lvlText w:val="%1.%2.%3.%4.%5.%6.%7.%8"/>
      <w:lvlJc w:val="left"/>
      <w:pPr>
        <w:ind w:left="3120" w:hanging="1440"/>
      </w:pPr>
      <w:rPr>
        <w:rFonts w:hint="default"/>
        <w:sz w:val="24"/>
      </w:rPr>
    </w:lvl>
    <w:lvl w:ilvl="8">
      <w:start w:val="1"/>
      <w:numFmt w:val="decimal"/>
      <w:lvlText w:val="%1.%2.%3.%4.%5.%6.%7.%8.%9"/>
      <w:lvlJc w:val="left"/>
      <w:pPr>
        <w:ind w:left="3360" w:hanging="1440"/>
      </w:pPr>
      <w:rPr>
        <w:rFonts w:hint="default"/>
        <w:sz w:val="24"/>
      </w:rPr>
    </w:lvl>
  </w:abstractNum>
  <w:abstractNum w:abstractNumId="29" w15:restartNumberingAfterBreak="0">
    <w:nsid w:val="4EF003E9"/>
    <w:multiLevelType w:val="multilevel"/>
    <w:tmpl w:val="3E6E921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F175D0D"/>
    <w:multiLevelType w:val="hybridMultilevel"/>
    <w:tmpl w:val="DCDEC436"/>
    <w:lvl w:ilvl="0" w:tplc="AE30E1E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1236796"/>
    <w:multiLevelType w:val="hybridMultilevel"/>
    <w:tmpl w:val="60F05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A41430"/>
    <w:multiLevelType w:val="multilevel"/>
    <w:tmpl w:val="44B4297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2AF4AD4"/>
    <w:multiLevelType w:val="multilevel"/>
    <w:tmpl w:val="E946ACE2"/>
    <w:lvl w:ilvl="0">
      <w:start w:val="6"/>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B23077D"/>
    <w:multiLevelType w:val="hybridMultilevel"/>
    <w:tmpl w:val="CCC05644"/>
    <w:lvl w:ilvl="0" w:tplc="04090019">
      <w:start w:val="1"/>
      <w:numFmt w:val="lowerLetter"/>
      <w:lvlText w:val="%1."/>
      <w:lvlJc w:val="left"/>
      <w:pPr>
        <w:ind w:left="2214" w:hanging="360"/>
      </w:pPr>
      <w:rPr>
        <w:rFonts w:hint="default"/>
      </w:rPr>
    </w:lvl>
    <w:lvl w:ilvl="1" w:tplc="040C0019" w:tentative="1">
      <w:start w:val="1"/>
      <w:numFmt w:val="lowerLetter"/>
      <w:lvlText w:val="%2."/>
      <w:lvlJc w:val="left"/>
      <w:pPr>
        <w:ind w:left="2144" w:hanging="360"/>
      </w:pPr>
    </w:lvl>
    <w:lvl w:ilvl="2" w:tplc="040C001B" w:tentative="1">
      <w:start w:val="1"/>
      <w:numFmt w:val="lowerRoman"/>
      <w:lvlText w:val="%3."/>
      <w:lvlJc w:val="right"/>
      <w:pPr>
        <w:ind w:left="2864" w:hanging="180"/>
      </w:pPr>
    </w:lvl>
    <w:lvl w:ilvl="3" w:tplc="040C000F" w:tentative="1">
      <w:start w:val="1"/>
      <w:numFmt w:val="decimal"/>
      <w:lvlText w:val="%4."/>
      <w:lvlJc w:val="left"/>
      <w:pPr>
        <w:ind w:left="3584" w:hanging="360"/>
      </w:pPr>
    </w:lvl>
    <w:lvl w:ilvl="4" w:tplc="040C0019" w:tentative="1">
      <w:start w:val="1"/>
      <w:numFmt w:val="lowerLetter"/>
      <w:lvlText w:val="%5."/>
      <w:lvlJc w:val="left"/>
      <w:pPr>
        <w:ind w:left="4304" w:hanging="360"/>
      </w:pPr>
    </w:lvl>
    <w:lvl w:ilvl="5" w:tplc="040C001B" w:tentative="1">
      <w:start w:val="1"/>
      <w:numFmt w:val="lowerRoman"/>
      <w:lvlText w:val="%6."/>
      <w:lvlJc w:val="right"/>
      <w:pPr>
        <w:ind w:left="5024" w:hanging="180"/>
      </w:pPr>
    </w:lvl>
    <w:lvl w:ilvl="6" w:tplc="040C000F" w:tentative="1">
      <w:start w:val="1"/>
      <w:numFmt w:val="decimal"/>
      <w:lvlText w:val="%7."/>
      <w:lvlJc w:val="left"/>
      <w:pPr>
        <w:ind w:left="5744" w:hanging="360"/>
      </w:pPr>
    </w:lvl>
    <w:lvl w:ilvl="7" w:tplc="040C0019" w:tentative="1">
      <w:start w:val="1"/>
      <w:numFmt w:val="lowerLetter"/>
      <w:lvlText w:val="%8."/>
      <w:lvlJc w:val="left"/>
      <w:pPr>
        <w:ind w:left="6464" w:hanging="360"/>
      </w:pPr>
    </w:lvl>
    <w:lvl w:ilvl="8" w:tplc="040C001B" w:tentative="1">
      <w:start w:val="1"/>
      <w:numFmt w:val="lowerRoman"/>
      <w:lvlText w:val="%9."/>
      <w:lvlJc w:val="right"/>
      <w:pPr>
        <w:ind w:left="7184" w:hanging="180"/>
      </w:pPr>
    </w:lvl>
  </w:abstractNum>
  <w:abstractNum w:abstractNumId="35" w15:restartNumberingAfterBreak="0">
    <w:nsid w:val="60D802F0"/>
    <w:multiLevelType w:val="hybridMultilevel"/>
    <w:tmpl w:val="CFE03E9E"/>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6" w15:restartNumberingAfterBreak="0">
    <w:nsid w:val="64DC108B"/>
    <w:multiLevelType w:val="multilevel"/>
    <w:tmpl w:val="891801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8886F4F"/>
    <w:multiLevelType w:val="hybridMultilevel"/>
    <w:tmpl w:val="E4D42178"/>
    <w:lvl w:ilvl="0" w:tplc="826AB684">
      <w:start w:val="1"/>
      <w:numFmt w:val="bullet"/>
      <w:pStyle w:val="bullet1"/>
      <w:lvlText w:val=""/>
      <w:lvlJc w:val="left"/>
      <w:pPr>
        <w:ind w:left="720" w:hanging="360"/>
      </w:pPr>
      <w:rPr>
        <w:rFonts w:ascii="Wingdings" w:hAnsi="Wingdings" w:hint="default"/>
      </w:rPr>
    </w:lvl>
    <w:lvl w:ilvl="1" w:tplc="5364AB96">
      <w:start w:val="1"/>
      <w:numFmt w:val="bullet"/>
      <w:pStyle w:val="bullet2"/>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69925AD1"/>
    <w:multiLevelType w:val="hybridMultilevel"/>
    <w:tmpl w:val="DCAA24BA"/>
    <w:lvl w:ilvl="0" w:tplc="46A0B3F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D2358B"/>
    <w:multiLevelType w:val="hybridMultilevel"/>
    <w:tmpl w:val="A2506E6A"/>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55CA0"/>
    <w:multiLevelType w:val="hybridMultilevel"/>
    <w:tmpl w:val="6DD611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9"/>
  </w:num>
  <w:num w:numId="3">
    <w:abstractNumId w:val="6"/>
  </w:num>
  <w:num w:numId="4">
    <w:abstractNumId w:val="9"/>
  </w:num>
  <w:num w:numId="5">
    <w:abstractNumId w:val="30"/>
  </w:num>
  <w:num w:numId="6">
    <w:abstractNumId w:val="5"/>
  </w:num>
  <w:num w:numId="7">
    <w:abstractNumId w:val="7"/>
  </w:num>
  <w:num w:numId="8">
    <w:abstractNumId w:val="12"/>
  </w:num>
  <w:num w:numId="9">
    <w:abstractNumId w:val="17"/>
  </w:num>
  <w:num w:numId="10">
    <w:abstractNumId w:val="20"/>
  </w:num>
  <w:num w:numId="11">
    <w:abstractNumId w:val="4"/>
  </w:num>
  <w:num w:numId="12">
    <w:abstractNumId w:val="38"/>
  </w:num>
  <w:num w:numId="13">
    <w:abstractNumId w:val="35"/>
  </w:num>
  <w:num w:numId="14">
    <w:abstractNumId w:val="37"/>
  </w:num>
  <w:num w:numId="15">
    <w:abstractNumId w:val="2"/>
  </w:num>
  <w:num w:numId="16">
    <w:abstractNumId w:val="8"/>
  </w:num>
  <w:num w:numId="17">
    <w:abstractNumId w:val="23"/>
  </w:num>
  <w:num w:numId="18">
    <w:abstractNumId w:val="25"/>
  </w:num>
  <w:num w:numId="19">
    <w:abstractNumId w:val="31"/>
  </w:num>
  <w:num w:numId="20">
    <w:abstractNumId w:val="13"/>
  </w:num>
  <w:num w:numId="21">
    <w:abstractNumId w:val="26"/>
  </w:num>
  <w:num w:numId="22">
    <w:abstractNumId w:val="32"/>
  </w:num>
  <w:num w:numId="23">
    <w:abstractNumId w:val="33"/>
  </w:num>
  <w:num w:numId="24">
    <w:abstractNumId w:val="28"/>
  </w:num>
  <w:num w:numId="25">
    <w:abstractNumId w:val="16"/>
  </w:num>
  <w:num w:numId="26">
    <w:abstractNumId w:val="10"/>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34"/>
  </w:num>
  <w:num w:numId="41">
    <w:abstractNumId w:val="29"/>
  </w:num>
  <w:num w:numId="42">
    <w:abstractNumId w:val="11"/>
  </w:num>
  <w:num w:numId="43">
    <w:abstractNumId w:val="1"/>
  </w:num>
  <w:num w:numId="44">
    <w:abstractNumId w:val="27"/>
  </w:num>
  <w:num w:numId="45">
    <w:abstractNumId w:val="21"/>
  </w:num>
  <w:num w:numId="46">
    <w:abstractNumId w:val="24"/>
  </w:num>
  <w:num w:numId="47">
    <w:abstractNumId w:val="36"/>
  </w:num>
  <w:num w:numId="48">
    <w:abstractNumId w:val="15"/>
  </w:num>
  <w:num w:numId="49">
    <w:abstractNumId w:val="39"/>
  </w:num>
  <w:num w:numId="50">
    <w:abstractNumId w:val="14"/>
  </w:num>
  <w:num w:numId="51">
    <w:abstractNumId w:val="18"/>
  </w:num>
  <w:num w:numId="52">
    <w:abstractNumId w:val="40"/>
  </w:num>
  <w:num w:numId="53">
    <w:abstractNumId w:val="0"/>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n-AU" w:vendorID="64" w:dllVersion="6" w:nlCheck="1" w:checkStyle="1"/>
  <w:activeWritingStyle w:appName="MSWord" w:lang="de-DE" w:vendorID="64" w:dllVersion="6" w:nlCheck="1" w:checkStyle="1"/>
  <w:activeWritingStyle w:appName="MSWord" w:lang="en-IN" w:vendorID="64" w:dllVersion="6" w:nlCheck="1" w:checkStyle="1"/>
  <w:activeWritingStyle w:appName="MSWord" w:lang="fr-FR" w:vendorID="64" w:dllVersion="6" w:nlCheck="1" w:checkStyle="1"/>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DCF"/>
    <w:rsid w:val="00000686"/>
    <w:rsid w:val="00005FFC"/>
    <w:rsid w:val="00015453"/>
    <w:rsid w:val="00022FE3"/>
    <w:rsid w:val="00022FF0"/>
    <w:rsid w:val="0002528A"/>
    <w:rsid w:val="000571E4"/>
    <w:rsid w:val="000577E5"/>
    <w:rsid w:val="00060CC4"/>
    <w:rsid w:val="0006233D"/>
    <w:rsid w:val="00075050"/>
    <w:rsid w:val="00075F77"/>
    <w:rsid w:val="00084E38"/>
    <w:rsid w:val="00086371"/>
    <w:rsid w:val="00087BD3"/>
    <w:rsid w:val="00096A23"/>
    <w:rsid w:val="00096D10"/>
    <w:rsid w:val="000A212C"/>
    <w:rsid w:val="000A287B"/>
    <w:rsid w:val="000A60E8"/>
    <w:rsid w:val="000A754E"/>
    <w:rsid w:val="000B3EEB"/>
    <w:rsid w:val="000B48BF"/>
    <w:rsid w:val="000C5E8A"/>
    <w:rsid w:val="000D06B3"/>
    <w:rsid w:val="000E04F6"/>
    <w:rsid w:val="000E355E"/>
    <w:rsid w:val="000E5B04"/>
    <w:rsid w:val="000F0E42"/>
    <w:rsid w:val="000F22AD"/>
    <w:rsid w:val="000F3EAC"/>
    <w:rsid w:val="001012A7"/>
    <w:rsid w:val="001014ED"/>
    <w:rsid w:val="00116DCF"/>
    <w:rsid w:val="00123BE9"/>
    <w:rsid w:val="001240D8"/>
    <w:rsid w:val="0013384E"/>
    <w:rsid w:val="0013599C"/>
    <w:rsid w:val="001373BF"/>
    <w:rsid w:val="00147A98"/>
    <w:rsid w:val="001521A5"/>
    <w:rsid w:val="00152CA5"/>
    <w:rsid w:val="001550CB"/>
    <w:rsid w:val="00156515"/>
    <w:rsid w:val="0016165D"/>
    <w:rsid w:val="00164EB8"/>
    <w:rsid w:val="0016509B"/>
    <w:rsid w:val="00165A8E"/>
    <w:rsid w:val="00174AEF"/>
    <w:rsid w:val="001753C4"/>
    <w:rsid w:val="0018403B"/>
    <w:rsid w:val="00185363"/>
    <w:rsid w:val="00185A19"/>
    <w:rsid w:val="001904F6"/>
    <w:rsid w:val="0019395B"/>
    <w:rsid w:val="00195F02"/>
    <w:rsid w:val="001A45E9"/>
    <w:rsid w:val="001B5EAB"/>
    <w:rsid w:val="001B6ED1"/>
    <w:rsid w:val="001C107A"/>
    <w:rsid w:val="001C2372"/>
    <w:rsid w:val="001D5110"/>
    <w:rsid w:val="001E386B"/>
    <w:rsid w:val="001E637A"/>
    <w:rsid w:val="001F600B"/>
    <w:rsid w:val="001F66A0"/>
    <w:rsid w:val="002013EA"/>
    <w:rsid w:val="002068D6"/>
    <w:rsid w:val="00221A31"/>
    <w:rsid w:val="002241EB"/>
    <w:rsid w:val="00227F2A"/>
    <w:rsid w:val="002309F5"/>
    <w:rsid w:val="00234DAF"/>
    <w:rsid w:val="00237079"/>
    <w:rsid w:val="002376C1"/>
    <w:rsid w:val="00240FAD"/>
    <w:rsid w:val="00245D1F"/>
    <w:rsid w:val="00262B91"/>
    <w:rsid w:val="002631F5"/>
    <w:rsid w:val="0026753A"/>
    <w:rsid w:val="00274C9A"/>
    <w:rsid w:val="00283BA1"/>
    <w:rsid w:val="00296A26"/>
    <w:rsid w:val="002972E0"/>
    <w:rsid w:val="002A15F5"/>
    <w:rsid w:val="002A2404"/>
    <w:rsid w:val="002A75A5"/>
    <w:rsid w:val="002B2170"/>
    <w:rsid w:val="002B6E5A"/>
    <w:rsid w:val="002C4A99"/>
    <w:rsid w:val="002D0A0B"/>
    <w:rsid w:val="002D4DD1"/>
    <w:rsid w:val="002D5AE7"/>
    <w:rsid w:val="002D6FAE"/>
    <w:rsid w:val="002D7923"/>
    <w:rsid w:val="002E0144"/>
    <w:rsid w:val="002E0F55"/>
    <w:rsid w:val="002E5890"/>
    <w:rsid w:val="002E74A0"/>
    <w:rsid w:val="002F5B00"/>
    <w:rsid w:val="002F7A09"/>
    <w:rsid w:val="00302A5B"/>
    <w:rsid w:val="00312EE1"/>
    <w:rsid w:val="003239B9"/>
    <w:rsid w:val="00323E8C"/>
    <w:rsid w:val="0033111A"/>
    <w:rsid w:val="00335CDE"/>
    <w:rsid w:val="003538C0"/>
    <w:rsid w:val="00356B85"/>
    <w:rsid w:val="00356D5E"/>
    <w:rsid w:val="003601B0"/>
    <w:rsid w:val="00362D3D"/>
    <w:rsid w:val="00366E5B"/>
    <w:rsid w:val="00377426"/>
    <w:rsid w:val="003808E3"/>
    <w:rsid w:val="00380E8A"/>
    <w:rsid w:val="003860AE"/>
    <w:rsid w:val="003A0344"/>
    <w:rsid w:val="003A191C"/>
    <w:rsid w:val="003A55B6"/>
    <w:rsid w:val="003B0E72"/>
    <w:rsid w:val="003B3A29"/>
    <w:rsid w:val="003C2262"/>
    <w:rsid w:val="003C3263"/>
    <w:rsid w:val="003C4C40"/>
    <w:rsid w:val="003D49C9"/>
    <w:rsid w:val="003D796A"/>
    <w:rsid w:val="003F1043"/>
    <w:rsid w:val="003F1163"/>
    <w:rsid w:val="003F204A"/>
    <w:rsid w:val="00405775"/>
    <w:rsid w:val="00412994"/>
    <w:rsid w:val="0041420B"/>
    <w:rsid w:val="0041539F"/>
    <w:rsid w:val="00423B7C"/>
    <w:rsid w:val="00433E4C"/>
    <w:rsid w:val="004363A4"/>
    <w:rsid w:val="00436874"/>
    <w:rsid w:val="00443E7D"/>
    <w:rsid w:val="00445C10"/>
    <w:rsid w:val="0045009E"/>
    <w:rsid w:val="00455BE3"/>
    <w:rsid w:val="0046085B"/>
    <w:rsid w:val="00464A7D"/>
    <w:rsid w:val="00464CD2"/>
    <w:rsid w:val="00465492"/>
    <w:rsid w:val="004765B6"/>
    <w:rsid w:val="00484045"/>
    <w:rsid w:val="0049069D"/>
    <w:rsid w:val="004A51E8"/>
    <w:rsid w:val="004A6146"/>
    <w:rsid w:val="004B2C2D"/>
    <w:rsid w:val="004C084A"/>
    <w:rsid w:val="004C37E7"/>
    <w:rsid w:val="004E47E4"/>
    <w:rsid w:val="004E61C0"/>
    <w:rsid w:val="004E7D87"/>
    <w:rsid w:val="004F5EEC"/>
    <w:rsid w:val="004F77C6"/>
    <w:rsid w:val="00503F7B"/>
    <w:rsid w:val="00504030"/>
    <w:rsid w:val="0050546F"/>
    <w:rsid w:val="00512F1E"/>
    <w:rsid w:val="00515B32"/>
    <w:rsid w:val="0052502B"/>
    <w:rsid w:val="0052553A"/>
    <w:rsid w:val="00542996"/>
    <w:rsid w:val="00544E46"/>
    <w:rsid w:val="005475A8"/>
    <w:rsid w:val="00551FCB"/>
    <w:rsid w:val="0056353C"/>
    <w:rsid w:val="00563D8D"/>
    <w:rsid w:val="00586040"/>
    <w:rsid w:val="0059038E"/>
    <w:rsid w:val="0059152B"/>
    <w:rsid w:val="00594E69"/>
    <w:rsid w:val="005A06F2"/>
    <w:rsid w:val="005A2A93"/>
    <w:rsid w:val="005A35EC"/>
    <w:rsid w:val="005A5706"/>
    <w:rsid w:val="005B55EB"/>
    <w:rsid w:val="005B70C6"/>
    <w:rsid w:val="005B7C98"/>
    <w:rsid w:val="005C29DF"/>
    <w:rsid w:val="005E2583"/>
    <w:rsid w:val="005E2978"/>
    <w:rsid w:val="005E64B5"/>
    <w:rsid w:val="0060020B"/>
    <w:rsid w:val="0060465D"/>
    <w:rsid w:val="00604706"/>
    <w:rsid w:val="00617139"/>
    <w:rsid w:val="0062037B"/>
    <w:rsid w:val="00623132"/>
    <w:rsid w:val="00624D24"/>
    <w:rsid w:val="00631BC0"/>
    <w:rsid w:val="00651995"/>
    <w:rsid w:val="00657559"/>
    <w:rsid w:val="006609C3"/>
    <w:rsid w:val="006613AC"/>
    <w:rsid w:val="0066507F"/>
    <w:rsid w:val="00665AA4"/>
    <w:rsid w:val="0067178A"/>
    <w:rsid w:val="00673E23"/>
    <w:rsid w:val="00681642"/>
    <w:rsid w:val="00685CE6"/>
    <w:rsid w:val="00692B04"/>
    <w:rsid w:val="00694C7A"/>
    <w:rsid w:val="006A78C4"/>
    <w:rsid w:val="006B01E4"/>
    <w:rsid w:val="006C1670"/>
    <w:rsid w:val="006D1533"/>
    <w:rsid w:val="006D3B17"/>
    <w:rsid w:val="006E44CA"/>
    <w:rsid w:val="006E4907"/>
    <w:rsid w:val="006E64E3"/>
    <w:rsid w:val="006F1D7F"/>
    <w:rsid w:val="006F369D"/>
    <w:rsid w:val="00704496"/>
    <w:rsid w:val="007050E1"/>
    <w:rsid w:val="00715790"/>
    <w:rsid w:val="0071753C"/>
    <w:rsid w:val="007200D8"/>
    <w:rsid w:val="0072179C"/>
    <w:rsid w:val="00722A6E"/>
    <w:rsid w:val="0072448A"/>
    <w:rsid w:val="007246FE"/>
    <w:rsid w:val="00725D30"/>
    <w:rsid w:val="00726163"/>
    <w:rsid w:val="00726A32"/>
    <w:rsid w:val="00730B91"/>
    <w:rsid w:val="00741FF5"/>
    <w:rsid w:val="0075306E"/>
    <w:rsid w:val="007637A2"/>
    <w:rsid w:val="00765290"/>
    <w:rsid w:val="007673CC"/>
    <w:rsid w:val="00773B30"/>
    <w:rsid w:val="0078069E"/>
    <w:rsid w:val="00783586"/>
    <w:rsid w:val="00783FD9"/>
    <w:rsid w:val="007927E1"/>
    <w:rsid w:val="007A125F"/>
    <w:rsid w:val="007A7AB6"/>
    <w:rsid w:val="007A7B60"/>
    <w:rsid w:val="007B10F3"/>
    <w:rsid w:val="007B198A"/>
    <w:rsid w:val="007B19A2"/>
    <w:rsid w:val="007B2B17"/>
    <w:rsid w:val="007B609B"/>
    <w:rsid w:val="007B6998"/>
    <w:rsid w:val="007D0D2A"/>
    <w:rsid w:val="007D1541"/>
    <w:rsid w:val="007D2458"/>
    <w:rsid w:val="007D29B1"/>
    <w:rsid w:val="007D7539"/>
    <w:rsid w:val="007E0528"/>
    <w:rsid w:val="007E1E10"/>
    <w:rsid w:val="007F0F5D"/>
    <w:rsid w:val="007F4042"/>
    <w:rsid w:val="00810EEC"/>
    <w:rsid w:val="00811C3E"/>
    <w:rsid w:val="008263E9"/>
    <w:rsid w:val="0083170C"/>
    <w:rsid w:val="0083708E"/>
    <w:rsid w:val="008450EE"/>
    <w:rsid w:val="00854715"/>
    <w:rsid w:val="00855FF5"/>
    <w:rsid w:val="00863002"/>
    <w:rsid w:val="00865987"/>
    <w:rsid w:val="00866F55"/>
    <w:rsid w:val="00871F1E"/>
    <w:rsid w:val="008725C2"/>
    <w:rsid w:val="00886EA4"/>
    <w:rsid w:val="008B13CD"/>
    <w:rsid w:val="008B3C24"/>
    <w:rsid w:val="008C0C8E"/>
    <w:rsid w:val="008C279E"/>
    <w:rsid w:val="008C3775"/>
    <w:rsid w:val="008C56A4"/>
    <w:rsid w:val="008D22AE"/>
    <w:rsid w:val="008E4B4F"/>
    <w:rsid w:val="008F1DC3"/>
    <w:rsid w:val="008F7B7D"/>
    <w:rsid w:val="00904988"/>
    <w:rsid w:val="00911914"/>
    <w:rsid w:val="00921A87"/>
    <w:rsid w:val="009235D9"/>
    <w:rsid w:val="00923C60"/>
    <w:rsid w:val="00926672"/>
    <w:rsid w:val="00935A30"/>
    <w:rsid w:val="00946144"/>
    <w:rsid w:val="009525C4"/>
    <w:rsid w:val="00954415"/>
    <w:rsid w:val="00963771"/>
    <w:rsid w:val="0097371B"/>
    <w:rsid w:val="00985DD2"/>
    <w:rsid w:val="009912ED"/>
    <w:rsid w:val="0099459E"/>
    <w:rsid w:val="00994D48"/>
    <w:rsid w:val="00994FE7"/>
    <w:rsid w:val="0099506B"/>
    <w:rsid w:val="009A2FCE"/>
    <w:rsid w:val="009A3E74"/>
    <w:rsid w:val="009A64BD"/>
    <w:rsid w:val="009A7D87"/>
    <w:rsid w:val="009B2282"/>
    <w:rsid w:val="009B558E"/>
    <w:rsid w:val="009B6948"/>
    <w:rsid w:val="009B7607"/>
    <w:rsid w:val="009C4BD0"/>
    <w:rsid w:val="009D148B"/>
    <w:rsid w:val="009D3ED9"/>
    <w:rsid w:val="009D455E"/>
    <w:rsid w:val="009D60AB"/>
    <w:rsid w:val="009E2F68"/>
    <w:rsid w:val="009E6657"/>
    <w:rsid w:val="009F1837"/>
    <w:rsid w:val="009F5DEA"/>
    <w:rsid w:val="00A04250"/>
    <w:rsid w:val="00A0557B"/>
    <w:rsid w:val="00A062F8"/>
    <w:rsid w:val="00A07C06"/>
    <w:rsid w:val="00A07C86"/>
    <w:rsid w:val="00A23FA6"/>
    <w:rsid w:val="00A2465A"/>
    <w:rsid w:val="00A35ACB"/>
    <w:rsid w:val="00A43177"/>
    <w:rsid w:val="00A45363"/>
    <w:rsid w:val="00A4695C"/>
    <w:rsid w:val="00A51CDE"/>
    <w:rsid w:val="00A559D9"/>
    <w:rsid w:val="00A6260D"/>
    <w:rsid w:val="00A62EC1"/>
    <w:rsid w:val="00A66F0F"/>
    <w:rsid w:val="00A74AEE"/>
    <w:rsid w:val="00A825B3"/>
    <w:rsid w:val="00A8781A"/>
    <w:rsid w:val="00A91BF9"/>
    <w:rsid w:val="00A9292D"/>
    <w:rsid w:val="00A93E74"/>
    <w:rsid w:val="00A9438B"/>
    <w:rsid w:val="00A956A2"/>
    <w:rsid w:val="00AA12E2"/>
    <w:rsid w:val="00AA662C"/>
    <w:rsid w:val="00AA72B6"/>
    <w:rsid w:val="00AB05A5"/>
    <w:rsid w:val="00AB3A5D"/>
    <w:rsid w:val="00AB54FA"/>
    <w:rsid w:val="00AC5D3D"/>
    <w:rsid w:val="00AC6E7E"/>
    <w:rsid w:val="00AD355D"/>
    <w:rsid w:val="00AD60E6"/>
    <w:rsid w:val="00AF0C72"/>
    <w:rsid w:val="00AF0CF3"/>
    <w:rsid w:val="00AF15B1"/>
    <w:rsid w:val="00AF1821"/>
    <w:rsid w:val="00AF7849"/>
    <w:rsid w:val="00B01B93"/>
    <w:rsid w:val="00B0434A"/>
    <w:rsid w:val="00B04D2D"/>
    <w:rsid w:val="00B06F7D"/>
    <w:rsid w:val="00B07266"/>
    <w:rsid w:val="00B11B96"/>
    <w:rsid w:val="00B17248"/>
    <w:rsid w:val="00B201EC"/>
    <w:rsid w:val="00B2749E"/>
    <w:rsid w:val="00B31207"/>
    <w:rsid w:val="00B327B7"/>
    <w:rsid w:val="00B37631"/>
    <w:rsid w:val="00B378BC"/>
    <w:rsid w:val="00B42771"/>
    <w:rsid w:val="00B4313E"/>
    <w:rsid w:val="00B45ECF"/>
    <w:rsid w:val="00B46C17"/>
    <w:rsid w:val="00B46FF3"/>
    <w:rsid w:val="00B60466"/>
    <w:rsid w:val="00B72114"/>
    <w:rsid w:val="00B74156"/>
    <w:rsid w:val="00B82092"/>
    <w:rsid w:val="00B82BEC"/>
    <w:rsid w:val="00B84159"/>
    <w:rsid w:val="00B856AB"/>
    <w:rsid w:val="00BA0890"/>
    <w:rsid w:val="00BA08FD"/>
    <w:rsid w:val="00BA1805"/>
    <w:rsid w:val="00BA4005"/>
    <w:rsid w:val="00BA4FF5"/>
    <w:rsid w:val="00BC418B"/>
    <w:rsid w:val="00BD24F1"/>
    <w:rsid w:val="00BD4315"/>
    <w:rsid w:val="00BD7FB3"/>
    <w:rsid w:val="00BE191B"/>
    <w:rsid w:val="00BF03D7"/>
    <w:rsid w:val="00BF1ACF"/>
    <w:rsid w:val="00BF2971"/>
    <w:rsid w:val="00BF3779"/>
    <w:rsid w:val="00BF41AE"/>
    <w:rsid w:val="00C05F67"/>
    <w:rsid w:val="00C07EE5"/>
    <w:rsid w:val="00C1132D"/>
    <w:rsid w:val="00C204AA"/>
    <w:rsid w:val="00C24DA2"/>
    <w:rsid w:val="00C335F4"/>
    <w:rsid w:val="00C3389F"/>
    <w:rsid w:val="00C3765F"/>
    <w:rsid w:val="00C37C93"/>
    <w:rsid w:val="00C45F3B"/>
    <w:rsid w:val="00C5204C"/>
    <w:rsid w:val="00C55B47"/>
    <w:rsid w:val="00C62C39"/>
    <w:rsid w:val="00C64CD6"/>
    <w:rsid w:val="00C676C6"/>
    <w:rsid w:val="00C75985"/>
    <w:rsid w:val="00C814E7"/>
    <w:rsid w:val="00C84C60"/>
    <w:rsid w:val="00C85994"/>
    <w:rsid w:val="00C864F3"/>
    <w:rsid w:val="00C903A6"/>
    <w:rsid w:val="00C91A31"/>
    <w:rsid w:val="00C92D84"/>
    <w:rsid w:val="00CB0461"/>
    <w:rsid w:val="00CB09CD"/>
    <w:rsid w:val="00CB2D6A"/>
    <w:rsid w:val="00CB5EFF"/>
    <w:rsid w:val="00CB6CF9"/>
    <w:rsid w:val="00CB6FA7"/>
    <w:rsid w:val="00CB7785"/>
    <w:rsid w:val="00CC0394"/>
    <w:rsid w:val="00CC3E22"/>
    <w:rsid w:val="00CC64A4"/>
    <w:rsid w:val="00CC6ED1"/>
    <w:rsid w:val="00CD624E"/>
    <w:rsid w:val="00CE073C"/>
    <w:rsid w:val="00CE197F"/>
    <w:rsid w:val="00CE3441"/>
    <w:rsid w:val="00CE52D6"/>
    <w:rsid w:val="00CF0C59"/>
    <w:rsid w:val="00CF10F7"/>
    <w:rsid w:val="00CF19B4"/>
    <w:rsid w:val="00CF1EBF"/>
    <w:rsid w:val="00D010D7"/>
    <w:rsid w:val="00D04374"/>
    <w:rsid w:val="00D318DD"/>
    <w:rsid w:val="00D34A2E"/>
    <w:rsid w:val="00D45320"/>
    <w:rsid w:val="00D50540"/>
    <w:rsid w:val="00D53043"/>
    <w:rsid w:val="00D55A4D"/>
    <w:rsid w:val="00D63A6F"/>
    <w:rsid w:val="00D67085"/>
    <w:rsid w:val="00D70CB8"/>
    <w:rsid w:val="00D73AE7"/>
    <w:rsid w:val="00D74360"/>
    <w:rsid w:val="00D746CA"/>
    <w:rsid w:val="00D74D8E"/>
    <w:rsid w:val="00D929C0"/>
    <w:rsid w:val="00DA1DF2"/>
    <w:rsid w:val="00DA2E4A"/>
    <w:rsid w:val="00DA79BE"/>
    <w:rsid w:val="00DB28D4"/>
    <w:rsid w:val="00DB60F8"/>
    <w:rsid w:val="00DB647A"/>
    <w:rsid w:val="00DC0049"/>
    <w:rsid w:val="00DC2E3C"/>
    <w:rsid w:val="00DC345E"/>
    <w:rsid w:val="00DC7E39"/>
    <w:rsid w:val="00DD0F31"/>
    <w:rsid w:val="00DD3743"/>
    <w:rsid w:val="00DD73B6"/>
    <w:rsid w:val="00DD742A"/>
    <w:rsid w:val="00DE45A9"/>
    <w:rsid w:val="00DE45D7"/>
    <w:rsid w:val="00DF4DA5"/>
    <w:rsid w:val="00DF6C8D"/>
    <w:rsid w:val="00E14697"/>
    <w:rsid w:val="00E17139"/>
    <w:rsid w:val="00E2167A"/>
    <w:rsid w:val="00E40F26"/>
    <w:rsid w:val="00E43669"/>
    <w:rsid w:val="00E44870"/>
    <w:rsid w:val="00E4718F"/>
    <w:rsid w:val="00E503F8"/>
    <w:rsid w:val="00E5596B"/>
    <w:rsid w:val="00E648C5"/>
    <w:rsid w:val="00E658B3"/>
    <w:rsid w:val="00E711EA"/>
    <w:rsid w:val="00E76E2F"/>
    <w:rsid w:val="00E855C2"/>
    <w:rsid w:val="00E85C91"/>
    <w:rsid w:val="00E87E3A"/>
    <w:rsid w:val="00EB0068"/>
    <w:rsid w:val="00EB0B78"/>
    <w:rsid w:val="00EB1290"/>
    <w:rsid w:val="00EB695B"/>
    <w:rsid w:val="00EB6B31"/>
    <w:rsid w:val="00EC2E35"/>
    <w:rsid w:val="00EC47F7"/>
    <w:rsid w:val="00EC7833"/>
    <w:rsid w:val="00ED2E2D"/>
    <w:rsid w:val="00ED4FAF"/>
    <w:rsid w:val="00EE119A"/>
    <w:rsid w:val="00EE2268"/>
    <w:rsid w:val="00EE3444"/>
    <w:rsid w:val="00EE5BC2"/>
    <w:rsid w:val="00EE5E94"/>
    <w:rsid w:val="00EE68F8"/>
    <w:rsid w:val="00EF0912"/>
    <w:rsid w:val="00EF4E93"/>
    <w:rsid w:val="00F04162"/>
    <w:rsid w:val="00F172C8"/>
    <w:rsid w:val="00F225A0"/>
    <w:rsid w:val="00F232A2"/>
    <w:rsid w:val="00F40310"/>
    <w:rsid w:val="00F471EA"/>
    <w:rsid w:val="00F52241"/>
    <w:rsid w:val="00F74DF3"/>
    <w:rsid w:val="00F75135"/>
    <w:rsid w:val="00F76E7E"/>
    <w:rsid w:val="00F77971"/>
    <w:rsid w:val="00F86550"/>
    <w:rsid w:val="00F9188C"/>
    <w:rsid w:val="00F91F5B"/>
    <w:rsid w:val="00F9366D"/>
    <w:rsid w:val="00FA190F"/>
    <w:rsid w:val="00FA1A28"/>
    <w:rsid w:val="00FA20AA"/>
    <w:rsid w:val="00FA2375"/>
    <w:rsid w:val="00FA3D51"/>
    <w:rsid w:val="00FB14A5"/>
    <w:rsid w:val="00FB210E"/>
    <w:rsid w:val="00FB2C78"/>
    <w:rsid w:val="00FB3083"/>
    <w:rsid w:val="00FB33B2"/>
    <w:rsid w:val="00FC3ADE"/>
    <w:rsid w:val="00FE0DF2"/>
    <w:rsid w:val="00FF5185"/>
    <w:rsid w:val="00FF56DE"/>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7F1D3"/>
  <w15:docId w15:val="{80C01383-552C-4514-9FE6-680F747C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qFormat/>
    <w:rsid w:val="009A64BD"/>
    <w:pPr>
      <w:keepNext/>
      <w:keepLines/>
      <w:spacing w:before="360"/>
      <w:ind w:left="794" w:hanging="794"/>
      <w:outlineLvl w:val="0"/>
    </w:pPr>
    <w:rPr>
      <w:b/>
    </w:rPr>
  </w:style>
  <w:style w:type="paragraph" w:styleId="Heading2">
    <w:name w:val="heading 2"/>
    <w:aliases w:val="H2,Attribute Heading 2,h2,Header 2,l2,Level 2 Head,heading 2,l21,l22,l23,l24,l25,l211,l221,l231,l241,l26,l212,l222,l232,l242,l27,l213,l223,l233,l243,l28,l214,l224,l234,l244,l29,l215,l225,l235,l245,l210,l216,l226,l236,l246,l251,l2111,§"/>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qFormat/>
    <w:rsid w:val="009A64BD"/>
    <w:pPr>
      <w:tabs>
        <w:tab w:val="clear" w:pos="794"/>
        <w:tab w:val="left" w:pos="1021"/>
      </w:tabs>
      <w:ind w:left="1021" w:hanging="1021"/>
      <w:outlineLvl w:val="3"/>
    </w:pPr>
  </w:style>
  <w:style w:type="paragraph" w:styleId="Heading5">
    <w:name w:val="heading 5"/>
    <w:basedOn w:val="Heading4"/>
    <w:next w:val="Normal"/>
    <w:link w:val="Heading5Char"/>
    <w:qFormat/>
    <w:rsid w:val="009A64BD"/>
    <w:pPr>
      <w:outlineLvl w:val="4"/>
    </w:pPr>
  </w:style>
  <w:style w:type="paragraph" w:styleId="Heading6">
    <w:name w:val="heading 6"/>
    <w:basedOn w:val="Heading4"/>
    <w:next w:val="Normal"/>
    <w:link w:val="Heading6Char"/>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9A64BD"/>
  </w:style>
  <w:style w:type="paragraph" w:styleId="TOC4">
    <w:name w:val="toc 4"/>
    <w:basedOn w:val="TOC3"/>
    <w:uiPriority w:val="39"/>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uiPriority w:val="39"/>
    <w:rsid w:val="009A64BD"/>
  </w:style>
  <w:style w:type="paragraph" w:styleId="TOC6">
    <w:name w:val="toc 6"/>
    <w:basedOn w:val="TOC4"/>
    <w:uiPriority w:val="39"/>
    <w:rsid w:val="009A64BD"/>
  </w:style>
  <w:style w:type="paragraph" w:styleId="TOC5">
    <w:name w:val="toc 5"/>
    <w:basedOn w:val="TOC4"/>
    <w:uiPriority w:val="39"/>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symbol,Times 10 Point,Exposant 3 Point,footnote ref,FR,Fußnotenzeichen diss neu,Voetnootverwijzing,FR + (Complex) Arial,(Latin) 9 pt,(Complex) 10 pt + (Compl...,Footnote anchor"/>
    <w:basedOn w:val="DefaultParagraphFont"/>
    <w:uiPriority w:val="99"/>
    <w:qFormat/>
    <w:rsid w:val="009A64BD"/>
    <w:rPr>
      <w:position w:val="6"/>
      <w:sz w:val="18"/>
    </w:rPr>
  </w:style>
  <w:style w:type="paragraph" w:styleId="FootnoteText">
    <w:name w:val="footnote text"/>
    <w:aliases w:val="Footnote,Schriftart: 9 pt,Schriftart: 10 pt,Schriftart: 8 pt,WB-Fußnotentext,fn,Footnotes,Footnote ak,footnote text,FoodNote,ft,Footnote text,Footnote Text Char1,Footnote Text Char Char,Footnote Text Char1 Char Cha,ftx,Ch,f"/>
    <w:basedOn w:val="Note"/>
    <w:link w:val="FootnoteTextChar"/>
    <w:uiPriority w:val="99"/>
    <w:qFormat/>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uiPriority w:val="99"/>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qFormat/>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qFormat/>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qFormat/>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qFormat/>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locked/>
    <w:rsid w:val="00AA662C"/>
    <w:rPr>
      <w:rFonts w:ascii="Times New Roman" w:hAnsi="Times New Roman"/>
      <w:b/>
      <w:sz w:val="24"/>
      <w:lang w:val="en-GB" w:eastAsia="en-US"/>
    </w:rPr>
  </w:style>
  <w:style w:type="character" w:customStyle="1" w:styleId="Heading2Char">
    <w:name w:val="Heading 2 Char"/>
    <w:aliases w:val="H2 Char,Attribute Heading 2 Char,h2 Char,Header 2 Char,l2 Char,Level 2 Head Char,heading 2 Char,l21 Char,l22 Char,l23 Char,l24 Char,l25 Char,l211 Char,l221 Char,l231 Char,l241 Char,l26 Char,l212 Char,l222 Char,l232 Char,l242 Char,l27 Char"/>
    <w:link w:val="Heading2"/>
    <w:locked/>
    <w:rsid w:val="00AA662C"/>
    <w:rPr>
      <w:rFonts w:ascii="Times New Roman" w:hAnsi="Times New Roman"/>
      <w:b/>
      <w:sz w:val="24"/>
      <w:lang w:val="en-GB" w:eastAsia="en-US"/>
    </w:rPr>
  </w:style>
  <w:style w:type="table" w:styleId="TableGrid">
    <w:name w:val="Table Grid"/>
    <w:basedOn w:val="TableNormal"/>
    <w:uiPriority w:val="39"/>
    <w:qFormat/>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uiPriority w:val="99"/>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qFormat/>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Schriftart: 9 pt Char,Schriftart: 10 pt Char,Schriftart: 8 pt Char,WB-Fußnotentext Char,fn Char,Footnotes Char,Footnote ak Char,footnote text Char,FoodNote Char,ft Char,Footnote text Char,Footnote Text Char1 Char,Ch Char"/>
    <w:basedOn w:val="DefaultParagraphFont"/>
    <w:link w:val="FootnoteText"/>
    <w:uiPriority w:val="99"/>
    <w:qFormat/>
    <w:rsid w:val="00AA662C"/>
    <w:rPr>
      <w:rFonts w:ascii="Times New Roman" w:hAnsi="Times New Roman"/>
      <w:sz w:val="22"/>
      <w:lang w:val="en-GB" w:eastAsia="en-US"/>
    </w:rPr>
  </w:style>
  <w:style w:type="character" w:customStyle="1" w:styleId="Heading4Char">
    <w:name w:val="Heading 4 Char"/>
    <w:basedOn w:val="DefaultParagraphFont"/>
    <w:link w:val="Heading4"/>
    <w:rsid w:val="00AA662C"/>
    <w:rPr>
      <w:rFonts w:ascii="Times New Roman" w:hAnsi="Times New Roman"/>
      <w:b/>
      <w:sz w:val="24"/>
      <w:lang w:val="en-GB" w:eastAsia="en-US"/>
    </w:rPr>
  </w:style>
  <w:style w:type="character" w:customStyle="1" w:styleId="Heading5Char">
    <w:name w:val="Heading 5 Char"/>
    <w:basedOn w:val="DefaultParagraphFont"/>
    <w:link w:val="Heading5"/>
    <w:rsid w:val="00AA662C"/>
    <w:rPr>
      <w:rFonts w:ascii="Times New Roman" w:hAnsi="Times New Roman"/>
      <w:b/>
      <w:sz w:val="24"/>
      <w:lang w:val="en-GB" w:eastAsia="en-US"/>
    </w:rPr>
  </w:style>
  <w:style w:type="character" w:customStyle="1" w:styleId="Heading6Char">
    <w:name w:val="Heading 6 Char"/>
    <w:basedOn w:val="DefaultParagraphFont"/>
    <w:link w:val="Heading6"/>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styleId="HTMLVariable">
    <w:name w:val="HTML Variable"/>
    <w:uiPriority w:val="99"/>
    <w:unhideWhenUsed/>
    <w:rsid w:val="00116DCF"/>
    <w:rPr>
      <w:i/>
      <w:iCs/>
    </w:rPr>
  </w:style>
  <w:style w:type="character" w:customStyle="1" w:styleId="shorttext">
    <w:name w:val="short_text"/>
    <w:rsid w:val="00116DCF"/>
  </w:style>
  <w:style w:type="paragraph" w:styleId="BodyText">
    <w:name w:val="Body Text"/>
    <w:basedOn w:val="Normal"/>
    <w:link w:val="BodyTextChar"/>
    <w:uiPriority w:val="99"/>
    <w:unhideWhenUsed/>
    <w:rsid w:val="00116DCF"/>
    <w:pPr>
      <w:widowControl w:val="0"/>
      <w:overflowPunct/>
      <w:autoSpaceDE/>
      <w:autoSpaceDN/>
      <w:adjustRightInd/>
      <w:spacing w:before="0"/>
      <w:textAlignment w:val="auto"/>
    </w:pPr>
    <w:rPr>
      <w:rFonts w:eastAsia="Batang"/>
      <w:kern w:val="2"/>
      <w:sz w:val="21"/>
      <w:lang w:val="en-US" w:eastAsia="zh-CN"/>
    </w:rPr>
  </w:style>
  <w:style w:type="character" w:customStyle="1" w:styleId="BodyTextChar">
    <w:name w:val="Body Text Char"/>
    <w:basedOn w:val="DefaultParagraphFont"/>
    <w:link w:val="BodyText"/>
    <w:uiPriority w:val="99"/>
    <w:rsid w:val="00116DCF"/>
    <w:rPr>
      <w:rFonts w:ascii="Times New Roman" w:eastAsia="Batang" w:hAnsi="Times New Roman"/>
      <w:kern w:val="2"/>
      <w:sz w:val="21"/>
    </w:rPr>
  </w:style>
  <w:style w:type="paragraph" w:customStyle="1" w:styleId="IEEETableCell">
    <w:name w:val="IEEE Table Cell"/>
    <w:basedOn w:val="Normal"/>
    <w:rsid w:val="00116DCF"/>
    <w:pPr>
      <w:tabs>
        <w:tab w:val="clear" w:pos="794"/>
        <w:tab w:val="clear" w:pos="1191"/>
        <w:tab w:val="clear" w:pos="1588"/>
        <w:tab w:val="clear" w:pos="1985"/>
      </w:tabs>
      <w:overflowPunct/>
      <w:autoSpaceDE/>
      <w:autoSpaceDN/>
      <w:snapToGrid w:val="0"/>
      <w:spacing w:before="0"/>
      <w:jc w:val="left"/>
      <w:textAlignment w:val="auto"/>
    </w:pPr>
    <w:rPr>
      <w:rFonts w:eastAsia="SimSun"/>
      <w:sz w:val="18"/>
      <w:szCs w:val="24"/>
      <w:lang w:val="en-AU" w:eastAsia="zh-CN"/>
    </w:rPr>
  </w:style>
  <w:style w:type="paragraph" w:customStyle="1" w:styleId="IEEETableHeaderLeft-Justified">
    <w:name w:val="IEEE Table Header Left-Justified"/>
    <w:basedOn w:val="IEEETableCell"/>
    <w:rsid w:val="00116DCF"/>
    <w:rPr>
      <w:b/>
      <w:bCs/>
    </w:rPr>
  </w:style>
  <w:style w:type="paragraph" w:customStyle="1" w:styleId="IEEETableHeaderCentered">
    <w:name w:val="IEEE Table Header Centered"/>
    <w:basedOn w:val="IEEETableCell"/>
    <w:rsid w:val="00116DCF"/>
    <w:pPr>
      <w:jc w:val="center"/>
    </w:pPr>
    <w:rPr>
      <w:b/>
      <w:bCs/>
    </w:rPr>
  </w:style>
  <w:style w:type="table" w:customStyle="1" w:styleId="GridTable2-Accent51">
    <w:name w:val="Grid Table 2 - Accent 51"/>
    <w:basedOn w:val="TableNormal"/>
    <w:uiPriority w:val="47"/>
    <w:rsid w:val="00116DCF"/>
    <w:rPr>
      <w:rFonts w:ascii="Times New Roman" w:eastAsia="SimSun" w:hAnsi="Times New Roman"/>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uiPriority w:val="50"/>
    <w:rsid w:val="00116DCF"/>
    <w:rPr>
      <w:rFonts w:ascii="Times New Roman" w:eastAsia="SimSun"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title">
    <w:name w:val="figure title"/>
    <w:basedOn w:val="Normal"/>
    <w:link w:val="figuretitleChar"/>
    <w:qFormat/>
    <w:rsid w:val="00116DCF"/>
    <w:pPr>
      <w:widowControl w:val="0"/>
      <w:jc w:val="center"/>
    </w:pPr>
    <w:rPr>
      <w:rFonts w:eastAsia="SimSun"/>
      <w:b/>
      <w:kern w:val="2"/>
      <w:lang w:val="en-US" w:eastAsia="zh-CN"/>
    </w:rPr>
  </w:style>
  <w:style w:type="character" w:customStyle="1" w:styleId="figuretitleChar">
    <w:name w:val="figure title Char"/>
    <w:link w:val="figuretitle"/>
    <w:rsid w:val="00116DCF"/>
    <w:rPr>
      <w:rFonts w:ascii="Times New Roman" w:eastAsia="SimSun" w:hAnsi="Times New Roman"/>
      <w:b/>
      <w:kern w:val="2"/>
      <w:sz w:val="24"/>
    </w:rPr>
  </w:style>
  <w:style w:type="paragraph" w:customStyle="1" w:styleId="Reasons">
    <w:name w:val="Reasons"/>
    <w:basedOn w:val="Normal"/>
    <w:qFormat/>
    <w:rsid w:val="00116DC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Normal1">
    <w:name w:val="Normal1"/>
    <w:link w:val="Normal1Car"/>
    <w:rsid w:val="00DB60F8"/>
    <w:pPr>
      <w:tabs>
        <w:tab w:val="left" w:pos="794"/>
        <w:tab w:val="left" w:pos="1191"/>
        <w:tab w:val="left" w:pos="1588"/>
        <w:tab w:val="left" w:pos="1985"/>
      </w:tabs>
      <w:spacing w:before="120"/>
    </w:pPr>
    <w:rPr>
      <w:rFonts w:ascii="Times New Roman" w:hAnsi="Times New Roman"/>
      <w:sz w:val="24"/>
      <w:szCs w:val="24"/>
      <w:lang w:val="en-GB" w:eastAsia="fr-FR"/>
    </w:rPr>
  </w:style>
  <w:style w:type="paragraph" w:customStyle="1" w:styleId="titreTS">
    <w:name w:val="titre TS"/>
    <w:basedOn w:val="Heading1"/>
    <w:link w:val="titreTSCar"/>
    <w:qFormat/>
    <w:rsid w:val="00DB60F8"/>
    <w:pPr>
      <w:numPr>
        <w:numId w:val="4"/>
      </w:numPr>
      <w:overflowPunct/>
      <w:autoSpaceDE/>
      <w:autoSpaceDN/>
      <w:adjustRightInd/>
      <w:jc w:val="left"/>
      <w:textAlignment w:val="auto"/>
    </w:pPr>
    <w:rPr>
      <w:rFonts w:eastAsia="Times New Roman"/>
      <w:szCs w:val="24"/>
      <w:lang w:eastAsia="fr-FR"/>
    </w:rPr>
  </w:style>
  <w:style w:type="character" w:customStyle="1" w:styleId="Normal1Car">
    <w:name w:val="Normal1 Car"/>
    <w:basedOn w:val="DefaultParagraphFont"/>
    <w:link w:val="Normal1"/>
    <w:rsid w:val="00DB60F8"/>
    <w:rPr>
      <w:rFonts w:ascii="Times New Roman" w:hAnsi="Times New Roman"/>
      <w:sz w:val="24"/>
      <w:szCs w:val="24"/>
      <w:lang w:val="en-GB" w:eastAsia="fr-FR"/>
    </w:rPr>
  </w:style>
  <w:style w:type="character" w:customStyle="1" w:styleId="titreTSCar">
    <w:name w:val="titre TS Car"/>
    <w:basedOn w:val="Heading1Char"/>
    <w:link w:val="titreTS"/>
    <w:rsid w:val="00DB60F8"/>
    <w:rPr>
      <w:rFonts w:ascii="Times New Roman" w:hAnsi="Times New Roman"/>
      <w:b/>
      <w:sz w:val="24"/>
      <w:szCs w:val="24"/>
      <w:lang w:val="en-GB" w:eastAsia="fr-FR"/>
    </w:rPr>
  </w:style>
  <w:style w:type="table" w:customStyle="1" w:styleId="TableNormal1">
    <w:name w:val="Table Normal1"/>
    <w:rsid w:val="00DB60F8"/>
    <w:pPr>
      <w:tabs>
        <w:tab w:val="left" w:pos="794"/>
        <w:tab w:val="left" w:pos="1191"/>
        <w:tab w:val="left" w:pos="1588"/>
        <w:tab w:val="left" w:pos="1985"/>
      </w:tabs>
      <w:spacing w:before="120"/>
    </w:pPr>
    <w:rPr>
      <w:rFonts w:ascii="Times New Roman" w:hAnsi="Times New Roman"/>
      <w:sz w:val="24"/>
      <w:szCs w:val="24"/>
      <w:lang w:val="en-GB" w:eastAsia="fr-FR"/>
    </w:rPr>
    <w:tblPr>
      <w:tblCellMar>
        <w:top w:w="0" w:type="dxa"/>
        <w:left w:w="0" w:type="dxa"/>
        <w:bottom w:w="0" w:type="dxa"/>
        <w:right w:w="0" w:type="dxa"/>
      </w:tblCellMar>
    </w:tblPr>
  </w:style>
  <w:style w:type="paragraph" w:styleId="Title">
    <w:name w:val="Title"/>
    <w:basedOn w:val="Normal1"/>
    <w:next w:val="Normal1"/>
    <w:link w:val="TitleChar"/>
    <w:rsid w:val="00DB60F8"/>
    <w:pPr>
      <w:keepNext/>
      <w:keepLines/>
      <w:spacing w:before="480" w:after="120"/>
    </w:pPr>
    <w:rPr>
      <w:b/>
      <w:sz w:val="72"/>
      <w:szCs w:val="72"/>
    </w:rPr>
  </w:style>
  <w:style w:type="character" w:customStyle="1" w:styleId="TitleChar">
    <w:name w:val="Title Char"/>
    <w:basedOn w:val="DefaultParagraphFont"/>
    <w:link w:val="Title"/>
    <w:rsid w:val="00DB60F8"/>
    <w:rPr>
      <w:rFonts w:ascii="Times New Roman" w:hAnsi="Times New Roman"/>
      <w:b/>
      <w:sz w:val="72"/>
      <w:szCs w:val="72"/>
      <w:lang w:val="en-GB" w:eastAsia="fr-FR"/>
    </w:rPr>
  </w:style>
  <w:style w:type="paragraph" w:styleId="Subtitle">
    <w:name w:val="Subtitle"/>
    <w:basedOn w:val="Normal1"/>
    <w:next w:val="Normal1"/>
    <w:link w:val="SubtitleChar"/>
    <w:rsid w:val="00DB60F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B60F8"/>
    <w:rPr>
      <w:rFonts w:ascii="Georgia" w:eastAsia="Georgia" w:hAnsi="Georgia" w:cs="Georgia"/>
      <w:i/>
      <w:color w:val="666666"/>
      <w:sz w:val="48"/>
      <w:szCs w:val="48"/>
      <w:lang w:val="en-GB" w:eastAsia="fr-FR"/>
    </w:rPr>
  </w:style>
  <w:style w:type="table" w:customStyle="1" w:styleId="4">
    <w:name w:val="4"/>
    <w:basedOn w:val="TableNormal1"/>
    <w:rsid w:val="00DB60F8"/>
    <w:tblPr>
      <w:tblStyleRowBandSize w:val="1"/>
      <w:tblStyleColBandSize w:val="1"/>
      <w:tblCellMar>
        <w:left w:w="57" w:type="dxa"/>
        <w:right w:w="57" w:type="dxa"/>
      </w:tblCellMar>
    </w:tblPr>
  </w:style>
  <w:style w:type="table" w:customStyle="1" w:styleId="3">
    <w:name w:val="3"/>
    <w:basedOn w:val="TableNormal1"/>
    <w:rsid w:val="00DB60F8"/>
    <w:tblPr>
      <w:tblStyleRowBandSize w:val="1"/>
      <w:tblStyleColBandSize w:val="1"/>
      <w:tblCellMar>
        <w:left w:w="57" w:type="dxa"/>
        <w:right w:w="57" w:type="dxa"/>
      </w:tblCellMar>
    </w:tblPr>
  </w:style>
  <w:style w:type="table" w:customStyle="1" w:styleId="2">
    <w:name w:val="2"/>
    <w:basedOn w:val="TableNormal1"/>
    <w:rsid w:val="00DB60F8"/>
    <w:tblPr>
      <w:tblStyleRowBandSize w:val="1"/>
      <w:tblStyleColBandSize w:val="1"/>
      <w:tblCellMar>
        <w:left w:w="108" w:type="dxa"/>
        <w:right w:w="108" w:type="dxa"/>
      </w:tblCellMar>
    </w:tblPr>
  </w:style>
  <w:style w:type="table" w:customStyle="1" w:styleId="1">
    <w:name w:val="1"/>
    <w:basedOn w:val="TableNormal1"/>
    <w:rsid w:val="00DB60F8"/>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customStyle="1" w:styleId="figurecentred">
    <w:name w:val="figure centred"/>
    <w:basedOn w:val="Normal"/>
    <w:link w:val="figurecentredCar"/>
    <w:qFormat/>
    <w:rsid w:val="00DB60F8"/>
    <w:pPr>
      <w:tabs>
        <w:tab w:val="clear" w:pos="794"/>
        <w:tab w:val="clear" w:pos="1191"/>
        <w:tab w:val="clear" w:pos="1588"/>
        <w:tab w:val="clear" w:pos="1985"/>
      </w:tabs>
      <w:spacing w:after="120"/>
      <w:jc w:val="center"/>
    </w:pPr>
    <w:rPr>
      <w:rFonts w:eastAsia="Batang"/>
      <w:b/>
      <w:sz w:val="22"/>
      <w:lang w:val="it-IT" w:eastAsia="hi-IN" w:bidi="hi-IN"/>
    </w:rPr>
  </w:style>
  <w:style w:type="character" w:customStyle="1" w:styleId="figurecentredCar">
    <w:name w:val="figure centred Car"/>
    <w:basedOn w:val="DefaultParagraphFont"/>
    <w:link w:val="figurecentred"/>
    <w:rsid w:val="00DB60F8"/>
    <w:rPr>
      <w:rFonts w:ascii="Times New Roman" w:eastAsia="Batang" w:hAnsi="Times New Roman"/>
      <w:b/>
      <w:sz w:val="22"/>
      <w:lang w:val="it-IT" w:eastAsia="hi-IN" w:bidi="hi-IN"/>
    </w:r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basedOn w:val="DefaultParagraphFont"/>
    <w:link w:val="Caption"/>
    <w:rsid w:val="00DB60F8"/>
    <w:rPr>
      <w:rFonts w:ascii="Cambria" w:eastAsia="SimHei" w:hAnsi="Cambria"/>
      <w:kern w:val="2"/>
    </w:rPr>
  </w:style>
  <w:style w:type="paragraph" w:customStyle="1" w:styleId="bullet1">
    <w:name w:val="bullet1"/>
    <w:basedOn w:val="ListParagraph"/>
    <w:link w:val="bullet1Car"/>
    <w:qFormat/>
    <w:rsid w:val="00DB60F8"/>
    <w:pPr>
      <w:numPr>
        <w:numId w:val="14"/>
      </w:numPr>
      <w:tabs>
        <w:tab w:val="left" w:pos="794"/>
        <w:tab w:val="left" w:pos="1191"/>
        <w:tab w:val="left" w:pos="1588"/>
        <w:tab w:val="left" w:pos="1985"/>
      </w:tabs>
      <w:overflowPunct w:val="0"/>
      <w:autoSpaceDE w:val="0"/>
      <w:autoSpaceDN w:val="0"/>
      <w:adjustRightInd w:val="0"/>
      <w:spacing w:before="120" w:after="120" w:line="240" w:lineRule="auto"/>
      <w:ind w:hanging="294"/>
      <w:textAlignment w:val="baseline"/>
    </w:pPr>
    <w:rPr>
      <w:rFonts w:ascii="Times New Roman" w:eastAsia="Batang" w:hAnsi="Times New Roman"/>
      <w:sz w:val="24"/>
      <w:lang w:val="it-IT"/>
    </w:rPr>
  </w:style>
  <w:style w:type="paragraph" w:customStyle="1" w:styleId="bullet2">
    <w:name w:val="bullet2"/>
    <w:basedOn w:val="ListParagraph"/>
    <w:qFormat/>
    <w:rsid w:val="00DB60F8"/>
    <w:pPr>
      <w:numPr>
        <w:ilvl w:val="1"/>
        <w:numId w:val="14"/>
      </w:numPr>
      <w:tabs>
        <w:tab w:val="left" w:pos="794"/>
        <w:tab w:val="left" w:pos="1588"/>
        <w:tab w:val="left" w:pos="1985"/>
      </w:tabs>
      <w:overflowPunct w:val="0"/>
      <w:autoSpaceDE w:val="0"/>
      <w:autoSpaceDN w:val="0"/>
      <w:adjustRightInd w:val="0"/>
      <w:spacing w:before="120" w:after="120" w:line="240" w:lineRule="auto"/>
      <w:ind w:hanging="447"/>
      <w:textAlignment w:val="baseline"/>
    </w:pPr>
    <w:rPr>
      <w:rFonts w:ascii="Times New Roman" w:eastAsia="Batang" w:hAnsi="Times New Roman" w:cs="Times New Roman"/>
      <w:sz w:val="24"/>
      <w:szCs w:val="20"/>
      <w:lang w:val="it-IT"/>
    </w:rPr>
  </w:style>
  <w:style w:type="character" w:customStyle="1" w:styleId="bullet1Car">
    <w:name w:val="bullet1 Car"/>
    <w:basedOn w:val="ListParagraphChar"/>
    <w:link w:val="bullet1"/>
    <w:rsid w:val="00DB60F8"/>
    <w:rPr>
      <w:rFonts w:ascii="Times New Roman" w:eastAsia="Batang" w:hAnsi="Times New Roman" w:cs="Arial"/>
      <w:sz w:val="24"/>
      <w:szCs w:val="22"/>
      <w:lang w:val="it-IT"/>
    </w:rPr>
  </w:style>
  <w:style w:type="paragraph" w:customStyle="1" w:styleId="bullet">
    <w:name w:val="bullet"/>
    <w:basedOn w:val="ListParagraph"/>
    <w:link w:val="bulletCar"/>
    <w:qFormat/>
    <w:rsid w:val="00DB60F8"/>
    <w:pPr>
      <w:tabs>
        <w:tab w:val="num" w:pos="1342"/>
      </w:tabs>
      <w:suppressAutoHyphens/>
      <w:spacing w:before="120" w:after="120" w:line="100" w:lineRule="atLeast"/>
      <w:ind w:left="714" w:hanging="357"/>
      <w:contextualSpacing w:val="0"/>
    </w:pPr>
    <w:rPr>
      <w:rFonts w:ascii="Times New Roman" w:eastAsia="Batang" w:hAnsi="Times New Roman"/>
      <w:noProof/>
      <w:sz w:val="24"/>
      <w:lang w:val="it-IT" w:eastAsia="ko-KR"/>
    </w:rPr>
  </w:style>
  <w:style w:type="character" w:customStyle="1" w:styleId="bulletCar">
    <w:name w:val="bullet Car"/>
    <w:basedOn w:val="ListParagraphChar"/>
    <w:link w:val="bullet"/>
    <w:rsid w:val="00DB60F8"/>
    <w:rPr>
      <w:rFonts w:ascii="Times New Roman" w:eastAsia="Batang" w:hAnsi="Times New Roman" w:cs="Arial"/>
      <w:noProof/>
      <w:sz w:val="24"/>
      <w:szCs w:val="22"/>
      <w:lang w:val="it-IT" w:eastAsia="ko-KR"/>
    </w:rPr>
  </w:style>
  <w:style w:type="paragraph" w:customStyle="1" w:styleId="bullet20">
    <w:name w:val="bullet 2"/>
    <w:basedOn w:val="bullet"/>
    <w:link w:val="bullet2Car"/>
    <w:qFormat/>
    <w:rsid w:val="00DB60F8"/>
    <w:pPr>
      <w:tabs>
        <w:tab w:val="clear" w:pos="1342"/>
        <w:tab w:val="num" w:pos="622"/>
      </w:tabs>
      <w:ind w:left="993" w:hanging="284"/>
    </w:pPr>
    <w:rPr>
      <w:lang w:bidi="hi-IN"/>
    </w:rPr>
  </w:style>
  <w:style w:type="character" w:customStyle="1" w:styleId="bullet2Car">
    <w:name w:val="bullet 2 Car"/>
    <w:basedOn w:val="bulletCar"/>
    <w:link w:val="bullet20"/>
    <w:rsid w:val="00DB60F8"/>
    <w:rPr>
      <w:rFonts w:ascii="Times New Roman" w:eastAsia="Batang" w:hAnsi="Times New Roman" w:cs="Arial"/>
      <w:noProof/>
      <w:sz w:val="24"/>
      <w:szCs w:val="22"/>
      <w:lang w:val="it-IT" w:eastAsia="ko-KR" w:bidi="hi-IN"/>
    </w:rPr>
  </w:style>
  <w:style w:type="table" w:customStyle="1" w:styleId="TableGrid7">
    <w:name w:val="Table Grid7"/>
    <w:basedOn w:val="TableNormal"/>
    <w:next w:val="TableGrid"/>
    <w:rsid w:val="00DB60F8"/>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Normal1">
    <w:name w:val="Tableau Normal1"/>
    <w:basedOn w:val="Normal"/>
    <w:link w:val="normaltableCar"/>
    <w:qFormat/>
    <w:rsid w:val="00DB60F8"/>
    <w:pPr>
      <w:spacing w:before="0"/>
      <w:jc w:val="left"/>
    </w:pPr>
    <w:rPr>
      <w:rFonts w:eastAsia="Calibri"/>
      <w:sz w:val="20"/>
      <w:lang w:val="it-IT"/>
    </w:rPr>
  </w:style>
  <w:style w:type="character" w:customStyle="1" w:styleId="normaltableCar">
    <w:name w:val="normal table Car"/>
    <w:basedOn w:val="DefaultParagraphFont"/>
    <w:link w:val="TableauNormal1"/>
    <w:rsid w:val="00DB60F8"/>
    <w:rPr>
      <w:rFonts w:ascii="Times New Roman" w:eastAsia="Calibri" w:hAnsi="Times New Roman"/>
      <w:lang w:val="it-IT" w:eastAsia="en-US"/>
    </w:rPr>
  </w:style>
  <w:style w:type="character" w:styleId="SubtleEmphasis">
    <w:name w:val="Subtle Emphasis"/>
    <w:basedOn w:val="DefaultParagraphFont"/>
    <w:uiPriority w:val="19"/>
    <w:qFormat/>
    <w:rsid w:val="00DB60F8"/>
    <w:rPr>
      <w:i/>
      <w:iCs/>
      <w:color w:val="808080" w:themeColor="text1" w:themeTint="7F"/>
    </w:rPr>
  </w:style>
  <w:style w:type="character" w:customStyle="1" w:styleId="st">
    <w:name w:val="st"/>
    <w:basedOn w:val="DefaultParagraphFont"/>
    <w:rsid w:val="00DB60F8"/>
  </w:style>
  <w:style w:type="character" w:customStyle="1" w:styleId="EditorNote">
    <w:name w:val="EditorNote"/>
    <w:basedOn w:val="DefaultParagraphFont"/>
    <w:uiPriority w:val="1"/>
    <w:qFormat/>
    <w:rsid w:val="00DB60F8"/>
    <w:rPr>
      <w:i/>
      <w:noProof w:val="0"/>
      <w:color w:val="76923C" w:themeColor="accent3"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9455">
      <w:bodyDiv w:val="1"/>
      <w:marLeft w:val="0"/>
      <w:marRight w:val="0"/>
      <w:marTop w:val="0"/>
      <w:marBottom w:val="0"/>
      <w:divBdr>
        <w:top w:val="none" w:sz="0" w:space="0" w:color="auto"/>
        <w:left w:val="none" w:sz="0" w:space="0" w:color="auto"/>
        <w:bottom w:val="none" w:sz="0" w:space="0" w:color="auto"/>
        <w:right w:val="none" w:sz="0" w:space="0" w:color="auto"/>
      </w:divBdr>
    </w:div>
    <w:div w:id="323972770">
      <w:bodyDiv w:val="1"/>
      <w:marLeft w:val="0"/>
      <w:marRight w:val="0"/>
      <w:marTop w:val="0"/>
      <w:marBottom w:val="0"/>
      <w:divBdr>
        <w:top w:val="none" w:sz="0" w:space="0" w:color="auto"/>
        <w:left w:val="none" w:sz="0" w:space="0" w:color="auto"/>
        <w:bottom w:val="none" w:sz="0" w:space="0" w:color="auto"/>
        <w:right w:val="none" w:sz="0" w:space="0" w:color="auto"/>
      </w:divBdr>
    </w:div>
    <w:div w:id="371466798">
      <w:bodyDiv w:val="1"/>
      <w:marLeft w:val="0"/>
      <w:marRight w:val="0"/>
      <w:marTop w:val="0"/>
      <w:marBottom w:val="0"/>
      <w:divBdr>
        <w:top w:val="none" w:sz="0" w:space="0" w:color="auto"/>
        <w:left w:val="none" w:sz="0" w:space="0" w:color="auto"/>
        <w:bottom w:val="none" w:sz="0" w:space="0" w:color="auto"/>
        <w:right w:val="none" w:sz="0" w:space="0" w:color="auto"/>
      </w:divBdr>
    </w:div>
    <w:div w:id="717705773">
      <w:bodyDiv w:val="1"/>
      <w:marLeft w:val="0"/>
      <w:marRight w:val="0"/>
      <w:marTop w:val="0"/>
      <w:marBottom w:val="0"/>
      <w:divBdr>
        <w:top w:val="none" w:sz="0" w:space="0" w:color="auto"/>
        <w:left w:val="none" w:sz="0" w:space="0" w:color="auto"/>
        <w:bottom w:val="none" w:sz="0" w:space="0" w:color="auto"/>
        <w:right w:val="none" w:sz="0" w:space="0" w:color="auto"/>
      </w:divBdr>
    </w:div>
    <w:div w:id="1123689948">
      <w:bodyDiv w:val="1"/>
      <w:marLeft w:val="0"/>
      <w:marRight w:val="0"/>
      <w:marTop w:val="0"/>
      <w:marBottom w:val="0"/>
      <w:divBdr>
        <w:top w:val="none" w:sz="0" w:space="0" w:color="auto"/>
        <w:left w:val="none" w:sz="0" w:space="0" w:color="auto"/>
        <w:bottom w:val="none" w:sz="0" w:space="0" w:color="auto"/>
        <w:right w:val="none" w:sz="0" w:space="0" w:color="auto"/>
      </w:divBdr>
    </w:div>
    <w:div w:id="1498182689">
      <w:bodyDiv w:val="1"/>
      <w:marLeft w:val="0"/>
      <w:marRight w:val="0"/>
      <w:marTop w:val="0"/>
      <w:marBottom w:val="0"/>
      <w:divBdr>
        <w:top w:val="none" w:sz="0" w:space="0" w:color="auto"/>
        <w:left w:val="none" w:sz="0" w:space="0" w:color="auto"/>
        <w:bottom w:val="none" w:sz="0" w:space="0" w:color="auto"/>
        <w:right w:val="none" w:sz="0" w:space="0" w:color="auto"/>
      </w:divBdr>
    </w:div>
    <w:div w:id="2108189842">
      <w:bodyDiv w:val="1"/>
      <w:marLeft w:val="0"/>
      <w:marRight w:val="0"/>
      <w:marTop w:val="0"/>
      <w:marBottom w:val="0"/>
      <w:divBdr>
        <w:top w:val="none" w:sz="0" w:space="0" w:color="auto"/>
        <w:left w:val="none" w:sz="0" w:space="0" w:color="auto"/>
        <w:bottom w:val="none" w:sz="0" w:space="0" w:color="auto"/>
        <w:right w:val="none" w:sz="0" w:space="0" w:color="auto"/>
      </w:divBdr>
      <w:divsChild>
        <w:div w:id="90785582">
          <w:marLeft w:val="0"/>
          <w:marRight w:val="0"/>
          <w:marTop w:val="0"/>
          <w:marBottom w:val="0"/>
          <w:divBdr>
            <w:top w:val="none" w:sz="0" w:space="0" w:color="auto"/>
            <w:left w:val="none" w:sz="0" w:space="0" w:color="auto"/>
            <w:bottom w:val="none" w:sz="0" w:space="0" w:color="auto"/>
            <w:right w:val="none" w:sz="0" w:space="0" w:color="auto"/>
          </w:divBdr>
        </w:div>
        <w:div w:id="1275478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sbfgdpm@itu.int" TargetMode="External"/><Relationship Id="rId20" Type="http://schemas.openxmlformats.org/officeDocument/2006/relationships/image" Target="media/image6.jpeg"/><Relationship Id="rId29" Type="http://schemas.openxmlformats.org/officeDocument/2006/relationships/hyperlink" Target="https://sustainabledevelopment.u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u.int/go/tfgdpm" TargetMode="External"/><Relationship Id="rId23" Type="http://schemas.openxmlformats.org/officeDocument/2006/relationships/diagramData" Target="diagrams/data1.xml"/><Relationship Id="rId28" Type="http://schemas.openxmlformats.org/officeDocument/2006/relationships/hyperlink" Target="https://www.itu.int/en/ITU-T/AI/2018/Documents/Presentations/Session%20Day%203%20-%202pm.pdf"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oasciti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g"/><Relationship Id="rId27" Type="http://schemas.microsoft.com/office/2007/relationships/diagramDrawing" Target="diagrams/drawing1.xml"/><Relationship Id="rId30" Type="http://schemas.openxmlformats.org/officeDocument/2006/relationships/hyperlink" Target="javascript:voi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237993-9ECA-4815-8541-A5063C542B03}"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fr-CH"/>
        </a:p>
      </dgm:t>
    </dgm:pt>
    <dgm:pt modelId="{B908B458-4A1E-4F2A-B480-00B1E73065CA}">
      <dgm:prSet phldrT="[Texte]" custT="1"/>
      <dgm:spPr/>
      <dgm:t>
        <a:bodyPr/>
        <a:lstStyle/>
        <a:p>
          <a:pPr algn="ctr"/>
          <a:r>
            <a:rPr lang="fr-CH" sz="1400">
              <a:solidFill>
                <a:schemeClr val="bg1"/>
              </a:solidFill>
              <a:latin typeface="Times New Roman" panose="02020603050405020304" pitchFamily="18" charset="0"/>
              <a:cs typeface="Times New Roman" panose="02020603050405020304" pitchFamily="18" charset="0"/>
            </a:rPr>
            <a:t>Risk Management for Ecosystem X</a:t>
          </a:r>
        </a:p>
        <a:p>
          <a:pPr algn="l"/>
          <a:r>
            <a:rPr lang="fr-CH" sz="1100">
              <a:solidFill>
                <a:schemeClr val="bg1"/>
              </a:solidFill>
              <a:latin typeface="Times New Roman" panose="02020603050405020304" pitchFamily="18" charset="0"/>
              <a:cs typeface="Times New Roman" panose="02020603050405020304" pitchFamily="18" charset="0"/>
            </a:rPr>
            <a:t>	Ecosystem global risk monitoring, systemic risk prevention, data aggregation and 	end-to-end visibility of data treatment</a:t>
          </a:r>
        </a:p>
        <a:p>
          <a:pPr algn="l"/>
          <a:r>
            <a:rPr lang="fr-CH" sz="1100">
              <a:solidFill>
                <a:schemeClr val="bg1"/>
              </a:solidFill>
              <a:latin typeface="Times New Roman" panose="02020603050405020304" pitchFamily="18" charset="0"/>
              <a:cs typeface="Times New Roman" panose="02020603050405020304" pitchFamily="18" charset="0"/>
            </a:rPr>
            <a:t>	Determination of risk appetite</a:t>
          </a:r>
        </a:p>
        <a:p>
          <a:pPr algn="l"/>
          <a:r>
            <a:rPr lang="fr-CH" sz="1100">
              <a:solidFill>
                <a:schemeClr val="bg1"/>
              </a:solidFill>
              <a:latin typeface="Times New Roman" panose="02020603050405020304" pitchFamily="18" charset="0"/>
              <a:cs typeface="Times New Roman" panose="02020603050405020304" pitchFamily="18" charset="0"/>
            </a:rPr>
            <a:t>	Facilitate risk management at all stages of the process</a:t>
          </a:r>
        </a:p>
        <a:p>
          <a:pPr algn="l"/>
          <a:endParaRPr lang="fr-CH" sz="1400">
            <a:solidFill>
              <a:schemeClr val="bg1"/>
            </a:solidFill>
            <a:latin typeface="Times New Roman" panose="02020603050405020304" pitchFamily="18" charset="0"/>
            <a:cs typeface="Times New Roman" panose="02020603050405020304" pitchFamily="18" charset="0"/>
          </a:endParaRPr>
        </a:p>
      </dgm:t>
    </dgm:pt>
    <dgm:pt modelId="{79391C79-0B06-4150-9074-2DD91A0827E5}" type="sibTrans" cxnId="{35940431-EA74-444C-9B5F-D64A635EC854}">
      <dgm:prSet/>
      <dgm:spPr/>
      <dgm:t>
        <a:bodyPr/>
        <a:lstStyle/>
        <a:p>
          <a:endParaRPr lang="fr-CH"/>
        </a:p>
      </dgm:t>
    </dgm:pt>
    <dgm:pt modelId="{034DC09E-BD48-4A4B-B115-7E787ADDD13C}" type="parTrans" cxnId="{35940431-EA74-444C-9B5F-D64A635EC854}">
      <dgm:prSet/>
      <dgm:spPr/>
      <dgm:t>
        <a:bodyPr/>
        <a:lstStyle/>
        <a:p>
          <a:endParaRPr lang="fr-CH"/>
        </a:p>
      </dgm:t>
    </dgm:pt>
    <dgm:pt modelId="{314F72A6-710E-45E0-8C4A-A851B4DDFF10}">
      <dgm:prSet phldrT="[Texte]" custT="1"/>
      <dgm:spPr>
        <a:solidFill>
          <a:schemeClr val="accent1">
            <a:lumMod val="20000"/>
            <a:lumOff val="80000"/>
          </a:schemeClr>
        </a:solidFill>
      </dgm:spPr>
      <dgm:t>
        <a:bodyPr/>
        <a:lstStyle/>
        <a:p>
          <a:endParaRPr lang="fr-CH" sz="1200">
            <a:solidFill>
              <a:sysClr val="windowText" lastClr="000000"/>
            </a:solidFill>
            <a:latin typeface="Times New Roman" panose="02020603050405020304" pitchFamily="18" charset="0"/>
            <a:cs typeface="Times New Roman" panose="02020603050405020304" pitchFamily="18" charset="0"/>
          </a:endParaRPr>
        </a:p>
        <a:p>
          <a:endParaRPr lang="fr-CH" sz="1200">
            <a:solidFill>
              <a:sysClr val="windowText" lastClr="000000"/>
            </a:solidFill>
            <a:latin typeface="Times New Roman" panose="02020603050405020304" pitchFamily="18" charset="0"/>
            <a:cs typeface="Times New Roman" panose="02020603050405020304" pitchFamily="18" charset="0"/>
          </a:endParaRPr>
        </a:p>
        <a:p>
          <a:r>
            <a:rPr lang="fr-CH" sz="1200">
              <a:solidFill>
                <a:sysClr val="windowText" lastClr="000000"/>
              </a:solidFill>
              <a:latin typeface="Times New Roman" panose="02020603050405020304" pitchFamily="18" charset="0"/>
              <a:cs typeface="Times New Roman" panose="02020603050405020304" pitchFamily="18" charset="0"/>
            </a:rPr>
            <a:t>Risk Management for Project 1</a:t>
          </a:r>
        </a:p>
        <a:p>
          <a:endParaRPr lang="fr-CH" sz="1200">
            <a:solidFill>
              <a:sysClr val="windowText" lastClr="000000"/>
            </a:solidFill>
            <a:latin typeface="Times New Roman" panose="02020603050405020304" pitchFamily="18" charset="0"/>
            <a:cs typeface="Times New Roman" panose="02020603050405020304" pitchFamily="18" charset="0"/>
          </a:endParaRPr>
        </a:p>
      </dgm:t>
    </dgm:pt>
    <dgm:pt modelId="{A76904DB-760B-456B-94C8-E57083F6CB8D}" type="sibTrans" cxnId="{9AC7FA7A-410B-462C-BEC2-607DB791B262}">
      <dgm:prSet/>
      <dgm:spPr/>
      <dgm:t>
        <a:bodyPr/>
        <a:lstStyle/>
        <a:p>
          <a:endParaRPr lang="fr-CH" sz="1100">
            <a:latin typeface="Times New Roman" panose="02020603050405020304" pitchFamily="18" charset="0"/>
            <a:cs typeface="Times New Roman" panose="02020603050405020304" pitchFamily="18" charset="0"/>
          </a:endParaRPr>
        </a:p>
      </dgm:t>
    </dgm:pt>
    <dgm:pt modelId="{928324E8-B888-415A-A8F2-EA49CBE5FBD9}" type="parTrans" cxnId="{9AC7FA7A-410B-462C-BEC2-607DB791B262}">
      <dgm:prSet/>
      <dgm:spPr/>
      <dgm:t>
        <a:bodyPr/>
        <a:lstStyle/>
        <a:p>
          <a:endParaRPr lang="fr-CH" sz="1100">
            <a:latin typeface="Times New Roman" panose="02020603050405020304" pitchFamily="18" charset="0"/>
            <a:cs typeface="Times New Roman" panose="02020603050405020304" pitchFamily="18" charset="0"/>
          </a:endParaRPr>
        </a:p>
      </dgm:t>
    </dgm:pt>
    <dgm:pt modelId="{73E95B2F-D84D-4CF6-BFA0-51B1CB86B717}">
      <dgm:prSet phldrT="[Texte]" custT="1"/>
      <dgm:spPr>
        <a:solidFill>
          <a:schemeClr val="accent1">
            <a:lumMod val="20000"/>
            <a:lumOff val="8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Identification</a:t>
          </a:r>
        </a:p>
      </dgm:t>
    </dgm:pt>
    <dgm:pt modelId="{B3C19189-96AE-469F-81EC-C5D14B1AAF0C}" type="sibTrans" cxnId="{6FA45D6D-C2B3-466B-A4D0-1901D9BA0B1F}">
      <dgm:prSet/>
      <dgm:spPr/>
      <dgm:t>
        <a:bodyPr/>
        <a:lstStyle/>
        <a:p>
          <a:endParaRPr lang="fr-CH" sz="1100">
            <a:latin typeface="Times New Roman" panose="02020603050405020304" pitchFamily="18" charset="0"/>
            <a:cs typeface="Times New Roman" panose="02020603050405020304" pitchFamily="18" charset="0"/>
          </a:endParaRPr>
        </a:p>
      </dgm:t>
    </dgm:pt>
    <dgm:pt modelId="{A67E0189-DC03-4D93-9796-A535C57DD349}" type="parTrans" cxnId="{6FA45D6D-C2B3-466B-A4D0-1901D9BA0B1F}">
      <dgm:prSet/>
      <dgm:spPr/>
      <dgm:t>
        <a:bodyPr/>
        <a:lstStyle/>
        <a:p>
          <a:endParaRPr lang="fr-CH" sz="1100">
            <a:latin typeface="Times New Roman" panose="02020603050405020304" pitchFamily="18" charset="0"/>
            <a:cs typeface="Times New Roman" panose="02020603050405020304" pitchFamily="18" charset="0"/>
          </a:endParaRPr>
        </a:p>
      </dgm:t>
    </dgm:pt>
    <dgm:pt modelId="{82C0BBA3-312B-411B-B5C4-99AEF979F187}">
      <dgm:prSet phldrT="[Texte]" custT="1"/>
      <dgm:spPr>
        <a:solidFill>
          <a:schemeClr val="accent1">
            <a:lumMod val="20000"/>
            <a:lumOff val="8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Analysis</a:t>
          </a:r>
        </a:p>
      </dgm:t>
    </dgm:pt>
    <dgm:pt modelId="{EA5FE0F2-A99B-43C6-B9A3-3E5D6C608DD6}" type="sibTrans" cxnId="{E3970420-4FF5-476F-B187-E1DED01BBAC5}">
      <dgm:prSet/>
      <dgm:spPr/>
      <dgm:t>
        <a:bodyPr/>
        <a:lstStyle/>
        <a:p>
          <a:endParaRPr lang="fr-CH" sz="1100">
            <a:latin typeface="Times New Roman" panose="02020603050405020304" pitchFamily="18" charset="0"/>
            <a:cs typeface="Times New Roman" panose="02020603050405020304" pitchFamily="18" charset="0"/>
          </a:endParaRPr>
        </a:p>
      </dgm:t>
    </dgm:pt>
    <dgm:pt modelId="{EBBC3C7B-2CBE-4A69-9915-55F9C1F87EAC}" type="parTrans" cxnId="{E3970420-4FF5-476F-B187-E1DED01BBAC5}">
      <dgm:prSet/>
      <dgm:spPr/>
      <dgm:t>
        <a:bodyPr/>
        <a:lstStyle/>
        <a:p>
          <a:endParaRPr lang="fr-CH" sz="1100">
            <a:latin typeface="Times New Roman" panose="02020603050405020304" pitchFamily="18" charset="0"/>
            <a:cs typeface="Times New Roman" panose="02020603050405020304" pitchFamily="18" charset="0"/>
          </a:endParaRPr>
        </a:p>
      </dgm:t>
    </dgm:pt>
    <dgm:pt modelId="{E3992D14-0325-4D31-B72D-01D019E6AFC1}">
      <dgm:prSet phldrT="[Texte]" custT="1"/>
      <dgm:spPr>
        <a:solidFill>
          <a:schemeClr val="accent1">
            <a:lumMod val="20000"/>
            <a:lumOff val="8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evaluation</a:t>
          </a:r>
        </a:p>
      </dgm:t>
    </dgm:pt>
    <dgm:pt modelId="{931D1C77-9CED-4951-9EBA-A79C5C512498}" type="sibTrans" cxnId="{71F6D457-0097-4766-85C8-C74C429CB4E1}">
      <dgm:prSet/>
      <dgm:spPr/>
      <dgm:t>
        <a:bodyPr/>
        <a:lstStyle/>
        <a:p>
          <a:endParaRPr lang="fr-CH" sz="1100">
            <a:latin typeface="Times New Roman" panose="02020603050405020304" pitchFamily="18" charset="0"/>
            <a:cs typeface="Times New Roman" panose="02020603050405020304" pitchFamily="18" charset="0"/>
          </a:endParaRPr>
        </a:p>
      </dgm:t>
    </dgm:pt>
    <dgm:pt modelId="{9B3D06DC-F6D3-4B50-BE26-886BA6D1CB07}" type="parTrans" cxnId="{71F6D457-0097-4766-85C8-C74C429CB4E1}">
      <dgm:prSet/>
      <dgm:spPr/>
      <dgm:t>
        <a:bodyPr/>
        <a:lstStyle/>
        <a:p>
          <a:endParaRPr lang="fr-CH" sz="1100">
            <a:latin typeface="Times New Roman" panose="02020603050405020304" pitchFamily="18" charset="0"/>
            <a:cs typeface="Times New Roman" panose="02020603050405020304" pitchFamily="18" charset="0"/>
          </a:endParaRPr>
        </a:p>
      </dgm:t>
    </dgm:pt>
    <dgm:pt modelId="{D1A3500C-080F-4F1F-95EE-B8671B1BB099}">
      <dgm:prSet phldrT="[Texte]" custT="1"/>
      <dgm:spPr>
        <a:solidFill>
          <a:schemeClr val="accent1">
            <a:lumMod val="20000"/>
            <a:lumOff val="8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treatment</a:t>
          </a:r>
        </a:p>
      </dgm:t>
    </dgm:pt>
    <dgm:pt modelId="{8993B661-730F-41D2-94FE-A4A69C345C4D}" type="sibTrans" cxnId="{0A2C2E80-4A12-4CB4-857D-9A07C5F063C7}">
      <dgm:prSet/>
      <dgm:spPr/>
      <dgm:t>
        <a:bodyPr/>
        <a:lstStyle/>
        <a:p>
          <a:endParaRPr lang="fr-CH" sz="1100">
            <a:latin typeface="Times New Roman" panose="02020603050405020304" pitchFamily="18" charset="0"/>
            <a:cs typeface="Times New Roman" panose="02020603050405020304" pitchFamily="18" charset="0"/>
          </a:endParaRPr>
        </a:p>
      </dgm:t>
    </dgm:pt>
    <dgm:pt modelId="{DD66DEE2-DFE7-4636-B97F-FB8DF9BCDAB1}" type="parTrans" cxnId="{0A2C2E80-4A12-4CB4-857D-9A07C5F063C7}">
      <dgm:prSet/>
      <dgm:spPr/>
      <dgm:t>
        <a:bodyPr/>
        <a:lstStyle/>
        <a:p>
          <a:endParaRPr lang="fr-CH" sz="1100">
            <a:latin typeface="Times New Roman" panose="02020603050405020304" pitchFamily="18" charset="0"/>
            <a:cs typeface="Times New Roman" panose="02020603050405020304" pitchFamily="18" charset="0"/>
          </a:endParaRPr>
        </a:p>
      </dgm:t>
    </dgm:pt>
    <dgm:pt modelId="{F54156F4-9B8A-430E-B818-DDF4818750CC}">
      <dgm:prSet phldrT="[Texte]" custT="1"/>
      <dgm:spPr>
        <a:solidFill>
          <a:schemeClr val="accent1">
            <a:lumMod val="40000"/>
            <a:lumOff val="60000"/>
          </a:schemeClr>
        </a:solidFill>
      </dgm:spPr>
      <dgm:t>
        <a:bodyPr/>
        <a:lstStyle/>
        <a:p>
          <a:endParaRPr lang="fr-CH" sz="1200">
            <a:solidFill>
              <a:sysClr val="windowText" lastClr="000000"/>
            </a:solidFill>
            <a:latin typeface="Times New Roman" panose="02020603050405020304" pitchFamily="18" charset="0"/>
            <a:cs typeface="Times New Roman" panose="02020603050405020304" pitchFamily="18" charset="0"/>
          </a:endParaRPr>
        </a:p>
        <a:p>
          <a:endParaRPr lang="fr-CH" sz="1200">
            <a:solidFill>
              <a:sysClr val="windowText" lastClr="000000"/>
            </a:solidFill>
            <a:latin typeface="Times New Roman" panose="02020603050405020304" pitchFamily="18" charset="0"/>
            <a:cs typeface="Times New Roman" panose="02020603050405020304" pitchFamily="18" charset="0"/>
          </a:endParaRPr>
        </a:p>
        <a:p>
          <a:r>
            <a:rPr lang="fr-CH" sz="1200">
              <a:solidFill>
                <a:sysClr val="windowText" lastClr="000000"/>
              </a:solidFill>
              <a:latin typeface="Times New Roman" panose="02020603050405020304" pitchFamily="18" charset="0"/>
              <a:cs typeface="Times New Roman" panose="02020603050405020304" pitchFamily="18" charset="0"/>
            </a:rPr>
            <a:t>Risk Management for Project 2 (...)</a:t>
          </a:r>
        </a:p>
        <a:p>
          <a:endParaRPr lang="fr-CH" sz="1200">
            <a:solidFill>
              <a:sysClr val="windowText" lastClr="000000"/>
            </a:solidFill>
            <a:latin typeface="Times New Roman" panose="02020603050405020304" pitchFamily="18" charset="0"/>
            <a:cs typeface="Times New Roman" panose="02020603050405020304" pitchFamily="18" charset="0"/>
          </a:endParaRPr>
        </a:p>
      </dgm:t>
    </dgm:pt>
    <dgm:pt modelId="{93BF2CC7-71D2-4940-A2E4-F6CC2E335A0E}" type="sibTrans" cxnId="{2819D786-7869-4C1B-88B0-DD8F9E7290B9}">
      <dgm:prSet/>
      <dgm:spPr/>
      <dgm:t>
        <a:bodyPr/>
        <a:lstStyle/>
        <a:p>
          <a:endParaRPr lang="fr-CH" sz="1100">
            <a:latin typeface="Times New Roman" panose="02020603050405020304" pitchFamily="18" charset="0"/>
            <a:cs typeface="Times New Roman" panose="02020603050405020304" pitchFamily="18" charset="0"/>
          </a:endParaRPr>
        </a:p>
      </dgm:t>
    </dgm:pt>
    <dgm:pt modelId="{F96AA3C6-70AC-4068-BA79-8F01B39A441F}" type="parTrans" cxnId="{2819D786-7869-4C1B-88B0-DD8F9E7290B9}">
      <dgm:prSet/>
      <dgm:spPr/>
      <dgm:t>
        <a:bodyPr/>
        <a:lstStyle/>
        <a:p>
          <a:endParaRPr lang="fr-CH" sz="1100">
            <a:latin typeface="Times New Roman" panose="02020603050405020304" pitchFamily="18" charset="0"/>
            <a:cs typeface="Times New Roman" panose="02020603050405020304" pitchFamily="18" charset="0"/>
          </a:endParaRPr>
        </a:p>
      </dgm:t>
    </dgm:pt>
    <dgm:pt modelId="{C307F48A-F227-4F8A-AFDD-1B33110D5BAD}">
      <dgm:prSet phldrT="[Texte]" custT="1"/>
      <dgm:spPr>
        <a:solidFill>
          <a:schemeClr val="accent1">
            <a:lumMod val="40000"/>
            <a:lumOff val="6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Identification</a:t>
          </a:r>
        </a:p>
      </dgm:t>
    </dgm:pt>
    <dgm:pt modelId="{9ABF035B-7836-49A5-87C4-AF30FF9A0252}" type="sibTrans" cxnId="{F3B0CCC4-3FD0-449F-A3B7-8A711040C4D2}">
      <dgm:prSet/>
      <dgm:spPr/>
      <dgm:t>
        <a:bodyPr/>
        <a:lstStyle/>
        <a:p>
          <a:endParaRPr lang="fr-CH" sz="1100">
            <a:latin typeface="Times New Roman" panose="02020603050405020304" pitchFamily="18" charset="0"/>
            <a:cs typeface="Times New Roman" panose="02020603050405020304" pitchFamily="18" charset="0"/>
          </a:endParaRPr>
        </a:p>
      </dgm:t>
    </dgm:pt>
    <dgm:pt modelId="{1009A0DF-A4CE-46C1-ADA5-3259F146DF5B}" type="parTrans" cxnId="{F3B0CCC4-3FD0-449F-A3B7-8A711040C4D2}">
      <dgm:prSet/>
      <dgm:spPr/>
      <dgm:t>
        <a:bodyPr/>
        <a:lstStyle/>
        <a:p>
          <a:endParaRPr lang="fr-CH" sz="1100">
            <a:latin typeface="Times New Roman" panose="02020603050405020304" pitchFamily="18" charset="0"/>
            <a:cs typeface="Times New Roman" panose="02020603050405020304" pitchFamily="18" charset="0"/>
          </a:endParaRPr>
        </a:p>
      </dgm:t>
    </dgm:pt>
    <dgm:pt modelId="{29CD7B45-B918-4F3C-AAE3-3F8A3009DDB6}">
      <dgm:prSet phldrT="[Texte]" custT="1"/>
      <dgm:spPr>
        <a:solidFill>
          <a:schemeClr val="accent1">
            <a:lumMod val="40000"/>
            <a:lumOff val="6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Analysis</a:t>
          </a:r>
        </a:p>
      </dgm:t>
    </dgm:pt>
    <dgm:pt modelId="{E125307B-6BE4-4C7F-8210-E0DFB16BA6D6}" type="sibTrans" cxnId="{807F3B4C-4178-4D56-A333-F2C46453D5EE}">
      <dgm:prSet/>
      <dgm:spPr/>
      <dgm:t>
        <a:bodyPr/>
        <a:lstStyle/>
        <a:p>
          <a:endParaRPr lang="fr-CH" sz="1100">
            <a:latin typeface="Times New Roman" panose="02020603050405020304" pitchFamily="18" charset="0"/>
            <a:cs typeface="Times New Roman" panose="02020603050405020304" pitchFamily="18" charset="0"/>
          </a:endParaRPr>
        </a:p>
      </dgm:t>
    </dgm:pt>
    <dgm:pt modelId="{6AAF5C9B-6F6E-44B0-A824-930B71D77064}" type="parTrans" cxnId="{807F3B4C-4178-4D56-A333-F2C46453D5EE}">
      <dgm:prSet/>
      <dgm:spPr/>
      <dgm:t>
        <a:bodyPr/>
        <a:lstStyle/>
        <a:p>
          <a:endParaRPr lang="fr-CH" sz="1100">
            <a:latin typeface="Times New Roman" panose="02020603050405020304" pitchFamily="18" charset="0"/>
            <a:cs typeface="Times New Roman" panose="02020603050405020304" pitchFamily="18" charset="0"/>
          </a:endParaRPr>
        </a:p>
      </dgm:t>
    </dgm:pt>
    <dgm:pt modelId="{109187D1-A7A4-41DA-A729-2F33457501AE}">
      <dgm:prSet phldrT="[Texte]" custT="1"/>
      <dgm:spPr>
        <a:solidFill>
          <a:schemeClr val="accent1">
            <a:lumMod val="40000"/>
            <a:lumOff val="6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evaluation</a:t>
          </a:r>
        </a:p>
      </dgm:t>
    </dgm:pt>
    <dgm:pt modelId="{14D7C4CD-6B39-4891-8D57-A816DB1AD11F}" type="sibTrans" cxnId="{569A15B0-68CA-4867-900C-58D45487ADC1}">
      <dgm:prSet/>
      <dgm:spPr/>
      <dgm:t>
        <a:bodyPr/>
        <a:lstStyle/>
        <a:p>
          <a:endParaRPr lang="fr-CH" sz="1100">
            <a:latin typeface="Times New Roman" panose="02020603050405020304" pitchFamily="18" charset="0"/>
            <a:cs typeface="Times New Roman" panose="02020603050405020304" pitchFamily="18" charset="0"/>
          </a:endParaRPr>
        </a:p>
      </dgm:t>
    </dgm:pt>
    <dgm:pt modelId="{B5F7141B-9922-4426-9A7F-D93C8C4D7517}" type="parTrans" cxnId="{569A15B0-68CA-4867-900C-58D45487ADC1}">
      <dgm:prSet/>
      <dgm:spPr/>
      <dgm:t>
        <a:bodyPr/>
        <a:lstStyle/>
        <a:p>
          <a:endParaRPr lang="fr-CH" sz="1100">
            <a:latin typeface="Times New Roman" panose="02020603050405020304" pitchFamily="18" charset="0"/>
            <a:cs typeface="Times New Roman" panose="02020603050405020304" pitchFamily="18" charset="0"/>
          </a:endParaRPr>
        </a:p>
      </dgm:t>
    </dgm:pt>
    <dgm:pt modelId="{85B802ED-38C9-4897-AD0E-FE9D99436185}">
      <dgm:prSet phldrT="[Texte]" custT="1"/>
      <dgm:spPr>
        <a:solidFill>
          <a:schemeClr val="accent1">
            <a:lumMod val="40000"/>
            <a:lumOff val="6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treatment</a:t>
          </a:r>
        </a:p>
      </dgm:t>
    </dgm:pt>
    <dgm:pt modelId="{9AB73890-BA4E-412C-AFA4-11A48D4F6EFC}" type="sibTrans" cxnId="{CBD6E215-7F8C-48D4-9FC6-1B3A3ECCB935}">
      <dgm:prSet/>
      <dgm:spPr/>
      <dgm:t>
        <a:bodyPr/>
        <a:lstStyle/>
        <a:p>
          <a:endParaRPr lang="fr-CH" sz="1100">
            <a:latin typeface="Times New Roman" panose="02020603050405020304" pitchFamily="18" charset="0"/>
            <a:cs typeface="Times New Roman" panose="02020603050405020304" pitchFamily="18" charset="0"/>
          </a:endParaRPr>
        </a:p>
      </dgm:t>
    </dgm:pt>
    <dgm:pt modelId="{3EA967D9-708C-458C-A016-1BDD7D2D24BA}" type="parTrans" cxnId="{CBD6E215-7F8C-48D4-9FC6-1B3A3ECCB935}">
      <dgm:prSet/>
      <dgm:spPr/>
      <dgm:t>
        <a:bodyPr/>
        <a:lstStyle/>
        <a:p>
          <a:endParaRPr lang="fr-CH" sz="1100">
            <a:latin typeface="Times New Roman" panose="02020603050405020304" pitchFamily="18" charset="0"/>
            <a:cs typeface="Times New Roman" panose="02020603050405020304" pitchFamily="18" charset="0"/>
          </a:endParaRPr>
        </a:p>
      </dgm:t>
    </dgm:pt>
    <dgm:pt modelId="{8F72C11E-4FD0-453C-9E61-E9039521AB5B}">
      <dgm:prSet phldrT="[Texte]" custT="1"/>
      <dgm:spPr>
        <a:solidFill>
          <a:schemeClr val="accent1">
            <a:lumMod val="60000"/>
            <a:lumOff val="40000"/>
          </a:schemeClr>
        </a:solidFill>
      </dgm:spPr>
      <dgm:t>
        <a:bodyPr/>
        <a:lstStyle/>
        <a:p>
          <a:endParaRPr lang="fr-CH" sz="1200">
            <a:solidFill>
              <a:sysClr val="windowText" lastClr="000000"/>
            </a:solidFill>
            <a:latin typeface="Times New Roman" panose="02020603050405020304" pitchFamily="18" charset="0"/>
            <a:cs typeface="Times New Roman" panose="02020603050405020304" pitchFamily="18" charset="0"/>
          </a:endParaRPr>
        </a:p>
        <a:p>
          <a:endParaRPr lang="fr-CH" sz="1200">
            <a:solidFill>
              <a:sysClr val="windowText" lastClr="000000"/>
            </a:solidFill>
            <a:latin typeface="Times New Roman" panose="02020603050405020304" pitchFamily="18" charset="0"/>
            <a:cs typeface="Times New Roman" panose="02020603050405020304" pitchFamily="18" charset="0"/>
          </a:endParaRPr>
        </a:p>
        <a:p>
          <a:r>
            <a:rPr lang="fr-CH" sz="1200">
              <a:solidFill>
                <a:sysClr val="windowText" lastClr="000000"/>
              </a:solidFill>
              <a:latin typeface="Times New Roman" panose="02020603050405020304" pitchFamily="18" charset="0"/>
              <a:cs typeface="Times New Roman" panose="02020603050405020304" pitchFamily="18" charset="0"/>
            </a:rPr>
            <a:t>Risk Management for City A</a:t>
          </a:r>
        </a:p>
        <a:p>
          <a:endParaRPr lang="fr-CH" sz="1100">
            <a:solidFill>
              <a:sysClr val="windowText" lastClr="000000"/>
            </a:solidFill>
            <a:latin typeface="Times New Roman" panose="02020603050405020304" pitchFamily="18" charset="0"/>
            <a:cs typeface="Times New Roman" panose="02020603050405020304" pitchFamily="18" charset="0"/>
          </a:endParaRPr>
        </a:p>
      </dgm:t>
    </dgm:pt>
    <dgm:pt modelId="{4852F344-1D5C-4641-92CC-C73371F4804B}" type="sibTrans" cxnId="{0EE7CB35-5ADD-4C20-A9F9-129BB1086FD8}">
      <dgm:prSet/>
      <dgm:spPr/>
      <dgm:t>
        <a:bodyPr/>
        <a:lstStyle/>
        <a:p>
          <a:endParaRPr lang="fr-CH" sz="1100">
            <a:latin typeface="Times New Roman" panose="02020603050405020304" pitchFamily="18" charset="0"/>
            <a:cs typeface="Times New Roman" panose="02020603050405020304" pitchFamily="18" charset="0"/>
          </a:endParaRPr>
        </a:p>
      </dgm:t>
    </dgm:pt>
    <dgm:pt modelId="{562F219C-97D7-4DAC-B532-4C2EB95825A8}" type="parTrans" cxnId="{0EE7CB35-5ADD-4C20-A9F9-129BB1086FD8}">
      <dgm:prSet/>
      <dgm:spPr/>
      <dgm:t>
        <a:bodyPr/>
        <a:lstStyle/>
        <a:p>
          <a:endParaRPr lang="fr-CH" sz="1100">
            <a:latin typeface="Times New Roman" panose="02020603050405020304" pitchFamily="18" charset="0"/>
            <a:cs typeface="Times New Roman" panose="02020603050405020304" pitchFamily="18" charset="0"/>
          </a:endParaRPr>
        </a:p>
      </dgm:t>
    </dgm:pt>
    <dgm:pt modelId="{7F06129C-3CAB-47B9-A930-ED51547F19FC}">
      <dgm:prSet phldrT="[Texte]" custT="1"/>
      <dgm:spPr>
        <a:solidFill>
          <a:schemeClr val="accent1">
            <a:lumMod val="60000"/>
            <a:lumOff val="4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Identification</a:t>
          </a:r>
        </a:p>
      </dgm:t>
    </dgm:pt>
    <dgm:pt modelId="{A687100E-BE7F-414E-8A7B-468E15D61934}" type="sibTrans" cxnId="{8D539DB3-C437-4F6B-8C0E-00B38C19BAC7}">
      <dgm:prSet/>
      <dgm:spPr/>
      <dgm:t>
        <a:bodyPr/>
        <a:lstStyle/>
        <a:p>
          <a:endParaRPr lang="fr-CH" sz="1100">
            <a:latin typeface="Times New Roman" panose="02020603050405020304" pitchFamily="18" charset="0"/>
            <a:cs typeface="Times New Roman" panose="02020603050405020304" pitchFamily="18" charset="0"/>
          </a:endParaRPr>
        </a:p>
      </dgm:t>
    </dgm:pt>
    <dgm:pt modelId="{E6AB064C-31D2-401F-9DD2-A3BA5399780C}" type="parTrans" cxnId="{8D539DB3-C437-4F6B-8C0E-00B38C19BAC7}">
      <dgm:prSet/>
      <dgm:spPr/>
      <dgm:t>
        <a:bodyPr/>
        <a:lstStyle/>
        <a:p>
          <a:endParaRPr lang="fr-CH" sz="1100">
            <a:latin typeface="Times New Roman" panose="02020603050405020304" pitchFamily="18" charset="0"/>
            <a:cs typeface="Times New Roman" panose="02020603050405020304" pitchFamily="18" charset="0"/>
          </a:endParaRPr>
        </a:p>
      </dgm:t>
    </dgm:pt>
    <dgm:pt modelId="{508C5729-30DA-4139-A685-8CD02AA905B9}">
      <dgm:prSet phldrT="[Texte]" custT="1"/>
      <dgm:spPr>
        <a:solidFill>
          <a:schemeClr val="accent1">
            <a:lumMod val="60000"/>
            <a:lumOff val="4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Analysis</a:t>
          </a:r>
        </a:p>
      </dgm:t>
    </dgm:pt>
    <dgm:pt modelId="{B6658C25-B326-4502-B42F-13FF5C65C211}" type="sibTrans" cxnId="{CB380DBD-080D-408B-AD87-093747EA8603}">
      <dgm:prSet/>
      <dgm:spPr/>
      <dgm:t>
        <a:bodyPr/>
        <a:lstStyle/>
        <a:p>
          <a:endParaRPr lang="fr-CH" sz="1100">
            <a:latin typeface="Times New Roman" panose="02020603050405020304" pitchFamily="18" charset="0"/>
            <a:cs typeface="Times New Roman" panose="02020603050405020304" pitchFamily="18" charset="0"/>
          </a:endParaRPr>
        </a:p>
      </dgm:t>
    </dgm:pt>
    <dgm:pt modelId="{AC4783CF-7515-4BA0-8714-8742A56F6AFA}" type="parTrans" cxnId="{CB380DBD-080D-408B-AD87-093747EA8603}">
      <dgm:prSet/>
      <dgm:spPr/>
      <dgm:t>
        <a:bodyPr/>
        <a:lstStyle/>
        <a:p>
          <a:endParaRPr lang="fr-CH" sz="1100">
            <a:latin typeface="Times New Roman" panose="02020603050405020304" pitchFamily="18" charset="0"/>
            <a:cs typeface="Times New Roman" panose="02020603050405020304" pitchFamily="18" charset="0"/>
          </a:endParaRPr>
        </a:p>
      </dgm:t>
    </dgm:pt>
    <dgm:pt modelId="{BEE6ADEE-22A8-44E7-82C9-1C91B841A9C1}">
      <dgm:prSet phldrT="[Texte]" custT="1"/>
      <dgm:spPr>
        <a:solidFill>
          <a:schemeClr val="accent1">
            <a:lumMod val="60000"/>
            <a:lumOff val="4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evaluation</a:t>
          </a:r>
        </a:p>
      </dgm:t>
    </dgm:pt>
    <dgm:pt modelId="{EFAD269D-8F35-42E2-B1AC-86B0375C189B}" type="sibTrans" cxnId="{63719FDA-C06C-4584-8163-A7FFAAE97EB9}">
      <dgm:prSet/>
      <dgm:spPr/>
      <dgm:t>
        <a:bodyPr/>
        <a:lstStyle/>
        <a:p>
          <a:endParaRPr lang="fr-CH" sz="1100">
            <a:latin typeface="Times New Roman" panose="02020603050405020304" pitchFamily="18" charset="0"/>
            <a:cs typeface="Times New Roman" panose="02020603050405020304" pitchFamily="18" charset="0"/>
          </a:endParaRPr>
        </a:p>
      </dgm:t>
    </dgm:pt>
    <dgm:pt modelId="{149DF899-CBCC-411A-B13D-F10EA8EB17E9}" type="parTrans" cxnId="{63719FDA-C06C-4584-8163-A7FFAAE97EB9}">
      <dgm:prSet/>
      <dgm:spPr/>
      <dgm:t>
        <a:bodyPr/>
        <a:lstStyle/>
        <a:p>
          <a:endParaRPr lang="fr-CH" sz="1100">
            <a:latin typeface="Times New Roman" panose="02020603050405020304" pitchFamily="18" charset="0"/>
            <a:cs typeface="Times New Roman" panose="02020603050405020304" pitchFamily="18" charset="0"/>
          </a:endParaRPr>
        </a:p>
      </dgm:t>
    </dgm:pt>
    <dgm:pt modelId="{8FA556D3-543F-4BAF-93A0-71D012F41755}">
      <dgm:prSet phldrT="[Texte]" custT="1"/>
      <dgm:spPr>
        <a:solidFill>
          <a:schemeClr val="accent1">
            <a:lumMod val="60000"/>
            <a:lumOff val="40000"/>
          </a:schemeClr>
        </a:solidFill>
      </dgm:spPr>
      <dgm:t>
        <a:bodyPr/>
        <a:lstStyle/>
        <a:p>
          <a:r>
            <a:rPr lang="fr-CH" sz="1100">
              <a:solidFill>
                <a:sysClr val="windowText" lastClr="000000"/>
              </a:solidFill>
              <a:latin typeface="Times New Roman" panose="02020603050405020304" pitchFamily="18" charset="0"/>
              <a:cs typeface="Times New Roman" panose="02020603050405020304" pitchFamily="18" charset="0"/>
            </a:rPr>
            <a:t>Risk treatment</a:t>
          </a:r>
        </a:p>
      </dgm:t>
    </dgm:pt>
    <dgm:pt modelId="{4F5AB618-D332-42B2-A171-182DA006DFAE}" type="sibTrans" cxnId="{D7743373-FB1F-41E8-8E61-30635C39C026}">
      <dgm:prSet/>
      <dgm:spPr/>
      <dgm:t>
        <a:bodyPr/>
        <a:lstStyle/>
        <a:p>
          <a:endParaRPr lang="fr-CH" sz="1100">
            <a:latin typeface="Times New Roman" panose="02020603050405020304" pitchFamily="18" charset="0"/>
            <a:cs typeface="Times New Roman" panose="02020603050405020304" pitchFamily="18" charset="0"/>
          </a:endParaRPr>
        </a:p>
      </dgm:t>
    </dgm:pt>
    <dgm:pt modelId="{7C4F759B-C02B-47E4-925E-D83889E3D98C}" type="parTrans" cxnId="{D7743373-FB1F-41E8-8E61-30635C39C026}">
      <dgm:prSet/>
      <dgm:spPr/>
      <dgm:t>
        <a:bodyPr/>
        <a:lstStyle/>
        <a:p>
          <a:endParaRPr lang="fr-CH" sz="1100">
            <a:latin typeface="Times New Roman" panose="02020603050405020304" pitchFamily="18" charset="0"/>
            <a:cs typeface="Times New Roman" panose="02020603050405020304" pitchFamily="18" charset="0"/>
          </a:endParaRPr>
        </a:p>
      </dgm:t>
    </dgm:pt>
    <dgm:pt modelId="{157D3195-8D5B-43CD-905B-7E9E3AC328AA}">
      <dgm:prSet phldrT="[Texte]" custT="1"/>
      <dgm:spPr>
        <a:solidFill>
          <a:schemeClr val="accent1">
            <a:lumMod val="75000"/>
          </a:schemeClr>
        </a:solidFill>
      </dgm:spPr>
      <dgm:t>
        <a:bodyPr/>
        <a:lstStyle/>
        <a:p>
          <a:endParaRPr lang="fr-CH" sz="1200">
            <a:latin typeface="Times New Roman" panose="02020603050405020304" pitchFamily="18" charset="0"/>
            <a:cs typeface="Times New Roman" panose="02020603050405020304" pitchFamily="18" charset="0"/>
          </a:endParaRPr>
        </a:p>
        <a:p>
          <a:endParaRPr lang="fr-CH" sz="1200">
            <a:latin typeface="Times New Roman" panose="02020603050405020304" pitchFamily="18" charset="0"/>
            <a:cs typeface="Times New Roman" panose="02020603050405020304" pitchFamily="18" charset="0"/>
          </a:endParaRPr>
        </a:p>
        <a:p>
          <a:r>
            <a:rPr lang="fr-CH" sz="1200">
              <a:latin typeface="Times New Roman" panose="02020603050405020304" pitchFamily="18" charset="0"/>
              <a:cs typeface="Times New Roman" panose="02020603050405020304" pitchFamily="18" charset="0"/>
            </a:rPr>
            <a:t>Risk Management for City B (...)</a:t>
          </a:r>
        </a:p>
        <a:p>
          <a:endParaRPr lang="fr-CH" sz="1200">
            <a:latin typeface="Times New Roman" panose="02020603050405020304" pitchFamily="18" charset="0"/>
            <a:cs typeface="Times New Roman" panose="02020603050405020304" pitchFamily="18" charset="0"/>
          </a:endParaRPr>
        </a:p>
      </dgm:t>
    </dgm:pt>
    <dgm:pt modelId="{4C8468BF-47B6-4B7A-9796-A053EA8B2B1E}" type="sibTrans" cxnId="{BDED7E3B-3CD9-457C-B120-096F0D57996C}">
      <dgm:prSet/>
      <dgm:spPr/>
      <dgm:t>
        <a:bodyPr/>
        <a:lstStyle/>
        <a:p>
          <a:endParaRPr lang="fr-CH" sz="1100">
            <a:latin typeface="Times New Roman" panose="02020603050405020304" pitchFamily="18" charset="0"/>
            <a:cs typeface="Times New Roman" panose="02020603050405020304" pitchFamily="18" charset="0"/>
          </a:endParaRPr>
        </a:p>
      </dgm:t>
    </dgm:pt>
    <dgm:pt modelId="{6C88EC9F-C910-4E39-83C7-740A1DB28140}" type="parTrans" cxnId="{BDED7E3B-3CD9-457C-B120-096F0D57996C}">
      <dgm:prSet/>
      <dgm:spPr/>
      <dgm:t>
        <a:bodyPr/>
        <a:lstStyle/>
        <a:p>
          <a:endParaRPr lang="fr-CH" sz="1100">
            <a:latin typeface="Times New Roman" panose="02020603050405020304" pitchFamily="18" charset="0"/>
            <a:cs typeface="Times New Roman" panose="02020603050405020304" pitchFamily="18" charset="0"/>
          </a:endParaRPr>
        </a:p>
      </dgm:t>
    </dgm:pt>
    <dgm:pt modelId="{C179B113-5DBA-4C88-8511-1B5040B35EE1}">
      <dgm:prSet phldrT="[Texte]" custT="1"/>
      <dgm:spPr>
        <a:solidFill>
          <a:schemeClr val="accent1">
            <a:lumMod val="75000"/>
          </a:schemeClr>
        </a:solidFill>
      </dgm:spPr>
      <dgm:t>
        <a:bodyPr/>
        <a:lstStyle/>
        <a:p>
          <a:r>
            <a:rPr lang="fr-CH" sz="1100">
              <a:latin typeface="Times New Roman" panose="02020603050405020304" pitchFamily="18" charset="0"/>
              <a:cs typeface="Times New Roman" panose="02020603050405020304" pitchFamily="18" charset="0"/>
            </a:rPr>
            <a:t>Risk Identification</a:t>
          </a:r>
        </a:p>
      </dgm:t>
    </dgm:pt>
    <dgm:pt modelId="{96112003-4994-4A43-AF28-4DF9A39D398E}" type="sibTrans" cxnId="{5255A55F-CA4F-4F54-BC41-905055A55276}">
      <dgm:prSet/>
      <dgm:spPr/>
      <dgm:t>
        <a:bodyPr/>
        <a:lstStyle/>
        <a:p>
          <a:endParaRPr lang="fr-CH" sz="1100">
            <a:latin typeface="Times New Roman" panose="02020603050405020304" pitchFamily="18" charset="0"/>
            <a:cs typeface="Times New Roman" panose="02020603050405020304" pitchFamily="18" charset="0"/>
          </a:endParaRPr>
        </a:p>
      </dgm:t>
    </dgm:pt>
    <dgm:pt modelId="{8500DD2B-CD02-4480-B10A-768DE297C001}" type="parTrans" cxnId="{5255A55F-CA4F-4F54-BC41-905055A55276}">
      <dgm:prSet/>
      <dgm:spPr/>
      <dgm:t>
        <a:bodyPr/>
        <a:lstStyle/>
        <a:p>
          <a:endParaRPr lang="fr-CH" sz="1100">
            <a:latin typeface="Times New Roman" panose="02020603050405020304" pitchFamily="18" charset="0"/>
            <a:cs typeface="Times New Roman" panose="02020603050405020304" pitchFamily="18" charset="0"/>
          </a:endParaRPr>
        </a:p>
      </dgm:t>
    </dgm:pt>
    <dgm:pt modelId="{8CAB5651-D6BC-4293-A79E-98D7F8EE7E13}">
      <dgm:prSet phldrT="[Texte]" custT="1"/>
      <dgm:spPr>
        <a:solidFill>
          <a:schemeClr val="accent1">
            <a:lumMod val="75000"/>
          </a:schemeClr>
        </a:solidFill>
      </dgm:spPr>
      <dgm:t>
        <a:bodyPr/>
        <a:lstStyle/>
        <a:p>
          <a:r>
            <a:rPr lang="fr-CH" sz="1100">
              <a:latin typeface="Times New Roman" panose="02020603050405020304" pitchFamily="18" charset="0"/>
              <a:cs typeface="Times New Roman" panose="02020603050405020304" pitchFamily="18" charset="0"/>
            </a:rPr>
            <a:t>Risk Analysis</a:t>
          </a:r>
        </a:p>
      </dgm:t>
    </dgm:pt>
    <dgm:pt modelId="{3CD61A16-3AE0-4D2E-A735-84B745DFFAB1}" type="sibTrans" cxnId="{95C7EFBD-22D2-45A8-AC3C-EC7AB6E63B6D}">
      <dgm:prSet/>
      <dgm:spPr/>
      <dgm:t>
        <a:bodyPr/>
        <a:lstStyle/>
        <a:p>
          <a:endParaRPr lang="fr-CH" sz="1100">
            <a:latin typeface="Times New Roman" panose="02020603050405020304" pitchFamily="18" charset="0"/>
            <a:cs typeface="Times New Roman" panose="02020603050405020304" pitchFamily="18" charset="0"/>
          </a:endParaRPr>
        </a:p>
      </dgm:t>
    </dgm:pt>
    <dgm:pt modelId="{60EA3B10-0BCD-4BE5-A6EC-B7C877B8C224}" type="parTrans" cxnId="{95C7EFBD-22D2-45A8-AC3C-EC7AB6E63B6D}">
      <dgm:prSet/>
      <dgm:spPr/>
      <dgm:t>
        <a:bodyPr/>
        <a:lstStyle/>
        <a:p>
          <a:endParaRPr lang="fr-CH" sz="1100">
            <a:latin typeface="Times New Roman" panose="02020603050405020304" pitchFamily="18" charset="0"/>
            <a:cs typeface="Times New Roman" panose="02020603050405020304" pitchFamily="18" charset="0"/>
          </a:endParaRPr>
        </a:p>
      </dgm:t>
    </dgm:pt>
    <dgm:pt modelId="{330BE1B4-C4FB-4715-9637-B9FF671ECD60}">
      <dgm:prSet phldrT="[Texte]" custT="1"/>
      <dgm:spPr>
        <a:solidFill>
          <a:schemeClr val="accent1">
            <a:lumMod val="75000"/>
          </a:schemeClr>
        </a:solidFill>
      </dgm:spPr>
      <dgm:t>
        <a:bodyPr/>
        <a:lstStyle/>
        <a:p>
          <a:r>
            <a:rPr lang="fr-CH" sz="1100">
              <a:latin typeface="Times New Roman" panose="02020603050405020304" pitchFamily="18" charset="0"/>
              <a:cs typeface="Times New Roman" panose="02020603050405020304" pitchFamily="18" charset="0"/>
            </a:rPr>
            <a:t>Risk evaluation</a:t>
          </a:r>
        </a:p>
      </dgm:t>
    </dgm:pt>
    <dgm:pt modelId="{D8B06BB5-F397-4C4A-8DC1-9CD74593D241}" type="sibTrans" cxnId="{C017D707-9417-4158-AEE4-7AD67CD961EB}">
      <dgm:prSet/>
      <dgm:spPr/>
      <dgm:t>
        <a:bodyPr/>
        <a:lstStyle/>
        <a:p>
          <a:endParaRPr lang="fr-CH" sz="1100">
            <a:latin typeface="Times New Roman" panose="02020603050405020304" pitchFamily="18" charset="0"/>
            <a:cs typeface="Times New Roman" panose="02020603050405020304" pitchFamily="18" charset="0"/>
          </a:endParaRPr>
        </a:p>
      </dgm:t>
    </dgm:pt>
    <dgm:pt modelId="{7C51D770-970A-495D-B683-99838D93A921}" type="parTrans" cxnId="{C017D707-9417-4158-AEE4-7AD67CD961EB}">
      <dgm:prSet/>
      <dgm:spPr/>
      <dgm:t>
        <a:bodyPr/>
        <a:lstStyle/>
        <a:p>
          <a:endParaRPr lang="fr-CH" sz="1100">
            <a:latin typeface="Times New Roman" panose="02020603050405020304" pitchFamily="18" charset="0"/>
            <a:cs typeface="Times New Roman" panose="02020603050405020304" pitchFamily="18" charset="0"/>
          </a:endParaRPr>
        </a:p>
      </dgm:t>
    </dgm:pt>
    <dgm:pt modelId="{6B1AB7D8-0469-4743-879D-9337FD311B8F}">
      <dgm:prSet phldrT="[Texte]" custT="1"/>
      <dgm:spPr>
        <a:solidFill>
          <a:schemeClr val="accent1">
            <a:lumMod val="75000"/>
          </a:schemeClr>
        </a:solidFill>
      </dgm:spPr>
      <dgm:t>
        <a:bodyPr/>
        <a:lstStyle/>
        <a:p>
          <a:r>
            <a:rPr lang="fr-CH" sz="1100">
              <a:latin typeface="Times New Roman" panose="02020603050405020304" pitchFamily="18" charset="0"/>
              <a:cs typeface="Times New Roman" panose="02020603050405020304" pitchFamily="18" charset="0"/>
            </a:rPr>
            <a:t>Risk treatment</a:t>
          </a:r>
        </a:p>
      </dgm:t>
    </dgm:pt>
    <dgm:pt modelId="{ECC05175-0EEA-4642-A541-4A05BEBD2E73}" type="sibTrans" cxnId="{4D0D6CDC-AB7D-4B5C-90E8-9B4370596261}">
      <dgm:prSet/>
      <dgm:spPr/>
      <dgm:t>
        <a:bodyPr/>
        <a:lstStyle/>
        <a:p>
          <a:endParaRPr lang="fr-CH" sz="1100">
            <a:latin typeface="Times New Roman" panose="02020603050405020304" pitchFamily="18" charset="0"/>
            <a:cs typeface="Times New Roman" panose="02020603050405020304" pitchFamily="18" charset="0"/>
          </a:endParaRPr>
        </a:p>
      </dgm:t>
    </dgm:pt>
    <dgm:pt modelId="{FAE93378-B41B-4837-81DA-8923E78452F9}" type="parTrans" cxnId="{4D0D6CDC-AB7D-4B5C-90E8-9B4370596261}">
      <dgm:prSet/>
      <dgm:spPr/>
      <dgm:t>
        <a:bodyPr/>
        <a:lstStyle/>
        <a:p>
          <a:endParaRPr lang="fr-CH" sz="1100">
            <a:latin typeface="Times New Roman" panose="02020603050405020304" pitchFamily="18" charset="0"/>
            <a:cs typeface="Times New Roman" panose="02020603050405020304" pitchFamily="18" charset="0"/>
          </a:endParaRPr>
        </a:p>
      </dgm:t>
    </dgm:pt>
    <dgm:pt modelId="{860F64C5-3171-4500-B9FB-74C9869888A5}" type="pres">
      <dgm:prSet presAssocID="{9A237993-9ECA-4815-8541-A5063C542B03}" presName="composite" presStyleCnt="0">
        <dgm:presLayoutVars>
          <dgm:chMax val="1"/>
          <dgm:dir/>
          <dgm:resizeHandles val="exact"/>
        </dgm:presLayoutVars>
      </dgm:prSet>
      <dgm:spPr/>
      <dgm:t>
        <a:bodyPr/>
        <a:lstStyle/>
        <a:p>
          <a:endParaRPr lang="en-US"/>
        </a:p>
      </dgm:t>
    </dgm:pt>
    <dgm:pt modelId="{3CE9C4DF-7F8A-4063-8773-2B139B51C86D}" type="pres">
      <dgm:prSet presAssocID="{B908B458-4A1E-4F2A-B480-00B1E73065CA}" presName="roof" presStyleLbl="dkBgShp" presStyleIdx="0" presStyleCnt="2" custScaleY="93255"/>
      <dgm:spPr/>
      <dgm:t>
        <a:bodyPr/>
        <a:lstStyle/>
        <a:p>
          <a:endParaRPr lang="en-US"/>
        </a:p>
      </dgm:t>
    </dgm:pt>
    <dgm:pt modelId="{A04B4F9D-6442-41AF-A689-6DD76A6E5F03}" type="pres">
      <dgm:prSet presAssocID="{B908B458-4A1E-4F2A-B480-00B1E73065CA}" presName="pillars" presStyleCnt="0"/>
      <dgm:spPr/>
    </dgm:pt>
    <dgm:pt modelId="{EB6058F3-3C4A-4A44-9F42-EF4CE76F719A}" type="pres">
      <dgm:prSet presAssocID="{B908B458-4A1E-4F2A-B480-00B1E73065CA}" presName="pillar1" presStyleLbl="node1" presStyleIdx="0" presStyleCnt="4">
        <dgm:presLayoutVars>
          <dgm:bulletEnabled val="1"/>
        </dgm:presLayoutVars>
      </dgm:prSet>
      <dgm:spPr/>
      <dgm:t>
        <a:bodyPr/>
        <a:lstStyle/>
        <a:p>
          <a:endParaRPr lang="en-US"/>
        </a:p>
      </dgm:t>
    </dgm:pt>
    <dgm:pt modelId="{C5E56DA7-8C83-418C-AC8F-7AE90F311D57}" type="pres">
      <dgm:prSet presAssocID="{F54156F4-9B8A-430E-B818-DDF4818750CC}" presName="pillarX" presStyleLbl="node1" presStyleIdx="1" presStyleCnt="4">
        <dgm:presLayoutVars>
          <dgm:bulletEnabled val="1"/>
        </dgm:presLayoutVars>
      </dgm:prSet>
      <dgm:spPr/>
      <dgm:t>
        <a:bodyPr/>
        <a:lstStyle/>
        <a:p>
          <a:endParaRPr lang="en-US"/>
        </a:p>
      </dgm:t>
    </dgm:pt>
    <dgm:pt modelId="{16F94528-CA72-4165-BBE2-BE8C17A989A5}" type="pres">
      <dgm:prSet presAssocID="{8F72C11E-4FD0-453C-9E61-E9039521AB5B}" presName="pillarX" presStyleLbl="node1" presStyleIdx="2" presStyleCnt="4">
        <dgm:presLayoutVars>
          <dgm:bulletEnabled val="1"/>
        </dgm:presLayoutVars>
      </dgm:prSet>
      <dgm:spPr/>
      <dgm:t>
        <a:bodyPr/>
        <a:lstStyle/>
        <a:p>
          <a:endParaRPr lang="en-US"/>
        </a:p>
      </dgm:t>
    </dgm:pt>
    <dgm:pt modelId="{D62885C0-7AD2-4AC0-A494-9BD1312C8D94}" type="pres">
      <dgm:prSet presAssocID="{157D3195-8D5B-43CD-905B-7E9E3AC328AA}" presName="pillarX" presStyleLbl="node1" presStyleIdx="3" presStyleCnt="4">
        <dgm:presLayoutVars>
          <dgm:bulletEnabled val="1"/>
        </dgm:presLayoutVars>
      </dgm:prSet>
      <dgm:spPr/>
      <dgm:t>
        <a:bodyPr/>
        <a:lstStyle/>
        <a:p>
          <a:endParaRPr lang="en-US"/>
        </a:p>
      </dgm:t>
    </dgm:pt>
    <dgm:pt modelId="{5774B173-C5A7-4096-894C-3ED7461FB329}" type="pres">
      <dgm:prSet presAssocID="{B908B458-4A1E-4F2A-B480-00B1E73065CA}" presName="base" presStyleLbl="dkBgShp" presStyleIdx="1" presStyleCnt="2"/>
      <dgm:spPr/>
    </dgm:pt>
  </dgm:ptLst>
  <dgm:cxnLst>
    <dgm:cxn modelId="{63719FDA-C06C-4584-8163-A7FFAAE97EB9}" srcId="{8F72C11E-4FD0-453C-9E61-E9039521AB5B}" destId="{BEE6ADEE-22A8-44E7-82C9-1C91B841A9C1}" srcOrd="2" destOrd="0" parTransId="{149DF899-CBCC-411A-B13D-F10EA8EB17E9}" sibTransId="{EFAD269D-8F35-42E2-B1AC-86B0375C189B}"/>
    <dgm:cxn modelId="{D7743373-FB1F-41E8-8E61-30635C39C026}" srcId="{8F72C11E-4FD0-453C-9E61-E9039521AB5B}" destId="{8FA556D3-543F-4BAF-93A0-71D012F41755}" srcOrd="3" destOrd="0" parTransId="{7C4F759B-C02B-47E4-925E-D83889E3D98C}" sibTransId="{4F5AB618-D332-42B2-A171-182DA006DFAE}"/>
    <dgm:cxn modelId="{CBD6E215-7F8C-48D4-9FC6-1B3A3ECCB935}" srcId="{F54156F4-9B8A-430E-B818-DDF4818750CC}" destId="{85B802ED-38C9-4897-AD0E-FE9D99436185}" srcOrd="3" destOrd="0" parTransId="{3EA967D9-708C-458C-A016-1BDD7D2D24BA}" sibTransId="{9AB73890-BA4E-412C-AFA4-11A48D4F6EFC}"/>
    <dgm:cxn modelId="{011EE74E-E1E5-4C8B-AF52-D208D9998AE4}" type="presOf" srcId="{157D3195-8D5B-43CD-905B-7E9E3AC328AA}" destId="{D62885C0-7AD2-4AC0-A494-9BD1312C8D94}" srcOrd="0" destOrd="0" presId="urn:microsoft.com/office/officeart/2005/8/layout/hList3"/>
    <dgm:cxn modelId="{C017D707-9417-4158-AEE4-7AD67CD961EB}" srcId="{157D3195-8D5B-43CD-905B-7E9E3AC328AA}" destId="{330BE1B4-C4FB-4715-9637-B9FF671ECD60}" srcOrd="2" destOrd="0" parTransId="{7C51D770-970A-495D-B683-99838D93A921}" sibTransId="{D8B06BB5-F397-4C4A-8DC1-9CD74593D241}"/>
    <dgm:cxn modelId="{C7D381B4-59EC-4251-8AAD-E7D60EB40974}" type="presOf" srcId="{9A237993-9ECA-4815-8541-A5063C542B03}" destId="{860F64C5-3171-4500-B9FB-74C9869888A5}" srcOrd="0" destOrd="0" presId="urn:microsoft.com/office/officeart/2005/8/layout/hList3"/>
    <dgm:cxn modelId="{8DAAD845-E741-471B-9607-033403C0AC6F}" type="presOf" srcId="{82C0BBA3-312B-411B-B5C4-99AEF979F187}" destId="{EB6058F3-3C4A-4A44-9F42-EF4CE76F719A}" srcOrd="0" destOrd="2" presId="urn:microsoft.com/office/officeart/2005/8/layout/hList3"/>
    <dgm:cxn modelId="{F3B0CCC4-3FD0-449F-A3B7-8A711040C4D2}" srcId="{F54156F4-9B8A-430E-B818-DDF4818750CC}" destId="{C307F48A-F227-4F8A-AFDD-1B33110D5BAD}" srcOrd="0" destOrd="0" parTransId="{1009A0DF-A4CE-46C1-ADA5-3259F146DF5B}" sibTransId="{9ABF035B-7836-49A5-87C4-AF30FF9A0252}"/>
    <dgm:cxn modelId="{17387A58-E017-41BB-8FE3-88E88C6254E4}" type="presOf" srcId="{C307F48A-F227-4F8A-AFDD-1B33110D5BAD}" destId="{C5E56DA7-8C83-418C-AC8F-7AE90F311D57}" srcOrd="0" destOrd="1" presId="urn:microsoft.com/office/officeart/2005/8/layout/hList3"/>
    <dgm:cxn modelId="{8D539DB3-C437-4F6B-8C0E-00B38C19BAC7}" srcId="{8F72C11E-4FD0-453C-9E61-E9039521AB5B}" destId="{7F06129C-3CAB-47B9-A930-ED51547F19FC}" srcOrd="0" destOrd="0" parTransId="{E6AB064C-31D2-401F-9DD2-A3BA5399780C}" sibTransId="{A687100E-BE7F-414E-8A7B-468E15D61934}"/>
    <dgm:cxn modelId="{0D499FEA-CEFD-4A4B-9D10-2627CB533632}" type="presOf" srcId="{6B1AB7D8-0469-4743-879D-9337FD311B8F}" destId="{D62885C0-7AD2-4AC0-A494-9BD1312C8D94}" srcOrd="0" destOrd="4" presId="urn:microsoft.com/office/officeart/2005/8/layout/hList3"/>
    <dgm:cxn modelId="{71F6D457-0097-4766-85C8-C74C429CB4E1}" srcId="{314F72A6-710E-45E0-8C4A-A851B4DDFF10}" destId="{E3992D14-0325-4D31-B72D-01D019E6AFC1}" srcOrd="2" destOrd="0" parTransId="{9B3D06DC-F6D3-4B50-BE26-886BA6D1CB07}" sibTransId="{931D1C77-9CED-4951-9EBA-A79C5C512498}"/>
    <dgm:cxn modelId="{9AC7FA7A-410B-462C-BEC2-607DB791B262}" srcId="{B908B458-4A1E-4F2A-B480-00B1E73065CA}" destId="{314F72A6-710E-45E0-8C4A-A851B4DDFF10}" srcOrd="0" destOrd="0" parTransId="{928324E8-B888-415A-A8F2-EA49CBE5FBD9}" sibTransId="{A76904DB-760B-456B-94C8-E57083F6CB8D}"/>
    <dgm:cxn modelId="{5511F1A1-7E83-44F0-947B-9A279F27F5B3}" type="presOf" srcId="{8CAB5651-D6BC-4293-A79E-98D7F8EE7E13}" destId="{D62885C0-7AD2-4AC0-A494-9BD1312C8D94}" srcOrd="0" destOrd="2" presId="urn:microsoft.com/office/officeart/2005/8/layout/hList3"/>
    <dgm:cxn modelId="{B28055DC-F558-4A9F-92EE-C05212239241}" type="presOf" srcId="{B908B458-4A1E-4F2A-B480-00B1E73065CA}" destId="{3CE9C4DF-7F8A-4063-8773-2B139B51C86D}" srcOrd="0" destOrd="0" presId="urn:microsoft.com/office/officeart/2005/8/layout/hList3"/>
    <dgm:cxn modelId="{611DA973-5378-4022-B1D0-7FB80F9FAFFB}" type="presOf" srcId="{8FA556D3-543F-4BAF-93A0-71D012F41755}" destId="{16F94528-CA72-4165-BBE2-BE8C17A989A5}" srcOrd="0" destOrd="4" presId="urn:microsoft.com/office/officeart/2005/8/layout/hList3"/>
    <dgm:cxn modelId="{6FA45D6D-C2B3-466B-A4D0-1901D9BA0B1F}" srcId="{314F72A6-710E-45E0-8C4A-A851B4DDFF10}" destId="{73E95B2F-D84D-4CF6-BFA0-51B1CB86B717}" srcOrd="0" destOrd="0" parTransId="{A67E0189-DC03-4D93-9796-A535C57DD349}" sibTransId="{B3C19189-96AE-469F-81EC-C5D14B1AAF0C}"/>
    <dgm:cxn modelId="{95C7EFBD-22D2-45A8-AC3C-EC7AB6E63B6D}" srcId="{157D3195-8D5B-43CD-905B-7E9E3AC328AA}" destId="{8CAB5651-D6BC-4293-A79E-98D7F8EE7E13}" srcOrd="1" destOrd="0" parTransId="{60EA3B10-0BCD-4BE5-A6EC-B7C877B8C224}" sibTransId="{3CD61A16-3AE0-4D2E-A735-84B745DFFAB1}"/>
    <dgm:cxn modelId="{4AA168A3-3BF7-4997-9E60-DE49D79F45F7}" type="presOf" srcId="{BEE6ADEE-22A8-44E7-82C9-1C91B841A9C1}" destId="{16F94528-CA72-4165-BBE2-BE8C17A989A5}" srcOrd="0" destOrd="3" presId="urn:microsoft.com/office/officeart/2005/8/layout/hList3"/>
    <dgm:cxn modelId="{4331BDA2-AAE9-442C-BCDA-940DACBC04B6}" type="presOf" srcId="{8F72C11E-4FD0-453C-9E61-E9039521AB5B}" destId="{16F94528-CA72-4165-BBE2-BE8C17A989A5}" srcOrd="0" destOrd="0" presId="urn:microsoft.com/office/officeart/2005/8/layout/hList3"/>
    <dgm:cxn modelId="{B02F05C4-36B3-4FBC-AEBB-B1E974564298}" type="presOf" srcId="{508C5729-30DA-4139-A685-8CD02AA905B9}" destId="{16F94528-CA72-4165-BBE2-BE8C17A989A5}" srcOrd="0" destOrd="2" presId="urn:microsoft.com/office/officeart/2005/8/layout/hList3"/>
    <dgm:cxn modelId="{BDED7E3B-3CD9-457C-B120-096F0D57996C}" srcId="{B908B458-4A1E-4F2A-B480-00B1E73065CA}" destId="{157D3195-8D5B-43CD-905B-7E9E3AC328AA}" srcOrd="3" destOrd="0" parTransId="{6C88EC9F-C910-4E39-83C7-740A1DB28140}" sibTransId="{4C8468BF-47B6-4B7A-9796-A053EA8B2B1E}"/>
    <dgm:cxn modelId="{DA7FA7D4-2A01-483A-AA68-9019B0DEBCCA}" type="presOf" srcId="{C179B113-5DBA-4C88-8511-1B5040B35EE1}" destId="{D62885C0-7AD2-4AC0-A494-9BD1312C8D94}" srcOrd="0" destOrd="1" presId="urn:microsoft.com/office/officeart/2005/8/layout/hList3"/>
    <dgm:cxn modelId="{580703B8-5DFA-4333-9259-133E1F92E00E}" type="presOf" srcId="{109187D1-A7A4-41DA-A729-2F33457501AE}" destId="{C5E56DA7-8C83-418C-AC8F-7AE90F311D57}" srcOrd="0" destOrd="3" presId="urn:microsoft.com/office/officeart/2005/8/layout/hList3"/>
    <dgm:cxn modelId="{FB8D8BF5-EEA9-4615-88BA-BC2D5B6913E7}" type="presOf" srcId="{330BE1B4-C4FB-4715-9637-B9FF671ECD60}" destId="{D62885C0-7AD2-4AC0-A494-9BD1312C8D94}" srcOrd="0" destOrd="3" presId="urn:microsoft.com/office/officeart/2005/8/layout/hList3"/>
    <dgm:cxn modelId="{35940431-EA74-444C-9B5F-D64A635EC854}" srcId="{9A237993-9ECA-4815-8541-A5063C542B03}" destId="{B908B458-4A1E-4F2A-B480-00B1E73065CA}" srcOrd="0" destOrd="0" parTransId="{034DC09E-BD48-4A4B-B115-7E787ADDD13C}" sibTransId="{79391C79-0B06-4150-9074-2DD91A0827E5}"/>
    <dgm:cxn modelId="{9FA958EE-26D5-48DD-8E8F-F1C081017152}" type="presOf" srcId="{29CD7B45-B918-4F3C-AAE3-3F8A3009DDB6}" destId="{C5E56DA7-8C83-418C-AC8F-7AE90F311D57}" srcOrd="0" destOrd="2" presId="urn:microsoft.com/office/officeart/2005/8/layout/hList3"/>
    <dgm:cxn modelId="{073F7212-2301-4951-89B7-41A9B0ECA187}" type="presOf" srcId="{E3992D14-0325-4D31-B72D-01D019E6AFC1}" destId="{EB6058F3-3C4A-4A44-9F42-EF4CE76F719A}" srcOrd="0" destOrd="3" presId="urn:microsoft.com/office/officeart/2005/8/layout/hList3"/>
    <dgm:cxn modelId="{0A2C2E80-4A12-4CB4-857D-9A07C5F063C7}" srcId="{314F72A6-710E-45E0-8C4A-A851B4DDFF10}" destId="{D1A3500C-080F-4F1F-95EE-B8671B1BB099}" srcOrd="3" destOrd="0" parTransId="{DD66DEE2-DFE7-4636-B97F-FB8DF9BCDAB1}" sibTransId="{8993B661-730F-41D2-94FE-A4A69C345C4D}"/>
    <dgm:cxn modelId="{E3970420-4FF5-476F-B187-E1DED01BBAC5}" srcId="{314F72A6-710E-45E0-8C4A-A851B4DDFF10}" destId="{82C0BBA3-312B-411B-B5C4-99AEF979F187}" srcOrd="1" destOrd="0" parTransId="{EBBC3C7B-2CBE-4A69-9915-55F9C1F87EAC}" sibTransId="{EA5FE0F2-A99B-43C6-B9A3-3E5D6C608DD6}"/>
    <dgm:cxn modelId="{807F3B4C-4178-4D56-A333-F2C46453D5EE}" srcId="{F54156F4-9B8A-430E-B818-DDF4818750CC}" destId="{29CD7B45-B918-4F3C-AAE3-3F8A3009DDB6}" srcOrd="1" destOrd="0" parTransId="{6AAF5C9B-6F6E-44B0-A824-930B71D77064}" sibTransId="{E125307B-6BE4-4C7F-8210-E0DFB16BA6D6}"/>
    <dgm:cxn modelId="{2BA27CBD-7F25-4360-B999-D38522B0592D}" type="presOf" srcId="{F54156F4-9B8A-430E-B818-DDF4818750CC}" destId="{C5E56DA7-8C83-418C-AC8F-7AE90F311D57}" srcOrd="0" destOrd="0" presId="urn:microsoft.com/office/officeart/2005/8/layout/hList3"/>
    <dgm:cxn modelId="{1DA44FE8-5C3E-49A3-9F88-AF495A8A4C05}" type="presOf" srcId="{D1A3500C-080F-4F1F-95EE-B8671B1BB099}" destId="{EB6058F3-3C4A-4A44-9F42-EF4CE76F719A}" srcOrd="0" destOrd="4" presId="urn:microsoft.com/office/officeart/2005/8/layout/hList3"/>
    <dgm:cxn modelId="{CB380DBD-080D-408B-AD87-093747EA8603}" srcId="{8F72C11E-4FD0-453C-9E61-E9039521AB5B}" destId="{508C5729-30DA-4139-A685-8CD02AA905B9}" srcOrd="1" destOrd="0" parTransId="{AC4783CF-7515-4BA0-8714-8742A56F6AFA}" sibTransId="{B6658C25-B326-4502-B42F-13FF5C65C211}"/>
    <dgm:cxn modelId="{5F0F7911-C2D1-4830-9C72-CC6A3A64215D}" type="presOf" srcId="{7F06129C-3CAB-47B9-A930-ED51547F19FC}" destId="{16F94528-CA72-4165-BBE2-BE8C17A989A5}" srcOrd="0" destOrd="1" presId="urn:microsoft.com/office/officeart/2005/8/layout/hList3"/>
    <dgm:cxn modelId="{2819D786-7869-4C1B-88B0-DD8F9E7290B9}" srcId="{B908B458-4A1E-4F2A-B480-00B1E73065CA}" destId="{F54156F4-9B8A-430E-B818-DDF4818750CC}" srcOrd="1" destOrd="0" parTransId="{F96AA3C6-70AC-4068-BA79-8F01B39A441F}" sibTransId="{93BF2CC7-71D2-4940-A2E4-F6CC2E335A0E}"/>
    <dgm:cxn modelId="{98754119-6D7A-412A-85DA-9CF86585A3D5}" type="presOf" srcId="{85B802ED-38C9-4897-AD0E-FE9D99436185}" destId="{C5E56DA7-8C83-418C-AC8F-7AE90F311D57}" srcOrd="0" destOrd="4" presId="urn:microsoft.com/office/officeart/2005/8/layout/hList3"/>
    <dgm:cxn modelId="{5255A55F-CA4F-4F54-BC41-905055A55276}" srcId="{157D3195-8D5B-43CD-905B-7E9E3AC328AA}" destId="{C179B113-5DBA-4C88-8511-1B5040B35EE1}" srcOrd="0" destOrd="0" parTransId="{8500DD2B-CD02-4480-B10A-768DE297C001}" sibTransId="{96112003-4994-4A43-AF28-4DF9A39D398E}"/>
    <dgm:cxn modelId="{5089EDE4-F579-42F0-B02C-000E608EC37E}" type="presOf" srcId="{314F72A6-710E-45E0-8C4A-A851B4DDFF10}" destId="{EB6058F3-3C4A-4A44-9F42-EF4CE76F719A}" srcOrd="0" destOrd="0" presId="urn:microsoft.com/office/officeart/2005/8/layout/hList3"/>
    <dgm:cxn modelId="{0EE7CB35-5ADD-4C20-A9F9-129BB1086FD8}" srcId="{B908B458-4A1E-4F2A-B480-00B1E73065CA}" destId="{8F72C11E-4FD0-453C-9E61-E9039521AB5B}" srcOrd="2" destOrd="0" parTransId="{562F219C-97D7-4DAC-B532-4C2EB95825A8}" sibTransId="{4852F344-1D5C-4641-92CC-C73371F4804B}"/>
    <dgm:cxn modelId="{0412A618-830F-4AC7-A84B-94179951C963}" type="presOf" srcId="{73E95B2F-D84D-4CF6-BFA0-51B1CB86B717}" destId="{EB6058F3-3C4A-4A44-9F42-EF4CE76F719A}" srcOrd="0" destOrd="1" presId="urn:microsoft.com/office/officeart/2005/8/layout/hList3"/>
    <dgm:cxn modelId="{569A15B0-68CA-4867-900C-58D45487ADC1}" srcId="{F54156F4-9B8A-430E-B818-DDF4818750CC}" destId="{109187D1-A7A4-41DA-A729-2F33457501AE}" srcOrd="2" destOrd="0" parTransId="{B5F7141B-9922-4426-9A7F-D93C8C4D7517}" sibTransId="{14D7C4CD-6B39-4891-8D57-A816DB1AD11F}"/>
    <dgm:cxn modelId="{4D0D6CDC-AB7D-4B5C-90E8-9B4370596261}" srcId="{157D3195-8D5B-43CD-905B-7E9E3AC328AA}" destId="{6B1AB7D8-0469-4743-879D-9337FD311B8F}" srcOrd="3" destOrd="0" parTransId="{FAE93378-B41B-4837-81DA-8923E78452F9}" sibTransId="{ECC05175-0EEA-4642-A541-4A05BEBD2E73}"/>
    <dgm:cxn modelId="{CCDE1BA5-7075-433F-BC11-7CE32374ABED}" type="presParOf" srcId="{860F64C5-3171-4500-B9FB-74C9869888A5}" destId="{3CE9C4DF-7F8A-4063-8773-2B139B51C86D}" srcOrd="0" destOrd="0" presId="urn:microsoft.com/office/officeart/2005/8/layout/hList3"/>
    <dgm:cxn modelId="{A91F85C0-6A84-4D86-852D-6E9B11F64A49}" type="presParOf" srcId="{860F64C5-3171-4500-B9FB-74C9869888A5}" destId="{A04B4F9D-6442-41AF-A689-6DD76A6E5F03}" srcOrd="1" destOrd="0" presId="urn:microsoft.com/office/officeart/2005/8/layout/hList3"/>
    <dgm:cxn modelId="{5D1B5510-3391-427F-9C5E-C9F528FB5E4B}" type="presParOf" srcId="{A04B4F9D-6442-41AF-A689-6DD76A6E5F03}" destId="{EB6058F3-3C4A-4A44-9F42-EF4CE76F719A}" srcOrd="0" destOrd="0" presId="urn:microsoft.com/office/officeart/2005/8/layout/hList3"/>
    <dgm:cxn modelId="{F8DC0D81-5740-4BFC-97F4-5C82E63A9B93}" type="presParOf" srcId="{A04B4F9D-6442-41AF-A689-6DD76A6E5F03}" destId="{C5E56DA7-8C83-418C-AC8F-7AE90F311D57}" srcOrd="1" destOrd="0" presId="urn:microsoft.com/office/officeart/2005/8/layout/hList3"/>
    <dgm:cxn modelId="{0510E583-D405-4346-A04E-5E60ECDBB83C}" type="presParOf" srcId="{A04B4F9D-6442-41AF-A689-6DD76A6E5F03}" destId="{16F94528-CA72-4165-BBE2-BE8C17A989A5}" srcOrd="2" destOrd="0" presId="urn:microsoft.com/office/officeart/2005/8/layout/hList3"/>
    <dgm:cxn modelId="{944D3794-8528-4D34-B2AF-EFACEC41DD6D}" type="presParOf" srcId="{A04B4F9D-6442-41AF-A689-6DD76A6E5F03}" destId="{D62885C0-7AD2-4AC0-A494-9BD1312C8D94}" srcOrd="3" destOrd="0" presId="urn:microsoft.com/office/officeart/2005/8/layout/hList3"/>
    <dgm:cxn modelId="{FA35A401-EF0E-4B34-81E9-E80755C8D3E5}" type="presParOf" srcId="{860F64C5-3171-4500-B9FB-74C9869888A5}" destId="{5774B173-C5A7-4096-894C-3ED7461FB329}" srcOrd="2" destOrd="0" presId="urn:microsoft.com/office/officeart/2005/8/layout/h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9C4DF-7F8A-4063-8773-2B139B51C86D}">
      <dsp:nvSpPr>
        <dsp:cNvPr id="0" name=""/>
        <dsp:cNvSpPr/>
      </dsp:nvSpPr>
      <dsp:spPr>
        <a:xfrm>
          <a:off x="0" y="22082"/>
          <a:ext cx="5518205" cy="122124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CH" sz="1400" kern="1200">
              <a:solidFill>
                <a:schemeClr val="bg1"/>
              </a:solidFill>
              <a:latin typeface="Times New Roman" panose="02020603050405020304" pitchFamily="18" charset="0"/>
              <a:cs typeface="Times New Roman" panose="02020603050405020304" pitchFamily="18" charset="0"/>
            </a:rPr>
            <a:t>Risk Management for Ecosystem X</a:t>
          </a:r>
        </a:p>
        <a:p>
          <a:pPr lvl="0" algn="l" defTabSz="622300">
            <a:lnSpc>
              <a:spcPct val="90000"/>
            </a:lnSpc>
            <a:spcBef>
              <a:spcPct val="0"/>
            </a:spcBef>
            <a:spcAft>
              <a:spcPct val="35000"/>
            </a:spcAft>
          </a:pPr>
          <a:r>
            <a:rPr lang="fr-CH" sz="1100" kern="1200">
              <a:solidFill>
                <a:schemeClr val="bg1"/>
              </a:solidFill>
              <a:latin typeface="Times New Roman" panose="02020603050405020304" pitchFamily="18" charset="0"/>
              <a:cs typeface="Times New Roman" panose="02020603050405020304" pitchFamily="18" charset="0"/>
            </a:rPr>
            <a:t>	Ecosystem global risk monitoring, systemic risk prevention, data aggregation and 	end-to-end visibility of data treatment</a:t>
          </a:r>
        </a:p>
        <a:p>
          <a:pPr lvl="0" algn="l" defTabSz="622300">
            <a:lnSpc>
              <a:spcPct val="90000"/>
            </a:lnSpc>
            <a:spcBef>
              <a:spcPct val="0"/>
            </a:spcBef>
            <a:spcAft>
              <a:spcPct val="35000"/>
            </a:spcAft>
          </a:pPr>
          <a:r>
            <a:rPr lang="fr-CH" sz="1100" kern="1200">
              <a:solidFill>
                <a:schemeClr val="bg1"/>
              </a:solidFill>
              <a:latin typeface="Times New Roman" panose="02020603050405020304" pitchFamily="18" charset="0"/>
              <a:cs typeface="Times New Roman" panose="02020603050405020304" pitchFamily="18" charset="0"/>
            </a:rPr>
            <a:t>	Determination of risk appetite</a:t>
          </a:r>
        </a:p>
        <a:p>
          <a:pPr lvl="0" algn="l" defTabSz="622300">
            <a:lnSpc>
              <a:spcPct val="90000"/>
            </a:lnSpc>
            <a:spcBef>
              <a:spcPct val="0"/>
            </a:spcBef>
            <a:spcAft>
              <a:spcPct val="35000"/>
            </a:spcAft>
          </a:pPr>
          <a:r>
            <a:rPr lang="fr-CH" sz="1100" kern="1200">
              <a:solidFill>
                <a:schemeClr val="bg1"/>
              </a:solidFill>
              <a:latin typeface="Times New Roman" panose="02020603050405020304" pitchFamily="18" charset="0"/>
              <a:cs typeface="Times New Roman" panose="02020603050405020304" pitchFamily="18" charset="0"/>
            </a:rPr>
            <a:t>	Facilitate risk management at all stages of the process</a:t>
          </a:r>
        </a:p>
        <a:p>
          <a:pPr lvl="0" algn="l" defTabSz="622300">
            <a:lnSpc>
              <a:spcPct val="90000"/>
            </a:lnSpc>
            <a:spcBef>
              <a:spcPct val="0"/>
            </a:spcBef>
            <a:spcAft>
              <a:spcPct val="35000"/>
            </a:spcAft>
          </a:pPr>
          <a:endParaRPr lang="fr-CH" sz="1400" kern="1200">
            <a:solidFill>
              <a:schemeClr val="bg1"/>
            </a:solidFill>
            <a:latin typeface="Times New Roman" panose="02020603050405020304" pitchFamily="18" charset="0"/>
            <a:cs typeface="Times New Roman" panose="02020603050405020304" pitchFamily="18" charset="0"/>
          </a:endParaRPr>
        </a:p>
      </dsp:txBody>
      <dsp:txXfrm>
        <a:off x="0" y="22082"/>
        <a:ext cx="5518205" cy="1221248"/>
      </dsp:txXfrm>
    </dsp:sp>
    <dsp:sp modelId="{EB6058F3-3C4A-4A44-9F42-EF4CE76F719A}">
      <dsp:nvSpPr>
        <dsp:cNvPr id="0" name=""/>
        <dsp:cNvSpPr/>
      </dsp:nvSpPr>
      <dsp:spPr>
        <a:xfrm>
          <a:off x="0" y="1287497"/>
          <a:ext cx="1379551" cy="2750117"/>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fr-CH" sz="1200" kern="1200">
              <a:solidFill>
                <a:sysClr val="windowText" lastClr="000000"/>
              </a:solidFill>
              <a:latin typeface="Times New Roman" panose="02020603050405020304" pitchFamily="18" charset="0"/>
              <a:cs typeface="Times New Roman" panose="02020603050405020304" pitchFamily="18" charset="0"/>
            </a:rPr>
            <a:t>Risk Management for Project 1</a:t>
          </a:r>
        </a:p>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Identification</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Analysis</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evaluation</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treatment</a:t>
          </a:r>
        </a:p>
      </dsp:txBody>
      <dsp:txXfrm>
        <a:off x="0" y="1287497"/>
        <a:ext cx="1379551" cy="2750117"/>
      </dsp:txXfrm>
    </dsp:sp>
    <dsp:sp modelId="{C5E56DA7-8C83-418C-AC8F-7AE90F311D57}">
      <dsp:nvSpPr>
        <dsp:cNvPr id="0" name=""/>
        <dsp:cNvSpPr/>
      </dsp:nvSpPr>
      <dsp:spPr>
        <a:xfrm>
          <a:off x="1379551" y="1287497"/>
          <a:ext cx="1379551" cy="2750117"/>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fr-CH" sz="1200" kern="1200">
              <a:solidFill>
                <a:sysClr val="windowText" lastClr="000000"/>
              </a:solidFill>
              <a:latin typeface="Times New Roman" panose="02020603050405020304" pitchFamily="18" charset="0"/>
              <a:cs typeface="Times New Roman" panose="02020603050405020304" pitchFamily="18" charset="0"/>
            </a:rPr>
            <a:t>Risk Management for Project 2 (...)</a:t>
          </a:r>
        </a:p>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Identification</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Analysis</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evaluation</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treatment</a:t>
          </a:r>
        </a:p>
      </dsp:txBody>
      <dsp:txXfrm>
        <a:off x="1379551" y="1287497"/>
        <a:ext cx="1379551" cy="2750117"/>
      </dsp:txXfrm>
    </dsp:sp>
    <dsp:sp modelId="{16F94528-CA72-4165-BBE2-BE8C17A989A5}">
      <dsp:nvSpPr>
        <dsp:cNvPr id="0" name=""/>
        <dsp:cNvSpPr/>
      </dsp:nvSpPr>
      <dsp:spPr>
        <a:xfrm>
          <a:off x="2759102" y="1287497"/>
          <a:ext cx="1379551" cy="2750117"/>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endParaRPr lang="fr-CH"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fr-CH" sz="1200" kern="1200">
              <a:solidFill>
                <a:sysClr val="windowText" lastClr="000000"/>
              </a:solidFill>
              <a:latin typeface="Times New Roman" panose="02020603050405020304" pitchFamily="18" charset="0"/>
              <a:cs typeface="Times New Roman" panose="02020603050405020304" pitchFamily="18" charset="0"/>
            </a:rPr>
            <a:t>Risk Management for City A</a:t>
          </a:r>
        </a:p>
        <a:p>
          <a:pPr lvl="0" algn="l" defTabSz="533400">
            <a:lnSpc>
              <a:spcPct val="90000"/>
            </a:lnSpc>
            <a:spcBef>
              <a:spcPct val="0"/>
            </a:spcBef>
            <a:spcAft>
              <a:spcPct val="35000"/>
            </a:spcAft>
          </a:pPr>
          <a:endParaRPr lang="fr-CH"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Identification</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Analysis</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evaluation</a:t>
          </a:r>
        </a:p>
        <a:p>
          <a:pPr marL="57150" lvl="1" indent="-57150" algn="l" defTabSz="488950">
            <a:lnSpc>
              <a:spcPct val="90000"/>
            </a:lnSpc>
            <a:spcBef>
              <a:spcPct val="0"/>
            </a:spcBef>
            <a:spcAft>
              <a:spcPct val="15000"/>
            </a:spcAft>
            <a:buChar char="••"/>
          </a:pPr>
          <a:r>
            <a:rPr lang="fr-CH" sz="1100" kern="1200">
              <a:solidFill>
                <a:sysClr val="windowText" lastClr="000000"/>
              </a:solidFill>
              <a:latin typeface="Times New Roman" panose="02020603050405020304" pitchFamily="18" charset="0"/>
              <a:cs typeface="Times New Roman" panose="02020603050405020304" pitchFamily="18" charset="0"/>
            </a:rPr>
            <a:t>Risk treatment</a:t>
          </a:r>
        </a:p>
      </dsp:txBody>
      <dsp:txXfrm>
        <a:off x="2759102" y="1287497"/>
        <a:ext cx="1379551" cy="2750117"/>
      </dsp:txXfrm>
    </dsp:sp>
    <dsp:sp modelId="{D62885C0-7AD2-4AC0-A494-9BD1312C8D94}">
      <dsp:nvSpPr>
        <dsp:cNvPr id="0" name=""/>
        <dsp:cNvSpPr/>
      </dsp:nvSpPr>
      <dsp:spPr>
        <a:xfrm>
          <a:off x="4138653" y="1287497"/>
          <a:ext cx="1379551" cy="2750117"/>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fr-CH"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endParaRPr lang="fr-CH"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fr-CH" sz="1200" kern="1200">
              <a:latin typeface="Times New Roman" panose="02020603050405020304" pitchFamily="18" charset="0"/>
              <a:cs typeface="Times New Roman" panose="02020603050405020304" pitchFamily="18" charset="0"/>
            </a:rPr>
            <a:t>Risk Management for City B (...)</a:t>
          </a:r>
        </a:p>
        <a:p>
          <a:pPr lvl="0" algn="l" defTabSz="533400">
            <a:lnSpc>
              <a:spcPct val="90000"/>
            </a:lnSpc>
            <a:spcBef>
              <a:spcPct val="0"/>
            </a:spcBef>
            <a:spcAft>
              <a:spcPct val="35000"/>
            </a:spcAft>
          </a:pPr>
          <a:endParaRPr lang="fr-CH" sz="12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fr-CH" sz="1100" kern="1200">
              <a:latin typeface="Times New Roman" panose="02020603050405020304" pitchFamily="18" charset="0"/>
              <a:cs typeface="Times New Roman" panose="02020603050405020304" pitchFamily="18" charset="0"/>
            </a:rPr>
            <a:t>Risk Identification</a:t>
          </a:r>
        </a:p>
        <a:p>
          <a:pPr marL="57150" lvl="1" indent="-57150" algn="l" defTabSz="488950">
            <a:lnSpc>
              <a:spcPct val="90000"/>
            </a:lnSpc>
            <a:spcBef>
              <a:spcPct val="0"/>
            </a:spcBef>
            <a:spcAft>
              <a:spcPct val="15000"/>
            </a:spcAft>
            <a:buChar char="••"/>
          </a:pPr>
          <a:r>
            <a:rPr lang="fr-CH" sz="1100" kern="1200">
              <a:latin typeface="Times New Roman" panose="02020603050405020304" pitchFamily="18" charset="0"/>
              <a:cs typeface="Times New Roman" panose="02020603050405020304" pitchFamily="18" charset="0"/>
            </a:rPr>
            <a:t>Risk Analysis</a:t>
          </a:r>
        </a:p>
        <a:p>
          <a:pPr marL="57150" lvl="1" indent="-57150" algn="l" defTabSz="488950">
            <a:lnSpc>
              <a:spcPct val="90000"/>
            </a:lnSpc>
            <a:spcBef>
              <a:spcPct val="0"/>
            </a:spcBef>
            <a:spcAft>
              <a:spcPct val="15000"/>
            </a:spcAft>
            <a:buChar char="••"/>
          </a:pPr>
          <a:r>
            <a:rPr lang="fr-CH" sz="1100" kern="1200">
              <a:latin typeface="Times New Roman" panose="02020603050405020304" pitchFamily="18" charset="0"/>
              <a:cs typeface="Times New Roman" panose="02020603050405020304" pitchFamily="18" charset="0"/>
            </a:rPr>
            <a:t>Risk evaluation</a:t>
          </a:r>
        </a:p>
        <a:p>
          <a:pPr marL="57150" lvl="1" indent="-57150" algn="l" defTabSz="488950">
            <a:lnSpc>
              <a:spcPct val="90000"/>
            </a:lnSpc>
            <a:spcBef>
              <a:spcPct val="0"/>
            </a:spcBef>
            <a:spcAft>
              <a:spcPct val="15000"/>
            </a:spcAft>
            <a:buChar char="••"/>
          </a:pPr>
          <a:r>
            <a:rPr lang="fr-CH" sz="1100" kern="1200">
              <a:latin typeface="Times New Roman" panose="02020603050405020304" pitchFamily="18" charset="0"/>
              <a:cs typeface="Times New Roman" panose="02020603050405020304" pitchFamily="18" charset="0"/>
            </a:rPr>
            <a:t>Risk treatment</a:t>
          </a:r>
        </a:p>
      </dsp:txBody>
      <dsp:txXfrm>
        <a:off x="4138653" y="1287497"/>
        <a:ext cx="1379551" cy="2750117"/>
      </dsp:txXfrm>
    </dsp:sp>
    <dsp:sp modelId="{5774B173-C5A7-4096-894C-3ED7461FB329}">
      <dsp:nvSpPr>
        <dsp:cNvPr id="0" name=""/>
        <dsp:cNvSpPr/>
      </dsp:nvSpPr>
      <dsp:spPr>
        <a:xfrm>
          <a:off x="0" y="4037614"/>
          <a:ext cx="5518205" cy="30556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B9E7F2F37CA146A187196C84983F73" ma:contentTypeVersion="1" ma:contentTypeDescription="Create a new document." ma:contentTypeScope="" ma:versionID="4b214e813855e4e903f089e0045ff5b5">
  <xsd:schema xmlns:xsd="http://www.w3.org/2001/XMLSchema" xmlns:xs="http://www.w3.org/2001/XMLSchema" xmlns:p="http://schemas.microsoft.com/office/2006/metadata/properties" xmlns:ns2="c8893729-a2fa-4b81-9a6e-31f1b0f31b5f" targetNamespace="http://schemas.microsoft.com/office/2006/metadata/properties" ma:root="true" ma:fieldsID="d328e40b0b0230e9c80845b102d6bf5d" ns2:_="">
    <xsd:import namespace="c8893729-a2fa-4b81-9a6e-31f1b0f31b5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93729-a2fa-4b81-9a6e-31f1b0f31b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87CF8-30F1-4CD6-8BA1-5262048CBF06}">
  <ds:schemaRefs>
    <ds:schemaRef ds:uri="http://schemas.microsoft.com/sharepoint/v3/contenttype/forms"/>
  </ds:schemaRefs>
</ds:datastoreItem>
</file>

<file path=customXml/itemProps2.xml><?xml version="1.0" encoding="utf-8"?>
<ds:datastoreItem xmlns:ds="http://schemas.openxmlformats.org/officeDocument/2006/customXml" ds:itemID="{3299402D-6E3F-4E12-A8D6-0E253C0E9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93729-a2fa-4b81-9a6e-31f1b0f31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90768-E1CF-4F80-B072-657B62FEE7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A1B28A-54C1-4320-984B-3F2F9814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FGSSC_technical report .dotm</Template>
  <TotalTime>7</TotalTime>
  <Pages>29</Pages>
  <Words>8847</Words>
  <Characters>50432</Characters>
  <Application>Microsoft Office Word</Application>
  <DocSecurity>0</DocSecurity>
  <Lines>420</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ITU-T</Manager>
  <Company>International Telecommunication Union (ITU)</Company>
  <LinksUpToDate>false</LinksUpToDate>
  <CharactersWithSpaces>59161</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fg-ssc-0345-r5-ssc_architecture-ATTENTION PARAGRAPHE.docx  For: _x000d_Document date: _x000d_Saved by ITU51009145 at 11:50:36 on 08.07.2015</dc:description>
  <cp:lastModifiedBy>Clark, Robert</cp:lastModifiedBy>
  <cp:revision>9</cp:revision>
  <cp:lastPrinted>2019-09-02T11:01:00Z</cp:lastPrinted>
  <dcterms:created xsi:type="dcterms:W3CDTF">2019-09-02T11:00:00Z</dcterms:created>
  <dcterms:modified xsi:type="dcterms:W3CDTF">2019-09-02T11:07:00Z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fg-ssc-0345-r5-ssc_architecture-ATTENTION PARAGRAPHE.docx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0x01010016B9E7F2F37CA146A187196C84983F73</vt:lpwstr>
  </property>
</Properties>
</file>