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3804DC" w:rsidRDefault="00FE79FE">
      <w:pPr>
        <w:rPr>
          <w:lang w:val="en-GB"/>
        </w:rPr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F6E04" w:rsidRPr="0015089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1637-1</w:t>
            </w:r>
          </w:p>
          <w:p w:rsidR="00FE79FE" w:rsidRPr="00225DDD" w:rsidRDefault="00FE79FE" w:rsidP="006F6E0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6F6E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6F6E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7442C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3804DC" w:rsidRDefault="006F6E04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50894">
              <w:rPr>
                <w:rFonts w:ascii="Tahoma" w:hAnsi="Tahoma"/>
                <w:b/>
                <w:color w:val="243285"/>
                <w:sz w:val="44"/>
                <w:lang w:val="ru-RU"/>
              </w:rPr>
              <w:t>Глобальные международные перевозки оборудования радиосвязи для использования в чрезвычайных ситуациях и в случаях оказания помощи при бедствиях</w:t>
            </w:r>
          </w:p>
          <w:p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7442C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A83C2A" w:rsidRPr="00A83C2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7D373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125CE4">
        <w:fldChar w:fldCharType="begin"/>
      </w:r>
      <w:r w:rsidR="00125CE4">
        <w:instrText xml:space="preserve"> HYPERLINK "http://www.itu.int/ITU-R/</w:instrText>
      </w:r>
      <w:r w:rsidR="00125CE4">
        <w:instrText xml:space="preserve">go/patents/en" </w:instrText>
      </w:r>
      <w:r w:rsidR="00125CE4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  <w:lang w:val="ru-RU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  <w:lang w:val="ru-RU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  <w:lang w:val="ru-RU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125CE4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7442C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7442C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7D373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7D3737">
        <w:rPr>
          <w:sz w:val="20"/>
          <w:lang w:val="en-GB"/>
        </w:rPr>
        <w:t>9</w:t>
      </w:r>
      <w:r w:rsidRPr="007E6717">
        <w:rPr>
          <w:sz w:val="20"/>
          <w:lang w:val="ru-RU"/>
        </w:rPr>
        <w:t xml:space="preserve"> г.</w:t>
      </w:r>
    </w:p>
    <w:p w:rsidR="006E56A2" w:rsidRPr="007D3737" w:rsidRDefault="00B62AB1" w:rsidP="007D373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201</w:t>
      </w:r>
      <w:r w:rsidR="007D3737">
        <w:rPr>
          <w:sz w:val="20"/>
          <w:lang w:val="en-GB"/>
        </w:rPr>
        <w:t>9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3804DC" w:rsidRDefault="00C906E6" w:rsidP="003804DC">
      <w:pPr>
        <w:pStyle w:val="RecNo"/>
        <w:spacing w:before="0"/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6F6E04" w:rsidRPr="00150894">
        <w:rPr>
          <w:rStyle w:val="href"/>
          <w:szCs w:val="26"/>
          <w:lang w:val="ru-RU"/>
        </w:rPr>
        <w:t>1637-1</w:t>
      </w:r>
    </w:p>
    <w:p w:rsidR="006F6E04" w:rsidRPr="00150894" w:rsidRDefault="006F6E04" w:rsidP="006F6E04">
      <w:pPr>
        <w:pStyle w:val="Rectitle"/>
        <w:rPr>
          <w:szCs w:val="26"/>
          <w:lang w:val="ru-RU"/>
        </w:rPr>
      </w:pPr>
      <w:r w:rsidRPr="00150894">
        <w:rPr>
          <w:szCs w:val="26"/>
          <w:lang w:val="ru-RU"/>
        </w:rPr>
        <w:t xml:space="preserve">Глобальные международные перевозки оборудования радиосвязи </w:t>
      </w:r>
      <w:r w:rsidRPr="00150894">
        <w:rPr>
          <w:szCs w:val="26"/>
          <w:lang w:val="ru-RU"/>
        </w:rPr>
        <w:br/>
        <w:t>для использования в чрезвычайных ситуациях и в случаях оказания помощи при бедствиях</w:t>
      </w:r>
    </w:p>
    <w:p w:rsidR="006F6E04" w:rsidRPr="00150894" w:rsidRDefault="006F6E04" w:rsidP="006F6E04">
      <w:pPr>
        <w:pStyle w:val="Recdate"/>
        <w:rPr>
          <w:sz w:val="20"/>
          <w:lang w:val="ru-RU"/>
        </w:rPr>
      </w:pPr>
      <w:r w:rsidRPr="00150894">
        <w:rPr>
          <w:sz w:val="20"/>
          <w:lang w:val="ru-RU"/>
        </w:rPr>
        <w:t>(2003-2019)</w:t>
      </w:r>
    </w:p>
    <w:p w:rsidR="006F6E04" w:rsidRPr="00150894" w:rsidRDefault="006F6E04" w:rsidP="006F6E04">
      <w:pPr>
        <w:pStyle w:val="HeadingSum"/>
        <w:rPr>
          <w:sz w:val="20"/>
          <w:lang w:val="ru-RU"/>
        </w:rPr>
      </w:pPr>
      <w:r w:rsidRPr="00150894">
        <w:rPr>
          <w:sz w:val="20"/>
          <w:lang w:val="ru-RU"/>
        </w:rPr>
        <w:t>Сфера применения</w:t>
      </w:r>
    </w:p>
    <w:p w:rsidR="006F6E04" w:rsidRPr="00150894" w:rsidRDefault="006F6E04" w:rsidP="006F6E04">
      <w:pPr>
        <w:pStyle w:val="Summary"/>
        <w:rPr>
          <w:lang w:val="ru-RU"/>
        </w:rPr>
      </w:pPr>
      <w:r w:rsidRPr="00150894">
        <w:rPr>
          <w:lang w:val="ru-RU"/>
        </w:rPr>
        <w:t xml:space="preserve">В настоящей Рекомендации рассматриваются вопросы, которые следует принять во внимание в целях упрощения глобальных перевозок оборудования радиосвязи для использования в чрезвычайных ситуациях и в случаях оказания помощи при бедствиях. </w:t>
      </w:r>
    </w:p>
    <w:p w:rsidR="006F6E04" w:rsidRPr="00150894" w:rsidRDefault="006F6E04" w:rsidP="006F6E04">
      <w:pPr>
        <w:pStyle w:val="Normalaftertitle0"/>
        <w:rPr>
          <w:szCs w:val="22"/>
          <w:lang w:val="ru-RU"/>
        </w:rPr>
      </w:pPr>
      <w:r w:rsidRPr="00150894">
        <w:rPr>
          <w:szCs w:val="22"/>
          <w:lang w:val="ru-RU"/>
        </w:rPr>
        <w:t>Ассамблея радиосвязи МСЭ,</w:t>
      </w:r>
    </w:p>
    <w:p w:rsidR="006F6E04" w:rsidRPr="00150894" w:rsidRDefault="006F6E04" w:rsidP="006F6E04">
      <w:pPr>
        <w:pStyle w:val="Call"/>
        <w:rPr>
          <w:szCs w:val="22"/>
          <w:lang w:val="ru-RU"/>
        </w:rPr>
      </w:pPr>
      <w:r w:rsidRPr="00150894">
        <w:rPr>
          <w:szCs w:val="22"/>
          <w:lang w:val="ru-RU"/>
        </w:rPr>
        <w:t>учитывая,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iCs/>
          <w:szCs w:val="22"/>
          <w:lang w:val="ru-RU"/>
        </w:rPr>
        <w:t>a)</w:t>
      </w:r>
      <w:r w:rsidRPr="00150894">
        <w:rPr>
          <w:szCs w:val="22"/>
          <w:lang w:val="ru-RU"/>
        </w:rPr>
        <w:tab/>
        <w:t xml:space="preserve">что термин "радиосвязь для обеспечения общественной безопасности" обозначает радиосвязь, используемую ведомствами и организациями, отвечающими за поддержание законности и порядка, защиту жизни и собственности и действия в чрезвычайных ситуациях; 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iCs/>
          <w:szCs w:val="22"/>
          <w:lang w:val="ru-RU"/>
        </w:rPr>
        <w:t>b)</w:t>
      </w:r>
      <w:r w:rsidRPr="00150894">
        <w:rPr>
          <w:szCs w:val="22"/>
          <w:lang w:val="ru-RU"/>
        </w:rPr>
        <w:tab/>
        <w:t xml:space="preserve">что термин "радиосвязь для оказания помощи при бедствиях" обозначает радиосвязь, используемую ведомствами и организациями, действующими в условиях серьезных нарушений функционирования общества, которые создают значительную широкомасштабную угрозу жизни и здоровью людей, имуществу или окружающей среде, независимо от того, чем они вызваны – аварией, природными явлениями или деятельностью человека, происходят ли они внезапно или являются следствием сложных и длительных процессов; 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iCs/>
          <w:szCs w:val="22"/>
          <w:lang w:val="ru-RU"/>
        </w:rPr>
        <w:t>c)</w:t>
      </w:r>
      <w:r w:rsidRPr="00150894">
        <w:rPr>
          <w:szCs w:val="22"/>
          <w:lang w:val="ru-RU"/>
        </w:rPr>
        <w:tab/>
        <w:t>что с течением времени операции по оказанию помощи в случае бедствий претерпели изменения и теперь при их проведении используют системы радиосвязи как надежные и эффективные средства связи для обеспечения успешного проведения операций по оказанию помощи в случае бедствий;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iCs/>
          <w:szCs w:val="22"/>
          <w:lang w:val="ru-RU"/>
        </w:rPr>
        <w:t>d)</w:t>
      </w:r>
      <w:r w:rsidRPr="00150894">
        <w:rPr>
          <w:szCs w:val="22"/>
          <w:lang w:val="ru-RU"/>
        </w:rPr>
        <w:tab/>
        <w:t>что многие международные организации по оказанию помощи в случае бедствий используют сети электросвязи для координации своих усилий и для связи с властями и пострадавшими людьми при оказании неотложной помощи;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iCs/>
          <w:szCs w:val="22"/>
          <w:lang w:val="ru-RU"/>
        </w:rPr>
        <w:t>e)</w:t>
      </w:r>
      <w:r w:rsidRPr="00150894">
        <w:rPr>
          <w:szCs w:val="22"/>
          <w:lang w:val="ru-RU"/>
        </w:rPr>
        <w:tab/>
        <w:t>что для обеспечения электросвязи в ходе международных операций по оказанию помощи в случае бедствий организации по оказанию международной гуманитарной помощи используют и полагаются на неспециализированное оборудование радиосвязи, которое широко применяется и широко доступно, включая любительские радиостанции и портативные устройства подвижной спутниковой связи;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iCs/>
          <w:szCs w:val="22"/>
          <w:lang w:val="ru-RU"/>
        </w:rPr>
        <w:t>f)</w:t>
      </w:r>
      <w:r w:rsidRPr="00150894">
        <w:rPr>
          <w:szCs w:val="22"/>
          <w:lang w:val="ru-RU"/>
        </w:rPr>
        <w:tab/>
        <w:t>что эксплуатационные требования, предъявляемые пользователями, оказывающими помощь при бедствиях, могут отличаться от требований других пользователей радиосвязи;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iCs/>
          <w:szCs w:val="22"/>
          <w:lang w:val="ru-RU"/>
        </w:rPr>
        <w:t>g)</w:t>
      </w:r>
      <w:r w:rsidRPr="00150894">
        <w:rPr>
          <w:szCs w:val="22"/>
          <w:lang w:val="ru-RU"/>
        </w:rPr>
        <w:tab/>
        <w:t>что обычно, когда местная инфраструктура связи в районе бедствия повреждена, перегружена или вообще отсутствует, требуется импортировать и перемещать оборудование радиосвязи;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szCs w:val="22"/>
          <w:lang w:val="ru-RU"/>
        </w:rPr>
        <w:t>h)</w:t>
      </w:r>
      <w:r w:rsidRPr="00150894">
        <w:rPr>
          <w:szCs w:val="22"/>
          <w:lang w:val="ru-RU"/>
        </w:rPr>
        <w:tab/>
        <w:t>что, когда возникает чрезвычайная ситуация или бедствие, очень важна скорость оказания помощи;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szCs w:val="22"/>
          <w:lang w:val="ru-RU"/>
        </w:rPr>
        <w:t>i)</w:t>
      </w:r>
      <w:r w:rsidRPr="00150894">
        <w:rPr>
          <w:szCs w:val="22"/>
          <w:lang w:val="ru-RU"/>
        </w:rPr>
        <w:tab/>
        <w:t>что деятельность сотрудников служб по оказанию помощи в чрезвычайных ситуациях и в случаях бедствий нередко тормозится из-за множества факторов, среди которых могут быть такие действия ряда администраций, как: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 xml:space="preserve">ограничение или запрет импорта и применения оборудования радиосвязи; 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 xml:space="preserve">наличие продолжительных и/или дорогостоящих иммиграционных процедур и процедур таможенной очистки; 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lastRenderedPageBreak/>
        <w:sym w:font="Symbol" w:char="F02D"/>
      </w:r>
      <w:r w:rsidRPr="00150894">
        <w:rPr>
          <w:szCs w:val="22"/>
          <w:lang w:val="ru-RU"/>
        </w:rPr>
        <w:tab/>
        <w:t>отсутствие надлежащей процедуры предоставления разрешений на эксплуатацию оборудования радиосвязи или получения разрешений на использование оборудования радиосвязи в приграничных районах;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>предписания об обязательном применении определенных типов радиостанций с фиксированными частотами, что затрудняет их работу в изменяющихся условиях,</w:t>
      </w:r>
    </w:p>
    <w:p w:rsidR="006F6E04" w:rsidRPr="00150894" w:rsidRDefault="006F6E04" w:rsidP="006F6E04">
      <w:pPr>
        <w:pStyle w:val="Call"/>
        <w:rPr>
          <w:szCs w:val="22"/>
          <w:lang w:val="ru-RU"/>
        </w:rPr>
      </w:pPr>
      <w:r w:rsidRPr="00150894">
        <w:rPr>
          <w:szCs w:val="22"/>
          <w:lang w:val="ru-RU"/>
        </w:rPr>
        <w:t>отмечая,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szCs w:val="22"/>
          <w:lang w:val="ru-RU"/>
        </w:rPr>
        <w:t>что национальные и региональные органы власти должны по мере возможности и соответствии со своим национальным законодательством прилагать совместные усилия для уменьшения и устранения любых препятствий, затрудняющих глобальные международные перевозки оборудования радиосвязи, предназначенного для использования в чрезвычайных ситуациях и в случаях оказания помощи при бедствиях, в частности: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>разрабатывать соглашения и правила, касающиеся импортных, экспортных и транзитных пошлин на оборудование электросвязи, предназначенное для использования в чрезвычайных ситуациях и в случаях оказания помощи при бедствиях,</w:t>
      </w:r>
    </w:p>
    <w:p w:rsidR="006F6E04" w:rsidRPr="00150894" w:rsidRDefault="006F6E04" w:rsidP="006F6E04">
      <w:pPr>
        <w:pStyle w:val="Call"/>
        <w:rPr>
          <w:szCs w:val="22"/>
          <w:lang w:val="ru-RU"/>
        </w:rPr>
      </w:pPr>
      <w:r w:rsidRPr="00150894">
        <w:rPr>
          <w:szCs w:val="22"/>
          <w:lang w:val="ru-RU"/>
        </w:rPr>
        <w:t>признавая,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iCs/>
          <w:szCs w:val="22"/>
          <w:lang w:val="ru-RU"/>
        </w:rPr>
        <w:t>a)</w:t>
      </w:r>
      <w:r w:rsidRPr="00150894">
        <w:rPr>
          <w:szCs w:val="22"/>
          <w:lang w:val="ru-RU"/>
        </w:rPr>
        <w:tab/>
        <w:t xml:space="preserve">что </w:t>
      </w:r>
      <w:r>
        <w:rPr>
          <w:szCs w:val="22"/>
          <w:lang w:val="ru-RU"/>
        </w:rPr>
        <w:t xml:space="preserve">в </w:t>
      </w:r>
      <w:r w:rsidRPr="00150894">
        <w:rPr>
          <w:szCs w:val="22"/>
          <w:lang w:val="ru-RU"/>
        </w:rPr>
        <w:t>Резолюци</w:t>
      </w:r>
      <w:r>
        <w:rPr>
          <w:szCs w:val="22"/>
          <w:lang w:val="ru-RU"/>
        </w:rPr>
        <w:t>и</w:t>
      </w:r>
      <w:r w:rsidRPr="00150894">
        <w:rPr>
          <w:szCs w:val="22"/>
          <w:lang w:val="ru-RU"/>
        </w:rPr>
        <w:t xml:space="preserve"> </w:t>
      </w:r>
      <w:r w:rsidRPr="00150894">
        <w:rPr>
          <w:b/>
          <w:szCs w:val="22"/>
          <w:lang w:val="ru-RU"/>
        </w:rPr>
        <w:t>646 (Пересм. ВКР-15)</w:t>
      </w:r>
      <w:r w:rsidRPr="000B32EE">
        <w:rPr>
          <w:bCs/>
          <w:szCs w:val="22"/>
          <w:lang w:val="ru-RU"/>
        </w:rPr>
        <w:t xml:space="preserve"> принято</w:t>
      </w:r>
      <w:r w:rsidRPr="00150894">
        <w:rPr>
          <w:szCs w:val="22"/>
          <w:lang w:val="ru-RU"/>
        </w:rPr>
        <w:t xml:space="preserve"> реш</w:t>
      </w:r>
      <w:r>
        <w:rPr>
          <w:szCs w:val="22"/>
          <w:lang w:val="ru-RU"/>
        </w:rPr>
        <w:t>ение</w:t>
      </w:r>
      <w:r w:rsidRPr="00150894">
        <w:rPr>
          <w:szCs w:val="22"/>
          <w:lang w:val="ru-RU"/>
        </w:rPr>
        <w:t xml:space="preserve"> настоятельно рекомендовать администрациям в максимально возможной степени использовать для PPDR согласованные диапазоны частот, принимая во внимание национальные и региональные требования и любые необходимые консультации и сотрудничество с другими заинтересованными странами;</w:t>
      </w:r>
    </w:p>
    <w:p w:rsidR="006F6E04" w:rsidRPr="00150894" w:rsidRDefault="006F6E04" w:rsidP="006F6E04">
      <w:pPr>
        <w:rPr>
          <w:i/>
          <w:szCs w:val="22"/>
          <w:lang w:val="ru-RU"/>
        </w:rPr>
      </w:pPr>
      <w:r w:rsidRPr="00150894">
        <w:rPr>
          <w:i/>
          <w:iCs/>
          <w:szCs w:val="22"/>
          <w:lang w:val="ru-RU"/>
        </w:rPr>
        <w:t>b)</w:t>
      </w:r>
      <w:r w:rsidRPr="00150894">
        <w:rPr>
          <w:szCs w:val="22"/>
          <w:lang w:val="ru-RU"/>
        </w:rPr>
        <w:tab/>
        <w:t xml:space="preserve">что </w:t>
      </w:r>
      <w:r>
        <w:rPr>
          <w:szCs w:val="22"/>
          <w:lang w:val="ru-RU"/>
        </w:rPr>
        <w:t xml:space="preserve">в </w:t>
      </w:r>
      <w:r w:rsidRPr="00150894">
        <w:rPr>
          <w:szCs w:val="22"/>
          <w:lang w:val="ru-RU"/>
        </w:rPr>
        <w:t>Резолюци</w:t>
      </w:r>
      <w:r>
        <w:rPr>
          <w:szCs w:val="22"/>
          <w:lang w:val="ru-RU"/>
        </w:rPr>
        <w:t>и</w:t>
      </w:r>
      <w:r w:rsidRPr="00150894">
        <w:rPr>
          <w:szCs w:val="22"/>
          <w:lang w:val="ru-RU"/>
        </w:rPr>
        <w:t xml:space="preserve"> </w:t>
      </w:r>
      <w:r w:rsidRPr="00150894">
        <w:rPr>
          <w:b/>
          <w:szCs w:val="22"/>
          <w:lang w:val="ru-RU"/>
        </w:rPr>
        <w:t>646 (Пересм. ВКР-15)</w:t>
      </w:r>
      <w:r w:rsidRPr="001508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принято </w:t>
      </w:r>
      <w:r w:rsidRPr="00150894">
        <w:rPr>
          <w:szCs w:val="22"/>
          <w:lang w:val="ru-RU"/>
        </w:rPr>
        <w:t xml:space="preserve">также </w:t>
      </w:r>
      <w:r>
        <w:rPr>
          <w:szCs w:val="22"/>
          <w:lang w:val="ru-RU"/>
        </w:rPr>
        <w:t xml:space="preserve">решение </w:t>
      </w:r>
      <w:r w:rsidRPr="00150894">
        <w:rPr>
          <w:szCs w:val="22"/>
          <w:lang w:val="ru-RU"/>
        </w:rPr>
        <w:t>настоятельно рекомендовать администрациям содействовать трансграничному перемещению оборудования радиосвязи, предназначенного для использования в чрезвычайных ситуациях и в случаях оказания помощи при бедствиях, в рамках взаимного сотрудничества и консультаций без нарушения национального законодательства;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szCs w:val="22"/>
          <w:lang w:val="ru-RU"/>
        </w:rPr>
        <w:t>c)</w:t>
      </w:r>
      <w:r w:rsidRPr="00150894">
        <w:rPr>
          <w:szCs w:val="22"/>
          <w:lang w:val="ru-RU"/>
        </w:rPr>
        <w:tab/>
        <w:t>что Всемирная таможенная организация (</w:t>
      </w:r>
      <w:r>
        <w:rPr>
          <w:szCs w:val="22"/>
          <w:lang w:val="ru-RU"/>
        </w:rPr>
        <w:t>ВТАО</w:t>
      </w:r>
      <w:r w:rsidRPr="00150894">
        <w:rPr>
          <w:szCs w:val="22"/>
          <w:lang w:val="ru-RU"/>
        </w:rPr>
        <w:t>) разработала международные соглашения, которые применимы для оборудования радиосвязи, предназначенного для работ по оказанию помощи при бедствиях, в частности Стамбульскую конвенцию, которая обязывает страны отменить таможенные пошлины на личные вещи и профессиональное оборудование, ввозимое приезжими;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szCs w:val="22"/>
          <w:lang w:val="ru-RU"/>
        </w:rPr>
        <w:t>d)</w:t>
      </w:r>
      <w:r w:rsidRPr="00150894">
        <w:rPr>
          <w:szCs w:val="22"/>
          <w:lang w:val="ru-RU"/>
        </w:rPr>
        <w:tab/>
        <w:t>что Управление Организации Объединенных Наций по координации гуманитарных вопросов (УКГВ) обладает полномочиями по координации международной гуманитарной помощи, деятельности по оказанию помощи в случаях бедствий и смягчению последствий бедствий;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szCs w:val="22"/>
          <w:lang w:val="ru-RU"/>
        </w:rPr>
        <w:t>e)</w:t>
      </w:r>
      <w:r w:rsidRPr="00150894">
        <w:rPr>
          <w:szCs w:val="22"/>
          <w:lang w:val="ru-RU"/>
        </w:rPr>
        <w:tab/>
        <w:t xml:space="preserve">что в принятой ВКРЭ-17 Декларации Буэнос-Айреса среди прочих насущных вопросов была отмечена важная роль средств электросвязи/ИКТ в управлении операциями при бедствиях и средств электросвязи в чрезвычайных ситуациях; 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szCs w:val="22"/>
          <w:lang w:val="ru-RU"/>
        </w:rPr>
        <w:t>f)</w:t>
      </w:r>
      <w:r w:rsidRPr="00150894">
        <w:rPr>
          <w:szCs w:val="22"/>
          <w:lang w:val="ru-RU"/>
        </w:rPr>
        <w:tab/>
        <w:t>что на Межправительственной конференции по электросвязи в чрезвычайных ситуациях (ICET-98), в которой приняли участие делегаты из 75 стран, 18 июня 1998 года была единогласно принята Конвенция Тампере о предоставлении телекоммуникационных ресурсов для смягчения последствий бедствий и осуществления операций по оказанию помощи, вступившая в силу 8 января 2005 года после ее ратификации 30 странами;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szCs w:val="22"/>
          <w:lang w:val="ru-RU"/>
        </w:rPr>
        <w:t>g)</w:t>
      </w:r>
      <w:r w:rsidRPr="00150894">
        <w:rPr>
          <w:szCs w:val="22"/>
          <w:lang w:val="ru-RU"/>
        </w:rPr>
        <w:tab/>
        <w:t xml:space="preserve">что </w:t>
      </w:r>
      <w:r>
        <w:rPr>
          <w:szCs w:val="22"/>
          <w:lang w:val="ru-RU"/>
        </w:rPr>
        <w:t xml:space="preserve">в </w:t>
      </w:r>
      <w:r w:rsidRPr="00150894">
        <w:rPr>
          <w:szCs w:val="22"/>
          <w:lang w:val="ru-RU"/>
        </w:rPr>
        <w:t>Резолюци</w:t>
      </w:r>
      <w:r>
        <w:rPr>
          <w:szCs w:val="22"/>
          <w:lang w:val="ru-RU"/>
        </w:rPr>
        <w:t>и</w:t>
      </w:r>
      <w:r w:rsidRPr="00150894">
        <w:rPr>
          <w:szCs w:val="22"/>
          <w:lang w:val="ru-RU"/>
        </w:rPr>
        <w:t> </w:t>
      </w:r>
      <w:r w:rsidRPr="00150894">
        <w:rPr>
          <w:b/>
          <w:szCs w:val="22"/>
          <w:lang w:val="ru-RU"/>
        </w:rPr>
        <w:t>647 (Пересм. ВКР-15</w:t>
      </w:r>
      <w:r w:rsidRPr="00150894">
        <w:rPr>
          <w:b/>
          <w:bCs/>
          <w:szCs w:val="22"/>
          <w:lang w:val="ru-RU"/>
        </w:rPr>
        <w:t>)</w:t>
      </w:r>
      <w:r w:rsidRPr="00150894">
        <w:rPr>
          <w:szCs w:val="22"/>
          <w:lang w:val="ru-RU"/>
        </w:rPr>
        <w:t>: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>учитывает</w:t>
      </w:r>
      <w:r>
        <w:rPr>
          <w:szCs w:val="22"/>
          <w:lang w:val="ru-RU"/>
        </w:rPr>
        <w:t>ся</w:t>
      </w:r>
      <w:r w:rsidRPr="00150894">
        <w:rPr>
          <w:szCs w:val="22"/>
          <w:lang w:val="ru-RU"/>
        </w:rPr>
        <w:t>, что администрациям настоятельно рекоменд</w:t>
      </w:r>
      <w:r>
        <w:rPr>
          <w:szCs w:val="22"/>
          <w:lang w:val="ru-RU"/>
        </w:rPr>
        <w:t>овано</w:t>
      </w:r>
      <w:r w:rsidRPr="00150894">
        <w:rPr>
          <w:szCs w:val="22"/>
          <w:lang w:val="ru-RU"/>
        </w:rPr>
        <w:t xml:space="preserve"> принять все практически возможные меры по содействию быстрому развертыванию и эффективному использованию ресурсов электросвязи для раннего предупреждения чрезвычайных ситуаций, смягчения последствий бедствий и операций по оказанию помощи при бедствиях путем ограничения и, когда это возможно, устранения регламентарных барьеров и укрепления глобального, регионального и трансграничного сотрудничества между государствами;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>отмечает</w:t>
      </w:r>
      <w:r>
        <w:rPr>
          <w:szCs w:val="22"/>
          <w:lang w:val="ru-RU"/>
        </w:rPr>
        <w:t>ся</w:t>
      </w:r>
      <w:r w:rsidRPr="00150894">
        <w:rPr>
          <w:szCs w:val="22"/>
          <w:lang w:val="ru-RU"/>
        </w:rPr>
        <w:t xml:space="preserve">, что наличие информации, такой как определение контактной информации администраций для случаев оказания помощи при бедствиях, информации о наличии в отдельных администрациях частот, в пределах которых могло бы работать оборудование, а </w:t>
      </w:r>
      <w:r w:rsidRPr="00150894">
        <w:rPr>
          <w:szCs w:val="22"/>
          <w:lang w:val="ru-RU"/>
        </w:rPr>
        <w:lastRenderedPageBreak/>
        <w:t>также информации о любых соответствующих инструкциях и процедурах, может упростить функциональную совместимость и/или межсетевое взаимодействие, при наличии взаимного сотрудничества и консультаций, в особенности в чрезвычайных ситуациях на национальном, региональном и трансграничном уровнях и при оказании помощи при бедствиях;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</w:r>
      <w:r>
        <w:rPr>
          <w:szCs w:val="22"/>
          <w:lang w:val="ru-RU"/>
        </w:rPr>
        <w:t xml:space="preserve">содержится </w:t>
      </w:r>
      <w:r w:rsidRPr="00150894">
        <w:rPr>
          <w:szCs w:val="22"/>
          <w:lang w:val="ru-RU"/>
        </w:rPr>
        <w:t>реш</w:t>
      </w:r>
      <w:r>
        <w:rPr>
          <w:szCs w:val="22"/>
          <w:lang w:val="ru-RU"/>
        </w:rPr>
        <w:t>ение</w:t>
      </w:r>
      <w:r w:rsidRPr="00150894">
        <w:rPr>
          <w:szCs w:val="22"/>
          <w:lang w:val="ru-RU"/>
        </w:rPr>
        <w:t>, что МСЭ-R посредством своих исследовательских комиссий продолжит исследование аспектов радиосвязи/ИКТ, связанных с ранним предупреждением, прогнозированием, обнаружением, смягчением последствий бедствий и проведением операций по оказанию помощи при бедствиях, принимая в</w:t>
      </w:r>
      <w:r>
        <w:rPr>
          <w:szCs w:val="22"/>
          <w:lang w:val="ru-RU"/>
        </w:rPr>
        <w:t>о внимание Резолюцию МСЭ</w:t>
      </w:r>
      <w:r>
        <w:rPr>
          <w:szCs w:val="22"/>
          <w:lang w:val="ru-RU"/>
        </w:rPr>
        <w:noBreakHyphen/>
        <w:t>R 55;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>поручает</w:t>
      </w:r>
      <w:r>
        <w:rPr>
          <w:szCs w:val="22"/>
          <w:lang w:val="ru-RU"/>
        </w:rPr>
        <w:t>ся</w:t>
      </w:r>
      <w:r w:rsidRPr="00150894">
        <w:rPr>
          <w:szCs w:val="22"/>
          <w:lang w:val="ru-RU"/>
        </w:rPr>
        <w:t xml:space="preserve"> БР вести базу данных</w:t>
      </w:r>
      <w:bookmarkStart w:id="3" w:name="_GoBack"/>
      <w:r w:rsidRPr="00125CE4">
        <w:rPr>
          <w:rStyle w:val="FootnoteReference"/>
        </w:rPr>
        <w:footnoteReference w:id="1"/>
      </w:r>
      <w:bookmarkEnd w:id="3"/>
      <w:r w:rsidRPr="001E590D">
        <w:rPr>
          <w:szCs w:val="22"/>
          <w:lang w:val="ru-RU"/>
        </w:rPr>
        <w:t>,</w:t>
      </w:r>
      <w:r w:rsidRPr="00150894">
        <w:rPr>
          <w:szCs w:val="22"/>
          <w:lang w:val="ru-RU"/>
        </w:rPr>
        <w:t xml:space="preserve"> содержащую информацию от администраций для использования в чрезвычайных ситуациях, которая включает контактную информацию и в необязательном порядке включает информацию о доступных частотах;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iCs/>
          <w:szCs w:val="22"/>
          <w:lang w:val="ru-RU"/>
        </w:rPr>
        <w:t>h)</w:t>
      </w:r>
      <w:r w:rsidRPr="00150894">
        <w:rPr>
          <w:szCs w:val="22"/>
          <w:lang w:val="ru-RU"/>
        </w:rPr>
        <w:tab/>
        <w:t>что Соглашение об информационных технологиях (ITA) Всемирной торговой организации (ВТО) направлено на устранение импортных пошлин на все оборудование информационных технологий, включая терминалы и оборудование беспроводной связи;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iCs/>
          <w:szCs w:val="22"/>
          <w:lang w:val="ru-RU"/>
        </w:rPr>
        <w:t>i)</w:t>
      </w:r>
      <w:r w:rsidRPr="00150894">
        <w:rPr>
          <w:szCs w:val="22"/>
          <w:lang w:val="ru-RU"/>
        </w:rPr>
        <w:tab/>
        <w:t>что административные процедуры, касающиеся перевозки, должны быть направлены на упрощение существующих правил;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i/>
          <w:szCs w:val="22"/>
          <w:lang w:val="ru-RU"/>
        </w:rPr>
        <w:t>j)</w:t>
      </w:r>
      <w:r w:rsidRPr="00150894">
        <w:rPr>
          <w:szCs w:val="22"/>
          <w:lang w:val="ru-RU"/>
        </w:rPr>
        <w:tab/>
        <w:t>что в некоторых случаях существуют меры по урегулированию отношений между администрациями, упрощающие международное использование радиооборудования,</w:t>
      </w:r>
    </w:p>
    <w:p w:rsidR="006F6E04" w:rsidRPr="00150894" w:rsidRDefault="006F6E04" w:rsidP="006F6E04">
      <w:pPr>
        <w:pStyle w:val="Call"/>
        <w:rPr>
          <w:szCs w:val="22"/>
          <w:lang w:val="ru-RU"/>
        </w:rPr>
      </w:pPr>
      <w:r w:rsidRPr="00150894">
        <w:rPr>
          <w:szCs w:val="22"/>
          <w:lang w:val="ru-RU"/>
        </w:rPr>
        <w:t>рекомендует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b/>
          <w:szCs w:val="22"/>
          <w:lang w:val="ru-RU"/>
        </w:rPr>
        <w:t>1</w:t>
      </w:r>
      <w:r w:rsidRPr="00150894">
        <w:rPr>
          <w:szCs w:val="22"/>
          <w:lang w:val="ru-RU"/>
        </w:rPr>
        <w:tab/>
        <w:t>в ходе обсуждений вопросов о перевозке любого оборудования радиосвязи, предназначенного для оказания помощи при чрезвычайных ситуациях и бедствиях, учитывать существующие потребности, а также будущие и передовые решения;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b/>
          <w:szCs w:val="22"/>
          <w:lang w:val="ru-RU"/>
        </w:rPr>
        <w:t>2</w:t>
      </w:r>
      <w:r w:rsidRPr="00150894">
        <w:rPr>
          <w:szCs w:val="22"/>
          <w:lang w:val="ru-RU"/>
        </w:rPr>
        <w:tab/>
        <w:t>регуляторным властям до того, как возникнет чрезвычайная ситуация, в целях упрощения и ускорения процедур получения разрешений на эксплуатацию оборудования радиосвязи при оказании помощи в чрезвычайных ситуациях и в случаях бедствий разработать и ввести в действие планы и правила, которые: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>упрощают эксплуатацию оборудования радиосвязи персоналом, приезжающим в район бедствия/чрезвычайной ситуации;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>упрощают использование оборудования радиосвязи, которое применяют такие организации;</w:t>
      </w:r>
    </w:p>
    <w:p w:rsidR="006F6E04" w:rsidRPr="00150894" w:rsidRDefault="006F6E04" w:rsidP="006F6E04">
      <w:pPr>
        <w:pStyle w:val="enumlev1"/>
        <w:rPr>
          <w:szCs w:val="22"/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>по возможности учитывают частоты оборудования радиосвязи, которое будет применяться такими организациями;</w:t>
      </w:r>
    </w:p>
    <w:p w:rsidR="006F6E04" w:rsidRPr="00150894" w:rsidRDefault="006F6E04" w:rsidP="006F6E04">
      <w:pPr>
        <w:rPr>
          <w:szCs w:val="22"/>
          <w:lang w:val="ru-RU"/>
        </w:rPr>
      </w:pPr>
      <w:r w:rsidRPr="00150894">
        <w:rPr>
          <w:b/>
          <w:szCs w:val="22"/>
          <w:lang w:val="ru-RU"/>
        </w:rPr>
        <w:t>3</w:t>
      </w:r>
      <w:r w:rsidRPr="00150894">
        <w:rPr>
          <w:szCs w:val="22"/>
          <w:lang w:val="ru-RU"/>
        </w:rPr>
        <w:tab/>
        <w:t>для создания технических основ глобального перемещения оборудования радиосвязи, предназначенного для оказания помощи при чрезвычайных ситуациях и бедствиях, обеспечить, чтобы такое оборудование удовлетворяло требованиям, исключающим возможность создания вредных помех в любой стране, где оно применяется:</w:t>
      </w:r>
    </w:p>
    <w:p w:rsidR="006F6E04" w:rsidRPr="00150894" w:rsidRDefault="006F6E04" w:rsidP="006F6E04">
      <w:pPr>
        <w:pStyle w:val="enumlev1"/>
        <w:rPr>
          <w:lang w:val="ru-RU"/>
        </w:rPr>
      </w:pPr>
      <w:r w:rsidRPr="00150894">
        <w:rPr>
          <w:szCs w:val="22"/>
          <w:lang w:val="ru-RU"/>
        </w:rPr>
        <w:sym w:font="Symbol" w:char="F02D"/>
      </w:r>
      <w:r w:rsidRPr="00150894">
        <w:rPr>
          <w:szCs w:val="22"/>
          <w:lang w:val="ru-RU"/>
        </w:rPr>
        <w:tab/>
        <w:t>путем выполнения требований Рекомендаций МСЭ-R, в частности тех, которые определяют предельные уровни излучений</w:t>
      </w:r>
      <w:r w:rsidRPr="00150894">
        <w:rPr>
          <w:lang w:val="ru-RU"/>
        </w:rPr>
        <w:t>.</w:t>
      </w:r>
    </w:p>
    <w:p w:rsidR="006F6E04" w:rsidRPr="00150894" w:rsidRDefault="006F6E04" w:rsidP="006F6E04">
      <w:pPr>
        <w:pStyle w:val="Tablefin"/>
        <w:rPr>
          <w:lang w:val="ru-RU"/>
        </w:rPr>
      </w:pPr>
    </w:p>
    <w:p w:rsidR="004D14DC" w:rsidRPr="00273494" w:rsidRDefault="004D14DC" w:rsidP="004D14DC">
      <w:pPr>
        <w:overflowPunct/>
        <w:autoSpaceDE/>
        <w:autoSpaceDN/>
        <w:adjustRightInd/>
        <w:spacing w:before="720"/>
        <w:jc w:val="center"/>
        <w:textAlignment w:val="auto"/>
        <w:rPr>
          <w:lang w:val="en-US"/>
        </w:rPr>
      </w:pPr>
      <w:r>
        <w:t>______________</w:t>
      </w:r>
    </w:p>
    <w:sectPr w:rsidR="004D14DC" w:rsidRPr="00273494" w:rsidSect="00C906E6">
      <w:headerReference w:type="first" r:id="rId13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  <w:footnote w:id="1">
    <w:p w:rsidR="006F6E04" w:rsidRPr="000B32EE" w:rsidRDefault="006F6E04" w:rsidP="006F6E04">
      <w:pPr>
        <w:pStyle w:val="FootnoteText"/>
        <w:rPr>
          <w:lang w:val="ru-RU"/>
        </w:rPr>
      </w:pPr>
      <w:r w:rsidRPr="00125CE4">
        <w:rPr>
          <w:rStyle w:val="FootnoteReference"/>
        </w:rPr>
        <w:footnoteRef/>
      </w:r>
      <w:r w:rsidRPr="000B32EE">
        <w:rPr>
          <w:lang w:val="ru-RU"/>
        </w:rPr>
        <w:t xml:space="preserve"> </w:t>
      </w:r>
      <w:r w:rsidRPr="000B32EE">
        <w:rPr>
          <w:lang w:val="ru-RU"/>
        </w:rPr>
        <w:tab/>
      </w:r>
      <w:r w:rsidRPr="000B32EE">
        <w:rPr>
          <w:rStyle w:val="FootnoteTextChar"/>
          <w:lang w:val="ru-RU"/>
        </w:rPr>
        <w:t xml:space="preserve">База данных доступна по адресу </w:t>
      </w:r>
      <w:r>
        <w:fldChar w:fldCharType="begin"/>
      </w:r>
      <w:r>
        <w:instrText xml:space="preserve"> HYPERLINK "http://www.itu.int/ITU-R/go/res647" \h </w:instrText>
      </w:r>
      <w:r>
        <w:fldChar w:fldCharType="separate"/>
      </w:r>
      <w:r w:rsidRPr="00103B44">
        <w:rPr>
          <w:rStyle w:val="Hyperlink"/>
        </w:rPr>
        <w:t>http</w:t>
      </w:r>
      <w:r w:rsidRPr="000B32EE">
        <w:rPr>
          <w:rStyle w:val="Hyperlink"/>
          <w:lang w:val="ru-RU"/>
        </w:rPr>
        <w:t>://</w:t>
      </w:r>
      <w:r w:rsidRPr="00103B44">
        <w:rPr>
          <w:rStyle w:val="Hyperlink"/>
        </w:rPr>
        <w:t>www</w:t>
      </w:r>
      <w:r w:rsidRPr="000B32EE">
        <w:rPr>
          <w:rStyle w:val="Hyperlink"/>
          <w:lang w:val="ru-RU"/>
        </w:rPr>
        <w:t>.</w:t>
      </w:r>
      <w:proofErr w:type="spellStart"/>
      <w:r w:rsidRPr="00103B44">
        <w:rPr>
          <w:rStyle w:val="Hyperlink"/>
        </w:rPr>
        <w:t>itu</w:t>
      </w:r>
      <w:proofErr w:type="spellEnd"/>
      <w:r w:rsidRPr="000B32EE">
        <w:rPr>
          <w:rStyle w:val="Hyperlink"/>
          <w:lang w:val="ru-RU"/>
        </w:rPr>
        <w:t>.</w:t>
      </w:r>
      <w:proofErr w:type="spellStart"/>
      <w:r w:rsidRPr="00103B44">
        <w:rPr>
          <w:rStyle w:val="Hyperlink"/>
        </w:rPr>
        <w:t>int</w:t>
      </w:r>
      <w:proofErr w:type="spellEnd"/>
      <w:r w:rsidRPr="000B32EE">
        <w:rPr>
          <w:rStyle w:val="Hyperlink"/>
          <w:lang w:val="ru-RU"/>
        </w:rPr>
        <w:t>/</w:t>
      </w:r>
      <w:r w:rsidRPr="00103B44">
        <w:rPr>
          <w:rStyle w:val="Hyperlink"/>
        </w:rPr>
        <w:t>ITU</w:t>
      </w:r>
      <w:r w:rsidRPr="000B32EE">
        <w:rPr>
          <w:rStyle w:val="Hyperlink"/>
          <w:lang w:val="ru-RU"/>
        </w:rPr>
        <w:t>-</w:t>
      </w:r>
      <w:r w:rsidRPr="00103B44">
        <w:rPr>
          <w:rStyle w:val="Hyperlink"/>
        </w:rPr>
        <w:t>R</w:t>
      </w:r>
      <w:r w:rsidRPr="000B32EE">
        <w:rPr>
          <w:rStyle w:val="Hyperlink"/>
          <w:lang w:val="ru-RU"/>
        </w:rPr>
        <w:t>/</w:t>
      </w:r>
      <w:r w:rsidRPr="00103B44">
        <w:rPr>
          <w:rStyle w:val="Hyperlink"/>
        </w:rPr>
        <w:t>go</w:t>
      </w:r>
      <w:r w:rsidRPr="000B32EE">
        <w:rPr>
          <w:rStyle w:val="Hyperlink"/>
          <w:lang w:val="ru-RU"/>
        </w:rPr>
        <w:t>/</w:t>
      </w:r>
      <w:proofErr w:type="spellStart"/>
      <w:r w:rsidRPr="00103B44">
        <w:rPr>
          <w:rStyle w:val="Hyperlink"/>
        </w:rPr>
        <w:t>res</w:t>
      </w:r>
      <w:proofErr w:type="spellEnd"/>
      <w:r w:rsidRPr="000B32EE">
        <w:rPr>
          <w:rStyle w:val="Hyperlink"/>
          <w:lang w:val="ru-RU"/>
        </w:rPr>
        <w:t>647</w:t>
      </w:r>
      <w:r>
        <w:rPr>
          <w:rStyle w:val="Hyperlink"/>
          <w:lang w:val="ru-RU"/>
        </w:rPr>
        <w:fldChar w:fldCharType="end"/>
      </w:r>
      <w:r w:rsidRPr="000B32EE">
        <w:rPr>
          <w:rStyle w:val="FootnoteTextChar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25CE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25CE4">
      <w:rPr>
        <w:b/>
        <w:bCs/>
        <w:noProof/>
        <w:szCs w:val="22"/>
        <w:lang w:val="en-US"/>
      </w:rPr>
      <w:t>МСЭ-R  M.1637-1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25CE4">
      <w:rPr>
        <w:b/>
        <w:bCs/>
        <w:noProof/>
      </w:rPr>
      <w:t>МСЭ-R  M.1637-1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25CE4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25CE4">
      <w:rPr>
        <w:b/>
        <w:bCs/>
        <w:noProof/>
        <w:szCs w:val="22"/>
        <w:lang w:val="en-US"/>
      </w:rPr>
      <w:t>МСЭ-R  M.1637-1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25CE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5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6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15"/>
  </w:num>
  <w:num w:numId="17">
    <w:abstractNumId w:val="17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25CE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442C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04DC"/>
    <w:rsid w:val="00387A7D"/>
    <w:rsid w:val="003C38BA"/>
    <w:rsid w:val="00420DFD"/>
    <w:rsid w:val="00437A76"/>
    <w:rsid w:val="00470E28"/>
    <w:rsid w:val="00475345"/>
    <w:rsid w:val="004934C5"/>
    <w:rsid w:val="004D14DC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D223D"/>
    <w:rsid w:val="006E1131"/>
    <w:rsid w:val="006E2037"/>
    <w:rsid w:val="006E56A2"/>
    <w:rsid w:val="006E6199"/>
    <w:rsid w:val="006F6E04"/>
    <w:rsid w:val="00712870"/>
    <w:rsid w:val="0071378F"/>
    <w:rsid w:val="00743D85"/>
    <w:rsid w:val="00753CF4"/>
    <w:rsid w:val="007565CC"/>
    <w:rsid w:val="00763B00"/>
    <w:rsid w:val="00763B9A"/>
    <w:rsid w:val="007A6AA8"/>
    <w:rsid w:val="007D3737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270E7"/>
    <w:rsid w:val="00D54BEC"/>
    <w:rsid w:val="00D83556"/>
    <w:rsid w:val="00DF4176"/>
    <w:rsid w:val="00E17240"/>
    <w:rsid w:val="00E44309"/>
    <w:rsid w:val="00E74595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B2189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74729748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5CE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25CE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25CE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25CE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25CE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25CE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25CE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25CE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25CE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25CE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125CE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25CE4"/>
  </w:style>
  <w:style w:type="paragraph" w:styleId="Header">
    <w:name w:val="header"/>
    <w:basedOn w:val="Normal"/>
    <w:link w:val="HeaderChar"/>
    <w:uiPriority w:val="99"/>
    <w:rsid w:val="00125CE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25CE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25CE4"/>
  </w:style>
  <w:style w:type="paragraph" w:customStyle="1" w:styleId="Headingb">
    <w:name w:val="Heading_b"/>
    <w:basedOn w:val="Heading3"/>
    <w:next w:val="Normal"/>
    <w:link w:val="HeadingbChar"/>
    <w:rsid w:val="00125CE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25CE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25CE4"/>
  </w:style>
  <w:style w:type="paragraph" w:customStyle="1" w:styleId="AnnexNoTitle">
    <w:name w:val="Annex_NoTitle"/>
    <w:basedOn w:val="Heading1"/>
    <w:next w:val="Normalaftertitle"/>
    <w:link w:val="AnnexNoTitleChar1"/>
    <w:rsid w:val="00125CE4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25CE4"/>
    <w:pPr>
      <w:spacing w:before="320"/>
    </w:pPr>
  </w:style>
  <w:style w:type="paragraph" w:customStyle="1" w:styleId="enumlev2">
    <w:name w:val="enumlev2"/>
    <w:basedOn w:val="enumlev1"/>
    <w:rsid w:val="00125CE4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rsid w:val="00125CE4"/>
    <w:pPr>
      <w:spacing w:before="80"/>
      <w:ind w:left="794" w:hanging="794"/>
    </w:pPr>
  </w:style>
  <w:style w:type="paragraph" w:customStyle="1" w:styleId="enumlev3">
    <w:name w:val="enumlev3"/>
    <w:basedOn w:val="enumlev2"/>
    <w:rsid w:val="00125CE4"/>
    <w:pPr>
      <w:ind w:left="1588"/>
    </w:pPr>
  </w:style>
  <w:style w:type="paragraph" w:customStyle="1" w:styleId="Note">
    <w:name w:val="Note"/>
    <w:basedOn w:val="Normal"/>
    <w:link w:val="NoteChar"/>
    <w:uiPriority w:val="99"/>
    <w:rsid w:val="00125CE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25CE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25CE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25CE4"/>
    <w:pPr>
      <w:jc w:val="center"/>
    </w:pPr>
  </w:style>
  <w:style w:type="paragraph" w:customStyle="1" w:styleId="Recdate">
    <w:name w:val="Rec_date"/>
    <w:basedOn w:val="Recref"/>
    <w:next w:val="Normalaftertitle"/>
    <w:rsid w:val="00125CE4"/>
    <w:pPr>
      <w:jc w:val="right"/>
    </w:pPr>
  </w:style>
  <w:style w:type="paragraph" w:customStyle="1" w:styleId="HeadingSum">
    <w:name w:val="Heading_Sum"/>
    <w:basedOn w:val="Headingb"/>
    <w:next w:val="Normal"/>
    <w:rsid w:val="00125CE4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25CE4"/>
  </w:style>
  <w:style w:type="paragraph" w:customStyle="1" w:styleId="Tablefin">
    <w:name w:val="Table_fin"/>
    <w:basedOn w:val="Normal"/>
    <w:next w:val="Normal"/>
    <w:rsid w:val="00125CE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25CE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25CE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25CE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125CE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25CE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25CE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25CE4"/>
    <w:pPr>
      <w:ind w:left="794"/>
    </w:pPr>
  </w:style>
  <w:style w:type="paragraph" w:customStyle="1" w:styleId="Figurelegend">
    <w:name w:val="Figure_legend"/>
    <w:basedOn w:val="Normal"/>
    <w:rsid w:val="00125CE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25CE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25CE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25CE4"/>
    <w:pPr>
      <w:keepNext w:val="0"/>
      <w:spacing w:before="0" w:after="240"/>
    </w:pPr>
  </w:style>
  <w:style w:type="paragraph" w:customStyle="1" w:styleId="tocpart">
    <w:name w:val="tocpart"/>
    <w:basedOn w:val="Normal"/>
    <w:rsid w:val="00125CE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25CE4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25CE4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25CE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25CE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125CE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25CE4"/>
    <w:rPr>
      <w:b/>
    </w:rPr>
  </w:style>
  <w:style w:type="paragraph" w:customStyle="1" w:styleId="Chaptitle">
    <w:name w:val="Chap_title"/>
    <w:basedOn w:val="Arttitle"/>
    <w:next w:val="Normalaftertitle"/>
    <w:rsid w:val="00125CE4"/>
  </w:style>
  <w:style w:type="character" w:styleId="FootnoteReference">
    <w:name w:val="footnote reference"/>
    <w:basedOn w:val="DefaultParagraphFont"/>
    <w:uiPriority w:val="99"/>
    <w:rsid w:val="00125CE4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25CE4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25CE4"/>
  </w:style>
  <w:style w:type="paragraph" w:styleId="Index2">
    <w:name w:val="index 2"/>
    <w:basedOn w:val="Normal"/>
    <w:next w:val="Normal"/>
    <w:rsid w:val="00125CE4"/>
    <w:pPr>
      <w:ind w:left="283"/>
    </w:pPr>
  </w:style>
  <w:style w:type="paragraph" w:styleId="Index3">
    <w:name w:val="index 3"/>
    <w:basedOn w:val="Normal"/>
    <w:next w:val="Normal"/>
    <w:rsid w:val="00125CE4"/>
    <w:pPr>
      <w:ind w:left="566"/>
    </w:pPr>
  </w:style>
  <w:style w:type="paragraph" w:styleId="IndexHeading">
    <w:name w:val="index heading"/>
    <w:basedOn w:val="Normal"/>
    <w:next w:val="Index1"/>
    <w:rsid w:val="00125CE4"/>
  </w:style>
  <w:style w:type="paragraph" w:customStyle="1" w:styleId="Line">
    <w:name w:val="Line"/>
    <w:basedOn w:val="Normal"/>
    <w:next w:val="Normal"/>
    <w:rsid w:val="00125CE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25CE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25CE4"/>
  </w:style>
  <w:style w:type="paragraph" w:customStyle="1" w:styleId="Partref">
    <w:name w:val="Part_ref"/>
    <w:basedOn w:val="Normal"/>
    <w:next w:val="Normal"/>
    <w:rsid w:val="00125CE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25CE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25CE4"/>
  </w:style>
  <w:style w:type="paragraph" w:customStyle="1" w:styleId="QuestionNo">
    <w:name w:val="Question_No"/>
    <w:basedOn w:val="RecNo"/>
    <w:next w:val="Normal"/>
    <w:rsid w:val="00125CE4"/>
  </w:style>
  <w:style w:type="paragraph" w:customStyle="1" w:styleId="Questionref">
    <w:name w:val="Question_ref"/>
    <w:basedOn w:val="Recref"/>
    <w:next w:val="Questiondate"/>
    <w:rsid w:val="00125CE4"/>
  </w:style>
  <w:style w:type="paragraph" w:customStyle="1" w:styleId="Questiontitle">
    <w:name w:val="Question_title"/>
    <w:basedOn w:val="Normal"/>
    <w:next w:val="Questionref"/>
    <w:rsid w:val="00125CE4"/>
  </w:style>
  <w:style w:type="paragraph" w:customStyle="1" w:styleId="Reftext">
    <w:name w:val="Ref_text"/>
    <w:basedOn w:val="Normal"/>
    <w:uiPriority w:val="99"/>
    <w:rsid w:val="00125CE4"/>
    <w:pPr>
      <w:ind w:left="794" w:hanging="794"/>
    </w:pPr>
  </w:style>
  <w:style w:type="paragraph" w:customStyle="1" w:styleId="Reftitle">
    <w:name w:val="Ref_title"/>
    <w:basedOn w:val="Normal"/>
    <w:next w:val="Reftext"/>
    <w:rsid w:val="00125CE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25CE4"/>
  </w:style>
  <w:style w:type="paragraph" w:customStyle="1" w:styleId="RepNo">
    <w:name w:val="Rep_No"/>
    <w:basedOn w:val="RecNo"/>
    <w:next w:val="Reptitle"/>
    <w:rsid w:val="00125CE4"/>
  </w:style>
  <w:style w:type="paragraph" w:customStyle="1" w:styleId="Reptitle">
    <w:name w:val="Rep_title"/>
    <w:basedOn w:val="Rectitle"/>
    <w:next w:val="Repref"/>
    <w:rsid w:val="00125CE4"/>
  </w:style>
  <w:style w:type="paragraph" w:customStyle="1" w:styleId="Repref">
    <w:name w:val="Rep_ref"/>
    <w:basedOn w:val="Recref"/>
    <w:next w:val="Repdate"/>
    <w:rsid w:val="00125CE4"/>
  </w:style>
  <w:style w:type="paragraph" w:customStyle="1" w:styleId="Resdate">
    <w:name w:val="Res_date"/>
    <w:basedOn w:val="Recdate"/>
    <w:next w:val="Normalaftertitle"/>
    <w:rsid w:val="00125CE4"/>
  </w:style>
  <w:style w:type="paragraph" w:customStyle="1" w:styleId="ResNo">
    <w:name w:val="Res_No"/>
    <w:basedOn w:val="RecNo"/>
    <w:next w:val="Restitle"/>
    <w:rsid w:val="00125CE4"/>
  </w:style>
  <w:style w:type="paragraph" w:customStyle="1" w:styleId="Restitle">
    <w:name w:val="Res_title"/>
    <w:basedOn w:val="Normal"/>
    <w:next w:val="Resref"/>
    <w:link w:val="RestitleChar"/>
    <w:rsid w:val="00125CE4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25CE4"/>
  </w:style>
  <w:style w:type="paragraph" w:customStyle="1" w:styleId="SectionNo">
    <w:name w:val="Section_No"/>
    <w:basedOn w:val="Normal"/>
    <w:next w:val="Normal"/>
    <w:rsid w:val="00125CE4"/>
  </w:style>
  <w:style w:type="paragraph" w:customStyle="1" w:styleId="Sectiontitle">
    <w:name w:val="Section_title"/>
    <w:basedOn w:val="Normal"/>
    <w:next w:val="Normalaftertitle"/>
    <w:rsid w:val="00125CE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25CE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25CE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25CE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25CE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25CE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25CE4"/>
  </w:style>
  <w:style w:type="paragraph" w:styleId="TOC6">
    <w:name w:val="toc 6"/>
    <w:basedOn w:val="TOC4"/>
    <w:rsid w:val="00125CE4"/>
  </w:style>
  <w:style w:type="paragraph" w:styleId="TOC7">
    <w:name w:val="toc 7"/>
    <w:basedOn w:val="TOC4"/>
    <w:rsid w:val="00125CE4"/>
  </w:style>
  <w:style w:type="paragraph" w:styleId="TOC8">
    <w:name w:val="toc 8"/>
    <w:basedOn w:val="TOC4"/>
    <w:rsid w:val="00125CE4"/>
  </w:style>
  <w:style w:type="paragraph" w:customStyle="1" w:styleId="Annexref">
    <w:name w:val="Annex_ref"/>
    <w:basedOn w:val="Normal"/>
    <w:next w:val="Normalaftertitle"/>
    <w:rsid w:val="00125CE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25CE4"/>
  </w:style>
  <w:style w:type="paragraph" w:customStyle="1" w:styleId="Tabletitle">
    <w:name w:val="Table_title"/>
    <w:basedOn w:val="Normal"/>
    <w:next w:val="Tablehead"/>
    <w:link w:val="Tabletitle0"/>
    <w:uiPriority w:val="99"/>
    <w:rsid w:val="00125CE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link w:val="SummaryZchn"/>
    <w:uiPriority w:val="99"/>
    <w:rsid w:val="00125CE4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25CE4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25CE4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25CE4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25CE4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25CE4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125CE4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125CE4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125CE4"/>
    <w:rPr>
      <w:lang w:val="fr-FR" w:eastAsia="en-US"/>
    </w:rPr>
  </w:style>
  <w:style w:type="character" w:customStyle="1" w:styleId="TableNo0">
    <w:name w:val="Table_No Знак"/>
    <w:link w:val="TableNo"/>
    <w:locked/>
    <w:rsid w:val="00125CE4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125CE4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125CE4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125CE4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125CE4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25CE4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125CE4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125CE4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125CE4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125CE4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125CE4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125CE4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125CE4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125CE4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125CE4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125CE4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125CE4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125CE4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125CE4"/>
    <w:rPr>
      <w:b/>
      <w:sz w:val="26"/>
      <w:lang w:val="fr-FR" w:eastAsia="en-US"/>
    </w:rPr>
  </w:style>
  <w:style w:type="character" w:customStyle="1" w:styleId="enumlev1Char">
    <w:name w:val="enumlev1 Char"/>
    <w:link w:val="enumlev1"/>
    <w:uiPriority w:val="99"/>
    <w:locked/>
    <w:rsid w:val="00125CE4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125CE4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125CE4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125CE4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125CE4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125CE4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125CE4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125CE4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125CE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25CE4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125CE4"/>
  </w:style>
  <w:style w:type="paragraph" w:customStyle="1" w:styleId="Normalaftertitle0">
    <w:name w:val="Normal after title"/>
    <w:basedOn w:val="Normal"/>
    <w:next w:val="Normal"/>
    <w:rsid w:val="006F6E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  <w:textAlignment w:val="auto"/>
    </w:pPr>
    <w:rPr>
      <w:lang w:val="en-GB"/>
    </w:rPr>
  </w:style>
  <w:style w:type="character" w:customStyle="1" w:styleId="Artref">
    <w:name w:val="Art_ref"/>
    <w:basedOn w:val="DefaultParagraphFont"/>
    <w:uiPriority w:val="99"/>
    <w:rsid w:val="00125CE4"/>
  </w:style>
  <w:style w:type="character" w:customStyle="1" w:styleId="SummaryZchn">
    <w:name w:val="Summary Zchn"/>
    <w:basedOn w:val="DefaultParagraphFont"/>
    <w:link w:val="Summary"/>
    <w:uiPriority w:val="99"/>
    <w:rsid w:val="00125CE4"/>
    <w:rPr>
      <w:sz w:val="22"/>
      <w:lang w:val="es-ES_tradnl" w:eastAsia="en-US"/>
    </w:rPr>
  </w:style>
  <w:style w:type="table" w:styleId="TableGrid">
    <w:name w:val="Table Grid"/>
    <w:basedOn w:val="TableNormal"/>
    <w:rsid w:val="00125CE4"/>
    <w:rPr>
      <w:rFonts w:ascii="Century" w:eastAsia="MS Mincho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80912-DAD7-480E-96B0-787A4516E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</TotalTime>
  <Pages>5</Pages>
  <Words>1401</Words>
  <Characters>10525</Characters>
  <Application>Microsoft Office Word</Application>
  <DocSecurity>0</DocSecurity>
  <Lines>87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11903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3</cp:revision>
  <cp:lastPrinted>2009-06-26T14:19:00Z</cp:lastPrinted>
  <dcterms:created xsi:type="dcterms:W3CDTF">2019-08-01T13:47:00Z</dcterms:created>
  <dcterms:modified xsi:type="dcterms:W3CDTF">2019-08-01T13:49:00Z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