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E02690" w14:paraId="0A6E910E" w14:textId="77777777" w:rsidTr="004C6D39">
        <w:trPr>
          <w:trHeight w:hRule="exact" w:val="1418"/>
        </w:trPr>
        <w:tc>
          <w:tcPr>
            <w:tcW w:w="1428" w:type="dxa"/>
            <w:gridSpan w:val="2"/>
          </w:tcPr>
          <w:p w14:paraId="7090FA02" w14:textId="77777777" w:rsidR="00E02690" w:rsidRDefault="00E02690" w:rsidP="00E02690"/>
          <w:p w14:paraId="04D409E1" w14:textId="77777777" w:rsidR="00E02690" w:rsidRDefault="00E02690" w:rsidP="00E02690">
            <w:pPr>
              <w:spacing w:before="0"/>
              <w:rPr>
                <w:b/>
                <w:sz w:val="16"/>
              </w:rPr>
            </w:pPr>
          </w:p>
        </w:tc>
        <w:tc>
          <w:tcPr>
            <w:tcW w:w="8520" w:type="dxa"/>
            <w:gridSpan w:val="3"/>
          </w:tcPr>
          <w:p w14:paraId="558BA69F" w14:textId="77777777" w:rsidR="00E02690" w:rsidRDefault="00E02690" w:rsidP="00E02690">
            <w:pPr>
              <w:spacing w:before="0"/>
              <w:rPr>
                <w:rFonts w:ascii="Arial" w:hAnsi="Arial" w:cs="Arial"/>
              </w:rPr>
            </w:pPr>
          </w:p>
          <w:p w14:paraId="69841034" w14:textId="77777777" w:rsidR="00E02690" w:rsidRDefault="00E02690" w:rsidP="00E02690">
            <w:pPr>
              <w:spacing w:before="284"/>
              <w:rPr>
                <w:rFonts w:ascii="Arial" w:hAnsi="Arial" w:cs="Arial"/>
                <w:b/>
                <w:bCs/>
                <w:sz w:val="18"/>
              </w:rPr>
            </w:pPr>
            <w:r>
              <w:rPr>
                <w:rFonts w:ascii="Arial" w:hAnsi="Arial" w:cs="Arial"/>
                <w:b/>
                <w:bCs/>
                <w:color w:val="808080"/>
                <w:spacing w:val="100"/>
              </w:rPr>
              <w:t>International Telecommunication Union</w:t>
            </w:r>
          </w:p>
        </w:tc>
      </w:tr>
      <w:tr w:rsidR="00E02690" w14:paraId="2E5707E6" w14:textId="77777777" w:rsidTr="004C6D39">
        <w:trPr>
          <w:trHeight w:hRule="exact" w:val="992"/>
        </w:trPr>
        <w:tc>
          <w:tcPr>
            <w:tcW w:w="1428" w:type="dxa"/>
            <w:gridSpan w:val="2"/>
          </w:tcPr>
          <w:p w14:paraId="4EBF8AB8" w14:textId="77777777" w:rsidR="00E02690" w:rsidRDefault="00E02690" w:rsidP="00E02690">
            <w:pPr>
              <w:spacing w:before="0"/>
            </w:pPr>
          </w:p>
        </w:tc>
        <w:tc>
          <w:tcPr>
            <w:tcW w:w="8520" w:type="dxa"/>
            <w:gridSpan w:val="3"/>
          </w:tcPr>
          <w:p w14:paraId="25399D5F" w14:textId="77777777" w:rsidR="00E02690" w:rsidRDefault="00E02690" w:rsidP="00E02690"/>
        </w:tc>
      </w:tr>
      <w:tr w:rsidR="00E02690" w14:paraId="553F18E4" w14:textId="77777777" w:rsidTr="004C6D39">
        <w:tblPrEx>
          <w:tblCellMar>
            <w:left w:w="85" w:type="dxa"/>
            <w:right w:w="85" w:type="dxa"/>
          </w:tblCellMar>
        </w:tblPrEx>
        <w:trPr>
          <w:gridBefore w:val="2"/>
          <w:wBefore w:w="1428" w:type="dxa"/>
        </w:trPr>
        <w:tc>
          <w:tcPr>
            <w:tcW w:w="2520" w:type="dxa"/>
          </w:tcPr>
          <w:p w14:paraId="5BD6D9D8"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5C7024C2" w14:textId="77777777" w:rsidR="00E02690" w:rsidRPr="00C92738" w:rsidRDefault="00733524" w:rsidP="00BE3396">
            <w:pPr>
              <w:spacing w:before="240"/>
              <w:jc w:val="right"/>
              <w:rPr>
                <w:rFonts w:ascii="Arial" w:hAnsi="Arial" w:cs="Arial"/>
                <w:b/>
                <w:sz w:val="60"/>
              </w:rPr>
            </w:pPr>
            <w:r>
              <w:rPr>
                <w:rFonts w:ascii="Arial" w:hAnsi="Arial"/>
                <w:b/>
                <w:sz w:val="60"/>
              </w:rPr>
              <w:t>FG-</w:t>
            </w:r>
            <w:r w:rsidR="00C8520A">
              <w:rPr>
                <w:rFonts w:ascii="Arial" w:hAnsi="Arial"/>
                <w:b/>
                <w:sz w:val="60"/>
              </w:rPr>
              <w:t>DF</w:t>
            </w:r>
            <w:r w:rsidR="00BE3396">
              <w:rPr>
                <w:rFonts w:ascii="Arial" w:hAnsi="Arial"/>
                <w:b/>
                <w:sz w:val="60"/>
              </w:rPr>
              <w:t>C</w:t>
            </w:r>
          </w:p>
        </w:tc>
      </w:tr>
      <w:tr w:rsidR="00E02690" w14:paraId="5A9AF8BA" w14:textId="77777777" w:rsidTr="004C6D39">
        <w:tblPrEx>
          <w:tblCellMar>
            <w:left w:w="85" w:type="dxa"/>
            <w:right w:w="85" w:type="dxa"/>
          </w:tblCellMar>
        </w:tblPrEx>
        <w:trPr>
          <w:gridBefore w:val="2"/>
          <w:wBefore w:w="1428" w:type="dxa"/>
          <w:trHeight w:val="974"/>
        </w:trPr>
        <w:tc>
          <w:tcPr>
            <w:tcW w:w="4549" w:type="dxa"/>
            <w:gridSpan w:val="2"/>
          </w:tcPr>
          <w:p w14:paraId="70AACAAD" w14:textId="77777777" w:rsidR="00E02690" w:rsidRPr="007777D2" w:rsidRDefault="00E02690" w:rsidP="00E02690">
            <w:pPr>
              <w:rPr>
                <w:b/>
              </w:rPr>
            </w:pPr>
            <w:bookmarkStart w:id="1" w:name="ddatee" w:colFirst="1" w:colLast="1"/>
            <w:bookmarkEnd w:id="0"/>
            <w:r w:rsidRPr="007777D2">
              <w:rPr>
                <w:rFonts w:ascii="Arial" w:hAnsi="Arial"/>
              </w:rPr>
              <w:t>TELECOMMUNICATION</w:t>
            </w:r>
            <w:r w:rsidRPr="007777D2">
              <w:rPr>
                <w:rFonts w:ascii="Arial" w:hAnsi="Arial"/>
              </w:rPr>
              <w:br/>
              <w:t>STANDARDIZATION</w:t>
            </w:r>
            <w:r w:rsidR="00433F2A">
              <w:rPr>
                <w:rFonts w:ascii="Arial" w:hAnsi="Arial"/>
              </w:rPr>
              <w:t xml:space="preserve"> </w:t>
            </w:r>
            <w:r w:rsidRPr="007777D2">
              <w:rPr>
                <w:rFonts w:ascii="Arial" w:hAnsi="Arial"/>
              </w:rPr>
              <w:t>SECTOR</w:t>
            </w:r>
            <w:r w:rsidRPr="007777D2">
              <w:rPr>
                <w:rFonts w:ascii="Arial" w:hAnsi="Arial"/>
              </w:rPr>
              <w:br/>
              <w:t>OF</w:t>
            </w:r>
            <w:r w:rsidR="00433F2A">
              <w:rPr>
                <w:rFonts w:ascii="Arial" w:hAnsi="Arial"/>
              </w:rPr>
              <w:t xml:space="preserve"> </w:t>
            </w:r>
            <w:r w:rsidRPr="007777D2">
              <w:rPr>
                <w:rFonts w:ascii="Arial" w:hAnsi="Arial"/>
              </w:rPr>
              <w:t>ITU</w:t>
            </w:r>
          </w:p>
        </w:tc>
        <w:tc>
          <w:tcPr>
            <w:tcW w:w="3971" w:type="dxa"/>
          </w:tcPr>
          <w:p w14:paraId="632E459B" w14:textId="77777777" w:rsidR="00E02690" w:rsidRPr="009635CB" w:rsidRDefault="00E02690" w:rsidP="00E02690">
            <w:pPr>
              <w:spacing w:before="284"/>
            </w:pPr>
          </w:p>
          <w:p w14:paraId="013147C5" w14:textId="7EE0B3B7" w:rsidR="00E02690" w:rsidRPr="007777D2" w:rsidRDefault="00E02690" w:rsidP="00A54D94">
            <w:pPr>
              <w:wordWrap w:val="0"/>
              <w:spacing w:before="284"/>
              <w:jc w:val="right"/>
              <w:rPr>
                <w:rFonts w:ascii="Arial" w:hAnsi="Arial"/>
                <w:sz w:val="28"/>
              </w:rPr>
            </w:pPr>
            <w:r>
              <w:rPr>
                <w:rFonts w:ascii="Arial" w:hAnsi="Arial"/>
                <w:sz w:val="28"/>
              </w:rPr>
              <w:t>(</w:t>
            </w:r>
            <w:r w:rsidR="00E059A4">
              <w:rPr>
                <w:rFonts w:ascii="Arial" w:hAnsi="Arial"/>
                <w:sz w:val="28"/>
              </w:rPr>
              <w:t>0</w:t>
            </w:r>
            <w:r w:rsidR="00A54D94">
              <w:rPr>
                <w:rFonts w:ascii="Arial" w:hAnsi="Arial"/>
                <w:sz w:val="28"/>
              </w:rPr>
              <w:t>6</w:t>
            </w:r>
            <w:r w:rsidR="00C8520A">
              <w:rPr>
                <w:rFonts w:ascii="Arial" w:hAnsi="Arial"/>
                <w:sz w:val="28"/>
              </w:rPr>
              <w:t>/201</w:t>
            </w:r>
            <w:r w:rsidR="00E059A4">
              <w:rPr>
                <w:rFonts w:ascii="Arial" w:hAnsi="Arial"/>
                <w:sz w:val="28"/>
              </w:rPr>
              <w:t>9</w:t>
            </w:r>
            <w:r>
              <w:rPr>
                <w:rFonts w:ascii="Arial" w:hAnsi="Arial"/>
                <w:sz w:val="28"/>
              </w:rPr>
              <w:t>)</w:t>
            </w:r>
          </w:p>
        </w:tc>
      </w:tr>
      <w:tr w:rsidR="00E02690" w:rsidRPr="00F87042" w14:paraId="0599493C" w14:textId="77777777" w:rsidTr="004C6D39">
        <w:trPr>
          <w:cantSplit/>
          <w:trHeight w:hRule="exact" w:val="3402"/>
        </w:trPr>
        <w:tc>
          <w:tcPr>
            <w:tcW w:w="1418" w:type="dxa"/>
          </w:tcPr>
          <w:p w14:paraId="0644DF33"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F22656A" w14:textId="0D5BAB62" w:rsidR="00E02690" w:rsidRPr="003173B3" w:rsidRDefault="00C8520A" w:rsidP="003173B3">
            <w:pPr>
              <w:tabs>
                <w:tab w:val="right" w:pos="9639"/>
              </w:tabs>
              <w:spacing w:after="120"/>
              <w:rPr>
                <w:rFonts w:ascii="Arial" w:hAnsi="Arial" w:cs="Arial"/>
                <w:sz w:val="32"/>
                <w:lang w:val="en-US"/>
              </w:rPr>
            </w:pPr>
            <w:r w:rsidRPr="00F87042">
              <w:rPr>
                <w:rFonts w:ascii="Arial" w:hAnsi="Arial" w:cs="Arial"/>
                <w:sz w:val="32"/>
                <w:lang w:val="en-US"/>
              </w:rPr>
              <w:t xml:space="preserve">ITU-T Focus Group </w:t>
            </w:r>
            <w:r w:rsidR="00F87042" w:rsidRPr="00F87042">
              <w:rPr>
                <w:rFonts w:ascii="Arial" w:hAnsi="Arial" w:cs="Arial"/>
                <w:sz w:val="32"/>
                <w:lang w:val="en-US"/>
              </w:rPr>
              <w:t>Digital Currency including Digital Fiat Currency</w:t>
            </w:r>
          </w:p>
        </w:tc>
      </w:tr>
      <w:tr w:rsidR="00E02690" w14:paraId="225FE381" w14:textId="77777777" w:rsidTr="004C6D39">
        <w:trPr>
          <w:cantSplit/>
          <w:trHeight w:hRule="exact" w:val="4536"/>
        </w:trPr>
        <w:tc>
          <w:tcPr>
            <w:tcW w:w="1418" w:type="dxa"/>
          </w:tcPr>
          <w:p w14:paraId="649B3F56" w14:textId="77777777" w:rsidR="00E02690" w:rsidRPr="00F87042" w:rsidRDefault="00E02690" w:rsidP="00E02690">
            <w:pPr>
              <w:tabs>
                <w:tab w:val="right" w:pos="9639"/>
              </w:tabs>
              <w:rPr>
                <w:rFonts w:ascii="Arial" w:hAnsi="Arial"/>
                <w:sz w:val="18"/>
                <w:lang w:val="en-US"/>
              </w:rPr>
            </w:pPr>
            <w:bookmarkStart w:id="3" w:name="c1tite" w:colFirst="1" w:colLast="1"/>
            <w:bookmarkEnd w:id="2"/>
          </w:p>
        </w:tc>
        <w:tc>
          <w:tcPr>
            <w:tcW w:w="8530" w:type="dxa"/>
            <w:gridSpan w:val="4"/>
          </w:tcPr>
          <w:p w14:paraId="39FCA90C" w14:textId="13E78CA6" w:rsidR="00EA03E5" w:rsidRPr="00EA03E5" w:rsidRDefault="00EA03E5" w:rsidP="00EA03E5">
            <w:pPr>
              <w:spacing w:before="100" w:beforeAutospacing="1" w:after="100" w:afterAutospacing="1"/>
              <w:rPr>
                <w:rFonts w:ascii="Arial" w:eastAsia="Times New Roman" w:hAnsi="Arial"/>
                <w:color w:val="000000"/>
                <w:sz w:val="36"/>
                <w:szCs w:val="44"/>
                <w:lang w:eastAsia="fr-FR"/>
              </w:rPr>
            </w:pPr>
            <w:r w:rsidRPr="00EA03E5">
              <w:rPr>
                <w:rFonts w:ascii="Arial" w:eastAsia="Times New Roman" w:hAnsi="Arial"/>
                <w:b/>
                <w:color w:val="000000"/>
                <w:sz w:val="40"/>
                <w:szCs w:val="44"/>
                <w:lang w:eastAsia="fr-FR"/>
              </w:rPr>
              <w:t>Protection Assurance for Digital Currencies</w:t>
            </w:r>
            <w:r w:rsidRPr="00EA03E5">
              <w:rPr>
                <w:rFonts w:ascii="Arial" w:eastAsia="Times New Roman" w:hAnsi="Arial"/>
                <w:b/>
                <w:color w:val="000000"/>
                <w:sz w:val="40"/>
                <w:szCs w:val="44"/>
                <w:lang w:eastAsia="fr-FR"/>
              </w:rPr>
              <w:br/>
            </w:r>
            <w:r w:rsidRPr="00EA03E5">
              <w:rPr>
                <w:rFonts w:ascii="Arial" w:eastAsia="Times New Roman" w:hAnsi="Arial"/>
                <w:color w:val="000000"/>
                <w:sz w:val="28"/>
                <w:szCs w:val="44"/>
                <w:lang w:eastAsia="fr-FR"/>
              </w:rPr>
              <w:t>Method for Achieving the Required Security Assurance Level for Protecting Digital Currency including Digital Fiat Currency with High Confidence</w:t>
            </w:r>
          </w:p>
          <w:p w14:paraId="6645E49A" w14:textId="7529655A" w:rsidR="00B95AE9" w:rsidRPr="00B95AE9" w:rsidRDefault="00EA03E5" w:rsidP="00696548">
            <w:pPr>
              <w:tabs>
                <w:tab w:val="right" w:pos="9639"/>
              </w:tabs>
              <w:spacing w:before="360"/>
              <w:rPr>
                <w:rFonts w:ascii="Arial" w:hAnsi="Arial" w:cs="Arial"/>
                <w:sz w:val="36"/>
              </w:rPr>
            </w:pPr>
            <w:r w:rsidRPr="00EA03E5">
              <w:rPr>
                <w:rFonts w:ascii="Arial" w:hAnsi="Arial" w:cs="Arial"/>
                <w:sz w:val="36"/>
              </w:rPr>
              <w:t>Security</w:t>
            </w:r>
            <w:r w:rsidR="00B95AE9">
              <w:rPr>
                <w:rFonts w:ascii="Arial" w:hAnsi="Arial" w:cs="Arial"/>
                <w:sz w:val="36"/>
              </w:rPr>
              <w:t xml:space="preserve"> Working Group Deliverable</w:t>
            </w:r>
          </w:p>
        </w:tc>
      </w:tr>
      <w:bookmarkEnd w:id="3"/>
      <w:tr w:rsidR="00E02690" w14:paraId="53D3F6D8" w14:textId="77777777" w:rsidTr="004C6D39">
        <w:trPr>
          <w:cantSplit/>
          <w:trHeight w:hRule="exact" w:val="1418"/>
        </w:trPr>
        <w:tc>
          <w:tcPr>
            <w:tcW w:w="1418" w:type="dxa"/>
          </w:tcPr>
          <w:p w14:paraId="53A7937E" w14:textId="77777777" w:rsidR="00E02690" w:rsidRDefault="00E02690" w:rsidP="00E02690">
            <w:pPr>
              <w:tabs>
                <w:tab w:val="right" w:pos="9639"/>
              </w:tabs>
              <w:rPr>
                <w:rFonts w:ascii="Arial" w:hAnsi="Arial"/>
                <w:sz w:val="18"/>
              </w:rPr>
            </w:pPr>
          </w:p>
        </w:tc>
        <w:tc>
          <w:tcPr>
            <w:tcW w:w="8530" w:type="dxa"/>
            <w:gridSpan w:val="4"/>
            <w:vAlign w:val="bottom"/>
          </w:tcPr>
          <w:p w14:paraId="34E4AAD5" w14:textId="77777777" w:rsidR="003173B3" w:rsidRDefault="003173B3" w:rsidP="00C8520A">
            <w:pPr>
              <w:tabs>
                <w:tab w:val="right" w:pos="9639"/>
              </w:tabs>
              <w:spacing w:before="60" w:after="240"/>
              <w:rPr>
                <w:rFonts w:ascii="Arial" w:hAnsi="Arial" w:cs="Arial"/>
                <w:sz w:val="32"/>
              </w:rPr>
            </w:pPr>
            <w:bookmarkStart w:id="4" w:name="dnum2e"/>
            <w:bookmarkEnd w:id="4"/>
          </w:p>
          <w:p w14:paraId="5ED23B7D" w14:textId="6A0750B2" w:rsidR="00C8520A" w:rsidRPr="00F06651" w:rsidRDefault="00C8520A" w:rsidP="00C8520A">
            <w:pPr>
              <w:tabs>
                <w:tab w:val="right" w:pos="9639"/>
              </w:tabs>
              <w:spacing w:before="60" w:after="240"/>
              <w:rPr>
                <w:rFonts w:ascii="Arial" w:hAnsi="Arial" w:cs="Arial"/>
                <w:sz w:val="32"/>
              </w:rPr>
            </w:pPr>
            <w:r w:rsidRPr="00F06651">
              <w:rPr>
                <w:rFonts w:ascii="Arial" w:hAnsi="Arial" w:cs="Arial"/>
                <w:sz w:val="32"/>
              </w:rPr>
              <w:t>Focus Group Technical Report</w:t>
            </w:r>
          </w:p>
          <w:p w14:paraId="424107C5" w14:textId="77777777" w:rsidR="00E02690" w:rsidRPr="00C92738" w:rsidRDefault="00E02690" w:rsidP="00E02690">
            <w:pPr>
              <w:tabs>
                <w:tab w:val="right" w:pos="9639"/>
              </w:tabs>
              <w:spacing w:before="60"/>
              <w:jc w:val="right"/>
              <w:rPr>
                <w:rFonts w:ascii="Arial" w:hAnsi="Arial" w:cs="Arial"/>
                <w:sz w:val="32"/>
              </w:rPr>
            </w:pPr>
          </w:p>
        </w:tc>
      </w:tr>
    </w:tbl>
    <w:p w14:paraId="05B193FD" w14:textId="77777777" w:rsidR="00E02690" w:rsidRPr="007777D2" w:rsidRDefault="00E02690" w:rsidP="00737170">
      <w:pPr>
        <w:spacing w:after="120"/>
        <w:jc w:val="center"/>
        <w:sectPr w:rsidR="00E02690" w:rsidRPr="007777D2" w:rsidSect="00B22DA4">
          <w:footerReference w:type="default" r:id="rId11"/>
          <w:headerReference w:type="first" r:id="rId12"/>
          <w:footerReference w:type="first" r:id="rId13"/>
          <w:pgSz w:w="11907" w:h="16840" w:code="9"/>
          <w:pgMar w:top="1225" w:right="1281" w:bottom="1440" w:left="1140" w:header="720" w:footer="720" w:gutter="0"/>
          <w:cols w:space="720"/>
          <w:titlePg/>
          <w:docGrid w:linePitch="326"/>
        </w:sectPr>
      </w:pPr>
    </w:p>
    <w:p w14:paraId="08870A62" w14:textId="77777777" w:rsidR="00C8520A" w:rsidRPr="00F06651" w:rsidRDefault="00C8520A" w:rsidP="00C8520A">
      <w:pPr>
        <w:spacing w:before="480"/>
        <w:jc w:val="center"/>
        <w:rPr>
          <w:sz w:val="22"/>
        </w:rPr>
      </w:pPr>
      <w:bookmarkStart w:id="5" w:name="_Toc44995568"/>
      <w:r w:rsidRPr="00F06651">
        <w:rPr>
          <w:sz w:val="22"/>
        </w:rPr>
        <w:lastRenderedPageBreak/>
        <w:t>FOREWORD</w:t>
      </w:r>
    </w:p>
    <w:p w14:paraId="3FA6114A" w14:textId="77777777" w:rsidR="00C8520A" w:rsidRPr="001F600B" w:rsidRDefault="00C8520A" w:rsidP="00C8520A">
      <w:pPr>
        <w:rPr>
          <w:sz w:val="22"/>
        </w:rPr>
      </w:pPr>
      <w:r w:rsidRPr="001F600B">
        <w:rPr>
          <w:sz w:val="22"/>
        </w:rPr>
        <w:t xml:space="preserve">The International Telecommunication Union (ITU) is the United Nations specialized agency in the field of </w:t>
      </w:r>
      <w:r>
        <w:rPr>
          <w:sz w:val="22"/>
        </w:rPr>
        <w:t>telecommunications</w:t>
      </w:r>
      <w:r w:rsidRPr="001F600B">
        <w:rPr>
          <w:sz w:val="22"/>
        </w:rPr>
        <w:t>,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60F22CDB" w14:textId="4B82AB0A" w:rsidR="00C8520A" w:rsidRPr="001F600B" w:rsidRDefault="00C8520A" w:rsidP="00F87042">
      <w:pPr>
        <w:rPr>
          <w:sz w:val="22"/>
        </w:rPr>
      </w:pPr>
      <w:r w:rsidRPr="001F600B">
        <w:rPr>
          <w:sz w:val="22"/>
        </w:rPr>
        <w:t xml:space="preserve">The procedures for establishment of focus groups are defined in Recommendation ITU-T A.7. </w:t>
      </w:r>
      <w:r>
        <w:rPr>
          <w:sz w:val="22"/>
        </w:rPr>
        <w:t>TSAG</w:t>
      </w:r>
      <w:r w:rsidRPr="001F600B">
        <w:rPr>
          <w:sz w:val="22"/>
        </w:rPr>
        <w:t xml:space="preserve"> set up the ITU-T Focus Group </w:t>
      </w:r>
      <w:r>
        <w:rPr>
          <w:sz w:val="22"/>
        </w:rPr>
        <w:t xml:space="preserve">Digital </w:t>
      </w:r>
      <w:r w:rsidR="00F87042">
        <w:rPr>
          <w:sz w:val="22"/>
        </w:rPr>
        <w:t>Currency Including Digital Fiat Curren</w:t>
      </w:r>
      <w:r w:rsidR="00325ABC">
        <w:rPr>
          <w:sz w:val="22"/>
        </w:rPr>
        <w:t>c</w:t>
      </w:r>
      <w:r w:rsidR="00F87042">
        <w:rPr>
          <w:sz w:val="22"/>
        </w:rPr>
        <w:t>y</w:t>
      </w:r>
      <w:r>
        <w:rPr>
          <w:sz w:val="22"/>
        </w:rPr>
        <w:t xml:space="preserve"> (FG DF</w:t>
      </w:r>
      <w:r w:rsidR="00F87042">
        <w:rPr>
          <w:sz w:val="22"/>
        </w:rPr>
        <w:t>C</w:t>
      </w:r>
      <w:r w:rsidRPr="001F600B">
        <w:rPr>
          <w:sz w:val="22"/>
        </w:rPr>
        <w:t xml:space="preserve">) at its meeting in </w:t>
      </w:r>
      <w:r w:rsidR="00F87042">
        <w:rPr>
          <w:sz w:val="22"/>
        </w:rPr>
        <w:t>May 2017</w:t>
      </w:r>
      <w:r w:rsidRPr="001F600B">
        <w:rPr>
          <w:sz w:val="22"/>
        </w:rPr>
        <w:t xml:space="preserve">. </w:t>
      </w:r>
      <w:r>
        <w:rPr>
          <w:sz w:val="22"/>
        </w:rPr>
        <w:t>TS</w:t>
      </w:r>
      <w:r w:rsidR="000250D9">
        <w:rPr>
          <w:sz w:val="22"/>
        </w:rPr>
        <w:t>AG is the parent group of FG DFC</w:t>
      </w:r>
      <w:r w:rsidRPr="001F600B">
        <w:rPr>
          <w:sz w:val="22"/>
        </w:rPr>
        <w:t>.</w:t>
      </w:r>
    </w:p>
    <w:p w14:paraId="45AFB9C1" w14:textId="77777777" w:rsidR="00C8520A" w:rsidRPr="00F06651" w:rsidRDefault="00C8520A" w:rsidP="00C8520A">
      <w:pPr>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0176060C" w14:textId="77777777" w:rsidR="00C8520A" w:rsidRDefault="00C8520A" w:rsidP="00737170">
      <w:pPr>
        <w:pStyle w:val="Headingb"/>
      </w:pPr>
    </w:p>
    <w:p w14:paraId="27D2A12D" w14:textId="77777777" w:rsidR="00C8520A" w:rsidRDefault="00C8520A" w:rsidP="00737170">
      <w:pPr>
        <w:pStyle w:val="Headingb"/>
        <w:rPr>
          <w:lang w:val="en-US"/>
        </w:rPr>
      </w:pPr>
    </w:p>
    <w:p w14:paraId="567DF245" w14:textId="77777777" w:rsidR="00223588" w:rsidRDefault="00223588" w:rsidP="00223588">
      <w:pPr>
        <w:rPr>
          <w:lang w:eastAsia="ja-JP"/>
        </w:rPr>
      </w:pPr>
    </w:p>
    <w:p w14:paraId="38C42BE1" w14:textId="77777777" w:rsidR="00223588" w:rsidRDefault="00223588" w:rsidP="00223588">
      <w:pPr>
        <w:rPr>
          <w:lang w:eastAsia="ja-JP"/>
        </w:rPr>
      </w:pPr>
    </w:p>
    <w:p w14:paraId="58D41A9F" w14:textId="77777777" w:rsidR="00223588" w:rsidRDefault="00223588" w:rsidP="00223588">
      <w:pPr>
        <w:rPr>
          <w:lang w:eastAsia="ja-JP"/>
        </w:rPr>
      </w:pPr>
    </w:p>
    <w:p w14:paraId="5C0E3554" w14:textId="77777777" w:rsidR="00223588" w:rsidRDefault="00223588" w:rsidP="00223588">
      <w:pPr>
        <w:rPr>
          <w:lang w:eastAsia="ja-JP"/>
        </w:rPr>
      </w:pPr>
    </w:p>
    <w:p w14:paraId="2820C31D" w14:textId="77777777" w:rsidR="00223588" w:rsidRDefault="00223588" w:rsidP="00223588">
      <w:pPr>
        <w:rPr>
          <w:lang w:eastAsia="ja-JP"/>
        </w:rPr>
      </w:pPr>
    </w:p>
    <w:p w14:paraId="0BEA0315" w14:textId="77777777" w:rsidR="00223588" w:rsidRDefault="00223588" w:rsidP="00223588">
      <w:pPr>
        <w:rPr>
          <w:lang w:eastAsia="ja-JP"/>
        </w:rPr>
      </w:pPr>
    </w:p>
    <w:p w14:paraId="2B850469" w14:textId="77777777" w:rsidR="00223588" w:rsidRDefault="00223588" w:rsidP="00223588">
      <w:pPr>
        <w:rPr>
          <w:lang w:eastAsia="ja-JP"/>
        </w:rPr>
      </w:pPr>
    </w:p>
    <w:p w14:paraId="29070A6F" w14:textId="77777777" w:rsidR="00223588" w:rsidRDefault="00223588" w:rsidP="00223588">
      <w:pPr>
        <w:rPr>
          <w:lang w:eastAsia="ja-JP"/>
        </w:rPr>
      </w:pPr>
    </w:p>
    <w:p w14:paraId="0E281972" w14:textId="77777777" w:rsidR="00223588" w:rsidRDefault="00223588" w:rsidP="00223588">
      <w:pPr>
        <w:rPr>
          <w:lang w:eastAsia="ja-JP"/>
        </w:rPr>
      </w:pPr>
    </w:p>
    <w:p w14:paraId="3364EB14" w14:textId="77777777" w:rsidR="00223588" w:rsidRDefault="00223588" w:rsidP="00223588">
      <w:pPr>
        <w:rPr>
          <w:lang w:eastAsia="ja-JP"/>
        </w:rPr>
      </w:pPr>
    </w:p>
    <w:p w14:paraId="419B2EBD" w14:textId="77777777" w:rsidR="00223588" w:rsidRDefault="00223588" w:rsidP="00223588">
      <w:pPr>
        <w:rPr>
          <w:lang w:eastAsia="ja-JP"/>
        </w:rPr>
      </w:pPr>
    </w:p>
    <w:p w14:paraId="795CE5A5" w14:textId="77777777" w:rsidR="00223588" w:rsidRDefault="00223588" w:rsidP="00223588">
      <w:pPr>
        <w:rPr>
          <w:lang w:eastAsia="ja-JP"/>
        </w:rPr>
      </w:pPr>
    </w:p>
    <w:p w14:paraId="7BE2D4BD" w14:textId="77777777" w:rsidR="00223588" w:rsidRDefault="00223588" w:rsidP="00223588">
      <w:pPr>
        <w:rPr>
          <w:lang w:eastAsia="ja-JP"/>
        </w:rPr>
      </w:pPr>
    </w:p>
    <w:p w14:paraId="480842C8" w14:textId="77777777" w:rsidR="00223588" w:rsidRPr="00223588" w:rsidRDefault="00223588" w:rsidP="00223588">
      <w:pPr>
        <w:rPr>
          <w:lang w:eastAsia="ja-JP"/>
        </w:rPr>
      </w:pPr>
    </w:p>
    <w:p w14:paraId="7FF6D0B0" w14:textId="77777777" w:rsidR="00C8520A" w:rsidRDefault="00C8520A" w:rsidP="00C8520A">
      <w:pPr>
        <w:rPr>
          <w:lang w:eastAsia="ja-JP"/>
        </w:rPr>
      </w:pPr>
    </w:p>
    <w:p w14:paraId="3AB0EE91" w14:textId="7A1C245F" w:rsidR="00C8520A" w:rsidRDefault="00C8520A" w:rsidP="00C8520A">
      <w:pPr>
        <w:rPr>
          <w:lang w:eastAsia="ja-JP"/>
        </w:rPr>
      </w:pPr>
    </w:p>
    <w:p w14:paraId="24AC4B8C" w14:textId="367055EE" w:rsidR="00F118F1" w:rsidRDefault="00F118F1" w:rsidP="00C8520A">
      <w:pPr>
        <w:rPr>
          <w:lang w:eastAsia="ja-JP"/>
        </w:rPr>
      </w:pPr>
    </w:p>
    <w:p w14:paraId="426F0D71" w14:textId="2E86C729" w:rsidR="00F118F1" w:rsidRDefault="00F118F1" w:rsidP="00C8520A">
      <w:pPr>
        <w:rPr>
          <w:lang w:eastAsia="ja-JP"/>
        </w:rPr>
      </w:pPr>
    </w:p>
    <w:p w14:paraId="30BD099E" w14:textId="77777777" w:rsidR="00C8520A" w:rsidRDefault="00C8520A" w:rsidP="00C8520A">
      <w:pPr>
        <w:rPr>
          <w:lang w:eastAsia="ja-JP"/>
        </w:rPr>
      </w:pPr>
    </w:p>
    <w:p w14:paraId="5F26BD2D" w14:textId="76BC6F12" w:rsidR="00C8520A" w:rsidRPr="00F06651" w:rsidRDefault="003826A4" w:rsidP="00C8520A">
      <w:pPr>
        <w:jc w:val="center"/>
        <w:rPr>
          <w:sz w:val="22"/>
        </w:rPr>
      </w:pPr>
      <w:r>
        <w:sym w:font="Symbol" w:char="F0E3"/>
      </w:r>
      <w:r w:rsidRPr="00F06651">
        <w:rPr>
          <w:sz w:val="22"/>
        </w:rPr>
        <w:t xml:space="preserve"> </w:t>
      </w:r>
      <w:bookmarkStart w:id="6" w:name="_GoBack"/>
      <w:bookmarkEnd w:id="6"/>
      <w:r w:rsidR="00C8520A" w:rsidRPr="00F06651">
        <w:rPr>
          <w:sz w:val="22"/>
        </w:rPr>
        <w:t>ITU </w:t>
      </w:r>
      <w:bookmarkStart w:id="7" w:name="iiannee"/>
      <w:bookmarkEnd w:id="7"/>
      <w:r w:rsidR="00F87042">
        <w:rPr>
          <w:sz w:val="22"/>
        </w:rPr>
        <w:t>201</w:t>
      </w:r>
      <w:r w:rsidR="00E059A4">
        <w:rPr>
          <w:sz w:val="22"/>
        </w:rPr>
        <w:t>9</w:t>
      </w:r>
    </w:p>
    <w:p w14:paraId="6C344BD3" w14:textId="77777777" w:rsidR="00891DA7" w:rsidRDefault="00891DA7" w:rsidP="00891DA7">
      <w:pPr>
        <w:pStyle w:val="Default"/>
      </w:pPr>
    </w:p>
    <w:p w14:paraId="2D4DCDBF" w14:textId="77777777" w:rsidR="00223588" w:rsidRDefault="00891DA7" w:rsidP="00891DA7">
      <w:pPr>
        <w:jc w:val="center"/>
        <w:rPr>
          <w:sz w:val="22"/>
        </w:rPr>
      </w:pPr>
      <w:r>
        <w:rPr>
          <w:sz w:val="22"/>
          <w:szCs w:val="22"/>
        </w:rPr>
        <w:t xml:space="preserve">This work is licensed to the public through a Creative Commons Attribution-Non-Commercial-Share Alike 4.0 International license (CC BY-NC-SA 4.0). For more information visit </w:t>
      </w:r>
      <w:hyperlink r:id="rId14" w:history="1">
        <w:r w:rsidRPr="00A01C6C">
          <w:rPr>
            <w:rStyle w:val="Hyperlink"/>
            <w:sz w:val="22"/>
            <w:szCs w:val="22"/>
          </w:rPr>
          <w:t>https://creativecommons.org/licenses/by-nc-sa/4.0/</w:t>
        </w:r>
      </w:hyperlink>
      <w:r>
        <w:rPr>
          <w:sz w:val="22"/>
          <w:szCs w:val="22"/>
        </w:rPr>
        <w:t xml:space="preserve"> . </w:t>
      </w:r>
      <w:r w:rsidR="00223588">
        <w:rPr>
          <w:sz w:val="22"/>
        </w:rPr>
        <w:br w:type="page"/>
      </w:r>
    </w:p>
    <w:p w14:paraId="1CDAE80A" w14:textId="77777777" w:rsidR="00C8520A" w:rsidRDefault="00C8520A" w:rsidP="00C8520A">
      <w:pPr>
        <w:rPr>
          <w:sz w:val="22"/>
        </w:rPr>
      </w:pPr>
    </w:p>
    <w:p w14:paraId="15047E55" w14:textId="77777777" w:rsidR="00C8520A" w:rsidRPr="00C8520A" w:rsidRDefault="00C8520A" w:rsidP="00C8520A">
      <w:pPr>
        <w:rPr>
          <w:lang w:eastAsia="ja-JP"/>
        </w:rPr>
      </w:pPr>
    </w:p>
    <w:p w14:paraId="686F4D48" w14:textId="77777777" w:rsidR="00C8520A" w:rsidRDefault="00C8520A" w:rsidP="00737170">
      <w:pPr>
        <w:pStyle w:val="Headingb"/>
      </w:pPr>
    </w:p>
    <w:bookmarkEnd w:id="5"/>
    <w:p w14:paraId="10F4AB29" w14:textId="77777777" w:rsidR="00C8520A" w:rsidRDefault="00C8520A" w:rsidP="004B39E2">
      <w:pPr>
        <w:rPr>
          <w:b/>
          <w:lang w:eastAsia="ja-JP"/>
        </w:rPr>
      </w:pPr>
    </w:p>
    <w:p w14:paraId="1556FBDE" w14:textId="77777777" w:rsidR="00C8520A" w:rsidRDefault="00C8520A" w:rsidP="004B39E2">
      <w:pPr>
        <w:rPr>
          <w:b/>
          <w:lang w:eastAsia="ja-JP"/>
        </w:rPr>
      </w:pPr>
    </w:p>
    <w:p w14:paraId="4509416D" w14:textId="77777777" w:rsidR="00C8520A" w:rsidRDefault="00C8520A" w:rsidP="004B39E2">
      <w:pPr>
        <w:rPr>
          <w:b/>
          <w:lang w:eastAsia="ja-JP"/>
        </w:rPr>
      </w:pPr>
    </w:p>
    <w:p w14:paraId="0F1FBAE8" w14:textId="77777777" w:rsidR="00C8520A" w:rsidRDefault="00C8520A" w:rsidP="004B39E2">
      <w:pPr>
        <w:rPr>
          <w:b/>
          <w:lang w:eastAsia="ja-JP"/>
        </w:rPr>
      </w:pPr>
    </w:p>
    <w:p w14:paraId="4F52149F" w14:textId="77777777" w:rsidR="00C8520A" w:rsidRDefault="00C8520A" w:rsidP="004B39E2">
      <w:pPr>
        <w:rPr>
          <w:b/>
          <w:lang w:eastAsia="ja-JP"/>
        </w:rPr>
      </w:pPr>
    </w:p>
    <w:p w14:paraId="1AEDF666" w14:textId="77777777" w:rsidR="00C8520A" w:rsidRDefault="00C8520A" w:rsidP="004B39E2">
      <w:pPr>
        <w:rPr>
          <w:b/>
          <w:lang w:eastAsia="ja-JP"/>
        </w:rPr>
      </w:pPr>
    </w:p>
    <w:p w14:paraId="36126A57" w14:textId="77777777" w:rsidR="00C8520A" w:rsidRDefault="00C8520A" w:rsidP="004B39E2">
      <w:pPr>
        <w:rPr>
          <w:b/>
          <w:lang w:eastAsia="ja-JP"/>
        </w:rPr>
      </w:pPr>
    </w:p>
    <w:p w14:paraId="7B8669C9" w14:textId="77777777" w:rsidR="00C8520A" w:rsidRDefault="00C8520A" w:rsidP="004B39E2">
      <w:pPr>
        <w:rPr>
          <w:b/>
          <w:lang w:eastAsia="ja-JP"/>
        </w:rPr>
      </w:pPr>
    </w:p>
    <w:p w14:paraId="6E955095" w14:textId="77777777" w:rsidR="00C8520A" w:rsidRDefault="00C8520A" w:rsidP="004B39E2">
      <w:pPr>
        <w:rPr>
          <w:b/>
          <w:lang w:eastAsia="ja-JP"/>
        </w:rPr>
      </w:pPr>
    </w:p>
    <w:p w14:paraId="71415B0A" w14:textId="77777777" w:rsidR="00C8520A" w:rsidRDefault="00C8520A" w:rsidP="004B39E2">
      <w:pPr>
        <w:rPr>
          <w:b/>
          <w:lang w:eastAsia="ja-JP"/>
        </w:rPr>
      </w:pPr>
    </w:p>
    <w:p w14:paraId="734E72A9" w14:textId="77777777" w:rsidR="00C8520A" w:rsidRDefault="00C8520A" w:rsidP="004B39E2">
      <w:pPr>
        <w:rPr>
          <w:b/>
          <w:lang w:eastAsia="ja-JP"/>
        </w:rPr>
      </w:pPr>
    </w:p>
    <w:p w14:paraId="2391AA1E" w14:textId="77777777" w:rsidR="00C8520A" w:rsidRDefault="00C8520A" w:rsidP="004B39E2">
      <w:pPr>
        <w:rPr>
          <w:b/>
          <w:lang w:eastAsia="ja-JP"/>
        </w:rPr>
      </w:pPr>
    </w:p>
    <w:p w14:paraId="263809F5" w14:textId="77777777" w:rsidR="00C8520A" w:rsidRDefault="00C8520A" w:rsidP="004B39E2">
      <w:pPr>
        <w:rPr>
          <w:b/>
          <w:lang w:eastAsia="ja-JP"/>
        </w:rPr>
      </w:pPr>
    </w:p>
    <w:p w14:paraId="4EE2B34D" w14:textId="77777777" w:rsidR="00C8520A" w:rsidRDefault="00C8520A" w:rsidP="004B39E2">
      <w:pPr>
        <w:rPr>
          <w:b/>
          <w:lang w:eastAsia="ja-JP"/>
        </w:rPr>
      </w:pPr>
    </w:p>
    <w:p w14:paraId="341FBFEE" w14:textId="1DCB0451" w:rsidR="00EA03E5" w:rsidRPr="00EA03E5" w:rsidRDefault="00EA03E5" w:rsidP="00EA03E5">
      <w:pPr>
        <w:spacing w:before="0"/>
        <w:jc w:val="center"/>
        <w:rPr>
          <w:rFonts w:ascii="Arial" w:hAnsi="Arial" w:cs="Arial"/>
          <w:b/>
          <w:bCs/>
          <w:sz w:val="36"/>
        </w:rPr>
      </w:pPr>
      <w:r w:rsidRPr="00EA03E5">
        <w:rPr>
          <w:rFonts w:ascii="Arial" w:hAnsi="Arial" w:cs="Arial"/>
          <w:b/>
          <w:bCs/>
          <w:sz w:val="36"/>
        </w:rPr>
        <w:t>Protection Assurance for Digital Currencies</w:t>
      </w:r>
      <w:r w:rsidR="003173B3">
        <w:rPr>
          <w:rFonts w:ascii="Arial" w:hAnsi="Arial" w:cs="Arial"/>
          <w:b/>
          <w:bCs/>
          <w:sz w:val="36"/>
        </w:rPr>
        <w:t>:</w:t>
      </w:r>
    </w:p>
    <w:p w14:paraId="6A056CC2" w14:textId="4112DEFC" w:rsidR="00696548" w:rsidRPr="003173B3" w:rsidRDefault="00EA03E5" w:rsidP="00EA03E5">
      <w:pPr>
        <w:spacing w:before="0"/>
        <w:jc w:val="center"/>
        <w:rPr>
          <w:szCs w:val="24"/>
          <w:lang w:eastAsia="ja-JP"/>
        </w:rPr>
      </w:pPr>
      <w:r w:rsidRPr="003173B3">
        <w:rPr>
          <w:rFonts w:ascii="Arial" w:hAnsi="Arial" w:cs="Arial"/>
          <w:sz w:val="36"/>
        </w:rPr>
        <w:t>Method for Achieving the Required Security Assurance Level for Protecting Digital Currency including Digital Fiat Currency with High Confidence</w:t>
      </w:r>
      <w:r w:rsidR="00696548" w:rsidRPr="003173B3">
        <w:rPr>
          <w:szCs w:val="24"/>
          <w:lang w:eastAsia="ja-JP"/>
        </w:rPr>
        <w:br w:type="page"/>
      </w:r>
    </w:p>
    <w:p w14:paraId="6D2A3BDF" w14:textId="77777777" w:rsidR="00C8520A" w:rsidRPr="00A874B3" w:rsidRDefault="00742F32" w:rsidP="004B39E2">
      <w:pPr>
        <w:rPr>
          <w:b/>
          <w:szCs w:val="24"/>
          <w:lang w:eastAsia="ja-JP"/>
        </w:rPr>
      </w:pPr>
      <w:r w:rsidRPr="00A874B3">
        <w:rPr>
          <w:b/>
          <w:szCs w:val="24"/>
          <w:lang w:eastAsia="ja-JP"/>
        </w:rPr>
        <w:lastRenderedPageBreak/>
        <w:t>A</w:t>
      </w:r>
      <w:r w:rsidR="00C8520A" w:rsidRPr="00A874B3">
        <w:rPr>
          <w:b/>
          <w:szCs w:val="24"/>
          <w:lang w:eastAsia="ja-JP"/>
        </w:rPr>
        <w:t>bout this Report</w:t>
      </w:r>
    </w:p>
    <w:p w14:paraId="0847BB59" w14:textId="339F7159" w:rsidR="00F87042" w:rsidRDefault="00C8520A" w:rsidP="003173B3">
      <w:pPr>
        <w:jc w:val="both"/>
        <w:rPr>
          <w:lang w:bidi="ar-DZ"/>
        </w:rPr>
      </w:pPr>
      <w:r w:rsidRPr="00A30CD3">
        <w:rPr>
          <w:szCs w:val="24"/>
          <w:lang w:bidi="ar-DZ"/>
        </w:rPr>
        <w:t xml:space="preserve">This </w:t>
      </w:r>
      <w:r w:rsidR="003173B3">
        <w:rPr>
          <w:szCs w:val="24"/>
          <w:lang w:bidi="ar-DZ"/>
        </w:rPr>
        <w:t>t</w:t>
      </w:r>
      <w:r w:rsidRPr="00A30CD3">
        <w:rPr>
          <w:szCs w:val="24"/>
          <w:lang w:bidi="ar-DZ"/>
        </w:rPr>
        <w:t xml:space="preserve">echnical </w:t>
      </w:r>
      <w:r w:rsidR="0055465A">
        <w:rPr>
          <w:szCs w:val="24"/>
          <w:lang w:bidi="ar-DZ"/>
        </w:rPr>
        <w:t>r</w:t>
      </w:r>
      <w:r w:rsidRPr="00A30CD3">
        <w:rPr>
          <w:szCs w:val="24"/>
          <w:lang w:bidi="ar-DZ"/>
        </w:rPr>
        <w:t xml:space="preserve">eport was written by </w:t>
      </w:r>
      <w:r w:rsidR="00EA03E5">
        <w:rPr>
          <w:szCs w:val="24"/>
          <w:lang w:bidi="ar-DZ"/>
        </w:rPr>
        <w:t>Jacques Francoeur</w:t>
      </w:r>
      <w:r w:rsidR="00D30DDA">
        <w:rPr>
          <w:szCs w:val="24"/>
          <w:lang w:bidi="ar-DZ"/>
        </w:rPr>
        <w:t xml:space="preserve">, </w:t>
      </w:r>
      <w:r w:rsidR="00F87042">
        <w:t xml:space="preserve">from the </w:t>
      </w:r>
      <w:r w:rsidR="00EA03E5">
        <w:t>Security</w:t>
      </w:r>
      <w:r w:rsidR="00685A1D">
        <w:t xml:space="preserve"> W</w:t>
      </w:r>
      <w:r w:rsidR="00F87042">
        <w:t>orking group of the ITU</w:t>
      </w:r>
      <w:r w:rsidR="00685A1D">
        <w:t>-T</w:t>
      </w:r>
      <w:r w:rsidR="00F87042">
        <w:t xml:space="preserve"> Focus Group Digital </w:t>
      </w:r>
      <w:r w:rsidR="00685A1D">
        <w:t>Currency including Digital Fiat Currency</w:t>
      </w:r>
      <w:r w:rsidR="00F87042">
        <w:t>.</w:t>
      </w:r>
    </w:p>
    <w:p w14:paraId="42EAF702" w14:textId="0C7F18B8" w:rsidR="00F87042" w:rsidRPr="009920AD" w:rsidRDefault="00F87042" w:rsidP="003173B3">
      <w:pPr>
        <w:jc w:val="both"/>
      </w:pPr>
      <w:r w:rsidRPr="007A777F">
        <w:rPr>
          <w:lang w:bidi="ar-DZ"/>
        </w:rPr>
        <w:t>T</w:t>
      </w:r>
      <w:r>
        <w:rPr>
          <w:lang w:bidi="ar-DZ"/>
        </w:rPr>
        <w:t>he</w:t>
      </w:r>
      <w:r w:rsidRPr="007A777F">
        <w:rPr>
          <w:lang w:bidi="ar-DZ"/>
        </w:rPr>
        <w:t xml:space="preserve"> </w:t>
      </w:r>
      <w:r>
        <w:rPr>
          <w:lang w:bidi="ar-DZ"/>
        </w:rPr>
        <w:t>author acknowledge</w:t>
      </w:r>
      <w:r w:rsidR="00685A1D">
        <w:rPr>
          <w:lang w:bidi="ar-DZ"/>
        </w:rPr>
        <w:t>s</w:t>
      </w:r>
      <w:r>
        <w:rPr>
          <w:lang w:bidi="ar-DZ"/>
        </w:rPr>
        <w:t xml:space="preserve"> the contributions</w:t>
      </w:r>
      <w:r w:rsidR="003173B3">
        <w:rPr>
          <w:lang w:bidi="ar-DZ"/>
        </w:rPr>
        <w:t xml:space="preserve"> and feedback</w:t>
      </w:r>
      <w:r>
        <w:rPr>
          <w:lang w:bidi="ar-DZ"/>
        </w:rPr>
        <w:t xml:space="preserve"> received from </w:t>
      </w:r>
      <w:r w:rsidR="003173B3">
        <w:rPr>
          <w:lang w:bidi="ar-DZ"/>
        </w:rPr>
        <w:t>members</w:t>
      </w:r>
      <w:r w:rsidR="00325ABC">
        <w:rPr>
          <w:lang w:bidi="ar-DZ"/>
        </w:rPr>
        <w:t xml:space="preserve"> of </w:t>
      </w:r>
      <w:r>
        <w:rPr>
          <w:lang w:bidi="ar-DZ"/>
        </w:rPr>
        <w:t>the</w:t>
      </w:r>
      <w:r w:rsidR="00EA03E5">
        <w:t xml:space="preserve"> Security </w:t>
      </w:r>
      <w:r>
        <w:t>working group</w:t>
      </w:r>
      <w:r w:rsidR="003173B3">
        <w:t>.</w:t>
      </w:r>
    </w:p>
    <w:p w14:paraId="4B12F1F9" w14:textId="77777777" w:rsidR="00C8520A" w:rsidRPr="00685A1D" w:rsidRDefault="00F87042" w:rsidP="00685A1D">
      <w:pPr>
        <w:jc w:val="both"/>
        <w:rPr>
          <w:lang w:bidi="ar-DZ"/>
        </w:rPr>
      </w:pPr>
      <w:r w:rsidRPr="00AE11F2">
        <w:rPr>
          <w:lang w:bidi="ar-DZ"/>
        </w:rPr>
        <w:t xml:space="preserve">If you would like to provide any additional information, please contact Vijay Mauree at </w:t>
      </w:r>
      <w:hyperlink r:id="rId15" w:history="1">
        <w:r w:rsidR="00685A1D" w:rsidRPr="000D20C0">
          <w:rPr>
            <w:rStyle w:val="Hyperlink"/>
            <w:szCs w:val="24"/>
            <w:lang w:bidi="ar-DZ"/>
          </w:rPr>
          <w:t>tsbfgdfc@itu.int</w:t>
        </w:r>
      </w:hyperlink>
      <w:r w:rsidR="00685A1D">
        <w:rPr>
          <w:rStyle w:val="Hyperlink"/>
          <w:szCs w:val="24"/>
          <w:lang w:bidi="ar-DZ"/>
        </w:rPr>
        <w:t xml:space="preserve"> </w:t>
      </w:r>
    </w:p>
    <w:p w14:paraId="30D9CD07" w14:textId="77777777" w:rsidR="00C8520A" w:rsidRDefault="00C8520A" w:rsidP="00B847E7">
      <w:pPr>
        <w:pStyle w:val="Headingb"/>
        <w:rPr>
          <w:highlight w:val="yellow"/>
        </w:rPr>
      </w:pPr>
    </w:p>
    <w:p w14:paraId="2E9B4AC7" w14:textId="77777777" w:rsidR="00C8520A" w:rsidRDefault="00C8520A" w:rsidP="00B847E7">
      <w:pPr>
        <w:pStyle w:val="Headingb"/>
        <w:rPr>
          <w:highlight w:val="yellow"/>
        </w:rPr>
      </w:pPr>
    </w:p>
    <w:p w14:paraId="169087D7" w14:textId="77777777" w:rsidR="00C8520A" w:rsidRDefault="00C8520A" w:rsidP="00B847E7">
      <w:pPr>
        <w:pStyle w:val="Headingb"/>
        <w:rPr>
          <w:highlight w:val="yellow"/>
        </w:rPr>
      </w:pPr>
    </w:p>
    <w:p w14:paraId="41B80AE3" w14:textId="77777777" w:rsidR="00C8520A" w:rsidRDefault="00C8520A" w:rsidP="00B847E7">
      <w:pPr>
        <w:pStyle w:val="Headingb"/>
        <w:rPr>
          <w:highlight w:val="yellow"/>
        </w:rPr>
      </w:pPr>
    </w:p>
    <w:p w14:paraId="4C8680C1" w14:textId="77777777" w:rsidR="00C8520A" w:rsidRDefault="00C8520A" w:rsidP="00B847E7">
      <w:pPr>
        <w:pStyle w:val="Headingb"/>
        <w:rPr>
          <w:highlight w:val="yellow"/>
        </w:rPr>
      </w:pPr>
    </w:p>
    <w:p w14:paraId="5F06413B" w14:textId="77777777" w:rsidR="00C8520A" w:rsidRDefault="00C8520A" w:rsidP="00B847E7">
      <w:pPr>
        <w:pStyle w:val="Headingb"/>
        <w:rPr>
          <w:highlight w:val="yellow"/>
        </w:rPr>
      </w:pPr>
    </w:p>
    <w:p w14:paraId="0E015B77" w14:textId="77777777" w:rsidR="00C8520A" w:rsidRDefault="00C8520A" w:rsidP="00B847E7">
      <w:pPr>
        <w:pStyle w:val="Headingb"/>
        <w:rPr>
          <w:highlight w:val="yellow"/>
        </w:rPr>
      </w:pPr>
    </w:p>
    <w:p w14:paraId="651E8E57" w14:textId="77777777" w:rsidR="00C8520A" w:rsidRDefault="00C8520A" w:rsidP="00B847E7">
      <w:pPr>
        <w:pStyle w:val="Headingb"/>
        <w:rPr>
          <w:highlight w:val="yellow"/>
        </w:rPr>
      </w:pPr>
    </w:p>
    <w:p w14:paraId="60477C97" w14:textId="77777777" w:rsidR="00C8520A" w:rsidRDefault="00C8520A" w:rsidP="00B847E7">
      <w:pPr>
        <w:pStyle w:val="Headingb"/>
        <w:rPr>
          <w:highlight w:val="yellow"/>
        </w:rPr>
      </w:pPr>
    </w:p>
    <w:p w14:paraId="318396A8" w14:textId="77777777" w:rsidR="00004356" w:rsidRDefault="00004356" w:rsidP="00004356">
      <w:pPr>
        <w:rPr>
          <w:highlight w:val="yellow"/>
          <w:lang w:eastAsia="ja-JP"/>
        </w:rPr>
      </w:pPr>
    </w:p>
    <w:p w14:paraId="203770CB" w14:textId="77777777" w:rsidR="00004356" w:rsidRDefault="00004356" w:rsidP="00004356">
      <w:pPr>
        <w:rPr>
          <w:highlight w:val="yellow"/>
          <w:lang w:eastAsia="ja-JP"/>
        </w:rPr>
      </w:pPr>
    </w:p>
    <w:p w14:paraId="09EED359" w14:textId="77777777" w:rsidR="00004356" w:rsidRDefault="00004356" w:rsidP="00004356">
      <w:pPr>
        <w:rPr>
          <w:highlight w:val="yellow"/>
          <w:lang w:eastAsia="ja-JP"/>
        </w:rPr>
      </w:pPr>
    </w:p>
    <w:p w14:paraId="2A2EA845" w14:textId="77777777" w:rsidR="00004356" w:rsidRDefault="00004356" w:rsidP="00004356">
      <w:pPr>
        <w:rPr>
          <w:highlight w:val="yellow"/>
          <w:lang w:eastAsia="ja-JP"/>
        </w:rPr>
      </w:pPr>
    </w:p>
    <w:p w14:paraId="5AFA159D" w14:textId="77777777" w:rsidR="00004356" w:rsidRDefault="00004356" w:rsidP="00004356">
      <w:pPr>
        <w:rPr>
          <w:highlight w:val="yellow"/>
          <w:lang w:eastAsia="ja-JP"/>
        </w:rPr>
      </w:pPr>
    </w:p>
    <w:p w14:paraId="471C0ADE" w14:textId="77777777" w:rsidR="00004356" w:rsidRDefault="00004356" w:rsidP="00004356">
      <w:pPr>
        <w:rPr>
          <w:highlight w:val="yellow"/>
          <w:lang w:eastAsia="ja-JP"/>
        </w:rPr>
      </w:pPr>
    </w:p>
    <w:p w14:paraId="19D9B088" w14:textId="77777777" w:rsidR="00004356" w:rsidRDefault="00004356" w:rsidP="00004356">
      <w:pPr>
        <w:rPr>
          <w:highlight w:val="yellow"/>
          <w:lang w:eastAsia="ja-JP"/>
        </w:rPr>
      </w:pPr>
    </w:p>
    <w:p w14:paraId="4F5608A1" w14:textId="77777777" w:rsidR="00004356" w:rsidRDefault="00004356" w:rsidP="00004356">
      <w:pPr>
        <w:rPr>
          <w:highlight w:val="yellow"/>
          <w:lang w:eastAsia="ja-JP"/>
        </w:rPr>
      </w:pPr>
    </w:p>
    <w:p w14:paraId="3295DD4F" w14:textId="77777777" w:rsidR="00004356" w:rsidRDefault="00004356" w:rsidP="00004356">
      <w:pPr>
        <w:rPr>
          <w:highlight w:val="yellow"/>
          <w:lang w:eastAsia="ja-JP"/>
        </w:rPr>
      </w:pPr>
    </w:p>
    <w:p w14:paraId="3A57EADA" w14:textId="77777777" w:rsidR="00004356" w:rsidRDefault="00004356" w:rsidP="00004356">
      <w:pPr>
        <w:rPr>
          <w:highlight w:val="yellow"/>
          <w:lang w:eastAsia="ja-JP"/>
        </w:rPr>
      </w:pPr>
    </w:p>
    <w:p w14:paraId="59D98E27" w14:textId="77777777" w:rsidR="00004356" w:rsidRDefault="00004356" w:rsidP="00004356">
      <w:pPr>
        <w:rPr>
          <w:highlight w:val="yellow"/>
          <w:lang w:eastAsia="ja-JP"/>
        </w:rPr>
      </w:pPr>
    </w:p>
    <w:p w14:paraId="0A2F49A9" w14:textId="77777777" w:rsidR="00004356" w:rsidRDefault="00004356" w:rsidP="00004356">
      <w:pPr>
        <w:rPr>
          <w:highlight w:val="yellow"/>
          <w:lang w:eastAsia="ja-JP"/>
        </w:rPr>
      </w:pPr>
    </w:p>
    <w:p w14:paraId="5329838D" w14:textId="77777777" w:rsidR="00004356" w:rsidRDefault="00004356" w:rsidP="00004356">
      <w:pPr>
        <w:rPr>
          <w:highlight w:val="yellow"/>
          <w:lang w:eastAsia="ja-JP"/>
        </w:rPr>
      </w:pPr>
    </w:p>
    <w:p w14:paraId="7AA8AA09" w14:textId="77777777" w:rsidR="00004356" w:rsidRDefault="00004356" w:rsidP="00004356">
      <w:pPr>
        <w:rPr>
          <w:highlight w:val="yellow"/>
          <w:lang w:eastAsia="ja-JP"/>
        </w:rPr>
      </w:pPr>
    </w:p>
    <w:p w14:paraId="3390181A" w14:textId="77777777" w:rsidR="00F90285" w:rsidRDefault="00F90285">
      <w:pPr>
        <w:spacing w:before="0"/>
        <w:rPr>
          <w:b/>
          <w:highlight w:val="yellow"/>
          <w:lang w:eastAsia="ja-JP"/>
        </w:rPr>
      </w:pPr>
      <w:r>
        <w:rPr>
          <w:highlight w:val="yellow"/>
        </w:rPr>
        <w:br w:type="page"/>
      </w:r>
    </w:p>
    <w:p w14:paraId="39F96899" w14:textId="77777777" w:rsidR="00004356" w:rsidRPr="00053924" w:rsidRDefault="00004356" w:rsidP="000E17B9">
      <w:pPr>
        <w:pStyle w:val="Headingb"/>
        <w:rPr>
          <w:highlight w:val="yellow"/>
        </w:rPr>
      </w:pPr>
    </w:p>
    <w:p w14:paraId="302E968A" w14:textId="77777777" w:rsidR="009635CB" w:rsidRPr="001E1939" w:rsidRDefault="00685A1D" w:rsidP="00FF7C22">
      <w:pPr>
        <w:keepNext/>
        <w:jc w:val="center"/>
        <w:rPr>
          <w:b/>
          <w:bCs/>
        </w:rPr>
      </w:pPr>
      <w:r>
        <w:rPr>
          <w:b/>
          <w:bCs/>
        </w:rPr>
        <w:t>Table of C</w:t>
      </w:r>
      <w:r w:rsidR="00FF7C22">
        <w:rPr>
          <w:b/>
          <w:bCs/>
        </w:rPr>
        <w:t>ontents</w:t>
      </w:r>
    </w:p>
    <w:sdt>
      <w:sdtPr>
        <w:rPr>
          <w:rFonts w:ascii="Times New Roman" w:hAnsi="Times New Roman" w:cs="Times New Roman"/>
          <w:b w:val="0"/>
          <w:bCs w:val="0"/>
          <w:sz w:val="24"/>
          <w:szCs w:val="20"/>
        </w:rPr>
        <w:id w:val="-736087698"/>
        <w:docPartObj>
          <w:docPartGallery w:val="Table of Contents"/>
          <w:docPartUnique/>
        </w:docPartObj>
      </w:sdtPr>
      <w:sdtEndPr>
        <w:rPr>
          <w:rFonts w:ascii="Times New Roman Bold" w:hAnsi="Times New Roman Bold" w:cs="Times New Roman Bold"/>
          <w:b/>
          <w:bCs/>
          <w:noProof/>
          <w:sz w:val="20"/>
          <w:szCs w:val="24"/>
        </w:rPr>
      </w:sdtEndPr>
      <w:sdtContent>
        <w:p w14:paraId="3050AB4A" w14:textId="77777777" w:rsidR="00EA03E5" w:rsidRPr="00986F0B" w:rsidRDefault="003826A4" w:rsidP="00EA03E5">
          <w:pPr>
            <w:pStyle w:val="TOC1"/>
            <w:rPr>
              <w:rFonts w:asciiTheme="minorHAnsi" w:eastAsiaTheme="minorEastAsia" w:hAnsiTheme="minorHAnsi" w:cstheme="minorBidi"/>
              <w:b w:val="0"/>
              <w:noProof/>
              <w:sz w:val="24"/>
            </w:rPr>
          </w:pPr>
          <w:hyperlink r:id="rId16" w:anchor="_Toc9609160" w:history="1">
            <w:r w:rsidR="00EA03E5" w:rsidRPr="00986F0B">
              <w:rPr>
                <w:rStyle w:val="Hyperlink"/>
                <w:rFonts w:cs="Times New Roman"/>
                <w:noProof/>
                <w:sz w:val="24"/>
              </w:rPr>
              <w:t>1</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Executive Summary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4</w:t>
            </w:r>
            <w:r w:rsidR="00EA03E5" w:rsidRPr="00986F0B">
              <w:rPr>
                <w:rStyle w:val="Hyperlink"/>
                <w:noProof/>
                <w:webHidden/>
                <w:sz w:val="24"/>
              </w:rPr>
              <w:fldChar w:fldCharType="end"/>
            </w:r>
          </w:hyperlink>
        </w:p>
        <w:p w14:paraId="21C8151E" w14:textId="77777777" w:rsidR="00EA03E5" w:rsidRPr="00986F0B" w:rsidRDefault="003826A4" w:rsidP="00EA03E5">
          <w:pPr>
            <w:pStyle w:val="TOC1"/>
            <w:rPr>
              <w:rFonts w:asciiTheme="minorHAnsi" w:eastAsiaTheme="minorEastAsia" w:hAnsiTheme="minorHAnsi" w:cstheme="minorBidi"/>
              <w:b w:val="0"/>
              <w:noProof/>
              <w:sz w:val="24"/>
            </w:rPr>
          </w:pPr>
          <w:hyperlink r:id="rId17" w:anchor="_Toc9609161" w:history="1">
            <w:r w:rsidR="00EA03E5" w:rsidRPr="00986F0B">
              <w:rPr>
                <w:rStyle w:val="Hyperlink"/>
                <w:rFonts w:cs="Times New Roman"/>
                <w:noProof/>
                <w:sz w:val="24"/>
              </w:rPr>
              <w:t>2</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Overview</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13DEF492" w14:textId="77777777" w:rsidR="00EA03E5" w:rsidRPr="00986F0B" w:rsidRDefault="003826A4" w:rsidP="00EA03E5">
          <w:pPr>
            <w:pStyle w:val="TOC2"/>
            <w:rPr>
              <w:rFonts w:asciiTheme="minorHAnsi" w:eastAsiaTheme="minorEastAsia" w:hAnsiTheme="minorHAnsi" w:cstheme="minorBidi"/>
              <w:noProof/>
              <w:sz w:val="24"/>
            </w:rPr>
          </w:pPr>
          <w:hyperlink r:id="rId18" w:anchor="_Toc9609162" w:history="1">
            <w:r w:rsidR="00EA03E5" w:rsidRPr="00986F0B">
              <w:rPr>
                <w:rStyle w:val="Hyperlink"/>
                <w:noProof/>
                <w:sz w:val="24"/>
              </w:rPr>
              <w:t>2.1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Scope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6B594241" w14:textId="77777777" w:rsidR="00EA03E5" w:rsidRPr="00986F0B" w:rsidRDefault="003826A4" w:rsidP="00EA03E5">
          <w:pPr>
            <w:pStyle w:val="TOC2"/>
            <w:rPr>
              <w:rFonts w:asciiTheme="minorHAnsi" w:eastAsiaTheme="minorEastAsia" w:hAnsiTheme="minorHAnsi" w:cstheme="minorBidi"/>
              <w:noProof/>
              <w:sz w:val="24"/>
            </w:rPr>
          </w:pPr>
          <w:hyperlink r:id="rId19" w:anchor="_Toc9609163" w:history="1">
            <w:r w:rsidR="00EA03E5" w:rsidRPr="00986F0B">
              <w:rPr>
                <w:rStyle w:val="Hyperlink"/>
                <w:noProof/>
                <w:sz w:val="24"/>
              </w:rPr>
              <w:t>2.2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Major objectives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5A4FA0D0" w14:textId="77777777" w:rsidR="00EA03E5" w:rsidRPr="00986F0B" w:rsidRDefault="003826A4" w:rsidP="00EA03E5">
          <w:pPr>
            <w:pStyle w:val="TOC1"/>
            <w:rPr>
              <w:rFonts w:asciiTheme="minorHAnsi" w:eastAsiaTheme="minorEastAsia" w:hAnsiTheme="minorHAnsi" w:cstheme="minorBidi"/>
              <w:b w:val="0"/>
              <w:noProof/>
              <w:sz w:val="24"/>
            </w:rPr>
          </w:pPr>
          <w:hyperlink r:id="rId20" w:anchor="_Toc9609164" w:history="1">
            <w:r w:rsidR="00EA03E5" w:rsidRPr="00986F0B">
              <w:rPr>
                <w:rStyle w:val="Hyperlink"/>
                <w:rFonts w:cs="Times New Roman"/>
                <w:noProof/>
                <w:sz w:val="24"/>
              </w:rPr>
              <w:t>3</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The Unified Security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7</w:t>
            </w:r>
            <w:r w:rsidR="00EA03E5" w:rsidRPr="00986F0B">
              <w:rPr>
                <w:rStyle w:val="Hyperlink"/>
                <w:noProof/>
                <w:webHidden/>
                <w:sz w:val="24"/>
              </w:rPr>
              <w:fldChar w:fldCharType="end"/>
            </w:r>
          </w:hyperlink>
        </w:p>
        <w:p w14:paraId="3BD9264D" w14:textId="77777777" w:rsidR="00EA03E5" w:rsidRPr="00986F0B" w:rsidRDefault="003826A4" w:rsidP="00EA03E5">
          <w:pPr>
            <w:pStyle w:val="TOC2"/>
            <w:rPr>
              <w:rFonts w:asciiTheme="minorHAnsi" w:eastAsiaTheme="minorEastAsia" w:hAnsiTheme="minorHAnsi" w:cstheme="minorBidi"/>
              <w:noProof/>
              <w:sz w:val="24"/>
            </w:rPr>
          </w:pPr>
          <w:hyperlink r:id="rId21" w:anchor="_Toc9609165" w:history="1">
            <w:r w:rsidR="00EA03E5" w:rsidRPr="00986F0B">
              <w:rPr>
                <w:rStyle w:val="Hyperlink"/>
                <w:noProof/>
                <w:sz w:val="24"/>
              </w:rPr>
              <w:t>3.1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Target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9</w:t>
            </w:r>
            <w:r w:rsidR="00EA03E5" w:rsidRPr="00986F0B">
              <w:rPr>
                <w:rStyle w:val="Hyperlink"/>
                <w:noProof/>
                <w:webHidden/>
                <w:sz w:val="24"/>
              </w:rPr>
              <w:fldChar w:fldCharType="end"/>
            </w:r>
          </w:hyperlink>
        </w:p>
        <w:p w14:paraId="149F308A" w14:textId="77777777" w:rsidR="00EA03E5" w:rsidRPr="00986F0B" w:rsidRDefault="003826A4" w:rsidP="00EA03E5">
          <w:pPr>
            <w:pStyle w:val="TOC2"/>
            <w:rPr>
              <w:rFonts w:asciiTheme="minorHAnsi" w:eastAsiaTheme="minorEastAsia" w:hAnsiTheme="minorHAnsi" w:cstheme="minorBidi"/>
              <w:noProof/>
              <w:sz w:val="24"/>
            </w:rPr>
          </w:pPr>
          <w:hyperlink r:id="rId22" w:anchor="_Toc9609166" w:history="1">
            <w:r w:rsidR="00EA03E5" w:rsidRPr="00986F0B">
              <w:rPr>
                <w:rStyle w:val="Hyperlink"/>
                <w:noProof/>
                <w:sz w:val="24"/>
              </w:rPr>
              <w:t>3.2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Threat-to-Target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10</w:t>
            </w:r>
            <w:r w:rsidR="00EA03E5" w:rsidRPr="00986F0B">
              <w:rPr>
                <w:rStyle w:val="Hyperlink"/>
                <w:noProof/>
                <w:webHidden/>
                <w:sz w:val="24"/>
              </w:rPr>
              <w:fldChar w:fldCharType="end"/>
            </w:r>
          </w:hyperlink>
        </w:p>
        <w:p w14:paraId="3A15EC6F" w14:textId="77777777" w:rsidR="00EA03E5" w:rsidRPr="00986F0B" w:rsidRDefault="003826A4" w:rsidP="00EA03E5">
          <w:pPr>
            <w:pStyle w:val="TOC2"/>
            <w:rPr>
              <w:rFonts w:asciiTheme="minorHAnsi" w:eastAsiaTheme="minorEastAsia" w:hAnsiTheme="minorHAnsi" w:cstheme="minorBidi"/>
              <w:noProof/>
              <w:sz w:val="24"/>
            </w:rPr>
          </w:pPr>
          <w:hyperlink r:id="rId23" w:anchor="_Toc9609167" w:history="1">
            <w:r w:rsidR="00EA03E5" w:rsidRPr="00986F0B">
              <w:rPr>
                <w:rStyle w:val="Hyperlink"/>
                <w:noProof/>
                <w:sz w:val="24"/>
              </w:rPr>
              <w:t>3.3</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Impact-to-Target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11</w:t>
            </w:r>
            <w:r w:rsidR="00EA03E5" w:rsidRPr="00986F0B">
              <w:rPr>
                <w:rStyle w:val="Hyperlink"/>
                <w:noProof/>
                <w:webHidden/>
                <w:sz w:val="24"/>
              </w:rPr>
              <w:fldChar w:fldCharType="end"/>
            </w:r>
          </w:hyperlink>
        </w:p>
        <w:p w14:paraId="761C310B" w14:textId="77777777" w:rsidR="00EA03E5" w:rsidRPr="00986F0B" w:rsidRDefault="003826A4" w:rsidP="00EA03E5">
          <w:pPr>
            <w:pStyle w:val="TOC2"/>
            <w:rPr>
              <w:rFonts w:asciiTheme="minorHAnsi" w:eastAsiaTheme="minorEastAsia" w:hAnsiTheme="minorHAnsi" w:cstheme="minorBidi"/>
              <w:noProof/>
              <w:sz w:val="24"/>
            </w:rPr>
          </w:pPr>
          <w:hyperlink r:id="rId24" w:anchor="_Toc9609168" w:history="1">
            <w:r w:rsidR="00EA03E5" w:rsidRPr="00986F0B">
              <w:rPr>
                <w:rStyle w:val="Hyperlink"/>
                <w:noProof/>
                <w:sz w:val="24"/>
              </w:rPr>
              <w:t>3.4</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Security-to-Target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12</w:t>
            </w:r>
            <w:r w:rsidR="00EA03E5" w:rsidRPr="00986F0B">
              <w:rPr>
                <w:rStyle w:val="Hyperlink"/>
                <w:noProof/>
                <w:webHidden/>
                <w:sz w:val="24"/>
              </w:rPr>
              <w:fldChar w:fldCharType="end"/>
            </w:r>
          </w:hyperlink>
        </w:p>
        <w:p w14:paraId="32926137" w14:textId="77777777" w:rsidR="00EA03E5" w:rsidRPr="00986F0B" w:rsidRDefault="003826A4" w:rsidP="00EA03E5">
          <w:pPr>
            <w:pStyle w:val="TOC2"/>
            <w:rPr>
              <w:rFonts w:asciiTheme="minorHAnsi" w:eastAsiaTheme="minorEastAsia" w:hAnsiTheme="minorHAnsi" w:cstheme="minorBidi"/>
              <w:noProof/>
              <w:sz w:val="24"/>
            </w:rPr>
          </w:pPr>
          <w:hyperlink r:id="rId25" w:anchor="_Toc9609169" w:history="1">
            <w:r w:rsidR="00EA03E5" w:rsidRPr="00986F0B">
              <w:rPr>
                <w:rStyle w:val="Hyperlink"/>
                <w:noProof/>
                <w:sz w:val="24"/>
              </w:rPr>
              <w:t>3.5</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Residual Risk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_Toc9609169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13</w:t>
            </w:r>
            <w:r w:rsidR="00EA03E5" w:rsidRPr="00986F0B">
              <w:rPr>
                <w:rStyle w:val="Hyperlink"/>
                <w:noProof/>
                <w:webHidden/>
                <w:sz w:val="24"/>
              </w:rPr>
              <w:fldChar w:fldCharType="end"/>
            </w:r>
          </w:hyperlink>
        </w:p>
        <w:p w14:paraId="34A85C50" w14:textId="77777777" w:rsidR="00EA03E5" w:rsidRPr="00986F0B" w:rsidRDefault="003826A4" w:rsidP="00EA03E5">
          <w:pPr>
            <w:pStyle w:val="TOC2"/>
            <w:rPr>
              <w:rFonts w:asciiTheme="minorHAnsi" w:eastAsiaTheme="minorEastAsia" w:hAnsiTheme="minorHAnsi" w:cstheme="minorBidi"/>
              <w:noProof/>
              <w:sz w:val="24"/>
            </w:rPr>
          </w:pPr>
          <w:hyperlink r:id="rId26" w:anchor="_Toc9609170" w:history="1">
            <w:r w:rsidR="00EA03E5" w:rsidRPr="00986F0B">
              <w:rPr>
                <w:rStyle w:val="Hyperlink"/>
                <w:noProof/>
                <w:sz w:val="24"/>
              </w:rPr>
              <w:t>3.6</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Risk Acceptance Decision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14</w:t>
            </w:r>
            <w:r w:rsidR="00EA03E5" w:rsidRPr="00986F0B">
              <w:rPr>
                <w:rStyle w:val="Hyperlink"/>
                <w:noProof/>
                <w:webHidden/>
                <w:sz w:val="24"/>
              </w:rPr>
              <w:fldChar w:fldCharType="end"/>
            </w:r>
          </w:hyperlink>
        </w:p>
        <w:p w14:paraId="39EA4107" w14:textId="77777777" w:rsidR="00EA03E5" w:rsidRPr="00986F0B" w:rsidRDefault="003826A4" w:rsidP="00EA03E5">
          <w:pPr>
            <w:pStyle w:val="TOC1"/>
            <w:rPr>
              <w:rFonts w:asciiTheme="minorHAnsi" w:eastAsiaTheme="minorEastAsia" w:hAnsiTheme="minorHAnsi" w:cstheme="minorBidi"/>
              <w:b w:val="0"/>
              <w:noProof/>
              <w:sz w:val="24"/>
            </w:rPr>
          </w:pPr>
          <w:hyperlink r:id="rId27" w:anchor="_Toc9609171" w:history="1">
            <w:r w:rsidR="00EA03E5" w:rsidRPr="00986F0B">
              <w:rPr>
                <w:rStyle w:val="Hyperlink"/>
                <w:rFonts w:cs="Times New Roman"/>
                <w:noProof/>
                <w:sz w:val="24"/>
              </w:rPr>
              <w:t>4</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Digital Currency Ecosystem Level 2 Target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6ACD8CD2" w14:textId="77777777" w:rsidR="00EA03E5" w:rsidRPr="00986F0B" w:rsidRDefault="003826A4" w:rsidP="00EA03E5">
          <w:pPr>
            <w:pStyle w:val="TOC2"/>
            <w:rPr>
              <w:rFonts w:asciiTheme="minorHAnsi" w:eastAsiaTheme="minorEastAsia" w:hAnsiTheme="minorHAnsi" w:cstheme="minorBidi"/>
              <w:noProof/>
              <w:sz w:val="24"/>
            </w:rPr>
          </w:pPr>
          <w:hyperlink r:id="rId28" w:anchor="_Toc9609172" w:history="1">
            <w:r w:rsidR="00EA03E5" w:rsidRPr="00986F0B">
              <w:rPr>
                <w:rStyle w:val="Hyperlink"/>
                <w:noProof/>
                <w:sz w:val="24"/>
              </w:rPr>
              <w:t>DCE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6AA047FA" w14:textId="77777777" w:rsidR="00EA03E5" w:rsidRPr="00986F0B" w:rsidRDefault="003826A4" w:rsidP="00EA03E5">
          <w:pPr>
            <w:pStyle w:val="TOC2"/>
            <w:rPr>
              <w:rFonts w:asciiTheme="minorHAnsi" w:eastAsiaTheme="minorEastAsia" w:hAnsiTheme="minorHAnsi" w:cstheme="minorBidi"/>
              <w:noProof/>
              <w:sz w:val="24"/>
            </w:rPr>
          </w:pPr>
          <w:hyperlink r:id="rId29" w:anchor="_Toc9609173" w:history="1">
            <w:r w:rsidR="00EA03E5" w:rsidRPr="00986F0B">
              <w:rPr>
                <w:rStyle w:val="Hyperlink"/>
                <w:noProof/>
                <w:sz w:val="24"/>
              </w:rPr>
              <w:t>4.1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1: Technology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21F62D0B" w14:textId="77777777" w:rsidR="00EA03E5" w:rsidRPr="00986F0B" w:rsidRDefault="003826A4" w:rsidP="00EA03E5">
          <w:pPr>
            <w:pStyle w:val="TOC2"/>
            <w:rPr>
              <w:rFonts w:asciiTheme="minorHAnsi" w:eastAsiaTheme="minorEastAsia" w:hAnsiTheme="minorHAnsi" w:cstheme="minorBidi"/>
              <w:noProof/>
              <w:sz w:val="24"/>
            </w:rPr>
          </w:pPr>
          <w:hyperlink r:id="rId30" w:anchor="_Toc9609174" w:history="1">
            <w:r w:rsidR="00EA03E5" w:rsidRPr="00986F0B">
              <w:rPr>
                <w:rStyle w:val="Hyperlink"/>
                <w:noProof/>
                <w:sz w:val="24"/>
              </w:rPr>
              <w:t>4.2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2: Issuance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16</w:t>
            </w:r>
            <w:r w:rsidR="00EA03E5" w:rsidRPr="00986F0B">
              <w:rPr>
                <w:rStyle w:val="Hyperlink"/>
                <w:noProof/>
                <w:webHidden/>
                <w:sz w:val="24"/>
              </w:rPr>
              <w:fldChar w:fldCharType="end"/>
            </w:r>
          </w:hyperlink>
        </w:p>
        <w:p w14:paraId="7C2AD60F" w14:textId="77777777" w:rsidR="00EA03E5" w:rsidRPr="00986F0B" w:rsidRDefault="003826A4" w:rsidP="00EA03E5">
          <w:pPr>
            <w:pStyle w:val="TOC3"/>
            <w:rPr>
              <w:rFonts w:asciiTheme="minorHAnsi" w:eastAsiaTheme="minorEastAsia" w:hAnsiTheme="minorHAnsi" w:cstheme="minorBidi"/>
              <w:iCs w:val="0"/>
              <w:noProof/>
              <w:sz w:val="24"/>
            </w:rPr>
          </w:pPr>
          <w:hyperlink r:id="rId31" w:anchor="_Toc9609175" w:history="1">
            <w:r w:rsidR="00EA03E5" w:rsidRPr="00986F0B">
              <w:rPr>
                <w:rStyle w:val="Hyperlink"/>
                <w:noProof/>
                <w:sz w:val="24"/>
              </w:rPr>
              <w:t>4.2.1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2: Centralized DC Issuance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16</w:t>
            </w:r>
            <w:r w:rsidR="00EA03E5" w:rsidRPr="00986F0B">
              <w:rPr>
                <w:rStyle w:val="Hyperlink"/>
                <w:noProof/>
                <w:webHidden/>
                <w:sz w:val="24"/>
              </w:rPr>
              <w:fldChar w:fldCharType="end"/>
            </w:r>
          </w:hyperlink>
        </w:p>
        <w:p w14:paraId="12630034" w14:textId="77777777" w:rsidR="00EA03E5" w:rsidRPr="00986F0B" w:rsidRDefault="003826A4" w:rsidP="00EA03E5">
          <w:pPr>
            <w:pStyle w:val="TOC3"/>
            <w:rPr>
              <w:rFonts w:asciiTheme="minorHAnsi" w:eastAsiaTheme="minorEastAsia" w:hAnsiTheme="minorHAnsi" w:cstheme="minorBidi"/>
              <w:iCs w:val="0"/>
              <w:noProof/>
              <w:sz w:val="24"/>
            </w:rPr>
          </w:pPr>
          <w:hyperlink r:id="rId32" w:anchor="_Toc9609176" w:history="1">
            <w:r w:rsidR="00EA03E5" w:rsidRPr="00986F0B">
              <w:rPr>
                <w:rStyle w:val="Hyperlink"/>
                <w:noProof/>
                <w:sz w:val="24"/>
              </w:rPr>
              <w:t>4.2.2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2: Decentralized Issuance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18</w:t>
            </w:r>
            <w:r w:rsidR="00EA03E5" w:rsidRPr="00986F0B">
              <w:rPr>
                <w:rStyle w:val="Hyperlink"/>
                <w:noProof/>
                <w:webHidden/>
                <w:sz w:val="24"/>
              </w:rPr>
              <w:fldChar w:fldCharType="end"/>
            </w:r>
          </w:hyperlink>
        </w:p>
        <w:p w14:paraId="7B0B7D04" w14:textId="77777777" w:rsidR="00EA03E5" w:rsidRPr="00986F0B" w:rsidRDefault="003826A4" w:rsidP="00EA03E5">
          <w:pPr>
            <w:pStyle w:val="TOC2"/>
            <w:rPr>
              <w:rFonts w:asciiTheme="minorHAnsi" w:eastAsiaTheme="minorEastAsia" w:hAnsiTheme="minorHAnsi" w:cstheme="minorBidi"/>
              <w:noProof/>
              <w:sz w:val="24"/>
            </w:rPr>
          </w:pPr>
          <w:hyperlink r:id="rId33" w:anchor="_Toc9609177" w:history="1">
            <w:r w:rsidR="00EA03E5" w:rsidRPr="00986F0B">
              <w:rPr>
                <w:rStyle w:val="Hyperlink"/>
                <w:noProof/>
                <w:sz w:val="24"/>
              </w:rPr>
              <w:t>4.3</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3: Liquidity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19</w:t>
            </w:r>
            <w:r w:rsidR="00EA03E5" w:rsidRPr="00986F0B">
              <w:rPr>
                <w:rStyle w:val="Hyperlink"/>
                <w:noProof/>
                <w:webHidden/>
                <w:sz w:val="24"/>
              </w:rPr>
              <w:fldChar w:fldCharType="end"/>
            </w:r>
          </w:hyperlink>
        </w:p>
        <w:p w14:paraId="02C7F027" w14:textId="77777777" w:rsidR="00EA03E5" w:rsidRPr="00986F0B" w:rsidRDefault="003826A4" w:rsidP="00EA03E5">
          <w:pPr>
            <w:pStyle w:val="TOC3"/>
            <w:rPr>
              <w:rFonts w:asciiTheme="minorHAnsi" w:eastAsiaTheme="minorEastAsia" w:hAnsiTheme="minorHAnsi" w:cstheme="minorBidi"/>
              <w:iCs w:val="0"/>
              <w:noProof/>
              <w:sz w:val="24"/>
            </w:rPr>
          </w:pPr>
          <w:hyperlink r:id="rId34" w:anchor="_Toc9609178" w:history="1">
            <w:r w:rsidR="00EA03E5" w:rsidRPr="00986F0B">
              <w:rPr>
                <w:rStyle w:val="Hyperlink"/>
                <w:noProof/>
                <w:sz w:val="24"/>
              </w:rPr>
              <w:t>4.3.1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3: Centralized Digital Currency Liquidity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19</w:t>
            </w:r>
            <w:r w:rsidR="00EA03E5" w:rsidRPr="00986F0B">
              <w:rPr>
                <w:rStyle w:val="Hyperlink"/>
                <w:noProof/>
                <w:webHidden/>
                <w:sz w:val="24"/>
              </w:rPr>
              <w:fldChar w:fldCharType="end"/>
            </w:r>
          </w:hyperlink>
        </w:p>
        <w:p w14:paraId="4B54B8A5" w14:textId="77777777" w:rsidR="00EA03E5" w:rsidRPr="00986F0B" w:rsidRDefault="003826A4" w:rsidP="00EA03E5">
          <w:pPr>
            <w:pStyle w:val="TOC3"/>
            <w:rPr>
              <w:rFonts w:asciiTheme="minorHAnsi" w:eastAsiaTheme="minorEastAsia" w:hAnsiTheme="minorHAnsi" w:cstheme="minorBidi"/>
              <w:iCs w:val="0"/>
              <w:noProof/>
              <w:sz w:val="24"/>
            </w:rPr>
          </w:pPr>
          <w:hyperlink r:id="rId35" w:anchor="_Toc9609179" w:history="1">
            <w:r w:rsidR="00EA03E5" w:rsidRPr="00986F0B">
              <w:rPr>
                <w:rStyle w:val="Hyperlink"/>
                <w:noProof/>
                <w:sz w:val="24"/>
              </w:rPr>
              <w:t>4.3.2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3: Decentralized Digital Currency Liquidity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_Toc9609179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21</w:t>
            </w:r>
            <w:r w:rsidR="00EA03E5" w:rsidRPr="00986F0B">
              <w:rPr>
                <w:rStyle w:val="Hyperlink"/>
                <w:noProof/>
                <w:webHidden/>
                <w:sz w:val="24"/>
              </w:rPr>
              <w:fldChar w:fldCharType="end"/>
            </w:r>
          </w:hyperlink>
        </w:p>
        <w:p w14:paraId="0C3C7FCB" w14:textId="77777777" w:rsidR="00EA03E5" w:rsidRPr="00986F0B" w:rsidRDefault="003826A4" w:rsidP="00EA03E5">
          <w:pPr>
            <w:pStyle w:val="TOC2"/>
            <w:rPr>
              <w:rFonts w:asciiTheme="minorHAnsi" w:eastAsiaTheme="minorEastAsia" w:hAnsiTheme="minorHAnsi" w:cstheme="minorBidi"/>
              <w:noProof/>
              <w:sz w:val="24"/>
            </w:rPr>
          </w:pPr>
          <w:hyperlink r:id="rId36" w:anchor="_Toc9609180" w:history="1">
            <w:r w:rsidR="00EA03E5" w:rsidRPr="00986F0B">
              <w:rPr>
                <w:rStyle w:val="Hyperlink"/>
                <w:noProof/>
                <w:sz w:val="24"/>
              </w:rPr>
              <w:t>4.4</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4: Payment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22</w:t>
            </w:r>
            <w:r w:rsidR="00EA03E5" w:rsidRPr="00986F0B">
              <w:rPr>
                <w:rStyle w:val="Hyperlink"/>
                <w:noProof/>
                <w:webHidden/>
                <w:sz w:val="24"/>
              </w:rPr>
              <w:fldChar w:fldCharType="end"/>
            </w:r>
          </w:hyperlink>
        </w:p>
        <w:p w14:paraId="07FF3DCE" w14:textId="77777777" w:rsidR="00EA03E5" w:rsidRPr="00986F0B" w:rsidRDefault="003826A4" w:rsidP="00EA03E5">
          <w:pPr>
            <w:pStyle w:val="TOC2"/>
            <w:rPr>
              <w:rFonts w:asciiTheme="minorHAnsi" w:eastAsiaTheme="minorEastAsia" w:hAnsiTheme="minorHAnsi" w:cstheme="minorBidi"/>
              <w:noProof/>
              <w:sz w:val="24"/>
            </w:rPr>
          </w:pPr>
          <w:hyperlink r:id="rId37" w:anchor="_Toc9609181" w:history="1">
            <w:r w:rsidR="00EA03E5" w:rsidRPr="00986F0B">
              <w:rPr>
                <w:rStyle w:val="Hyperlink"/>
                <w:noProof/>
                <w:sz w:val="24"/>
              </w:rPr>
              <w:t>4.5</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5: Conversion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23</w:t>
            </w:r>
            <w:r w:rsidR="00EA03E5" w:rsidRPr="00986F0B">
              <w:rPr>
                <w:rStyle w:val="Hyperlink"/>
                <w:noProof/>
                <w:webHidden/>
                <w:sz w:val="24"/>
              </w:rPr>
              <w:fldChar w:fldCharType="end"/>
            </w:r>
          </w:hyperlink>
        </w:p>
        <w:p w14:paraId="65F2BE02" w14:textId="77777777" w:rsidR="00EA03E5" w:rsidRPr="00986F0B" w:rsidRDefault="003826A4" w:rsidP="00EA03E5">
          <w:pPr>
            <w:pStyle w:val="TOC2"/>
            <w:rPr>
              <w:rFonts w:asciiTheme="minorHAnsi" w:eastAsiaTheme="minorEastAsia" w:hAnsiTheme="minorHAnsi" w:cstheme="minorBidi"/>
              <w:noProof/>
              <w:sz w:val="24"/>
            </w:rPr>
          </w:pPr>
          <w:hyperlink r:id="rId38" w:anchor="_Toc9609182" w:history="1">
            <w:r w:rsidR="00EA03E5" w:rsidRPr="00986F0B">
              <w:rPr>
                <w:rStyle w:val="Hyperlink"/>
                <w:noProof/>
                <w:sz w:val="24"/>
              </w:rPr>
              <w:t>4.6</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Centralized and Decentralize Digital Currency Models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24</w:t>
            </w:r>
            <w:r w:rsidR="00EA03E5" w:rsidRPr="00986F0B">
              <w:rPr>
                <w:rStyle w:val="Hyperlink"/>
                <w:noProof/>
                <w:webHidden/>
                <w:sz w:val="24"/>
              </w:rPr>
              <w:fldChar w:fldCharType="end"/>
            </w:r>
          </w:hyperlink>
        </w:p>
        <w:p w14:paraId="2C703915" w14:textId="77777777" w:rsidR="00EA03E5" w:rsidRPr="00986F0B" w:rsidRDefault="003826A4" w:rsidP="00EA03E5">
          <w:pPr>
            <w:pStyle w:val="TOC3"/>
            <w:rPr>
              <w:rFonts w:asciiTheme="minorHAnsi" w:eastAsiaTheme="minorEastAsia" w:hAnsiTheme="minorHAnsi" w:cstheme="minorBidi"/>
              <w:iCs w:val="0"/>
              <w:noProof/>
              <w:sz w:val="24"/>
            </w:rPr>
          </w:pPr>
          <w:hyperlink r:id="rId39" w:anchor="_Toc9609183" w:history="1">
            <w:r w:rsidR="00EA03E5" w:rsidRPr="00986F0B">
              <w:rPr>
                <w:rStyle w:val="Hyperlink"/>
                <w:noProof/>
                <w:sz w:val="24"/>
              </w:rPr>
              <w:t>4.6.1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Centralized Digital Currency Ecosystem</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25</w:t>
            </w:r>
            <w:r w:rsidR="00EA03E5" w:rsidRPr="00986F0B">
              <w:rPr>
                <w:rStyle w:val="Hyperlink"/>
                <w:noProof/>
                <w:webHidden/>
                <w:sz w:val="24"/>
              </w:rPr>
              <w:fldChar w:fldCharType="end"/>
            </w:r>
          </w:hyperlink>
        </w:p>
        <w:p w14:paraId="684A92C0" w14:textId="77777777" w:rsidR="00EA03E5" w:rsidRPr="00986F0B" w:rsidRDefault="003826A4" w:rsidP="00EA03E5">
          <w:pPr>
            <w:pStyle w:val="TOC3"/>
            <w:rPr>
              <w:rFonts w:asciiTheme="minorHAnsi" w:eastAsiaTheme="minorEastAsia" w:hAnsiTheme="minorHAnsi" w:cstheme="minorBidi"/>
              <w:iCs w:val="0"/>
              <w:noProof/>
              <w:sz w:val="24"/>
            </w:rPr>
          </w:pPr>
          <w:hyperlink r:id="rId40" w:anchor="_Toc9609184" w:history="1">
            <w:r w:rsidR="00EA03E5" w:rsidRPr="00986F0B">
              <w:rPr>
                <w:rStyle w:val="Hyperlink"/>
                <w:noProof/>
                <w:sz w:val="24"/>
              </w:rPr>
              <w:t>4.6.2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Decentralized Digital Currency Ecosystem</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26</w:t>
            </w:r>
            <w:r w:rsidR="00EA03E5" w:rsidRPr="00986F0B">
              <w:rPr>
                <w:rStyle w:val="Hyperlink"/>
                <w:noProof/>
                <w:webHidden/>
                <w:sz w:val="24"/>
              </w:rPr>
              <w:fldChar w:fldCharType="end"/>
            </w:r>
          </w:hyperlink>
        </w:p>
        <w:p w14:paraId="0FECAB77" w14:textId="77777777" w:rsidR="00EA03E5" w:rsidRPr="00986F0B" w:rsidRDefault="003826A4" w:rsidP="00EA03E5">
          <w:pPr>
            <w:pStyle w:val="TOC1"/>
            <w:rPr>
              <w:rFonts w:asciiTheme="minorHAnsi" w:eastAsiaTheme="minorEastAsia" w:hAnsiTheme="minorHAnsi" w:cstheme="minorBidi"/>
              <w:b w:val="0"/>
              <w:noProof/>
              <w:sz w:val="24"/>
            </w:rPr>
          </w:pPr>
          <w:hyperlink r:id="rId41" w:anchor="_Toc9609185" w:history="1">
            <w:r w:rsidR="00EA03E5" w:rsidRPr="00986F0B">
              <w:rPr>
                <w:rStyle w:val="Hyperlink"/>
                <w:rFonts w:cs="Times New Roman"/>
                <w:noProof/>
                <w:sz w:val="24"/>
              </w:rPr>
              <w:t>5</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Protection Assurance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27</w:t>
            </w:r>
            <w:r w:rsidR="00EA03E5" w:rsidRPr="00986F0B">
              <w:rPr>
                <w:rStyle w:val="Hyperlink"/>
                <w:noProof/>
                <w:webHidden/>
                <w:sz w:val="24"/>
              </w:rPr>
              <w:fldChar w:fldCharType="end"/>
            </w:r>
          </w:hyperlink>
        </w:p>
        <w:p w14:paraId="057AB44C" w14:textId="77777777" w:rsidR="00EA03E5" w:rsidRPr="00986F0B" w:rsidRDefault="003826A4" w:rsidP="00EA03E5">
          <w:pPr>
            <w:pStyle w:val="TOC2"/>
            <w:rPr>
              <w:rFonts w:asciiTheme="minorHAnsi" w:eastAsiaTheme="minorEastAsia" w:hAnsiTheme="minorHAnsi" w:cstheme="minorBidi"/>
              <w:noProof/>
              <w:sz w:val="24"/>
            </w:rPr>
          </w:pPr>
          <w:hyperlink r:id="rId42" w:anchor="_Toc9609186" w:history="1">
            <w:r w:rsidR="00EA03E5" w:rsidRPr="00986F0B">
              <w:rPr>
                <w:rStyle w:val="Hyperlink"/>
                <w:rFonts w:eastAsia="Calibri"/>
                <w:noProof/>
                <w:sz w:val="24"/>
              </w:rPr>
              <w:t>5.1</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Security Control Expressions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28</w:t>
            </w:r>
            <w:r w:rsidR="00EA03E5" w:rsidRPr="00986F0B">
              <w:rPr>
                <w:rStyle w:val="Hyperlink"/>
                <w:noProof/>
                <w:webHidden/>
                <w:sz w:val="24"/>
              </w:rPr>
              <w:fldChar w:fldCharType="end"/>
            </w:r>
          </w:hyperlink>
        </w:p>
        <w:p w14:paraId="4F6386B3" w14:textId="77777777" w:rsidR="00EA03E5" w:rsidRPr="00986F0B" w:rsidRDefault="003826A4" w:rsidP="00EA03E5">
          <w:pPr>
            <w:pStyle w:val="TOC2"/>
            <w:rPr>
              <w:rFonts w:asciiTheme="minorHAnsi" w:eastAsiaTheme="minorEastAsia" w:hAnsiTheme="minorHAnsi" w:cstheme="minorBidi"/>
              <w:noProof/>
              <w:sz w:val="24"/>
            </w:rPr>
          </w:pPr>
          <w:hyperlink r:id="rId43" w:anchor="_Toc9609187" w:history="1">
            <w:r w:rsidR="00EA03E5" w:rsidRPr="00986F0B">
              <w:rPr>
                <w:rStyle w:val="Hyperlink"/>
                <w:rFonts w:eastAsia="Calibri"/>
                <w:noProof/>
                <w:sz w:val="24"/>
              </w:rPr>
              <w:t>4.2.</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Threat Attack Expressions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33</w:t>
            </w:r>
            <w:r w:rsidR="00EA03E5" w:rsidRPr="00986F0B">
              <w:rPr>
                <w:rStyle w:val="Hyperlink"/>
                <w:noProof/>
                <w:webHidden/>
                <w:sz w:val="24"/>
              </w:rPr>
              <w:fldChar w:fldCharType="end"/>
            </w:r>
          </w:hyperlink>
        </w:p>
        <w:p w14:paraId="3833589F" w14:textId="77777777" w:rsidR="00EA03E5" w:rsidRPr="00986F0B" w:rsidRDefault="003826A4" w:rsidP="00EA03E5">
          <w:pPr>
            <w:pStyle w:val="TOC2"/>
            <w:rPr>
              <w:rFonts w:asciiTheme="minorHAnsi" w:eastAsiaTheme="minorEastAsia" w:hAnsiTheme="minorHAnsi" w:cstheme="minorBidi"/>
              <w:noProof/>
              <w:sz w:val="24"/>
            </w:rPr>
          </w:pPr>
          <w:hyperlink r:id="rId44" w:anchor="_Toc9609188" w:history="1">
            <w:r w:rsidR="00EA03E5" w:rsidRPr="00986F0B">
              <w:rPr>
                <w:rStyle w:val="Hyperlink"/>
                <w:rFonts w:eastAsia="Calibri"/>
                <w:noProof/>
                <w:sz w:val="24"/>
              </w:rPr>
              <w:t>4.3.</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Threat | Target | Protection Assurance Expression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34</w:t>
            </w:r>
            <w:r w:rsidR="00EA03E5" w:rsidRPr="00986F0B">
              <w:rPr>
                <w:rStyle w:val="Hyperlink"/>
                <w:noProof/>
                <w:webHidden/>
                <w:sz w:val="24"/>
              </w:rPr>
              <w:fldChar w:fldCharType="end"/>
            </w:r>
          </w:hyperlink>
        </w:p>
        <w:p w14:paraId="0D3ED9FC" w14:textId="72B63790" w:rsidR="00685A1D" w:rsidRPr="00E059A4" w:rsidRDefault="003826A4" w:rsidP="00EA03E5">
          <w:pPr>
            <w:pStyle w:val="TOC1"/>
            <w:tabs>
              <w:tab w:val="right" w:leader="dot" w:pos="9629"/>
            </w:tabs>
            <w:rPr>
              <w:rFonts w:ascii="Times New Roman" w:eastAsiaTheme="minorEastAsia" w:hAnsi="Times New Roman" w:cs="Times New Roman"/>
              <w:b w:val="0"/>
              <w:bCs w:val="0"/>
              <w:noProof/>
              <w:sz w:val="22"/>
              <w:szCs w:val="22"/>
              <w:lang w:val="en-US" w:eastAsia="en-US"/>
            </w:rPr>
          </w:pPr>
        </w:p>
      </w:sdtContent>
    </w:sdt>
    <w:p w14:paraId="3F3D5CBB" w14:textId="08513883" w:rsidR="004938E3" w:rsidRDefault="004938E3">
      <w:pPr>
        <w:spacing w:before="0"/>
        <w:rPr>
          <w:b/>
          <w:bCs/>
          <w:szCs w:val="24"/>
          <w:highlight w:val="green"/>
        </w:rPr>
      </w:pPr>
    </w:p>
    <w:p w14:paraId="2EF19BFC" w14:textId="1BB571F4" w:rsidR="00EA03E5" w:rsidRDefault="00EA03E5">
      <w:pPr>
        <w:spacing w:before="0"/>
        <w:rPr>
          <w:b/>
          <w:bCs/>
          <w:szCs w:val="24"/>
          <w:highlight w:val="green"/>
        </w:rPr>
      </w:pPr>
    </w:p>
    <w:p w14:paraId="1AE16520" w14:textId="0A909DB1" w:rsidR="00EA03E5" w:rsidRDefault="00EA03E5">
      <w:pPr>
        <w:spacing w:before="0"/>
        <w:rPr>
          <w:b/>
          <w:bCs/>
          <w:szCs w:val="24"/>
          <w:highlight w:val="green"/>
        </w:rPr>
      </w:pPr>
    </w:p>
    <w:p w14:paraId="68FE43C0" w14:textId="0CF48779" w:rsidR="00EA03E5" w:rsidRDefault="00EA03E5">
      <w:pPr>
        <w:spacing w:before="0"/>
        <w:rPr>
          <w:b/>
          <w:bCs/>
          <w:szCs w:val="24"/>
          <w:highlight w:val="green"/>
        </w:rPr>
      </w:pPr>
    </w:p>
    <w:p w14:paraId="1BFDDCC4" w14:textId="2498C101" w:rsidR="00EA03E5" w:rsidRDefault="00EA03E5">
      <w:pPr>
        <w:spacing w:before="0"/>
        <w:rPr>
          <w:b/>
          <w:bCs/>
          <w:szCs w:val="24"/>
          <w:highlight w:val="green"/>
        </w:rPr>
      </w:pPr>
    </w:p>
    <w:p w14:paraId="1330FF29" w14:textId="4BDB2796" w:rsidR="00EA03E5" w:rsidRDefault="00EA03E5">
      <w:pPr>
        <w:spacing w:before="0"/>
        <w:rPr>
          <w:b/>
          <w:bCs/>
          <w:szCs w:val="24"/>
          <w:highlight w:val="green"/>
        </w:rPr>
      </w:pPr>
    </w:p>
    <w:p w14:paraId="318A8FD1" w14:textId="78FEB568" w:rsidR="00EA03E5" w:rsidRDefault="00EA03E5">
      <w:pPr>
        <w:spacing w:before="0"/>
        <w:rPr>
          <w:b/>
          <w:bCs/>
          <w:szCs w:val="24"/>
          <w:highlight w:val="green"/>
        </w:rPr>
      </w:pPr>
    </w:p>
    <w:p w14:paraId="5E824E4A" w14:textId="7E271E02" w:rsidR="00EA03E5" w:rsidRDefault="00EA03E5">
      <w:pPr>
        <w:spacing w:before="0"/>
        <w:rPr>
          <w:b/>
          <w:bCs/>
          <w:szCs w:val="24"/>
          <w:highlight w:val="green"/>
        </w:rPr>
      </w:pPr>
    </w:p>
    <w:p w14:paraId="3DB72C30" w14:textId="35021AE7" w:rsidR="00EA03E5" w:rsidRDefault="00EA03E5">
      <w:pPr>
        <w:spacing w:before="0"/>
        <w:rPr>
          <w:b/>
          <w:bCs/>
          <w:szCs w:val="24"/>
          <w:highlight w:val="green"/>
        </w:rPr>
      </w:pPr>
    </w:p>
    <w:p w14:paraId="2CCEEDCE" w14:textId="766887EA" w:rsidR="00EA03E5" w:rsidRDefault="00EA03E5">
      <w:pPr>
        <w:spacing w:before="0"/>
        <w:rPr>
          <w:b/>
          <w:bCs/>
          <w:szCs w:val="24"/>
          <w:highlight w:val="green"/>
        </w:rPr>
      </w:pPr>
    </w:p>
    <w:p w14:paraId="259061AD" w14:textId="01007A9E" w:rsidR="00EA03E5" w:rsidRDefault="00EA03E5">
      <w:pPr>
        <w:spacing w:before="0"/>
        <w:rPr>
          <w:b/>
          <w:bCs/>
          <w:szCs w:val="24"/>
          <w:highlight w:val="green"/>
        </w:rPr>
      </w:pPr>
    </w:p>
    <w:p w14:paraId="0A6CA431" w14:textId="77777777" w:rsidR="006B334F" w:rsidRDefault="006B334F">
      <w:pPr>
        <w:spacing w:before="0"/>
        <w:rPr>
          <w:b/>
          <w:bCs/>
          <w:szCs w:val="24"/>
          <w:highlight w:val="green"/>
        </w:rPr>
      </w:pPr>
    </w:p>
    <w:p w14:paraId="641FC56C" w14:textId="77777777" w:rsidR="00EA03E5" w:rsidRDefault="00EA03E5">
      <w:pPr>
        <w:spacing w:before="0"/>
        <w:rPr>
          <w:b/>
          <w:bCs/>
          <w:szCs w:val="24"/>
          <w:highlight w:val="green"/>
        </w:rPr>
      </w:pPr>
    </w:p>
    <w:p w14:paraId="301B5703" w14:textId="77777777" w:rsidR="000E7622" w:rsidRPr="000E7622" w:rsidRDefault="000E7622" w:rsidP="000E7622">
      <w:pPr>
        <w:spacing w:before="0"/>
        <w:jc w:val="center"/>
        <w:rPr>
          <w:b/>
          <w:bCs/>
          <w:szCs w:val="24"/>
        </w:rPr>
      </w:pPr>
      <w:r w:rsidRPr="000E7622">
        <w:rPr>
          <w:b/>
          <w:bCs/>
          <w:szCs w:val="24"/>
        </w:rPr>
        <w:lastRenderedPageBreak/>
        <w:t>List of Figures</w:t>
      </w:r>
    </w:p>
    <w:p w14:paraId="23E5E934" w14:textId="77777777" w:rsidR="000E7622" w:rsidRPr="000E7622" w:rsidRDefault="000E7622">
      <w:pPr>
        <w:spacing w:before="0"/>
        <w:rPr>
          <w:b/>
          <w:bCs/>
          <w:szCs w:val="24"/>
          <w:highlight w:val="green"/>
        </w:rPr>
      </w:pPr>
    </w:p>
    <w:p w14:paraId="2CDD44B1" w14:textId="77777777" w:rsidR="00EA03E5" w:rsidRDefault="00EA03E5" w:rsidP="00EA03E5">
      <w:pPr>
        <w:pStyle w:val="TableofFigures"/>
        <w:rPr>
          <w:rFonts w:asciiTheme="minorHAnsi" w:eastAsiaTheme="minorEastAsia" w:hAnsiTheme="minorHAnsi" w:cstheme="minorBidi"/>
          <w:noProof/>
          <w:szCs w:val="20"/>
        </w:rPr>
      </w:pPr>
      <w:r>
        <w:rPr>
          <w:rFonts w:asciiTheme="minorHAnsi" w:hAnsiTheme="minorHAnsi" w:cstheme="minorHAnsi"/>
          <w:szCs w:val="20"/>
        </w:rPr>
        <w:fldChar w:fldCharType="begin"/>
      </w:r>
      <w:r>
        <w:rPr>
          <w:rFonts w:asciiTheme="minorHAnsi" w:hAnsiTheme="minorHAnsi" w:cstheme="minorHAnsi"/>
          <w:szCs w:val="20"/>
        </w:rPr>
        <w:instrText xml:space="preserve"> TOC \h \z \c "Figure" </w:instrText>
      </w:r>
      <w:r>
        <w:rPr>
          <w:rFonts w:asciiTheme="minorHAnsi" w:hAnsiTheme="minorHAnsi" w:cstheme="minorHAnsi"/>
          <w:szCs w:val="20"/>
        </w:rPr>
        <w:fldChar w:fldCharType="separate"/>
      </w:r>
      <w:hyperlink r:id="rId45" w:anchor="_Toc9609201" w:history="1">
        <w:r>
          <w:rPr>
            <w:rStyle w:val="Hyperlink"/>
            <w:rFonts w:asciiTheme="minorHAnsi" w:hAnsiTheme="minorHAnsi"/>
            <w:noProof/>
            <w:szCs w:val="20"/>
          </w:rPr>
          <w:t>Figure 1: Unified Security Model: Threat | Target | Security</w:t>
        </w:r>
        <w:r>
          <w:rPr>
            <w:rStyle w:val="Hyperlink"/>
            <w:rFonts w:asciiTheme="minorHAnsi" w:hAnsiTheme="minorHAnsi"/>
            <w:noProof/>
            <w:webHidden/>
            <w:szCs w:val="20"/>
          </w:rPr>
          <w:tab/>
        </w:r>
        <w:r>
          <w:rPr>
            <w:rStyle w:val="Hyperlink"/>
            <w:rFonts w:asciiTheme="minorHAnsi" w:hAnsiTheme="minorHAnsi"/>
            <w:noProof/>
            <w:webHidden/>
            <w:szCs w:val="20"/>
          </w:rPr>
          <w:fldChar w:fldCharType="begin"/>
        </w:r>
        <w:r>
          <w:rPr>
            <w:rStyle w:val="Hyperlink"/>
            <w:rFonts w:asciiTheme="minorHAnsi" w:hAnsiTheme="minorHAnsi"/>
            <w:noProof/>
            <w:webHidden/>
            <w:szCs w:val="20"/>
          </w:rPr>
          <w:instrText xml:space="preserve"> PAGEREF _Toc9609201 \h </w:instrText>
        </w:r>
        <w:r>
          <w:rPr>
            <w:rStyle w:val="Hyperlink"/>
            <w:rFonts w:asciiTheme="minorHAnsi" w:hAnsiTheme="minorHAnsi"/>
            <w:noProof/>
            <w:webHidden/>
            <w:szCs w:val="20"/>
          </w:rPr>
        </w:r>
        <w:r>
          <w:rPr>
            <w:rStyle w:val="Hyperlink"/>
            <w:rFonts w:asciiTheme="minorHAnsi" w:hAnsiTheme="minorHAnsi"/>
            <w:noProof/>
            <w:webHidden/>
            <w:szCs w:val="20"/>
          </w:rPr>
          <w:fldChar w:fldCharType="separate"/>
        </w:r>
        <w:r>
          <w:rPr>
            <w:rStyle w:val="Hyperlink"/>
            <w:rFonts w:asciiTheme="minorHAnsi" w:hAnsiTheme="minorHAnsi"/>
            <w:noProof/>
            <w:webHidden/>
            <w:szCs w:val="20"/>
          </w:rPr>
          <w:t>7</w:t>
        </w:r>
        <w:r>
          <w:rPr>
            <w:rStyle w:val="Hyperlink"/>
            <w:rFonts w:asciiTheme="minorHAnsi" w:hAnsiTheme="minorHAnsi"/>
            <w:noProof/>
            <w:webHidden/>
            <w:szCs w:val="20"/>
          </w:rPr>
          <w:fldChar w:fldCharType="end"/>
        </w:r>
      </w:hyperlink>
    </w:p>
    <w:p w14:paraId="3FA10A8D" w14:textId="77777777" w:rsidR="00EA03E5" w:rsidRDefault="003826A4" w:rsidP="00EA03E5">
      <w:pPr>
        <w:pStyle w:val="TableofFigures"/>
        <w:rPr>
          <w:rFonts w:asciiTheme="minorHAnsi" w:eastAsiaTheme="minorEastAsia" w:hAnsiTheme="minorHAnsi" w:cstheme="minorBidi"/>
          <w:noProof/>
          <w:szCs w:val="20"/>
        </w:rPr>
      </w:pPr>
      <w:hyperlink r:id="rId46" w:anchor="_Toc9609202" w:history="1">
        <w:r w:rsidR="00EA03E5">
          <w:rPr>
            <w:rStyle w:val="Hyperlink"/>
            <w:rFonts w:asciiTheme="minorHAnsi" w:hAnsiTheme="minorHAnsi"/>
            <w:noProof/>
            <w:szCs w:val="20"/>
          </w:rPr>
          <w:t>Figure 2: Unified Expression Model (top) &amp; Threat | Target | Countermeasure Expression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7</w:t>
        </w:r>
        <w:r w:rsidR="00EA03E5">
          <w:rPr>
            <w:rStyle w:val="Hyperlink"/>
            <w:rFonts w:asciiTheme="minorHAnsi" w:hAnsiTheme="minorHAnsi"/>
            <w:noProof/>
            <w:webHidden/>
            <w:szCs w:val="20"/>
          </w:rPr>
          <w:fldChar w:fldCharType="end"/>
        </w:r>
      </w:hyperlink>
    </w:p>
    <w:p w14:paraId="201E8B4E" w14:textId="77777777" w:rsidR="00EA03E5" w:rsidRDefault="003826A4" w:rsidP="00EA03E5">
      <w:pPr>
        <w:pStyle w:val="TableofFigures"/>
        <w:rPr>
          <w:rFonts w:asciiTheme="minorHAnsi" w:eastAsiaTheme="minorEastAsia" w:hAnsiTheme="minorHAnsi" w:cstheme="minorBidi"/>
          <w:noProof/>
          <w:szCs w:val="20"/>
        </w:rPr>
      </w:pPr>
      <w:hyperlink r:id="rId47" w:anchor="_Toc9609203" w:history="1">
        <w:r w:rsidR="00EA03E5">
          <w:rPr>
            <w:rStyle w:val="Hyperlink"/>
            <w:rFonts w:asciiTheme="minorHAnsi" w:hAnsiTheme="minorHAnsi"/>
            <w:noProof/>
            <w:szCs w:val="20"/>
          </w:rPr>
          <w:t>Figure 3: Digital Currency Ecosystem as USM Target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8</w:t>
        </w:r>
        <w:r w:rsidR="00EA03E5">
          <w:rPr>
            <w:rStyle w:val="Hyperlink"/>
            <w:rFonts w:asciiTheme="minorHAnsi" w:hAnsiTheme="minorHAnsi"/>
            <w:noProof/>
            <w:webHidden/>
            <w:szCs w:val="20"/>
          </w:rPr>
          <w:fldChar w:fldCharType="end"/>
        </w:r>
      </w:hyperlink>
    </w:p>
    <w:p w14:paraId="4ED2FF22" w14:textId="77777777" w:rsidR="00EA03E5" w:rsidRDefault="003826A4" w:rsidP="00EA03E5">
      <w:pPr>
        <w:pStyle w:val="TableofFigures"/>
        <w:rPr>
          <w:rFonts w:asciiTheme="minorHAnsi" w:eastAsiaTheme="minorEastAsia" w:hAnsiTheme="minorHAnsi" w:cstheme="minorBidi"/>
          <w:noProof/>
          <w:szCs w:val="20"/>
        </w:rPr>
      </w:pPr>
      <w:hyperlink r:id="rId48" w:anchor="_Toc9609204" w:history="1">
        <w:r w:rsidR="00EA03E5">
          <w:rPr>
            <w:rStyle w:val="Hyperlink"/>
            <w:rFonts w:asciiTheme="minorHAnsi" w:hAnsiTheme="minorHAnsi"/>
            <w:noProof/>
            <w:szCs w:val="20"/>
          </w:rPr>
          <w:t>Figure 4: Payment Pattern Threat | Target | Protection Use Case in liaison statement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8</w:t>
        </w:r>
        <w:r w:rsidR="00EA03E5">
          <w:rPr>
            <w:rStyle w:val="Hyperlink"/>
            <w:rFonts w:asciiTheme="minorHAnsi" w:hAnsiTheme="minorHAnsi"/>
            <w:noProof/>
            <w:webHidden/>
            <w:szCs w:val="20"/>
          </w:rPr>
          <w:fldChar w:fldCharType="end"/>
        </w:r>
      </w:hyperlink>
    </w:p>
    <w:p w14:paraId="0F92A65A" w14:textId="77777777" w:rsidR="00EA03E5" w:rsidRDefault="003826A4" w:rsidP="00EA03E5">
      <w:pPr>
        <w:pStyle w:val="TableofFigures"/>
        <w:rPr>
          <w:rFonts w:asciiTheme="minorHAnsi" w:eastAsiaTheme="minorEastAsia" w:hAnsiTheme="minorHAnsi" w:cstheme="minorBidi"/>
          <w:noProof/>
          <w:szCs w:val="20"/>
        </w:rPr>
      </w:pPr>
      <w:hyperlink r:id="rId49" w:anchor="_Toc9609205" w:history="1">
        <w:r w:rsidR="00EA03E5">
          <w:rPr>
            <w:rStyle w:val="Hyperlink"/>
            <w:rFonts w:asciiTheme="minorHAnsi" w:hAnsiTheme="minorHAnsi"/>
            <w:noProof/>
            <w:szCs w:val="20"/>
          </w:rPr>
          <w:t>Figure 5: Digital Currency Ecosystem Level 1 as USM Target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9</w:t>
        </w:r>
        <w:r w:rsidR="00EA03E5">
          <w:rPr>
            <w:rStyle w:val="Hyperlink"/>
            <w:rFonts w:asciiTheme="minorHAnsi" w:hAnsiTheme="minorHAnsi"/>
            <w:noProof/>
            <w:webHidden/>
            <w:szCs w:val="20"/>
          </w:rPr>
          <w:fldChar w:fldCharType="end"/>
        </w:r>
      </w:hyperlink>
    </w:p>
    <w:p w14:paraId="08048CDC" w14:textId="77777777" w:rsidR="00EA03E5" w:rsidRDefault="003826A4" w:rsidP="00EA03E5">
      <w:pPr>
        <w:pStyle w:val="TableofFigures"/>
        <w:rPr>
          <w:rFonts w:asciiTheme="minorHAnsi" w:eastAsiaTheme="minorEastAsia" w:hAnsiTheme="minorHAnsi" w:cstheme="minorBidi"/>
          <w:noProof/>
          <w:szCs w:val="20"/>
        </w:rPr>
      </w:pPr>
      <w:hyperlink r:id="rId50" w:anchor="_Toc9609206" w:history="1">
        <w:r w:rsidR="00EA03E5">
          <w:rPr>
            <w:rStyle w:val="Hyperlink"/>
            <w:rFonts w:asciiTheme="minorHAnsi" w:hAnsiTheme="minorHAnsi"/>
            <w:noProof/>
            <w:szCs w:val="20"/>
          </w:rPr>
          <w:t>Figure 6 DFC Ecosystem Threat &amp; Inherent Risk Analysis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10</w:t>
        </w:r>
        <w:r w:rsidR="00EA03E5">
          <w:rPr>
            <w:rStyle w:val="Hyperlink"/>
            <w:rFonts w:asciiTheme="minorHAnsi" w:hAnsiTheme="minorHAnsi"/>
            <w:noProof/>
            <w:webHidden/>
            <w:szCs w:val="20"/>
          </w:rPr>
          <w:fldChar w:fldCharType="end"/>
        </w:r>
      </w:hyperlink>
    </w:p>
    <w:p w14:paraId="319C964F" w14:textId="77777777" w:rsidR="00EA03E5" w:rsidRDefault="003826A4" w:rsidP="00EA03E5">
      <w:pPr>
        <w:pStyle w:val="TableofFigures"/>
        <w:rPr>
          <w:rFonts w:asciiTheme="minorHAnsi" w:eastAsiaTheme="minorEastAsia" w:hAnsiTheme="minorHAnsi" w:cstheme="minorBidi"/>
          <w:noProof/>
          <w:szCs w:val="20"/>
        </w:rPr>
      </w:pPr>
      <w:hyperlink r:id="rId51" w:anchor="_Toc9609207" w:history="1">
        <w:r w:rsidR="00EA03E5">
          <w:rPr>
            <w:rStyle w:val="Hyperlink"/>
            <w:rFonts w:asciiTheme="minorHAnsi" w:hAnsiTheme="minorHAnsi"/>
            <w:noProof/>
            <w:szCs w:val="20"/>
          </w:rPr>
          <w:t>Figure 7: DCE Level 1 Compromise Impact &amp; Reasonable Assurance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11</w:t>
        </w:r>
        <w:r w:rsidR="00EA03E5">
          <w:rPr>
            <w:rStyle w:val="Hyperlink"/>
            <w:rFonts w:asciiTheme="minorHAnsi" w:hAnsiTheme="minorHAnsi"/>
            <w:noProof/>
            <w:webHidden/>
            <w:szCs w:val="20"/>
          </w:rPr>
          <w:fldChar w:fldCharType="end"/>
        </w:r>
      </w:hyperlink>
    </w:p>
    <w:p w14:paraId="5F3F2BFD" w14:textId="77777777" w:rsidR="00EA03E5" w:rsidRDefault="003826A4" w:rsidP="00EA03E5">
      <w:pPr>
        <w:pStyle w:val="TableofFigures"/>
        <w:rPr>
          <w:rFonts w:asciiTheme="minorHAnsi" w:eastAsiaTheme="minorEastAsia" w:hAnsiTheme="minorHAnsi" w:cstheme="minorBidi"/>
          <w:noProof/>
          <w:szCs w:val="20"/>
        </w:rPr>
      </w:pPr>
      <w:hyperlink r:id="rId52" w:anchor="_Toc9609208" w:history="1">
        <w:r w:rsidR="00EA03E5">
          <w:rPr>
            <w:rStyle w:val="Hyperlink"/>
            <w:rFonts w:asciiTheme="minorHAnsi" w:hAnsiTheme="minorHAnsi"/>
            <w:noProof/>
            <w:szCs w:val="20"/>
          </w:rPr>
          <w:t>Figure 8 DCE Level 1 Stage: Security Assurance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12</w:t>
        </w:r>
        <w:r w:rsidR="00EA03E5">
          <w:rPr>
            <w:rStyle w:val="Hyperlink"/>
            <w:rFonts w:asciiTheme="minorHAnsi" w:hAnsiTheme="minorHAnsi"/>
            <w:noProof/>
            <w:webHidden/>
            <w:szCs w:val="20"/>
          </w:rPr>
          <w:fldChar w:fldCharType="end"/>
        </w:r>
      </w:hyperlink>
    </w:p>
    <w:p w14:paraId="15877A34" w14:textId="77777777" w:rsidR="00EA03E5" w:rsidRDefault="003826A4" w:rsidP="00EA03E5">
      <w:pPr>
        <w:pStyle w:val="TableofFigures"/>
        <w:rPr>
          <w:rFonts w:asciiTheme="minorHAnsi" w:eastAsiaTheme="minorEastAsia" w:hAnsiTheme="minorHAnsi" w:cstheme="minorBidi"/>
          <w:noProof/>
          <w:szCs w:val="20"/>
        </w:rPr>
      </w:pPr>
      <w:hyperlink r:id="rId53" w:anchor="_Toc9609209" w:history="1">
        <w:r w:rsidR="00EA03E5">
          <w:rPr>
            <w:rStyle w:val="Hyperlink"/>
            <w:rFonts w:asciiTheme="minorHAnsi" w:hAnsiTheme="minorHAnsi"/>
            <w:noProof/>
            <w:szCs w:val="20"/>
          </w:rPr>
          <w:t>Figure 9: DCE Residual Risk Analysis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13</w:t>
        </w:r>
        <w:r w:rsidR="00EA03E5">
          <w:rPr>
            <w:rStyle w:val="Hyperlink"/>
            <w:rFonts w:asciiTheme="minorHAnsi" w:hAnsiTheme="minorHAnsi"/>
            <w:noProof/>
            <w:webHidden/>
            <w:szCs w:val="20"/>
          </w:rPr>
          <w:fldChar w:fldCharType="end"/>
        </w:r>
      </w:hyperlink>
    </w:p>
    <w:p w14:paraId="0967E8F2" w14:textId="77777777" w:rsidR="00EA03E5" w:rsidRDefault="003826A4" w:rsidP="00EA03E5">
      <w:pPr>
        <w:pStyle w:val="TableofFigures"/>
        <w:rPr>
          <w:rFonts w:asciiTheme="minorHAnsi" w:eastAsiaTheme="minorEastAsia" w:hAnsiTheme="minorHAnsi" w:cstheme="minorBidi"/>
          <w:noProof/>
          <w:szCs w:val="20"/>
        </w:rPr>
      </w:pPr>
      <w:hyperlink r:id="rId54" w:anchor="_Toc9609210" w:history="1">
        <w:r w:rsidR="00EA03E5">
          <w:rPr>
            <w:rStyle w:val="Hyperlink"/>
            <w:rFonts w:asciiTheme="minorHAnsi" w:hAnsiTheme="minorHAnsi"/>
            <w:noProof/>
            <w:szCs w:val="20"/>
          </w:rPr>
          <w:t>Figure 10: Stage Residual Risk Analysis Cycle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14</w:t>
        </w:r>
        <w:r w:rsidR="00EA03E5">
          <w:rPr>
            <w:rStyle w:val="Hyperlink"/>
            <w:rFonts w:asciiTheme="minorHAnsi" w:hAnsiTheme="minorHAnsi"/>
            <w:noProof/>
            <w:webHidden/>
            <w:szCs w:val="20"/>
          </w:rPr>
          <w:fldChar w:fldCharType="end"/>
        </w:r>
      </w:hyperlink>
    </w:p>
    <w:p w14:paraId="72604D66" w14:textId="77777777" w:rsidR="00EA03E5" w:rsidRDefault="003826A4" w:rsidP="00EA03E5">
      <w:pPr>
        <w:pStyle w:val="TableofFigures"/>
        <w:rPr>
          <w:rFonts w:asciiTheme="minorHAnsi" w:eastAsiaTheme="minorEastAsia" w:hAnsiTheme="minorHAnsi" w:cstheme="minorBidi"/>
          <w:noProof/>
          <w:szCs w:val="20"/>
        </w:rPr>
      </w:pPr>
      <w:hyperlink r:id="rId55" w:anchor="_Toc9609211" w:history="1">
        <w:r w:rsidR="00EA03E5">
          <w:rPr>
            <w:rStyle w:val="Hyperlink"/>
            <w:rFonts w:asciiTheme="minorHAnsi" w:hAnsiTheme="minorHAnsi"/>
            <w:noProof/>
            <w:szCs w:val="20"/>
          </w:rPr>
          <w:t>Figure 11: Reaching a Reasonable Risk Tolerance Level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14</w:t>
        </w:r>
        <w:r w:rsidR="00EA03E5">
          <w:rPr>
            <w:rStyle w:val="Hyperlink"/>
            <w:rFonts w:asciiTheme="minorHAnsi" w:hAnsiTheme="minorHAnsi"/>
            <w:noProof/>
            <w:webHidden/>
            <w:szCs w:val="20"/>
          </w:rPr>
          <w:fldChar w:fldCharType="end"/>
        </w:r>
      </w:hyperlink>
    </w:p>
    <w:p w14:paraId="738638D0" w14:textId="77777777" w:rsidR="00EA03E5" w:rsidRDefault="003826A4" w:rsidP="00EA03E5">
      <w:pPr>
        <w:pStyle w:val="TableofFigures"/>
        <w:rPr>
          <w:rFonts w:asciiTheme="minorHAnsi" w:eastAsiaTheme="minorEastAsia" w:hAnsiTheme="minorHAnsi" w:cstheme="minorBidi"/>
          <w:noProof/>
          <w:szCs w:val="20"/>
        </w:rPr>
      </w:pPr>
      <w:hyperlink r:id="rId56" w:anchor="_Toc9609212" w:history="1">
        <w:r w:rsidR="00EA03E5">
          <w:rPr>
            <w:rStyle w:val="Hyperlink"/>
            <w:rFonts w:asciiTheme="minorHAnsi" w:hAnsiTheme="minorHAnsi"/>
            <w:noProof/>
            <w:szCs w:val="20"/>
          </w:rPr>
          <w:t>Figure 12: DCE Stage 1 Technology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16</w:t>
        </w:r>
        <w:r w:rsidR="00EA03E5">
          <w:rPr>
            <w:rStyle w:val="Hyperlink"/>
            <w:rFonts w:asciiTheme="minorHAnsi" w:hAnsiTheme="minorHAnsi"/>
            <w:noProof/>
            <w:webHidden/>
            <w:szCs w:val="20"/>
          </w:rPr>
          <w:fldChar w:fldCharType="end"/>
        </w:r>
      </w:hyperlink>
    </w:p>
    <w:p w14:paraId="7F3E8004" w14:textId="77777777" w:rsidR="00EA03E5" w:rsidRDefault="003826A4" w:rsidP="00EA03E5">
      <w:pPr>
        <w:pStyle w:val="TableofFigures"/>
        <w:rPr>
          <w:rFonts w:asciiTheme="minorHAnsi" w:eastAsiaTheme="minorEastAsia" w:hAnsiTheme="minorHAnsi" w:cstheme="minorBidi"/>
          <w:noProof/>
          <w:szCs w:val="20"/>
        </w:rPr>
      </w:pPr>
      <w:hyperlink r:id="rId57" w:anchor="_Toc9609213" w:history="1">
        <w:r w:rsidR="00EA03E5">
          <w:rPr>
            <w:rStyle w:val="Hyperlink"/>
            <w:rFonts w:asciiTheme="minorHAnsi" w:hAnsiTheme="minorHAnsi"/>
            <w:noProof/>
            <w:szCs w:val="20"/>
          </w:rPr>
          <w:t>Figure 13: DCE Stage 2 Centralized Issuance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17</w:t>
        </w:r>
        <w:r w:rsidR="00EA03E5">
          <w:rPr>
            <w:rStyle w:val="Hyperlink"/>
            <w:rFonts w:asciiTheme="minorHAnsi" w:hAnsiTheme="minorHAnsi"/>
            <w:noProof/>
            <w:webHidden/>
            <w:szCs w:val="20"/>
          </w:rPr>
          <w:fldChar w:fldCharType="end"/>
        </w:r>
      </w:hyperlink>
    </w:p>
    <w:p w14:paraId="1BC20E6B" w14:textId="77777777" w:rsidR="00EA03E5" w:rsidRDefault="003826A4" w:rsidP="00EA03E5">
      <w:pPr>
        <w:pStyle w:val="TableofFigures"/>
        <w:rPr>
          <w:rFonts w:asciiTheme="minorHAnsi" w:eastAsiaTheme="minorEastAsia" w:hAnsiTheme="minorHAnsi" w:cstheme="minorBidi"/>
          <w:noProof/>
          <w:szCs w:val="20"/>
        </w:rPr>
      </w:pPr>
      <w:hyperlink r:id="rId58" w:anchor="_Toc9609214" w:history="1">
        <w:r w:rsidR="00EA03E5">
          <w:rPr>
            <w:rStyle w:val="Hyperlink"/>
            <w:rFonts w:asciiTheme="minorHAnsi" w:hAnsiTheme="minorHAnsi"/>
            <w:noProof/>
            <w:szCs w:val="20"/>
          </w:rPr>
          <w:t>Figure 14: DDC Stage 2 Decentralized Issuance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18</w:t>
        </w:r>
        <w:r w:rsidR="00EA03E5">
          <w:rPr>
            <w:rStyle w:val="Hyperlink"/>
            <w:rFonts w:asciiTheme="minorHAnsi" w:hAnsiTheme="minorHAnsi"/>
            <w:noProof/>
            <w:webHidden/>
            <w:szCs w:val="20"/>
          </w:rPr>
          <w:fldChar w:fldCharType="end"/>
        </w:r>
      </w:hyperlink>
    </w:p>
    <w:p w14:paraId="7EAFE72C" w14:textId="77777777" w:rsidR="00EA03E5" w:rsidRDefault="003826A4" w:rsidP="00EA03E5">
      <w:pPr>
        <w:pStyle w:val="TableofFigures"/>
        <w:rPr>
          <w:rFonts w:asciiTheme="minorHAnsi" w:eastAsiaTheme="minorEastAsia" w:hAnsiTheme="minorHAnsi" w:cstheme="minorBidi"/>
          <w:noProof/>
          <w:szCs w:val="20"/>
        </w:rPr>
      </w:pPr>
      <w:hyperlink r:id="rId59" w:anchor="_Toc9609215" w:history="1">
        <w:r w:rsidR="00EA03E5">
          <w:rPr>
            <w:rStyle w:val="Hyperlink"/>
            <w:rFonts w:asciiTheme="minorHAnsi" w:hAnsiTheme="minorHAnsi"/>
            <w:noProof/>
            <w:szCs w:val="20"/>
          </w:rPr>
          <w:t>Figure 15: CDC Stage 3 Centralized Distribution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20</w:t>
        </w:r>
        <w:r w:rsidR="00EA03E5">
          <w:rPr>
            <w:rStyle w:val="Hyperlink"/>
            <w:rFonts w:asciiTheme="minorHAnsi" w:hAnsiTheme="minorHAnsi"/>
            <w:noProof/>
            <w:webHidden/>
            <w:szCs w:val="20"/>
          </w:rPr>
          <w:fldChar w:fldCharType="end"/>
        </w:r>
      </w:hyperlink>
    </w:p>
    <w:p w14:paraId="3D448E0D" w14:textId="77777777" w:rsidR="00EA03E5" w:rsidRDefault="003826A4" w:rsidP="00EA03E5">
      <w:pPr>
        <w:pStyle w:val="TableofFigures"/>
        <w:rPr>
          <w:rFonts w:asciiTheme="minorHAnsi" w:eastAsiaTheme="minorEastAsia" w:hAnsiTheme="minorHAnsi" w:cstheme="minorBidi"/>
          <w:noProof/>
          <w:szCs w:val="20"/>
        </w:rPr>
      </w:pPr>
      <w:hyperlink r:id="rId60" w:anchor="_Toc9609216" w:history="1">
        <w:r w:rsidR="00EA03E5">
          <w:rPr>
            <w:rStyle w:val="Hyperlink"/>
            <w:rFonts w:asciiTheme="minorHAnsi" w:hAnsiTheme="minorHAnsi"/>
            <w:noProof/>
            <w:szCs w:val="20"/>
          </w:rPr>
          <w:t>Figure 16: DDC Stage 3 Decentralized Distribution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21</w:t>
        </w:r>
        <w:r w:rsidR="00EA03E5">
          <w:rPr>
            <w:rStyle w:val="Hyperlink"/>
            <w:rFonts w:asciiTheme="minorHAnsi" w:hAnsiTheme="minorHAnsi"/>
            <w:noProof/>
            <w:webHidden/>
            <w:szCs w:val="20"/>
          </w:rPr>
          <w:fldChar w:fldCharType="end"/>
        </w:r>
      </w:hyperlink>
    </w:p>
    <w:p w14:paraId="0A0A675C" w14:textId="77777777" w:rsidR="00EA03E5" w:rsidRDefault="003826A4" w:rsidP="00EA03E5">
      <w:pPr>
        <w:pStyle w:val="TableofFigures"/>
        <w:rPr>
          <w:rFonts w:asciiTheme="minorHAnsi" w:eastAsiaTheme="minorEastAsia" w:hAnsiTheme="minorHAnsi" w:cstheme="minorBidi"/>
          <w:noProof/>
          <w:szCs w:val="20"/>
        </w:rPr>
      </w:pPr>
      <w:hyperlink r:id="rId61" w:anchor="_Toc9609217" w:history="1">
        <w:r w:rsidR="00EA03E5">
          <w:rPr>
            <w:rStyle w:val="Hyperlink"/>
            <w:rFonts w:asciiTheme="minorHAnsi" w:hAnsiTheme="minorHAnsi"/>
            <w:noProof/>
            <w:szCs w:val="20"/>
          </w:rPr>
          <w:t>Figure 17: DCE Stage 4 Payment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22</w:t>
        </w:r>
        <w:r w:rsidR="00EA03E5">
          <w:rPr>
            <w:rStyle w:val="Hyperlink"/>
            <w:rFonts w:asciiTheme="minorHAnsi" w:hAnsiTheme="minorHAnsi"/>
            <w:noProof/>
            <w:webHidden/>
            <w:szCs w:val="20"/>
          </w:rPr>
          <w:fldChar w:fldCharType="end"/>
        </w:r>
      </w:hyperlink>
    </w:p>
    <w:p w14:paraId="4C2BF7B5" w14:textId="77777777" w:rsidR="00EA03E5" w:rsidRDefault="003826A4" w:rsidP="00EA03E5">
      <w:pPr>
        <w:pStyle w:val="TableofFigures"/>
        <w:rPr>
          <w:rFonts w:asciiTheme="minorHAnsi" w:eastAsiaTheme="minorEastAsia" w:hAnsiTheme="minorHAnsi" w:cstheme="minorBidi"/>
          <w:noProof/>
          <w:szCs w:val="20"/>
        </w:rPr>
      </w:pPr>
      <w:hyperlink r:id="rId62" w:anchor="_Toc9609218" w:history="1">
        <w:r w:rsidR="00EA03E5">
          <w:rPr>
            <w:rStyle w:val="Hyperlink"/>
            <w:rFonts w:asciiTheme="minorHAnsi" w:hAnsiTheme="minorHAnsi"/>
            <w:noProof/>
            <w:szCs w:val="20"/>
          </w:rPr>
          <w:t>Figure 18: DCE Stage 5 Conversion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23</w:t>
        </w:r>
        <w:r w:rsidR="00EA03E5">
          <w:rPr>
            <w:rStyle w:val="Hyperlink"/>
            <w:rFonts w:asciiTheme="minorHAnsi" w:hAnsiTheme="minorHAnsi"/>
            <w:noProof/>
            <w:webHidden/>
            <w:szCs w:val="20"/>
          </w:rPr>
          <w:fldChar w:fldCharType="end"/>
        </w:r>
      </w:hyperlink>
    </w:p>
    <w:p w14:paraId="4DCAB8F0" w14:textId="77777777" w:rsidR="00EA03E5" w:rsidRDefault="003826A4" w:rsidP="00EA03E5">
      <w:pPr>
        <w:pStyle w:val="TableofFigures"/>
        <w:rPr>
          <w:rFonts w:asciiTheme="minorHAnsi" w:eastAsiaTheme="minorEastAsia" w:hAnsiTheme="minorHAnsi" w:cstheme="minorBidi"/>
          <w:noProof/>
          <w:szCs w:val="20"/>
        </w:rPr>
      </w:pPr>
      <w:hyperlink r:id="rId63" w:anchor="_Toc9609219" w:history="1">
        <w:r w:rsidR="00EA03E5">
          <w:rPr>
            <w:rStyle w:val="Hyperlink"/>
            <w:rFonts w:asciiTheme="minorHAnsi" w:hAnsiTheme="minorHAnsi"/>
            <w:noProof/>
            <w:szCs w:val="20"/>
          </w:rPr>
          <w:t>Figure 19: DCE Model as Centralized and Decentralized Digital Currency Models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24</w:t>
        </w:r>
        <w:r w:rsidR="00EA03E5">
          <w:rPr>
            <w:rStyle w:val="Hyperlink"/>
            <w:rFonts w:asciiTheme="minorHAnsi" w:hAnsiTheme="minorHAnsi"/>
            <w:noProof/>
            <w:webHidden/>
            <w:szCs w:val="20"/>
          </w:rPr>
          <w:fldChar w:fldCharType="end"/>
        </w:r>
      </w:hyperlink>
    </w:p>
    <w:p w14:paraId="7525B563" w14:textId="77777777" w:rsidR="00EA03E5" w:rsidRDefault="003826A4" w:rsidP="00EA03E5">
      <w:pPr>
        <w:pStyle w:val="TableofFigures"/>
        <w:rPr>
          <w:rFonts w:asciiTheme="minorHAnsi" w:eastAsiaTheme="minorEastAsia" w:hAnsiTheme="minorHAnsi" w:cstheme="minorBidi"/>
          <w:noProof/>
          <w:szCs w:val="20"/>
        </w:rPr>
      </w:pPr>
      <w:hyperlink r:id="rId64" w:anchor="_Toc9609220" w:history="1">
        <w:r w:rsidR="00EA03E5">
          <w:rPr>
            <w:rStyle w:val="Hyperlink"/>
            <w:rFonts w:asciiTheme="minorHAnsi" w:hAnsiTheme="minorHAnsi"/>
            <w:noProof/>
            <w:szCs w:val="20"/>
          </w:rPr>
          <w:t>Figure 20: Centralized Digital Currency Ecosystem Level 1 &amp; 2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25</w:t>
        </w:r>
        <w:r w:rsidR="00EA03E5">
          <w:rPr>
            <w:rStyle w:val="Hyperlink"/>
            <w:rFonts w:asciiTheme="minorHAnsi" w:hAnsiTheme="minorHAnsi"/>
            <w:noProof/>
            <w:webHidden/>
            <w:szCs w:val="20"/>
          </w:rPr>
          <w:fldChar w:fldCharType="end"/>
        </w:r>
      </w:hyperlink>
    </w:p>
    <w:p w14:paraId="42AC8DE0" w14:textId="77777777" w:rsidR="00EA03E5" w:rsidRDefault="003826A4" w:rsidP="00EA03E5">
      <w:pPr>
        <w:pStyle w:val="TableofFigures"/>
        <w:rPr>
          <w:rFonts w:asciiTheme="minorHAnsi" w:eastAsiaTheme="minorEastAsia" w:hAnsiTheme="minorHAnsi" w:cstheme="minorBidi"/>
          <w:noProof/>
          <w:szCs w:val="20"/>
        </w:rPr>
      </w:pPr>
      <w:hyperlink r:id="rId65" w:anchor="_Toc9609221" w:history="1">
        <w:r w:rsidR="00EA03E5">
          <w:rPr>
            <w:rStyle w:val="Hyperlink"/>
            <w:rFonts w:asciiTheme="minorHAnsi" w:hAnsiTheme="minorHAnsi"/>
            <w:noProof/>
            <w:szCs w:val="20"/>
          </w:rPr>
          <w:t>Figure 21: Decentralized Digital Currency Ecosystem Level 1 &amp; 2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26</w:t>
        </w:r>
        <w:r w:rsidR="00EA03E5">
          <w:rPr>
            <w:rStyle w:val="Hyperlink"/>
            <w:rFonts w:asciiTheme="minorHAnsi" w:hAnsiTheme="minorHAnsi"/>
            <w:noProof/>
            <w:webHidden/>
            <w:szCs w:val="20"/>
          </w:rPr>
          <w:fldChar w:fldCharType="end"/>
        </w:r>
      </w:hyperlink>
    </w:p>
    <w:p w14:paraId="70CBAE67" w14:textId="77777777" w:rsidR="00EA03E5" w:rsidRDefault="003826A4" w:rsidP="00EA03E5">
      <w:pPr>
        <w:pStyle w:val="TableofFigures"/>
        <w:rPr>
          <w:rFonts w:asciiTheme="minorHAnsi" w:eastAsiaTheme="minorEastAsia" w:hAnsiTheme="minorHAnsi" w:cstheme="minorBidi"/>
          <w:noProof/>
          <w:szCs w:val="20"/>
        </w:rPr>
      </w:pPr>
      <w:hyperlink r:id="rId66" w:anchor="_Toc9609222" w:history="1">
        <w:r w:rsidR="00EA03E5">
          <w:rPr>
            <w:rStyle w:val="Hyperlink"/>
            <w:rFonts w:asciiTheme="minorHAnsi" w:hAnsiTheme="minorHAnsi"/>
            <w:noProof/>
            <w:szCs w:val="20"/>
          </w:rPr>
          <w:t>Figure 22: Four Expression Models: Top to bottom Security Control Expression, Threat Attack Expression, Threat Target Security Expression and Protection Assurance Expression.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27</w:t>
        </w:r>
        <w:r w:rsidR="00EA03E5">
          <w:rPr>
            <w:rStyle w:val="Hyperlink"/>
            <w:rFonts w:asciiTheme="minorHAnsi" w:hAnsiTheme="minorHAnsi"/>
            <w:noProof/>
            <w:webHidden/>
            <w:szCs w:val="20"/>
          </w:rPr>
          <w:fldChar w:fldCharType="end"/>
        </w:r>
      </w:hyperlink>
    </w:p>
    <w:p w14:paraId="50EE9210" w14:textId="77777777" w:rsidR="00EA03E5" w:rsidRDefault="003826A4" w:rsidP="00EA03E5">
      <w:pPr>
        <w:pStyle w:val="TableofFigures"/>
        <w:rPr>
          <w:rFonts w:asciiTheme="minorHAnsi" w:eastAsiaTheme="minorEastAsia" w:hAnsiTheme="minorHAnsi" w:cstheme="minorBidi"/>
          <w:noProof/>
          <w:szCs w:val="20"/>
        </w:rPr>
      </w:pPr>
      <w:hyperlink r:id="rId67" w:anchor="_Toc9609223" w:history="1">
        <w:r w:rsidR="00EA03E5">
          <w:rPr>
            <w:rStyle w:val="Hyperlink"/>
            <w:rFonts w:asciiTheme="minorHAnsi" w:eastAsia="Calibri" w:hAnsiTheme="minorHAnsi"/>
            <w:i/>
            <w:iCs/>
            <w:noProof/>
            <w:szCs w:val="20"/>
          </w:rPr>
          <w:t>Figure 23: Current Security Control Objective and NIST CSF to NIST 800-53 Mapping</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28</w:t>
        </w:r>
        <w:r w:rsidR="00EA03E5">
          <w:rPr>
            <w:rStyle w:val="Hyperlink"/>
            <w:rFonts w:asciiTheme="minorHAnsi" w:hAnsiTheme="minorHAnsi"/>
            <w:noProof/>
            <w:webHidden/>
            <w:szCs w:val="20"/>
          </w:rPr>
          <w:fldChar w:fldCharType="end"/>
        </w:r>
      </w:hyperlink>
    </w:p>
    <w:p w14:paraId="6B665856" w14:textId="77777777" w:rsidR="00EA03E5" w:rsidRDefault="003826A4" w:rsidP="00EA03E5">
      <w:pPr>
        <w:pStyle w:val="TableofFigures"/>
        <w:rPr>
          <w:rFonts w:asciiTheme="minorHAnsi" w:eastAsiaTheme="minorEastAsia" w:hAnsiTheme="minorHAnsi" w:cstheme="minorBidi"/>
          <w:noProof/>
          <w:szCs w:val="20"/>
        </w:rPr>
      </w:pPr>
      <w:hyperlink r:id="rId68" w:anchor="_Toc9609224" w:history="1">
        <w:r w:rsidR="00EA03E5">
          <w:rPr>
            <w:rStyle w:val="Hyperlink"/>
            <w:rFonts w:asciiTheme="minorHAnsi" w:eastAsia="Calibri" w:hAnsiTheme="minorHAnsi"/>
            <w:i/>
            <w:iCs/>
            <w:noProof/>
            <w:szCs w:val="20"/>
          </w:rPr>
          <w:t>Figure 24: General Security Control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29</w:t>
        </w:r>
        <w:r w:rsidR="00EA03E5">
          <w:rPr>
            <w:rStyle w:val="Hyperlink"/>
            <w:rFonts w:asciiTheme="minorHAnsi" w:hAnsiTheme="minorHAnsi"/>
            <w:noProof/>
            <w:webHidden/>
            <w:szCs w:val="20"/>
          </w:rPr>
          <w:fldChar w:fldCharType="end"/>
        </w:r>
      </w:hyperlink>
    </w:p>
    <w:p w14:paraId="5057C3FE" w14:textId="77777777" w:rsidR="00EA03E5" w:rsidRDefault="003826A4" w:rsidP="00EA03E5">
      <w:pPr>
        <w:pStyle w:val="TableofFigures"/>
        <w:rPr>
          <w:rFonts w:asciiTheme="minorHAnsi" w:eastAsiaTheme="minorEastAsia" w:hAnsiTheme="minorHAnsi" w:cstheme="minorBidi"/>
          <w:noProof/>
          <w:szCs w:val="20"/>
        </w:rPr>
      </w:pPr>
      <w:hyperlink r:id="rId69" w:anchor="_Toc9609225" w:history="1">
        <w:r w:rsidR="00EA03E5">
          <w:rPr>
            <w:rStyle w:val="Hyperlink"/>
            <w:rFonts w:asciiTheme="minorHAnsi" w:eastAsia="Calibri" w:hAnsiTheme="minorHAnsi"/>
            <w:i/>
            <w:iCs/>
            <w:noProof/>
            <w:szCs w:val="20"/>
          </w:rPr>
          <w:t>Figure 25: Decomposing Security Delivered &amp; Protection Received</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29</w:t>
        </w:r>
        <w:r w:rsidR="00EA03E5">
          <w:rPr>
            <w:rStyle w:val="Hyperlink"/>
            <w:rFonts w:asciiTheme="minorHAnsi" w:hAnsiTheme="minorHAnsi"/>
            <w:noProof/>
            <w:webHidden/>
            <w:szCs w:val="20"/>
          </w:rPr>
          <w:fldChar w:fldCharType="end"/>
        </w:r>
      </w:hyperlink>
    </w:p>
    <w:p w14:paraId="5206BEB7" w14:textId="77777777" w:rsidR="00EA03E5" w:rsidRDefault="003826A4" w:rsidP="00EA03E5">
      <w:pPr>
        <w:pStyle w:val="TableofFigures"/>
        <w:rPr>
          <w:rFonts w:asciiTheme="minorHAnsi" w:eastAsiaTheme="minorEastAsia" w:hAnsiTheme="minorHAnsi" w:cstheme="minorBidi"/>
          <w:noProof/>
          <w:szCs w:val="20"/>
        </w:rPr>
      </w:pPr>
      <w:hyperlink r:id="rId70" w:anchor="_Toc9609226" w:history="1">
        <w:r w:rsidR="00EA03E5">
          <w:rPr>
            <w:rStyle w:val="Hyperlink"/>
            <w:rFonts w:asciiTheme="minorHAnsi" w:eastAsia="Calibri" w:hAnsiTheme="minorHAnsi"/>
            <w:i/>
            <w:iCs/>
            <w:noProof/>
            <w:szCs w:val="20"/>
          </w:rPr>
          <w:t>Figure 26: General Security Control Block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30</w:t>
        </w:r>
        <w:r w:rsidR="00EA03E5">
          <w:rPr>
            <w:rStyle w:val="Hyperlink"/>
            <w:rFonts w:asciiTheme="minorHAnsi" w:hAnsiTheme="minorHAnsi"/>
            <w:noProof/>
            <w:webHidden/>
            <w:szCs w:val="20"/>
          </w:rPr>
          <w:fldChar w:fldCharType="end"/>
        </w:r>
      </w:hyperlink>
    </w:p>
    <w:p w14:paraId="67CF4B58" w14:textId="77777777" w:rsidR="00EA03E5" w:rsidRDefault="003826A4" w:rsidP="00EA03E5">
      <w:pPr>
        <w:pStyle w:val="TableofFigures"/>
        <w:rPr>
          <w:rFonts w:asciiTheme="minorHAnsi" w:eastAsiaTheme="minorEastAsia" w:hAnsiTheme="minorHAnsi" w:cstheme="minorBidi"/>
          <w:noProof/>
          <w:szCs w:val="20"/>
        </w:rPr>
      </w:pPr>
      <w:hyperlink r:id="rId71" w:anchor="_Toc9609227" w:history="1">
        <w:r w:rsidR="00EA03E5">
          <w:rPr>
            <w:rStyle w:val="Hyperlink"/>
            <w:rFonts w:asciiTheme="minorHAnsi" w:hAnsiTheme="minorHAnsi"/>
            <w:noProof/>
            <w:szCs w:val="20"/>
          </w:rPr>
          <w:t>Figure 27 Security Asset delivers protection to Business Asset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30</w:t>
        </w:r>
        <w:r w:rsidR="00EA03E5">
          <w:rPr>
            <w:rStyle w:val="Hyperlink"/>
            <w:rFonts w:asciiTheme="minorHAnsi" w:hAnsiTheme="minorHAnsi"/>
            <w:noProof/>
            <w:webHidden/>
            <w:szCs w:val="20"/>
          </w:rPr>
          <w:fldChar w:fldCharType="end"/>
        </w:r>
      </w:hyperlink>
    </w:p>
    <w:p w14:paraId="168A5925" w14:textId="77777777" w:rsidR="00EA03E5" w:rsidRDefault="003826A4" w:rsidP="00EA03E5">
      <w:pPr>
        <w:pStyle w:val="TableofFigures"/>
        <w:rPr>
          <w:rFonts w:asciiTheme="minorHAnsi" w:eastAsiaTheme="minorEastAsia" w:hAnsiTheme="minorHAnsi" w:cstheme="minorBidi"/>
          <w:noProof/>
          <w:szCs w:val="20"/>
        </w:rPr>
      </w:pPr>
      <w:hyperlink r:id="rId72" w:anchor="_Toc9609228" w:history="1">
        <w:r w:rsidR="00EA03E5">
          <w:rPr>
            <w:rStyle w:val="Hyperlink"/>
            <w:rFonts w:asciiTheme="minorHAnsi" w:hAnsiTheme="minorHAnsi"/>
            <w:noProof/>
            <w:szCs w:val="20"/>
          </w:rPr>
          <w:t>Figure 28 Expression Tense Derived by Association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31</w:t>
        </w:r>
        <w:r w:rsidR="00EA03E5">
          <w:rPr>
            <w:rStyle w:val="Hyperlink"/>
            <w:rFonts w:asciiTheme="minorHAnsi" w:hAnsiTheme="minorHAnsi"/>
            <w:noProof/>
            <w:webHidden/>
            <w:szCs w:val="20"/>
          </w:rPr>
          <w:fldChar w:fldCharType="end"/>
        </w:r>
      </w:hyperlink>
    </w:p>
    <w:p w14:paraId="548AA2AD" w14:textId="77777777" w:rsidR="00EA03E5" w:rsidRDefault="003826A4" w:rsidP="00EA03E5">
      <w:pPr>
        <w:pStyle w:val="TableofFigures"/>
        <w:rPr>
          <w:rFonts w:asciiTheme="minorHAnsi" w:eastAsiaTheme="minorEastAsia" w:hAnsiTheme="minorHAnsi" w:cstheme="minorBidi"/>
          <w:noProof/>
          <w:szCs w:val="20"/>
        </w:rPr>
      </w:pPr>
      <w:hyperlink r:id="rId73" w:anchor="_Toc9609229" w:history="1">
        <w:r w:rsidR="00EA03E5">
          <w:rPr>
            <w:rStyle w:val="Hyperlink"/>
            <w:rFonts w:asciiTheme="minorHAnsi" w:hAnsiTheme="minorHAnsi"/>
            <w:noProof/>
            <w:szCs w:val="20"/>
          </w:rPr>
          <w:t>Figure 29 Security Control Expression Integrated with Security Asset &amp; Business Asset Inventories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32</w:t>
        </w:r>
        <w:r w:rsidR="00EA03E5">
          <w:rPr>
            <w:rStyle w:val="Hyperlink"/>
            <w:rFonts w:asciiTheme="minorHAnsi" w:hAnsiTheme="minorHAnsi"/>
            <w:noProof/>
            <w:webHidden/>
            <w:szCs w:val="20"/>
          </w:rPr>
          <w:fldChar w:fldCharType="end"/>
        </w:r>
      </w:hyperlink>
    </w:p>
    <w:p w14:paraId="658FB690" w14:textId="77777777" w:rsidR="00EA03E5" w:rsidRDefault="003826A4" w:rsidP="00EA03E5">
      <w:pPr>
        <w:pStyle w:val="TableofFigures"/>
        <w:rPr>
          <w:rFonts w:asciiTheme="minorHAnsi" w:eastAsiaTheme="minorEastAsia" w:hAnsiTheme="minorHAnsi" w:cstheme="minorBidi"/>
          <w:noProof/>
          <w:szCs w:val="20"/>
        </w:rPr>
      </w:pPr>
      <w:hyperlink r:id="rId74" w:anchor="_Toc9609230" w:history="1">
        <w:r w:rsidR="00EA03E5">
          <w:rPr>
            <w:rStyle w:val="Hyperlink"/>
            <w:rFonts w:asciiTheme="minorHAnsi" w:eastAsia="Calibri" w:hAnsiTheme="minorHAnsi"/>
            <w:i/>
            <w:iCs/>
            <w:noProof/>
            <w:szCs w:val="20"/>
          </w:rPr>
          <w:t>Figure 30: General Threat Attack Expression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33</w:t>
        </w:r>
        <w:r w:rsidR="00EA03E5">
          <w:rPr>
            <w:rStyle w:val="Hyperlink"/>
            <w:rFonts w:asciiTheme="minorHAnsi" w:hAnsiTheme="minorHAnsi"/>
            <w:noProof/>
            <w:webHidden/>
            <w:szCs w:val="20"/>
          </w:rPr>
          <w:fldChar w:fldCharType="end"/>
        </w:r>
      </w:hyperlink>
    </w:p>
    <w:p w14:paraId="555BABD8" w14:textId="77777777" w:rsidR="00EA03E5" w:rsidRDefault="003826A4" w:rsidP="00EA03E5">
      <w:pPr>
        <w:pStyle w:val="TableofFigures"/>
        <w:rPr>
          <w:rFonts w:asciiTheme="minorHAnsi" w:eastAsiaTheme="minorEastAsia" w:hAnsiTheme="minorHAnsi" w:cstheme="minorBidi"/>
          <w:noProof/>
          <w:szCs w:val="20"/>
        </w:rPr>
      </w:pPr>
      <w:hyperlink r:id="rId75" w:anchor="_Toc9609231" w:history="1">
        <w:r w:rsidR="00EA03E5">
          <w:rPr>
            <w:rStyle w:val="Hyperlink"/>
            <w:rFonts w:asciiTheme="minorHAnsi" w:eastAsia="Calibri" w:hAnsiTheme="minorHAnsi"/>
            <w:i/>
            <w:iCs/>
            <w:noProof/>
            <w:szCs w:val="20"/>
          </w:rPr>
          <w:t>Figure 31: Target Attack Intent and Target Protection Attack Intent models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33</w:t>
        </w:r>
        <w:r w:rsidR="00EA03E5">
          <w:rPr>
            <w:rStyle w:val="Hyperlink"/>
            <w:rFonts w:asciiTheme="minorHAnsi" w:hAnsiTheme="minorHAnsi"/>
            <w:noProof/>
            <w:webHidden/>
            <w:szCs w:val="20"/>
          </w:rPr>
          <w:fldChar w:fldCharType="end"/>
        </w:r>
      </w:hyperlink>
    </w:p>
    <w:p w14:paraId="38DC6F23" w14:textId="77777777" w:rsidR="00EA03E5" w:rsidRDefault="003826A4" w:rsidP="00EA03E5">
      <w:pPr>
        <w:pStyle w:val="TableofFigures"/>
        <w:rPr>
          <w:rFonts w:asciiTheme="minorHAnsi" w:eastAsiaTheme="minorEastAsia" w:hAnsiTheme="minorHAnsi" w:cstheme="minorBidi"/>
          <w:noProof/>
          <w:szCs w:val="20"/>
        </w:rPr>
      </w:pPr>
      <w:hyperlink r:id="rId76" w:anchor="_Toc9609232" w:history="1">
        <w:r w:rsidR="00EA03E5">
          <w:rPr>
            <w:rStyle w:val="Hyperlink"/>
            <w:rFonts w:asciiTheme="minorHAnsi" w:eastAsia="Calibri" w:hAnsiTheme="minorHAnsi"/>
            <w:i/>
            <w:iCs/>
            <w:noProof/>
            <w:szCs w:val="20"/>
          </w:rPr>
          <w:t>Figure 32: Threat | Target | Security Block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34</w:t>
        </w:r>
        <w:r w:rsidR="00EA03E5">
          <w:rPr>
            <w:rStyle w:val="Hyperlink"/>
            <w:rFonts w:asciiTheme="minorHAnsi" w:hAnsiTheme="minorHAnsi"/>
            <w:noProof/>
            <w:webHidden/>
            <w:szCs w:val="20"/>
          </w:rPr>
          <w:fldChar w:fldCharType="end"/>
        </w:r>
      </w:hyperlink>
    </w:p>
    <w:p w14:paraId="7BA05A3E" w14:textId="77777777" w:rsidR="00EA03E5" w:rsidRDefault="003826A4" w:rsidP="00EA03E5">
      <w:pPr>
        <w:pStyle w:val="TableofFigures"/>
        <w:rPr>
          <w:rFonts w:asciiTheme="minorHAnsi" w:eastAsiaTheme="minorEastAsia" w:hAnsiTheme="minorHAnsi" w:cstheme="minorBidi"/>
          <w:noProof/>
          <w:szCs w:val="20"/>
        </w:rPr>
      </w:pPr>
      <w:hyperlink r:id="rId77" w:anchor="_Toc9609233" w:history="1">
        <w:r w:rsidR="00EA03E5">
          <w:rPr>
            <w:rStyle w:val="Hyperlink"/>
            <w:rFonts w:asciiTheme="minorHAnsi" w:eastAsia="Calibri" w:hAnsiTheme="minorHAnsi"/>
            <w:i/>
            <w:iCs/>
            <w:noProof/>
            <w:szCs w:val="20"/>
          </w:rPr>
          <w:t>Figure 34: Threat | Target | Protection Assurance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35</w:t>
        </w:r>
        <w:r w:rsidR="00EA03E5">
          <w:rPr>
            <w:rStyle w:val="Hyperlink"/>
            <w:rFonts w:asciiTheme="minorHAnsi" w:hAnsiTheme="minorHAnsi"/>
            <w:noProof/>
            <w:webHidden/>
            <w:szCs w:val="20"/>
          </w:rPr>
          <w:fldChar w:fldCharType="end"/>
        </w:r>
      </w:hyperlink>
    </w:p>
    <w:p w14:paraId="51B2F622" w14:textId="77777777" w:rsidR="00EA03E5" w:rsidRDefault="003826A4" w:rsidP="00EA03E5">
      <w:pPr>
        <w:pStyle w:val="TableofFigures"/>
        <w:rPr>
          <w:rFonts w:asciiTheme="minorHAnsi" w:eastAsiaTheme="minorEastAsia" w:hAnsiTheme="minorHAnsi" w:cstheme="minorBidi"/>
          <w:noProof/>
          <w:szCs w:val="20"/>
        </w:rPr>
      </w:pPr>
      <w:hyperlink r:id="rId78" w:anchor="_Toc9609234" w:history="1">
        <w:r w:rsidR="00EA03E5">
          <w:rPr>
            <w:rStyle w:val="Hyperlink"/>
            <w:rFonts w:asciiTheme="minorHAnsi" w:eastAsia="Calibri" w:hAnsiTheme="minorHAnsi"/>
            <w:i/>
            <w:iCs/>
            <w:noProof/>
            <w:szCs w:val="20"/>
          </w:rPr>
          <w:t>Figure 35: Threat | Target | Protection Model in Full Text with Nomenclature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35</w:t>
        </w:r>
        <w:r w:rsidR="00EA03E5">
          <w:rPr>
            <w:rStyle w:val="Hyperlink"/>
            <w:rFonts w:asciiTheme="minorHAnsi" w:hAnsiTheme="minorHAnsi"/>
            <w:noProof/>
            <w:webHidden/>
            <w:szCs w:val="20"/>
          </w:rPr>
          <w:fldChar w:fldCharType="end"/>
        </w:r>
      </w:hyperlink>
    </w:p>
    <w:p w14:paraId="599948B2" w14:textId="77777777" w:rsidR="00EA03E5" w:rsidRDefault="00EA03E5" w:rsidP="00EA03E5">
      <w:pPr>
        <w:rPr>
          <w:rFonts w:asciiTheme="minorHAnsi" w:eastAsia="Arial Unicode MS" w:hAnsiTheme="minorHAnsi" w:cstheme="minorHAnsi"/>
          <w:sz w:val="18"/>
          <w:szCs w:val="22"/>
        </w:rPr>
      </w:pPr>
      <w:r>
        <w:rPr>
          <w:rFonts w:asciiTheme="minorHAnsi" w:hAnsiTheme="minorHAnsi" w:cstheme="minorHAnsi"/>
        </w:rPr>
        <w:fldChar w:fldCharType="end"/>
      </w:r>
      <w:r>
        <w:rPr>
          <w:rFonts w:asciiTheme="minorHAnsi" w:hAnsiTheme="minorHAnsi" w:cstheme="minorHAnsi"/>
          <w:sz w:val="18"/>
          <w:szCs w:val="22"/>
        </w:rPr>
        <w:br w:type="page"/>
      </w:r>
    </w:p>
    <w:p w14:paraId="6292D3CE"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8" w:name="_Toc9609160"/>
      <w:r w:rsidRPr="00EA03E5">
        <w:rPr>
          <w:rFonts w:eastAsia="Times New Roman"/>
          <w:b/>
          <w:bCs/>
          <w:kern w:val="32"/>
          <w:szCs w:val="24"/>
          <w:lang w:val="en-US" w:eastAsia="en-US"/>
        </w:rPr>
        <w:lastRenderedPageBreak/>
        <w:t>Executive Summary</w:t>
      </w:r>
      <w:bookmarkEnd w:id="8"/>
    </w:p>
    <w:p w14:paraId="35D4715C" w14:textId="4826C2C1" w:rsidR="00EA03E5" w:rsidRPr="00EA03E5" w:rsidRDefault="003173B3" w:rsidP="003173B3">
      <w:pPr>
        <w:keepLines/>
        <w:spacing w:before="0" w:after="120" w:line="260" w:lineRule="atLeast"/>
        <w:jc w:val="both"/>
        <w:rPr>
          <w:rFonts w:eastAsia="Arial Unicode MS"/>
          <w:szCs w:val="24"/>
          <w:lang w:val="en-US" w:eastAsia="en-US"/>
        </w:rPr>
      </w:pPr>
      <w:r>
        <w:rPr>
          <w:rFonts w:eastAsia="Arial Unicode MS"/>
          <w:szCs w:val="24"/>
          <w:lang w:val="en-US" w:eastAsia="en-US"/>
        </w:rPr>
        <w:t>As per the terms of reference of the ITU-T</w:t>
      </w:r>
      <w:r w:rsidR="00EA03E5" w:rsidRPr="00EA03E5">
        <w:rPr>
          <w:rFonts w:eastAsia="Arial Unicode MS"/>
          <w:szCs w:val="24"/>
          <w:lang w:val="en-US" w:eastAsia="en-US"/>
        </w:rPr>
        <w:t xml:space="preserve"> Focus Group on </w:t>
      </w:r>
      <w:r>
        <w:rPr>
          <w:rFonts w:eastAsia="Arial Unicode MS"/>
          <w:szCs w:val="24"/>
          <w:lang w:val="en-US" w:eastAsia="en-US"/>
        </w:rPr>
        <w:t>Digital Currency</w:t>
      </w:r>
      <w:r w:rsidR="00EA03E5" w:rsidRPr="00EA03E5">
        <w:rPr>
          <w:rFonts w:eastAsia="Arial Unicode MS"/>
          <w:szCs w:val="24"/>
          <w:lang w:val="en-US" w:eastAsia="en-US"/>
        </w:rPr>
        <w:t xml:space="preserve"> in</w:t>
      </w:r>
      <w:r>
        <w:rPr>
          <w:rFonts w:eastAsia="Arial Unicode MS"/>
          <w:szCs w:val="24"/>
          <w:lang w:val="en-US" w:eastAsia="en-US"/>
        </w:rPr>
        <w:t>cluding Digital Fiat Currency (FG DFC</w:t>
      </w:r>
      <w:r w:rsidR="00EA03E5" w:rsidRPr="00EA03E5">
        <w:rPr>
          <w:rFonts w:eastAsia="Arial Unicode MS"/>
          <w:szCs w:val="24"/>
          <w:lang w:val="en-US" w:eastAsia="en-US"/>
        </w:rPr>
        <w:t>)</w:t>
      </w:r>
      <w:r>
        <w:rPr>
          <w:rFonts w:eastAsia="Arial Unicode MS"/>
          <w:szCs w:val="24"/>
          <w:lang w:val="en-US" w:eastAsia="en-US"/>
        </w:rPr>
        <w:t>, the Focus Group</w:t>
      </w:r>
      <w:r w:rsidR="00EA03E5" w:rsidRPr="00EA03E5">
        <w:rPr>
          <w:rFonts w:eastAsia="Arial Unicode MS"/>
          <w:szCs w:val="24"/>
          <w:lang w:val="en-US" w:eastAsia="en-US"/>
        </w:rPr>
        <w:t xml:space="preserve"> </w:t>
      </w:r>
      <w:r>
        <w:rPr>
          <w:rFonts w:eastAsia="Arial Unicode MS"/>
          <w:szCs w:val="24"/>
          <w:lang w:val="en-US" w:eastAsia="en-US"/>
        </w:rPr>
        <w:t>would</w:t>
      </w:r>
      <w:r w:rsidR="00EA03E5" w:rsidRPr="00EA03E5">
        <w:rPr>
          <w:rFonts w:eastAsia="Arial Unicode MS"/>
          <w:szCs w:val="24"/>
          <w:lang w:val="en-US" w:eastAsia="en-US"/>
        </w:rPr>
        <w:t xml:space="preserve"> develop security models around which </w:t>
      </w:r>
      <w:r>
        <w:rPr>
          <w:rFonts w:eastAsia="Arial Unicode MS"/>
          <w:szCs w:val="24"/>
          <w:lang w:val="en-US" w:eastAsia="en-US"/>
        </w:rPr>
        <w:t>security requirements</w:t>
      </w:r>
      <w:r w:rsidR="00EA03E5" w:rsidRPr="00EA03E5">
        <w:rPr>
          <w:rFonts w:eastAsia="Arial Unicode MS"/>
          <w:szCs w:val="24"/>
          <w:lang w:val="en-US" w:eastAsia="en-US"/>
        </w:rPr>
        <w:t xml:space="preserve"> could be defined in consideration of current best practices and the critical security challenges faced by the industry today. </w:t>
      </w:r>
    </w:p>
    <w:p w14:paraId="320DA300" w14:textId="77777777" w:rsidR="00EA03E5" w:rsidRPr="00EA03E5" w:rsidRDefault="00EA03E5" w:rsidP="00EA03E5">
      <w:pPr>
        <w:keepLines/>
        <w:spacing w:before="0" w:after="120" w:line="260" w:lineRule="atLeast"/>
        <w:ind w:left="720"/>
        <w:jc w:val="both"/>
        <w:rPr>
          <w:rFonts w:eastAsia="Arial Unicode MS"/>
          <w:szCs w:val="24"/>
          <w:lang w:val="en-US" w:eastAsia="en-US"/>
        </w:rPr>
      </w:pPr>
      <w:r w:rsidRPr="00EA03E5">
        <w:rPr>
          <w:rFonts w:eastAsia="Arial Unicode MS"/>
          <w:szCs w:val="24"/>
          <w:lang w:val="en-US" w:eastAsia="en-US"/>
        </w:rPr>
        <w:t xml:space="preserve">What is so special about transitioning the traditions and precedents of physical money into its digital equivalent? </w:t>
      </w:r>
    </w:p>
    <w:p w14:paraId="503302E7" w14:textId="0DB7B3B0" w:rsidR="00EA03E5" w:rsidRPr="00EA03E5" w:rsidRDefault="00EA03E5" w:rsidP="003173B3">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We have successfully transitioned from physical signatures to their digital and electronic equivalents. Almost everything today is digital. Can we apply current security best practices in the same way we protect current systems? Can we accept the typical financial industry fraud losses? It is a cost of doing business. Can we accept a breach once and a while? </w:t>
      </w:r>
    </w:p>
    <w:p w14:paraId="500331D5" w14:textId="4DB7D05F"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truth of the mat</w:t>
      </w:r>
      <w:r w:rsidR="003173B3">
        <w:rPr>
          <w:rFonts w:eastAsia="Arial Unicode MS"/>
          <w:szCs w:val="24"/>
          <w:lang w:val="en-US" w:eastAsia="en-US"/>
        </w:rPr>
        <w:t>ter is that most I</w:t>
      </w:r>
      <w:r w:rsidRPr="00EA03E5">
        <w:rPr>
          <w:rFonts w:eastAsia="Arial Unicode MS"/>
          <w:szCs w:val="24"/>
          <w:lang w:val="en-US" w:eastAsia="en-US"/>
        </w:rPr>
        <w:t xml:space="preserve">nternet connected systems are not secure-by-design and are compromised or can be compromised with just intent and resources. </w:t>
      </w:r>
    </w:p>
    <w:p w14:paraId="259B9105" w14:textId="77777777" w:rsidR="00EA03E5" w:rsidRPr="003173B3" w:rsidRDefault="00EA03E5" w:rsidP="00EA03E5">
      <w:pPr>
        <w:keepLines/>
        <w:spacing w:before="0" w:after="120" w:line="260" w:lineRule="atLeast"/>
        <w:ind w:left="720"/>
        <w:rPr>
          <w:rFonts w:eastAsia="Arial Unicode MS"/>
          <w:i/>
          <w:iCs/>
          <w:szCs w:val="24"/>
          <w:lang w:val="en-US" w:eastAsia="en-US"/>
        </w:rPr>
      </w:pPr>
      <w:r w:rsidRPr="003173B3">
        <w:rPr>
          <w:rFonts w:eastAsia="Arial Unicode MS"/>
          <w:i/>
          <w:iCs/>
          <w:szCs w:val="24"/>
          <w:lang w:val="en-US" w:eastAsia="en-US"/>
        </w:rPr>
        <w:t>Does Digital Fiat Currency or a Central Bank Digital Currency warrant a higher level of security assurance than is typical of financial services today?</w:t>
      </w:r>
    </w:p>
    <w:p w14:paraId="5C174215" w14:textId="77777777" w:rsidR="00EA03E5" w:rsidRPr="00EA03E5" w:rsidRDefault="00EA03E5" w:rsidP="00EA03E5">
      <w:pPr>
        <w:keepLines/>
        <w:spacing w:before="0" w:after="120" w:line="260" w:lineRule="atLeast"/>
        <w:rPr>
          <w:rFonts w:eastAsia="Arial Unicode MS"/>
          <w:szCs w:val="24"/>
          <w:lang w:val="en-US" w:eastAsia="en-US"/>
        </w:rPr>
      </w:pPr>
      <w:r w:rsidRPr="00EA03E5">
        <w:rPr>
          <w:rFonts w:eastAsia="Arial Unicode MS"/>
          <w:szCs w:val="24"/>
          <w:lang w:val="en-US" w:eastAsia="en-US"/>
        </w:rPr>
        <w:t>What will it take to “protect” various forms of Digital Currency? What is the problem? Do we have the capability and resources? The simple answer, based on our track record, highly uncertain. What will it take to get to the required answer – with confidence?</w:t>
      </w:r>
    </w:p>
    <w:p w14:paraId="034F1499" w14:textId="43542BD5" w:rsidR="00EA03E5" w:rsidRPr="00EA03E5" w:rsidRDefault="003173B3" w:rsidP="003173B3">
      <w:pPr>
        <w:keepLines/>
        <w:spacing w:before="0" w:after="120" w:line="260" w:lineRule="atLeast"/>
        <w:jc w:val="both"/>
        <w:rPr>
          <w:rFonts w:eastAsia="Arial Unicode MS"/>
          <w:szCs w:val="24"/>
          <w:lang w:val="en-US" w:eastAsia="en-US"/>
        </w:rPr>
      </w:pPr>
      <w:r>
        <w:rPr>
          <w:rFonts w:eastAsia="Arial Unicode MS"/>
          <w:szCs w:val="24"/>
          <w:lang w:val="en-US" w:eastAsia="en-US"/>
        </w:rPr>
        <w:t>The field of Cybersecurity</w:t>
      </w:r>
      <w:r w:rsidR="00EA03E5" w:rsidRPr="00EA03E5">
        <w:rPr>
          <w:rFonts w:eastAsia="Arial Unicode MS"/>
          <w:szCs w:val="24"/>
          <w:lang w:val="en-US" w:eastAsia="en-US"/>
        </w:rPr>
        <w:t xml:space="preserve"> - one cannot see it, touch it, smell it, hear it. For these ephemeral reasons, the field has been and continues to be avoided by most and mostly misunderstood. Even within the active security field, there is great variability in skill levels.  This is becoming worse with the influx of new practitioners. The field could benefit from analytical skills since the level-of-complexity of the field is very high and growing rapidly.</w:t>
      </w:r>
    </w:p>
    <w:p w14:paraId="0BD5D374"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field of Internet and eCommerce was initially relegated “to the basement” within IT. A security chasm formed between Security and IT who spoke “technobabble” and used fear, uncertainty and doubt and the business who had a “technophobia” for the rapidly changing Internet. Initially, the separation of the two worlds worked. However, in the last decade, a security awakening has occurred. Fiduciary executives have awakened to the impact of decades long underinvestment in and lack of commitment to security. Excessive residual risk was taken. </w:t>
      </w:r>
    </w:p>
    <w:p w14:paraId="251DC084"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Unlike other fields, Security is an art and not a science. It is not formed in the traditional “field-of-science” manner with formal university creation but rather through grass root, technical expertise as the information revolution exploded. With spreadsheets being the primary industry tool to manage security controls, most practitioners develop their own approach and method each time they need to measure, track and demonstrate compliance. This institutional security information is entombed in the spreadsheet and sometimes lost and/or reinterpreted by others. The cycle of loss repeats itself.</w:t>
      </w:r>
    </w:p>
    <w:p w14:paraId="016F5B58"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Secure-by-Design is most often not incorporated into the original design due to increased costs and complexities. In this case, security is relegated to a “bad IT” Band-Aid role with poor protection results.    </w:t>
      </w:r>
    </w:p>
    <w:p w14:paraId="280FE9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Today, innovation is outpacing our ability to secure and protect with confidence. The impact of not having a formal security taxonomy and ontology, results in variability and subjectivity in the nature, form and prescriptiveness of security control descriptions for identical security control topics. This variability requires significant human reconciliation and interpretation efforts, resulting in significant time and costs allocated to understanding, managing and normalizing. </w:t>
      </w:r>
    </w:p>
    <w:p w14:paraId="0580306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This paper outlines a security model and method that addresses two security challenges at the core of insufficient and ineffective protection</w:t>
      </w:r>
      <w:r w:rsidRPr="00EA03E5">
        <w:rPr>
          <w:rFonts w:eastAsia="Arial Unicode MS"/>
          <w:szCs w:val="24"/>
          <w:vertAlign w:val="superscript"/>
          <w:lang w:val="en-US" w:eastAsia="en-US"/>
        </w:rPr>
        <w:footnoteReference w:id="2"/>
      </w:r>
      <w:r w:rsidRPr="00EA03E5">
        <w:rPr>
          <w:rFonts w:eastAsia="Arial Unicode MS"/>
          <w:szCs w:val="24"/>
          <w:lang w:val="en-US" w:eastAsia="en-US"/>
        </w:rPr>
        <w:t xml:space="preserve"> - funding driving amount-of-security and visibility driving quality-of-security. </w:t>
      </w:r>
    </w:p>
    <w:p w14:paraId="21CE19D7" w14:textId="77777777" w:rsidR="00EA03E5" w:rsidRPr="00EA03E5" w:rsidRDefault="00EA03E5" w:rsidP="00EA03E5">
      <w:pPr>
        <w:keepLines/>
        <w:numPr>
          <w:ilvl w:val="0"/>
          <w:numId w:val="1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w:t>
      </w:r>
      <w:r w:rsidRPr="00EA03E5">
        <w:rPr>
          <w:rFonts w:eastAsia="Arial Unicode MS"/>
          <w:b/>
          <w:szCs w:val="24"/>
          <w:lang w:val="en-US" w:eastAsia="en-US"/>
        </w:rPr>
        <w:t>Unified Security Model</w:t>
      </w:r>
      <w:r w:rsidRPr="00EA03E5">
        <w:rPr>
          <w:rFonts w:eastAsia="Arial Unicode MS"/>
          <w:szCs w:val="24"/>
          <w:lang w:val="en-US" w:eastAsia="en-US"/>
        </w:rPr>
        <w:t xml:space="preserve"> (USM) integrates into a single system level model the fiduciary cycle of risk acceptance which determines resource funding (amount-of-security). </w:t>
      </w:r>
    </w:p>
    <w:p w14:paraId="7AC223F2" w14:textId="77777777" w:rsidR="00EA03E5" w:rsidRPr="00EA03E5" w:rsidRDefault="00EA03E5" w:rsidP="00EA03E5">
      <w:pPr>
        <w:keepLines/>
        <w:numPr>
          <w:ilvl w:val="0"/>
          <w:numId w:val="1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w:t>
      </w:r>
      <w:r w:rsidRPr="00EA03E5">
        <w:rPr>
          <w:rFonts w:eastAsia="Arial Unicode MS"/>
          <w:b/>
          <w:szCs w:val="24"/>
          <w:lang w:val="en-US" w:eastAsia="en-US"/>
        </w:rPr>
        <w:t>Unified Expression Model</w:t>
      </w:r>
      <w:r w:rsidRPr="00EA03E5">
        <w:rPr>
          <w:rFonts w:eastAsia="Arial Unicode MS"/>
          <w:szCs w:val="24"/>
          <w:lang w:val="en-US" w:eastAsia="en-US"/>
        </w:rPr>
        <w:t xml:space="preserve"> (UEM) integrates expressions into the USM as a single system with high visibility of “</w:t>
      </w:r>
      <w:r w:rsidRPr="00EA03E5">
        <w:rPr>
          <w:rFonts w:eastAsia="Arial Unicode MS"/>
          <w:i/>
          <w:szCs w:val="24"/>
          <w:lang w:val="en-US" w:eastAsia="en-US"/>
        </w:rPr>
        <w:t>Risk to Value and its Protection</w:t>
      </w:r>
      <w:r w:rsidRPr="00EA03E5">
        <w:rPr>
          <w:rFonts w:eastAsia="Arial Unicode MS"/>
          <w:szCs w:val="24"/>
          <w:lang w:val="en-US" w:eastAsia="en-US"/>
        </w:rPr>
        <w:t>” down to the more specific “</w:t>
      </w:r>
      <w:r w:rsidRPr="00EA03E5">
        <w:rPr>
          <w:rFonts w:eastAsia="Arial Unicode MS"/>
          <w:i/>
          <w:szCs w:val="24"/>
          <w:lang w:val="en-US" w:eastAsia="en-US"/>
        </w:rPr>
        <w:t>Attack Exploit to Target Vulnerability and its Countermeasures</w:t>
      </w:r>
      <w:r w:rsidRPr="00EA03E5">
        <w:rPr>
          <w:rFonts w:eastAsia="Arial Unicode MS"/>
          <w:szCs w:val="24"/>
          <w:lang w:val="en-US" w:eastAsia="en-US"/>
        </w:rPr>
        <w:t>” enabling advanced visibility, measurability and analysis of state-of-security to ensure quality-of-security.</w:t>
      </w:r>
    </w:p>
    <w:p w14:paraId="04E9E8C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Given the criticality of currency to people, nations and society and the severity of damages that could result from a loss of currency trust and confidence, the level of security assurance for the Digital Fiat Currency use case will be deemed to be: </w:t>
      </w:r>
    </w:p>
    <w:p w14:paraId="1C933F68" w14:textId="77777777" w:rsidR="00EA03E5" w:rsidRPr="00EA03E5" w:rsidRDefault="00EA03E5" w:rsidP="00EA03E5">
      <w:pPr>
        <w:keepLines/>
        <w:spacing w:before="0" w:after="120" w:line="260" w:lineRule="atLeast"/>
        <w:ind w:left="1440" w:right="999"/>
        <w:rPr>
          <w:rFonts w:eastAsia="Arial Unicode MS"/>
          <w:szCs w:val="24"/>
          <w:lang w:val="en-US" w:eastAsia="en-US"/>
        </w:rPr>
      </w:pPr>
      <w:r w:rsidRPr="00EA03E5">
        <w:rPr>
          <w:rFonts w:eastAsia="Arial Unicode MS"/>
          <w:b/>
          <w:szCs w:val="24"/>
          <w:lang w:val="en-US" w:eastAsia="en-US"/>
        </w:rPr>
        <w:t xml:space="preserve">Security Assurance Level: 4-5 High to Very High </w:t>
      </w:r>
      <w:r w:rsidRPr="00EA03E5">
        <w:rPr>
          <w:rFonts w:eastAsia="Arial Unicode MS"/>
          <w:b/>
          <w:szCs w:val="24"/>
          <w:lang w:val="en-US" w:eastAsia="en-US"/>
        </w:rPr>
        <w:br/>
      </w:r>
      <w:r w:rsidRPr="00EA03E5">
        <w:rPr>
          <w:rFonts w:eastAsia="Arial Unicode MS"/>
          <w:szCs w:val="24"/>
          <w:lang w:val="en-US" w:eastAsia="en-US"/>
        </w:rPr>
        <w:t>On a 1 to 5 scale of 1: Very Low | 2: Low | 3: Average | 4: High | 5: Very High</w:t>
      </w:r>
    </w:p>
    <w:p w14:paraId="57F445F5" w14:textId="77777777" w:rsidR="00EA03E5" w:rsidRPr="00EA03E5" w:rsidRDefault="00EA03E5" w:rsidP="00EA03E5">
      <w:pPr>
        <w:keepLines/>
        <w:spacing w:before="0" w:after="120" w:line="260" w:lineRule="atLeast"/>
        <w:ind w:right="999"/>
        <w:rPr>
          <w:rFonts w:eastAsia="Arial Unicode MS"/>
          <w:szCs w:val="24"/>
          <w:lang w:val="en-US" w:eastAsia="en-US"/>
        </w:rPr>
      </w:pPr>
      <w:r w:rsidRPr="00EA03E5">
        <w:rPr>
          <w:rFonts w:eastAsia="Arial Unicode MS"/>
          <w:szCs w:val="24"/>
          <w:lang w:val="en-US" w:eastAsia="en-US"/>
        </w:rPr>
        <w:t>For general reference purposes, the assurance level proposed is similar to the security assurance expected of the following.</w:t>
      </w:r>
    </w:p>
    <w:p w14:paraId="512CA54A" w14:textId="77777777" w:rsidR="00EA03E5" w:rsidRPr="00EA03E5" w:rsidRDefault="00EA03E5" w:rsidP="00EA03E5">
      <w:pPr>
        <w:keepLines/>
        <w:numPr>
          <w:ilvl w:val="0"/>
          <w:numId w:val="14"/>
        </w:numPr>
        <w:spacing w:before="0" w:after="120" w:line="260" w:lineRule="atLeast"/>
        <w:contextualSpacing/>
        <w:jc w:val="both"/>
        <w:rPr>
          <w:rFonts w:eastAsia="Arial Unicode MS"/>
          <w:szCs w:val="24"/>
          <w:lang w:val="en-US"/>
        </w:rPr>
      </w:pPr>
      <w:r w:rsidRPr="00EA03E5">
        <w:rPr>
          <w:rFonts w:eastAsia="Arial Unicode MS"/>
          <w:szCs w:val="24"/>
          <w:lang w:val="en-US"/>
        </w:rPr>
        <w:t xml:space="preserve">NIST 800-54 r4: “Security and Privacy Controls for Federal Information Systems and Organizations” High Assurance on a 3-level scale of Low | Medium | </w:t>
      </w:r>
      <w:r w:rsidRPr="00EA03E5">
        <w:rPr>
          <w:rFonts w:eastAsia="Arial Unicode MS"/>
          <w:b/>
          <w:szCs w:val="24"/>
          <w:lang w:val="en-US"/>
        </w:rPr>
        <w:t>High</w:t>
      </w:r>
    </w:p>
    <w:p w14:paraId="38CDE731" w14:textId="77777777" w:rsidR="00EA03E5" w:rsidRPr="00EA03E5" w:rsidRDefault="00EA03E5" w:rsidP="00EA03E5">
      <w:pPr>
        <w:keepLines/>
        <w:numPr>
          <w:ilvl w:val="0"/>
          <w:numId w:val="14"/>
        </w:numPr>
        <w:spacing w:before="0" w:after="120" w:line="260" w:lineRule="atLeast"/>
        <w:ind w:right="999"/>
        <w:jc w:val="both"/>
        <w:rPr>
          <w:rFonts w:eastAsia="Arial Unicode MS"/>
          <w:szCs w:val="24"/>
          <w:lang w:val="en-US" w:eastAsia="en-US"/>
        </w:rPr>
      </w:pPr>
      <w:r w:rsidRPr="00EA03E5">
        <w:rPr>
          <w:rFonts w:eastAsia="Arial Unicode MS"/>
          <w:szCs w:val="24"/>
          <w:lang w:val="en-US" w:eastAsia="en-US"/>
        </w:rPr>
        <w:t>Common Criteria v3.1 r5 for supply chain hardware and software security: Common Criteria for IT Security Evaluation (ISO/IEC 15408)</w:t>
      </w:r>
    </w:p>
    <w:p w14:paraId="4E2B1E70" w14:textId="77777777" w:rsidR="00EA03E5" w:rsidRPr="00EA03E5" w:rsidRDefault="00EA03E5" w:rsidP="00EA03E5">
      <w:pPr>
        <w:keepLines/>
        <w:numPr>
          <w:ilvl w:val="0"/>
          <w:numId w:val="14"/>
        </w:numPr>
        <w:spacing w:before="0" w:after="120" w:line="260" w:lineRule="atLeast"/>
        <w:ind w:right="999"/>
        <w:jc w:val="both"/>
        <w:rPr>
          <w:rFonts w:eastAsia="Arial Unicode MS"/>
          <w:szCs w:val="24"/>
          <w:lang w:val="en-US" w:eastAsia="en-US"/>
        </w:rPr>
      </w:pPr>
      <w:r w:rsidRPr="00EA03E5">
        <w:rPr>
          <w:rFonts w:eastAsia="Arial Unicode MS"/>
          <w:szCs w:val="24"/>
          <w:lang w:val="en-US" w:eastAsia="en-US"/>
        </w:rPr>
        <w:t>US FIPS high assurance standards like FIPS 140-3</w:t>
      </w:r>
      <w:r w:rsidRPr="00EA03E5">
        <w:rPr>
          <w:rFonts w:eastAsia="Arial Unicode MS"/>
          <w:szCs w:val="24"/>
          <w:vertAlign w:val="superscript"/>
          <w:lang w:val="en-US" w:eastAsia="en-US"/>
        </w:rPr>
        <w:footnoteReference w:id="3"/>
      </w:r>
      <w:r w:rsidRPr="00EA03E5">
        <w:rPr>
          <w:rFonts w:eastAsia="Arial Unicode MS"/>
          <w:szCs w:val="24"/>
          <w:lang w:val="en-US" w:eastAsia="en-US"/>
        </w:rPr>
        <w:t xml:space="preserve"> “Security Requirements for Cryptographic Modules”</w:t>
      </w:r>
    </w:p>
    <w:p w14:paraId="673B8E25" w14:textId="77777777" w:rsidR="00EA03E5" w:rsidRPr="00EA03E5" w:rsidRDefault="00EA03E5" w:rsidP="00EA03E5">
      <w:pPr>
        <w:keepLines/>
        <w:spacing w:before="0" w:after="120" w:line="260" w:lineRule="atLeast"/>
        <w:jc w:val="both"/>
        <w:rPr>
          <w:rFonts w:eastAsia="Arial Unicode MS"/>
          <w:szCs w:val="24"/>
          <w:lang w:val="en-US" w:eastAsia="en-US"/>
        </w:rPr>
      </w:pPr>
    </w:p>
    <w:p w14:paraId="72C90B03"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t xml:space="preserve">This paper recommends that for high to very high assurance use cases such as Digital Currency, an integrated, high precision, inheritance-based system and method be used to define, model and analyze all aspects of security required to provide reasonable protection. </w:t>
      </w:r>
    </w:p>
    <w:p w14:paraId="25B86FAC" w14:textId="77777777" w:rsidR="00EA03E5" w:rsidRPr="00EA03E5" w:rsidRDefault="00EA03E5" w:rsidP="00EA03E5">
      <w:pPr>
        <w:spacing w:before="0"/>
        <w:rPr>
          <w:rFonts w:eastAsia="Times New Roman"/>
          <w:b/>
          <w:bCs/>
          <w:kern w:val="32"/>
          <w:szCs w:val="24"/>
          <w:lang w:val="en-US" w:eastAsia="en-US"/>
        </w:rPr>
      </w:pPr>
      <w:r w:rsidRPr="00EA03E5">
        <w:rPr>
          <w:rFonts w:eastAsia="Arial Unicode MS"/>
          <w:szCs w:val="24"/>
          <w:lang w:val="en-US" w:eastAsia="en-US"/>
        </w:rPr>
        <w:br w:type="page"/>
      </w:r>
    </w:p>
    <w:p w14:paraId="2FA0DD72"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9" w:name="_Toc9609161"/>
      <w:bookmarkStart w:id="10" w:name="_Toc1816266"/>
      <w:bookmarkStart w:id="11" w:name="_Toc1812679"/>
      <w:r w:rsidRPr="00EA03E5">
        <w:rPr>
          <w:rFonts w:eastAsia="Times New Roman"/>
          <w:b/>
          <w:bCs/>
          <w:kern w:val="32"/>
          <w:szCs w:val="24"/>
          <w:lang w:val="en-US" w:eastAsia="en-US"/>
        </w:rPr>
        <w:lastRenderedPageBreak/>
        <w:t>Overview</w:t>
      </w:r>
      <w:bookmarkEnd w:id="9"/>
      <w:bookmarkEnd w:id="10"/>
      <w:bookmarkEnd w:id="11"/>
    </w:p>
    <w:p w14:paraId="495C2E96"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bookmarkStart w:id="12" w:name="_Hlk7771625"/>
      <w:r w:rsidRPr="00EA03E5">
        <w:rPr>
          <w:rFonts w:eastAsia="Arial Unicode MS"/>
          <w:color w:val="000000"/>
          <w:szCs w:val="24"/>
          <w:lang w:val="en-US" w:eastAsia="en-US"/>
        </w:rPr>
        <w:t xml:space="preserve">As indicated by the frequency and nature of compromises that are contained and breaches that trigger public disclosure, the protection of a complex end-to-end business, with confidence, is very difficult to achieve and maintain over time. </w:t>
      </w:r>
      <w:bookmarkEnd w:id="12"/>
      <w:r w:rsidRPr="00EA03E5">
        <w:rPr>
          <w:rFonts w:eastAsia="Arial Unicode MS"/>
          <w:color w:val="000000"/>
          <w:szCs w:val="24"/>
          <w:lang w:val="en-US" w:eastAsia="en-US"/>
        </w:rPr>
        <w:t xml:space="preserve">The protection of a complex end-to-end ecosystem is a an even greater challenge. </w:t>
      </w:r>
    </w:p>
    <w:p w14:paraId="707417F7"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30C85904" w14:textId="77777777" w:rsidR="00EA03E5" w:rsidRPr="00EA03E5" w:rsidRDefault="00EA03E5" w:rsidP="00EA03E5">
      <w:pPr>
        <w:keepLines/>
        <w:spacing w:before="0" w:after="120" w:line="260" w:lineRule="atLeast"/>
        <w:jc w:val="center"/>
        <w:rPr>
          <w:rFonts w:eastAsia="Arial Unicode MS"/>
          <w:i/>
          <w:color w:val="000000"/>
          <w:szCs w:val="24"/>
          <w:lang w:val="en-US" w:eastAsia="en-US"/>
        </w:rPr>
      </w:pPr>
      <w:r w:rsidRPr="00EA03E5">
        <w:rPr>
          <w:rFonts w:eastAsia="Arial Unicode MS"/>
          <w:i/>
          <w:color w:val="000000"/>
          <w:szCs w:val="24"/>
          <w:lang w:val="en-US" w:eastAsia="en-US"/>
        </w:rPr>
        <w:t>How can the “challenge be met?”    What are the main challenges?</w:t>
      </w:r>
    </w:p>
    <w:p w14:paraId="110BB2B7" w14:textId="77777777" w:rsidR="00EA03E5" w:rsidRPr="00EA03E5" w:rsidRDefault="00EA03E5" w:rsidP="00EA03E5">
      <w:pPr>
        <w:keepLines/>
        <w:spacing w:before="0" w:after="120" w:line="260" w:lineRule="atLeast"/>
        <w:jc w:val="center"/>
        <w:rPr>
          <w:rFonts w:eastAsia="Arial Unicode MS"/>
          <w:i/>
          <w:color w:val="000000"/>
          <w:szCs w:val="24"/>
          <w:lang w:val="en-US" w:eastAsia="en-US"/>
        </w:rPr>
      </w:pPr>
      <w:r w:rsidRPr="00EA03E5">
        <w:rPr>
          <w:rFonts w:eastAsia="Arial Unicode MS"/>
          <w:i/>
          <w:color w:val="000000"/>
          <w:szCs w:val="24"/>
          <w:lang w:val="en-US" w:eastAsia="en-US"/>
        </w:rPr>
        <w:t>How much will “meeting this challenge” cost? Is a new paradigm needed?</w:t>
      </w:r>
    </w:p>
    <w:p w14:paraId="08D3DC2B"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42B20E40"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central challenges are technical and non-technical. Protection is needed and that comes from an adequate “amount of security” driven by funding allocated by fiduciaries and the required “quality of security” in delivery. Protection can only be delivered “up to” the level of security funding. Failure to protect is often not a technical issue but a funding one. </w:t>
      </w:r>
    </w:p>
    <w:p w14:paraId="43D982AB"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need for effective and persistent security in a high assurance use case of “Digital Currency including Digital Fiat Currency” (“Digital Currency”) represents an even bigger challenge. To meet the challenge, a new approach is proposed that contains the necessary level of precision and control to adequately define and analyze the requirements in order to receive the funding to deploy, operate and maintain the required protection.</w:t>
      </w:r>
    </w:p>
    <w:p w14:paraId="0A76B6A9"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Effective protection cannot be achieved without a clear understanding of what is being protected – TARGET. Central to both the USM and UEM is a simple relationship of Threat | Target | Protection. This document defines a Digital Currency Ecosystem (DCE) Target model for centralized, hybrid and decentralized issuance. The DCE Target is defined in 5 Stages with a more detailed level 2 decomposition for each stage. The document outlines a residual risk model applied to the high level DCE Target.</w:t>
      </w:r>
    </w:p>
    <w:p w14:paraId="074A3163"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In order to define specific security standards, the DCE Target must be further decomposed to identify specific vulnerabilities to specific threats that need to be addressed. A detailed breakdown of the Target enables a clear understanding of the relationships between DCE components. </w:t>
      </w:r>
    </w:p>
    <w:p w14:paraId="44555B16"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color w:val="000000"/>
          <w:kern w:val="32"/>
          <w:szCs w:val="24"/>
          <w:lang w:val="en-US" w:eastAsia="en-US"/>
        </w:rPr>
      </w:pPr>
      <w:bookmarkStart w:id="13" w:name="_Toc9609162"/>
      <w:bookmarkStart w:id="14" w:name="_Toc1816267"/>
      <w:bookmarkStart w:id="15" w:name="_Toc1812680"/>
      <w:r w:rsidRPr="00EA03E5">
        <w:rPr>
          <w:rFonts w:eastAsia="Times New Roman"/>
          <w:b/>
          <w:bCs/>
          <w:color w:val="000000"/>
          <w:kern w:val="32"/>
          <w:szCs w:val="24"/>
          <w:lang w:val="en-US" w:eastAsia="en-US"/>
        </w:rPr>
        <w:t>Scope</w:t>
      </w:r>
      <w:bookmarkEnd w:id="13"/>
      <w:bookmarkEnd w:id="14"/>
      <w:bookmarkEnd w:id="15"/>
    </w:p>
    <w:p w14:paraId="199436B5" w14:textId="77777777" w:rsidR="00EA03E5" w:rsidRPr="00EA03E5" w:rsidRDefault="00EA03E5" w:rsidP="00EA03E5">
      <w:pPr>
        <w:keepLines/>
        <w:spacing w:before="0" w:after="120" w:line="260" w:lineRule="atLeast"/>
        <w:rPr>
          <w:rFonts w:eastAsia="Arial Unicode MS"/>
          <w:color w:val="000000"/>
          <w:szCs w:val="24"/>
          <w:lang w:val="en-US" w:eastAsia="en-US"/>
        </w:rPr>
      </w:pPr>
      <w:r w:rsidRPr="00EA03E5">
        <w:rPr>
          <w:rFonts w:eastAsia="Arial Unicode MS"/>
          <w:color w:val="000000"/>
          <w:szCs w:val="24"/>
          <w:lang w:val="en-US" w:eastAsia="en-US"/>
        </w:rPr>
        <w:t xml:space="preserve">The scope of this document is the full end-to-end life cycle management of a Digital Currency Ecosystem from procurement of DC technology, to DC issuance to DC value conversion. </w:t>
      </w:r>
    </w:p>
    <w:p w14:paraId="66037DD1" w14:textId="77777777" w:rsidR="00EA03E5" w:rsidRPr="00EA03E5" w:rsidRDefault="00EA03E5" w:rsidP="00EA03E5">
      <w:pPr>
        <w:keepLines/>
        <w:spacing w:before="0" w:after="120" w:line="260" w:lineRule="atLeast"/>
        <w:rPr>
          <w:rFonts w:eastAsia="Arial Unicode MS"/>
          <w:color w:val="000000"/>
          <w:szCs w:val="24"/>
          <w:lang w:val="en-US" w:eastAsia="en-US"/>
        </w:rPr>
      </w:pPr>
    </w:p>
    <w:p w14:paraId="2EFEA061"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color w:val="000000"/>
          <w:kern w:val="32"/>
          <w:szCs w:val="24"/>
          <w:lang w:val="en-US" w:eastAsia="en-US"/>
        </w:rPr>
      </w:pPr>
      <w:bookmarkStart w:id="16" w:name="_Toc9609163"/>
      <w:bookmarkStart w:id="17" w:name="_Toc1816268"/>
      <w:bookmarkStart w:id="18" w:name="_Toc1812681"/>
      <w:r w:rsidRPr="00EA03E5">
        <w:rPr>
          <w:rFonts w:eastAsia="Times New Roman"/>
          <w:b/>
          <w:bCs/>
          <w:color w:val="000000"/>
          <w:kern w:val="32"/>
          <w:szCs w:val="24"/>
          <w:lang w:val="en-US" w:eastAsia="en-US"/>
        </w:rPr>
        <w:t>Major objectives</w:t>
      </w:r>
      <w:bookmarkEnd w:id="16"/>
      <w:bookmarkEnd w:id="17"/>
      <w:bookmarkEnd w:id="18"/>
    </w:p>
    <w:p w14:paraId="795B80D4" w14:textId="77777777" w:rsidR="00EA03E5" w:rsidRPr="00EA03E5" w:rsidRDefault="00EA03E5" w:rsidP="00EA03E5">
      <w:pPr>
        <w:keepLines/>
        <w:widowControl w:val="0"/>
        <w:spacing w:before="0" w:after="120" w:line="260" w:lineRule="atLeast"/>
        <w:jc w:val="both"/>
        <w:rPr>
          <w:rFonts w:eastAsia="Arial Unicode MS"/>
          <w:color w:val="000000"/>
          <w:szCs w:val="24"/>
          <w:lang w:val="en-US"/>
        </w:rPr>
      </w:pPr>
      <w:r w:rsidRPr="00EA03E5">
        <w:rPr>
          <w:rFonts w:eastAsia="Arial Unicode MS"/>
          <w:color w:val="000000"/>
          <w:szCs w:val="24"/>
          <w:lang w:val="en-US"/>
        </w:rPr>
        <w:t>The main objective is to provide a new more precise and integrated method to define, fund, deploy, operate and maintain sufficient security so as to reduce the residual risk to a reasonable level with confidence.</w:t>
      </w:r>
    </w:p>
    <w:p w14:paraId="466A2BD1" w14:textId="77777777" w:rsidR="00EA03E5" w:rsidRPr="00EA03E5" w:rsidRDefault="00EA03E5" w:rsidP="00EA03E5">
      <w:pPr>
        <w:keepLines/>
        <w:spacing w:before="0" w:after="120" w:line="260" w:lineRule="atLeast"/>
        <w:jc w:val="both"/>
        <w:rPr>
          <w:rFonts w:eastAsia="Arial Unicode MS"/>
          <w:szCs w:val="24"/>
          <w:lang w:val="en-US" w:eastAsia="en-US"/>
        </w:rPr>
      </w:pPr>
    </w:p>
    <w:p w14:paraId="721FD2DB" w14:textId="77777777" w:rsidR="00EA03E5" w:rsidRPr="003173B3" w:rsidRDefault="00EA03E5" w:rsidP="00EA03E5">
      <w:pPr>
        <w:keepLines/>
        <w:pageBreakBefore/>
        <w:numPr>
          <w:ilvl w:val="0"/>
          <w:numId w:val="11"/>
        </w:numPr>
        <w:spacing w:before="240" w:after="240" w:line="240" w:lineRule="atLeast"/>
        <w:jc w:val="both"/>
        <w:outlineLvl w:val="0"/>
        <w:rPr>
          <w:rFonts w:eastAsia="Times New Roman"/>
          <w:b/>
          <w:kern w:val="32"/>
          <w:szCs w:val="24"/>
          <w:lang w:val="en-US" w:eastAsia="en-US"/>
        </w:rPr>
      </w:pPr>
      <w:bookmarkStart w:id="19" w:name="_Toc9609164"/>
      <w:bookmarkStart w:id="20" w:name="_Toc1816269"/>
      <w:bookmarkStart w:id="21" w:name="_Toc1812682"/>
      <w:r w:rsidRPr="003173B3">
        <w:rPr>
          <w:rFonts w:eastAsia="Times New Roman"/>
          <w:b/>
          <w:kern w:val="32"/>
          <w:szCs w:val="24"/>
          <w:lang w:val="en-US" w:eastAsia="en-US"/>
        </w:rPr>
        <w:lastRenderedPageBreak/>
        <w:t>The Unified Security Model</w:t>
      </w:r>
      <w:bookmarkEnd w:id="19"/>
      <w:bookmarkEnd w:id="20"/>
      <w:bookmarkEnd w:id="21"/>
    </w:p>
    <w:p w14:paraId="49E904E8"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Unified Security Model (USM) illustrated in Figure 1 is a single integrated model derived from the only three fundamental elements of the problem: Threats to Value which becomes a Target that should be Protected. </w:t>
      </w:r>
    </w:p>
    <w:p w14:paraId="0B6E211C"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Security engages cooperatively with the Target (blue arrow inside Target) while in all cases except one “the insider” the Threat does not have such a favorable relationship with the Target (red arrow outside target).</w:t>
      </w:r>
    </w:p>
    <w:p w14:paraId="1AF8E712" w14:textId="77777777" w:rsidR="00EA03E5" w:rsidRPr="00EA03E5" w:rsidRDefault="00EA03E5" w:rsidP="00EA03E5">
      <w:pPr>
        <w:keepLines/>
        <w:spacing w:before="0" w:after="120" w:line="260" w:lineRule="atLeast"/>
        <w:jc w:val="both"/>
        <w:rPr>
          <w:rFonts w:eastAsia="Arial Unicode MS"/>
          <w:szCs w:val="24"/>
          <w:lang w:val="en-US" w:eastAsia="en-US"/>
        </w:rPr>
      </w:pPr>
    </w:p>
    <w:p w14:paraId="59C56458"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F9545D0" wp14:editId="7CA415A6">
            <wp:extent cx="6086475" cy="2028825"/>
            <wp:effectExtent l="0" t="0" r="9525" b="9525"/>
            <wp:docPr id="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6475" cy="2028825"/>
                    </a:xfrm>
                    <a:prstGeom prst="rect">
                      <a:avLst/>
                    </a:prstGeom>
                    <a:noFill/>
                    <a:ln>
                      <a:noFill/>
                    </a:ln>
                  </pic:spPr>
                </pic:pic>
              </a:graphicData>
            </a:graphic>
          </wp:inline>
        </w:drawing>
      </w:r>
    </w:p>
    <w:p w14:paraId="04A776C3"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2" w:name="_Toc8385036"/>
      <w:bookmarkStart w:id="23" w:name="_Toc8382762"/>
      <w:bookmarkStart w:id="24" w:name="_Toc4603471"/>
      <w:bookmarkStart w:id="25" w:name="_Toc1808431"/>
      <w:bookmarkStart w:id="26" w:name="_Toc1661250"/>
      <w:bookmarkStart w:id="27" w:name="_Toc960920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w:t>
      </w:r>
      <w:r w:rsidRPr="00EA03E5">
        <w:rPr>
          <w:rFonts w:eastAsia="Times New Roman"/>
          <w:b/>
          <w:szCs w:val="24"/>
          <w:lang w:val="en-US" w:eastAsia="en-US"/>
        </w:rPr>
        <w:fldChar w:fldCharType="end"/>
      </w:r>
      <w:r w:rsidRPr="00EA03E5">
        <w:rPr>
          <w:rFonts w:eastAsia="Times New Roman"/>
          <w:szCs w:val="24"/>
          <w:lang w:val="en-US" w:eastAsia="en-US"/>
        </w:rPr>
        <w:t xml:space="preserve">: Unified </w:t>
      </w:r>
      <w:bookmarkEnd w:id="22"/>
      <w:bookmarkEnd w:id="23"/>
      <w:bookmarkEnd w:id="24"/>
      <w:bookmarkEnd w:id="25"/>
      <w:bookmarkEnd w:id="26"/>
      <w:r w:rsidRPr="00EA03E5">
        <w:rPr>
          <w:rFonts w:eastAsia="Times New Roman"/>
          <w:szCs w:val="24"/>
          <w:lang w:val="en-US" w:eastAsia="en-US"/>
        </w:rPr>
        <w:t>Security Model: Threat | Target | Security</w:t>
      </w:r>
      <w:bookmarkEnd w:id="27"/>
    </w:p>
    <w:p w14:paraId="2783D4CF" w14:textId="77777777" w:rsidR="00EA03E5" w:rsidRPr="00EA03E5" w:rsidRDefault="00EA03E5" w:rsidP="00EA03E5">
      <w:pPr>
        <w:keepLines/>
        <w:spacing w:before="0" w:after="120" w:line="260" w:lineRule="atLeast"/>
        <w:jc w:val="both"/>
        <w:rPr>
          <w:rFonts w:eastAsia="Arial Unicode MS"/>
          <w:szCs w:val="24"/>
          <w:lang w:val="en-US" w:eastAsia="en-US"/>
        </w:rPr>
      </w:pPr>
    </w:p>
    <w:p w14:paraId="0787C4FF"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high-level model of Figure 1 is extensible architecturally into a much more detailed Unified Expression Model of Figure 2. The expression is a much more detailed construct but still involving the same fundamental elements as the model. The expression can be used for attack vector analysis to a specific Target vulnerability to identify appropriate security countermeasures, all in a single integrated system, illustrated in Figure 1 as a high-level risk model and the lower construct Figure 2 as an “atomic expression” that can model an actual implemented control. </w:t>
      </w:r>
    </w:p>
    <w:p w14:paraId="7E9D1C29" w14:textId="77777777" w:rsidR="00EA03E5" w:rsidRPr="00EA03E5" w:rsidRDefault="00EA03E5" w:rsidP="00EA03E5">
      <w:pPr>
        <w:keepLines/>
        <w:spacing w:before="0" w:after="120" w:line="260" w:lineRule="atLeast"/>
        <w:jc w:val="both"/>
        <w:rPr>
          <w:rFonts w:eastAsia="Arial Unicode MS"/>
          <w:szCs w:val="24"/>
          <w:lang w:val="en-US" w:eastAsia="en-US"/>
        </w:rPr>
      </w:pPr>
    </w:p>
    <w:p w14:paraId="6C4E53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3DDF8062" wp14:editId="424D0BD7">
            <wp:extent cx="6057900" cy="733425"/>
            <wp:effectExtent l="0" t="0" r="0" b="9525"/>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7900" cy="733425"/>
                    </a:xfrm>
                    <a:prstGeom prst="rect">
                      <a:avLst/>
                    </a:prstGeom>
                    <a:noFill/>
                    <a:ln>
                      <a:noFill/>
                    </a:ln>
                  </pic:spPr>
                </pic:pic>
              </a:graphicData>
            </a:graphic>
          </wp:inline>
        </w:drawing>
      </w:r>
    </w:p>
    <w:p w14:paraId="13E8D97D" w14:textId="77777777" w:rsidR="00EA03E5" w:rsidRPr="00EA03E5" w:rsidRDefault="00EA03E5" w:rsidP="00EA03E5">
      <w:pPr>
        <w:keepLines/>
        <w:spacing w:before="0" w:after="120" w:line="260" w:lineRule="atLeast"/>
        <w:jc w:val="both"/>
        <w:rPr>
          <w:rFonts w:eastAsia="Arial Unicode MS"/>
          <w:szCs w:val="24"/>
          <w:lang w:val="en-US" w:eastAsia="en-US"/>
        </w:rPr>
      </w:pPr>
    </w:p>
    <w:p w14:paraId="66EC54F8" w14:textId="77777777" w:rsidR="00EA03E5" w:rsidRPr="00EA03E5" w:rsidRDefault="00EA03E5" w:rsidP="00EA03E5">
      <w:pPr>
        <w:keepLines/>
        <w:spacing w:before="0" w:after="120" w:line="260" w:lineRule="atLeast"/>
        <w:jc w:val="both"/>
        <w:rPr>
          <w:rFonts w:eastAsia="Arial Unicode MS"/>
          <w:szCs w:val="24"/>
          <w:lang w:val="en-US" w:eastAsia="en-US"/>
        </w:rPr>
      </w:pPr>
    </w:p>
    <w:p w14:paraId="13848FA7"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20CC0196" wp14:editId="4D65A019">
            <wp:extent cx="6067425" cy="857250"/>
            <wp:effectExtent l="0" t="0" r="9525"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7425" cy="857250"/>
                    </a:xfrm>
                    <a:prstGeom prst="rect">
                      <a:avLst/>
                    </a:prstGeom>
                    <a:noFill/>
                    <a:ln>
                      <a:noFill/>
                    </a:ln>
                  </pic:spPr>
                </pic:pic>
              </a:graphicData>
            </a:graphic>
          </wp:inline>
        </w:drawing>
      </w:r>
    </w:p>
    <w:p w14:paraId="5F87C02D"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8" w:name="_Toc960920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Times New Roman"/>
          <w:b/>
          <w:szCs w:val="24"/>
          <w:lang w:val="en-US" w:eastAsia="en-US"/>
        </w:rPr>
        <w:t xml:space="preserve"> </w:t>
      </w:r>
      <w:r w:rsidRPr="00EA03E5">
        <w:rPr>
          <w:rFonts w:eastAsia="Times New Roman"/>
          <w:szCs w:val="24"/>
          <w:lang w:val="en-US" w:eastAsia="en-US"/>
        </w:rPr>
        <w:t>Unified Expression Model (top) &amp; Threat | Target | Countermeasure Expression</w:t>
      </w:r>
      <w:bookmarkEnd w:id="28"/>
    </w:p>
    <w:p w14:paraId="75E45543" w14:textId="77777777" w:rsidR="00EA03E5" w:rsidRPr="00EA03E5" w:rsidRDefault="00EA03E5" w:rsidP="00EA03E5">
      <w:pPr>
        <w:keepLines/>
        <w:spacing w:before="0" w:after="120" w:line="260" w:lineRule="atLeast"/>
        <w:jc w:val="both"/>
        <w:rPr>
          <w:rFonts w:eastAsia="Arial Unicode MS"/>
          <w:szCs w:val="24"/>
          <w:lang w:val="en-US" w:eastAsia="en-US"/>
        </w:rPr>
      </w:pPr>
    </w:p>
    <w:p w14:paraId="53A7E027"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 xml:space="preserve">A unique outcome of this integrated high and precise level model is the ability to measure in increasing detail while deriving higher level properties through hierarchical aggregation. </w:t>
      </w:r>
    </w:p>
    <w:p w14:paraId="6A4F18E6" w14:textId="77777777" w:rsidR="00EA03E5" w:rsidRPr="00EA03E5" w:rsidRDefault="00EA03E5" w:rsidP="00EA03E5">
      <w:pPr>
        <w:keepLines/>
        <w:spacing w:before="0" w:after="120" w:line="260" w:lineRule="atLeast"/>
        <w:jc w:val="both"/>
        <w:rPr>
          <w:rFonts w:eastAsia="Arial Unicode MS"/>
          <w:szCs w:val="24"/>
          <w:lang w:val="en-US" w:eastAsia="en-US"/>
        </w:rPr>
      </w:pPr>
    </w:p>
    <w:p w14:paraId="777B1C7F" w14:textId="77777777" w:rsidR="00EA03E5" w:rsidRPr="00EA03E5" w:rsidRDefault="00EA03E5" w:rsidP="00EA03E5">
      <w:pPr>
        <w:keepLines/>
        <w:spacing w:before="0" w:after="120" w:line="260" w:lineRule="atLeast"/>
        <w:jc w:val="both"/>
        <w:rPr>
          <w:rFonts w:eastAsia="Arial Unicode MS"/>
          <w:szCs w:val="24"/>
          <w:lang w:val="en-US" w:eastAsia="en-US"/>
        </w:rPr>
      </w:pPr>
    </w:p>
    <w:p w14:paraId="4901386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To understand the potential threats to a Target and what would be an effective control countermeasure design one first has to understand in detail what needs protection, as illustrated as the Target in Figure 1. In this case the Target is the full life cycle of “Digital Currency including Digital Fiat Currency,” collectively referred to as the Digital Currency Ecosystem (DCE), illustrated in Figure 3. </w:t>
      </w:r>
    </w:p>
    <w:p w14:paraId="4EDCF85E"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will outline:</w:t>
      </w:r>
    </w:p>
    <w:p w14:paraId="0E311627"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A model of the Digital Currency Ecosystem as a business Target decomposed three levels.</w:t>
      </w:r>
    </w:p>
    <w:p w14:paraId="0C2B8E25"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An assurance model to allow the nature and degree-of-security to be determined for different elements of the DCE Target model. </w:t>
      </w:r>
    </w:p>
    <w:p w14:paraId="7DF8C8DA"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Residual Risk Model to determine the acceptable residual exposure remaining after the application of a set of security controls and assurance level. </w:t>
      </w:r>
    </w:p>
    <w:p w14:paraId="4C3E41DD"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 </w:t>
      </w:r>
      <w:r w:rsidRPr="00EA03E5">
        <w:rPr>
          <w:rFonts w:eastAsia="Arial Unicode MS"/>
          <w:noProof/>
          <w:szCs w:val="24"/>
          <w:lang w:eastAsia="en-GB"/>
        </w:rPr>
        <w:drawing>
          <wp:inline distT="0" distB="0" distL="0" distR="0" wp14:anchorId="4EBBB94C" wp14:editId="12C066C3">
            <wp:extent cx="6010275" cy="1952625"/>
            <wp:effectExtent l="0" t="0" r="0" b="9525"/>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14:paraId="0B71A011"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9" w:name="_Toc9609203"/>
      <w:bookmarkStart w:id="30" w:name="_Toc8385037"/>
      <w:bookmarkStart w:id="31" w:name="_Toc8382763"/>
      <w:bookmarkStart w:id="32" w:name="_Toc4603472"/>
      <w:bookmarkStart w:id="33" w:name="_Toc1808432"/>
      <w:bookmarkStart w:id="34" w:name="_Toc166125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3</w:t>
      </w:r>
      <w:r w:rsidRPr="00EA03E5">
        <w:rPr>
          <w:rFonts w:eastAsia="Times New Roman"/>
          <w:b/>
          <w:szCs w:val="24"/>
          <w:lang w:val="en-US" w:eastAsia="en-US"/>
        </w:rPr>
        <w:fldChar w:fldCharType="end"/>
      </w:r>
      <w:r w:rsidRPr="00EA03E5">
        <w:rPr>
          <w:rFonts w:eastAsia="Times New Roman"/>
          <w:szCs w:val="24"/>
          <w:lang w:val="en-US" w:eastAsia="en-US"/>
        </w:rPr>
        <w:t>: Digital Currency Ecosystem as USM Target</w:t>
      </w:r>
      <w:bookmarkEnd w:id="29"/>
      <w:bookmarkEnd w:id="30"/>
      <w:bookmarkEnd w:id="31"/>
      <w:bookmarkEnd w:id="32"/>
      <w:bookmarkEnd w:id="33"/>
      <w:bookmarkEnd w:id="34"/>
    </w:p>
    <w:p w14:paraId="21166B6B" w14:textId="77777777" w:rsidR="00EA03E5" w:rsidRPr="00EA03E5" w:rsidRDefault="00EA03E5" w:rsidP="00EA03E5">
      <w:pPr>
        <w:spacing w:before="0"/>
        <w:rPr>
          <w:rFonts w:eastAsia="Arial Unicode MS"/>
          <w:color w:val="C00000"/>
          <w:szCs w:val="24"/>
          <w:lang w:val="en-US" w:eastAsia="en-US"/>
        </w:rPr>
      </w:pPr>
    </w:p>
    <w:p w14:paraId="7423A708"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t xml:space="preserve">A “Payment Pattern” use case applying this model is published in a Liaison Statement. The Payment Pattern is illustrated in the target zone of Figure 4. The pattern involves the Stage 4 and 5 to both centrally and de-centrally issued Digital Currency. It decomposes Stage 4 and 5 Level 2 further into level 3 and so on.  </w:t>
      </w:r>
    </w:p>
    <w:p w14:paraId="16CBE2D5" w14:textId="77777777" w:rsidR="00EA03E5" w:rsidRPr="00EA03E5" w:rsidRDefault="00EA03E5" w:rsidP="00EA03E5">
      <w:pPr>
        <w:spacing w:before="0"/>
        <w:rPr>
          <w:rFonts w:eastAsia="Arial Unicode MS"/>
          <w:noProof/>
          <w:szCs w:val="24"/>
          <w:lang w:val="en-US" w:eastAsia="en-US"/>
        </w:rPr>
      </w:pPr>
    </w:p>
    <w:p w14:paraId="26C9C1D9" w14:textId="77777777" w:rsidR="00EA03E5" w:rsidRPr="00EA03E5" w:rsidRDefault="00EA03E5" w:rsidP="00EA03E5">
      <w:pPr>
        <w:spacing w:before="0"/>
        <w:rPr>
          <w:rFonts w:eastAsia="Arial Unicode MS"/>
          <w:noProof/>
          <w:color w:val="C00000"/>
          <w:szCs w:val="24"/>
          <w:lang w:val="en-US" w:eastAsia="en-US"/>
        </w:rPr>
      </w:pPr>
    </w:p>
    <w:p w14:paraId="251E6BB7" w14:textId="77777777" w:rsidR="00EA03E5" w:rsidRPr="00EA03E5" w:rsidRDefault="00EA03E5" w:rsidP="00EA03E5">
      <w:pPr>
        <w:spacing w:before="0"/>
        <w:rPr>
          <w:rFonts w:eastAsia="Arial Unicode MS"/>
          <w:color w:val="C00000"/>
          <w:szCs w:val="24"/>
          <w:lang w:val="en-US" w:eastAsia="en-US"/>
        </w:rPr>
      </w:pPr>
    </w:p>
    <w:p w14:paraId="1B1702B5" w14:textId="77777777" w:rsidR="00EA03E5" w:rsidRPr="00EA03E5" w:rsidRDefault="00EA03E5" w:rsidP="00EA03E5">
      <w:pPr>
        <w:spacing w:before="0"/>
        <w:rPr>
          <w:rFonts w:eastAsia="Arial Unicode MS"/>
          <w:color w:val="C00000"/>
          <w:szCs w:val="24"/>
          <w:lang w:val="en-US" w:eastAsia="en-US"/>
        </w:rPr>
      </w:pPr>
    </w:p>
    <w:p w14:paraId="5CCF8835" w14:textId="77777777" w:rsidR="00EA03E5" w:rsidRPr="00EA03E5" w:rsidRDefault="00EA03E5" w:rsidP="00EA03E5">
      <w:pPr>
        <w:keepNext/>
        <w:spacing w:before="0"/>
        <w:rPr>
          <w:rFonts w:eastAsia="Arial Unicode MS"/>
          <w:szCs w:val="24"/>
          <w:lang w:val="en-US" w:eastAsia="en-US"/>
        </w:rPr>
      </w:pPr>
      <w:r w:rsidRPr="00EA03E5">
        <w:rPr>
          <w:rFonts w:eastAsia="Arial Unicode MS"/>
          <w:noProof/>
          <w:color w:val="C00000"/>
          <w:szCs w:val="24"/>
          <w:lang w:eastAsia="en-GB"/>
        </w:rPr>
        <w:lastRenderedPageBreak/>
        <w:drawing>
          <wp:inline distT="0" distB="0" distL="0" distR="0" wp14:anchorId="7A330B9F" wp14:editId="1351C93A">
            <wp:extent cx="5753100" cy="2105025"/>
            <wp:effectExtent l="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14:paraId="1B39182B" w14:textId="1B6CAA64" w:rsidR="00EA03E5" w:rsidRPr="002A2731" w:rsidRDefault="00EA03E5" w:rsidP="002A2731">
      <w:pPr>
        <w:keepNext/>
        <w:keepLines/>
        <w:widowControl w:val="0"/>
        <w:spacing w:before="240" w:after="120"/>
        <w:rPr>
          <w:rFonts w:eastAsia="Times New Roman"/>
          <w:szCs w:val="24"/>
          <w:lang w:val="en-US" w:eastAsia="en-US"/>
        </w:rPr>
      </w:pPr>
      <w:bookmarkStart w:id="35" w:name="_Toc8385038"/>
      <w:bookmarkStart w:id="36" w:name="_Toc8382764"/>
      <w:bookmarkStart w:id="37" w:name="_Toc9609204"/>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4</w:t>
      </w:r>
      <w:r w:rsidRPr="00EA03E5">
        <w:rPr>
          <w:rFonts w:eastAsia="Times New Roman"/>
          <w:b/>
          <w:szCs w:val="24"/>
          <w:lang w:val="en-US" w:eastAsia="en-US"/>
        </w:rPr>
        <w:fldChar w:fldCharType="end"/>
      </w:r>
      <w:r w:rsidRPr="00EA03E5">
        <w:rPr>
          <w:rFonts w:eastAsia="Times New Roman"/>
          <w:szCs w:val="24"/>
          <w:lang w:val="en-US" w:eastAsia="en-US"/>
        </w:rPr>
        <w:t>: Payment Pattern Threat | Target | Protection Use Case</w:t>
      </w:r>
      <w:bookmarkEnd w:id="35"/>
      <w:bookmarkEnd w:id="36"/>
      <w:r w:rsidRPr="00EA03E5">
        <w:rPr>
          <w:rFonts w:eastAsia="Times New Roman"/>
          <w:szCs w:val="24"/>
          <w:lang w:val="en-US" w:eastAsia="en-US"/>
        </w:rPr>
        <w:t xml:space="preserve"> in liaison statement</w:t>
      </w:r>
      <w:bookmarkStart w:id="38" w:name="_Toc1816270"/>
      <w:bookmarkStart w:id="39" w:name="_Toc1812683"/>
      <w:bookmarkEnd w:id="37"/>
    </w:p>
    <w:p w14:paraId="7860FB24"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40" w:name="_Toc9609165"/>
      <w:r w:rsidRPr="003173B3">
        <w:rPr>
          <w:rFonts w:eastAsia="Times New Roman"/>
          <w:b/>
          <w:kern w:val="32"/>
          <w:szCs w:val="24"/>
          <w:lang w:val="en-US" w:eastAsia="en-US"/>
        </w:rPr>
        <w:t>DCE Target Model</w:t>
      </w:r>
      <w:bookmarkEnd w:id="40"/>
    </w:p>
    <w:p w14:paraId="3B8F85E5"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Digital Currency Ecosystem (DCE) Target model is achieved through a series of decompositions, each intended to define the core structure that exists within each decomposition. The first level of decomposition is linear and sequential and seeks to divide along natural boundaries. It segments the DCE into five stages, illustrated in Figure 5.</w:t>
      </w:r>
    </w:p>
    <w:p w14:paraId="0C1078BD"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43A1704A" wp14:editId="235DA5E5">
            <wp:extent cx="6096000" cy="3429000"/>
            <wp:effectExtent l="0" t="0" r="0" b="0"/>
            <wp:docPr id="1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EF49644"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41" w:name="_Toc9609205"/>
      <w:bookmarkStart w:id="42" w:name="_Toc8385039"/>
      <w:bookmarkStart w:id="43" w:name="_Toc8382765"/>
      <w:bookmarkStart w:id="44" w:name="_Toc4603473"/>
      <w:bookmarkStart w:id="45" w:name="_Toc1808433"/>
      <w:bookmarkStart w:id="46" w:name="_Toc166125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5</w:t>
      </w:r>
      <w:r w:rsidRPr="00EA03E5">
        <w:rPr>
          <w:rFonts w:eastAsia="Times New Roman"/>
          <w:b/>
          <w:szCs w:val="24"/>
          <w:lang w:val="en-US" w:eastAsia="en-US"/>
        </w:rPr>
        <w:fldChar w:fldCharType="end"/>
      </w:r>
      <w:r w:rsidRPr="00EA03E5">
        <w:rPr>
          <w:rFonts w:eastAsia="Times New Roman"/>
          <w:szCs w:val="24"/>
          <w:lang w:val="en-US" w:eastAsia="en-US"/>
        </w:rPr>
        <w:t>: Digital Currency Ecosystem Level 1 as USM Target</w:t>
      </w:r>
      <w:bookmarkEnd w:id="41"/>
      <w:bookmarkEnd w:id="42"/>
      <w:bookmarkEnd w:id="43"/>
      <w:bookmarkEnd w:id="44"/>
      <w:bookmarkEnd w:id="45"/>
      <w:bookmarkEnd w:id="46"/>
    </w:p>
    <w:p w14:paraId="3835A3F7" w14:textId="77777777" w:rsidR="00EA03E5" w:rsidRPr="00EA03E5" w:rsidRDefault="00EA03E5" w:rsidP="00EA03E5">
      <w:pPr>
        <w:keepLines/>
        <w:spacing w:before="0" w:after="120" w:line="260" w:lineRule="atLeast"/>
        <w:jc w:val="both"/>
        <w:rPr>
          <w:rFonts w:eastAsia="Arial Unicode MS"/>
          <w:szCs w:val="24"/>
          <w:lang w:val="en-US" w:eastAsia="en-US"/>
        </w:rPr>
      </w:pPr>
    </w:p>
    <w:p w14:paraId="7CE01EE8"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1:</w:t>
      </w:r>
      <w:r w:rsidRPr="00EA03E5">
        <w:rPr>
          <w:rFonts w:eastAsia="Arial Unicode MS"/>
          <w:b/>
          <w:color w:val="000000"/>
          <w:szCs w:val="24"/>
          <w:lang w:val="en-US" w:eastAsia="en-US"/>
        </w:rPr>
        <w:t xml:space="preserve"> Technology</w:t>
      </w:r>
      <w:r w:rsidRPr="00EA03E5">
        <w:rPr>
          <w:rFonts w:eastAsia="Arial Unicode MS"/>
          <w:color w:val="000000"/>
          <w:szCs w:val="24"/>
          <w:lang w:val="en-US" w:eastAsia="en-US"/>
        </w:rPr>
        <w:t xml:space="preserve">: this stage focuses on the Providers and the people, process and technology practices that were involved in the design, manufacture and delivery of the Digital Currency issuance and management technology. </w:t>
      </w:r>
    </w:p>
    <w:p w14:paraId="3D0EA4DD"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lastRenderedPageBreak/>
        <w:t>DCE Stage 2:</w:t>
      </w:r>
      <w:r w:rsidRPr="00EA03E5">
        <w:rPr>
          <w:rFonts w:eastAsia="Arial Unicode MS"/>
          <w:b/>
          <w:color w:val="000000"/>
          <w:szCs w:val="24"/>
          <w:lang w:val="en-US" w:eastAsia="en-US"/>
        </w:rPr>
        <w:t xml:space="preserve"> Issuance</w:t>
      </w:r>
      <w:r w:rsidRPr="00EA03E5">
        <w:rPr>
          <w:rFonts w:eastAsia="Arial Unicode MS"/>
          <w:color w:val="000000"/>
          <w:szCs w:val="24"/>
          <w:lang w:val="en-US" w:eastAsia="en-US"/>
        </w:rPr>
        <w:t xml:space="preserve">: Once there are trusted Provider sources, the Issuance Party procures the DC issuance technology and then goes through a process to activate the technology and conduct the DC issuance event(s). </w:t>
      </w:r>
    </w:p>
    <w:p w14:paraId="75D7926A"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Central Issuance</w:t>
      </w:r>
      <w:r w:rsidRPr="00EA03E5">
        <w:rPr>
          <w:rFonts w:eastAsia="Arial Unicode MS"/>
          <w:color w:val="000000"/>
          <w:szCs w:val="24"/>
          <w:lang w:val="en-US" w:eastAsia="en-US"/>
        </w:rPr>
        <w:t xml:space="preserve">: Issuance may be centralized by a single authority as in the case of the issuance of Digital Fiat Currency or Central Bank Digital Currency (CBDC). </w:t>
      </w:r>
    </w:p>
    <w:p w14:paraId="6A18EE6E"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Decentralized Issuance</w:t>
      </w:r>
      <w:r w:rsidRPr="00EA03E5">
        <w:rPr>
          <w:rFonts w:eastAsia="Arial Unicode MS"/>
          <w:color w:val="000000"/>
          <w:szCs w:val="24"/>
          <w:lang w:val="en-US" w:eastAsia="en-US"/>
        </w:rPr>
        <w:t xml:space="preserve">: DC issuance by Participants in a P2P Network. </w:t>
      </w:r>
    </w:p>
    <w:p w14:paraId="597FF0F7"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Hybrid Issuance</w:t>
      </w:r>
      <w:r w:rsidRPr="00EA03E5">
        <w:rPr>
          <w:rFonts w:eastAsia="Arial Unicode MS"/>
          <w:color w:val="000000"/>
          <w:szCs w:val="24"/>
          <w:lang w:val="en-US" w:eastAsia="en-US"/>
        </w:rPr>
        <w:t>: DC issued by a mixture of both.</w:t>
      </w:r>
    </w:p>
    <w:p w14:paraId="1C4C0900"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3:</w:t>
      </w:r>
      <w:r w:rsidRPr="00EA03E5">
        <w:rPr>
          <w:rFonts w:eastAsia="Arial Unicode MS"/>
          <w:b/>
          <w:color w:val="000000"/>
          <w:szCs w:val="24"/>
          <w:lang w:val="en-US" w:eastAsia="en-US"/>
        </w:rPr>
        <w:t xml:space="preserve"> Liquidity</w:t>
      </w:r>
      <w:r w:rsidRPr="00EA03E5">
        <w:rPr>
          <w:rFonts w:eastAsia="Arial Unicode MS"/>
          <w:color w:val="000000"/>
          <w:szCs w:val="24"/>
          <w:lang w:val="en-US" w:eastAsia="en-US"/>
        </w:rPr>
        <w:t>: This stage involves the availability of DC in the central issuance model of Stage 2.</w:t>
      </w:r>
    </w:p>
    <w:p w14:paraId="2C02139A"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4:</w:t>
      </w:r>
      <w:r w:rsidRPr="00EA03E5">
        <w:rPr>
          <w:rFonts w:eastAsia="Arial Unicode MS"/>
          <w:b/>
          <w:color w:val="000000"/>
          <w:szCs w:val="24"/>
          <w:lang w:val="en-US" w:eastAsia="en-US"/>
        </w:rPr>
        <w:t xml:space="preserve"> Transaction</w:t>
      </w:r>
      <w:r w:rsidRPr="00EA03E5">
        <w:rPr>
          <w:rFonts w:eastAsia="Arial Unicode MS"/>
          <w:color w:val="000000"/>
          <w:szCs w:val="24"/>
          <w:lang w:val="en-US" w:eastAsia="en-US"/>
        </w:rPr>
        <w:t xml:space="preserve">: This stage involves payment - executing and completing the transaction initiated by a Source Owner and a Destination Owner. </w:t>
      </w:r>
    </w:p>
    <w:p w14:paraId="66B6C32D"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5:</w:t>
      </w:r>
      <w:r w:rsidRPr="00EA03E5">
        <w:rPr>
          <w:rFonts w:eastAsia="Arial Unicode MS"/>
          <w:b/>
          <w:color w:val="000000"/>
          <w:szCs w:val="24"/>
          <w:lang w:val="en-US" w:eastAsia="en-US"/>
        </w:rPr>
        <w:t xml:space="preserve"> Conversion</w:t>
      </w:r>
      <w:r w:rsidRPr="00EA03E5">
        <w:rPr>
          <w:rFonts w:eastAsia="Arial Unicode MS"/>
          <w:color w:val="000000"/>
          <w:szCs w:val="24"/>
          <w:lang w:val="en-US" w:eastAsia="en-US"/>
        </w:rPr>
        <w:t xml:space="preserve">: This stage involves the transfer, conversion and transaction involving DC between Owners either directly via a P2P blockchain or indirectly via a payment gateway. Owners via an internet device and a local software Wallet application that manages the current DSs, transact. </w:t>
      </w:r>
    </w:p>
    <w:p w14:paraId="0C6A7316"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Within each stage of the DCE there are questions of data flows within and between stages; data sensitivity in terms of Privacy and business criticality and access controls; governance and legal requirements. </w:t>
      </w:r>
    </w:p>
    <w:p w14:paraId="6ACDCF62"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7499CBDF"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47" w:name="_Toc1816287"/>
      <w:bookmarkStart w:id="48" w:name="_Toc1812700"/>
      <w:bookmarkStart w:id="49" w:name="_Toc9609166"/>
      <w:r w:rsidRPr="003173B3">
        <w:rPr>
          <w:rFonts w:eastAsia="Times New Roman"/>
          <w:b/>
          <w:kern w:val="32"/>
          <w:szCs w:val="24"/>
          <w:lang w:val="en-US" w:eastAsia="en-US"/>
        </w:rPr>
        <w:t xml:space="preserve">DCE </w:t>
      </w:r>
      <w:r w:rsidRPr="003173B3">
        <w:rPr>
          <w:rFonts w:eastAsia="Times New Roman"/>
          <w:b/>
          <w:color w:val="000000"/>
          <w:kern w:val="32"/>
          <w:szCs w:val="24"/>
          <w:lang w:val="en-US" w:eastAsia="en-US"/>
        </w:rPr>
        <w:t xml:space="preserve">Threat-to-Target </w:t>
      </w:r>
      <w:bookmarkEnd w:id="47"/>
      <w:bookmarkEnd w:id="48"/>
      <w:r w:rsidRPr="003173B3">
        <w:rPr>
          <w:rFonts w:eastAsia="Times New Roman"/>
          <w:b/>
          <w:color w:val="000000"/>
          <w:kern w:val="32"/>
          <w:szCs w:val="24"/>
          <w:lang w:val="en-US" w:eastAsia="en-US"/>
        </w:rPr>
        <w:t>Analysis</w:t>
      </w:r>
      <w:bookmarkEnd w:id="49"/>
    </w:p>
    <w:p w14:paraId="4B2F3228"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Threat-to-Target analysis follows the defining the target including core business functions and data types involves understanding the inherent risks in the processes involved within each stage. </w:t>
      </w:r>
    </w:p>
    <w:p w14:paraId="6CA40404"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key question becomes what is the level-of-security and assurance required to reduce the residual risk and exposure of each stage to a reasonable and acceptable level? It is important not to over secure undervalued assets with respect to the under protection of valuable assets. Security is a scares resource and impacts the business and customer experience. It should be carefully applied to minimize the impact on users. </w:t>
      </w:r>
    </w:p>
    <w:p w14:paraId="6B3B0556" w14:textId="77777777" w:rsidR="00EA03E5" w:rsidRPr="00EA03E5" w:rsidRDefault="00EA03E5" w:rsidP="00EA03E5">
      <w:pPr>
        <w:keepLines/>
        <w:spacing w:before="0" w:after="120" w:line="260" w:lineRule="atLeast"/>
        <w:jc w:val="both"/>
        <w:rPr>
          <w:rFonts w:eastAsia="Arial Unicode MS"/>
          <w:noProof/>
          <w:color w:val="000000"/>
          <w:szCs w:val="24"/>
          <w:lang w:val="en-US" w:eastAsia="en-US"/>
        </w:rPr>
      </w:pPr>
      <w:r w:rsidRPr="00EA03E5">
        <w:rPr>
          <w:rFonts w:eastAsia="Arial Unicode MS"/>
          <w:noProof/>
          <w:color w:val="000000"/>
          <w:szCs w:val="24"/>
          <w:lang w:val="en-US" w:eastAsia="en-US"/>
        </w:rPr>
        <w:t xml:space="preserve">Figure 6 illustrates the same DCE of Figure 5 but now set against a background of threats to each stage. The nature and frequency of threats is driven be perceived attacker value and degree-of-difficulty. The threats that apply in each stage vary as each stage is fundamentally different. </w:t>
      </w:r>
    </w:p>
    <w:p w14:paraId="5248A60F" w14:textId="77777777" w:rsidR="00EA03E5" w:rsidRPr="00EA03E5" w:rsidRDefault="00EA03E5" w:rsidP="00EA03E5">
      <w:pPr>
        <w:keepLines/>
        <w:spacing w:before="0" w:after="120" w:line="260" w:lineRule="atLeast"/>
        <w:jc w:val="both"/>
        <w:rPr>
          <w:rFonts w:eastAsia="Arial Unicode MS"/>
          <w:noProof/>
          <w:color w:val="000000"/>
          <w:szCs w:val="24"/>
          <w:lang w:val="en-US" w:eastAsia="en-US"/>
        </w:rPr>
      </w:pPr>
    </w:p>
    <w:p w14:paraId="481763FE" w14:textId="7389D5CC" w:rsidR="00EA03E5" w:rsidRPr="00EA03E5" w:rsidRDefault="0021309E" w:rsidP="00EA03E5">
      <w:pPr>
        <w:keepNext/>
        <w:keepLines/>
        <w:spacing w:before="0" w:after="120" w:line="260" w:lineRule="atLeast"/>
        <w:jc w:val="both"/>
        <w:rPr>
          <w:rFonts w:eastAsia="Arial Unicode MS"/>
          <w:szCs w:val="24"/>
          <w:lang w:val="en-US" w:eastAsia="en-US"/>
        </w:rPr>
      </w:pPr>
      <w:r w:rsidRPr="0021309E">
        <w:rPr>
          <w:noProof/>
          <w:lang w:eastAsia="en-GB"/>
        </w:rPr>
        <w:lastRenderedPageBreak/>
        <w:drawing>
          <wp:inline distT="0" distB="0" distL="0" distR="0" wp14:anchorId="09DBDD49" wp14:editId="6F20608D">
            <wp:extent cx="6120765" cy="3442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765" cy="3442970"/>
                    </a:xfrm>
                    <a:prstGeom prst="rect">
                      <a:avLst/>
                    </a:prstGeom>
                  </pic:spPr>
                </pic:pic>
              </a:graphicData>
            </a:graphic>
          </wp:inline>
        </w:drawing>
      </w:r>
    </w:p>
    <w:p w14:paraId="4463D93F"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50" w:name="_Toc9609206"/>
      <w:bookmarkStart w:id="51" w:name="_Toc8385040"/>
      <w:bookmarkStart w:id="52" w:name="_Toc838276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6</w:t>
      </w:r>
      <w:r w:rsidRPr="00EA03E5">
        <w:rPr>
          <w:rFonts w:eastAsia="Times New Roman"/>
          <w:b/>
          <w:szCs w:val="24"/>
          <w:lang w:val="en-US" w:eastAsia="en-US"/>
        </w:rPr>
        <w:fldChar w:fldCharType="end"/>
      </w:r>
      <w:r w:rsidRPr="00EA03E5">
        <w:rPr>
          <w:rFonts w:eastAsia="Times New Roman"/>
          <w:szCs w:val="24"/>
          <w:lang w:val="en-US" w:eastAsia="en-US"/>
        </w:rPr>
        <w:t xml:space="preserve"> DFC Ecosystem Threat &amp; Inherent Risk Analysis by Stage</w:t>
      </w:r>
      <w:bookmarkEnd w:id="50"/>
      <w:bookmarkEnd w:id="51"/>
      <w:bookmarkEnd w:id="52"/>
    </w:p>
    <w:p w14:paraId="459214C9" w14:textId="77777777" w:rsidR="00EA03E5" w:rsidRPr="00EA03E5" w:rsidRDefault="00EA03E5" w:rsidP="00EA03E5">
      <w:pPr>
        <w:keepLines/>
        <w:spacing w:before="0" w:after="120" w:line="260" w:lineRule="atLeast"/>
        <w:jc w:val="both"/>
        <w:rPr>
          <w:rFonts w:eastAsia="Arial Unicode MS"/>
          <w:szCs w:val="24"/>
          <w:lang w:val="en-US" w:eastAsia="en-US"/>
        </w:rPr>
      </w:pPr>
    </w:p>
    <w:p w14:paraId="10344721"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Supply Chain Threats: This stage would involve threats to hardware and systems, People and software involved in Stage 2. </w:t>
      </w:r>
    </w:p>
    <w:p w14:paraId="409963E0"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Issuance Threats: This stage would involve threats that are unique to the method of issuance of DC.</w:t>
      </w:r>
    </w:p>
    <w:p w14:paraId="57996CA1"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Circulation Threats: This stage would involve threats to the circulation of DC.</w:t>
      </w:r>
    </w:p>
    <w:p w14:paraId="33E937AD"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Exchange Threats: This stage would involve threats to the payments and transactions involving DC.</w:t>
      </w:r>
    </w:p>
    <w:p w14:paraId="1509C3DD"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Conversion Threats: This stage would involve threats to the transfer and conversion of DC.</w:t>
      </w:r>
    </w:p>
    <w:p w14:paraId="32ABAADC" w14:textId="77777777" w:rsidR="00EA03E5" w:rsidRPr="00EA03E5" w:rsidRDefault="00EA03E5" w:rsidP="00EA03E5">
      <w:pPr>
        <w:spacing w:before="0"/>
        <w:rPr>
          <w:rFonts w:eastAsia="Times New Roman"/>
          <w:b/>
          <w:bCs/>
          <w:kern w:val="32"/>
          <w:szCs w:val="24"/>
          <w:lang w:val="en-US" w:eastAsia="en-US"/>
        </w:rPr>
      </w:pPr>
      <w:r w:rsidRPr="00EA03E5">
        <w:rPr>
          <w:rFonts w:eastAsia="Arial Unicode MS"/>
          <w:szCs w:val="24"/>
          <w:lang w:val="en-US" w:eastAsia="en-US"/>
        </w:rPr>
        <w:br w:type="page"/>
      </w:r>
    </w:p>
    <w:p w14:paraId="7EC68EE3"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53" w:name="_Toc9609167"/>
      <w:r w:rsidRPr="003173B3">
        <w:rPr>
          <w:rFonts w:eastAsia="Times New Roman"/>
          <w:b/>
          <w:kern w:val="32"/>
          <w:szCs w:val="24"/>
          <w:lang w:val="en-US" w:eastAsia="en-US"/>
        </w:rPr>
        <w:lastRenderedPageBreak/>
        <w:t>DCE Impact-to-Target Analysis</w:t>
      </w:r>
      <w:bookmarkEnd w:id="53"/>
    </w:p>
    <w:p w14:paraId="226499EC"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Impact-to-Target analysis involves taking a step further from the Threat-To-Target analysis to consider the nature and severity of the impact. Given that resources are scarce, allocation of resources should be based on greatest risk and impact reduction.</w:t>
      </w:r>
    </w:p>
    <w:p w14:paraId="0871A52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Previously we established a method to define the target, what needs to be protected at a level 1. This decomposition process must continue to level 2 and so one to the point of defining the function of all IT device classes, data types and applications. </w:t>
      </w:r>
    </w:p>
    <w:p w14:paraId="0AD9F91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DCE model allows for a focused risk-based protection approach to be applied to each component involved in each stage of the DCE. Security Assurance means not only nature or type of security but also levels of security and verification. With knowledge of potential impact of a compromise at each stage, appropriate controls can be designed, and assurance measures applied for the desired confidence level. </w:t>
      </w:r>
    </w:p>
    <w:p w14:paraId="673620CD"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Techniques of security applied to network devices, data and software remain mostly common across all roles and uses cases of these assets. IT devices, data and software have no contextual notion of use case. Based on context, the classes involved, their role at any given time, the potential impact levels of protection are articulated by policy. </w:t>
      </w:r>
    </w:p>
    <w:p w14:paraId="229547D1"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Figure 7 illustrates the impact analysis applied to the DCE level 1 decomposition. For each stage, the level 1 impact analysis seeks to understand the severity of the consequences of a stage being compromised. From this, a standard of security and assurance can be articulated. </w:t>
      </w:r>
    </w:p>
    <w:p w14:paraId="53F0F39E" w14:textId="77777777" w:rsidR="00EA03E5" w:rsidRPr="00EA03E5" w:rsidRDefault="00EA03E5" w:rsidP="00EA03E5">
      <w:pPr>
        <w:keepLines/>
        <w:spacing w:before="0" w:after="120" w:line="260" w:lineRule="atLeast"/>
        <w:jc w:val="both"/>
        <w:rPr>
          <w:rFonts w:eastAsia="Arial Unicode MS"/>
          <w:color w:val="C00000"/>
          <w:szCs w:val="24"/>
          <w:lang w:val="en-US" w:eastAsia="en-US"/>
        </w:rPr>
      </w:pPr>
    </w:p>
    <w:p w14:paraId="5DBED44E" w14:textId="16F1B3FD" w:rsidR="00EA03E5" w:rsidRPr="00EA03E5" w:rsidRDefault="0021309E" w:rsidP="00EA03E5">
      <w:pPr>
        <w:keepNext/>
        <w:keepLines/>
        <w:spacing w:before="0" w:after="120" w:line="260" w:lineRule="atLeast"/>
        <w:jc w:val="both"/>
        <w:rPr>
          <w:rFonts w:eastAsia="Arial Unicode MS"/>
          <w:szCs w:val="24"/>
          <w:lang w:val="en-US" w:eastAsia="en-US"/>
        </w:rPr>
      </w:pPr>
      <w:r>
        <w:rPr>
          <w:noProof/>
          <w:lang w:eastAsia="en-GB"/>
        </w:rPr>
        <w:drawing>
          <wp:inline distT="0" distB="0" distL="0" distR="0" wp14:anchorId="5192B23F" wp14:editId="7469E35F">
            <wp:extent cx="6120765" cy="34429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3442970"/>
                    </a:xfrm>
                    <a:prstGeom prst="rect">
                      <a:avLst/>
                    </a:prstGeom>
                  </pic:spPr>
                </pic:pic>
              </a:graphicData>
            </a:graphic>
          </wp:inline>
        </w:drawing>
      </w:r>
    </w:p>
    <w:p w14:paraId="7CE3A15A" w14:textId="77777777" w:rsidR="00EA03E5" w:rsidRPr="00EA03E5" w:rsidRDefault="00EA03E5" w:rsidP="00EA03E5">
      <w:pPr>
        <w:keepNext/>
        <w:keepLines/>
        <w:widowControl w:val="0"/>
        <w:spacing w:before="240" w:after="120"/>
        <w:jc w:val="both"/>
        <w:rPr>
          <w:rFonts w:eastAsia="Times New Roman"/>
          <w:color w:val="C00000"/>
          <w:szCs w:val="24"/>
          <w:lang w:val="en-US" w:eastAsia="en-US"/>
        </w:rPr>
      </w:pPr>
      <w:bookmarkStart w:id="54" w:name="_Toc9609207"/>
      <w:bookmarkStart w:id="55" w:name="_Toc8385042"/>
      <w:bookmarkStart w:id="56" w:name="_Toc8382768"/>
      <w:bookmarkStart w:id="57" w:name="_Toc4603485"/>
      <w:bookmarkStart w:id="58" w:name="_Toc1808445"/>
      <w:bookmarkStart w:id="59" w:name="_Toc166126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7</w:t>
      </w:r>
      <w:r w:rsidRPr="00EA03E5">
        <w:rPr>
          <w:rFonts w:eastAsia="Times New Roman"/>
          <w:b/>
          <w:szCs w:val="24"/>
          <w:lang w:val="en-US" w:eastAsia="en-US"/>
        </w:rPr>
        <w:fldChar w:fldCharType="end"/>
      </w:r>
      <w:r w:rsidRPr="00EA03E5">
        <w:rPr>
          <w:rFonts w:eastAsia="Times New Roman"/>
          <w:szCs w:val="24"/>
          <w:lang w:val="en-US" w:eastAsia="en-US"/>
        </w:rPr>
        <w:t>: DCE Level 1 Compromise Impact &amp; Reasonable Assurance Model</w:t>
      </w:r>
      <w:bookmarkEnd w:id="54"/>
      <w:bookmarkEnd w:id="55"/>
      <w:bookmarkEnd w:id="56"/>
      <w:bookmarkEnd w:id="57"/>
      <w:bookmarkEnd w:id="58"/>
      <w:bookmarkEnd w:id="59"/>
    </w:p>
    <w:p w14:paraId="43B204EA" w14:textId="77777777" w:rsidR="00EA03E5" w:rsidRPr="00EA03E5" w:rsidRDefault="00EA03E5" w:rsidP="00EA03E5">
      <w:pPr>
        <w:keepLines/>
        <w:spacing w:before="0" w:after="120" w:line="260" w:lineRule="atLeast"/>
        <w:jc w:val="both"/>
        <w:rPr>
          <w:rFonts w:eastAsia="Arial Unicode MS"/>
          <w:szCs w:val="24"/>
          <w:lang w:val="en-US" w:eastAsia="en-US"/>
        </w:rPr>
      </w:pPr>
    </w:p>
    <w:p w14:paraId="1F734B5E" w14:textId="77777777" w:rsidR="00EA03E5" w:rsidRPr="00EA03E5" w:rsidRDefault="00EA03E5" w:rsidP="00EA03E5">
      <w:pPr>
        <w:keepLines/>
        <w:spacing w:before="0" w:after="120" w:line="260" w:lineRule="atLeast"/>
        <w:jc w:val="both"/>
        <w:rPr>
          <w:rFonts w:eastAsia="Arial Unicode MS"/>
          <w:szCs w:val="24"/>
          <w:lang w:val="en-US" w:eastAsia="en-US"/>
        </w:rPr>
      </w:pPr>
    </w:p>
    <w:p w14:paraId="251F1E21"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br w:type="page"/>
      </w:r>
    </w:p>
    <w:p w14:paraId="35D3AEAE"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60" w:name="_Toc9609168"/>
      <w:r w:rsidRPr="003173B3">
        <w:rPr>
          <w:rFonts w:eastAsia="Times New Roman"/>
          <w:b/>
          <w:kern w:val="32"/>
          <w:szCs w:val="24"/>
          <w:lang w:val="en-US" w:eastAsia="en-US"/>
        </w:rPr>
        <w:lastRenderedPageBreak/>
        <w:t>DCE Security-to-Target Analysis</w:t>
      </w:r>
      <w:bookmarkEnd w:id="60"/>
    </w:p>
    <w:p w14:paraId="14E1291F"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Security-to-Target analysis illustrated in Figure 8 takes the outcome of the Impact-to-Target analysis of Figure 7 and defines appropriate security control that could to be applied at each stage based on the nature of the impact. </w:t>
      </w:r>
    </w:p>
    <w:p w14:paraId="1CF350EC"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3D742C3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noProof/>
          <w:color w:val="000000"/>
          <w:szCs w:val="24"/>
          <w:lang w:eastAsia="en-GB"/>
        </w:rPr>
        <w:drawing>
          <wp:inline distT="0" distB="0" distL="0" distR="0" wp14:anchorId="176284B1" wp14:editId="39893EDC">
            <wp:extent cx="6096000" cy="3429000"/>
            <wp:effectExtent l="0" t="0" r="0" b="0"/>
            <wp:docPr id="1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CD17348" w14:textId="77777777" w:rsidR="00EA03E5" w:rsidRPr="00EA03E5" w:rsidRDefault="00EA03E5" w:rsidP="00EA03E5">
      <w:pPr>
        <w:keepNext/>
        <w:keepLines/>
        <w:spacing w:before="0" w:after="120" w:line="260" w:lineRule="atLeast"/>
        <w:jc w:val="both"/>
        <w:rPr>
          <w:rFonts w:eastAsia="Arial Unicode MS"/>
          <w:szCs w:val="24"/>
          <w:lang w:val="en-US" w:eastAsia="en-US"/>
        </w:rPr>
      </w:pPr>
    </w:p>
    <w:p w14:paraId="7A404C32" w14:textId="1D4499CB" w:rsidR="00EA03E5" w:rsidRPr="00EA03E5" w:rsidRDefault="00EA03E5" w:rsidP="00EA03E5">
      <w:pPr>
        <w:keepNext/>
        <w:keepLines/>
        <w:widowControl w:val="0"/>
        <w:spacing w:before="240" w:after="120"/>
        <w:jc w:val="both"/>
        <w:rPr>
          <w:rFonts w:eastAsia="Times New Roman"/>
          <w:color w:val="000000"/>
          <w:szCs w:val="24"/>
          <w:lang w:val="en-US" w:eastAsia="en-US"/>
        </w:rPr>
      </w:pPr>
      <w:bookmarkStart w:id="61" w:name="_Toc960920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8</w:t>
      </w:r>
      <w:r w:rsidRPr="00EA03E5">
        <w:rPr>
          <w:rFonts w:eastAsia="Times New Roman"/>
          <w:b/>
          <w:szCs w:val="24"/>
          <w:lang w:val="en-US" w:eastAsia="en-US"/>
        </w:rPr>
        <w:fldChar w:fldCharType="end"/>
      </w:r>
      <w:r w:rsidR="0021309E">
        <w:rPr>
          <w:rFonts w:eastAsia="Times New Roman"/>
          <w:b/>
          <w:szCs w:val="24"/>
          <w:lang w:val="en-US" w:eastAsia="en-US"/>
        </w:rPr>
        <w:t>:</w:t>
      </w:r>
      <w:r w:rsidRPr="00EA03E5">
        <w:rPr>
          <w:rFonts w:eastAsia="Times New Roman"/>
          <w:szCs w:val="24"/>
          <w:lang w:val="en-US" w:eastAsia="en-US"/>
        </w:rPr>
        <w:t xml:space="preserve"> DCE Level 1 Stage: Security Assurance by Stage</w:t>
      </w:r>
      <w:bookmarkEnd w:id="61"/>
    </w:p>
    <w:p w14:paraId="0FB81F77"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259BD11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This Target decomposition process should continue each level for each stage. The result is an ever-increasing target precision that ultimately leads to the identification of specific Asset Classes and specific assets that can be protected by specific controls. </w:t>
      </w:r>
    </w:p>
    <w:p w14:paraId="65B1A71D" w14:textId="77777777" w:rsidR="00EA03E5" w:rsidRPr="00EA03E5" w:rsidRDefault="00EA03E5" w:rsidP="00EA03E5">
      <w:pPr>
        <w:keepLines/>
        <w:spacing w:before="0" w:after="120" w:line="260" w:lineRule="atLeast"/>
        <w:jc w:val="both"/>
        <w:rPr>
          <w:rFonts w:eastAsia="Arial Unicode MS"/>
          <w:szCs w:val="24"/>
          <w:lang w:val="en-US" w:eastAsia="en-US"/>
        </w:rPr>
      </w:pPr>
    </w:p>
    <w:p w14:paraId="6B64E71D" w14:textId="77777777" w:rsidR="00EA03E5" w:rsidRPr="00EA03E5" w:rsidRDefault="00EA03E5" w:rsidP="00EA03E5">
      <w:pPr>
        <w:spacing w:before="0"/>
        <w:rPr>
          <w:rFonts w:eastAsia="Times New Roman"/>
          <w:bCs/>
          <w:kern w:val="32"/>
          <w:szCs w:val="24"/>
          <w:lang w:val="en-US" w:eastAsia="en-US"/>
        </w:rPr>
      </w:pPr>
      <w:r w:rsidRPr="00EA03E5">
        <w:rPr>
          <w:rFonts w:eastAsia="Arial Unicode MS"/>
          <w:b/>
          <w:szCs w:val="24"/>
          <w:lang w:val="en-US" w:eastAsia="en-US"/>
        </w:rPr>
        <w:br w:type="page"/>
      </w:r>
    </w:p>
    <w:p w14:paraId="19032CBD"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62" w:name="_Toc9609169"/>
      <w:r w:rsidRPr="003173B3">
        <w:rPr>
          <w:rFonts w:eastAsia="Times New Roman"/>
          <w:b/>
          <w:kern w:val="32"/>
          <w:szCs w:val="24"/>
          <w:lang w:val="en-US" w:eastAsia="en-US"/>
        </w:rPr>
        <w:lastRenderedPageBreak/>
        <w:t xml:space="preserve">DCE </w:t>
      </w:r>
      <w:r w:rsidRPr="003173B3">
        <w:rPr>
          <w:rFonts w:eastAsia="Times New Roman"/>
          <w:b/>
          <w:color w:val="000000"/>
          <w:kern w:val="32"/>
          <w:szCs w:val="24"/>
          <w:lang w:val="en-US" w:eastAsia="en-US"/>
        </w:rPr>
        <w:t>Residual Risk Analysis</w:t>
      </w:r>
      <w:bookmarkEnd w:id="62"/>
    </w:p>
    <w:p w14:paraId="29D80309"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Residual Risk Analysis involves estimating whether the risk remaining after applying available protection is acceptable by relevant stakeholders. Acceptability means whether the damages and losses in the event of realization of the risk are acceptable by the impacted stakeholders. If it is deemed unacceptable, the same impacted stakeholders must invest in risk reduction.  </w:t>
      </w:r>
    </w:p>
    <w:p w14:paraId="5EF948D5"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ultimate policy and standard decision rests with what governing stakeholders deem acceptable residual risk by stage. Figure 9 illustrates the residual risk DCE model. It integrates the Target model with the threat and security assurance models. The residual risk and exposure of any stage is the inherent risks created by the threats reduces by the security and assurance standard. </w:t>
      </w:r>
    </w:p>
    <w:p w14:paraId="1C6C080B" w14:textId="77777777" w:rsidR="00EA03E5" w:rsidRPr="00EA03E5" w:rsidRDefault="00EA03E5" w:rsidP="00EA03E5">
      <w:pPr>
        <w:keepLines/>
        <w:spacing w:before="0" w:after="120" w:line="260" w:lineRule="atLeast"/>
        <w:jc w:val="both"/>
        <w:rPr>
          <w:rFonts w:eastAsia="Arial Unicode MS"/>
          <w:szCs w:val="24"/>
          <w:lang w:val="en-US" w:eastAsia="en-US"/>
        </w:rPr>
      </w:pPr>
    </w:p>
    <w:p w14:paraId="777D60B7"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613D5F7A" wp14:editId="0A84B832">
            <wp:extent cx="6096000" cy="3429000"/>
            <wp:effectExtent l="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08D28F64" w14:textId="060B425F" w:rsidR="00EA03E5" w:rsidRPr="002A2731" w:rsidRDefault="00EA03E5" w:rsidP="002A2731">
      <w:pPr>
        <w:keepNext/>
        <w:keepLines/>
        <w:widowControl w:val="0"/>
        <w:spacing w:before="240" w:after="120"/>
        <w:jc w:val="both"/>
        <w:rPr>
          <w:rFonts w:eastAsia="Times New Roman"/>
          <w:szCs w:val="24"/>
          <w:lang w:val="en-US" w:eastAsia="en-US"/>
        </w:rPr>
      </w:pPr>
      <w:bookmarkStart w:id="63" w:name="_Toc9609209"/>
      <w:bookmarkStart w:id="64" w:name="_Toc8385043"/>
      <w:bookmarkStart w:id="65" w:name="_Toc8382769"/>
      <w:bookmarkStart w:id="66" w:name="_Toc4603488"/>
      <w:bookmarkStart w:id="67" w:name="_Toc1808448"/>
      <w:bookmarkStart w:id="68" w:name="_Toc166126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9</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Arial Unicode MS"/>
          <w:szCs w:val="24"/>
          <w:lang w:val="en-US" w:eastAsia="en-US"/>
        </w:rPr>
        <w:t xml:space="preserve"> </w:t>
      </w:r>
      <w:r w:rsidRPr="00EA03E5">
        <w:rPr>
          <w:rFonts w:eastAsia="Times New Roman"/>
          <w:szCs w:val="24"/>
          <w:lang w:val="en-US" w:eastAsia="en-US"/>
        </w:rPr>
        <w:t>DCE Residual Risk Analysis by Stage</w:t>
      </w:r>
      <w:bookmarkEnd w:id="63"/>
      <w:bookmarkEnd w:id="64"/>
      <w:bookmarkEnd w:id="65"/>
      <w:bookmarkEnd w:id="66"/>
      <w:bookmarkEnd w:id="67"/>
      <w:bookmarkEnd w:id="68"/>
      <w:r w:rsidRPr="00EA03E5">
        <w:rPr>
          <w:rFonts w:eastAsia="Times New Roman"/>
          <w:szCs w:val="24"/>
          <w:lang w:val="en-US" w:eastAsia="en-US"/>
        </w:rPr>
        <w:t xml:space="preserve"> </w:t>
      </w:r>
      <w:r w:rsidRPr="00EA03E5">
        <w:rPr>
          <w:rFonts w:eastAsia="Arial Unicode MS"/>
          <w:b/>
          <w:szCs w:val="24"/>
          <w:lang w:val="en-US" w:eastAsia="en-US"/>
        </w:rPr>
        <w:br w:type="page"/>
      </w:r>
    </w:p>
    <w:p w14:paraId="10D3AC66" w14:textId="5DBEF89B"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69" w:name="_Toc9609170"/>
      <w:r w:rsidRPr="003173B3">
        <w:rPr>
          <w:rFonts w:eastAsia="Times New Roman"/>
          <w:b/>
          <w:kern w:val="32"/>
          <w:szCs w:val="24"/>
          <w:lang w:val="en-US" w:eastAsia="en-US"/>
        </w:rPr>
        <w:lastRenderedPageBreak/>
        <w:t xml:space="preserve">DCE </w:t>
      </w:r>
      <w:r w:rsidRPr="003173B3">
        <w:rPr>
          <w:rFonts w:eastAsia="Times New Roman"/>
          <w:b/>
          <w:color w:val="000000"/>
          <w:kern w:val="32"/>
          <w:szCs w:val="24"/>
          <w:lang w:val="en-US" w:eastAsia="en-US"/>
        </w:rPr>
        <w:t>Risk Acceptance Decision</w:t>
      </w:r>
      <w:bookmarkEnd w:id="69"/>
    </w:p>
    <w:p w14:paraId="6C18689E" w14:textId="6910944E"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t xml:space="preserve">The Risk Acceptance Decision is a fiduciary decision directly tied to risks and investment. Less risk requires more investment. As illustrated in Figure 10, for each stage a Risk Assessment is conducted and based on the residual risks results and the risk acceptance appetite, funding is allocated to maintain or reduce the residual exposure. In some cases, is risk appetite is limited by regulation. </w:t>
      </w:r>
    </w:p>
    <w:p w14:paraId="7F727393" w14:textId="77777777" w:rsidR="00EA03E5" w:rsidRPr="00EA03E5" w:rsidRDefault="00EA03E5" w:rsidP="00EA03E5">
      <w:pPr>
        <w:keepNext/>
        <w:spacing w:before="0"/>
        <w:rPr>
          <w:rFonts w:eastAsia="Arial Unicode MS"/>
          <w:szCs w:val="24"/>
          <w:lang w:val="en-US" w:eastAsia="en-US"/>
        </w:rPr>
      </w:pPr>
      <w:r w:rsidRPr="00EA03E5">
        <w:rPr>
          <w:rFonts w:eastAsia="Arial Unicode MS"/>
          <w:noProof/>
          <w:szCs w:val="24"/>
          <w:lang w:eastAsia="en-GB"/>
        </w:rPr>
        <w:lastRenderedPageBreak/>
        <w:drawing>
          <wp:inline distT="0" distB="0" distL="0" distR="0" wp14:anchorId="209B06B8" wp14:editId="765D8F4A">
            <wp:extent cx="6096000" cy="3429000"/>
            <wp:effectExtent l="0" t="0" r="0" b="0"/>
            <wp:docPr id="1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4C8CA1B" w14:textId="77777777" w:rsidR="00EA03E5" w:rsidRPr="00EA03E5" w:rsidRDefault="00EA03E5" w:rsidP="00EA03E5">
      <w:pPr>
        <w:keepNext/>
        <w:keepLines/>
        <w:widowControl w:val="0"/>
        <w:spacing w:before="240" w:after="120"/>
        <w:rPr>
          <w:rFonts w:eastAsia="Times New Roman"/>
          <w:szCs w:val="24"/>
          <w:lang w:val="en-US" w:eastAsia="en-US"/>
        </w:rPr>
      </w:pPr>
      <w:bookmarkStart w:id="70" w:name="_Toc9609210"/>
      <w:bookmarkStart w:id="71" w:name="_Toc8385044"/>
      <w:bookmarkStart w:id="72" w:name="_Toc8382770"/>
      <w:bookmarkStart w:id="73" w:name="_Toc4603489"/>
      <w:bookmarkStart w:id="74" w:name="_Toc1808449"/>
      <w:bookmarkStart w:id="75" w:name="_Toc166126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10</w:t>
      </w:r>
      <w:r w:rsidRPr="00EA03E5">
        <w:rPr>
          <w:rFonts w:eastAsia="Times New Roman"/>
          <w:b/>
          <w:szCs w:val="24"/>
          <w:lang w:val="en-US" w:eastAsia="en-US"/>
        </w:rPr>
        <w:fldChar w:fldCharType="end"/>
      </w:r>
      <w:r w:rsidRPr="00EA03E5">
        <w:rPr>
          <w:rFonts w:eastAsia="Times New Roman"/>
          <w:szCs w:val="24"/>
          <w:lang w:val="en-US" w:eastAsia="en-US"/>
        </w:rPr>
        <w:t>: Stage Residual Risk Analysis Cycle</w:t>
      </w:r>
      <w:bookmarkEnd w:id="70"/>
      <w:bookmarkEnd w:id="71"/>
      <w:bookmarkEnd w:id="72"/>
      <w:bookmarkEnd w:id="73"/>
      <w:bookmarkEnd w:id="74"/>
      <w:bookmarkEnd w:id="75"/>
    </w:p>
    <w:p w14:paraId="05FE69D2" w14:textId="77777777" w:rsidR="00EA03E5" w:rsidRPr="00EA03E5" w:rsidRDefault="00EA03E5" w:rsidP="00EA03E5">
      <w:pPr>
        <w:keepNext/>
        <w:keepLines/>
        <w:spacing w:before="0" w:after="120" w:line="260" w:lineRule="atLeast"/>
        <w:jc w:val="both"/>
        <w:rPr>
          <w:rFonts w:eastAsia="Arial Unicode MS"/>
          <w:szCs w:val="24"/>
          <w:lang w:val="en-US" w:eastAsia="en-US"/>
        </w:rPr>
      </w:pPr>
    </w:p>
    <w:p w14:paraId="0C2E4202"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7E4F10E6" wp14:editId="3A48540C">
            <wp:extent cx="6096000" cy="3429000"/>
            <wp:effectExtent l="0" t="0" r="0" b="0"/>
            <wp:docPr id="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5A6FA5A" w14:textId="77777777" w:rsidR="00EA03E5" w:rsidRPr="00EA03E5" w:rsidRDefault="00EA03E5" w:rsidP="00EA03E5">
      <w:pPr>
        <w:keepNext/>
        <w:keepLines/>
        <w:widowControl w:val="0"/>
        <w:spacing w:before="240" w:after="120"/>
        <w:jc w:val="both"/>
        <w:rPr>
          <w:rFonts w:eastAsia="Times New Roman"/>
          <w:color w:val="000000"/>
          <w:szCs w:val="24"/>
          <w:lang w:val="en-US" w:eastAsia="en-US"/>
        </w:rPr>
      </w:pPr>
      <w:bookmarkStart w:id="76" w:name="_Toc960921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11</w:t>
      </w:r>
      <w:r w:rsidRPr="00EA03E5">
        <w:rPr>
          <w:rFonts w:eastAsia="Times New Roman"/>
          <w:b/>
          <w:szCs w:val="24"/>
          <w:lang w:val="en-US" w:eastAsia="en-US"/>
        </w:rPr>
        <w:fldChar w:fldCharType="end"/>
      </w:r>
      <w:r w:rsidRPr="00EA03E5">
        <w:rPr>
          <w:rFonts w:eastAsia="Times New Roman"/>
          <w:szCs w:val="24"/>
          <w:lang w:val="en-US" w:eastAsia="en-US"/>
        </w:rPr>
        <w:t>: Reaching a Reasonable Risk Tolerance Level</w:t>
      </w:r>
      <w:bookmarkEnd w:id="76"/>
    </w:p>
    <w:p w14:paraId="51DF2E4E" w14:textId="77777777" w:rsidR="00EA03E5" w:rsidRPr="00EA03E5" w:rsidRDefault="00EA03E5" w:rsidP="00EA03E5">
      <w:pPr>
        <w:spacing w:before="0"/>
        <w:rPr>
          <w:rFonts w:eastAsia="Arial Unicode MS"/>
          <w:szCs w:val="24"/>
          <w:lang w:val="en-US" w:eastAsia="en-US"/>
        </w:rPr>
      </w:pPr>
    </w:p>
    <w:p w14:paraId="7A00377B"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77" w:name="_Toc9609171"/>
      <w:bookmarkStart w:id="78" w:name="_Toc1816272"/>
      <w:bookmarkStart w:id="79" w:name="_Toc1812685"/>
      <w:bookmarkEnd w:id="38"/>
      <w:bookmarkEnd w:id="39"/>
      <w:r w:rsidRPr="00EA03E5">
        <w:rPr>
          <w:rFonts w:eastAsia="Times New Roman"/>
          <w:b/>
          <w:bCs/>
          <w:kern w:val="32"/>
          <w:szCs w:val="24"/>
          <w:lang w:val="en-US" w:eastAsia="en-US"/>
        </w:rPr>
        <w:lastRenderedPageBreak/>
        <w:t>Digital Currency Ecosystem Level 2 Target Model</w:t>
      </w:r>
      <w:bookmarkEnd w:id="77"/>
    </w:p>
    <w:p w14:paraId="755D5F05" w14:textId="77777777" w:rsidR="00EA03E5" w:rsidRPr="00EA03E5" w:rsidRDefault="00EA03E5" w:rsidP="00EA03E5">
      <w:pPr>
        <w:keepNext/>
        <w:tabs>
          <w:tab w:val="left" w:pos="720"/>
        </w:tabs>
        <w:spacing w:before="360" w:after="240"/>
        <w:outlineLvl w:val="1"/>
        <w:rPr>
          <w:rFonts w:eastAsia="Times New Roman"/>
          <w:b/>
          <w:bCs/>
          <w:kern w:val="32"/>
          <w:szCs w:val="24"/>
          <w:lang w:val="en-US" w:eastAsia="en-US"/>
        </w:rPr>
      </w:pPr>
      <w:bookmarkStart w:id="80" w:name="_Toc9609172"/>
      <w:r w:rsidRPr="00EA03E5">
        <w:rPr>
          <w:rFonts w:eastAsia="Times New Roman"/>
          <w:b/>
          <w:bCs/>
          <w:kern w:val="32"/>
          <w:szCs w:val="24"/>
          <w:lang w:val="en-US" w:eastAsia="en-US"/>
        </w:rPr>
        <w:t>DCE Level 2 Decomposition</w:t>
      </w:r>
      <w:bookmarkEnd w:id="78"/>
      <w:bookmarkEnd w:id="79"/>
      <w:bookmarkEnd w:id="80"/>
    </w:p>
    <w:p w14:paraId="1A132E0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Each of the 5 stages of the DCE Level 1 Decomposition illustrated in Figure # is further decomposed into Level 2. The objective of the decomposition is to identify and define the role of People, Process and Technology in each stage of the DCE, in both a centralized and decentralized issuance model.</w:t>
      </w:r>
    </w:p>
    <w:p w14:paraId="6CDA0CC6"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sections discuss the logic behind how each stage was decomposed and the identification of who or what does what when to whom or what and why?</w:t>
      </w:r>
    </w:p>
    <w:p w14:paraId="0428EB4A"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81" w:name="_Toc9609173"/>
      <w:bookmarkStart w:id="82" w:name="_Toc1816273"/>
      <w:bookmarkStart w:id="83" w:name="_Toc1812686"/>
      <w:r w:rsidRPr="00EA03E5">
        <w:rPr>
          <w:rFonts w:eastAsia="Times New Roman"/>
          <w:b/>
          <w:bCs/>
          <w:kern w:val="32"/>
          <w:szCs w:val="24"/>
          <w:lang w:val="en-US" w:eastAsia="en-US"/>
        </w:rPr>
        <w:t>DCE Stage 1: Technology Level 2 Decomposition</w:t>
      </w:r>
      <w:bookmarkEnd w:id="81"/>
      <w:bookmarkEnd w:id="82"/>
      <w:bookmarkEnd w:id="83"/>
    </w:p>
    <w:p w14:paraId="30D723F7"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design and manufacture of DC issuance technology involves a complex supply chain comprised of People, Process, Technology and knowledge in individual streams. Figure 12 outlines a supply chain model based on the convergence and interaction of people performing processes to design and manufacture technology as follows: </w:t>
      </w:r>
    </w:p>
    <w:p w14:paraId="488B8968"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People Supply Chain: People involved in all stages of the design, manufacture and delivery of a Trusted Digital Currency Issuance System (“DC Technology”). This includes system design, manufacture of hardware, development of software and component integration and testing. </w:t>
      </w:r>
    </w:p>
    <w:p w14:paraId="2C2329FB"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Supply Chain: People design and execute processes and procedures necessary for the creation of DC Technology and its subsequent use to ensure trust as follows:</w:t>
      </w:r>
    </w:p>
    <w:p w14:paraId="5C0E5BCC" w14:textId="77777777" w:rsidR="00EA03E5" w:rsidRPr="00EA03E5" w:rsidRDefault="00EA03E5" w:rsidP="00EA03E5">
      <w:pPr>
        <w:keepLines/>
        <w:numPr>
          <w:ilvl w:val="1"/>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DC Technology </w:t>
      </w:r>
      <w:r w:rsidRPr="00EA03E5">
        <w:rPr>
          <w:rFonts w:eastAsia="Arial Unicode MS"/>
          <w:szCs w:val="24"/>
          <w:u w:val="single"/>
          <w:lang w:val="en-US" w:eastAsia="en-US"/>
        </w:rPr>
        <w:t>Manufacturing</w:t>
      </w:r>
      <w:r w:rsidRPr="00EA03E5">
        <w:rPr>
          <w:rFonts w:eastAsia="Arial Unicode MS"/>
          <w:szCs w:val="24"/>
          <w:lang w:val="en-US" w:eastAsia="en-US"/>
        </w:rPr>
        <w:t xml:space="preserve"> Processes: Manufacture of hardware components, development of software and APIs and integration of all system components.</w:t>
      </w:r>
    </w:p>
    <w:p w14:paraId="2DE4843E" w14:textId="77777777" w:rsidR="00EA03E5" w:rsidRPr="00EA03E5" w:rsidRDefault="00EA03E5" w:rsidP="00EA03E5">
      <w:pPr>
        <w:keepLines/>
        <w:numPr>
          <w:ilvl w:val="1"/>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DC Technology </w:t>
      </w:r>
      <w:r w:rsidRPr="00EA03E5">
        <w:rPr>
          <w:rFonts w:eastAsia="Arial Unicode MS"/>
          <w:szCs w:val="24"/>
          <w:u w:val="single"/>
          <w:lang w:val="en-US" w:eastAsia="en-US"/>
        </w:rPr>
        <w:t>Use</w:t>
      </w:r>
      <w:r w:rsidRPr="00EA03E5">
        <w:rPr>
          <w:rFonts w:eastAsia="Arial Unicode MS"/>
          <w:szCs w:val="24"/>
          <w:lang w:val="en-US" w:eastAsia="en-US"/>
        </w:rPr>
        <w:t xml:space="preserve"> Processes Activation, issuance and management of the DC. This is covered in stage 2. </w:t>
      </w:r>
    </w:p>
    <w:p w14:paraId="32B1FDEA"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Supply Chain: the DC Technology will involve the integration of many technologies embodied in hardware, firmware, that is mass produced for multiple uses. It is important to ensure all the components that comprise the trusted system are trustworthy.  </w:t>
      </w:r>
    </w:p>
    <w:p w14:paraId="7166C71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This stage would not exhibit any “security technique” distinction whether used in the issuance of Centralized Digital Currency (CDC) or Decentralized Digital Currency (DDC). However, these issuance models may call for security assurance distinctions, that is CDCs as in the case of DFC should have a higher standard of security.</w:t>
      </w:r>
    </w:p>
    <w:p w14:paraId="0EF1537E"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03CD1A05" wp14:editId="6E6BD422">
            <wp:extent cx="6124575" cy="3448050"/>
            <wp:effectExtent l="0" t="0" r="9525"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B1CC5D7"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84" w:name="_Toc9609212"/>
      <w:bookmarkStart w:id="85" w:name="_Toc8385045"/>
      <w:bookmarkStart w:id="86" w:name="_Toc8382771"/>
      <w:bookmarkStart w:id="87" w:name="_Toc4603474"/>
      <w:bookmarkStart w:id="88" w:name="_Toc1808434"/>
      <w:bookmarkStart w:id="89" w:name="_Toc1661253"/>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12</w:t>
      </w:r>
      <w:r w:rsidRPr="00EA03E5">
        <w:rPr>
          <w:rFonts w:eastAsia="Times New Roman"/>
          <w:b/>
          <w:szCs w:val="24"/>
          <w:lang w:val="en-US" w:eastAsia="en-US"/>
        </w:rPr>
        <w:fldChar w:fldCharType="end"/>
      </w:r>
      <w:r w:rsidRPr="00EA03E5">
        <w:rPr>
          <w:rFonts w:eastAsia="Times New Roman"/>
          <w:szCs w:val="24"/>
          <w:lang w:val="en-US" w:eastAsia="en-US"/>
        </w:rPr>
        <w:t>: DCE Stage 1 Technology Level 2 Decomposition</w:t>
      </w:r>
      <w:bookmarkEnd w:id="84"/>
      <w:bookmarkEnd w:id="85"/>
      <w:bookmarkEnd w:id="86"/>
      <w:bookmarkEnd w:id="87"/>
      <w:bookmarkEnd w:id="88"/>
      <w:bookmarkEnd w:id="89"/>
    </w:p>
    <w:p w14:paraId="79DEA45D" w14:textId="77777777" w:rsidR="00EA03E5" w:rsidRPr="00EA03E5" w:rsidRDefault="00EA03E5" w:rsidP="00EA03E5">
      <w:pPr>
        <w:keepLines/>
        <w:spacing w:before="0" w:after="120" w:line="260" w:lineRule="atLeast"/>
        <w:jc w:val="both"/>
        <w:rPr>
          <w:rFonts w:eastAsia="Arial Unicode MS"/>
          <w:szCs w:val="24"/>
          <w:lang w:val="en-US" w:eastAsia="en-US"/>
        </w:rPr>
      </w:pPr>
    </w:p>
    <w:p w14:paraId="6D548D20"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Supply chain security best practices exist as a specialization for example, the supply of hardware and software to the government. Such a required certification includes Common Criteria v3.1 r5 for supply chain hardware and software security: Common Criteria for IT Security Evaluation (ISO/IEC 15408).</w:t>
      </w:r>
    </w:p>
    <w:p w14:paraId="5FB702E1"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90" w:name="_Toc9609174"/>
      <w:bookmarkStart w:id="91" w:name="_Toc1816274"/>
      <w:bookmarkStart w:id="92" w:name="_Toc1812687"/>
      <w:r w:rsidRPr="00EA03E5">
        <w:rPr>
          <w:rFonts w:eastAsia="Times New Roman"/>
          <w:b/>
          <w:bCs/>
          <w:kern w:val="32"/>
          <w:szCs w:val="24"/>
          <w:lang w:val="en-US" w:eastAsia="en-US"/>
        </w:rPr>
        <w:t>DCE Stage 2: Issuance Level 2 Decomposition</w:t>
      </w:r>
      <w:bookmarkEnd w:id="90"/>
      <w:bookmarkEnd w:id="91"/>
      <w:bookmarkEnd w:id="92"/>
    </w:p>
    <w:p w14:paraId="0AF64E2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issuance of DCs can take on two possible models;</w:t>
      </w:r>
    </w:p>
    <w:p w14:paraId="261FFA0B" w14:textId="77777777" w:rsidR="00EA03E5" w:rsidRPr="00EA03E5" w:rsidRDefault="00EA03E5" w:rsidP="00EA03E5">
      <w:pPr>
        <w:keepLines/>
        <w:numPr>
          <w:ilvl w:val="0"/>
          <w:numId w:val="19"/>
        </w:numPr>
        <w:spacing w:before="0" w:after="120" w:line="260" w:lineRule="atLeast"/>
        <w:jc w:val="both"/>
        <w:rPr>
          <w:rFonts w:eastAsia="Arial Unicode MS"/>
          <w:szCs w:val="24"/>
          <w:lang w:val="en-US" w:eastAsia="en-US"/>
        </w:rPr>
      </w:pPr>
      <w:r w:rsidRPr="00EA03E5">
        <w:rPr>
          <w:rFonts w:eastAsia="Arial Unicode MS"/>
          <w:szCs w:val="24"/>
          <w:lang w:val="en-US" w:eastAsia="en-US"/>
        </w:rPr>
        <w:t>Centralized Issuance is where a single entity controls all aspects of the issuance of DC process, referred to as Centralized Digital Currency (CDC). Two uses cases within this category are: Digital Fiat Currency and Central Bank Digital Currency.”</w:t>
      </w:r>
    </w:p>
    <w:p w14:paraId="33C8385C" w14:textId="77777777" w:rsidR="00EA03E5" w:rsidRPr="00EA03E5" w:rsidRDefault="00EA03E5" w:rsidP="00EA03E5">
      <w:pPr>
        <w:keepLines/>
        <w:numPr>
          <w:ilvl w:val="0"/>
          <w:numId w:val="19"/>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Decentralized Issuance is where participants each individually can issue DC under identical conditions, referred to as Decentralized Digital Currency (DDC). </w:t>
      </w:r>
    </w:p>
    <w:p w14:paraId="2326FC6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Issuance models for both issuance cases are as follows:  </w:t>
      </w:r>
    </w:p>
    <w:p w14:paraId="29AD2913" w14:textId="77777777" w:rsidR="00EA03E5" w:rsidRPr="00EA03E5" w:rsidRDefault="00EA03E5" w:rsidP="00EA03E5">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93" w:name="_Toc9609175"/>
      <w:bookmarkStart w:id="94" w:name="_Toc1816275"/>
      <w:bookmarkStart w:id="95" w:name="_Toc1812688"/>
      <w:r w:rsidRPr="00EA03E5">
        <w:rPr>
          <w:rFonts w:eastAsia="Times New Roman"/>
          <w:b/>
          <w:bCs/>
          <w:kern w:val="32"/>
          <w:szCs w:val="24"/>
          <w:lang w:val="en-US" w:eastAsia="en-US"/>
        </w:rPr>
        <w:t>DCE Stage 2: Centralized DC Issuance</w:t>
      </w:r>
      <w:bookmarkEnd w:id="93"/>
      <w:bookmarkEnd w:id="94"/>
      <w:bookmarkEnd w:id="95"/>
    </w:p>
    <w:p w14:paraId="730D7FD6"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stage 2 decomposition of Issuance following a centralized Issuance Authority modifies the DCE model into a Centralized Digital Currency (CDC) model, as illustrated in Figure13. Digital Fiat Currency (DFC) falls into this category. The level 2 CDC issuance involves:</w:t>
      </w:r>
    </w:p>
    <w:p w14:paraId="67EE2EF3"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2.1: Procure involves the identification, procurement and delivery of the certified DFC Technology</w:t>
      </w:r>
    </w:p>
    <w:p w14:paraId="378C0402"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2.2: Activate involves the setup and activation of the DFC Technology to yield a trusted state ready for issuance.</w:t>
      </w:r>
    </w:p>
    <w:p w14:paraId="11829181"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CDC Stage 2.3: Issue involves the actual creation of the volume of DFC involved in the intended issuance.</w:t>
      </w:r>
    </w:p>
    <w:p w14:paraId="5914ADFF"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2.4: Monitor involves monitoring the activity (velocity) of the DFC</w:t>
      </w:r>
    </w:p>
    <w:p w14:paraId="0963E8F4"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39B5FD89" wp14:editId="15CC3AE0">
            <wp:extent cx="6124575" cy="3448050"/>
            <wp:effectExtent l="0" t="0" r="9525" b="0"/>
            <wp:docPr id="1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8EC9FE5"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96" w:name="_Toc9609213"/>
      <w:bookmarkStart w:id="97" w:name="_Toc8385046"/>
      <w:bookmarkStart w:id="98" w:name="_Toc8382772"/>
      <w:bookmarkStart w:id="99" w:name="_Toc4603475"/>
      <w:bookmarkStart w:id="100" w:name="_Toc1808435"/>
      <w:bookmarkStart w:id="101" w:name="_Toc1661254"/>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13</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Times New Roman"/>
          <w:b/>
          <w:szCs w:val="24"/>
          <w:lang w:val="en-US" w:eastAsia="en-US"/>
        </w:rPr>
        <w:t xml:space="preserve"> </w:t>
      </w:r>
      <w:r w:rsidRPr="00EA03E5">
        <w:rPr>
          <w:rFonts w:eastAsia="Times New Roman"/>
          <w:szCs w:val="24"/>
          <w:lang w:val="en-US" w:eastAsia="en-US"/>
        </w:rPr>
        <w:t>DCE Stage 2 Centralized Issuance Level 2 Decomposition</w:t>
      </w:r>
      <w:bookmarkEnd w:id="96"/>
      <w:bookmarkEnd w:id="97"/>
      <w:bookmarkEnd w:id="98"/>
      <w:bookmarkEnd w:id="99"/>
      <w:bookmarkEnd w:id="100"/>
      <w:bookmarkEnd w:id="101"/>
    </w:p>
    <w:p w14:paraId="08BF0A6F"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are the people, process and technology involved in centralized DC issuance: Involves the procurement, set-up and activation of all hardware, software, and processes involved in the issuance of DFC and monitoring its liquidity and transaction activity.</w:t>
      </w:r>
    </w:p>
    <w:p w14:paraId="23FFE9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CDC Stage 2 level 3 decomposition results in the following People, Process &amp; Technology</w:t>
      </w:r>
    </w:p>
    <w:p w14:paraId="2BB01DB8" w14:textId="77777777" w:rsidR="00EA03E5" w:rsidRPr="00EA03E5" w:rsidRDefault="00EA03E5" w:rsidP="00EA03E5">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CDC People &amp; Roles:</w:t>
      </w:r>
    </w:p>
    <w:p w14:paraId="1E70DE9B"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ensure the selection of certified DC Technology</w:t>
      </w:r>
    </w:p>
    <w:p w14:paraId="6B18B413"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trusted individuals involved in the DC issuance event</w:t>
      </w:r>
    </w:p>
    <w:p w14:paraId="2DC13FF4"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persons required to initiate and complete issuance</w:t>
      </w:r>
    </w:p>
    <w:p w14:paraId="69BF41A4" w14:textId="77777777" w:rsidR="00EA03E5" w:rsidRPr="00EA03E5" w:rsidRDefault="00EA03E5" w:rsidP="00EA03E5">
      <w:pPr>
        <w:spacing w:before="0"/>
        <w:rPr>
          <w:rFonts w:eastAsia="Arial Unicode MS"/>
          <w:szCs w:val="24"/>
          <w:lang w:val="en-US" w:eastAsia="en-US"/>
        </w:rPr>
        <w:sectPr w:rsidR="00EA03E5" w:rsidRPr="00EA03E5">
          <w:pgSz w:w="11907" w:h="16840"/>
          <w:pgMar w:top="1418" w:right="1134" w:bottom="900" w:left="1134" w:header="720" w:footer="720" w:gutter="0"/>
          <w:cols w:space="720"/>
        </w:sectPr>
      </w:pPr>
    </w:p>
    <w:p w14:paraId="69460DC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Trusted Issuance Participants</w:t>
      </w:r>
    </w:p>
    <w:p w14:paraId="3F8BD6B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Ceremony Master (CM)</w:t>
      </w:r>
    </w:p>
    <w:p w14:paraId="72B956F6"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Internal Witness(s) (IW)</w:t>
      </w:r>
    </w:p>
    <w:p w14:paraId="4B4A20D0"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External Witness(s) (EW)</w:t>
      </w:r>
    </w:p>
    <w:p w14:paraId="75D9B8B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Security Officer (SO)</w:t>
      </w:r>
    </w:p>
    <w:p w14:paraId="3C90D0B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Operations Officer (System Admin)</w:t>
      </w:r>
    </w:p>
    <w:p w14:paraId="1AA42D8A" w14:textId="77777777" w:rsidR="00EA03E5" w:rsidRPr="00EA03E5" w:rsidRDefault="00EA03E5" w:rsidP="002A2731">
      <w:pPr>
        <w:spacing w:before="0"/>
        <w:rPr>
          <w:rFonts w:eastAsia="Arial Unicode MS"/>
          <w:szCs w:val="24"/>
          <w:lang w:val="en-US" w:eastAsia="en-US"/>
        </w:rPr>
        <w:sectPr w:rsidR="00EA03E5" w:rsidRPr="00EA03E5">
          <w:type w:val="continuous"/>
          <w:pgSz w:w="11907" w:h="16840"/>
          <w:pgMar w:top="1418" w:right="1134" w:bottom="900" w:left="1134" w:header="720" w:footer="720" w:gutter="0"/>
          <w:cols w:num="2" w:space="720"/>
        </w:sectPr>
      </w:pPr>
    </w:p>
    <w:p w14:paraId="2773C2ED" w14:textId="77777777" w:rsidR="00EA03E5" w:rsidRPr="00EA03E5" w:rsidRDefault="00EA03E5" w:rsidP="002A2731">
      <w:pPr>
        <w:keepLines/>
        <w:numPr>
          <w:ilvl w:val="0"/>
          <w:numId w:val="21"/>
        </w:numPr>
        <w:spacing w:before="0" w:after="120" w:line="260" w:lineRule="atLeast"/>
        <w:rPr>
          <w:rFonts w:eastAsia="Arial Unicode MS"/>
          <w:szCs w:val="24"/>
          <w:lang w:val="en-US" w:eastAsia="en-US"/>
        </w:rPr>
      </w:pPr>
      <w:r w:rsidRPr="00EA03E5">
        <w:rPr>
          <w:rFonts w:eastAsia="Arial Unicode MS"/>
          <w:szCs w:val="24"/>
          <w:lang w:val="en-US" w:eastAsia="en-US"/>
        </w:rPr>
        <w:t>CDC Process: processes to acquire, activate and issue DC.</w:t>
      </w:r>
    </w:p>
    <w:p w14:paraId="1F09D5FE"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Procure: processes involved in the selection and evaluation of DC Technology</w:t>
      </w:r>
    </w:p>
    <w:p w14:paraId="57632739"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Activate: processes involved in the DC issuance event</w:t>
      </w:r>
    </w:p>
    <w:p w14:paraId="11E48728"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Issue: process of issuance</w:t>
      </w:r>
    </w:p>
    <w:p w14:paraId="0721CE05" w14:textId="77777777" w:rsidR="00EA03E5" w:rsidRPr="00EA03E5" w:rsidRDefault="00EA03E5" w:rsidP="002A2731">
      <w:pPr>
        <w:spacing w:before="0"/>
        <w:rPr>
          <w:rFonts w:eastAsia="Arial Unicode MS"/>
          <w:szCs w:val="24"/>
          <w:lang w:val="en-US" w:eastAsia="en-US"/>
        </w:rPr>
        <w:sectPr w:rsidR="00EA03E5" w:rsidRPr="00EA03E5">
          <w:type w:val="continuous"/>
          <w:pgSz w:w="11907" w:h="16840"/>
          <w:pgMar w:top="1418" w:right="1134" w:bottom="900" w:left="1134" w:header="720" w:footer="720" w:gutter="0"/>
          <w:cols w:space="720"/>
        </w:sectPr>
      </w:pPr>
    </w:p>
    <w:p w14:paraId="36E94A0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lastRenderedPageBreak/>
        <w:t>The assembly of Hardware &amp; Applications.</w:t>
      </w:r>
    </w:p>
    <w:p w14:paraId="2ECA52A0"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Root Key Generation Process</w:t>
      </w:r>
    </w:p>
    <w:p w14:paraId="22D09AA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Secure Storage Process</w:t>
      </w:r>
    </w:p>
    <w:p w14:paraId="6A6EBB9E" w14:textId="0569B68E" w:rsidR="00EA03E5" w:rsidRDefault="00EA03E5" w:rsidP="00EA03E5">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Root Key Ceremony Process</w:t>
      </w:r>
    </w:p>
    <w:p w14:paraId="438D280C" w14:textId="38817189" w:rsidR="002A2731" w:rsidRDefault="002A2731" w:rsidP="002A2731">
      <w:pPr>
        <w:keepLines/>
        <w:spacing w:before="0" w:after="120" w:line="260" w:lineRule="atLeast"/>
        <w:rPr>
          <w:rFonts w:eastAsia="Arial Unicode MS"/>
          <w:szCs w:val="24"/>
          <w:lang w:val="en-US" w:eastAsia="en-US"/>
        </w:rPr>
      </w:pPr>
    </w:p>
    <w:p w14:paraId="58ED5941" w14:textId="5651363E" w:rsidR="002A2731" w:rsidRDefault="002A2731" w:rsidP="002A2731">
      <w:pPr>
        <w:keepLines/>
        <w:spacing w:before="0" w:after="120" w:line="260" w:lineRule="atLeast"/>
        <w:rPr>
          <w:rFonts w:eastAsia="Arial Unicode MS"/>
          <w:szCs w:val="24"/>
          <w:lang w:val="en-US" w:eastAsia="en-US"/>
        </w:rPr>
      </w:pPr>
      <w:r>
        <w:rPr>
          <w:rFonts w:eastAsia="Arial Unicode MS"/>
          <w:szCs w:val="24"/>
          <w:lang w:val="en-US" w:eastAsia="en-US"/>
        </w:rPr>
        <w:br w:type="page"/>
      </w:r>
    </w:p>
    <w:p w14:paraId="049AD480" w14:textId="77777777" w:rsidR="002A2731" w:rsidRPr="002A2731" w:rsidRDefault="002A2731" w:rsidP="002A2731">
      <w:pPr>
        <w:keepLines/>
        <w:spacing w:before="0" w:after="120" w:line="260" w:lineRule="atLeast"/>
        <w:rPr>
          <w:rFonts w:eastAsia="Arial Unicode MS"/>
          <w:szCs w:val="24"/>
          <w:lang w:val="en-US" w:eastAsia="en-US"/>
        </w:rPr>
        <w:sectPr w:rsidR="002A2731" w:rsidRPr="002A2731">
          <w:type w:val="continuous"/>
          <w:pgSz w:w="11907" w:h="16840"/>
          <w:pgMar w:top="1418" w:right="1134" w:bottom="900" w:left="1134" w:header="720" w:footer="720" w:gutter="0"/>
          <w:cols w:num="2" w:space="720"/>
        </w:sectPr>
      </w:pPr>
    </w:p>
    <w:p w14:paraId="2D37E23C"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 xml:space="preserve">CDC Technology: technology both hardware and software are used to issue a unit of DC. </w:t>
      </w:r>
    </w:p>
    <w:p w14:paraId="53EEE400"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&amp; Activate:</w:t>
      </w:r>
    </w:p>
    <w:p w14:paraId="0EADA36D"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Hardware</w:t>
      </w:r>
    </w:p>
    <w:p w14:paraId="366354C1"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Root Key Hardware Security Module (HSM)</w:t>
      </w:r>
    </w:p>
    <w:p w14:paraId="1BB746E2"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Secure Laptop (Operations Officer)</w:t>
      </w:r>
    </w:p>
    <w:p w14:paraId="61270C9D"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Software | Services | Applications</w:t>
      </w:r>
    </w:p>
    <w:p w14:paraId="321BCBF0"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Credential Management Services</w:t>
      </w:r>
    </w:p>
    <w:p w14:paraId="6F6B750D"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Time Services</w:t>
      </w:r>
    </w:p>
    <w:p w14:paraId="08765CC7"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Interfaces</w:t>
      </w:r>
    </w:p>
    <w:p w14:paraId="3FD1E4E2" w14:textId="77777777" w:rsidR="002A2731" w:rsidRPr="00EA03E5" w:rsidRDefault="002A2731" w:rsidP="002A2731">
      <w:pPr>
        <w:spacing w:before="0"/>
        <w:rPr>
          <w:rFonts w:eastAsia="Arial Unicode MS"/>
          <w:szCs w:val="24"/>
          <w:lang w:val="en-US" w:eastAsia="en-US"/>
        </w:rPr>
      </w:pPr>
    </w:p>
    <w:p w14:paraId="72467A7B"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02" w:name="_Toc9609176"/>
      <w:bookmarkStart w:id="103" w:name="_Toc1816276"/>
      <w:bookmarkStart w:id="104" w:name="_Toc1812689"/>
      <w:r w:rsidRPr="00EA03E5">
        <w:rPr>
          <w:rFonts w:eastAsia="Times New Roman"/>
          <w:b/>
          <w:bCs/>
          <w:kern w:val="32"/>
          <w:szCs w:val="24"/>
          <w:lang w:val="en-US" w:eastAsia="en-US"/>
        </w:rPr>
        <w:t>DCE Stage 2: Decentralized Issuance</w:t>
      </w:r>
      <w:bookmarkEnd w:id="102"/>
      <w:bookmarkEnd w:id="103"/>
      <w:bookmarkEnd w:id="104"/>
    </w:p>
    <w:p w14:paraId="14D5AC5C"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Stage 2 decomposition of Issuance following a decentralized Issuance Authority modifies the DCE model into a Decentralized Digital Currency (DDC) model, as illustrated in Figure 14. The level 2 decentralized issuance involves multiple nodes where each node has the same capability to issue DC, where a Distributed Ledger Technology validates and tracks all DC issuances. </w:t>
      </w:r>
    </w:p>
    <w:p w14:paraId="6441F9A5" w14:textId="77777777" w:rsidR="002A2731" w:rsidRPr="00EA03E5" w:rsidRDefault="002A2731" w:rsidP="002A2731">
      <w:pPr>
        <w:keepLines/>
        <w:spacing w:before="0" w:after="120" w:line="260" w:lineRule="atLeast"/>
        <w:jc w:val="both"/>
        <w:rPr>
          <w:rFonts w:eastAsia="Arial Unicode MS"/>
          <w:szCs w:val="24"/>
          <w:lang w:val="en-US" w:eastAsia="en-US"/>
        </w:rPr>
      </w:pPr>
    </w:p>
    <w:p w14:paraId="52131FEF"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0892D539" wp14:editId="040A90F3">
            <wp:extent cx="6124575" cy="3448050"/>
            <wp:effectExtent l="0" t="0" r="9525" b="0"/>
            <wp:docPr id="1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42BCEA5E"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05" w:name="_Toc9609214"/>
      <w:bookmarkStart w:id="106" w:name="_Toc8385047"/>
      <w:bookmarkStart w:id="107" w:name="_Toc8382773"/>
      <w:bookmarkStart w:id="108" w:name="_Toc4603476"/>
      <w:bookmarkStart w:id="109" w:name="_Toc1808436"/>
      <w:bookmarkStart w:id="110" w:name="_Toc166125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14</w:t>
      </w:r>
      <w:r w:rsidRPr="00EA03E5">
        <w:rPr>
          <w:rFonts w:eastAsia="Times New Roman"/>
          <w:b/>
          <w:szCs w:val="24"/>
          <w:lang w:val="en-US" w:eastAsia="en-US"/>
        </w:rPr>
        <w:fldChar w:fldCharType="end"/>
      </w:r>
      <w:r w:rsidRPr="00EA03E5">
        <w:rPr>
          <w:rFonts w:eastAsia="Times New Roman"/>
          <w:szCs w:val="24"/>
          <w:lang w:val="en-US" w:eastAsia="en-US"/>
        </w:rPr>
        <w:t>: DDC Stage 2 Decentralized Issuance Level 2 Decomposition</w:t>
      </w:r>
      <w:bookmarkEnd w:id="105"/>
      <w:bookmarkEnd w:id="106"/>
      <w:bookmarkEnd w:id="107"/>
      <w:bookmarkEnd w:id="108"/>
      <w:bookmarkEnd w:id="109"/>
      <w:bookmarkEnd w:id="110"/>
    </w:p>
    <w:p w14:paraId="6477EA1E"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On the basis that each node has identical issuance capabilities, one capability is comprised of the following components representing a level 3 decomposition. </w:t>
      </w:r>
    </w:p>
    <w:p w14:paraId="675D7629" w14:textId="77777777" w:rsidR="002A2731" w:rsidRPr="00EA03E5" w:rsidRDefault="002A2731" w:rsidP="002A2731">
      <w:pPr>
        <w:spacing w:before="0"/>
        <w:rPr>
          <w:rFonts w:eastAsia="Arial Unicode MS"/>
          <w:szCs w:val="24"/>
          <w:lang w:val="en-US" w:eastAsia="en-US"/>
        </w:rPr>
      </w:pPr>
      <w:r w:rsidRPr="00EA03E5">
        <w:rPr>
          <w:rFonts w:eastAsia="Arial Unicode MS"/>
          <w:szCs w:val="24"/>
          <w:lang w:val="en-US" w:eastAsia="en-US"/>
        </w:rPr>
        <w:br w:type="page"/>
      </w:r>
    </w:p>
    <w:p w14:paraId="078AE701"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The DDC Stage 2 level 3 decomposition results in the following People, Process &amp; Technology</w:t>
      </w:r>
    </w:p>
    <w:p w14:paraId="76CCB840"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DDC People &amp; Roles:</w:t>
      </w:r>
    </w:p>
    <w:p w14:paraId="26C55382"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ensure the selection of certified DC Technology</w:t>
      </w:r>
    </w:p>
    <w:p w14:paraId="7B215733"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trusted individuals involved in the DC issuance event</w:t>
      </w:r>
    </w:p>
    <w:p w14:paraId="491B297A"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persons required to initiate and complete issuance</w:t>
      </w:r>
    </w:p>
    <w:p w14:paraId="3213012B"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DDC Process: processes to acquire, activate and issue decentralized DC?</w:t>
      </w:r>
    </w:p>
    <w:p w14:paraId="1E208BEA"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processes involved in the selection and evaluation of DC Technology</w:t>
      </w:r>
    </w:p>
    <w:p w14:paraId="61A459CF"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processes involved in the DC issuance event</w:t>
      </w:r>
    </w:p>
    <w:p w14:paraId="7916572D"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process of issuance</w:t>
      </w:r>
    </w:p>
    <w:p w14:paraId="691B58A6"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DDC </w:t>
      </w:r>
      <w:r w:rsidRPr="00EA03E5">
        <w:rPr>
          <w:rFonts w:eastAsia="Arial Unicode MS"/>
          <w:b/>
          <w:szCs w:val="24"/>
          <w:lang w:val="en-US" w:eastAsia="en-US"/>
        </w:rPr>
        <w:t>Technology</w:t>
      </w:r>
      <w:r w:rsidRPr="00EA03E5">
        <w:rPr>
          <w:rFonts w:eastAsia="Arial Unicode MS"/>
          <w:szCs w:val="24"/>
          <w:lang w:val="en-US" w:eastAsia="en-US"/>
        </w:rPr>
        <w:t xml:space="preserve">: technology both hardware and software are used to issue a unit of DC? </w:t>
      </w:r>
    </w:p>
    <w:p w14:paraId="5924C985"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w:t>
      </w:r>
    </w:p>
    <w:p w14:paraId="7353DEC3"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w:t>
      </w:r>
    </w:p>
    <w:p w14:paraId="7395CACF"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w:t>
      </w:r>
      <w:bookmarkStart w:id="111" w:name="_Toc1812690"/>
    </w:p>
    <w:p w14:paraId="54925DA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12" w:name="_Toc9609177"/>
      <w:bookmarkStart w:id="113" w:name="_Toc1816277"/>
      <w:r w:rsidRPr="00EA03E5">
        <w:rPr>
          <w:rFonts w:eastAsia="Times New Roman"/>
          <w:b/>
          <w:bCs/>
          <w:kern w:val="32"/>
          <w:szCs w:val="24"/>
          <w:lang w:val="en-US" w:eastAsia="en-US"/>
        </w:rPr>
        <w:t>DCE Stage 3: Liquidity Level 2 Decomposition</w:t>
      </w:r>
      <w:bookmarkEnd w:id="111"/>
      <w:bookmarkEnd w:id="112"/>
      <w:bookmarkEnd w:id="113"/>
    </w:p>
    <w:p w14:paraId="0E1FFCFB"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In the previous stage, DC issuance was either a CDC or DDC model. These two DCs types are issued into a network of nodes, each representing a function and value in the ecosystem. It is assumed the Liquidity stage in where the DC is distribution must remain segmented into the centralized and decentralized models. Consequently, the following will outline a semi-centralized and decentralized distribution model where the DC circulates in a semi-pure peer-to-peer network or a pure Peer to Peer network, respectively.</w:t>
      </w:r>
    </w:p>
    <w:p w14:paraId="7C38E1D3"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14" w:name="_Toc9609178"/>
      <w:bookmarkStart w:id="115" w:name="_Toc1816278"/>
      <w:bookmarkStart w:id="116" w:name="_Toc1812691"/>
      <w:r w:rsidRPr="00EA03E5">
        <w:rPr>
          <w:rFonts w:eastAsia="Times New Roman"/>
          <w:b/>
          <w:bCs/>
          <w:kern w:val="32"/>
          <w:szCs w:val="24"/>
          <w:lang w:val="en-US" w:eastAsia="en-US"/>
        </w:rPr>
        <w:t>DCE Stage 3: Centralized Digital Currency Liquidity</w:t>
      </w:r>
      <w:bookmarkEnd w:id="114"/>
      <w:bookmarkEnd w:id="115"/>
      <w:bookmarkEnd w:id="116"/>
    </w:p>
    <w:p w14:paraId="2D3C6825"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15 illustrates a centralized post-issuance distribution model based on a semi-full peer-to-peer network where participants differ significantly in degree-of-centralization and role. In this case, some participants play a centralized distribution function (C), distributing DC to other participants. </w:t>
      </w:r>
    </w:p>
    <w:p w14:paraId="01741D1A"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  </w:t>
      </w:r>
    </w:p>
    <w:p w14:paraId="5E8D10C3"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24677852" wp14:editId="307FA48D">
            <wp:extent cx="6124575" cy="3448050"/>
            <wp:effectExtent l="0" t="0" r="9525" b="0"/>
            <wp:docPr id="1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4C8EA05"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17" w:name="_Toc9609215"/>
      <w:bookmarkStart w:id="118" w:name="_Toc8385048"/>
      <w:bookmarkStart w:id="119" w:name="_Toc8382774"/>
      <w:bookmarkStart w:id="120" w:name="_Toc4603477"/>
      <w:bookmarkStart w:id="121" w:name="_Toc1808437"/>
      <w:bookmarkStart w:id="122" w:name="_Toc166125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15</w:t>
      </w:r>
      <w:r w:rsidRPr="00EA03E5">
        <w:rPr>
          <w:rFonts w:eastAsia="Times New Roman"/>
          <w:b/>
          <w:szCs w:val="24"/>
          <w:lang w:val="en-US" w:eastAsia="en-US"/>
        </w:rPr>
        <w:fldChar w:fldCharType="end"/>
      </w:r>
      <w:r w:rsidRPr="00EA03E5">
        <w:rPr>
          <w:rFonts w:eastAsia="Times New Roman"/>
          <w:szCs w:val="24"/>
          <w:lang w:val="en-US" w:eastAsia="en-US"/>
        </w:rPr>
        <w:t>: CDC Stage 3 Centralized Distribution Level 2</w:t>
      </w:r>
      <w:bookmarkEnd w:id="117"/>
      <w:bookmarkEnd w:id="118"/>
      <w:bookmarkEnd w:id="119"/>
      <w:bookmarkEnd w:id="120"/>
      <w:bookmarkEnd w:id="121"/>
      <w:bookmarkEnd w:id="122"/>
    </w:p>
    <w:p w14:paraId="0AC6BDAD"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CDC Stage 3 level 3 decomposition results in the following People, Process &amp; Technology</w:t>
      </w:r>
    </w:p>
    <w:p w14:paraId="056752FE"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w:t>
      </w:r>
    </w:p>
    <w:p w14:paraId="67E79624"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of centralized distribution</w:t>
      </w:r>
    </w:p>
    <w:p w14:paraId="3A77C1F0"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1F57EC61" w14:textId="77777777" w:rsidR="002A2731" w:rsidRPr="00EA03E5" w:rsidRDefault="002A2731" w:rsidP="002A2731">
      <w:pPr>
        <w:keepLines/>
        <w:spacing w:before="0" w:after="120" w:line="260" w:lineRule="atLeast"/>
        <w:jc w:val="both"/>
        <w:rPr>
          <w:rFonts w:eastAsia="Arial Unicode MS"/>
          <w:szCs w:val="24"/>
          <w:lang w:val="en-US" w:eastAsia="en-US"/>
        </w:rPr>
      </w:pPr>
    </w:p>
    <w:p w14:paraId="0B141710"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23" w:name="_Toc1812692"/>
    </w:p>
    <w:p w14:paraId="1CC581C7"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24" w:name="_Toc9609179"/>
      <w:bookmarkStart w:id="125" w:name="_Toc1816279"/>
      <w:r w:rsidRPr="00EA03E5">
        <w:rPr>
          <w:rFonts w:eastAsia="Times New Roman"/>
          <w:b/>
          <w:bCs/>
          <w:kern w:val="32"/>
          <w:szCs w:val="24"/>
          <w:lang w:val="en-US" w:eastAsia="en-US"/>
        </w:rPr>
        <w:lastRenderedPageBreak/>
        <w:t>DCE Stage 3: Decentralized Digital Currency Liquidity</w:t>
      </w:r>
      <w:bookmarkEnd w:id="123"/>
      <w:bookmarkEnd w:id="124"/>
      <w:bookmarkEnd w:id="125"/>
    </w:p>
    <w:p w14:paraId="60107546"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16 illustrates a decentralized post-issuance distribution model based on a full peer-to-peer network where participants do not differ in capability but may differ in roles. In this case, all participants execute common functions in a distributed manner.   </w:t>
      </w:r>
    </w:p>
    <w:p w14:paraId="726FF14B" w14:textId="77777777" w:rsidR="002A2731" w:rsidRPr="00EA03E5" w:rsidRDefault="002A2731" w:rsidP="002A2731">
      <w:pPr>
        <w:keepLines/>
        <w:spacing w:before="0" w:after="120" w:line="260" w:lineRule="atLeast"/>
        <w:jc w:val="both"/>
        <w:rPr>
          <w:rFonts w:eastAsia="Arial Unicode MS"/>
          <w:szCs w:val="24"/>
          <w:lang w:val="en-US" w:eastAsia="en-US"/>
        </w:rPr>
      </w:pPr>
    </w:p>
    <w:p w14:paraId="4B88B58B" w14:textId="77777777" w:rsidR="002A2731" w:rsidRPr="00EA03E5" w:rsidRDefault="002A2731" w:rsidP="002A2731">
      <w:pPr>
        <w:keepNext/>
        <w:spacing w:before="0"/>
        <w:rPr>
          <w:rFonts w:eastAsia="Arial Unicode MS"/>
          <w:szCs w:val="24"/>
          <w:lang w:val="en-US" w:eastAsia="en-US"/>
        </w:rPr>
      </w:pPr>
      <w:r w:rsidRPr="00EA03E5">
        <w:rPr>
          <w:rFonts w:eastAsia="Arial Unicode MS"/>
          <w:noProof/>
          <w:szCs w:val="24"/>
          <w:lang w:eastAsia="en-GB"/>
        </w:rPr>
        <w:drawing>
          <wp:inline distT="0" distB="0" distL="0" distR="0" wp14:anchorId="2BD888FE" wp14:editId="2D0C54F6">
            <wp:extent cx="6124575" cy="3448050"/>
            <wp:effectExtent l="0" t="0" r="9525" b="0"/>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6A97388" w14:textId="77777777" w:rsidR="002A2731" w:rsidRPr="00EA03E5" w:rsidRDefault="002A2731" w:rsidP="002A2731">
      <w:pPr>
        <w:keepNext/>
        <w:keepLines/>
        <w:widowControl w:val="0"/>
        <w:spacing w:before="240" w:after="120"/>
        <w:rPr>
          <w:rFonts w:eastAsia="Times New Roman"/>
          <w:szCs w:val="24"/>
          <w:lang w:val="en-US" w:eastAsia="en-US"/>
        </w:rPr>
      </w:pPr>
      <w:bookmarkStart w:id="126" w:name="_Toc9609216"/>
      <w:bookmarkStart w:id="127" w:name="_Toc8385049"/>
      <w:bookmarkStart w:id="128" w:name="_Toc8382775"/>
      <w:bookmarkStart w:id="129" w:name="_Toc4603478"/>
      <w:bookmarkStart w:id="130" w:name="_Toc180843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16</w:t>
      </w:r>
      <w:r w:rsidRPr="00EA03E5">
        <w:rPr>
          <w:rFonts w:eastAsia="Times New Roman"/>
          <w:b/>
          <w:szCs w:val="24"/>
          <w:lang w:val="en-US" w:eastAsia="en-US"/>
        </w:rPr>
        <w:fldChar w:fldCharType="end"/>
      </w:r>
      <w:r w:rsidRPr="00EA03E5">
        <w:rPr>
          <w:rFonts w:eastAsia="Times New Roman"/>
          <w:szCs w:val="24"/>
          <w:lang w:val="en-US" w:eastAsia="en-US"/>
        </w:rPr>
        <w:t>: DDC Stage 3 Decentralized Distribution Level 2</w:t>
      </w:r>
      <w:bookmarkEnd w:id="126"/>
      <w:bookmarkEnd w:id="127"/>
      <w:bookmarkEnd w:id="128"/>
      <w:bookmarkEnd w:id="129"/>
      <w:bookmarkEnd w:id="130"/>
    </w:p>
    <w:p w14:paraId="3DC200AC" w14:textId="77777777" w:rsidR="002A2731" w:rsidRPr="00EA03E5" w:rsidRDefault="002A2731" w:rsidP="002A2731">
      <w:pPr>
        <w:spacing w:before="0"/>
        <w:rPr>
          <w:rFonts w:eastAsia="Arial Unicode MS"/>
          <w:szCs w:val="24"/>
          <w:lang w:val="en-US" w:eastAsia="en-US"/>
        </w:rPr>
      </w:pPr>
    </w:p>
    <w:p w14:paraId="56A09F46"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DDC Stage 3 level 3 decomposition results in the following People, Process &amp; Technology</w:t>
      </w:r>
    </w:p>
    <w:p w14:paraId="6B0B23A2"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People: </w:t>
      </w:r>
    </w:p>
    <w:p w14:paraId="2562EA93"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of distribution functions</w:t>
      </w:r>
    </w:p>
    <w:p w14:paraId="5ECDD275"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190FB02B"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p>
    <w:p w14:paraId="09E6170C"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31" w:name="_Toc9609180"/>
      <w:bookmarkStart w:id="132" w:name="_Toc1816280"/>
      <w:bookmarkStart w:id="133" w:name="_Toc1812693"/>
      <w:r w:rsidRPr="00EA03E5">
        <w:rPr>
          <w:rFonts w:eastAsia="Times New Roman"/>
          <w:b/>
          <w:bCs/>
          <w:kern w:val="32"/>
          <w:szCs w:val="24"/>
          <w:lang w:val="en-US" w:eastAsia="en-US"/>
        </w:rPr>
        <w:lastRenderedPageBreak/>
        <w:t>DCE Stage 4: Payment Level 2 Decomposition</w:t>
      </w:r>
      <w:bookmarkEnd w:id="131"/>
      <w:bookmarkEnd w:id="132"/>
      <w:bookmarkEnd w:id="133"/>
    </w:p>
    <w:p w14:paraId="5B0EEE64"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17 represents payment gateway providers (P) that execute transactions between Owners involved in value exchanges involving DC.  This stage does not differ whether CDC and DDC is used in the value transfer. </w:t>
      </w:r>
    </w:p>
    <w:p w14:paraId="66DC53A8" w14:textId="77777777" w:rsidR="002A2731" w:rsidRPr="00EA03E5" w:rsidRDefault="002A2731" w:rsidP="002A2731">
      <w:pPr>
        <w:keepLines/>
        <w:spacing w:before="0" w:after="120" w:line="260" w:lineRule="atLeast"/>
        <w:jc w:val="both"/>
        <w:rPr>
          <w:rFonts w:eastAsia="Arial Unicode MS"/>
          <w:szCs w:val="24"/>
          <w:lang w:val="en-US" w:eastAsia="en-US"/>
        </w:rPr>
      </w:pPr>
    </w:p>
    <w:p w14:paraId="2D82525D"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4D242F4B" wp14:editId="0037267E">
            <wp:extent cx="6124575" cy="3448050"/>
            <wp:effectExtent l="0" t="0" r="9525" b="0"/>
            <wp:docPr id="1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B9E76B3"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34" w:name="_Toc9609217"/>
      <w:bookmarkStart w:id="135" w:name="_Toc8385050"/>
      <w:bookmarkStart w:id="136" w:name="_Toc8382776"/>
      <w:bookmarkStart w:id="137" w:name="_Toc4603479"/>
      <w:bookmarkStart w:id="138" w:name="_Toc1808439"/>
      <w:bookmarkStart w:id="139" w:name="_Toc1661257"/>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17</w:t>
      </w:r>
      <w:r w:rsidRPr="00EA03E5">
        <w:rPr>
          <w:rFonts w:eastAsia="Times New Roman"/>
          <w:b/>
          <w:szCs w:val="24"/>
          <w:lang w:val="en-US" w:eastAsia="en-US"/>
        </w:rPr>
        <w:fldChar w:fldCharType="end"/>
      </w:r>
      <w:r w:rsidRPr="00EA03E5">
        <w:rPr>
          <w:rFonts w:eastAsia="Times New Roman"/>
          <w:szCs w:val="24"/>
          <w:lang w:val="en-US" w:eastAsia="en-US"/>
        </w:rPr>
        <w:t>: DCE Stage 4 Payment Level 2</w:t>
      </w:r>
      <w:bookmarkEnd w:id="134"/>
      <w:bookmarkEnd w:id="135"/>
      <w:bookmarkEnd w:id="136"/>
      <w:bookmarkEnd w:id="137"/>
      <w:bookmarkEnd w:id="138"/>
      <w:bookmarkEnd w:id="139"/>
    </w:p>
    <w:p w14:paraId="093CA4B8" w14:textId="77777777" w:rsidR="002A2731" w:rsidRPr="00EA03E5" w:rsidRDefault="002A2731" w:rsidP="002A2731">
      <w:pPr>
        <w:keepLines/>
        <w:spacing w:before="0" w:after="120" w:line="260" w:lineRule="atLeast"/>
        <w:jc w:val="both"/>
        <w:rPr>
          <w:rFonts w:eastAsia="Arial Unicode MS"/>
          <w:szCs w:val="24"/>
          <w:lang w:val="en-US" w:eastAsia="en-US"/>
        </w:rPr>
      </w:pPr>
    </w:p>
    <w:p w14:paraId="7687EBB3"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DCE Stage 4 level 3 decomposition results in the following People, Process &amp; Technology</w:t>
      </w:r>
    </w:p>
    <w:p w14:paraId="576A2F75"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 Payment Gateway Provider</w:t>
      </w:r>
    </w:p>
    <w:p w14:paraId="1FAB780B"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transactions</w:t>
      </w:r>
    </w:p>
    <w:p w14:paraId="1028FDFD"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r w:rsidRPr="00EA03E5">
        <w:rPr>
          <w:rFonts w:eastAsia="Arial Unicode MS"/>
          <w:szCs w:val="24"/>
          <w:lang w:val="en-US" w:eastAsia="en-US"/>
        </w:rPr>
        <w:br w:type="page"/>
      </w:r>
    </w:p>
    <w:p w14:paraId="0FA48B0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40" w:name="_Toc9609181"/>
      <w:bookmarkStart w:id="141" w:name="_Toc1816281"/>
      <w:bookmarkStart w:id="142" w:name="_Toc1812694"/>
      <w:r w:rsidRPr="00EA03E5">
        <w:rPr>
          <w:rFonts w:eastAsia="Times New Roman"/>
          <w:b/>
          <w:bCs/>
          <w:kern w:val="32"/>
          <w:szCs w:val="24"/>
          <w:lang w:val="en-US" w:eastAsia="en-US"/>
        </w:rPr>
        <w:lastRenderedPageBreak/>
        <w:t>DCE Stage 5: Conversion Level 2 Decomposition</w:t>
      </w:r>
      <w:bookmarkEnd w:id="140"/>
      <w:bookmarkEnd w:id="141"/>
      <w:bookmarkEnd w:id="142"/>
    </w:p>
    <w:p w14:paraId="36768D9F"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18 illustrates a pure peer-to-peer network of Owners exchanging value using DC. This model assumes no distinction in conversion whether the DC is CDC or DDC.  </w:t>
      </w:r>
    </w:p>
    <w:p w14:paraId="7D23CCD2" w14:textId="77777777" w:rsidR="002A2731" w:rsidRPr="00EA03E5" w:rsidRDefault="002A2731" w:rsidP="002A2731">
      <w:pPr>
        <w:keepLines/>
        <w:spacing w:before="0" w:after="120" w:line="260" w:lineRule="atLeast"/>
        <w:jc w:val="both"/>
        <w:rPr>
          <w:rFonts w:eastAsia="Arial Unicode MS"/>
          <w:szCs w:val="24"/>
          <w:lang w:val="en-US" w:eastAsia="en-US"/>
        </w:rPr>
      </w:pPr>
    </w:p>
    <w:p w14:paraId="6175A01B"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ECC65DF" wp14:editId="626CFB65">
            <wp:extent cx="6124575" cy="3448050"/>
            <wp:effectExtent l="0" t="0" r="9525" b="0"/>
            <wp:docPr id="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88C038C"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43" w:name="_Toc9609218"/>
      <w:bookmarkStart w:id="144" w:name="_Toc8385051"/>
      <w:bookmarkStart w:id="145" w:name="_Toc8382777"/>
      <w:bookmarkStart w:id="146" w:name="_Toc4603480"/>
      <w:bookmarkStart w:id="147" w:name="_Toc1808440"/>
      <w:bookmarkStart w:id="148" w:name="_Toc166125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18</w:t>
      </w:r>
      <w:r w:rsidRPr="00EA03E5">
        <w:rPr>
          <w:rFonts w:eastAsia="Times New Roman"/>
          <w:b/>
          <w:szCs w:val="24"/>
          <w:lang w:val="en-US" w:eastAsia="en-US"/>
        </w:rPr>
        <w:fldChar w:fldCharType="end"/>
      </w:r>
      <w:r w:rsidRPr="00EA03E5">
        <w:rPr>
          <w:rFonts w:eastAsia="Times New Roman"/>
          <w:szCs w:val="24"/>
          <w:lang w:val="en-US" w:eastAsia="en-US"/>
        </w:rPr>
        <w:t>: DCE Stage 5 Conversion Level 2</w:t>
      </w:r>
      <w:bookmarkEnd w:id="143"/>
      <w:bookmarkEnd w:id="144"/>
      <w:bookmarkEnd w:id="145"/>
      <w:bookmarkEnd w:id="146"/>
      <w:bookmarkEnd w:id="147"/>
      <w:bookmarkEnd w:id="148"/>
    </w:p>
    <w:p w14:paraId="2E710699" w14:textId="77777777" w:rsidR="002A2731" w:rsidRPr="00EA03E5" w:rsidRDefault="002A2731" w:rsidP="002A2731">
      <w:pPr>
        <w:keepLines/>
        <w:spacing w:before="0" w:after="120" w:line="260" w:lineRule="atLeast"/>
        <w:jc w:val="both"/>
        <w:rPr>
          <w:rFonts w:eastAsia="Arial Unicode MS"/>
          <w:szCs w:val="24"/>
          <w:lang w:val="en-US" w:eastAsia="en-US"/>
        </w:rPr>
      </w:pPr>
    </w:p>
    <w:p w14:paraId="4116F56C"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DCE Stage 5 level 3 decomposition results in the following People, Process &amp; Technology</w:t>
      </w:r>
    </w:p>
    <w:p w14:paraId="28D201E8"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 Owner. An Owner can be a source of DC or a receiver of DC, as illustrated in Figure 10.</w:t>
      </w:r>
    </w:p>
    <w:p w14:paraId="1B9FFAAC"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Process: software applets and applications involved in the coordination of nodes, execution of transactions, exchanges, </w:t>
      </w:r>
    </w:p>
    <w:p w14:paraId="636066B5"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Consensus Algorithms such as Proof of Work and Proof of Stake. </w:t>
      </w:r>
    </w:p>
    <w:p w14:paraId="04511FE0"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374079FD"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A Device under the sole control of the Owner.</w:t>
      </w:r>
    </w:p>
    <w:p w14:paraId="3F94BFCB"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A Wallet application managing the DCs under control of the Owner and the execution of transactions initiated by Owner.  </w:t>
      </w:r>
    </w:p>
    <w:p w14:paraId="488EA344" w14:textId="77777777" w:rsidR="002A2731" w:rsidRPr="00EA03E5" w:rsidRDefault="002A2731" w:rsidP="002A2731">
      <w:pPr>
        <w:keepLines/>
        <w:spacing w:before="0" w:after="120" w:line="260" w:lineRule="atLeast"/>
        <w:jc w:val="both"/>
        <w:rPr>
          <w:rFonts w:eastAsia="Arial Unicode MS"/>
          <w:szCs w:val="24"/>
          <w:lang w:val="en-US" w:eastAsia="en-US"/>
        </w:rPr>
      </w:pPr>
    </w:p>
    <w:p w14:paraId="231A3D59"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p>
    <w:p w14:paraId="40B04A6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49" w:name="_Toc9609182"/>
      <w:bookmarkStart w:id="150" w:name="_Toc1816282"/>
      <w:bookmarkStart w:id="151" w:name="_Toc1812695"/>
      <w:r w:rsidRPr="00EA03E5">
        <w:rPr>
          <w:rFonts w:eastAsia="Times New Roman"/>
          <w:b/>
          <w:bCs/>
          <w:kern w:val="32"/>
          <w:szCs w:val="24"/>
          <w:lang w:val="en-US" w:eastAsia="en-US"/>
        </w:rPr>
        <w:lastRenderedPageBreak/>
        <w:t>Centralized and Decentralize Digital Currency Models</w:t>
      </w:r>
      <w:bookmarkEnd w:id="149"/>
      <w:bookmarkEnd w:id="150"/>
      <w:bookmarkEnd w:id="151"/>
    </w:p>
    <w:p w14:paraId="46237822"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19 illustrates the DCE model in its two fundamental forms – CDC and DDC. This DCE model assumes that only DCE Stage 2 and 3 change due to the different in issuance – centralized and decentralized. </w:t>
      </w:r>
    </w:p>
    <w:p w14:paraId="59C48FF5" w14:textId="77777777" w:rsidR="002A2731" w:rsidRPr="00EA03E5" w:rsidRDefault="002A2731" w:rsidP="002A2731">
      <w:pPr>
        <w:keepLines/>
        <w:spacing w:before="0" w:after="120" w:line="260" w:lineRule="atLeast"/>
        <w:jc w:val="both"/>
        <w:rPr>
          <w:rFonts w:eastAsia="Arial Unicode MS"/>
          <w:szCs w:val="24"/>
          <w:lang w:val="en-US" w:eastAsia="en-US"/>
        </w:rPr>
      </w:pPr>
    </w:p>
    <w:p w14:paraId="64D3A183"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09F542B0" wp14:editId="210C0A1E">
            <wp:extent cx="6124575" cy="3448050"/>
            <wp:effectExtent l="0" t="0" r="9525" b="0"/>
            <wp:docPr id="1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25E813EE"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52" w:name="_Toc9609219"/>
      <w:bookmarkStart w:id="153" w:name="_Toc8385052"/>
      <w:bookmarkStart w:id="154" w:name="_Toc8382778"/>
      <w:bookmarkStart w:id="155" w:name="_Toc4603481"/>
      <w:bookmarkStart w:id="156" w:name="_Toc180844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19</w:t>
      </w:r>
      <w:r w:rsidRPr="00EA03E5">
        <w:rPr>
          <w:rFonts w:eastAsia="Times New Roman"/>
          <w:b/>
          <w:szCs w:val="24"/>
          <w:lang w:val="en-US" w:eastAsia="en-US"/>
        </w:rPr>
        <w:fldChar w:fldCharType="end"/>
      </w:r>
      <w:r w:rsidRPr="00EA03E5">
        <w:rPr>
          <w:rFonts w:eastAsia="Times New Roman"/>
          <w:szCs w:val="24"/>
          <w:lang w:val="en-US" w:eastAsia="en-US"/>
        </w:rPr>
        <w:t>: DCE Model as Centralized and Decentralized Digital Currency Models</w:t>
      </w:r>
      <w:bookmarkEnd w:id="152"/>
      <w:bookmarkEnd w:id="153"/>
      <w:bookmarkEnd w:id="154"/>
      <w:bookmarkEnd w:id="155"/>
      <w:bookmarkEnd w:id="156"/>
    </w:p>
    <w:p w14:paraId="5351562B" w14:textId="77777777" w:rsidR="002A2731" w:rsidRPr="00EA03E5" w:rsidRDefault="002A2731" w:rsidP="002A2731">
      <w:pPr>
        <w:keepLines/>
        <w:spacing w:before="0" w:after="120" w:line="260" w:lineRule="atLeast"/>
        <w:jc w:val="both"/>
        <w:rPr>
          <w:rFonts w:eastAsia="Arial Unicode MS"/>
          <w:szCs w:val="24"/>
          <w:lang w:val="en-US" w:eastAsia="en-US"/>
        </w:rPr>
      </w:pPr>
    </w:p>
    <w:p w14:paraId="72639F1D"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57" w:name="_Toc1812696"/>
    </w:p>
    <w:p w14:paraId="72DC0029"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58" w:name="_Toc9609183"/>
      <w:bookmarkStart w:id="159" w:name="_Toc1816283"/>
      <w:r w:rsidRPr="00EA03E5">
        <w:rPr>
          <w:rFonts w:eastAsia="Times New Roman"/>
          <w:b/>
          <w:bCs/>
          <w:kern w:val="32"/>
          <w:szCs w:val="24"/>
          <w:lang w:val="en-US" w:eastAsia="en-US"/>
        </w:rPr>
        <w:lastRenderedPageBreak/>
        <w:t>Centralized Digital Currency Ecosystem</w:t>
      </w:r>
      <w:bookmarkEnd w:id="157"/>
      <w:bookmarkEnd w:id="158"/>
      <w:bookmarkEnd w:id="159"/>
    </w:p>
    <w:p w14:paraId="7CFF22FF"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Figure 20 illustrates the level 1 and 2 of the centralized Digital Currency Ecosystem model referred to as Centralized Digital Currency (CDC).</w:t>
      </w:r>
    </w:p>
    <w:p w14:paraId="62EE8573" w14:textId="77777777" w:rsidR="002A2731" w:rsidRPr="00EA03E5" w:rsidRDefault="002A2731" w:rsidP="002A2731">
      <w:pPr>
        <w:keepLines/>
        <w:spacing w:before="0" w:after="120" w:line="260" w:lineRule="atLeast"/>
        <w:jc w:val="both"/>
        <w:rPr>
          <w:rFonts w:eastAsia="Arial Unicode MS"/>
          <w:szCs w:val="24"/>
          <w:lang w:val="en-US" w:eastAsia="en-US"/>
        </w:rPr>
      </w:pPr>
    </w:p>
    <w:p w14:paraId="73826D82"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65ECF2DE" wp14:editId="4E2E23E9">
            <wp:extent cx="6124575" cy="3448050"/>
            <wp:effectExtent l="0" t="0" r="9525" b="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DB0012B"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60" w:name="_Toc1661259"/>
      <w:bookmarkStart w:id="161" w:name="_Toc9609220"/>
      <w:bookmarkStart w:id="162" w:name="_Toc8385053"/>
      <w:bookmarkStart w:id="163" w:name="_Toc8382779"/>
      <w:bookmarkStart w:id="164" w:name="_Toc4603482"/>
      <w:bookmarkStart w:id="165" w:name="_Toc180844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20</w:t>
      </w:r>
      <w:r w:rsidRPr="00EA03E5">
        <w:rPr>
          <w:rFonts w:eastAsia="Times New Roman"/>
          <w:b/>
          <w:szCs w:val="24"/>
          <w:lang w:val="en-US" w:eastAsia="en-US"/>
        </w:rPr>
        <w:fldChar w:fldCharType="end"/>
      </w:r>
      <w:r w:rsidRPr="00EA03E5">
        <w:rPr>
          <w:rFonts w:eastAsia="Times New Roman"/>
          <w:szCs w:val="24"/>
          <w:lang w:val="en-US" w:eastAsia="en-US"/>
        </w:rPr>
        <w:t>: Centralized Digital Currency Ecosystem Level 1 &amp; 2</w:t>
      </w:r>
      <w:bookmarkEnd w:id="160"/>
      <w:r w:rsidRPr="00EA03E5">
        <w:rPr>
          <w:rFonts w:eastAsia="Times New Roman"/>
          <w:szCs w:val="24"/>
          <w:lang w:val="en-US" w:eastAsia="en-US"/>
        </w:rPr>
        <w:t xml:space="preserve"> Model</w:t>
      </w:r>
      <w:bookmarkEnd w:id="161"/>
      <w:bookmarkEnd w:id="162"/>
      <w:bookmarkEnd w:id="163"/>
      <w:bookmarkEnd w:id="164"/>
      <w:bookmarkEnd w:id="165"/>
    </w:p>
    <w:p w14:paraId="1429D306" w14:textId="77777777" w:rsidR="002A2731" w:rsidRPr="00EA03E5" w:rsidRDefault="002A2731" w:rsidP="002A2731">
      <w:pPr>
        <w:keepLines/>
        <w:spacing w:before="0" w:after="120" w:line="260" w:lineRule="atLeast"/>
        <w:jc w:val="both"/>
        <w:rPr>
          <w:rFonts w:eastAsia="Arial Unicode MS"/>
          <w:szCs w:val="24"/>
          <w:lang w:val="en-US" w:eastAsia="en-US"/>
        </w:rPr>
      </w:pPr>
    </w:p>
    <w:p w14:paraId="23913F29"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66" w:name="_Toc1812697"/>
    </w:p>
    <w:p w14:paraId="1630C14B"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67" w:name="_Toc9609184"/>
      <w:bookmarkStart w:id="168" w:name="_Toc1816284"/>
      <w:r w:rsidRPr="00EA03E5">
        <w:rPr>
          <w:rFonts w:eastAsia="Times New Roman"/>
          <w:b/>
          <w:bCs/>
          <w:kern w:val="32"/>
          <w:szCs w:val="24"/>
          <w:lang w:val="en-US" w:eastAsia="en-US"/>
        </w:rPr>
        <w:lastRenderedPageBreak/>
        <w:t>Decentralized Digital Currency Ecosystem</w:t>
      </w:r>
      <w:bookmarkEnd w:id="166"/>
      <w:bookmarkEnd w:id="167"/>
      <w:bookmarkEnd w:id="168"/>
    </w:p>
    <w:p w14:paraId="677412F7"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Figure 21 illustrates the level 1 and 2 of the decentralized Digital Currency Ecosystem model referred to as Decentralized Digital Currency (DDC).</w:t>
      </w:r>
    </w:p>
    <w:p w14:paraId="6B087AD3" w14:textId="77777777" w:rsidR="002A2731" w:rsidRPr="00EA03E5" w:rsidRDefault="002A2731" w:rsidP="002A2731">
      <w:pPr>
        <w:keepLines/>
        <w:spacing w:before="0" w:after="120" w:line="260" w:lineRule="atLeast"/>
        <w:jc w:val="both"/>
        <w:rPr>
          <w:rFonts w:eastAsia="Arial Unicode MS"/>
          <w:szCs w:val="24"/>
          <w:lang w:val="en-US" w:eastAsia="en-US"/>
        </w:rPr>
      </w:pPr>
    </w:p>
    <w:p w14:paraId="3F5CDC79"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B2485BF" wp14:editId="232BE401">
            <wp:extent cx="6124575" cy="3448050"/>
            <wp:effectExtent l="0" t="0" r="9525" b="0"/>
            <wp:docPr id="1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882F67B"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69" w:name="_Toc1661260"/>
      <w:bookmarkStart w:id="170" w:name="_Toc9609221"/>
      <w:bookmarkStart w:id="171" w:name="_Toc8385054"/>
      <w:bookmarkStart w:id="172" w:name="_Toc8382780"/>
      <w:bookmarkStart w:id="173" w:name="_Toc4603483"/>
      <w:bookmarkStart w:id="174" w:name="_Toc1808443"/>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21</w:t>
      </w:r>
      <w:r w:rsidRPr="00EA03E5">
        <w:rPr>
          <w:rFonts w:eastAsia="Times New Roman"/>
          <w:b/>
          <w:szCs w:val="24"/>
          <w:lang w:val="en-US" w:eastAsia="en-US"/>
        </w:rPr>
        <w:fldChar w:fldCharType="end"/>
      </w:r>
      <w:r w:rsidRPr="00EA03E5">
        <w:rPr>
          <w:rFonts w:eastAsia="Times New Roman"/>
          <w:szCs w:val="24"/>
          <w:lang w:val="en-US" w:eastAsia="en-US"/>
        </w:rPr>
        <w:t xml:space="preserve">: </w:t>
      </w:r>
      <w:bookmarkEnd w:id="169"/>
      <w:r w:rsidRPr="00EA03E5">
        <w:rPr>
          <w:rFonts w:eastAsia="Times New Roman"/>
          <w:szCs w:val="24"/>
          <w:lang w:val="en-US" w:eastAsia="en-US"/>
        </w:rPr>
        <w:t>Decentralized Digital Currency Ecosystem Level 1 &amp; 2 Model</w:t>
      </w:r>
      <w:bookmarkEnd w:id="170"/>
      <w:bookmarkEnd w:id="171"/>
      <w:bookmarkEnd w:id="172"/>
      <w:bookmarkEnd w:id="173"/>
      <w:bookmarkEnd w:id="174"/>
    </w:p>
    <w:p w14:paraId="0336B570" w14:textId="77777777" w:rsidR="002A2731" w:rsidRPr="00EA03E5" w:rsidRDefault="002A2731" w:rsidP="002A2731">
      <w:pPr>
        <w:keepNext/>
        <w:keepLines/>
        <w:widowControl w:val="0"/>
        <w:spacing w:before="240" w:after="120"/>
        <w:jc w:val="both"/>
        <w:rPr>
          <w:rFonts w:eastAsia="Times New Roman"/>
          <w:bCs/>
          <w:kern w:val="32"/>
          <w:szCs w:val="24"/>
          <w:lang w:val="en-US" w:eastAsia="en-US"/>
        </w:rPr>
      </w:pPr>
      <w:r w:rsidRPr="00EA03E5">
        <w:rPr>
          <w:rFonts w:eastAsia="Times New Roman"/>
          <w:szCs w:val="24"/>
          <w:lang w:val="en-US" w:eastAsia="en-US"/>
        </w:rPr>
        <w:br w:type="page"/>
      </w:r>
    </w:p>
    <w:p w14:paraId="64DB3A9D" w14:textId="77777777" w:rsidR="002A2731" w:rsidRPr="00EA03E5" w:rsidRDefault="002A2731" w:rsidP="002A2731">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175" w:name="_Toc9609185"/>
      <w:r w:rsidRPr="00EA03E5">
        <w:rPr>
          <w:rFonts w:eastAsia="Times New Roman"/>
          <w:b/>
          <w:bCs/>
          <w:kern w:val="32"/>
          <w:szCs w:val="24"/>
          <w:lang w:val="en-US" w:eastAsia="en-US"/>
        </w:rPr>
        <w:lastRenderedPageBreak/>
        <w:t>Protection Assurance Model</w:t>
      </w:r>
      <w:bookmarkEnd w:id="175"/>
    </w:p>
    <w:p w14:paraId="49648A54"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The Protection Assurance Model (PSM) is constructed from a number of smaller constructs, as follows and illustrated in Figure 22:</w:t>
      </w:r>
    </w:p>
    <w:p w14:paraId="311B9B92"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Security Control Expression</w:t>
      </w:r>
      <w:r w:rsidRPr="00EA03E5">
        <w:rPr>
          <w:rFonts w:eastAsia="Calibri"/>
          <w:szCs w:val="24"/>
          <w:lang w:val="en-US"/>
        </w:rPr>
        <w:t xml:space="preserve"> (SCE) - a defined relationship between “security delivered” by Security Assets and “protection received” by Business Assets. Expressing any security control explicitly and unambiguously. </w:t>
      </w:r>
      <w:bookmarkStart w:id="176" w:name="_Hlk9607516"/>
      <w:r w:rsidRPr="00EA03E5">
        <w:rPr>
          <w:rFonts w:eastAsia="Calibri"/>
          <w:szCs w:val="24"/>
          <w:lang w:val="en-US"/>
        </w:rPr>
        <w:t>Top of Figure 22</w:t>
      </w:r>
      <w:bookmarkEnd w:id="176"/>
    </w:p>
    <w:p w14:paraId="0B2C0ED4"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Threat Attack Expression</w:t>
      </w:r>
      <w:r w:rsidRPr="00EA03E5">
        <w:rPr>
          <w:rFonts w:eastAsia="Calibri"/>
          <w:szCs w:val="24"/>
          <w:lang w:val="en-US"/>
        </w:rPr>
        <w:t xml:space="preserve"> (TAE) - a relationship between a Threat Attack Vector and Business Assets.  Expressing Protection of Target and Threat to Target, explicitly and unambiguously. 2</w:t>
      </w:r>
      <w:r w:rsidRPr="00EA03E5">
        <w:rPr>
          <w:rFonts w:eastAsia="Calibri"/>
          <w:szCs w:val="24"/>
          <w:vertAlign w:val="superscript"/>
          <w:lang w:val="en-US"/>
        </w:rPr>
        <w:t>nd</w:t>
      </w:r>
      <w:r w:rsidRPr="00EA03E5">
        <w:rPr>
          <w:rFonts w:eastAsia="Calibri"/>
          <w:szCs w:val="24"/>
          <w:lang w:val="en-US"/>
        </w:rPr>
        <w:t xml:space="preserve"> from top of Figure 22</w:t>
      </w:r>
    </w:p>
    <w:p w14:paraId="344185E0"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Threat Target Security Expression</w:t>
      </w:r>
      <w:r w:rsidRPr="00EA03E5">
        <w:rPr>
          <w:rFonts w:eastAsia="Calibri"/>
          <w:szCs w:val="24"/>
          <w:lang w:val="en-US"/>
        </w:rPr>
        <w:t xml:space="preserve"> (TTSE)– the integration of SCE and TAE with a common Target.  Expressing Protection of Target, Threat to Target, explicitly and unambiguously as one construct. 3</w:t>
      </w:r>
      <w:r w:rsidRPr="00EA03E5">
        <w:rPr>
          <w:rFonts w:eastAsia="Calibri"/>
          <w:szCs w:val="24"/>
          <w:vertAlign w:val="superscript"/>
          <w:lang w:val="en-US"/>
        </w:rPr>
        <w:t>rd</w:t>
      </w:r>
      <w:r w:rsidRPr="00EA03E5">
        <w:rPr>
          <w:rFonts w:eastAsia="Calibri"/>
          <w:szCs w:val="24"/>
          <w:lang w:val="en-US"/>
        </w:rPr>
        <w:t xml:space="preserve"> from top of Figure 22</w:t>
      </w:r>
    </w:p>
    <w:p w14:paraId="50B9B851"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Protection Assurance Expression</w:t>
      </w:r>
      <w:r w:rsidRPr="00EA03E5">
        <w:rPr>
          <w:rFonts w:eastAsia="Calibri"/>
          <w:szCs w:val="24"/>
          <w:lang w:val="en-US"/>
        </w:rPr>
        <w:t xml:space="preserve"> (PAE)– the integration TTSE with the addition of a Target Protection attack vector yielding a security assurance model delivering Protection with high confidence.</w:t>
      </w:r>
      <w:r w:rsidRPr="00EA03E5">
        <w:rPr>
          <w:rFonts w:eastAsia="Arial Unicode MS"/>
          <w:szCs w:val="24"/>
          <w:lang w:val="en-US"/>
        </w:rPr>
        <w:t xml:space="preserve"> </w:t>
      </w:r>
      <w:r w:rsidRPr="00EA03E5">
        <w:rPr>
          <w:rFonts w:eastAsia="Calibri"/>
          <w:szCs w:val="24"/>
          <w:lang w:val="en-US"/>
        </w:rPr>
        <w:t xml:space="preserve">Expressing Protection of Target, Threat to Target &amp; Threat to Target Protection, explicitly and unambiguously as one construct. </w:t>
      </w:r>
    </w:p>
    <w:p w14:paraId="7FE0E260" w14:textId="77777777" w:rsidR="002A2731" w:rsidRPr="00EA03E5" w:rsidRDefault="002A2731" w:rsidP="002A2731">
      <w:pPr>
        <w:spacing w:before="0" w:after="160" w:line="254" w:lineRule="auto"/>
        <w:ind w:left="720"/>
        <w:contextualSpacing/>
        <w:rPr>
          <w:rFonts w:eastAsia="Calibri"/>
          <w:szCs w:val="24"/>
          <w:lang w:val="en-US"/>
        </w:rPr>
      </w:pPr>
      <w:r w:rsidRPr="00EA03E5">
        <w:rPr>
          <w:rFonts w:eastAsia="Calibri"/>
          <w:szCs w:val="24"/>
          <w:lang w:val="en-US"/>
        </w:rPr>
        <w:t>Bottom of Figure 22.</w:t>
      </w:r>
    </w:p>
    <w:p w14:paraId="71596CBE" w14:textId="77777777" w:rsidR="002A2731" w:rsidRPr="00EA03E5" w:rsidRDefault="002A2731" w:rsidP="002A2731">
      <w:pPr>
        <w:spacing w:before="0" w:after="160" w:line="254" w:lineRule="auto"/>
        <w:ind w:left="720"/>
        <w:contextualSpacing/>
        <w:rPr>
          <w:rFonts w:eastAsia="Calibri"/>
          <w:szCs w:val="24"/>
          <w:lang w:val="en-US"/>
        </w:rPr>
      </w:pPr>
    </w:p>
    <w:p w14:paraId="0EAD9635" w14:textId="77777777" w:rsidR="002A2731" w:rsidRPr="00EA03E5" w:rsidRDefault="002A2731" w:rsidP="002A2731">
      <w:pPr>
        <w:keepNext/>
        <w:spacing w:before="0" w:after="160" w:line="254" w:lineRule="auto"/>
        <w:ind w:left="215"/>
        <w:rPr>
          <w:rFonts w:eastAsia="Arial Unicode MS"/>
          <w:szCs w:val="24"/>
          <w:lang w:val="en-US" w:eastAsia="en-US"/>
        </w:rPr>
      </w:pPr>
      <w:r w:rsidRPr="00EA03E5">
        <w:rPr>
          <w:rFonts w:eastAsia="Calibri"/>
          <w:noProof/>
          <w:szCs w:val="24"/>
          <w:lang w:eastAsia="en-GB"/>
        </w:rPr>
        <w:drawing>
          <wp:inline distT="0" distB="0" distL="0" distR="0" wp14:anchorId="65D6B841" wp14:editId="796770CC">
            <wp:extent cx="5400675" cy="3562350"/>
            <wp:effectExtent l="0" t="0" r="9525" b="0"/>
            <wp:docPr id="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p w14:paraId="3468395C" w14:textId="77777777" w:rsidR="002A2731" w:rsidRPr="00EA03E5" w:rsidRDefault="002A2731" w:rsidP="002A2731">
      <w:pPr>
        <w:keepNext/>
        <w:keepLines/>
        <w:widowControl w:val="0"/>
        <w:spacing w:before="240" w:after="120"/>
        <w:rPr>
          <w:rFonts w:eastAsia="Calibri"/>
          <w:szCs w:val="24"/>
          <w:lang w:val="en-US" w:eastAsia="en-US"/>
        </w:rPr>
      </w:pPr>
      <w:bookmarkStart w:id="177" w:name="_Toc960922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22</w:t>
      </w:r>
      <w:r w:rsidRPr="00EA03E5">
        <w:rPr>
          <w:rFonts w:eastAsia="Times New Roman"/>
          <w:b/>
          <w:szCs w:val="24"/>
          <w:lang w:val="en-US" w:eastAsia="en-US"/>
        </w:rPr>
        <w:fldChar w:fldCharType="end"/>
      </w:r>
      <w:r w:rsidRPr="00EA03E5">
        <w:rPr>
          <w:rFonts w:eastAsia="Times New Roman"/>
          <w:szCs w:val="24"/>
          <w:lang w:val="en-US" w:eastAsia="en-US"/>
        </w:rPr>
        <w:t>: Four Expression Models: Top to bottom Security Control Expression, Threat Attack Expression, Threat Target Security Expression and Protection Assurance Expression.</w:t>
      </w:r>
      <w:bookmarkEnd w:id="177"/>
    </w:p>
    <w:p w14:paraId="1D6D4A8D" w14:textId="77777777" w:rsidR="002A2731" w:rsidRPr="00EA03E5" w:rsidRDefault="002A2731" w:rsidP="002A2731">
      <w:pPr>
        <w:spacing w:before="0" w:after="160" w:line="254" w:lineRule="auto"/>
        <w:ind w:left="215"/>
        <w:rPr>
          <w:rFonts w:eastAsia="Calibri"/>
          <w:szCs w:val="24"/>
          <w:lang w:val="en-US" w:eastAsia="en-US"/>
        </w:rPr>
      </w:pPr>
    </w:p>
    <w:p w14:paraId="04D1CBAF" w14:textId="77777777" w:rsidR="002A2731" w:rsidRPr="00EA03E5" w:rsidRDefault="002A2731" w:rsidP="002A2731">
      <w:pPr>
        <w:spacing w:before="0" w:after="160" w:line="254" w:lineRule="auto"/>
        <w:rPr>
          <w:rFonts w:eastAsia="Calibri"/>
          <w:szCs w:val="24"/>
          <w:lang w:val="en-US" w:eastAsia="en-US"/>
        </w:rPr>
      </w:pPr>
    </w:p>
    <w:p w14:paraId="7F7F9E7C" w14:textId="77777777" w:rsidR="002A2731" w:rsidRPr="00EA03E5" w:rsidRDefault="002A2731" w:rsidP="002A2731">
      <w:pPr>
        <w:spacing w:before="0" w:after="160" w:line="254" w:lineRule="auto"/>
        <w:rPr>
          <w:rFonts w:eastAsia="Calibri"/>
          <w:szCs w:val="24"/>
          <w:lang w:val="en-US" w:eastAsia="en-US"/>
        </w:rPr>
      </w:pPr>
    </w:p>
    <w:p w14:paraId="5DEFF7CD" w14:textId="77777777" w:rsidR="002A2731" w:rsidRPr="00EA03E5" w:rsidRDefault="002A2731" w:rsidP="002A2731">
      <w:pPr>
        <w:keepNext/>
        <w:keepLines/>
        <w:numPr>
          <w:ilvl w:val="1"/>
          <w:numId w:val="11"/>
        </w:numPr>
        <w:spacing w:before="360" w:after="240" w:line="260" w:lineRule="atLeast"/>
        <w:jc w:val="both"/>
        <w:outlineLvl w:val="1"/>
        <w:rPr>
          <w:rFonts w:eastAsia="Calibri"/>
          <w:b/>
          <w:bCs/>
          <w:kern w:val="32"/>
          <w:szCs w:val="24"/>
          <w:lang w:val="en-US" w:eastAsia="en-US"/>
        </w:rPr>
      </w:pPr>
      <w:bookmarkStart w:id="178" w:name="_Toc9609186"/>
      <w:r w:rsidRPr="00EA03E5">
        <w:rPr>
          <w:rFonts w:eastAsia="Calibri"/>
          <w:b/>
          <w:bCs/>
          <w:kern w:val="32"/>
          <w:szCs w:val="24"/>
          <w:lang w:val="en-US" w:eastAsia="en-US"/>
        </w:rPr>
        <w:lastRenderedPageBreak/>
        <w:t>Security Control Expressions</w:t>
      </w:r>
      <w:bookmarkEnd w:id="178"/>
    </w:p>
    <w:p w14:paraId="5A025DF2"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Security Standards and Regulations are de-compositional frameworks composed of statements of one or more security objectives. A typical security control is illustrated in Figure 23 where the cited target and protection requirements are highlighted.</w:t>
      </w:r>
    </w:p>
    <w:p w14:paraId="27DAEB07" w14:textId="77777777" w:rsidR="002A2731" w:rsidRPr="00EA03E5" w:rsidRDefault="002A2731" w:rsidP="002A2731">
      <w:pPr>
        <w:spacing w:before="0" w:after="160" w:line="254" w:lineRule="auto"/>
        <w:rPr>
          <w:rFonts w:eastAsia="Calibri"/>
          <w:szCs w:val="24"/>
          <w:lang w:val="en-US" w:eastAsia="en-US"/>
        </w:rPr>
      </w:pPr>
    </w:p>
    <w:p w14:paraId="1477246B"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drawing>
          <wp:inline distT="0" distB="0" distL="0" distR="0" wp14:anchorId="105F447D" wp14:editId="31D324FC">
            <wp:extent cx="5924550" cy="3267075"/>
            <wp:effectExtent l="0" t="0" r="0" b="9525"/>
            <wp:docPr id="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39BCCB2D" w14:textId="77777777" w:rsidR="002A2731" w:rsidRPr="00EA03E5" w:rsidRDefault="002A2731" w:rsidP="002A2731">
      <w:pPr>
        <w:spacing w:before="0" w:after="200"/>
        <w:rPr>
          <w:rFonts w:eastAsia="Calibri"/>
          <w:i/>
          <w:iCs/>
          <w:color w:val="44546A"/>
          <w:szCs w:val="24"/>
          <w:lang w:val="en-US" w:eastAsia="en-US"/>
        </w:rPr>
      </w:pPr>
      <w:bookmarkStart w:id="179" w:name="_Toc9609223"/>
      <w:bookmarkStart w:id="180" w:name="_Toc8385055"/>
      <w:bookmarkStart w:id="181" w:name="_Toc8382781"/>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23</w:t>
      </w:r>
      <w:r w:rsidRPr="00EA03E5">
        <w:rPr>
          <w:rFonts w:eastAsia="Arial Unicode MS"/>
          <w:szCs w:val="24"/>
          <w:lang w:val="en-US" w:eastAsia="en-US"/>
        </w:rPr>
        <w:fldChar w:fldCharType="end"/>
      </w:r>
      <w:r w:rsidRPr="00EA03E5">
        <w:rPr>
          <w:rFonts w:eastAsia="Calibri"/>
          <w:i/>
          <w:iCs/>
          <w:color w:val="44546A"/>
          <w:szCs w:val="24"/>
          <w:lang w:val="en-US" w:eastAsia="en-US"/>
        </w:rPr>
        <w:t>: Current Security Control Objective and NIST CSF to NIST 800-53 Mapping</w:t>
      </w:r>
      <w:bookmarkEnd w:id="179"/>
      <w:bookmarkEnd w:id="180"/>
      <w:bookmarkEnd w:id="181"/>
    </w:p>
    <w:p w14:paraId="1ACB60EE" w14:textId="77777777" w:rsidR="002A2731" w:rsidRPr="00EA03E5" w:rsidRDefault="002A2731" w:rsidP="002A2731">
      <w:pPr>
        <w:spacing w:before="0" w:after="160" w:line="254" w:lineRule="auto"/>
        <w:rPr>
          <w:rFonts w:eastAsia="Calibri"/>
          <w:szCs w:val="24"/>
          <w:lang w:val="en-US" w:eastAsia="en-US"/>
        </w:rPr>
      </w:pPr>
    </w:p>
    <w:p w14:paraId="07524D4D"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When an Objective is reviewed with the goal of fulfilling it, a natural decomposition process begins to occur: In Figure 23, PR.DS-1 and 2 simply states: Data at rest and in motion should be protected. The receiver of the security is Data. The device storing the data is either a database or repository. The most likely protection function to be applied to the Data in is encryption. Is PR.DS-5 not satisfied by 1 and 2? </w:t>
      </w:r>
    </w:p>
    <w:p w14:paraId="7B6C3758"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We individually break down the Objective into what we think it requires, we then seek to have one’s interpretation validated internally and verified by external auditors. This is a painful process.</w:t>
      </w:r>
    </w:p>
    <w:p w14:paraId="019429E7"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security control inter-framework mapping is a mapping between Objectives originating from different control frameworks. It is a commonality claim. It is a statement that there is some degree of “coverage” or overlap between the two mapped Objectives. This represents the current industry state of maturity of security control modeling. </w:t>
      </w:r>
    </w:p>
    <w:p w14:paraId="2C182B02"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following proposes a security control model called “Security Control Expressions.” </w:t>
      </w:r>
      <w:r w:rsidRPr="00EA03E5">
        <w:rPr>
          <w:rFonts w:eastAsia="Calibri"/>
          <w:szCs w:val="24"/>
          <w:lang w:val="en-US" w:eastAsia="en-US"/>
        </w:rPr>
        <w:br/>
        <w:t xml:space="preserve">It greatly improves the clarity of articulating what security is being provided to what assets – uniquely and unambiguously. </w:t>
      </w:r>
    </w:p>
    <w:p w14:paraId="3636A606"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lastRenderedPageBreak/>
        <w:drawing>
          <wp:inline distT="0" distB="0" distL="0" distR="0" wp14:anchorId="0C3EAC85" wp14:editId="5B6D1D0B">
            <wp:extent cx="5943600" cy="2438400"/>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t="18935" b="8060"/>
                    <a:stretch>
                      <a:fillRect/>
                    </a:stretch>
                  </pic:blipFill>
                  <pic:spPr bwMode="auto">
                    <a:xfrm>
                      <a:off x="0" y="0"/>
                      <a:ext cx="5943600" cy="2438400"/>
                    </a:xfrm>
                    <a:prstGeom prst="rect">
                      <a:avLst/>
                    </a:prstGeom>
                    <a:noFill/>
                    <a:ln>
                      <a:noFill/>
                    </a:ln>
                  </pic:spPr>
                </pic:pic>
              </a:graphicData>
            </a:graphic>
          </wp:inline>
        </w:drawing>
      </w:r>
    </w:p>
    <w:p w14:paraId="698BFF4B" w14:textId="77777777" w:rsidR="002A2731" w:rsidRPr="00EA03E5" w:rsidRDefault="002A2731" w:rsidP="002A2731">
      <w:pPr>
        <w:spacing w:before="0" w:after="200"/>
        <w:rPr>
          <w:rFonts w:eastAsia="Calibri"/>
          <w:i/>
          <w:iCs/>
          <w:color w:val="44546A"/>
          <w:szCs w:val="24"/>
          <w:lang w:val="en-US" w:eastAsia="en-US"/>
        </w:rPr>
      </w:pPr>
      <w:bookmarkStart w:id="182" w:name="_Toc9609224"/>
      <w:bookmarkStart w:id="183" w:name="_Toc8385056"/>
      <w:bookmarkStart w:id="184" w:name="_Toc8382782"/>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24</w:t>
      </w:r>
      <w:r w:rsidRPr="00EA03E5">
        <w:rPr>
          <w:rFonts w:eastAsia="Arial Unicode MS"/>
          <w:szCs w:val="24"/>
          <w:lang w:val="en-US" w:eastAsia="en-US"/>
        </w:rPr>
        <w:fldChar w:fldCharType="end"/>
      </w:r>
      <w:r w:rsidRPr="00EA03E5">
        <w:rPr>
          <w:rFonts w:eastAsia="Calibri"/>
          <w:i/>
          <w:iCs/>
          <w:color w:val="44546A"/>
          <w:szCs w:val="24"/>
          <w:lang w:val="en-US" w:eastAsia="en-US"/>
        </w:rPr>
        <w:t>: General Security Control Model</w:t>
      </w:r>
      <w:bookmarkEnd w:id="182"/>
      <w:bookmarkEnd w:id="183"/>
      <w:bookmarkEnd w:id="184"/>
    </w:p>
    <w:p w14:paraId="3ACDD0F0"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What is a Security Control Objective (“Objective”) versus an actual implemented control (“Control”)? An Objective is generally defined in technique or method neutral terms while an actual control is defined to environment specific protocol terms. An Objective is subject to interpretation as to how it can be fulfilled. </w:t>
      </w:r>
    </w:p>
    <w:p w14:paraId="04D56839"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General Security Control model is illustrated in Figure 24. It depicts any form of security value being “delivered” by a Security Asset to a Business Asset as protection received. Protection received is not necessarily the same as security delivered, as indicated by the double center lines in Figure 24. </w:t>
      </w:r>
    </w:p>
    <w:p w14:paraId="0A0C0ECE"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Control model in Figure 24 can be decomposed into a “mirror” model illustrated in Figure 25 as both sides of the relationship are identical at the underlying code | data | device level. </w:t>
      </w:r>
    </w:p>
    <w:p w14:paraId="0BA09BE1" w14:textId="77777777" w:rsidR="002A2731" w:rsidRPr="00EA03E5" w:rsidRDefault="002A2731" w:rsidP="002A2731">
      <w:pPr>
        <w:keepLines/>
        <w:numPr>
          <w:ilvl w:val="0"/>
          <w:numId w:val="25"/>
        </w:numPr>
        <w:spacing w:before="0" w:after="160" w:line="254" w:lineRule="auto"/>
        <w:ind w:left="1440"/>
        <w:contextualSpacing/>
        <w:jc w:val="both"/>
        <w:rPr>
          <w:rFonts w:eastAsia="Calibri"/>
          <w:szCs w:val="24"/>
          <w:lang w:val="en-US" w:eastAsia="en-US"/>
        </w:rPr>
      </w:pPr>
      <w:r w:rsidRPr="00EA03E5">
        <w:rPr>
          <w:rFonts w:eastAsia="Calibri"/>
          <w:szCs w:val="24"/>
          <w:lang w:val="en-US" w:eastAsia="en-US"/>
        </w:rPr>
        <w:t>Security Delivered is achieved by security software executing with security data from a secure source.</w:t>
      </w:r>
    </w:p>
    <w:p w14:paraId="2B88AC34" w14:textId="77777777" w:rsidR="002A2731" w:rsidRPr="00EA03E5" w:rsidRDefault="002A2731" w:rsidP="002A2731">
      <w:pPr>
        <w:keepLines/>
        <w:numPr>
          <w:ilvl w:val="0"/>
          <w:numId w:val="25"/>
        </w:numPr>
        <w:spacing w:before="0" w:after="160" w:line="254" w:lineRule="auto"/>
        <w:ind w:left="1440"/>
        <w:contextualSpacing/>
        <w:jc w:val="both"/>
        <w:rPr>
          <w:rFonts w:eastAsia="Calibri"/>
          <w:szCs w:val="24"/>
          <w:lang w:val="en-US" w:eastAsia="en-US"/>
        </w:rPr>
      </w:pPr>
      <w:r w:rsidRPr="00EA03E5">
        <w:rPr>
          <w:rFonts w:eastAsia="Calibri"/>
          <w:szCs w:val="24"/>
          <w:lang w:val="en-US" w:eastAsia="en-US"/>
        </w:rPr>
        <w:t>Protection Received is delivered to business software operating business data executing on a host.</w:t>
      </w:r>
    </w:p>
    <w:p w14:paraId="354319D6" w14:textId="77777777" w:rsidR="002A2731" w:rsidRPr="00EA03E5" w:rsidRDefault="002A2731" w:rsidP="002A2731">
      <w:pPr>
        <w:spacing w:before="0" w:after="160" w:line="254" w:lineRule="auto"/>
        <w:rPr>
          <w:rFonts w:eastAsia="Calibri"/>
          <w:szCs w:val="24"/>
          <w:lang w:val="en-US" w:eastAsia="en-US"/>
        </w:rPr>
      </w:pPr>
    </w:p>
    <w:p w14:paraId="6A430380"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lastRenderedPageBreak/>
        <w:drawing>
          <wp:inline distT="0" distB="0" distL="0" distR="0" wp14:anchorId="040007B7" wp14:editId="1034AD5B">
            <wp:extent cx="5943600" cy="2524125"/>
            <wp:effectExtent l="0" t="0" r="0" b="9525"/>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t="17041" b="7414"/>
                    <a:stretch>
                      <a:fillRect/>
                    </a:stretch>
                  </pic:blipFill>
                  <pic:spPr bwMode="auto">
                    <a:xfrm>
                      <a:off x="0" y="0"/>
                      <a:ext cx="5943600" cy="2524125"/>
                    </a:xfrm>
                    <a:prstGeom prst="rect">
                      <a:avLst/>
                    </a:prstGeom>
                    <a:noFill/>
                    <a:ln>
                      <a:noFill/>
                    </a:ln>
                  </pic:spPr>
                </pic:pic>
              </a:graphicData>
            </a:graphic>
          </wp:inline>
        </w:drawing>
      </w:r>
    </w:p>
    <w:p w14:paraId="27EA40C2" w14:textId="77777777" w:rsidR="002A2731" w:rsidRPr="00EA03E5" w:rsidRDefault="002A2731" w:rsidP="002A2731">
      <w:pPr>
        <w:spacing w:before="0" w:after="200"/>
        <w:rPr>
          <w:rFonts w:eastAsia="Calibri"/>
          <w:i/>
          <w:iCs/>
          <w:color w:val="44546A"/>
          <w:szCs w:val="24"/>
          <w:lang w:val="en-US" w:eastAsia="en-US"/>
        </w:rPr>
      </w:pPr>
      <w:bookmarkStart w:id="185" w:name="_Toc9609225"/>
      <w:bookmarkStart w:id="186" w:name="_Toc8385057"/>
      <w:bookmarkStart w:id="187" w:name="_Toc8382783"/>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25</w:t>
      </w:r>
      <w:r w:rsidRPr="00EA03E5">
        <w:rPr>
          <w:rFonts w:eastAsia="Arial Unicode MS"/>
          <w:szCs w:val="24"/>
          <w:lang w:val="en-US" w:eastAsia="en-US"/>
        </w:rPr>
        <w:fldChar w:fldCharType="end"/>
      </w:r>
      <w:r w:rsidRPr="00EA03E5">
        <w:rPr>
          <w:rFonts w:eastAsia="Calibri"/>
          <w:i/>
          <w:iCs/>
          <w:color w:val="44546A"/>
          <w:szCs w:val="24"/>
          <w:lang w:val="en-US" w:eastAsia="en-US"/>
        </w:rPr>
        <w:t>: Decomposing Security Delivered &amp; Protection Received</w:t>
      </w:r>
      <w:bookmarkEnd w:id="185"/>
      <w:bookmarkEnd w:id="186"/>
      <w:bookmarkEnd w:id="187"/>
    </w:p>
    <w:p w14:paraId="60C32499" w14:textId="77777777" w:rsidR="002A2731" w:rsidRPr="00EA03E5" w:rsidRDefault="002A2731" w:rsidP="002A2731">
      <w:pPr>
        <w:spacing w:before="0" w:after="160" w:line="254" w:lineRule="auto"/>
        <w:rPr>
          <w:rFonts w:eastAsia="Calibri"/>
          <w:szCs w:val="24"/>
          <w:lang w:val="en-US" w:eastAsia="en-US"/>
        </w:rPr>
      </w:pPr>
    </w:p>
    <w:p w14:paraId="395FDE6B"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model discussed in Figure 25 can be replaced by the block model of Figure 26. </w:t>
      </w:r>
    </w:p>
    <w:p w14:paraId="2DE48ABC" w14:textId="77777777" w:rsidR="002A2731" w:rsidRPr="00EA03E5" w:rsidRDefault="002A2731" w:rsidP="002A2731">
      <w:pPr>
        <w:spacing w:before="0" w:after="160" w:line="254" w:lineRule="auto"/>
        <w:rPr>
          <w:rFonts w:eastAsia="Calibri"/>
          <w:szCs w:val="24"/>
          <w:lang w:val="en-US" w:eastAsia="en-US"/>
        </w:rPr>
      </w:pPr>
    </w:p>
    <w:p w14:paraId="33AB1C4C"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drawing>
          <wp:inline distT="0" distB="0" distL="0" distR="0" wp14:anchorId="4FEB4689" wp14:editId="0FFDE4BE">
            <wp:extent cx="6000750" cy="1228725"/>
            <wp:effectExtent l="0" t="0" r="0" b="9525"/>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0750" cy="1228725"/>
                    </a:xfrm>
                    <a:prstGeom prst="rect">
                      <a:avLst/>
                    </a:prstGeom>
                    <a:noFill/>
                    <a:ln>
                      <a:noFill/>
                    </a:ln>
                  </pic:spPr>
                </pic:pic>
              </a:graphicData>
            </a:graphic>
          </wp:inline>
        </w:drawing>
      </w:r>
    </w:p>
    <w:p w14:paraId="46696CD2" w14:textId="77777777" w:rsidR="002A2731" w:rsidRPr="00EA03E5" w:rsidRDefault="002A2731" w:rsidP="002A2731">
      <w:pPr>
        <w:spacing w:before="0" w:after="200"/>
        <w:rPr>
          <w:rFonts w:eastAsia="Calibri"/>
          <w:i/>
          <w:iCs/>
          <w:color w:val="44546A"/>
          <w:szCs w:val="24"/>
          <w:lang w:val="en-US" w:eastAsia="en-US"/>
        </w:rPr>
      </w:pPr>
      <w:bookmarkStart w:id="188" w:name="_Toc9609226"/>
      <w:bookmarkStart w:id="189" w:name="_Toc8385058"/>
      <w:bookmarkStart w:id="190" w:name="_Toc8382784"/>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26</w:t>
      </w:r>
      <w:r w:rsidRPr="00EA03E5">
        <w:rPr>
          <w:rFonts w:eastAsia="Arial Unicode MS"/>
          <w:szCs w:val="24"/>
          <w:lang w:val="en-US" w:eastAsia="en-US"/>
        </w:rPr>
        <w:fldChar w:fldCharType="end"/>
      </w:r>
      <w:r w:rsidRPr="00EA03E5">
        <w:rPr>
          <w:rFonts w:eastAsia="Calibri"/>
          <w:i/>
          <w:iCs/>
          <w:color w:val="44546A"/>
          <w:szCs w:val="24"/>
          <w:lang w:val="en-US" w:eastAsia="en-US"/>
        </w:rPr>
        <w:t>: General Security Control Block Model</w:t>
      </w:r>
      <w:bookmarkEnd w:id="188"/>
      <w:bookmarkEnd w:id="189"/>
      <w:bookmarkEnd w:id="190"/>
    </w:p>
    <w:p w14:paraId="55808CA1" w14:textId="77777777" w:rsidR="002A2731" w:rsidRPr="00EA03E5" w:rsidRDefault="002A2731" w:rsidP="002A2731">
      <w:pPr>
        <w:spacing w:before="0" w:after="160" w:line="254" w:lineRule="auto"/>
        <w:rPr>
          <w:rFonts w:eastAsia="Calibri"/>
          <w:szCs w:val="24"/>
          <w:lang w:val="en-US" w:eastAsia="en-US"/>
        </w:rPr>
      </w:pPr>
    </w:p>
    <w:p w14:paraId="3F9FDC3F"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Figure 27 defines the Security Control Expression (“Expression”) model, the core subject of this paper.  It outlines how to define what each security technique is delivering in the form of protection to individual business asset components. </w:t>
      </w:r>
    </w:p>
    <w:p w14:paraId="72D13BF8" w14:textId="77777777" w:rsidR="002A2731" w:rsidRPr="00EA03E5" w:rsidRDefault="002A2731" w:rsidP="002A2731">
      <w:pPr>
        <w:spacing w:before="0" w:after="160" w:line="254" w:lineRule="auto"/>
        <w:rPr>
          <w:rFonts w:eastAsia="Calibri"/>
          <w:szCs w:val="24"/>
          <w:lang w:val="en-US" w:eastAsia="en-US"/>
        </w:rPr>
      </w:pPr>
    </w:p>
    <w:p w14:paraId="5FF68630" w14:textId="77777777" w:rsidR="002A2731" w:rsidRPr="00EA03E5" w:rsidRDefault="002A2731" w:rsidP="002A2731">
      <w:pPr>
        <w:keepNext/>
        <w:spacing w:before="0" w:after="160" w:line="254" w:lineRule="auto"/>
        <w:rPr>
          <w:rFonts w:eastAsia="Arial Unicode MS"/>
          <w:szCs w:val="24"/>
          <w:lang w:val="en-US" w:eastAsia="en-US"/>
        </w:rPr>
      </w:pPr>
      <w:r w:rsidRPr="00EA03E5">
        <w:rPr>
          <w:rFonts w:eastAsia="Calibri"/>
          <w:noProof/>
          <w:szCs w:val="24"/>
          <w:lang w:eastAsia="en-GB"/>
        </w:rPr>
        <w:drawing>
          <wp:inline distT="0" distB="0" distL="0" distR="0" wp14:anchorId="1A3D00E0" wp14:editId="31575F87">
            <wp:extent cx="5953125" cy="1228725"/>
            <wp:effectExtent l="0" t="0" r="9525" b="9525"/>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3125" cy="1228725"/>
                    </a:xfrm>
                    <a:prstGeom prst="rect">
                      <a:avLst/>
                    </a:prstGeom>
                    <a:noFill/>
                    <a:ln>
                      <a:noFill/>
                    </a:ln>
                  </pic:spPr>
                </pic:pic>
              </a:graphicData>
            </a:graphic>
          </wp:inline>
        </w:drawing>
      </w:r>
    </w:p>
    <w:p w14:paraId="0F86CB43" w14:textId="77777777" w:rsidR="002A2731" w:rsidRPr="00EA03E5" w:rsidRDefault="002A2731" w:rsidP="002A2731">
      <w:pPr>
        <w:keepNext/>
        <w:keepLines/>
        <w:widowControl w:val="0"/>
        <w:spacing w:before="240" w:after="120"/>
        <w:rPr>
          <w:rFonts w:eastAsia="Calibri"/>
          <w:szCs w:val="24"/>
          <w:lang w:val="en-US" w:eastAsia="en-US"/>
        </w:rPr>
      </w:pPr>
      <w:bookmarkStart w:id="191" w:name="_Toc9609227"/>
      <w:bookmarkStart w:id="192" w:name="_Toc8385059"/>
      <w:bookmarkStart w:id="193" w:name="_Toc838278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27</w:t>
      </w:r>
      <w:r w:rsidRPr="00EA03E5">
        <w:rPr>
          <w:rFonts w:eastAsia="Times New Roman"/>
          <w:b/>
          <w:szCs w:val="24"/>
          <w:lang w:val="en-US" w:eastAsia="en-US"/>
        </w:rPr>
        <w:fldChar w:fldCharType="end"/>
      </w:r>
      <w:r w:rsidRPr="00EA03E5">
        <w:rPr>
          <w:rFonts w:eastAsia="Times New Roman"/>
          <w:szCs w:val="24"/>
          <w:lang w:val="en-US" w:eastAsia="en-US"/>
        </w:rPr>
        <w:t xml:space="preserve"> Security Asset delivers protection to Business Asset</w:t>
      </w:r>
      <w:bookmarkEnd w:id="191"/>
      <w:bookmarkEnd w:id="192"/>
      <w:bookmarkEnd w:id="193"/>
    </w:p>
    <w:p w14:paraId="41308B6D" w14:textId="77777777" w:rsidR="002A2731" w:rsidRPr="00EA03E5" w:rsidRDefault="002A2731" w:rsidP="002A2731">
      <w:pPr>
        <w:spacing w:before="0" w:after="160" w:line="254" w:lineRule="auto"/>
        <w:rPr>
          <w:rFonts w:eastAsia="Calibri"/>
          <w:i/>
          <w:iCs/>
          <w:color w:val="44546A"/>
          <w:szCs w:val="24"/>
          <w:lang w:val="en-US" w:eastAsia="en-US"/>
        </w:rPr>
      </w:pPr>
    </w:p>
    <w:p w14:paraId="7E61B660"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An Expression illustrated in Figure 27 reads as follows:  </w:t>
      </w:r>
    </w:p>
    <w:p w14:paraId="059E82A8" w14:textId="77777777" w:rsidR="002A2731" w:rsidRPr="00EA03E5" w:rsidRDefault="002A2731" w:rsidP="002A2731">
      <w:pPr>
        <w:spacing w:before="0" w:after="160" w:line="254" w:lineRule="auto"/>
        <w:ind w:left="720" w:right="720"/>
        <w:contextualSpacing/>
        <w:rPr>
          <w:rFonts w:eastAsia="Calibri"/>
          <w:i/>
          <w:szCs w:val="24"/>
          <w:lang w:val="en-US" w:eastAsia="en-US"/>
        </w:rPr>
      </w:pPr>
      <w:r w:rsidRPr="00EA03E5">
        <w:rPr>
          <w:rFonts w:eastAsia="Calibri"/>
          <w:i/>
          <w:szCs w:val="24"/>
          <w:lang w:val="en-US" w:eastAsia="en-US"/>
        </w:rPr>
        <w:lastRenderedPageBreak/>
        <w:t>“</w:t>
      </w:r>
      <w:r w:rsidRPr="00EA03E5">
        <w:rPr>
          <w:rFonts w:eastAsia="Calibri"/>
          <w:b/>
          <w:i/>
          <w:color w:val="0000FF"/>
          <w:szCs w:val="24"/>
          <w:lang w:val="en-US" w:eastAsia="en-US"/>
        </w:rPr>
        <w:t>Security Delivered</w:t>
      </w:r>
      <w:r w:rsidRPr="00EA03E5">
        <w:rPr>
          <w:rFonts w:eastAsia="Calibri"/>
          <w:i/>
          <w:szCs w:val="24"/>
          <w:lang w:val="en-US" w:eastAsia="en-US"/>
        </w:rPr>
        <w:t xml:space="preserve"> is achieved by a </w:t>
      </w:r>
      <w:r w:rsidRPr="00EA03E5">
        <w:rPr>
          <w:rFonts w:eastAsia="Calibri"/>
          <w:b/>
          <w:i/>
          <w:color w:val="0000FF"/>
          <w:szCs w:val="24"/>
          <w:lang w:val="en-US" w:eastAsia="en-US"/>
        </w:rPr>
        <w:t>Security Asset</w:t>
      </w:r>
      <w:r w:rsidRPr="00EA03E5">
        <w:rPr>
          <w:rFonts w:eastAsia="Calibri"/>
          <w:i/>
          <w:color w:val="0000FF"/>
          <w:szCs w:val="24"/>
          <w:lang w:val="en-US" w:eastAsia="en-US"/>
        </w:rPr>
        <w:t xml:space="preserve"> </w:t>
      </w:r>
      <w:r w:rsidRPr="00EA03E5">
        <w:rPr>
          <w:rFonts w:eastAsia="Calibri"/>
          <w:i/>
          <w:szCs w:val="24"/>
          <w:lang w:val="en-US" w:eastAsia="en-US"/>
        </w:rPr>
        <w:t xml:space="preserve">performing one or more </w:t>
      </w:r>
      <w:r w:rsidRPr="00EA03E5">
        <w:rPr>
          <w:rFonts w:eastAsia="Calibri"/>
          <w:b/>
          <w:i/>
          <w:color w:val="0000FF"/>
          <w:szCs w:val="24"/>
          <w:lang w:val="en-US" w:eastAsia="en-US"/>
        </w:rPr>
        <w:t>Security Techniques</w:t>
      </w:r>
      <w:r w:rsidRPr="00EA03E5">
        <w:rPr>
          <w:rFonts w:eastAsia="Calibri"/>
          <w:i/>
          <w:szCs w:val="24"/>
          <w:lang w:val="en-US" w:eastAsia="en-US"/>
        </w:rPr>
        <w:t xml:space="preserve">, each technique requiring trusted </w:t>
      </w:r>
      <w:r w:rsidRPr="00EA03E5">
        <w:rPr>
          <w:rFonts w:eastAsia="Calibri"/>
          <w:b/>
          <w:i/>
          <w:color w:val="0000FF"/>
          <w:szCs w:val="24"/>
          <w:lang w:val="en-US" w:eastAsia="en-US"/>
        </w:rPr>
        <w:t>Security Content</w:t>
      </w:r>
      <w:r w:rsidRPr="00EA03E5">
        <w:rPr>
          <w:rFonts w:eastAsia="Calibri"/>
          <w:i/>
          <w:szCs w:val="24"/>
          <w:lang w:val="en-US" w:eastAsia="en-US"/>
        </w:rPr>
        <w:t xml:space="preserve"> from a trusted </w:t>
      </w:r>
      <w:r w:rsidRPr="00EA03E5">
        <w:rPr>
          <w:rFonts w:eastAsia="Calibri"/>
          <w:b/>
          <w:i/>
          <w:color w:val="0000FF"/>
          <w:szCs w:val="24"/>
          <w:lang w:val="en-US" w:eastAsia="en-US"/>
        </w:rPr>
        <w:t>Security Subject</w:t>
      </w:r>
      <w:r w:rsidRPr="00EA03E5">
        <w:rPr>
          <w:rFonts w:eastAsia="Calibri"/>
          <w:i/>
          <w:color w:val="0000FF"/>
          <w:szCs w:val="24"/>
          <w:lang w:val="en-US" w:eastAsia="en-US"/>
        </w:rPr>
        <w:t xml:space="preserve"> or </w:t>
      </w:r>
      <w:r w:rsidRPr="00EA03E5">
        <w:rPr>
          <w:rFonts w:eastAsia="Calibri"/>
          <w:i/>
          <w:szCs w:val="24"/>
          <w:lang w:val="en-US" w:eastAsia="en-US"/>
        </w:rPr>
        <w:t xml:space="preserve">source” </w:t>
      </w:r>
    </w:p>
    <w:p w14:paraId="2D070B39" w14:textId="77777777" w:rsidR="002A2731" w:rsidRPr="00EA03E5" w:rsidRDefault="002A2731" w:rsidP="002A2731">
      <w:pPr>
        <w:spacing w:before="0" w:after="160" w:line="254" w:lineRule="auto"/>
        <w:ind w:left="720"/>
        <w:contextualSpacing/>
        <w:rPr>
          <w:rFonts w:eastAsia="Calibri"/>
          <w:szCs w:val="24"/>
          <w:lang w:val="en-US" w:eastAsia="en-US"/>
        </w:rPr>
      </w:pPr>
    </w:p>
    <w:p w14:paraId="02465949" w14:textId="77777777" w:rsidR="002A2731" w:rsidRPr="00EA03E5" w:rsidRDefault="002A2731" w:rsidP="002A2731">
      <w:pPr>
        <w:spacing w:before="0" w:after="160" w:line="254" w:lineRule="auto"/>
        <w:ind w:left="720" w:right="720"/>
        <w:contextualSpacing/>
        <w:rPr>
          <w:rFonts w:eastAsia="Calibri"/>
          <w:i/>
          <w:szCs w:val="24"/>
          <w:lang w:val="en-US" w:eastAsia="en-US"/>
        </w:rPr>
      </w:pPr>
      <w:r w:rsidRPr="00EA03E5">
        <w:rPr>
          <w:rFonts w:eastAsia="Calibri"/>
          <w:i/>
          <w:szCs w:val="24"/>
          <w:lang w:val="en-US" w:eastAsia="en-US"/>
        </w:rPr>
        <w:t>“</w:t>
      </w:r>
      <w:r w:rsidRPr="00EA03E5">
        <w:rPr>
          <w:rFonts w:eastAsia="Calibri"/>
          <w:b/>
          <w:i/>
          <w:color w:val="FFC000"/>
          <w:szCs w:val="24"/>
          <w:lang w:val="en-US" w:eastAsia="en-US"/>
        </w:rPr>
        <w:t>Protection Received</w:t>
      </w:r>
      <w:r w:rsidRPr="00EA03E5">
        <w:rPr>
          <w:rFonts w:eastAsia="Calibri"/>
          <w:i/>
          <w:color w:val="FFC000"/>
          <w:szCs w:val="24"/>
          <w:lang w:val="en-US" w:eastAsia="en-US"/>
        </w:rPr>
        <w:t xml:space="preserve"> </w:t>
      </w:r>
      <w:r w:rsidRPr="00EA03E5">
        <w:rPr>
          <w:rFonts w:eastAsia="Calibri"/>
          <w:i/>
          <w:szCs w:val="24"/>
          <w:lang w:val="en-US" w:eastAsia="en-US"/>
        </w:rPr>
        <w:t xml:space="preserve">by </w:t>
      </w:r>
      <w:r w:rsidRPr="00EA03E5">
        <w:rPr>
          <w:rFonts w:eastAsia="Calibri"/>
          <w:b/>
          <w:i/>
          <w:color w:val="FFC000"/>
          <w:szCs w:val="24"/>
          <w:lang w:val="en-US" w:eastAsia="en-US"/>
        </w:rPr>
        <w:t>a Business Asset</w:t>
      </w:r>
      <w:r w:rsidRPr="00EA03E5">
        <w:rPr>
          <w:rFonts w:eastAsia="Calibri"/>
          <w:i/>
          <w:color w:val="FFC000"/>
          <w:szCs w:val="24"/>
          <w:lang w:val="en-US" w:eastAsia="en-US"/>
        </w:rPr>
        <w:t xml:space="preserve"> </w:t>
      </w:r>
      <w:r w:rsidRPr="00EA03E5">
        <w:rPr>
          <w:rFonts w:eastAsia="Calibri"/>
          <w:i/>
          <w:szCs w:val="24"/>
          <w:lang w:val="en-US" w:eastAsia="en-US"/>
        </w:rPr>
        <w:t xml:space="preserve">is more specifically articulated to protect either the </w:t>
      </w:r>
      <w:r w:rsidRPr="00EA03E5">
        <w:rPr>
          <w:rFonts w:eastAsia="Calibri"/>
          <w:b/>
          <w:i/>
          <w:color w:val="FFC000"/>
          <w:szCs w:val="24"/>
          <w:lang w:val="en-US" w:eastAsia="en-US"/>
        </w:rPr>
        <w:t>protected application</w:t>
      </w:r>
      <w:r w:rsidRPr="00EA03E5">
        <w:rPr>
          <w:rFonts w:eastAsia="Calibri"/>
          <w:i/>
          <w:szCs w:val="24"/>
          <w:lang w:val="en-US" w:eastAsia="en-US"/>
        </w:rPr>
        <w:t xml:space="preserve">, the </w:t>
      </w:r>
      <w:r w:rsidRPr="00EA03E5">
        <w:rPr>
          <w:rFonts w:eastAsia="Calibri"/>
          <w:b/>
          <w:i/>
          <w:color w:val="FFC000"/>
          <w:szCs w:val="24"/>
          <w:lang w:val="en-US" w:eastAsia="en-US"/>
        </w:rPr>
        <w:t>protected content</w:t>
      </w:r>
      <w:r w:rsidRPr="00EA03E5">
        <w:rPr>
          <w:rFonts w:eastAsia="Calibri"/>
          <w:i/>
          <w:color w:val="FFC000"/>
          <w:szCs w:val="24"/>
          <w:lang w:val="en-US" w:eastAsia="en-US"/>
        </w:rPr>
        <w:t xml:space="preserve"> </w:t>
      </w:r>
      <w:r w:rsidRPr="00EA03E5">
        <w:rPr>
          <w:rFonts w:eastAsia="Calibri"/>
          <w:i/>
          <w:szCs w:val="24"/>
          <w:lang w:val="en-US" w:eastAsia="en-US"/>
        </w:rPr>
        <w:t xml:space="preserve">being used by the application and/or the </w:t>
      </w:r>
      <w:r w:rsidRPr="00EA03E5">
        <w:rPr>
          <w:rFonts w:eastAsia="Calibri"/>
          <w:b/>
          <w:i/>
          <w:color w:val="FFC000"/>
          <w:szCs w:val="24"/>
          <w:lang w:val="en-US" w:eastAsia="en-US"/>
        </w:rPr>
        <w:t>protected device</w:t>
      </w:r>
      <w:r w:rsidRPr="00EA03E5">
        <w:rPr>
          <w:rFonts w:eastAsia="Calibri"/>
          <w:i/>
          <w:color w:val="FFC000"/>
          <w:szCs w:val="24"/>
          <w:lang w:val="en-US" w:eastAsia="en-US"/>
        </w:rPr>
        <w:t xml:space="preserve"> </w:t>
      </w:r>
      <w:r w:rsidRPr="00EA03E5">
        <w:rPr>
          <w:rFonts w:eastAsia="Calibri"/>
          <w:i/>
          <w:szCs w:val="24"/>
          <w:lang w:val="en-US" w:eastAsia="en-US"/>
        </w:rPr>
        <w:t xml:space="preserve">the application is hosted on.” </w:t>
      </w:r>
    </w:p>
    <w:p w14:paraId="5FDBF53F" w14:textId="77777777" w:rsidR="002A2731" w:rsidRPr="00EA03E5" w:rsidRDefault="002A2731" w:rsidP="002A2731">
      <w:pPr>
        <w:spacing w:before="0" w:after="160" w:line="254" w:lineRule="auto"/>
        <w:ind w:left="720" w:right="720"/>
        <w:contextualSpacing/>
        <w:rPr>
          <w:rFonts w:eastAsia="Calibri"/>
          <w:i/>
          <w:szCs w:val="24"/>
          <w:lang w:val="en-US" w:eastAsia="en-US"/>
        </w:rPr>
      </w:pPr>
    </w:p>
    <w:p w14:paraId="145C66C8" w14:textId="77777777" w:rsidR="002A2731" w:rsidRPr="00EA03E5" w:rsidRDefault="002A2731" w:rsidP="002A2731">
      <w:pPr>
        <w:spacing w:before="0" w:after="160" w:line="254" w:lineRule="auto"/>
        <w:ind w:left="720" w:right="720"/>
        <w:contextualSpacing/>
        <w:rPr>
          <w:rFonts w:eastAsia="Calibri"/>
          <w:i/>
          <w:szCs w:val="24"/>
          <w:lang w:val="en-US" w:eastAsia="en-US"/>
        </w:rPr>
      </w:pPr>
    </w:p>
    <w:p w14:paraId="37DFB88F" w14:textId="77777777" w:rsidR="002A2731" w:rsidRPr="00EA03E5" w:rsidRDefault="002A2731" w:rsidP="002A2731">
      <w:pPr>
        <w:keepNext/>
        <w:spacing w:before="0" w:after="160" w:line="254" w:lineRule="auto"/>
        <w:ind w:left="360"/>
        <w:rPr>
          <w:rFonts w:eastAsia="Arial Unicode MS"/>
          <w:szCs w:val="24"/>
          <w:lang w:val="en-US" w:eastAsia="en-US"/>
        </w:rPr>
      </w:pPr>
      <w:r w:rsidRPr="00EA03E5">
        <w:rPr>
          <w:rFonts w:eastAsia="Calibri"/>
          <w:noProof/>
          <w:szCs w:val="24"/>
          <w:lang w:eastAsia="en-GB"/>
        </w:rPr>
        <w:drawing>
          <wp:inline distT="0" distB="0" distL="0" distR="0" wp14:anchorId="7FF882D3" wp14:editId="7BBFCF1C">
            <wp:extent cx="5476875" cy="3781425"/>
            <wp:effectExtent l="0" t="0" r="9525" b="9525"/>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76875" cy="3781425"/>
                    </a:xfrm>
                    <a:prstGeom prst="rect">
                      <a:avLst/>
                    </a:prstGeom>
                    <a:noFill/>
                    <a:ln>
                      <a:noFill/>
                    </a:ln>
                  </pic:spPr>
                </pic:pic>
              </a:graphicData>
            </a:graphic>
          </wp:inline>
        </w:drawing>
      </w:r>
    </w:p>
    <w:p w14:paraId="1CB81EBE" w14:textId="77777777" w:rsidR="002A2731" w:rsidRPr="00EA03E5" w:rsidRDefault="002A2731" w:rsidP="002A2731">
      <w:pPr>
        <w:keepNext/>
        <w:keepLines/>
        <w:widowControl w:val="0"/>
        <w:spacing w:before="240" w:after="120"/>
        <w:rPr>
          <w:rFonts w:eastAsia="Times New Roman"/>
          <w:szCs w:val="24"/>
          <w:lang w:val="en-US" w:eastAsia="en-US"/>
        </w:rPr>
      </w:pPr>
      <w:bookmarkStart w:id="194" w:name="_Toc960922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28</w:t>
      </w:r>
      <w:r w:rsidRPr="00EA03E5">
        <w:rPr>
          <w:rFonts w:eastAsia="Times New Roman"/>
          <w:b/>
          <w:szCs w:val="24"/>
          <w:lang w:val="en-US" w:eastAsia="en-US"/>
        </w:rPr>
        <w:fldChar w:fldCharType="end"/>
      </w:r>
      <w:r w:rsidRPr="00EA03E5">
        <w:rPr>
          <w:rFonts w:eastAsia="Times New Roman"/>
          <w:szCs w:val="24"/>
          <w:lang w:val="en-US" w:eastAsia="en-US"/>
        </w:rPr>
        <w:t xml:space="preserve"> Expression Tense Derived by Association</w:t>
      </w:r>
      <w:bookmarkEnd w:id="194"/>
    </w:p>
    <w:p w14:paraId="5E801BDD" w14:textId="77777777" w:rsidR="002A2731" w:rsidRPr="00EA03E5" w:rsidRDefault="002A2731" w:rsidP="002A2731">
      <w:pPr>
        <w:spacing w:before="0" w:after="160" w:line="254" w:lineRule="auto"/>
        <w:rPr>
          <w:rFonts w:eastAsia="Calibri"/>
          <w:szCs w:val="24"/>
          <w:lang w:val="en-US" w:eastAsia="en-US"/>
        </w:rPr>
      </w:pPr>
    </w:p>
    <w:p w14:paraId="73B9DA01"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General Security Control Expression (“Expression”) is an explicit expression of what security is to be, is being, should be, or shall be delivered to what Business Asset.  However, the purpose of the Expression is only realized by its association to either a regulatory or standard control objective or a security vendor product, as follows and illustrated in Figure 28. </w:t>
      </w:r>
    </w:p>
    <w:p w14:paraId="3BED47B5" w14:textId="77777777" w:rsidR="002A2731" w:rsidRPr="00EA03E5" w:rsidRDefault="002A2731" w:rsidP="002A2731">
      <w:pPr>
        <w:keepLines/>
        <w:numPr>
          <w:ilvl w:val="0"/>
          <w:numId w:val="26"/>
        </w:numPr>
        <w:spacing w:before="0" w:after="160" w:line="254" w:lineRule="auto"/>
        <w:ind w:left="1440"/>
        <w:contextualSpacing/>
        <w:jc w:val="both"/>
        <w:rPr>
          <w:rFonts w:eastAsia="Calibri"/>
          <w:szCs w:val="24"/>
          <w:lang w:val="en-US" w:eastAsia="en-US"/>
        </w:rPr>
      </w:pPr>
      <w:r w:rsidRPr="00EA03E5">
        <w:rPr>
          <w:rFonts w:eastAsia="Calibri"/>
          <w:b/>
          <w:szCs w:val="24"/>
          <w:lang w:val="en-US" w:eastAsia="en-US"/>
        </w:rPr>
        <w:t>Deliver</w:t>
      </w:r>
      <w:r w:rsidRPr="00EA03E5">
        <w:rPr>
          <w:rFonts w:eastAsia="Calibri"/>
          <w:szCs w:val="24"/>
          <w:lang w:val="en-US" w:eastAsia="en-US"/>
        </w:rPr>
        <w:t xml:space="preserve"> Expression: Expression is associated </w:t>
      </w:r>
      <w:r w:rsidRPr="00EA03E5">
        <w:rPr>
          <w:rFonts w:eastAsia="Calibri"/>
          <w:noProof/>
          <w:szCs w:val="24"/>
          <w:lang w:val="en-US" w:eastAsia="en-US"/>
        </w:rPr>
        <w:t>to</w:t>
      </w:r>
      <w:r w:rsidRPr="00EA03E5">
        <w:rPr>
          <w:rFonts w:eastAsia="Calibri"/>
          <w:szCs w:val="24"/>
          <w:lang w:val="en-US" w:eastAsia="en-US"/>
        </w:rPr>
        <w:t xml:space="preserve"> a vendor security product which delivers the following one or more expressions. </w:t>
      </w:r>
    </w:p>
    <w:p w14:paraId="18E4C199" w14:textId="77777777" w:rsidR="002A2731" w:rsidRPr="00EA03E5" w:rsidRDefault="002A2731" w:rsidP="002A2731">
      <w:pPr>
        <w:keepLines/>
        <w:numPr>
          <w:ilvl w:val="0"/>
          <w:numId w:val="26"/>
        </w:numPr>
        <w:spacing w:before="0" w:after="160" w:line="254" w:lineRule="auto"/>
        <w:ind w:left="1440"/>
        <w:contextualSpacing/>
        <w:jc w:val="both"/>
        <w:rPr>
          <w:rFonts w:eastAsia="Calibri"/>
          <w:szCs w:val="24"/>
          <w:lang w:val="en-US" w:eastAsia="en-US"/>
        </w:rPr>
      </w:pPr>
      <w:r w:rsidRPr="00EA03E5">
        <w:rPr>
          <w:rFonts w:eastAsia="Calibri"/>
          <w:b/>
          <w:szCs w:val="24"/>
          <w:lang w:val="en-US" w:eastAsia="en-US"/>
        </w:rPr>
        <w:t>Fulfill</w:t>
      </w:r>
      <w:r w:rsidRPr="00EA03E5">
        <w:rPr>
          <w:rFonts w:eastAsia="Calibri"/>
          <w:szCs w:val="24"/>
          <w:lang w:val="en-US" w:eastAsia="en-US"/>
        </w:rPr>
        <w:t xml:space="preserve"> Expression: Expression defines what should or shall be fulfilled</w:t>
      </w:r>
    </w:p>
    <w:p w14:paraId="1AE3D211" w14:textId="77777777" w:rsidR="002A2731" w:rsidRPr="00EA03E5" w:rsidRDefault="002A2731" w:rsidP="002A2731">
      <w:pPr>
        <w:keepLines/>
        <w:numPr>
          <w:ilvl w:val="1"/>
          <w:numId w:val="26"/>
        </w:numPr>
        <w:spacing w:before="0" w:after="160" w:line="254" w:lineRule="auto"/>
        <w:ind w:left="2160"/>
        <w:contextualSpacing/>
        <w:jc w:val="both"/>
        <w:rPr>
          <w:rFonts w:eastAsia="Calibri"/>
          <w:szCs w:val="24"/>
          <w:lang w:val="en-US" w:eastAsia="en-US"/>
        </w:rPr>
      </w:pPr>
      <w:r w:rsidRPr="00EA03E5">
        <w:rPr>
          <w:rFonts w:eastAsia="Calibri"/>
          <w:b/>
          <w:i/>
          <w:szCs w:val="24"/>
          <w:lang w:val="en-US" w:eastAsia="en-US"/>
        </w:rPr>
        <w:t>Shall</w:t>
      </w:r>
      <w:r w:rsidRPr="00EA03E5">
        <w:rPr>
          <w:rFonts w:eastAsia="Calibri"/>
          <w:szCs w:val="24"/>
          <w:lang w:val="en-US" w:eastAsia="en-US"/>
        </w:rPr>
        <w:t xml:space="preserve"> Fulfill Expression: Expression associated </w:t>
      </w:r>
      <w:r w:rsidRPr="00EA03E5">
        <w:rPr>
          <w:rFonts w:eastAsia="Calibri"/>
          <w:noProof/>
          <w:szCs w:val="24"/>
          <w:lang w:val="en-US" w:eastAsia="en-US"/>
        </w:rPr>
        <w:t>to</w:t>
      </w:r>
      <w:r w:rsidRPr="00EA03E5">
        <w:rPr>
          <w:rFonts w:eastAsia="Calibri"/>
          <w:szCs w:val="24"/>
          <w:lang w:val="en-US" w:eastAsia="en-US"/>
        </w:rPr>
        <w:t xml:space="preserve"> a </w:t>
      </w:r>
      <w:r w:rsidRPr="00EA03E5">
        <w:rPr>
          <w:rFonts w:eastAsia="Calibri"/>
          <w:b/>
          <w:szCs w:val="24"/>
          <w:lang w:val="en-US" w:eastAsia="en-US"/>
        </w:rPr>
        <w:t>Standard</w:t>
      </w:r>
      <w:r w:rsidRPr="00EA03E5">
        <w:rPr>
          <w:rFonts w:eastAsia="Calibri"/>
          <w:szCs w:val="24"/>
          <w:lang w:val="en-US" w:eastAsia="en-US"/>
        </w:rPr>
        <w:t xml:space="preserve"> framework Objective.</w:t>
      </w:r>
    </w:p>
    <w:p w14:paraId="30FE9498" w14:textId="77777777" w:rsidR="002A2731" w:rsidRPr="00EA03E5" w:rsidRDefault="002A2731" w:rsidP="002A2731">
      <w:pPr>
        <w:keepLines/>
        <w:numPr>
          <w:ilvl w:val="1"/>
          <w:numId w:val="26"/>
        </w:numPr>
        <w:spacing w:before="0" w:after="160" w:line="254" w:lineRule="auto"/>
        <w:ind w:left="2160"/>
        <w:contextualSpacing/>
        <w:jc w:val="both"/>
        <w:rPr>
          <w:rFonts w:eastAsia="Calibri"/>
          <w:szCs w:val="24"/>
          <w:lang w:val="en-US" w:eastAsia="en-US"/>
        </w:rPr>
      </w:pPr>
      <w:r w:rsidRPr="00EA03E5">
        <w:rPr>
          <w:rFonts w:eastAsia="Calibri"/>
          <w:b/>
          <w:i/>
          <w:szCs w:val="24"/>
          <w:lang w:val="en-US" w:eastAsia="en-US"/>
        </w:rPr>
        <w:t>Should</w:t>
      </w:r>
      <w:r w:rsidRPr="00EA03E5">
        <w:rPr>
          <w:rFonts w:eastAsia="Calibri"/>
          <w:szCs w:val="24"/>
          <w:lang w:val="en-US" w:eastAsia="en-US"/>
        </w:rPr>
        <w:t xml:space="preserve"> Fulfill Expression: Expression associated </w:t>
      </w:r>
      <w:r w:rsidRPr="00EA03E5">
        <w:rPr>
          <w:rFonts w:eastAsia="Calibri"/>
          <w:noProof/>
          <w:szCs w:val="24"/>
          <w:lang w:val="en-US" w:eastAsia="en-US"/>
        </w:rPr>
        <w:t>to</w:t>
      </w:r>
      <w:r w:rsidRPr="00EA03E5">
        <w:rPr>
          <w:rFonts w:eastAsia="Calibri"/>
          <w:szCs w:val="24"/>
          <w:lang w:val="en-US" w:eastAsia="en-US"/>
        </w:rPr>
        <w:t xml:space="preserve"> a </w:t>
      </w:r>
      <w:r w:rsidRPr="00EA03E5">
        <w:rPr>
          <w:rFonts w:eastAsia="Calibri"/>
          <w:b/>
          <w:szCs w:val="24"/>
          <w:lang w:val="en-US" w:eastAsia="en-US"/>
        </w:rPr>
        <w:t>Regulatory</w:t>
      </w:r>
      <w:r w:rsidRPr="00EA03E5">
        <w:rPr>
          <w:rFonts w:eastAsia="Calibri"/>
          <w:szCs w:val="24"/>
          <w:lang w:val="en-US" w:eastAsia="en-US"/>
        </w:rPr>
        <w:t xml:space="preserve"> framework Objective.</w:t>
      </w:r>
    </w:p>
    <w:p w14:paraId="31974A76" w14:textId="77777777" w:rsidR="002A2731" w:rsidRPr="00EA03E5" w:rsidRDefault="002A2731" w:rsidP="002A2731">
      <w:pPr>
        <w:spacing w:before="0" w:after="160" w:line="254" w:lineRule="auto"/>
        <w:rPr>
          <w:rFonts w:eastAsia="Calibri"/>
          <w:szCs w:val="24"/>
          <w:lang w:val="en-US" w:eastAsia="en-US"/>
        </w:rPr>
      </w:pPr>
    </w:p>
    <w:p w14:paraId="14105009"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lastRenderedPageBreak/>
        <w:t>A key outcome of Expressions and their associations to security products and regulatory O</w:t>
      </w:r>
      <w:r w:rsidRPr="00EA03E5">
        <w:rPr>
          <w:rFonts w:eastAsia="Calibri"/>
          <w:noProof/>
          <w:szCs w:val="24"/>
          <w:lang w:val="en-US" w:eastAsia="en-US"/>
        </w:rPr>
        <w:t>bjectives</w:t>
      </w:r>
      <w:r w:rsidRPr="00EA03E5">
        <w:rPr>
          <w:rFonts w:eastAsia="Calibri"/>
          <w:szCs w:val="24"/>
          <w:lang w:val="en-US" w:eastAsia="en-US"/>
        </w:rPr>
        <w:t xml:space="preserve"> is that: </w:t>
      </w:r>
    </w:p>
    <w:p w14:paraId="50DB2177" w14:textId="77777777" w:rsidR="002A2731" w:rsidRPr="00EA03E5" w:rsidRDefault="002A2731" w:rsidP="002A2731">
      <w:pPr>
        <w:spacing w:before="0" w:after="160" w:line="254" w:lineRule="auto"/>
        <w:jc w:val="center"/>
        <w:rPr>
          <w:rFonts w:eastAsia="Calibri"/>
          <w:i/>
          <w:szCs w:val="24"/>
          <w:lang w:val="en-US" w:eastAsia="en-US"/>
        </w:rPr>
      </w:pPr>
      <w:r w:rsidRPr="00EA03E5">
        <w:rPr>
          <w:rFonts w:eastAsia="Calibri"/>
          <w:b/>
          <w:i/>
          <w:szCs w:val="24"/>
          <w:lang w:val="en-US" w:eastAsia="en-US"/>
        </w:rPr>
        <w:t>Deliver Expressions</w:t>
      </w:r>
      <w:r w:rsidRPr="00EA03E5">
        <w:rPr>
          <w:rFonts w:eastAsia="Calibri"/>
          <w:i/>
          <w:szCs w:val="24"/>
          <w:lang w:val="en-US" w:eastAsia="en-US"/>
        </w:rPr>
        <w:t xml:space="preserve"> [available from Vendors]</w:t>
      </w:r>
      <w:r w:rsidRPr="00EA03E5">
        <w:rPr>
          <w:rFonts w:eastAsia="Calibri"/>
          <w:i/>
          <w:szCs w:val="24"/>
          <w:lang w:val="en-US" w:eastAsia="en-US"/>
        </w:rPr>
        <w:br/>
        <w:t xml:space="preserve"> </w:t>
      </w:r>
      <w:r w:rsidRPr="00EA03E5">
        <w:rPr>
          <w:rFonts w:eastAsia="Calibri"/>
          <w:b/>
          <w:i/>
          <w:szCs w:val="24"/>
          <w:lang w:val="en-US" w:eastAsia="en-US"/>
        </w:rPr>
        <w:t>meet</w:t>
      </w:r>
      <w:r w:rsidRPr="00EA03E5">
        <w:rPr>
          <w:rFonts w:eastAsia="Calibri"/>
          <w:i/>
          <w:szCs w:val="24"/>
          <w:lang w:val="en-US" w:eastAsia="en-US"/>
        </w:rPr>
        <w:t xml:space="preserve"> </w:t>
      </w:r>
      <w:r w:rsidRPr="00EA03E5">
        <w:rPr>
          <w:rFonts w:eastAsia="Calibri"/>
          <w:i/>
          <w:szCs w:val="24"/>
          <w:lang w:val="en-US" w:eastAsia="en-US"/>
        </w:rPr>
        <w:br/>
      </w:r>
      <w:r w:rsidRPr="00EA03E5">
        <w:rPr>
          <w:rFonts w:eastAsia="Calibri"/>
          <w:b/>
          <w:i/>
          <w:szCs w:val="24"/>
          <w:lang w:val="en-US" w:eastAsia="en-US"/>
        </w:rPr>
        <w:t>Fulfill Expressions</w:t>
      </w:r>
      <w:r w:rsidRPr="00EA03E5">
        <w:rPr>
          <w:rFonts w:eastAsia="Calibri"/>
          <w:i/>
          <w:szCs w:val="24"/>
          <w:lang w:val="en-US" w:eastAsia="en-US"/>
        </w:rPr>
        <w:t xml:space="preserve"> [required by Regulators] </w:t>
      </w:r>
      <w:r w:rsidRPr="00EA03E5">
        <w:rPr>
          <w:rFonts w:eastAsia="Calibri"/>
          <w:i/>
          <w:szCs w:val="24"/>
          <w:lang w:val="en-US" w:eastAsia="en-US"/>
        </w:rPr>
        <w:br/>
        <w:t xml:space="preserve">- </w:t>
      </w:r>
      <w:r w:rsidRPr="00EA03E5">
        <w:rPr>
          <w:rFonts w:eastAsia="Calibri"/>
          <w:b/>
          <w:i/>
          <w:szCs w:val="24"/>
          <w:lang w:val="en-US" w:eastAsia="en-US"/>
        </w:rPr>
        <w:t>automatically</w:t>
      </w:r>
    </w:p>
    <w:p w14:paraId="740E6101" w14:textId="77777777" w:rsidR="00C51A57" w:rsidRDefault="00C51A57" w:rsidP="00C51A57">
      <w:pPr>
        <w:spacing w:before="0"/>
        <w:rPr>
          <w:rFonts w:eastAsia="Calibri"/>
          <w:szCs w:val="24"/>
          <w:lang w:val="en-US" w:eastAsia="en-US"/>
        </w:rPr>
      </w:pPr>
    </w:p>
    <w:p w14:paraId="66EC30F3" w14:textId="6F644094" w:rsidR="002A2731" w:rsidRPr="00EA03E5" w:rsidRDefault="002A2731" w:rsidP="00C51A57">
      <w:pPr>
        <w:spacing w:before="0"/>
        <w:rPr>
          <w:rFonts w:eastAsia="Calibri"/>
          <w:szCs w:val="24"/>
          <w:lang w:val="en-US" w:eastAsia="en-US"/>
        </w:rPr>
      </w:pPr>
      <w:r w:rsidRPr="00EA03E5">
        <w:rPr>
          <w:rFonts w:eastAsia="Calibri"/>
          <w:szCs w:val="24"/>
          <w:lang w:val="en-US" w:eastAsia="en-US"/>
        </w:rPr>
        <w:t xml:space="preserve">The Expression model represents a method to define to a higher level of precision the relationship between security &amp; protection. The following Figure 29 illustrate how the Security Control Expression elements integrate into Security Asset and Business Asset inventories that deliver and preserve value. </w:t>
      </w:r>
    </w:p>
    <w:p w14:paraId="0E1EC01C" w14:textId="77777777" w:rsidR="002A2731" w:rsidRPr="00EA03E5" w:rsidRDefault="002A2731" w:rsidP="002A2731">
      <w:pPr>
        <w:spacing w:before="0" w:after="160" w:line="254" w:lineRule="auto"/>
        <w:rPr>
          <w:rFonts w:eastAsia="Calibri"/>
          <w:szCs w:val="24"/>
          <w:lang w:val="en-US" w:eastAsia="en-US"/>
        </w:rPr>
      </w:pPr>
    </w:p>
    <w:p w14:paraId="4CBCAB57" w14:textId="77777777" w:rsidR="002A2731" w:rsidRPr="00EA03E5" w:rsidRDefault="002A2731" w:rsidP="002A2731">
      <w:pPr>
        <w:keepNext/>
        <w:spacing w:before="0" w:after="160" w:line="254" w:lineRule="auto"/>
        <w:rPr>
          <w:rFonts w:eastAsia="Arial Unicode MS"/>
          <w:szCs w:val="24"/>
          <w:lang w:val="en-US" w:eastAsia="en-US"/>
        </w:rPr>
      </w:pPr>
      <w:r w:rsidRPr="00EA03E5">
        <w:rPr>
          <w:rFonts w:eastAsia="Arial Unicode MS"/>
          <w:noProof/>
          <w:szCs w:val="24"/>
          <w:lang w:eastAsia="en-GB"/>
        </w:rPr>
        <w:drawing>
          <wp:inline distT="0" distB="0" distL="0" distR="0" wp14:anchorId="08796C1F" wp14:editId="353599FC">
            <wp:extent cx="6124575" cy="3448050"/>
            <wp:effectExtent l="0" t="0" r="9525" b="0"/>
            <wp:docPr id="13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D061925" w14:textId="77777777" w:rsidR="002A2731" w:rsidRPr="00EA03E5" w:rsidRDefault="002A2731" w:rsidP="002A2731">
      <w:pPr>
        <w:keepNext/>
        <w:keepLines/>
        <w:widowControl w:val="0"/>
        <w:spacing w:before="240" w:after="120"/>
        <w:rPr>
          <w:rFonts w:eastAsia="Times New Roman"/>
          <w:szCs w:val="24"/>
          <w:lang w:val="en-US" w:eastAsia="en-US"/>
        </w:rPr>
      </w:pPr>
      <w:bookmarkStart w:id="195" w:name="_Toc9609229"/>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29</w:t>
      </w:r>
      <w:r w:rsidRPr="00EA03E5">
        <w:rPr>
          <w:rFonts w:eastAsia="Times New Roman"/>
          <w:b/>
          <w:szCs w:val="24"/>
          <w:lang w:val="en-US" w:eastAsia="en-US"/>
        </w:rPr>
        <w:fldChar w:fldCharType="end"/>
      </w:r>
      <w:r w:rsidRPr="00EA03E5">
        <w:rPr>
          <w:rFonts w:eastAsia="Times New Roman"/>
          <w:szCs w:val="24"/>
          <w:lang w:val="en-US" w:eastAsia="en-US"/>
        </w:rPr>
        <w:t xml:space="preserve"> Security Control Expression Integrated with Security Asset &amp; Business Asset Inventories</w:t>
      </w:r>
      <w:bookmarkEnd w:id="195"/>
    </w:p>
    <w:p w14:paraId="6DFF99E6" w14:textId="77777777" w:rsidR="002A2731" w:rsidRPr="00EA03E5" w:rsidRDefault="002A2731" w:rsidP="002A2731">
      <w:pPr>
        <w:spacing w:before="0" w:after="160" w:line="254" w:lineRule="auto"/>
        <w:rPr>
          <w:rFonts w:eastAsia="Calibri"/>
          <w:szCs w:val="24"/>
          <w:lang w:val="en-US" w:eastAsia="en-US"/>
        </w:rPr>
      </w:pPr>
    </w:p>
    <w:p w14:paraId="01BFF755" w14:textId="1A58367B" w:rsidR="002A2731" w:rsidRPr="00EA03E5" w:rsidRDefault="002A2731" w:rsidP="002A2731">
      <w:pPr>
        <w:spacing w:before="0"/>
        <w:rPr>
          <w:rFonts w:eastAsia="Calibri"/>
          <w:b/>
          <w:bCs/>
          <w:kern w:val="32"/>
          <w:szCs w:val="24"/>
          <w:lang w:val="en-US" w:eastAsia="en-US"/>
        </w:rPr>
      </w:pPr>
      <w:r w:rsidRPr="00EA03E5">
        <w:rPr>
          <w:rFonts w:eastAsia="Calibri"/>
          <w:szCs w:val="24"/>
          <w:lang w:val="en-US" w:eastAsia="en-US"/>
        </w:rPr>
        <w:br w:type="page"/>
      </w:r>
      <w:r w:rsidR="00887E7B">
        <w:rPr>
          <w:noProof/>
          <w:lang w:eastAsia="en-GB"/>
        </w:rPr>
        <w:lastRenderedPageBreak/>
        <w:drawing>
          <wp:inline distT="0" distB="0" distL="0" distR="0" wp14:anchorId="452ED643" wp14:editId="30DEB06B">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2400" cy="152400"/>
                    </a:xfrm>
                    <a:prstGeom prst="rect">
                      <a:avLst/>
                    </a:prstGeom>
                  </pic:spPr>
                </pic:pic>
              </a:graphicData>
            </a:graphic>
          </wp:inline>
        </w:drawing>
      </w:r>
    </w:p>
    <w:p w14:paraId="3C802536" w14:textId="77777777" w:rsidR="002A2731" w:rsidRPr="00EA03E5" w:rsidRDefault="002A2731" w:rsidP="002A2731">
      <w:pPr>
        <w:keepNext/>
        <w:keepLines/>
        <w:numPr>
          <w:ilvl w:val="1"/>
          <w:numId w:val="27"/>
        </w:numPr>
        <w:tabs>
          <w:tab w:val="left" w:pos="720"/>
        </w:tabs>
        <w:spacing w:before="360" w:after="240" w:line="260" w:lineRule="atLeast"/>
        <w:ind w:left="540" w:hanging="540"/>
        <w:jc w:val="both"/>
        <w:outlineLvl w:val="1"/>
        <w:rPr>
          <w:rFonts w:eastAsia="Calibri"/>
          <w:b/>
          <w:bCs/>
          <w:kern w:val="32"/>
          <w:szCs w:val="24"/>
          <w:lang w:val="en-US" w:eastAsia="en-US"/>
        </w:rPr>
      </w:pPr>
      <w:bookmarkStart w:id="196" w:name="_Toc9609187"/>
      <w:r w:rsidRPr="00EA03E5">
        <w:rPr>
          <w:rFonts w:eastAsia="Calibri"/>
          <w:b/>
          <w:bCs/>
          <w:kern w:val="32"/>
          <w:szCs w:val="24"/>
          <w:lang w:val="en-US" w:eastAsia="en-US"/>
        </w:rPr>
        <w:t>Threat Attack Expressions</w:t>
      </w:r>
      <w:bookmarkEnd w:id="196"/>
    </w:p>
    <w:p w14:paraId="1B205E57" w14:textId="77777777" w:rsidR="002A2731" w:rsidRPr="00EA03E5" w:rsidRDefault="002A2731" w:rsidP="002A2731">
      <w:pPr>
        <w:spacing w:before="0" w:after="160" w:line="256" w:lineRule="auto"/>
        <w:rPr>
          <w:rFonts w:eastAsia="Calibri"/>
          <w:szCs w:val="24"/>
          <w:lang w:val="en-US" w:eastAsia="en-US"/>
        </w:rPr>
      </w:pPr>
      <w:bookmarkStart w:id="197" w:name="_Hlk6750302"/>
      <w:bookmarkEnd w:id="197"/>
      <w:r w:rsidRPr="00EA03E5">
        <w:rPr>
          <w:rFonts w:eastAsia="Calibri"/>
          <w:szCs w:val="24"/>
          <w:lang w:val="en-US" w:eastAsia="en-US"/>
        </w:rPr>
        <w:t>Threat Attach Expression (TAE) builds on the construct of a Security Control Expression by taking the same Target construct and defining a threat attack vector expression that targets it. A TAE model is illustrated in Figure 30 below. TAE enables the addition of threats to the Security Control Model in Figure 2. A TAE models the following three attack stages:</w:t>
      </w:r>
    </w:p>
    <w:p w14:paraId="43CFF24B"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Deliver</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d</w:t>
      </w:r>
      <w:r w:rsidRPr="00EA03E5">
        <w:rPr>
          <w:rFonts w:eastAsia="Calibri"/>
          <w:szCs w:val="24"/>
          <w:lang w:val="en-US" w:eastAsia="en-US"/>
        </w:rPr>
        <w:t>): How the attack content is delivered to the point-of-exploitation.</w:t>
      </w:r>
      <w:r w:rsidRPr="00EA03E5">
        <w:rPr>
          <w:rFonts w:eastAsia="Calibri"/>
          <w:szCs w:val="24"/>
          <w:lang w:val="en-US" w:eastAsia="en-US"/>
        </w:rPr>
        <w:br/>
        <w:t>For example, email, USB, text link;</w:t>
      </w:r>
    </w:p>
    <w:p w14:paraId="1B8EF40D"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Content</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c</w:t>
      </w:r>
      <w:r w:rsidRPr="00EA03E5">
        <w:rPr>
          <w:rFonts w:eastAsia="Calibri"/>
          <w:szCs w:val="24"/>
          <w:lang w:val="en-US" w:eastAsia="en-US"/>
        </w:rPr>
        <w:t>): this is the “content” data and/or code required to complete the exploit;</w:t>
      </w:r>
    </w:p>
    <w:p w14:paraId="5635512A"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Exploit</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e</w:t>
      </w:r>
      <w:r w:rsidRPr="00EA03E5">
        <w:rPr>
          <w:rFonts w:eastAsia="Calibri"/>
          <w:szCs w:val="24"/>
          <w:lang w:val="en-US" w:eastAsia="en-US"/>
        </w:rPr>
        <w:t>): this is the mechanism of exploiting a vulnerability in the Target to gain a foothold.</w:t>
      </w:r>
    </w:p>
    <w:p w14:paraId="5677AC2C" w14:textId="77777777" w:rsidR="002A2731" w:rsidRPr="00EA03E5" w:rsidRDefault="002A2731" w:rsidP="002A2731">
      <w:pPr>
        <w:keepNext/>
        <w:spacing w:before="0" w:after="160" w:line="256" w:lineRule="auto"/>
        <w:ind w:left="2880"/>
        <w:rPr>
          <w:rFonts w:eastAsia="Calibri"/>
          <w:szCs w:val="24"/>
          <w:lang w:val="en-US" w:eastAsia="en-US"/>
        </w:rPr>
      </w:pPr>
      <w:r w:rsidRPr="00EA03E5">
        <w:rPr>
          <w:rFonts w:eastAsia="Calibri"/>
          <w:noProof/>
          <w:szCs w:val="24"/>
          <w:lang w:eastAsia="en-GB"/>
        </w:rPr>
        <w:drawing>
          <wp:inline distT="0" distB="0" distL="0" distR="0" wp14:anchorId="64611F47" wp14:editId="7CF9D29D">
            <wp:extent cx="2171700" cy="552450"/>
            <wp:effectExtent l="0" t="0" r="0" b="0"/>
            <wp:docPr id="1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71700" cy="552450"/>
                    </a:xfrm>
                    <a:prstGeom prst="rect">
                      <a:avLst/>
                    </a:prstGeom>
                    <a:noFill/>
                    <a:ln>
                      <a:noFill/>
                    </a:ln>
                  </pic:spPr>
                </pic:pic>
              </a:graphicData>
            </a:graphic>
          </wp:inline>
        </w:drawing>
      </w:r>
    </w:p>
    <w:p w14:paraId="4814EDC0" w14:textId="77777777" w:rsidR="002A2731" w:rsidRPr="00EA03E5" w:rsidRDefault="002A2731" w:rsidP="002A2731">
      <w:pPr>
        <w:spacing w:before="0" w:after="200"/>
        <w:ind w:left="2880"/>
        <w:rPr>
          <w:rFonts w:eastAsia="Calibri"/>
          <w:i/>
          <w:iCs/>
          <w:color w:val="44546A"/>
          <w:szCs w:val="24"/>
          <w:lang w:val="en-US" w:eastAsia="en-US"/>
        </w:rPr>
      </w:pPr>
      <w:bookmarkStart w:id="198" w:name="_Toc9609230"/>
      <w:bookmarkStart w:id="199" w:name="_Toc8385062"/>
      <w:bookmarkStart w:id="200" w:name="_Toc8382788"/>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30</w:t>
      </w:r>
      <w:r w:rsidRPr="00EA03E5">
        <w:rPr>
          <w:rFonts w:eastAsia="Arial Unicode MS"/>
          <w:szCs w:val="24"/>
          <w:lang w:val="en-US" w:eastAsia="en-US"/>
        </w:rPr>
        <w:fldChar w:fldCharType="end"/>
      </w:r>
      <w:r w:rsidRPr="00EA03E5">
        <w:rPr>
          <w:rFonts w:eastAsia="Calibri"/>
          <w:i/>
          <w:iCs/>
          <w:color w:val="44546A"/>
          <w:szCs w:val="24"/>
          <w:lang w:val="en-US" w:eastAsia="en-US"/>
        </w:rPr>
        <w:t>: General Threat Attack Expression Model</w:t>
      </w:r>
      <w:bookmarkEnd w:id="198"/>
      <w:bookmarkEnd w:id="199"/>
      <w:bookmarkEnd w:id="200"/>
    </w:p>
    <w:p w14:paraId="65F1A974"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An actual attack in the sense of achieving an intent, exfiltrate data for example may involve more than one Attack Exploit (A</w:t>
      </w:r>
      <w:r w:rsidRPr="00EA03E5">
        <w:rPr>
          <w:rFonts w:eastAsia="Calibri"/>
          <w:szCs w:val="24"/>
          <w:vertAlign w:val="subscript"/>
          <w:lang w:val="en-US" w:eastAsia="en-US"/>
        </w:rPr>
        <w:t>e</w:t>
      </w:r>
      <w:r w:rsidRPr="00EA03E5">
        <w:rPr>
          <w:rFonts w:eastAsia="Calibri"/>
          <w:szCs w:val="24"/>
          <w:lang w:val="en-US" w:eastAsia="en-US"/>
        </w:rPr>
        <w:t>) each of which may involve different Attack Contents (A</w:t>
      </w:r>
      <w:r w:rsidRPr="00EA03E5">
        <w:rPr>
          <w:rFonts w:eastAsia="Calibri"/>
          <w:szCs w:val="24"/>
          <w:vertAlign w:val="subscript"/>
          <w:lang w:val="en-US" w:eastAsia="en-US"/>
        </w:rPr>
        <w:t>c</w:t>
      </w:r>
      <w:r w:rsidRPr="00EA03E5">
        <w:rPr>
          <w:rFonts w:eastAsia="Calibri"/>
          <w:szCs w:val="24"/>
          <w:lang w:val="en-US" w:eastAsia="en-US"/>
        </w:rPr>
        <w:t>) (e.g. payloads). Attack Delivery (A</w:t>
      </w:r>
      <w:r w:rsidRPr="00EA03E5">
        <w:rPr>
          <w:rFonts w:eastAsia="Calibri"/>
          <w:szCs w:val="24"/>
          <w:vertAlign w:val="subscript"/>
          <w:lang w:val="en-US" w:eastAsia="en-US"/>
        </w:rPr>
        <w:t>d</w:t>
      </w:r>
      <w:r w:rsidRPr="00EA03E5">
        <w:rPr>
          <w:rFonts w:eastAsia="Calibri"/>
          <w:szCs w:val="24"/>
          <w:lang w:val="en-US" w:eastAsia="en-US"/>
        </w:rPr>
        <w:t>) of the A</w:t>
      </w:r>
      <w:r w:rsidRPr="00EA03E5">
        <w:rPr>
          <w:rFonts w:eastAsia="Calibri"/>
          <w:szCs w:val="24"/>
          <w:vertAlign w:val="subscript"/>
          <w:lang w:val="en-US" w:eastAsia="en-US"/>
        </w:rPr>
        <w:t xml:space="preserve">c </w:t>
      </w:r>
      <w:r w:rsidRPr="00EA03E5">
        <w:rPr>
          <w:rFonts w:eastAsia="Calibri"/>
          <w:szCs w:val="24"/>
          <w:lang w:val="en-US" w:eastAsia="en-US"/>
        </w:rPr>
        <w:t xml:space="preserve">may occur on the initial delivery or after external Command &amp; Control communication is established. </w:t>
      </w:r>
    </w:p>
    <w:p w14:paraId="02FEA4A8"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Security Control Expression model illustrated in Figure 27 is based on the distinction between security delivered and protection received. An attack can be on the target itself or on the protection being provided to the target. The Threat Attack Expression Model in Figure 30 can be nuanced into two fundamental intents, attack the target and/or attack the protection of the target, as illustrated in Figure 31. The pre-superscript indicates the target and the subscript indicates the attack stage. </w:t>
      </w:r>
    </w:p>
    <w:p w14:paraId="7DFF6884" w14:textId="77777777" w:rsidR="002A2731" w:rsidRPr="00EA03E5" w:rsidRDefault="002A2731" w:rsidP="002A2731">
      <w:pPr>
        <w:spacing w:before="0" w:after="160" w:line="256" w:lineRule="auto"/>
        <w:rPr>
          <w:rFonts w:eastAsia="Calibri"/>
          <w:szCs w:val="24"/>
          <w:lang w:val="en-US" w:eastAsia="en-US"/>
        </w:rPr>
      </w:pPr>
    </w:p>
    <w:p w14:paraId="4A598598" w14:textId="77777777" w:rsidR="002A2731" w:rsidRPr="00EA03E5" w:rsidRDefault="002A2731" w:rsidP="002A2731">
      <w:pPr>
        <w:keepNext/>
        <w:spacing w:before="0" w:after="160" w:line="256" w:lineRule="auto"/>
        <w:ind w:left="2880"/>
        <w:rPr>
          <w:rFonts w:eastAsia="Calibri"/>
          <w:szCs w:val="24"/>
          <w:lang w:val="en-US" w:eastAsia="en-US"/>
        </w:rPr>
      </w:pPr>
      <w:r w:rsidRPr="00EA03E5">
        <w:rPr>
          <w:rFonts w:eastAsia="Calibri"/>
          <w:noProof/>
          <w:szCs w:val="24"/>
          <w:lang w:eastAsia="en-GB"/>
        </w:rPr>
        <w:drawing>
          <wp:inline distT="0" distB="0" distL="0" distR="0" wp14:anchorId="1711B97D" wp14:editId="1E05ABFB">
            <wp:extent cx="2057400" cy="2200275"/>
            <wp:effectExtent l="0" t="0" r="0" b="9525"/>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7400" cy="2200275"/>
                    </a:xfrm>
                    <a:prstGeom prst="rect">
                      <a:avLst/>
                    </a:prstGeom>
                    <a:noFill/>
                    <a:ln>
                      <a:noFill/>
                    </a:ln>
                  </pic:spPr>
                </pic:pic>
              </a:graphicData>
            </a:graphic>
          </wp:inline>
        </w:drawing>
      </w:r>
    </w:p>
    <w:p w14:paraId="6766E984" w14:textId="77777777" w:rsidR="002A2731" w:rsidRPr="00EA03E5" w:rsidRDefault="002A2731" w:rsidP="002A2731">
      <w:pPr>
        <w:spacing w:before="0" w:after="200"/>
        <w:ind w:left="2880"/>
        <w:rPr>
          <w:rFonts w:eastAsia="Calibri"/>
          <w:i/>
          <w:iCs/>
          <w:color w:val="44546A"/>
          <w:szCs w:val="24"/>
          <w:lang w:val="en-US" w:eastAsia="en-US"/>
        </w:rPr>
      </w:pPr>
      <w:bookmarkStart w:id="201" w:name="_Toc9609231"/>
      <w:bookmarkStart w:id="202" w:name="_Toc8385063"/>
      <w:bookmarkStart w:id="203" w:name="_Toc8382789"/>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31</w:t>
      </w:r>
      <w:r w:rsidRPr="00EA03E5">
        <w:rPr>
          <w:rFonts w:eastAsia="Arial Unicode MS"/>
          <w:szCs w:val="24"/>
          <w:lang w:val="en-US" w:eastAsia="en-US"/>
        </w:rPr>
        <w:fldChar w:fldCharType="end"/>
      </w:r>
      <w:r w:rsidRPr="00EA03E5">
        <w:rPr>
          <w:rFonts w:eastAsia="Calibri"/>
          <w:i/>
          <w:iCs/>
          <w:color w:val="44546A"/>
          <w:szCs w:val="24"/>
          <w:lang w:val="en-US" w:eastAsia="en-US"/>
        </w:rPr>
        <w:t>: Target Attack Intent and Target Protection Attack Intent models</w:t>
      </w:r>
      <w:bookmarkEnd w:id="201"/>
      <w:bookmarkEnd w:id="202"/>
      <w:bookmarkEnd w:id="203"/>
    </w:p>
    <w:p w14:paraId="721949DD" w14:textId="77777777" w:rsidR="002A2731" w:rsidRPr="00EA03E5" w:rsidRDefault="002A2731" w:rsidP="002A2731">
      <w:pPr>
        <w:spacing w:before="0"/>
        <w:rPr>
          <w:rFonts w:eastAsia="Calibri"/>
          <w:szCs w:val="24"/>
          <w:lang w:val="en-US" w:eastAsia="en-US"/>
        </w:rPr>
      </w:pPr>
      <w:r w:rsidRPr="00EA03E5">
        <w:rPr>
          <w:rFonts w:eastAsia="Calibri"/>
          <w:szCs w:val="24"/>
          <w:lang w:val="en-US" w:eastAsia="en-US"/>
        </w:rPr>
        <w:lastRenderedPageBreak/>
        <w:br w:type="page"/>
      </w:r>
    </w:p>
    <w:p w14:paraId="4F33861D" w14:textId="77777777" w:rsidR="002A2731" w:rsidRPr="00EA03E5" w:rsidRDefault="002A2731" w:rsidP="002A2731">
      <w:pPr>
        <w:keepNext/>
        <w:keepLines/>
        <w:numPr>
          <w:ilvl w:val="1"/>
          <w:numId w:val="27"/>
        </w:numPr>
        <w:tabs>
          <w:tab w:val="left" w:pos="720"/>
        </w:tabs>
        <w:spacing w:before="360" w:after="240" w:line="260" w:lineRule="atLeast"/>
        <w:ind w:left="720"/>
        <w:jc w:val="both"/>
        <w:outlineLvl w:val="1"/>
        <w:rPr>
          <w:rFonts w:eastAsia="Calibri"/>
          <w:b/>
          <w:bCs/>
          <w:kern w:val="32"/>
          <w:szCs w:val="24"/>
          <w:lang w:val="en-US" w:eastAsia="en-US"/>
        </w:rPr>
      </w:pPr>
      <w:bookmarkStart w:id="204" w:name="_Toc9609188"/>
      <w:r w:rsidRPr="00EA03E5">
        <w:rPr>
          <w:rFonts w:eastAsia="Calibri"/>
          <w:b/>
          <w:bCs/>
          <w:kern w:val="32"/>
          <w:szCs w:val="24"/>
          <w:lang w:val="en-US" w:eastAsia="en-US"/>
        </w:rPr>
        <w:lastRenderedPageBreak/>
        <w:t>Threat | Target | Protection Assurance Expression Model</w:t>
      </w:r>
      <w:bookmarkEnd w:id="204"/>
    </w:p>
    <w:p w14:paraId="06ACF6DB"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The two threat vector expression models illustrated in Figure 31 can be integrated with the Security Control and threat vectors Expression models to yield Protection Assurance Model illustrated in Figure 32.</w:t>
      </w:r>
    </w:p>
    <w:p w14:paraId="3486EDC0"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TTP Model has 4 zones. </w:t>
      </w:r>
    </w:p>
    <w:p w14:paraId="375BAF73"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Upper left block is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which generates value. </w:t>
      </w:r>
    </w:p>
    <w:p w14:paraId="53669A4E"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Upper right block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block is where protection is provided to the </w:t>
      </w:r>
      <w:r w:rsidRPr="00EA03E5">
        <w:rPr>
          <w:rFonts w:eastAsia="Calibri"/>
          <w:b/>
          <w:color w:val="FFC000"/>
          <w:szCs w:val="24"/>
          <w:lang w:val="en-US" w:eastAsia="en-US"/>
        </w:rPr>
        <w:t>Target</w:t>
      </w:r>
      <w:r w:rsidRPr="00EA03E5">
        <w:rPr>
          <w:rFonts w:eastAsia="Calibri"/>
          <w:szCs w:val="24"/>
          <w:lang w:val="en-US" w:eastAsia="en-US"/>
        </w:rPr>
        <w:t>;</w:t>
      </w:r>
    </w:p>
    <w:p w14:paraId="223A7FC6"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Lower left block is a </w:t>
      </w:r>
      <w:r w:rsidRPr="00EA03E5">
        <w:rPr>
          <w:rFonts w:eastAsia="Calibri"/>
          <w:b/>
          <w:color w:val="C00000"/>
          <w:szCs w:val="24"/>
          <w:lang w:val="en-US" w:eastAsia="en-US"/>
        </w:rPr>
        <w:t>Threat Block</w:t>
      </w:r>
      <w:r w:rsidRPr="00EA03E5">
        <w:rPr>
          <w:rFonts w:eastAsia="Calibri"/>
          <w:szCs w:val="24"/>
          <w:lang w:val="en-US" w:eastAsia="en-US"/>
        </w:rPr>
        <w:t xml:space="preserve"> attacking the </w:t>
      </w:r>
      <w:r w:rsidRPr="00EA03E5">
        <w:rPr>
          <w:rFonts w:eastAsia="Calibri"/>
          <w:b/>
          <w:color w:val="FFC000"/>
          <w:szCs w:val="24"/>
          <w:lang w:val="en-US" w:eastAsia="en-US"/>
        </w:rPr>
        <w:t>Target</w:t>
      </w:r>
      <w:r w:rsidRPr="00EA03E5">
        <w:rPr>
          <w:rFonts w:eastAsia="Calibri"/>
          <w:szCs w:val="24"/>
          <w:lang w:val="en-US" w:eastAsia="en-US"/>
        </w:rPr>
        <w:t xml:space="preserve">; and </w:t>
      </w:r>
    </w:p>
    <w:p w14:paraId="394495D0"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Lower right block</w:t>
      </w:r>
      <w:r w:rsidRPr="00EA03E5">
        <w:rPr>
          <w:rFonts w:eastAsia="Calibri"/>
          <w:b/>
          <w:color w:val="C00000"/>
          <w:szCs w:val="24"/>
          <w:lang w:val="en-US" w:eastAsia="en-US"/>
        </w:rPr>
        <w:t xml:space="preserve"> </w:t>
      </w:r>
      <w:r w:rsidRPr="00EA03E5">
        <w:rPr>
          <w:rFonts w:eastAsia="Calibri"/>
          <w:szCs w:val="24"/>
          <w:lang w:val="en-US" w:eastAsia="en-US"/>
        </w:rPr>
        <w:t xml:space="preserve">is a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on the protection to the target -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p>
    <w:p w14:paraId="17341FF6" w14:textId="77777777" w:rsidR="002A2731" w:rsidRPr="00EA03E5" w:rsidRDefault="002A2731" w:rsidP="002A2731">
      <w:pPr>
        <w:spacing w:before="0" w:after="160" w:line="256" w:lineRule="auto"/>
        <w:rPr>
          <w:rFonts w:eastAsia="Calibri"/>
          <w:szCs w:val="24"/>
          <w:lang w:val="en-US" w:eastAsia="en-US"/>
        </w:rPr>
      </w:pPr>
    </w:p>
    <w:p w14:paraId="45BADA36"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The arrows between the blocks indicate the essential relationships:</w:t>
      </w:r>
    </w:p>
    <w:p w14:paraId="2C522C26"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FFC000"/>
          <w:szCs w:val="24"/>
          <w:lang w:val="en-US" w:eastAsia="en-US"/>
        </w:rPr>
        <w:t xml:space="preserve">Target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i/>
          <w:szCs w:val="24"/>
          <w:lang w:val="en-US" w:eastAsia="en-US"/>
        </w:rPr>
        <w:t>directed</w:t>
      </w:r>
      <w:r w:rsidRPr="00EA03E5">
        <w:rPr>
          <w:rFonts w:eastAsia="Calibri"/>
          <w:szCs w:val="24"/>
          <w:lang w:val="en-US" w:eastAsia="en-US"/>
        </w:rPr>
        <w:t xml:space="preserve"> to </w:t>
      </w:r>
      <w:r w:rsidRPr="00EA03E5">
        <w:rPr>
          <w:rFonts w:eastAsia="Calibri"/>
          <w:b/>
          <w:color w:val="FFC000"/>
          <w:szCs w:val="24"/>
          <w:lang w:val="en-US" w:eastAsia="en-US"/>
        </w:rPr>
        <w:t>Target</w:t>
      </w:r>
    </w:p>
    <w:p w14:paraId="6774822C"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0000FF"/>
          <w:szCs w:val="24"/>
          <w:lang w:val="en-US" w:eastAsia="en-US"/>
        </w:rPr>
        <w:t xml:space="preserve">Protection </w:t>
      </w:r>
      <w:r w:rsidRPr="00EA03E5">
        <w:rPr>
          <w:rFonts w:eastAsia="Calibri"/>
          <w:b/>
          <w:color w:val="FF0000"/>
          <w:szCs w:val="24"/>
          <w:lang w:val="en-US" w:eastAsia="en-US"/>
        </w:rPr>
        <w:t>Attack</w:t>
      </w:r>
      <w:r w:rsidRPr="00EA03E5">
        <w:rPr>
          <w:rFonts w:eastAsia="Calibri"/>
          <w:color w:val="FF0000"/>
          <w:szCs w:val="24"/>
          <w:lang w:val="en-US" w:eastAsia="en-US"/>
        </w:rPr>
        <w:t xml:space="preserve"> </w:t>
      </w:r>
      <w:r w:rsidRPr="00EA03E5">
        <w:rPr>
          <w:rFonts w:eastAsia="Calibri"/>
          <w:i/>
          <w:szCs w:val="24"/>
          <w:lang w:val="en-US" w:eastAsia="en-US"/>
        </w:rPr>
        <w:t>directed</w:t>
      </w:r>
      <w:r w:rsidRPr="00EA03E5">
        <w:rPr>
          <w:rFonts w:eastAsia="Calibri"/>
          <w:szCs w:val="24"/>
          <w:lang w:val="en-US" w:eastAsia="en-US"/>
        </w:rPr>
        <w:t xml:space="preserve"> to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p>
    <w:p w14:paraId="7BB2C00D"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i/>
          <w:szCs w:val="24"/>
          <w:lang w:val="en-US" w:eastAsia="en-US"/>
        </w:rPr>
        <w:t xml:space="preserve"> is applied to:</w:t>
      </w:r>
    </w:p>
    <w:p w14:paraId="137EAC69"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b/>
          <w:color w:val="FFC000"/>
          <w:szCs w:val="24"/>
          <w:lang w:val="en-US" w:eastAsia="en-US"/>
        </w:rPr>
        <w:t xml:space="preserve">Target </w:t>
      </w:r>
      <w:r w:rsidRPr="00EA03E5">
        <w:rPr>
          <w:rFonts w:eastAsia="Calibri"/>
          <w:i/>
          <w:szCs w:val="24"/>
          <w:lang w:val="en-US" w:eastAsia="en-US"/>
        </w:rPr>
        <w:t>in the form of preventive controls such as encryption of Data</w:t>
      </w:r>
    </w:p>
    <w:p w14:paraId="7DA8EB04"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i/>
          <w:szCs w:val="24"/>
          <w:lang w:val="en-US" w:eastAsia="en-US"/>
        </w:rPr>
        <w:t xml:space="preserve">Counter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C00000"/>
          <w:szCs w:val="24"/>
          <w:lang w:val="en-US" w:eastAsia="en-US"/>
        </w:rPr>
        <w:t>Attacks</w:t>
      </w:r>
      <w:r w:rsidRPr="00EA03E5">
        <w:rPr>
          <w:rFonts w:eastAsia="Calibri"/>
          <w:b/>
          <w:color w:val="FFC000"/>
          <w:szCs w:val="24"/>
          <w:lang w:val="en-US" w:eastAsia="en-US"/>
        </w:rPr>
        <w:t xml:space="preserve"> </w:t>
      </w:r>
      <w:r w:rsidRPr="00EA03E5">
        <w:rPr>
          <w:rFonts w:eastAsia="Calibri"/>
          <w:szCs w:val="24"/>
          <w:lang w:val="en-US" w:eastAsia="en-US"/>
        </w:rPr>
        <w:t>on</w:t>
      </w:r>
      <w:r w:rsidRPr="00EA03E5">
        <w:rPr>
          <w:rFonts w:eastAsia="Calibri"/>
          <w:b/>
          <w:color w:val="FFC000"/>
          <w:szCs w:val="24"/>
          <w:lang w:val="en-US" w:eastAsia="en-US"/>
        </w:rPr>
        <w:t xml:space="preserve"> Targets</w:t>
      </w:r>
      <w:r w:rsidRPr="00EA03E5">
        <w:rPr>
          <w:rFonts w:eastAsia="Calibri"/>
          <w:szCs w:val="24"/>
          <w:lang w:val="en-US" w:eastAsia="en-US"/>
        </w:rPr>
        <w:t xml:space="preserve"> in the form of detective controls;  </w:t>
      </w:r>
    </w:p>
    <w:p w14:paraId="544D0578"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i/>
          <w:szCs w:val="24"/>
          <w:lang w:val="en-US" w:eastAsia="en-US"/>
        </w:rPr>
        <w:t>C</w:t>
      </w:r>
      <w:r w:rsidRPr="00EA03E5">
        <w:rPr>
          <w:rFonts w:eastAsia="Calibri"/>
          <w:szCs w:val="24"/>
          <w:lang w:val="en-US" w:eastAsia="en-US"/>
        </w:rPr>
        <w:t xml:space="preserve">ounter </w:t>
      </w:r>
      <w:r w:rsidRPr="00EA03E5">
        <w:rPr>
          <w:rFonts w:eastAsia="Calibri"/>
          <w:b/>
          <w:color w:val="0000FF"/>
          <w:szCs w:val="24"/>
          <w:lang w:val="en-US" w:eastAsia="en-US"/>
        </w:rPr>
        <w:t xml:space="preserve">Protection </w:t>
      </w:r>
      <w:r w:rsidRPr="00EA03E5">
        <w:rPr>
          <w:rFonts w:eastAsia="Calibri"/>
          <w:b/>
          <w:color w:val="FF0000"/>
          <w:szCs w:val="24"/>
          <w:lang w:val="en-US" w:eastAsia="en-US"/>
        </w:rPr>
        <w:t>Attacks</w:t>
      </w:r>
      <w:r w:rsidRPr="00EA03E5">
        <w:rPr>
          <w:rFonts w:eastAsia="Calibri"/>
          <w:b/>
          <w:color w:val="FFC000"/>
          <w:szCs w:val="24"/>
          <w:lang w:val="en-US" w:eastAsia="en-US"/>
        </w:rPr>
        <w:t xml:space="preserve"> </w:t>
      </w:r>
      <w:r w:rsidRPr="00EA03E5">
        <w:rPr>
          <w:rFonts w:eastAsia="Calibri"/>
          <w:i/>
          <w:szCs w:val="24"/>
          <w:lang w:val="en-US" w:eastAsia="en-US"/>
        </w:rPr>
        <w:t xml:space="preserve">to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also in the form of detective controls</w:t>
      </w:r>
    </w:p>
    <w:p w14:paraId="29D7A0BD" w14:textId="77777777" w:rsidR="002A2731" w:rsidRPr="00EA03E5" w:rsidRDefault="002A2731" w:rsidP="002A2731">
      <w:pPr>
        <w:spacing w:before="0" w:after="160" w:line="256" w:lineRule="auto"/>
        <w:ind w:left="720"/>
        <w:contextualSpacing/>
        <w:rPr>
          <w:rFonts w:eastAsia="Calibri"/>
          <w:szCs w:val="24"/>
          <w:lang w:val="en-US" w:eastAsia="en-US"/>
        </w:rPr>
      </w:pPr>
    </w:p>
    <w:p w14:paraId="503E4BD3" w14:textId="77777777" w:rsidR="002A2731" w:rsidRPr="00EA03E5" w:rsidRDefault="002A2731" w:rsidP="002A2731">
      <w:pPr>
        <w:spacing w:before="0" w:after="160" w:line="256" w:lineRule="auto"/>
        <w:contextualSpacing/>
        <w:rPr>
          <w:rFonts w:eastAsia="Calibri"/>
          <w:szCs w:val="24"/>
          <w:lang w:val="en-US" w:eastAsia="en-US"/>
        </w:rPr>
      </w:pPr>
      <w:r w:rsidRPr="00EA03E5">
        <w:rPr>
          <w:rFonts w:eastAsia="Calibri"/>
          <w:szCs w:val="24"/>
          <w:lang w:val="en-US" w:eastAsia="en-US"/>
        </w:rPr>
        <w:t>Note the following about the model:</w:t>
      </w:r>
    </w:p>
    <w:p w14:paraId="00EFBD57" w14:textId="77777777" w:rsidR="002A2731" w:rsidRPr="00EA03E5" w:rsidRDefault="002A2731" w:rsidP="002A2731">
      <w:pPr>
        <w:keepLines/>
        <w:numPr>
          <w:ilvl w:val="0"/>
          <w:numId w:val="31"/>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Threats consider relate to both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and to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yielding a high assurance model which considers the strength of the security in maintaining its protection of the Target. </w:t>
      </w:r>
    </w:p>
    <w:p w14:paraId="083F645D" w14:textId="77777777" w:rsidR="002A2731" w:rsidRPr="00EA03E5" w:rsidRDefault="002A2731" w:rsidP="002A2731">
      <w:pPr>
        <w:keepLines/>
        <w:numPr>
          <w:ilvl w:val="0"/>
          <w:numId w:val="31"/>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Protection is achieved by Security being applied to protect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intrinsically like encrypt the data or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applied to detect and prevent attacks on the Target and to its protection. </w:t>
      </w:r>
    </w:p>
    <w:p w14:paraId="02F9E848" w14:textId="77777777" w:rsidR="002A2731" w:rsidRPr="00EA03E5" w:rsidRDefault="002A2731" w:rsidP="002A2731">
      <w:pPr>
        <w:spacing w:before="0" w:after="160" w:line="256" w:lineRule="auto"/>
        <w:ind w:left="720"/>
        <w:contextualSpacing/>
        <w:rPr>
          <w:rFonts w:eastAsia="Calibri"/>
          <w:szCs w:val="24"/>
          <w:lang w:val="en-US" w:eastAsia="en-US"/>
        </w:rPr>
      </w:pPr>
    </w:p>
    <w:p w14:paraId="4850BC61" w14:textId="77777777" w:rsidR="002A2731" w:rsidRPr="00EA03E5" w:rsidRDefault="002A2731" w:rsidP="002A2731">
      <w:pPr>
        <w:keepNext/>
        <w:spacing w:before="0" w:after="160" w:line="256" w:lineRule="auto"/>
        <w:ind w:left="540"/>
        <w:rPr>
          <w:rFonts w:eastAsia="Calibri"/>
          <w:szCs w:val="24"/>
          <w:lang w:val="en-US" w:eastAsia="en-US"/>
        </w:rPr>
      </w:pPr>
      <w:r w:rsidRPr="00EA03E5">
        <w:rPr>
          <w:rFonts w:eastAsia="Calibri"/>
          <w:noProof/>
          <w:szCs w:val="24"/>
          <w:lang w:eastAsia="en-GB"/>
        </w:rPr>
        <w:drawing>
          <wp:inline distT="0" distB="0" distL="0" distR="0" wp14:anchorId="5AA37F2B" wp14:editId="4D527D4C">
            <wp:extent cx="5238750" cy="2009775"/>
            <wp:effectExtent l="0" t="0" r="0" b="9525"/>
            <wp:docPr id="1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8750" cy="2009775"/>
                    </a:xfrm>
                    <a:prstGeom prst="rect">
                      <a:avLst/>
                    </a:prstGeom>
                    <a:noFill/>
                    <a:ln>
                      <a:noFill/>
                    </a:ln>
                  </pic:spPr>
                </pic:pic>
              </a:graphicData>
            </a:graphic>
          </wp:inline>
        </w:drawing>
      </w:r>
    </w:p>
    <w:p w14:paraId="5C57A97F" w14:textId="77777777" w:rsidR="002A2731" w:rsidRPr="00EA03E5" w:rsidRDefault="002A2731" w:rsidP="002A2731">
      <w:pPr>
        <w:spacing w:before="0" w:after="200"/>
        <w:rPr>
          <w:rFonts w:eastAsia="Calibri"/>
          <w:i/>
          <w:iCs/>
          <w:color w:val="44546A"/>
          <w:szCs w:val="24"/>
          <w:lang w:val="en-US" w:eastAsia="en-US"/>
        </w:rPr>
      </w:pPr>
      <w:bookmarkStart w:id="205" w:name="_Toc9609232"/>
      <w:bookmarkStart w:id="206" w:name="_Toc8385064"/>
      <w:bookmarkStart w:id="207" w:name="_Toc8382790"/>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32</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Security Block Model</w:t>
      </w:r>
      <w:bookmarkEnd w:id="205"/>
      <w:bookmarkEnd w:id="206"/>
      <w:bookmarkEnd w:id="207"/>
    </w:p>
    <w:p w14:paraId="2A0E548A"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Each block in Figure 32 is decomposed into the logical constituents required to affect the purpose of each block - generate value, provide protection, execute an attack on target and/or its protection. </w:t>
      </w:r>
      <w:r w:rsidRPr="00EA03E5">
        <w:rPr>
          <w:rFonts w:eastAsia="Calibri"/>
          <w:szCs w:val="24"/>
          <w:lang w:val="en-US" w:eastAsia="en-US"/>
        </w:rPr>
        <w:lastRenderedPageBreak/>
        <w:t>The Security Control Expression Model of Figure 27 is the top portion of the Protection Assurance Model of Figure 32 while the bottom portion is represented the two Threat Attack Expression models of Figure 31.</w:t>
      </w:r>
    </w:p>
    <w:p w14:paraId="02CDFF17" w14:textId="77777777" w:rsidR="002A2731" w:rsidRPr="00EA03E5" w:rsidRDefault="002A2731" w:rsidP="002A2731">
      <w:pPr>
        <w:spacing w:before="0" w:after="160" w:line="256" w:lineRule="auto"/>
        <w:rPr>
          <w:rFonts w:eastAsia="Calibri"/>
          <w:szCs w:val="24"/>
          <w:lang w:val="en-US" w:eastAsia="en-US"/>
        </w:rPr>
      </w:pPr>
    </w:p>
    <w:p w14:paraId="33BFB760" w14:textId="77777777" w:rsidR="002A2731" w:rsidRPr="00EA03E5" w:rsidRDefault="002A2731" w:rsidP="002A2731">
      <w:pPr>
        <w:spacing w:before="0" w:after="160" w:line="256" w:lineRule="auto"/>
        <w:rPr>
          <w:rFonts w:eastAsia="Calibri"/>
          <w:szCs w:val="24"/>
          <w:lang w:val="en-US" w:eastAsia="en-US"/>
        </w:rPr>
      </w:pPr>
      <w:r w:rsidRPr="00EA03E5">
        <w:rPr>
          <w:rFonts w:eastAsia="Calibri"/>
          <w:noProof/>
          <w:szCs w:val="24"/>
          <w:lang w:eastAsia="en-GB"/>
        </w:rPr>
        <w:drawing>
          <wp:inline distT="0" distB="0" distL="0" distR="0" wp14:anchorId="709D9CEE" wp14:editId="699A4BDF">
            <wp:extent cx="5876925" cy="2143125"/>
            <wp:effectExtent l="0" t="0" r="9525" b="9525"/>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76925" cy="2143125"/>
                    </a:xfrm>
                    <a:prstGeom prst="rect">
                      <a:avLst/>
                    </a:prstGeom>
                    <a:noFill/>
                    <a:ln>
                      <a:noFill/>
                    </a:ln>
                  </pic:spPr>
                </pic:pic>
              </a:graphicData>
            </a:graphic>
          </wp:inline>
        </w:drawing>
      </w:r>
    </w:p>
    <w:p w14:paraId="5CEAA32F" w14:textId="77777777" w:rsidR="002A2731" w:rsidRPr="00EA03E5" w:rsidRDefault="002A2731" w:rsidP="002A2731">
      <w:pPr>
        <w:spacing w:before="0" w:after="200"/>
        <w:ind w:left="720"/>
        <w:rPr>
          <w:rFonts w:eastAsia="Calibri"/>
          <w:i/>
          <w:iCs/>
          <w:color w:val="44546A"/>
          <w:szCs w:val="24"/>
          <w:lang w:val="en-US" w:eastAsia="en-US"/>
        </w:rPr>
      </w:pPr>
      <w:bookmarkStart w:id="208" w:name="_Toc9609233"/>
      <w:bookmarkStart w:id="209" w:name="_Toc8385066"/>
      <w:bookmarkStart w:id="210" w:name="_Toc8382792"/>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34</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Protection Assurance Model</w:t>
      </w:r>
      <w:bookmarkEnd w:id="208"/>
      <w:bookmarkEnd w:id="209"/>
      <w:bookmarkEnd w:id="210"/>
    </w:p>
    <w:p w14:paraId="30833398"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Protection Assurance Model in full text is illustrated in Figure 35 can be “read” within each of the four blocks following the dotted line and between each block following the solid lines, as follows: </w:t>
      </w:r>
    </w:p>
    <w:p w14:paraId="345F08D0" w14:textId="77777777" w:rsidR="002A2731" w:rsidRPr="00EA03E5" w:rsidRDefault="002A2731" w:rsidP="002A2731">
      <w:pPr>
        <w:keepLines/>
        <w:numPr>
          <w:ilvl w:val="0"/>
          <w:numId w:val="32"/>
        </w:numPr>
        <w:spacing w:before="0" w:after="160" w:line="256" w:lineRule="auto"/>
        <w:contextualSpacing/>
        <w:jc w:val="both"/>
        <w:rPr>
          <w:rFonts w:eastAsia="Calibri"/>
          <w:color w:val="FFC000"/>
          <w:szCs w:val="24"/>
          <w:lang w:val="en-US" w:eastAsia="en-US"/>
        </w:rPr>
      </w:pPr>
      <w:r w:rsidRPr="00EA03E5">
        <w:rPr>
          <w:rFonts w:eastAsia="Calibri"/>
          <w:b/>
          <w:szCs w:val="24"/>
          <w:lang w:val="en-US" w:eastAsia="en-US"/>
        </w:rPr>
        <w:t xml:space="preserve">Top Left </w:t>
      </w:r>
      <w:r w:rsidRPr="00EA03E5">
        <w:rPr>
          <w:rFonts w:eastAsia="Calibri"/>
          <w:b/>
          <w:color w:val="FFC000"/>
          <w:szCs w:val="24"/>
          <w:lang w:val="en-US" w:eastAsia="en-US"/>
        </w:rPr>
        <w:t xml:space="preserve">Value </w:t>
      </w:r>
      <w:r w:rsidRPr="00EA03E5">
        <w:rPr>
          <w:rFonts w:eastAsia="Calibri"/>
          <w:b/>
          <w:szCs w:val="24"/>
          <w:lang w:val="en-US" w:eastAsia="en-US"/>
        </w:rPr>
        <w:t>Blocks</w:t>
      </w:r>
      <w:r w:rsidRPr="00EA03E5">
        <w:rPr>
          <w:rFonts w:eastAsia="Calibri"/>
          <w:szCs w:val="24"/>
          <w:lang w:val="en-US" w:eastAsia="en-US"/>
        </w:rPr>
        <w:t xml:space="preserve">: A </w:t>
      </w:r>
      <w:r w:rsidRPr="00EA03E5">
        <w:rPr>
          <w:rFonts w:eastAsia="Calibri"/>
          <w:b/>
          <w:color w:val="FFC000"/>
          <w:szCs w:val="24"/>
          <w:lang w:val="en-US" w:eastAsia="en-US"/>
        </w:rPr>
        <w:t>business asset</w:t>
      </w:r>
      <w:r w:rsidRPr="00EA03E5">
        <w:rPr>
          <w:rFonts w:eastAsia="Calibri"/>
          <w:color w:val="FFC000"/>
          <w:szCs w:val="24"/>
          <w:lang w:val="en-US" w:eastAsia="en-US"/>
        </w:rPr>
        <w:t xml:space="preserve"> </w:t>
      </w:r>
      <w:r w:rsidRPr="00EA03E5">
        <w:rPr>
          <w:rFonts w:eastAsia="Calibri"/>
          <w:szCs w:val="24"/>
          <w:lang w:val="en-US" w:eastAsia="en-US"/>
        </w:rPr>
        <w:t xml:space="preserve">is generating value by its software </w:t>
      </w:r>
      <w:r w:rsidRPr="00EA03E5">
        <w:rPr>
          <w:rFonts w:eastAsia="Calibri"/>
          <w:b/>
          <w:color w:val="FFC000"/>
          <w:szCs w:val="24"/>
          <w:lang w:val="en-US" w:eastAsia="en-US"/>
        </w:rPr>
        <w:t>Application</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a</w:t>
      </w:r>
      <w:r w:rsidRPr="00EA03E5">
        <w:rPr>
          <w:rFonts w:eastAsia="Calibri"/>
          <w:szCs w:val="24"/>
          <w:lang w:val="en-US" w:eastAsia="en-US"/>
        </w:rPr>
        <w:t xml:space="preserve">) executing as designed and intended with its business </w:t>
      </w:r>
      <w:r w:rsidRPr="00EA03E5">
        <w:rPr>
          <w:rFonts w:eastAsia="Calibri"/>
          <w:b/>
          <w:color w:val="FFC000"/>
          <w:szCs w:val="24"/>
          <w:lang w:val="en-US" w:eastAsia="en-US"/>
        </w:rPr>
        <w:t>Content</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c</w:t>
      </w:r>
      <w:r w:rsidRPr="00EA03E5">
        <w:rPr>
          <w:rFonts w:eastAsia="Calibri"/>
          <w:szCs w:val="24"/>
          <w:lang w:val="en-US" w:eastAsia="en-US"/>
        </w:rPr>
        <w:t xml:space="preserve">) and executing on an IT host </w:t>
      </w:r>
      <w:r w:rsidRPr="00EA03E5">
        <w:rPr>
          <w:rFonts w:eastAsia="Calibri"/>
          <w:b/>
          <w:color w:val="FFC000"/>
          <w:szCs w:val="24"/>
          <w:lang w:val="en-US" w:eastAsia="en-US"/>
        </w:rPr>
        <w:t>Subject</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s</w:t>
      </w:r>
      <w:r w:rsidRPr="00EA03E5">
        <w:rPr>
          <w:rFonts w:eastAsia="Calibri"/>
          <w:szCs w:val="24"/>
          <w:lang w:val="en-US" w:eastAsia="en-US"/>
        </w:rPr>
        <w:t>) each of which becomes a potential Target;</w:t>
      </w:r>
    </w:p>
    <w:p w14:paraId="3CE1EF0D"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Left </w:t>
      </w:r>
      <w:r w:rsidRPr="00EA03E5">
        <w:rPr>
          <w:rFonts w:eastAsia="Calibri"/>
          <w:b/>
          <w:color w:val="FFC000"/>
          <w:szCs w:val="24"/>
          <w:lang w:val="en-US" w:eastAsia="en-US"/>
        </w:rPr>
        <w:t>Value</w:t>
      </w:r>
      <w:r w:rsidRPr="00EA03E5">
        <w:rPr>
          <w:rFonts w:eastAsia="Calibri"/>
          <w:color w:val="FFC000"/>
          <w:szCs w:val="24"/>
          <w:lang w:val="en-US" w:eastAsia="en-US"/>
        </w:rPr>
        <w:t xml:space="preserve"> </w:t>
      </w:r>
      <w:r w:rsidRPr="00EA03E5">
        <w:rPr>
          <w:rFonts w:eastAsia="Calibri"/>
          <w:szCs w:val="24"/>
          <w:lang w:val="en-US" w:eastAsia="en-US"/>
        </w:rPr>
        <w:t>Block protected by</w:t>
      </w:r>
      <w:r w:rsidRPr="00EA03E5">
        <w:rPr>
          <w:rFonts w:eastAsia="Calibri"/>
          <w:b/>
          <w:szCs w:val="24"/>
          <w:lang w:val="en-US" w:eastAsia="en-US"/>
        </w:rPr>
        <w:t xml:space="preserve"> Top Right </w:t>
      </w:r>
      <w:r w:rsidRPr="00EA03E5">
        <w:rPr>
          <w:rFonts w:eastAsia="Calibri"/>
          <w:b/>
          <w:color w:val="0000FF"/>
          <w:szCs w:val="24"/>
          <w:lang w:val="en-US" w:eastAsia="en-US"/>
        </w:rPr>
        <w:t>Security Blocks</w:t>
      </w:r>
      <w:r w:rsidRPr="00EA03E5">
        <w:rPr>
          <w:rFonts w:eastAsia="Calibri"/>
          <w:szCs w:val="24"/>
          <w:lang w:val="en-US" w:eastAsia="en-US"/>
        </w:rPr>
        <w:t xml:space="preserve">: Protection is delivered to a </w:t>
      </w:r>
      <w:r w:rsidRPr="00EA03E5">
        <w:rPr>
          <w:rFonts w:eastAsia="Calibri"/>
          <w:b/>
          <w:color w:val="FFC000"/>
          <w:szCs w:val="24"/>
          <w:lang w:val="en-US" w:eastAsia="en-US"/>
        </w:rPr>
        <w:t>Business Asset</w:t>
      </w:r>
      <w:r w:rsidRPr="00EA03E5">
        <w:rPr>
          <w:rFonts w:eastAsia="Calibri"/>
          <w:color w:val="FFC000"/>
          <w:szCs w:val="24"/>
          <w:lang w:val="en-US" w:eastAsia="en-US"/>
        </w:rPr>
        <w:t xml:space="preserve"> </w:t>
      </w:r>
      <w:r w:rsidRPr="00EA03E5">
        <w:rPr>
          <w:rFonts w:eastAsia="Calibri"/>
          <w:szCs w:val="24"/>
          <w:lang w:val="en-US" w:eastAsia="en-US"/>
        </w:rPr>
        <w:t xml:space="preserve">by a </w:t>
      </w:r>
      <w:r w:rsidRPr="00EA03E5">
        <w:rPr>
          <w:rFonts w:eastAsia="Calibri"/>
          <w:b/>
          <w:color w:val="0000FF"/>
          <w:szCs w:val="24"/>
          <w:lang w:val="en-US" w:eastAsia="en-US"/>
        </w:rPr>
        <w:t>Security Asset</w:t>
      </w:r>
      <w:r w:rsidRPr="00EA03E5">
        <w:rPr>
          <w:rFonts w:eastAsia="Calibri"/>
          <w:color w:val="0000FF"/>
          <w:szCs w:val="24"/>
          <w:lang w:val="en-US" w:eastAsia="en-US"/>
        </w:rPr>
        <w:t xml:space="preserve"> </w:t>
      </w:r>
      <w:r w:rsidRPr="00EA03E5">
        <w:rPr>
          <w:rFonts w:eastAsia="Calibri"/>
          <w:szCs w:val="24"/>
          <w:lang w:val="en-US" w:eastAsia="en-US"/>
        </w:rPr>
        <w:t xml:space="preserve">performing one or more </w:t>
      </w:r>
      <w:r w:rsidRPr="00EA03E5">
        <w:rPr>
          <w:rFonts w:eastAsia="Calibri"/>
          <w:b/>
          <w:color w:val="0000FF"/>
          <w:szCs w:val="24"/>
          <w:lang w:val="en-US" w:eastAsia="en-US"/>
        </w:rPr>
        <w:t>Security Techniques</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t</w:t>
      </w:r>
      <w:r w:rsidRPr="00EA03E5">
        <w:rPr>
          <w:rFonts w:eastAsia="Calibri"/>
          <w:szCs w:val="24"/>
          <w:lang w:val="en-US" w:eastAsia="en-US"/>
        </w:rPr>
        <w:t xml:space="preserve">), each technique requiring trusted </w:t>
      </w:r>
      <w:r w:rsidRPr="00EA03E5">
        <w:rPr>
          <w:rFonts w:eastAsia="Calibri"/>
          <w:b/>
          <w:color w:val="0000FF"/>
          <w:szCs w:val="24"/>
          <w:lang w:val="en-US" w:eastAsia="en-US"/>
        </w:rPr>
        <w:t>Security Content</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c</w:t>
      </w:r>
      <w:r w:rsidRPr="00EA03E5">
        <w:rPr>
          <w:rFonts w:eastAsia="Calibri"/>
          <w:szCs w:val="24"/>
          <w:lang w:val="en-US" w:eastAsia="en-US"/>
        </w:rPr>
        <w:t xml:space="preserve">) from a trusted </w:t>
      </w:r>
      <w:r w:rsidRPr="00EA03E5">
        <w:rPr>
          <w:rFonts w:eastAsia="Calibri"/>
          <w:b/>
          <w:color w:val="0000FF"/>
          <w:szCs w:val="24"/>
          <w:lang w:val="en-US" w:eastAsia="en-US"/>
        </w:rPr>
        <w:t>Security Source</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s</w:t>
      </w:r>
      <w:r w:rsidRPr="00EA03E5">
        <w:rPr>
          <w:rFonts w:eastAsia="Calibri"/>
          <w:szCs w:val="24"/>
          <w:lang w:val="en-US" w:eastAsia="en-US"/>
        </w:rPr>
        <w:t>);</w:t>
      </w:r>
    </w:p>
    <w:p w14:paraId="429C973F"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Left </w:t>
      </w:r>
      <w:r w:rsidRPr="00EA03E5">
        <w:rPr>
          <w:rFonts w:eastAsia="Calibri"/>
          <w:color w:val="FFC000"/>
          <w:szCs w:val="24"/>
          <w:lang w:val="en-US" w:eastAsia="en-US"/>
        </w:rPr>
        <w:t xml:space="preserve">Value </w:t>
      </w:r>
      <w:r w:rsidRPr="00EA03E5">
        <w:rPr>
          <w:rFonts w:eastAsia="Calibri"/>
          <w:szCs w:val="24"/>
          <w:lang w:val="en-US" w:eastAsia="en-US"/>
        </w:rPr>
        <w:t xml:space="preserve">Blocks attacked by </w:t>
      </w:r>
      <w:r w:rsidRPr="00EA03E5">
        <w:rPr>
          <w:rFonts w:eastAsia="Calibri"/>
          <w:b/>
          <w:szCs w:val="24"/>
          <w:lang w:val="en-US" w:eastAsia="en-US"/>
        </w:rPr>
        <w:t xml:space="preserve">Bottom Left </w:t>
      </w:r>
      <w:r w:rsidRPr="00EA03E5">
        <w:rPr>
          <w:rFonts w:eastAsia="Calibri"/>
          <w:b/>
          <w:color w:val="C00000"/>
          <w:szCs w:val="24"/>
          <w:lang w:val="en-US" w:eastAsia="en-US"/>
        </w:rPr>
        <w:t>Attack Blocks</w:t>
      </w:r>
      <w:r w:rsidRPr="00EA03E5">
        <w:rPr>
          <w:rFonts w:eastAsia="Calibri"/>
          <w:szCs w:val="24"/>
          <w:lang w:val="en-US" w:eastAsia="en-US"/>
        </w:rPr>
        <w:t xml:space="preserve">: A </w:t>
      </w:r>
      <w:r w:rsidRPr="00EA03E5">
        <w:rPr>
          <w:rFonts w:eastAsia="Calibri"/>
          <w:b/>
          <w:color w:val="FFC000"/>
          <w:szCs w:val="24"/>
          <w:lang w:val="en-US" w:eastAsia="en-US"/>
        </w:rPr>
        <w:t xml:space="preserve">Target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is executed by the </w:t>
      </w:r>
      <w:r w:rsidRPr="00EA03E5">
        <w:rPr>
          <w:rFonts w:eastAsia="Calibri"/>
          <w:b/>
          <w:color w:val="C00000"/>
          <w:szCs w:val="24"/>
          <w:lang w:val="en-US" w:eastAsia="en-US"/>
        </w:rPr>
        <w:t>Attack Delivery</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d</w:t>
      </w:r>
      <w:r w:rsidRPr="00EA03E5">
        <w:rPr>
          <w:rFonts w:eastAsia="Calibri"/>
          <w:szCs w:val="24"/>
          <w:lang w:val="en-US" w:eastAsia="en-US"/>
        </w:rPr>
        <w:t xml:space="preserve">) of the </w:t>
      </w:r>
      <w:r w:rsidRPr="00EA03E5">
        <w:rPr>
          <w:rFonts w:eastAsia="Calibri"/>
          <w:b/>
          <w:color w:val="C00000"/>
          <w:szCs w:val="24"/>
          <w:lang w:val="en-US" w:eastAsia="en-US"/>
        </w:rPr>
        <w:t>Attack Content</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c</w:t>
      </w:r>
      <w:r w:rsidRPr="00EA03E5">
        <w:rPr>
          <w:rFonts w:eastAsia="Calibri"/>
          <w:szCs w:val="24"/>
          <w:lang w:val="en-US" w:eastAsia="en-US"/>
        </w:rPr>
        <w:t xml:space="preserve">) to the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point of </w:t>
      </w:r>
      <w:r w:rsidRPr="00EA03E5">
        <w:rPr>
          <w:rFonts w:eastAsia="Calibri"/>
          <w:b/>
          <w:color w:val="C00000"/>
          <w:szCs w:val="24"/>
          <w:lang w:val="en-US" w:eastAsia="en-US"/>
        </w:rPr>
        <w:t>Exploitation</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e</w:t>
      </w:r>
      <w:r w:rsidRPr="00EA03E5">
        <w:rPr>
          <w:rFonts w:eastAsia="Calibri"/>
          <w:szCs w:val="24"/>
          <w:lang w:val="en-US" w:eastAsia="en-US"/>
        </w:rPr>
        <w:t>);</w:t>
      </w:r>
    </w:p>
    <w:p w14:paraId="0C631758"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Right </w:t>
      </w:r>
      <w:r w:rsidRPr="00EA03E5">
        <w:rPr>
          <w:rFonts w:eastAsia="Calibri"/>
          <w:b/>
          <w:color w:val="0000FF"/>
          <w:szCs w:val="24"/>
          <w:lang w:val="en-US" w:eastAsia="en-US"/>
        </w:rPr>
        <w:t>Protection Blocks</w:t>
      </w:r>
      <w:r w:rsidRPr="00EA03E5">
        <w:rPr>
          <w:rFonts w:eastAsia="Calibri"/>
          <w:color w:val="0000FF"/>
          <w:szCs w:val="24"/>
          <w:lang w:val="en-US" w:eastAsia="en-US"/>
        </w:rPr>
        <w:t xml:space="preserve"> </w:t>
      </w:r>
      <w:r w:rsidRPr="00EA03E5">
        <w:rPr>
          <w:rFonts w:eastAsia="Calibri"/>
          <w:szCs w:val="24"/>
          <w:lang w:val="en-US" w:eastAsia="en-US"/>
        </w:rPr>
        <w:t xml:space="preserve">attacked by </w:t>
      </w:r>
      <w:r w:rsidRPr="00EA03E5">
        <w:rPr>
          <w:rFonts w:eastAsia="Calibri"/>
          <w:b/>
          <w:szCs w:val="24"/>
          <w:lang w:val="en-US" w:eastAsia="en-US"/>
        </w:rPr>
        <w:t xml:space="preserve">Bottom Right </w:t>
      </w:r>
      <w:r w:rsidRPr="00EA03E5">
        <w:rPr>
          <w:rFonts w:eastAsia="Calibri"/>
          <w:b/>
          <w:color w:val="FF0000"/>
          <w:szCs w:val="24"/>
          <w:lang w:val="en-US" w:eastAsia="en-US"/>
        </w:rPr>
        <w:t>Attack Blocks</w:t>
      </w:r>
      <w:r w:rsidRPr="00EA03E5">
        <w:rPr>
          <w:rFonts w:eastAsia="Calibri"/>
          <w:szCs w:val="24"/>
          <w:lang w:val="en-US" w:eastAsia="en-US"/>
        </w:rPr>
        <w:t xml:space="preserve">: A </w:t>
      </w:r>
      <w:r w:rsidRPr="00EA03E5">
        <w:rPr>
          <w:rFonts w:eastAsia="Calibri"/>
          <w:b/>
          <w:color w:val="0000FF"/>
          <w:szCs w:val="24"/>
          <w:lang w:val="en-US" w:eastAsia="en-US"/>
        </w:rPr>
        <w:t xml:space="preserve">Target Protection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is executed by the </w:t>
      </w:r>
      <w:r w:rsidRPr="00EA03E5">
        <w:rPr>
          <w:rFonts w:eastAsia="Calibri"/>
          <w:b/>
          <w:color w:val="FF0000"/>
          <w:szCs w:val="24"/>
          <w:lang w:val="en-US" w:eastAsia="en-US"/>
        </w:rPr>
        <w:t>Attack Delivery</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d</w:t>
      </w:r>
      <w:r w:rsidRPr="00EA03E5">
        <w:rPr>
          <w:rFonts w:eastAsia="Calibri"/>
          <w:szCs w:val="24"/>
          <w:lang w:val="en-US" w:eastAsia="en-US"/>
        </w:rPr>
        <w:t xml:space="preserve">) of the </w:t>
      </w:r>
      <w:r w:rsidRPr="00EA03E5">
        <w:rPr>
          <w:rFonts w:eastAsia="Calibri"/>
          <w:b/>
          <w:color w:val="FF0000"/>
          <w:szCs w:val="24"/>
          <w:lang w:val="en-US" w:eastAsia="en-US"/>
        </w:rPr>
        <w:t>Attack Content</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c</w:t>
      </w:r>
      <w:r w:rsidRPr="00EA03E5">
        <w:rPr>
          <w:rFonts w:eastAsia="Calibri"/>
          <w:szCs w:val="24"/>
          <w:lang w:val="en-US" w:eastAsia="en-US"/>
        </w:rPr>
        <w:t xml:space="preserve">) to the </w:t>
      </w:r>
      <w:r w:rsidRPr="00EA03E5">
        <w:rPr>
          <w:rFonts w:eastAsia="Calibri"/>
          <w:b/>
          <w:color w:val="FF0000"/>
          <w:szCs w:val="24"/>
          <w:lang w:val="en-US" w:eastAsia="en-US"/>
        </w:rPr>
        <w:t>Attack</w:t>
      </w:r>
      <w:r w:rsidRPr="00EA03E5">
        <w:rPr>
          <w:rFonts w:eastAsia="Calibri"/>
          <w:color w:val="FF0000"/>
          <w:szCs w:val="24"/>
          <w:lang w:val="en-US" w:eastAsia="en-US"/>
        </w:rPr>
        <w:t xml:space="preserve"> </w:t>
      </w:r>
      <w:r w:rsidRPr="00EA03E5">
        <w:rPr>
          <w:rFonts w:eastAsia="Calibri"/>
          <w:szCs w:val="24"/>
          <w:lang w:val="en-US" w:eastAsia="en-US"/>
        </w:rPr>
        <w:t xml:space="preserve">point of </w:t>
      </w:r>
      <w:r w:rsidRPr="00EA03E5">
        <w:rPr>
          <w:rFonts w:eastAsia="Calibri"/>
          <w:b/>
          <w:color w:val="FF0000"/>
          <w:szCs w:val="24"/>
          <w:lang w:val="en-US" w:eastAsia="en-US"/>
        </w:rPr>
        <w:t>Exploitation</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e</w:t>
      </w:r>
      <w:r w:rsidRPr="00EA03E5">
        <w:rPr>
          <w:rFonts w:eastAsia="Calibri"/>
          <w:szCs w:val="24"/>
          <w:lang w:val="en-US" w:eastAsia="en-US"/>
        </w:rPr>
        <w:t>).</w:t>
      </w:r>
    </w:p>
    <w:p w14:paraId="50833B12" w14:textId="77777777" w:rsidR="002A2731" w:rsidRPr="00EA03E5" w:rsidRDefault="002A2731" w:rsidP="002A2731">
      <w:pPr>
        <w:spacing w:before="0" w:after="160" w:line="256" w:lineRule="auto"/>
        <w:rPr>
          <w:rFonts w:eastAsia="Calibri"/>
          <w:szCs w:val="24"/>
          <w:lang w:val="en-US" w:eastAsia="en-US"/>
        </w:rPr>
      </w:pPr>
    </w:p>
    <w:p w14:paraId="557E12E8" w14:textId="77777777" w:rsidR="002A2731" w:rsidRPr="00EA03E5" w:rsidRDefault="002A2731" w:rsidP="002A2731">
      <w:pPr>
        <w:spacing w:before="0" w:after="160" w:line="256" w:lineRule="auto"/>
        <w:rPr>
          <w:rFonts w:eastAsia="Calibri"/>
          <w:szCs w:val="24"/>
          <w:lang w:val="en-US" w:eastAsia="en-US"/>
        </w:rPr>
      </w:pPr>
      <w:r w:rsidRPr="00EA03E5">
        <w:rPr>
          <w:rFonts w:eastAsia="Calibri"/>
          <w:noProof/>
          <w:szCs w:val="24"/>
          <w:lang w:eastAsia="en-GB"/>
        </w:rPr>
        <w:lastRenderedPageBreak/>
        <w:drawing>
          <wp:inline distT="0" distB="0" distL="0" distR="0" wp14:anchorId="5F5D9C20" wp14:editId="253B69F8">
            <wp:extent cx="6067425" cy="2209800"/>
            <wp:effectExtent l="0" t="0" r="9525" b="0"/>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67425" cy="2209800"/>
                    </a:xfrm>
                    <a:prstGeom prst="rect">
                      <a:avLst/>
                    </a:prstGeom>
                    <a:noFill/>
                    <a:ln>
                      <a:noFill/>
                    </a:ln>
                  </pic:spPr>
                </pic:pic>
              </a:graphicData>
            </a:graphic>
          </wp:inline>
        </w:drawing>
      </w:r>
    </w:p>
    <w:p w14:paraId="60A8214D" w14:textId="77777777" w:rsidR="002A2731" w:rsidRPr="00EA03E5" w:rsidRDefault="002A2731" w:rsidP="002A2731">
      <w:pPr>
        <w:spacing w:before="0" w:after="200"/>
        <w:rPr>
          <w:rFonts w:eastAsia="Calibri"/>
          <w:i/>
          <w:iCs/>
          <w:color w:val="44546A"/>
          <w:szCs w:val="24"/>
          <w:lang w:val="en-US" w:eastAsia="en-US"/>
        </w:rPr>
      </w:pPr>
      <w:bookmarkStart w:id="211" w:name="_Toc9609234"/>
      <w:bookmarkStart w:id="212" w:name="_Toc8385067"/>
      <w:bookmarkStart w:id="213" w:name="_Toc8382793"/>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35</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Protection Model in Full Text with Nomenclature</w:t>
      </w:r>
      <w:bookmarkEnd w:id="211"/>
      <w:bookmarkEnd w:id="212"/>
      <w:bookmarkEnd w:id="213"/>
    </w:p>
    <w:p w14:paraId="2D126AB4"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Integrating Attack Threat Expressions with Security Control Expressions into a Threat |Target | Protection Assurance model provides an ability to build fully integrated constructs of business Targets, how they can be attacked and how they should be Protected.</w:t>
      </w:r>
    </w:p>
    <w:p w14:paraId="36944C2A" w14:textId="77777777" w:rsidR="002A2731" w:rsidRPr="00EA03E5" w:rsidRDefault="002A2731" w:rsidP="002A2731">
      <w:pPr>
        <w:spacing w:before="0"/>
        <w:rPr>
          <w:rFonts w:eastAsia="Times New Roman"/>
          <w:b/>
          <w:bCs/>
          <w:kern w:val="32"/>
          <w:szCs w:val="24"/>
          <w:lang w:val="en-US" w:eastAsia="en-US"/>
        </w:rPr>
      </w:pPr>
    </w:p>
    <w:p w14:paraId="723AB9C0" w14:textId="77777777" w:rsidR="002A2731" w:rsidRDefault="002A2731" w:rsidP="002A2731">
      <w:pPr>
        <w:jc w:val="center"/>
        <w:rPr>
          <w:lang w:val="fr-CH"/>
        </w:rPr>
      </w:pPr>
      <w:r>
        <w:rPr>
          <w:lang w:val="fr-CH"/>
        </w:rPr>
        <w:t>___________________</w:t>
      </w:r>
    </w:p>
    <w:p w14:paraId="35208081" w14:textId="5955A399" w:rsidR="00EA03E5" w:rsidRPr="00EA03E5" w:rsidRDefault="00EA03E5" w:rsidP="00EA03E5">
      <w:pPr>
        <w:spacing w:before="0"/>
        <w:rPr>
          <w:rFonts w:eastAsia="Arial Unicode MS"/>
          <w:szCs w:val="24"/>
          <w:lang w:val="en-US" w:eastAsia="en-US"/>
        </w:rPr>
      </w:pPr>
    </w:p>
    <w:sectPr w:rsidR="00EA03E5" w:rsidRPr="00EA03E5" w:rsidSect="00685A1D">
      <w:headerReference w:type="default" r:id="rId115"/>
      <w:footerReference w:type="first" r:id="rId116"/>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F6C21" w14:textId="77777777" w:rsidR="00BC79F9" w:rsidRDefault="00BC79F9">
      <w:r>
        <w:separator/>
      </w:r>
    </w:p>
  </w:endnote>
  <w:endnote w:type="continuationSeparator" w:id="0">
    <w:p w14:paraId="4A22E16E" w14:textId="77777777" w:rsidR="00BC79F9" w:rsidRDefault="00BC79F9">
      <w:r>
        <w:continuationSeparator/>
      </w:r>
    </w:p>
  </w:endnote>
  <w:endnote w:type="continuationNotice" w:id="1">
    <w:p w14:paraId="22A3A326" w14:textId="77777777" w:rsidR="00BC79F9" w:rsidRDefault="00BC79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Medium">
    <w:altName w:val="Times New Roman"/>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4E"/>
    <w:family w:val="auto"/>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liss Pro ExtraLight">
    <w:altName w:val="Avenir Book"/>
    <w:panose1 w:val="00000000000000000000"/>
    <w:charset w:val="00"/>
    <w:family w:val="swiss"/>
    <w:notTrueType/>
    <w:pitch w:val="default"/>
    <w:sig w:usb0="00000003" w:usb1="00000000" w:usb2="00000000" w:usb3="00000000" w:csb0="00000001" w:csb1="00000000"/>
  </w:font>
  <w:font w:name="Bliss Pro Medium">
    <w:altName w:val="Arial"/>
    <w:panose1 w:val="00000000000000000000"/>
    <w:charset w:val="00"/>
    <w:family w:val="swiss"/>
    <w:notTrueType/>
    <w:pitch w:val="default"/>
    <w:sig w:usb0="00000003" w:usb1="00000000" w:usb2="00000000" w:usb3="00000000" w:csb0="00000001" w:csb1="00000000"/>
  </w:font>
  <w:font w:name="Bliss Pro Bold">
    <w:altName w:val="Arial"/>
    <w:panose1 w:val="00000000000000000000"/>
    <w:charset w:val="00"/>
    <w:family w:val="swiss"/>
    <w:notTrueType/>
    <w:pitch w:val="default"/>
    <w:sig w:usb0="00000003" w:usb1="00000000" w:usb2="00000000" w:usb3="00000000" w:csb0="00000001" w:csb1="00000000"/>
  </w:font>
  <w:font w:name="Bliss Pro Regular">
    <w:altName w:val="Ari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275675"/>
      <w:docPartObj>
        <w:docPartGallery w:val="Page Numbers (Bottom of Page)"/>
        <w:docPartUnique/>
      </w:docPartObj>
    </w:sdtPr>
    <w:sdtEndPr>
      <w:rPr>
        <w:noProof/>
      </w:rPr>
    </w:sdtEndPr>
    <w:sdtContent>
      <w:p w14:paraId="56AAF6CD" w14:textId="0BFCC10E" w:rsidR="00986F0B" w:rsidRDefault="00986F0B">
        <w:pPr>
          <w:pStyle w:val="Footer"/>
          <w:jc w:val="right"/>
        </w:pPr>
        <w:r>
          <w:fldChar w:fldCharType="begin"/>
        </w:r>
        <w:r>
          <w:instrText xml:space="preserve"> PAGE   \* MERGEFORMAT </w:instrText>
        </w:r>
        <w:r>
          <w:fldChar w:fldCharType="separate"/>
        </w:r>
        <w:r w:rsidR="003826A4">
          <w:rPr>
            <w:noProof/>
          </w:rPr>
          <w:t>21</w:t>
        </w:r>
        <w:r>
          <w:rPr>
            <w:noProof/>
          </w:rPr>
          <w:fldChar w:fldCharType="end"/>
        </w:r>
      </w:p>
    </w:sdtContent>
  </w:sdt>
  <w:p w14:paraId="77CB0CEE" w14:textId="77777777" w:rsidR="00986F0B" w:rsidRDefault="00986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0EF8" w14:textId="77777777" w:rsidR="00986F0B" w:rsidRDefault="00986F0B">
    <w:pPr>
      <w:pStyle w:val="Footer"/>
      <w:tabs>
        <w:tab w:val="left" w:pos="5245"/>
      </w:tabs>
      <w:rPr>
        <w:sz w:val="16"/>
      </w:rPr>
    </w:pPr>
    <w:r>
      <w:rPr>
        <w:noProof/>
        <w:sz w:val="16"/>
        <w:lang w:eastAsia="en-GB"/>
      </w:rPr>
      <w:drawing>
        <wp:anchor distT="0" distB="0" distL="114300" distR="114300" simplePos="0" relativeHeight="251662336" behindDoc="0" locked="0" layoutInCell="1" allowOverlap="1" wp14:anchorId="3D4A520C" wp14:editId="673A6003">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CB82" w14:textId="77777777" w:rsidR="00986F0B" w:rsidRPr="00B22DA4" w:rsidRDefault="00986F0B"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p w14:paraId="759B3A93" w14:textId="77777777" w:rsidR="00986F0B" w:rsidRDefault="00986F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D6D2E" w14:textId="77777777" w:rsidR="00BC79F9" w:rsidRDefault="00BC79F9">
      <w:r>
        <w:separator/>
      </w:r>
    </w:p>
  </w:footnote>
  <w:footnote w:type="continuationSeparator" w:id="0">
    <w:p w14:paraId="25C92636" w14:textId="77777777" w:rsidR="00BC79F9" w:rsidRDefault="00BC79F9">
      <w:r>
        <w:continuationSeparator/>
      </w:r>
    </w:p>
  </w:footnote>
  <w:footnote w:type="continuationNotice" w:id="1">
    <w:p w14:paraId="0ECB333D" w14:textId="77777777" w:rsidR="00BC79F9" w:rsidRDefault="00BC79F9">
      <w:pPr>
        <w:spacing w:before="0"/>
      </w:pPr>
    </w:p>
  </w:footnote>
  <w:footnote w:id="2">
    <w:p w14:paraId="3E7F2CFD" w14:textId="77777777" w:rsidR="00986F0B" w:rsidRDefault="00986F0B" w:rsidP="00EA03E5">
      <w:pPr>
        <w:pStyle w:val="FootnoteText"/>
      </w:pPr>
      <w:r>
        <w:rPr>
          <w:rStyle w:val="FootnoteReference"/>
          <w:rFonts w:ascii="Arial" w:hAnsi="Arial"/>
        </w:rPr>
        <w:footnoteRef/>
      </w:r>
      <w:r>
        <w:t xml:space="preserve"> This paper makes a fundamental distinction that security “delivered” by security assets performing security functions is not the same as protection “received” by business assets performing business functions. The efficacy of the security in providing protection (mitigate exploit) is specific to the attack exploit. </w:t>
      </w:r>
    </w:p>
  </w:footnote>
  <w:footnote w:id="3">
    <w:p w14:paraId="2FEDB26A" w14:textId="77777777" w:rsidR="00986F0B" w:rsidRDefault="00986F0B" w:rsidP="00EA03E5">
      <w:pPr>
        <w:pStyle w:val="FootnoteText"/>
      </w:pPr>
      <w:r>
        <w:rPr>
          <w:rStyle w:val="FootnoteReference"/>
          <w:rFonts w:ascii="Arial" w:hAnsi="Arial"/>
        </w:rPr>
        <w:footnoteRef/>
      </w:r>
      <w:r>
        <w:t xml:space="preserve"> FIPS 140-3 “Security Requirements for Cryptographic Modules </w:t>
      </w:r>
      <w:r>
        <w:br/>
        <w:t>https://csrc.nist.gov/publications/detail/fips/140/3/final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4DEC" w14:textId="77777777" w:rsidR="00986F0B" w:rsidRDefault="00986F0B">
    <w:pPr>
      <w:pStyle w:val="Header"/>
    </w:pPr>
    <w:r>
      <w:rPr>
        <w:noProof/>
        <w:lang w:eastAsia="en-GB"/>
      </w:rPr>
      <w:drawing>
        <wp:anchor distT="0" distB="0" distL="114300" distR="114300" simplePos="0" relativeHeight="251660288" behindDoc="0" locked="0" layoutInCell="1" allowOverlap="1" wp14:anchorId="632E0C9F" wp14:editId="78A717D5">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099C" w14:textId="77777777" w:rsidR="00986F0B" w:rsidRPr="00EA03E5" w:rsidRDefault="00986F0B" w:rsidP="00EA03E5">
    <w:pPr>
      <w:overflowPunct w:val="0"/>
      <w:autoSpaceDE w:val="0"/>
      <w:autoSpaceDN w:val="0"/>
      <w:adjustRightInd w:val="0"/>
      <w:spacing w:before="0"/>
      <w:jc w:val="center"/>
      <w:textAlignment w:val="baseline"/>
      <w:rPr>
        <w:rFonts w:eastAsia="Malgun Gothic"/>
        <w:i/>
        <w:iCs/>
        <w:noProof/>
        <w:sz w:val="18"/>
        <w:highlight w:val="yellow"/>
        <w:lang w:eastAsia="en-US"/>
      </w:rPr>
    </w:pPr>
    <w:r w:rsidRPr="0091529C">
      <w:rPr>
        <w:rFonts w:eastAsia="Malgun Gothic"/>
        <w:noProof/>
        <w:sz w:val="18"/>
        <w:lang w:eastAsia="en-US"/>
      </w:rPr>
      <w:t xml:space="preserve">ITU-T Focus Group </w:t>
    </w:r>
    <w:r>
      <w:rPr>
        <w:rFonts w:eastAsia="Malgun Gothic"/>
        <w:noProof/>
        <w:sz w:val="18"/>
        <w:lang w:eastAsia="en-US"/>
      </w:rPr>
      <w:t>Digital Currency Including Digital Fiat Currency</w:t>
    </w:r>
    <w:r w:rsidRPr="0091529C">
      <w:rPr>
        <w:rFonts w:eastAsia="Malgun Gothic"/>
        <w:noProof/>
        <w:sz w:val="18"/>
        <w:lang w:eastAsia="en-US"/>
      </w:rPr>
      <w:t xml:space="preserve">: </w:t>
    </w:r>
    <w:r w:rsidRPr="00EA03E5">
      <w:rPr>
        <w:rFonts w:eastAsia="Malgun Gothic" w:hint="eastAsia"/>
        <w:i/>
        <w:iCs/>
        <w:noProof/>
        <w:sz w:val="18"/>
        <w:lang w:eastAsia="en-US"/>
      </w:rPr>
      <w:t>Security Working Group</w:t>
    </w:r>
  </w:p>
  <w:p w14:paraId="5346A08E" w14:textId="77777777" w:rsidR="00986F0B" w:rsidRDefault="00986F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B46"/>
    <w:multiLevelType w:val="hybridMultilevel"/>
    <w:tmpl w:val="36B05C6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 w15:restartNumberingAfterBreak="0">
    <w:nsid w:val="05A657D6"/>
    <w:multiLevelType w:val="hybridMultilevel"/>
    <w:tmpl w:val="7946EEE6"/>
    <w:lvl w:ilvl="0" w:tplc="04090001">
      <w:start w:val="1"/>
      <w:numFmt w:val="bullet"/>
      <w:lvlText w:val=""/>
      <w:lvlJc w:val="left"/>
      <w:pPr>
        <w:ind w:left="1800" w:hanging="360"/>
      </w:pPr>
      <w:rPr>
        <w:rFonts w:ascii="Symbol" w:hAnsi="Symbol" w:hint="default"/>
      </w:rPr>
    </w:lvl>
    <w:lvl w:ilvl="1" w:tplc="94AE6F8A">
      <w:start w:val="1"/>
      <w:numFmt w:val="bullet"/>
      <w:lvlText w:val="•"/>
      <w:lvlJc w:val="left"/>
      <w:pPr>
        <w:ind w:left="2880" w:hanging="720"/>
      </w:pPr>
      <w:rPr>
        <w:rFonts w:ascii="Arial" w:eastAsia="Arial Unicode MS" w:hAnsi="Arial" w:cs="Aria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10117E20"/>
    <w:multiLevelType w:val="hybridMultilevel"/>
    <w:tmpl w:val="C034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7E074A"/>
    <w:multiLevelType w:val="hybridMultilevel"/>
    <w:tmpl w:val="CC9E80EA"/>
    <w:lvl w:ilvl="0" w:tplc="EF3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1A5B"/>
    <w:multiLevelType w:val="hybridMultilevel"/>
    <w:tmpl w:val="93140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F456E9"/>
    <w:multiLevelType w:val="hybridMultilevel"/>
    <w:tmpl w:val="EE20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8810B6"/>
    <w:multiLevelType w:val="hybridMultilevel"/>
    <w:tmpl w:val="AB5ED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F02846"/>
    <w:multiLevelType w:val="hybridMultilevel"/>
    <w:tmpl w:val="9662A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600C2A"/>
    <w:multiLevelType w:val="hybridMultilevel"/>
    <w:tmpl w:val="BB38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9D70FE"/>
    <w:multiLevelType w:val="hybridMultilevel"/>
    <w:tmpl w:val="13F4FCDE"/>
    <w:lvl w:ilvl="0" w:tplc="6F78BE58">
      <w:start w:val="1"/>
      <w:numFmt w:val="bullet"/>
      <w:pStyle w:val="Enumlev"/>
      <w:lvlText w:val=""/>
      <w:lvlJc w:val="left"/>
      <w:pPr>
        <w:ind w:left="1778"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B34EFC"/>
    <w:multiLevelType w:val="hybridMultilevel"/>
    <w:tmpl w:val="D70A2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8D7158"/>
    <w:multiLevelType w:val="hybridMultilevel"/>
    <w:tmpl w:val="0C708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495A75"/>
    <w:multiLevelType w:val="hybridMultilevel"/>
    <w:tmpl w:val="130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99A7884"/>
    <w:multiLevelType w:val="hybridMultilevel"/>
    <w:tmpl w:val="700E4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964ECB"/>
    <w:multiLevelType w:val="multilevel"/>
    <w:tmpl w:val="C102FBE6"/>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6."/>
      <w:lvlJc w:val="left"/>
      <w:pPr>
        <w:tabs>
          <w:tab w:val="num" w:pos="567"/>
        </w:tabs>
        <w:ind w:left="567" w:hanging="283"/>
      </w:pPr>
      <w:rPr>
        <w:rFonts w:cs="Times New Roman"/>
      </w:rPr>
    </w:lvl>
    <w:lvl w:ilvl="6">
      <w:start w:val="1"/>
      <w:numFmt w:val="upperLetter"/>
      <w:lvlText w:val="Annex %7"/>
      <w:lvlJc w:val="left"/>
      <w:pPr>
        <w:tabs>
          <w:tab w:val="num" w:pos="1440"/>
        </w:tabs>
        <w:ind w:left="1440" w:hanging="1440"/>
      </w:pPr>
      <w:rPr>
        <w:rFonts w:cs="Times New Roman"/>
      </w:rPr>
    </w:lvl>
    <w:lvl w:ilvl="7">
      <w:start w:val="1"/>
      <w:numFmt w:val="decimal"/>
      <w:lvlText w:val="%7.%8"/>
      <w:lvlJc w:val="left"/>
      <w:pPr>
        <w:tabs>
          <w:tab w:val="num" w:pos="720"/>
        </w:tabs>
        <w:ind w:left="720" w:hanging="720"/>
      </w:pPr>
      <w:rPr>
        <w:rFonts w:cs="Times New Roman"/>
      </w:rPr>
    </w:lvl>
    <w:lvl w:ilvl="8">
      <w:start w:val="1"/>
      <w:numFmt w:val="decimal"/>
      <w:lvlText w:val="%7.%8.%9"/>
      <w:lvlJc w:val="left"/>
      <w:pPr>
        <w:tabs>
          <w:tab w:val="num" w:pos="964"/>
        </w:tabs>
        <w:ind w:left="964" w:hanging="964"/>
      </w:pPr>
      <w:rPr>
        <w:rFonts w:cs="Times New Roman"/>
      </w:rPr>
    </w:lvl>
  </w:abstractNum>
  <w:abstractNum w:abstractNumId="15" w15:restartNumberingAfterBreak="0">
    <w:nsid w:val="3FEF65D1"/>
    <w:multiLevelType w:val="hybridMultilevel"/>
    <w:tmpl w:val="6DE09634"/>
    <w:lvl w:ilvl="0" w:tplc="F2A2F43A">
      <w:start w:val="1"/>
      <w:numFmt w:val="bullet"/>
      <w:pStyle w:val="2Bullet"/>
      <w:lvlText w:val=""/>
      <w:lvlJc w:val="left"/>
      <w:pPr>
        <w:ind w:left="720" w:hanging="360"/>
      </w:pPr>
      <w:rPr>
        <w:rFonts w:ascii="Symbol" w:hAnsi="Symbol" w:hint="default"/>
      </w:rPr>
    </w:lvl>
    <w:lvl w:ilvl="1" w:tplc="A852F83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31715"/>
    <w:multiLevelType w:val="hybridMultilevel"/>
    <w:tmpl w:val="5ED4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6747B6"/>
    <w:multiLevelType w:val="hybridMultilevel"/>
    <w:tmpl w:val="CBECAA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45F35E5"/>
    <w:multiLevelType w:val="hybridMultilevel"/>
    <w:tmpl w:val="818C4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4A3349F"/>
    <w:multiLevelType w:val="multilevel"/>
    <w:tmpl w:val="67D6DBFE"/>
    <w:lvl w:ilvl="0">
      <w:start w:val="1"/>
      <w:numFmt w:val="bullet"/>
      <w:pStyle w:val="gpBullet1"/>
      <w:lvlText w:val=""/>
      <w:lvlJc w:val="left"/>
      <w:pPr>
        <w:tabs>
          <w:tab w:val="num" w:pos="576"/>
        </w:tabs>
        <w:ind w:left="576" w:hanging="288"/>
      </w:pPr>
      <w:rPr>
        <w:rFonts w:ascii="Symbol" w:hAnsi="Symbol" w:hint="default"/>
      </w:rPr>
    </w:lvl>
    <w:lvl w:ilvl="1">
      <w:start w:val="1"/>
      <w:numFmt w:val="bullet"/>
      <w:pStyle w:val="gpBullet2"/>
      <w:lvlText w:val="o"/>
      <w:lvlJc w:val="left"/>
      <w:pPr>
        <w:tabs>
          <w:tab w:val="num" w:pos="864"/>
        </w:tabs>
        <w:ind w:left="864" w:hanging="288"/>
      </w:pPr>
      <w:rPr>
        <w:rFonts w:ascii="Courier New" w:hAnsi="Courier New" w:cs="Times New Roman" w:hint="default"/>
      </w:rPr>
    </w:lvl>
    <w:lvl w:ilvl="2">
      <w:start w:val="1"/>
      <w:numFmt w:val="bullet"/>
      <w:pStyle w:val="gpBullet3"/>
      <w:lvlText w:val=""/>
      <w:lvlJc w:val="left"/>
      <w:pPr>
        <w:tabs>
          <w:tab w:val="num" w:pos="1152"/>
        </w:tabs>
        <w:ind w:left="1152" w:hanging="288"/>
      </w:pPr>
      <w:rPr>
        <w:rFonts w:ascii="Wingdings" w:hAnsi="Wingdings" w:hint="default"/>
      </w:rPr>
    </w:lvl>
    <w:lvl w:ilvl="3">
      <w:start w:val="1"/>
      <w:numFmt w:val="bullet"/>
      <w:pStyle w:val="gpBullet4"/>
      <w:lvlText w:val=""/>
      <w:lvlJc w:val="left"/>
      <w:pPr>
        <w:tabs>
          <w:tab w:val="num" w:pos="1440"/>
        </w:tabs>
        <w:ind w:left="1440" w:hanging="288"/>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5FBB6008"/>
    <w:multiLevelType w:val="hybridMultilevel"/>
    <w:tmpl w:val="403CABEA"/>
    <w:lvl w:ilvl="0" w:tplc="B4E0A286">
      <w:start w:val="1"/>
      <w:numFmt w:val="bullet"/>
      <w:pStyle w:val="BullletCompressed"/>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F6C10"/>
    <w:multiLevelType w:val="hybridMultilevel"/>
    <w:tmpl w:val="AB3833E6"/>
    <w:lvl w:ilvl="0" w:tplc="EF3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F66B3"/>
    <w:multiLevelType w:val="multilevel"/>
    <w:tmpl w:val="44A6E9B2"/>
    <w:lvl w:ilvl="0">
      <w:start w:val="4"/>
      <w:numFmt w:val="decimal"/>
      <w:lvlText w:val="%1."/>
      <w:lvlJc w:val="left"/>
      <w:pPr>
        <w:ind w:left="468" w:hanging="468"/>
      </w:pPr>
    </w:lvl>
    <w:lvl w:ilvl="1">
      <w:start w:val="2"/>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600" w:hanging="144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940" w:hanging="2160"/>
      </w:pPr>
    </w:lvl>
    <w:lvl w:ilvl="8">
      <w:start w:val="1"/>
      <w:numFmt w:val="decimal"/>
      <w:lvlText w:val="%1.%2.%3.%4.%5.%6.%7.%8.%9."/>
      <w:lvlJc w:val="left"/>
      <w:pPr>
        <w:ind w:left="6480" w:hanging="2160"/>
      </w:pPr>
    </w:lvl>
  </w:abstractNum>
  <w:abstractNum w:abstractNumId="23" w15:restartNumberingAfterBreak="0">
    <w:nsid w:val="678B0164"/>
    <w:multiLevelType w:val="hybridMultilevel"/>
    <w:tmpl w:val="20886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7A44E35"/>
    <w:multiLevelType w:val="hybridMultilevel"/>
    <w:tmpl w:val="8C9A95F6"/>
    <w:lvl w:ilvl="0" w:tplc="DDCC730C">
      <w:start w:val="1"/>
      <w:numFmt w:val="decimal"/>
      <w:pStyle w:val="ParagraphNumbering"/>
      <w:lvlText w:val="%1."/>
      <w:lvlJc w:val="left"/>
      <w:pPr>
        <w:ind w:left="0" w:firstLine="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9B50537"/>
    <w:multiLevelType w:val="hybridMultilevel"/>
    <w:tmpl w:val="4DBEC35E"/>
    <w:lvl w:ilvl="0" w:tplc="F6663310">
      <w:start w:val="1"/>
      <w:numFmt w:val="bullet"/>
      <w:pStyle w:val="List21"/>
      <w:lvlText w:val="-"/>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DF1AEE"/>
    <w:multiLevelType w:val="hybridMultilevel"/>
    <w:tmpl w:val="AB964114"/>
    <w:lvl w:ilvl="0" w:tplc="C79A12E2">
      <w:start w:val="1"/>
      <w:numFmt w:val="bullet"/>
      <w:lvlText w:val=""/>
      <w:lvlJc w:val="left"/>
      <w:pPr>
        <w:ind w:left="720" w:hanging="360"/>
      </w:pPr>
      <w:rPr>
        <w:rFonts w:ascii="Symbol" w:hAnsi="Symbol" w:hint="default"/>
      </w:rPr>
    </w:lvl>
    <w:lvl w:ilvl="1" w:tplc="28269FDC">
      <w:start w:val="1"/>
      <w:numFmt w:val="bullet"/>
      <w:pStyle w:val="subbullet"/>
      <w:lvlText w:val="-"/>
      <w:lvlJc w:val="left"/>
      <w:pPr>
        <w:ind w:left="1440" w:hanging="360"/>
      </w:pPr>
      <w:rPr>
        <w:rFonts w:ascii="Avenir Next Medium" w:hAnsi="Avenir Next Medium"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87CC5"/>
    <w:multiLevelType w:val="multilevel"/>
    <w:tmpl w:val="D500E2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013ABE"/>
    <w:multiLevelType w:val="multilevel"/>
    <w:tmpl w:val="483204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978"/>
        </w:tabs>
        <w:ind w:left="3978" w:hanging="576"/>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97B3EFF"/>
    <w:multiLevelType w:val="hybridMultilevel"/>
    <w:tmpl w:val="16A2C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AB3D07"/>
    <w:multiLevelType w:val="hybridMultilevel"/>
    <w:tmpl w:val="FF1C7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3021A7"/>
    <w:multiLevelType w:val="hybridMultilevel"/>
    <w:tmpl w:val="534E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26"/>
  </w:num>
  <w:num w:numId="4">
    <w:abstractNumId w:val="15"/>
  </w:num>
  <w:num w:numId="5">
    <w:abstractNumId w:val="20"/>
  </w:num>
  <w:num w:numId="6">
    <w:abstractNumId w:val="24"/>
  </w:num>
  <w:num w:numId="7">
    <w:abstractNumId w:val="27"/>
  </w:num>
  <w:num w:numId="8">
    <w:abstractNumId w:val="25"/>
  </w:num>
  <w:num w:numId="9">
    <w:abstractNumId w:val="3"/>
  </w:num>
  <w:num w:numId="10">
    <w:abstractNumId w:val="2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8"/>
  </w:num>
  <w:num w:numId="14">
    <w:abstractNumId w:val="29"/>
  </w:num>
  <w:num w:numId="15">
    <w:abstractNumId w:val="5"/>
  </w:num>
  <w:num w:numId="16">
    <w:abstractNumId w:val="31"/>
  </w:num>
  <w:num w:numId="17">
    <w:abstractNumId w:val="2"/>
  </w:num>
  <w:num w:numId="18">
    <w:abstractNumId w:val="23"/>
  </w:num>
  <w:num w:numId="19">
    <w:abstractNumId w:val="0"/>
  </w:num>
  <w:num w:numId="20">
    <w:abstractNumId w:val="11"/>
  </w:num>
  <w:num w:numId="21">
    <w:abstractNumId w:val="4"/>
  </w:num>
  <w:num w:numId="22">
    <w:abstractNumId w:val="1"/>
  </w:num>
  <w:num w:numId="23">
    <w:abstractNumId w:val="10"/>
  </w:num>
  <w:num w:numId="24">
    <w:abstractNumId w:val="30"/>
  </w:num>
  <w:num w:numId="25">
    <w:abstractNumId w:val="7"/>
  </w:num>
  <w:num w:numId="26">
    <w:abstractNumId w:val="16"/>
  </w:num>
  <w:num w:numId="27">
    <w:abstractNumId w:val="2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3"/>
  </w:num>
  <w:num w:numId="30">
    <w:abstractNumId w:val="18"/>
  </w:num>
  <w:num w:numId="31">
    <w:abstractNumId w:val="12"/>
  </w:num>
  <w:num w:numId="3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noPunctuationKerning/>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E0NzIwNDe1NDazMDdW0lEKTi0uzszPAykwrAUApJH1yywAAAA="/>
  </w:docVars>
  <w:rsids>
    <w:rsidRoot w:val="009635CB"/>
    <w:rsid w:val="00001A72"/>
    <w:rsid w:val="00003CAA"/>
    <w:rsid w:val="00004356"/>
    <w:rsid w:val="00004A38"/>
    <w:rsid w:val="000056DD"/>
    <w:rsid w:val="00006FD8"/>
    <w:rsid w:val="00010919"/>
    <w:rsid w:val="0001560A"/>
    <w:rsid w:val="00023463"/>
    <w:rsid w:val="000250D9"/>
    <w:rsid w:val="000273C9"/>
    <w:rsid w:val="00030A5F"/>
    <w:rsid w:val="0003282B"/>
    <w:rsid w:val="0003701D"/>
    <w:rsid w:val="00041CEE"/>
    <w:rsid w:val="000467C7"/>
    <w:rsid w:val="00053924"/>
    <w:rsid w:val="00054492"/>
    <w:rsid w:val="00060ED7"/>
    <w:rsid w:val="0006148B"/>
    <w:rsid w:val="00062962"/>
    <w:rsid w:val="000630B1"/>
    <w:rsid w:val="00067382"/>
    <w:rsid w:val="000722F4"/>
    <w:rsid w:val="000727C7"/>
    <w:rsid w:val="00072EDB"/>
    <w:rsid w:val="0007308D"/>
    <w:rsid w:val="00087100"/>
    <w:rsid w:val="00087C44"/>
    <w:rsid w:val="000943CC"/>
    <w:rsid w:val="000A0A33"/>
    <w:rsid w:val="000A12FE"/>
    <w:rsid w:val="000A3E15"/>
    <w:rsid w:val="000B0310"/>
    <w:rsid w:val="000B48B5"/>
    <w:rsid w:val="000C4A13"/>
    <w:rsid w:val="000D290D"/>
    <w:rsid w:val="000D3A0A"/>
    <w:rsid w:val="000D58B8"/>
    <w:rsid w:val="000E055F"/>
    <w:rsid w:val="000E17B9"/>
    <w:rsid w:val="000E2421"/>
    <w:rsid w:val="000E7622"/>
    <w:rsid w:val="000F76A7"/>
    <w:rsid w:val="001010EC"/>
    <w:rsid w:val="00107CCF"/>
    <w:rsid w:val="00114D59"/>
    <w:rsid w:val="0012156E"/>
    <w:rsid w:val="0012413B"/>
    <w:rsid w:val="001256C6"/>
    <w:rsid w:val="00127CDE"/>
    <w:rsid w:val="00133E4A"/>
    <w:rsid w:val="0013762D"/>
    <w:rsid w:val="00146A98"/>
    <w:rsid w:val="00152C27"/>
    <w:rsid w:val="00152C5D"/>
    <w:rsid w:val="001624E4"/>
    <w:rsid w:val="00177625"/>
    <w:rsid w:val="00177F7A"/>
    <w:rsid w:val="001866DC"/>
    <w:rsid w:val="00190A2B"/>
    <w:rsid w:val="001920A7"/>
    <w:rsid w:val="00194D55"/>
    <w:rsid w:val="00196DB3"/>
    <w:rsid w:val="001B1917"/>
    <w:rsid w:val="001B4A81"/>
    <w:rsid w:val="001B624D"/>
    <w:rsid w:val="001B646A"/>
    <w:rsid w:val="001C1902"/>
    <w:rsid w:val="001E0A1C"/>
    <w:rsid w:val="002024C8"/>
    <w:rsid w:val="00210FBF"/>
    <w:rsid w:val="002120C3"/>
    <w:rsid w:val="0021309E"/>
    <w:rsid w:val="00213700"/>
    <w:rsid w:val="00214B7B"/>
    <w:rsid w:val="00216074"/>
    <w:rsid w:val="00223588"/>
    <w:rsid w:val="00223A12"/>
    <w:rsid w:val="002240A7"/>
    <w:rsid w:val="0023057F"/>
    <w:rsid w:val="002378FD"/>
    <w:rsid w:val="0024245E"/>
    <w:rsid w:val="00245AA0"/>
    <w:rsid w:val="00247A7F"/>
    <w:rsid w:val="002506D1"/>
    <w:rsid w:val="00257F22"/>
    <w:rsid w:val="0026324A"/>
    <w:rsid w:val="00275501"/>
    <w:rsid w:val="00275F4B"/>
    <w:rsid w:val="0029018E"/>
    <w:rsid w:val="00291042"/>
    <w:rsid w:val="0029185B"/>
    <w:rsid w:val="00296BCA"/>
    <w:rsid w:val="002A1F9A"/>
    <w:rsid w:val="002A2731"/>
    <w:rsid w:val="002A45A6"/>
    <w:rsid w:val="002B0E11"/>
    <w:rsid w:val="002B5FFA"/>
    <w:rsid w:val="002C1A6F"/>
    <w:rsid w:val="002C3A93"/>
    <w:rsid w:val="002C67BB"/>
    <w:rsid w:val="002C7D91"/>
    <w:rsid w:val="002D41EB"/>
    <w:rsid w:val="002F10E5"/>
    <w:rsid w:val="0030222D"/>
    <w:rsid w:val="00306249"/>
    <w:rsid w:val="003065C4"/>
    <w:rsid w:val="003076FB"/>
    <w:rsid w:val="003139B0"/>
    <w:rsid w:val="003173B3"/>
    <w:rsid w:val="00320C88"/>
    <w:rsid w:val="00322792"/>
    <w:rsid w:val="003233ED"/>
    <w:rsid w:val="00325ABC"/>
    <w:rsid w:val="00327667"/>
    <w:rsid w:val="00327FAC"/>
    <w:rsid w:val="00334ABE"/>
    <w:rsid w:val="0034502D"/>
    <w:rsid w:val="00353374"/>
    <w:rsid w:val="00355736"/>
    <w:rsid w:val="00360EE9"/>
    <w:rsid w:val="00373046"/>
    <w:rsid w:val="0038038B"/>
    <w:rsid w:val="003826A4"/>
    <w:rsid w:val="003859FC"/>
    <w:rsid w:val="0039348B"/>
    <w:rsid w:val="00397A02"/>
    <w:rsid w:val="003A4716"/>
    <w:rsid w:val="003A7053"/>
    <w:rsid w:val="003B5C40"/>
    <w:rsid w:val="003B6111"/>
    <w:rsid w:val="003B6C53"/>
    <w:rsid w:val="003D6ABF"/>
    <w:rsid w:val="003E1CC9"/>
    <w:rsid w:val="003E2131"/>
    <w:rsid w:val="003E4AF9"/>
    <w:rsid w:val="003E4CC1"/>
    <w:rsid w:val="003F03EC"/>
    <w:rsid w:val="0040365C"/>
    <w:rsid w:val="0040627C"/>
    <w:rsid w:val="004076C3"/>
    <w:rsid w:val="00412492"/>
    <w:rsid w:val="00432665"/>
    <w:rsid w:val="00433F2A"/>
    <w:rsid w:val="00444944"/>
    <w:rsid w:val="004474AD"/>
    <w:rsid w:val="004559EB"/>
    <w:rsid w:val="00467172"/>
    <w:rsid w:val="00467B14"/>
    <w:rsid w:val="00470DE6"/>
    <w:rsid w:val="004713FA"/>
    <w:rsid w:val="0047185B"/>
    <w:rsid w:val="00475FB5"/>
    <w:rsid w:val="004875F8"/>
    <w:rsid w:val="00492BA3"/>
    <w:rsid w:val="004938E3"/>
    <w:rsid w:val="00495B26"/>
    <w:rsid w:val="004A1181"/>
    <w:rsid w:val="004A33B3"/>
    <w:rsid w:val="004B03B0"/>
    <w:rsid w:val="004B39E2"/>
    <w:rsid w:val="004C062A"/>
    <w:rsid w:val="004C46CD"/>
    <w:rsid w:val="004C6D39"/>
    <w:rsid w:val="004D45DB"/>
    <w:rsid w:val="004D5571"/>
    <w:rsid w:val="004E20A7"/>
    <w:rsid w:val="004E391E"/>
    <w:rsid w:val="004E4A9A"/>
    <w:rsid w:val="004F2261"/>
    <w:rsid w:val="004F500E"/>
    <w:rsid w:val="00500944"/>
    <w:rsid w:val="00501210"/>
    <w:rsid w:val="00501B49"/>
    <w:rsid w:val="00501EB0"/>
    <w:rsid w:val="005032DD"/>
    <w:rsid w:val="005049FF"/>
    <w:rsid w:val="00506992"/>
    <w:rsid w:val="00511C0B"/>
    <w:rsid w:val="00522191"/>
    <w:rsid w:val="005355B2"/>
    <w:rsid w:val="0053609E"/>
    <w:rsid w:val="005415F4"/>
    <w:rsid w:val="00542FD2"/>
    <w:rsid w:val="005440B4"/>
    <w:rsid w:val="0055465A"/>
    <w:rsid w:val="00560DBB"/>
    <w:rsid w:val="00563954"/>
    <w:rsid w:val="00564184"/>
    <w:rsid w:val="005736AA"/>
    <w:rsid w:val="00580A1A"/>
    <w:rsid w:val="00596056"/>
    <w:rsid w:val="005A230E"/>
    <w:rsid w:val="005A3CCD"/>
    <w:rsid w:val="005A4F9A"/>
    <w:rsid w:val="005B269C"/>
    <w:rsid w:val="005B49E0"/>
    <w:rsid w:val="005B6FEB"/>
    <w:rsid w:val="005C6C8F"/>
    <w:rsid w:val="005C6FFE"/>
    <w:rsid w:val="005C712C"/>
    <w:rsid w:val="005D14C8"/>
    <w:rsid w:val="005F5E06"/>
    <w:rsid w:val="00601438"/>
    <w:rsid w:val="00601FE4"/>
    <w:rsid w:val="0060241A"/>
    <w:rsid w:val="0060438E"/>
    <w:rsid w:val="00614441"/>
    <w:rsid w:val="00623023"/>
    <w:rsid w:val="00633928"/>
    <w:rsid w:val="006434F4"/>
    <w:rsid w:val="0064792C"/>
    <w:rsid w:val="0065099C"/>
    <w:rsid w:val="006656E3"/>
    <w:rsid w:val="00665E46"/>
    <w:rsid w:val="006727AE"/>
    <w:rsid w:val="00675621"/>
    <w:rsid w:val="0068461B"/>
    <w:rsid w:val="00685A1D"/>
    <w:rsid w:val="006935CA"/>
    <w:rsid w:val="006944BA"/>
    <w:rsid w:val="00696548"/>
    <w:rsid w:val="006B123B"/>
    <w:rsid w:val="006B334F"/>
    <w:rsid w:val="006D4A98"/>
    <w:rsid w:val="007066DC"/>
    <w:rsid w:val="007166FE"/>
    <w:rsid w:val="00727ADE"/>
    <w:rsid w:val="00732A35"/>
    <w:rsid w:val="00733524"/>
    <w:rsid w:val="00737170"/>
    <w:rsid w:val="00742F32"/>
    <w:rsid w:val="00745B7E"/>
    <w:rsid w:val="00745C18"/>
    <w:rsid w:val="007567D5"/>
    <w:rsid w:val="0077060B"/>
    <w:rsid w:val="00770741"/>
    <w:rsid w:val="00770EC0"/>
    <w:rsid w:val="007754F4"/>
    <w:rsid w:val="00776D00"/>
    <w:rsid w:val="00785779"/>
    <w:rsid w:val="0078796F"/>
    <w:rsid w:val="007A3E73"/>
    <w:rsid w:val="007A4F9A"/>
    <w:rsid w:val="007B2609"/>
    <w:rsid w:val="007C0476"/>
    <w:rsid w:val="007D3C14"/>
    <w:rsid w:val="007E1AC8"/>
    <w:rsid w:val="007E22A7"/>
    <w:rsid w:val="007E282D"/>
    <w:rsid w:val="007E6C57"/>
    <w:rsid w:val="007E7C07"/>
    <w:rsid w:val="007F3528"/>
    <w:rsid w:val="007F417E"/>
    <w:rsid w:val="007F673C"/>
    <w:rsid w:val="00800B35"/>
    <w:rsid w:val="00805D8F"/>
    <w:rsid w:val="0080610B"/>
    <w:rsid w:val="008151E2"/>
    <w:rsid w:val="00824030"/>
    <w:rsid w:val="00826717"/>
    <w:rsid w:val="0083023F"/>
    <w:rsid w:val="008322E5"/>
    <w:rsid w:val="00832AC3"/>
    <w:rsid w:val="00833204"/>
    <w:rsid w:val="00833C4C"/>
    <w:rsid w:val="0083796A"/>
    <w:rsid w:val="0084023B"/>
    <w:rsid w:val="00843A30"/>
    <w:rsid w:val="00843B24"/>
    <w:rsid w:val="00844F16"/>
    <w:rsid w:val="008459E4"/>
    <w:rsid w:val="008503EC"/>
    <w:rsid w:val="00861C3E"/>
    <w:rsid w:val="008646E8"/>
    <w:rsid w:val="00876EAD"/>
    <w:rsid w:val="008815BD"/>
    <w:rsid w:val="00887E7B"/>
    <w:rsid w:val="00891DA7"/>
    <w:rsid w:val="00894C9B"/>
    <w:rsid w:val="008A693C"/>
    <w:rsid w:val="008B001E"/>
    <w:rsid w:val="008B5218"/>
    <w:rsid w:val="008B6B50"/>
    <w:rsid w:val="008C2F1C"/>
    <w:rsid w:val="008C527A"/>
    <w:rsid w:val="008D0C4C"/>
    <w:rsid w:val="008D24BE"/>
    <w:rsid w:val="008D2A77"/>
    <w:rsid w:val="008E44BA"/>
    <w:rsid w:val="008E6D55"/>
    <w:rsid w:val="008F225A"/>
    <w:rsid w:val="008F3DF5"/>
    <w:rsid w:val="009006EC"/>
    <w:rsid w:val="00902596"/>
    <w:rsid w:val="00907B6B"/>
    <w:rsid w:val="00911869"/>
    <w:rsid w:val="0091529C"/>
    <w:rsid w:val="009164F4"/>
    <w:rsid w:val="00916B16"/>
    <w:rsid w:val="00920A27"/>
    <w:rsid w:val="009233F2"/>
    <w:rsid w:val="00934EC6"/>
    <w:rsid w:val="00940C50"/>
    <w:rsid w:val="009466E3"/>
    <w:rsid w:val="00947B6E"/>
    <w:rsid w:val="0095330F"/>
    <w:rsid w:val="00955E1D"/>
    <w:rsid w:val="00956C34"/>
    <w:rsid w:val="00960647"/>
    <w:rsid w:val="00962424"/>
    <w:rsid w:val="00962725"/>
    <w:rsid w:val="009635CB"/>
    <w:rsid w:val="00963D8B"/>
    <w:rsid w:val="00967BF3"/>
    <w:rsid w:val="00973B87"/>
    <w:rsid w:val="00981C2C"/>
    <w:rsid w:val="00984246"/>
    <w:rsid w:val="00986F0B"/>
    <w:rsid w:val="00991986"/>
    <w:rsid w:val="009920AD"/>
    <w:rsid w:val="009A0AEF"/>
    <w:rsid w:val="009A4898"/>
    <w:rsid w:val="009A4F98"/>
    <w:rsid w:val="009B5E02"/>
    <w:rsid w:val="009C01D1"/>
    <w:rsid w:val="009C223B"/>
    <w:rsid w:val="009C46D8"/>
    <w:rsid w:val="009C7777"/>
    <w:rsid w:val="009D26EB"/>
    <w:rsid w:val="009D63CA"/>
    <w:rsid w:val="009D701D"/>
    <w:rsid w:val="009E35C7"/>
    <w:rsid w:val="00A01C5E"/>
    <w:rsid w:val="00A07E79"/>
    <w:rsid w:val="00A122AC"/>
    <w:rsid w:val="00A1256C"/>
    <w:rsid w:val="00A12F87"/>
    <w:rsid w:val="00A17774"/>
    <w:rsid w:val="00A243D2"/>
    <w:rsid w:val="00A30CD3"/>
    <w:rsid w:val="00A36E26"/>
    <w:rsid w:val="00A53BD6"/>
    <w:rsid w:val="00A54D94"/>
    <w:rsid w:val="00A55E4F"/>
    <w:rsid w:val="00A71256"/>
    <w:rsid w:val="00A714FE"/>
    <w:rsid w:val="00A7792D"/>
    <w:rsid w:val="00A82496"/>
    <w:rsid w:val="00A874B3"/>
    <w:rsid w:val="00A90B48"/>
    <w:rsid w:val="00A93788"/>
    <w:rsid w:val="00A93B35"/>
    <w:rsid w:val="00A9721B"/>
    <w:rsid w:val="00AA4884"/>
    <w:rsid w:val="00AB0D31"/>
    <w:rsid w:val="00AB4755"/>
    <w:rsid w:val="00AC35F8"/>
    <w:rsid w:val="00AC6D94"/>
    <w:rsid w:val="00AD4710"/>
    <w:rsid w:val="00AE19F0"/>
    <w:rsid w:val="00AF0764"/>
    <w:rsid w:val="00AF332E"/>
    <w:rsid w:val="00AF35CF"/>
    <w:rsid w:val="00AF3A7B"/>
    <w:rsid w:val="00AF7FA1"/>
    <w:rsid w:val="00B058F9"/>
    <w:rsid w:val="00B074F9"/>
    <w:rsid w:val="00B13A0D"/>
    <w:rsid w:val="00B20DA5"/>
    <w:rsid w:val="00B22DA4"/>
    <w:rsid w:val="00B33670"/>
    <w:rsid w:val="00B41443"/>
    <w:rsid w:val="00B42735"/>
    <w:rsid w:val="00B440E4"/>
    <w:rsid w:val="00B50829"/>
    <w:rsid w:val="00B51CCD"/>
    <w:rsid w:val="00B560AD"/>
    <w:rsid w:val="00B6296C"/>
    <w:rsid w:val="00B639E4"/>
    <w:rsid w:val="00B71088"/>
    <w:rsid w:val="00B847E7"/>
    <w:rsid w:val="00B87323"/>
    <w:rsid w:val="00B93849"/>
    <w:rsid w:val="00B94194"/>
    <w:rsid w:val="00B95AE9"/>
    <w:rsid w:val="00BA4B79"/>
    <w:rsid w:val="00BB2C02"/>
    <w:rsid w:val="00BB720A"/>
    <w:rsid w:val="00BB7441"/>
    <w:rsid w:val="00BC1E2E"/>
    <w:rsid w:val="00BC79F9"/>
    <w:rsid w:val="00BD6371"/>
    <w:rsid w:val="00BD7A78"/>
    <w:rsid w:val="00BE289F"/>
    <w:rsid w:val="00BE2F82"/>
    <w:rsid w:val="00BE3396"/>
    <w:rsid w:val="00BE6D15"/>
    <w:rsid w:val="00BF51D7"/>
    <w:rsid w:val="00BF6782"/>
    <w:rsid w:val="00BF7BEC"/>
    <w:rsid w:val="00C029A8"/>
    <w:rsid w:val="00C06057"/>
    <w:rsid w:val="00C066A8"/>
    <w:rsid w:val="00C0743F"/>
    <w:rsid w:val="00C1062C"/>
    <w:rsid w:val="00C10CA5"/>
    <w:rsid w:val="00C11191"/>
    <w:rsid w:val="00C231C3"/>
    <w:rsid w:val="00C26047"/>
    <w:rsid w:val="00C26533"/>
    <w:rsid w:val="00C35B0F"/>
    <w:rsid w:val="00C37DF4"/>
    <w:rsid w:val="00C42501"/>
    <w:rsid w:val="00C51A57"/>
    <w:rsid w:val="00C53CA5"/>
    <w:rsid w:val="00C557A9"/>
    <w:rsid w:val="00C7079A"/>
    <w:rsid w:val="00C77CFB"/>
    <w:rsid w:val="00C80C5B"/>
    <w:rsid w:val="00C8520A"/>
    <w:rsid w:val="00C871C2"/>
    <w:rsid w:val="00C932B1"/>
    <w:rsid w:val="00CA3F8B"/>
    <w:rsid w:val="00CA6A4B"/>
    <w:rsid w:val="00CA7EB6"/>
    <w:rsid w:val="00CC7437"/>
    <w:rsid w:val="00CD41DE"/>
    <w:rsid w:val="00CD5968"/>
    <w:rsid w:val="00CD779B"/>
    <w:rsid w:val="00CE0F10"/>
    <w:rsid w:val="00CE189D"/>
    <w:rsid w:val="00CE5DD9"/>
    <w:rsid w:val="00CF39CD"/>
    <w:rsid w:val="00CF63FD"/>
    <w:rsid w:val="00D07EB2"/>
    <w:rsid w:val="00D10D9E"/>
    <w:rsid w:val="00D13E0E"/>
    <w:rsid w:val="00D30DDA"/>
    <w:rsid w:val="00D32CC7"/>
    <w:rsid w:val="00D375F0"/>
    <w:rsid w:val="00D41738"/>
    <w:rsid w:val="00D46926"/>
    <w:rsid w:val="00D509D0"/>
    <w:rsid w:val="00D50EE6"/>
    <w:rsid w:val="00D63BF8"/>
    <w:rsid w:val="00D8104A"/>
    <w:rsid w:val="00D84E63"/>
    <w:rsid w:val="00D9069A"/>
    <w:rsid w:val="00D963F6"/>
    <w:rsid w:val="00D9676A"/>
    <w:rsid w:val="00DC3644"/>
    <w:rsid w:val="00DC47C5"/>
    <w:rsid w:val="00DD1A19"/>
    <w:rsid w:val="00DD4979"/>
    <w:rsid w:val="00DD50E2"/>
    <w:rsid w:val="00DD5F0A"/>
    <w:rsid w:val="00DE593D"/>
    <w:rsid w:val="00DE5DB1"/>
    <w:rsid w:val="00DF41E8"/>
    <w:rsid w:val="00DF680F"/>
    <w:rsid w:val="00E013BB"/>
    <w:rsid w:val="00E02690"/>
    <w:rsid w:val="00E052C7"/>
    <w:rsid w:val="00E059A4"/>
    <w:rsid w:val="00E17111"/>
    <w:rsid w:val="00E172E3"/>
    <w:rsid w:val="00E21BA6"/>
    <w:rsid w:val="00E27A8C"/>
    <w:rsid w:val="00E36768"/>
    <w:rsid w:val="00E41D57"/>
    <w:rsid w:val="00E46AC6"/>
    <w:rsid w:val="00E56A41"/>
    <w:rsid w:val="00E6230E"/>
    <w:rsid w:val="00E63295"/>
    <w:rsid w:val="00E65DC8"/>
    <w:rsid w:val="00E700CF"/>
    <w:rsid w:val="00E70E88"/>
    <w:rsid w:val="00E777C9"/>
    <w:rsid w:val="00EA03E5"/>
    <w:rsid w:val="00EA09F7"/>
    <w:rsid w:val="00EA7F42"/>
    <w:rsid w:val="00EC0914"/>
    <w:rsid w:val="00EC4279"/>
    <w:rsid w:val="00EC5497"/>
    <w:rsid w:val="00ED1295"/>
    <w:rsid w:val="00ED3642"/>
    <w:rsid w:val="00EE044E"/>
    <w:rsid w:val="00EF289D"/>
    <w:rsid w:val="00EF4107"/>
    <w:rsid w:val="00F014D0"/>
    <w:rsid w:val="00F040F0"/>
    <w:rsid w:val="00F05ED5"/>
    <w:rsid w:val="00F07D06"/>
    <w:rsid w:val="00F118F1"/>
    <w:rsid w:val="00F12B8C"/>
    <w:rsid w:val="00F14A92"/>
    <w:rsid w:val="00F15AEF"/>
    <w:rsid w:val="00F24A7D"/>
    <w:rsid w:val="00F2620E"/>
    <w:rsid w:val="00F33F93"/>
    <w:rsid w:val="00F40FC5"/>
    <w:rsid w:val="00F55A03"/>
    <w:rsid w:val="00F62345"/>
    <w:rsid w:val="00F63025"/>
    <w:rsid w:val="00F646E3"/>
    <w:rsid w:val="00F74F33"/>
    <w:rsid w:val="00F87042"/>
    <w:rsid w:val="00F90285"/>
    <w:rsid w:val="00F94E2B"/>
    <w:rsid w:val="00FA017E"/>
    <w:rsid w:val="00FA01C6"/>
    <w:rsid w:val="00FA0911"/>
    <w:rsid w:val="00FB6709"/>
    <w:rsid w:val="00FB6AF5"/>
    <w:rsid w:val="00FC1669"/>
    <w:rsid w:val="00FC331F"/>
    <w:rsid w:val="00FC51E5"/>
    <w:rsid w:val="00FC5484"/>
    <w:rsid w:val="00FD181F"/>
    <w:rsid w:val="00FD2899"/>
    <w:rsid w:val="00FD7800"/>
    <w:rsid w:val="00FE4387"/>
    <w:rsid w:val="00FE73BE"/>
    <w:rsid w:val="00FF5700"/>
    <w:rsid w:val="00FF6FAD"/>
    <w:rsid w:val="00FF7C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7DCB3B4B"/>
  <w15:docId w15:val="{02A63E97-A302-490A-B6D0-F26F5FB0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1B"/>
    <w:pPr>
      <w:spacing w:before="120"/>
    </w:pPr>
    <w:rPr>
      <w:sz w:val="24"/>
      <w:lang w:val="en-GB"/>
    </w:rPr>
  </w:style>
  <w:style w:type="paragraph" w:styleId="Heading1">
    <w:name w:val="heading 1"/>
    <w:basedOn w:val="Normal"/>
    <w:next w:val="Normal"/>
    <w:link w:val="Heading1Char"/>
    <w:uiPriority w:val="1"/>
    <w:qFormat/>
    <w:rsid w:val="00F14A92"/>
    <w:pPr>
      <w:keepNext/>
      <w:numPr>
        <w:numId w:val="1"/>
      </w:numPr>
      <w:spacing w:before="240" w:after="60"/>
      <w:outlineLvl w:val="0"/>
    </w:pPr>
    <w:rPr>
      <w:rFonts w:cs="Arial"/>
      <w:b/>
      <w:bCs/>
      <w:kern w:val="32"/>
      <w:szCs w:val="32"/>
      <w:lang w:eastAsia="ja-JP"/>
    </w:rPr>
  </w:style>
  <w:style w:type="paragraph" w:styleId="Heading2">
    <w:name w:val="heading 2"/>
    <w:aliases w:val="Heading 2 Char1,Heading 2 Char Char"/>
    <w:basedOn w:val="Normal"/>
    <w:next w:val="Normal"/>
    <w:link w:val="Heading2Char"/>
    <w:uiPriority w:val="1"/>
    <w:qFormat/>
    <w:rsid w:val="00F14A92"/>
    <w:pPr>
      <w:keepNext/>
      <w:numPr>
        <w:ilvl w:val="1"/>
        <w:numId w:val="1"/>
      </w:numPr>
      <w:spacing w:before="240" w:after="60"/>
      <w:outlineLvl w:val="1"/>
    </w:pPr>
    <w:rPr>
      <w:rFonts w:cs="Arial"/>
      <w:b/>
      <w:bCs/>
      <w:iCs/>
      <w:szCs w:val="28"/>
      <w:lang w:eastAsia="ja-JP"/>
    </w:rPr>
  </w:style>
  <w:style w:type="paragraph" w:styleId="Heading3">
    <w:name w:val="heading 3"/>
    <w:basedOn w:val="Normal"/>
    <w:next w:val="Normal"/>
    <w:link w:val="Heading3Char"/>
    <w:uiPriority w:val="1"/>
    <w:qFormat/>
    <w:rsid w:val="00F14A92"/>
    <w:pPr>
      <w:keepNext/>
      <w:numPr>
        <w:ilvl w:val="2"/>
        <w:numId w:val="1"/>
      </w:numPr>
      <w:spacing w:before="240" w:after="60"/>
      <w:outlineLvl w:val="2"/>
    </w:pPr>
    <w:rPr>
      <w:rFonts w:cs="Arial"/>
      <w:b/>
      <w:bCs/>
      <w:szCs w:val="26"/>
      <w:lang w:eastAsia="ja-JP"/>
    </w:rPr>
  </w:style>
  <w:style w:type="paragraph" w:styleId="Heading4">
    <w:name w:val="heading 4"/>
    <w:basedOn w:val="Normal"/>
    <w:next w:val="Normal"/>
    <w:link w:val="Heading4Char"/>
    <w:uiPriority w:val="1"/>
    <w:qFormat/>
    <w:rsid w:val="00F14A92"/>
    <w:pPr>
      <w:keepNext/>
      <w:numPr>
        <w:ilvl w:val="3"/>
        <w:numId w:val="1"/>
      </w:numPr>
      <w:spacing w:before="240" w:after="60"/>
      <w:outlineLvl w:val="3"/>
    </w:pPr>
    <w:rPr>
      <w:b/>
      <w:bCs/>
      <w:szCs w:val="28"/>
      <w:lang w:eastAsia="ja-JP"/>
    </w:rPr>
  </w:style>
  <w:style w:type="paragraph" w:styleId="Heading5">
    <w:name w:val="heading 5"/>
    <w:basedOn w:val="Normal"/>
    <w:next w:val="Normal"/>
    <w:link w:val="Heading5Char"/>
    <w:uiPriority w:val="1"/>
    <w:qFormat/>
    <w:rsid w:val="00F14A92"/>
    <w:pPr>
      <w:numPr>
        <w:ilvl w:val="4"/>
        <w:numId w:val="1"/>
      </w:numPr>
      <w:spacing w:before="240" w:after="60"/>
      <w:outlineLvl w:val="4"/>
    </w:pPr>
    <w:rPr>
      <w:b/>
      <w:bCs/>
      <w:i/>
      <w:iCs/>
      <w:szCs w:val="26"/>
      <w:lang w:eastAsia="ja-JP"/>
    </w:rPr>
  </w:style>
  <w:style w:type="paragraph" w:styleId="Heading6">
    <w:name w:val="heading 6"/>
    <w:basedOn w:val="Normal"/>
    <w:next w:val="Normal"/>
    <w:link w:val="Heading6Char"/>
    <w:uiPriority w:val="1"/>
    <w:qFormat/>
    <w:rsid w:val="00F14A92"/>
    <w:pPr>
      <w:numPr>
        <w:ilvl w:val="5"/>
        <w:numId w:val="1"/>
      </w:numPr>
      <w:spacing w:before="240" w:after="60"/>
      <w:outlineLvl w:val="5"/>
    </w:pPr>
    <w:rPr>
      <w:b/>
      <w:bCs/>
      <w:szCs w:val="22"/>
      <w:lang w:eastAsia="ja-JP"/>
    </w:rPr>
  </w:style>
  <w:style w:type="paragraph" w:styleId="Heading7">
    <w:name w:val="heading 7"/>
    <w:basedOn w:val="Normal"/>
    <w:next w:val="Normal"/>
    <w:link w:val="Heading7Char"/>
    <w:uiPriority w:val="1"/>
    <w:qFormat/>
    <w:rsid w:val="00F14A92"/>
    <w:pPr>
      <w:numPr>
        <w:ilvl w:val="6"/>
        <w:numId w:val="1"/>
      </w:numPr>
      <w:spacing w:before="240" w:after="60"/>
      <w:outlineLvl w:val="6"/>
    </w:pPr>
    <w:rPr>
      <w:szCs w:val="24"/>
      <w:lang w:eastAsia="ja-JP"/>
    </w:rPr>
  </w:style>
  <w:style w:type="paragraph" w:styleId="Heading8">
    <w:name w:val="heading 8"/>
    <w:basedOn w:val="Normal"/>
    <w:next w:val="Normal"/>
    <w:link w:val="Heading8Char"/>
    <w:uiPriority w:val="1"/>
    <w:qFormat/>
    <w:rsid w:val="00F14A92"/>
    <w:pPr>
      <w:numPr>
        <w:ilvl w:val="7"/>
        <w:numId w:val="1"/>
      </w:numPr>
      <w:spacing w:before="240" w:after="60"/>
      <w:outlineLvl w:val="7"/>
    </w:pPr>
    <w:rPr>
      <w:i/>
      <w:iCs/>
      <w:szCs w:val="24"/>
      <w:lang w:eastAsia="ja-JP"/>
    </w:rPr>
  </w:style>
  <w:style w:type="paragraph" w:styleId="Heading9">
    <w:name w:val="heading 9"/>
    <w:basedOn w:val="Normal"/>
    <w:next w:val="Normal"/>
    <w:link w:val="Heading9Char"/>
    <w:uiPriority w:val="1"/>
    <w:qFormat/>
    <w:rsid w:val="00F14A92"/>
    <w:pPr>
      <w:numPr>
        <w:ilvl w:val="8"/>
        <w:numId w:val="1"/>
      </w:numPr>
      <w:spacing w:before="240" w:after="60"/>
      <w:outlineLvl w:val="8"/>
    </w:pPr>
    <w:rPr>
      <w:rFonts w:cs="Arial"/>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E391E"/>
    <w:pPr>
      <w:spacing w:after="120"/>
    </w:pPr>
    <w:rPr>
      <w:rFonts w:ascii="Times New Roman Bold" w:hAnsi="Times New Roman Bold" w:cs="Times New Roman Bold"/>
      <w:b/>
      <w:bC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BoxesNotitle">
    <w:name w:val="Boxes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paragraph" w:styleId="BalloonText">
    <w:name w:val="Balloon Text"/>
    <w:basedOn w:val="Normal"/>
    <w:link w:val="BalloonTextChar"/>
    <w:uiPriority w:val="99"/>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uiPriority w:val="99"/>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eastAsia="en-US"/>
    </w:rPr>
  </w:style>
  <w:style w:type="paragraph" w:styleId="List2">
    <w:name w:val="List 2"/>
    <w:basedOn w:val="Normal"/>
    <w:uiPriority w:val="99"/>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eastAsia="en-US"/>
    </w:rPr>
  </w:style>
  <w:style w:type="paragraph" w:styleId="Caption">
    <w:name w:val="caption"/>
    <w:basedOn w:val="Normal"/>
    <w:next w:val="Normal"/>
    <w:link w:val="CaptionChar"/>
    <w:uiPriority w:val="1"/>
    <w:qFormat/>
    <w:rsid w:val="0060241A"/>
    <w:pPr>
      <w:spacing w:after="120"/>
      <w:jc w:val="center"/>
    </w:pPr>
    <w:rPr>
      <w:rFonts w:eastAsia="Times New Roman"/>
      <w:b/>
      <w:bCs/>
      <w:szCs w:val="24"/>
      <w:lang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uiPriority w:val="9"/>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C8520A"/>
    <w:pPr>
      <w:spacing w:before="0" w:after="200" w:line="276" w:lineRule="auto"/>
      <w:ind w:left="720"/>
      <w:contextualSpacing/>
      <w:jc w:val="both"/>
    </w:pPr>
    <w:rPr>
      <w:rFonts w:ascii="Calibri" w:hAnsi="Calibri" w:cs="Arial"/>
      <w:sz w:val="22"/>
      <w:szCs w:val="22"/>
    </w:rPr>
  </w:style>
  <w:style w:type="character" w:customStyle="1" w:styleId="ListParagraphChar">
    <w:name w:val="List Paragraph Char"/>
    <w:aliases w:val="NUMBERED PARAGRAPH Char,List Paragraph 1 Char,List Paragraph (numbered (a)) Char,Use Case List Paragraph Char,References Char,ReferencesCxSpLast Char,lp1 Char"/>
    <w:link w:val="ListParagraph"/>
    <w:uiPriority w:val="34"/>
    <w:rsid w:val="00C8520A"/>
    <w:rPr>
      <w:rFonts w:ascii="Calibri" w:hAnsi="Calibri" w:cs="Arial"/>
      <w:sz w:val="22"/>
      <w:szCs w:val="22"/>
    </w:rPr>
  </w:style>
  <w:style w:type="paragraph" w:styleId="BodyText">
    <w:name w:val="Body Text"/>
    <w:basedOn w:val="Normal"/>
    <w:link w:val="BodyTextChar"/>
    <w:uiPriority w:val="99"/>
    <w:unhideWhenUsed/>
    <w:qFormat/>
    <w:rsid w:val="00C8520A"/>
    <w:pPr>
      <w:spacing w:before="0" w:after="120" w:line="288" w:lineRule="auto"/>
    </w:pPr>
    <w:rPr>
      <w:rFonts w:asciiTheme="minorHAnsi" w:eastAsiaTheme="minorEastAsia" w:hAnsiTheme="minorHAnsi" w:cstheme="minorBidi"/>
      <w:sz w:val="20"/>
      <w:lang w:eastAsia="en-ZA"/>
    </w:rPr>
  </w:style>
  <w:style w:type="character" w:customStyle="1" w:styleId="BodyTextChar">
    <w:name w:val="Body Text Char"/>
    <w:basedOn w:val="DefaultParagraphFont"/>
    <w:link w:val="BodyText"/>
    <w:uiPriority w:val="99"/>
    <w:rsid w:val="00C8520A"/>
    <w:rPr>
      <w:rFonts w:asciiTheme="minorHAnsi" w:eastAsiaTheme="minorEastAsia" w:hAnsiTheme="minorHAnsi" w:cstheme="minorBidi"/>
      <w:lang w:eastAsia="en-ZA"/>
    </w:rPr>
  </w:style>
  <w:style w:type="paragraph" w:customStyle="1" w:styleId="Enumlev">
    <w:name w:val="Enumlev`"/>
    <w:basedOn w:val="ListParagraph"/>
    <w:qFormat/>
    <w:rsid w:val="00C8520A"/>
    <w:pPr>
      <w:numPr>
        <w:numId w:val="2"/>
      </w:numPr>
      <w:spacing w:before="120" w:after="120" w:line="288" w:lineRule="auto"/>
      <w:contextualSpacing w:val="0"/>
      <w:jc w:val="left"/>
    </w:pPr>
    <w:rPr>
      <w:b/>
      <w:color w:val="C0504D" w:themeColor="accent2"/>
    </w:rPr>
  </w:style>
  <w:style w:type="paragraph" w:customStyle="1" w:styleId="Enumlev1">
    <w:name w:val="Enumlev1"/>
    <w:basedOn w:val="Enumlev"/>
    <w:qFormat/>
    <w:rsid w:val="00C8520A"/>
    <w:pPr>
      <w:numPr>
        <w:numId w:val="0"/>
      </w:numPr>
    </w:pPr>
  </w:style>
  <w:style w:type="paragraph" w:customStyle="1" w:styleId="enumlev10">
    <w:name w:val="enumlev1"/>
    <w:basedOn w:val="Normal"/>
    <w:rsid w:val="00C8520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lang w:eastAsia="en-US"/>
    </w:rPr>
  </w:style>
  <w:style w:type="paragraph" w:customStyle="1" w:styleId="subbullet">
    <w:name w:val="subbullet"/>
    <w:basedOn w:val="Normal"/>
    <w:qFormat/>
    <w:rsid w:val="00C8520A"/>
    <w:pPr>
      <w:numPr>
        <w:ilvl w:val="1"/>
        <w:numId w:val="3"/>
      </w:numPr>
      <w:tabs>
        <w:tab w:val="num" w:pos="360"/>
      </w:tabs>
      <w:spacing w:before="0" w:after="60"/>
      <w:ind w:left="1620" w:hanging="270"/>
    </w:pPr>
    <w:rPr>
      <w:rFonts w:asciiTheme="minorHAnsi" w:eastAsiaTheme="minorEastAsia" w:hAnsiTheme="minorHAnsi" w:cstheme="minorBidi"/>
      <w:sz w:val="20"/>
      <w:lang w:eastAsia="en-US"/>
    </w:rPr>
  </w:style>
  <w:style w:type="paragraph" w:customStyle="1" w:styleId="Enumlev2">
    <w:name w:val="Enumlev2"/>
    <w:basedOn w:val="subbullet"/>
    <w:qFormat/>
    <w:rsid w:val="00C8520A"/>
    <w:pPr>
      <w:numPr>
        <w:ilvl w:val="0"/>
        <w:numId w:val="0"/>
      </w:numPr>
      <w:tabs>
        <w:tab w:val="left" w:pos="1620"/>
      </w:tabs>
      <w:spacing w:before="120" w:after="120" w:line="288" w:lineRule="auto"/>
    </w:pPr>
  </w:style>
  <w:style w:type="paragraph" w:customStyle="1" w:styleId="enumlev20">
    <w:name w:val="enumlev2"/>
    <w:basedOn w:val="enumlev10"/>
    <w:rsid w:val="00C8520A"/>
    <w:pPr>
      <w:ind w:left="1191" w:hanging="397"/>
    </w:pPr>
  </w:style>
  <w:style w:type="paragraph" w:customStyle="1" w:styleId="Note">
    <w:name w:val="Note"/>
    <w:basedOn w:val="Normal"/>
    <w:qFormat/>
    <w:rsid w:val="00C8520A"/>
    <w:pPr>
      <w:shd w:val="clear" w:color="auto" w:fill="E6E6E6"/>
      <w:ind w:left="720"/>
    </w:pPr>
    <w:rPr>
      <w:i/>
    </w:rPr>
  </w:style>
  <w:style w:type="paragraph" w:styleId="FootnoteText">
    <w:name w:val="footnote text"/>
    <w:aliases w:val="single space,FOOTNOTES,fn,ADB,WB-Fuﬂnotentext,Footnote,Fuﬂnote,footnote text,WB-Fußnotentext,Fußnote,ALTS FOOTNOTE,Footnote Text Char2 Char,Footnote Text Char1 Char Char,Footnote Text Char2 Char Char Char,ft,stile 1,f,Testo_note,DNV-"/>
    <w:basedOn w:val="Normal"/>
    <w:link w:val="FootnoteTextChar"/>
    <w:uiPriority w:val="99"/>
    <w:unhideWhenUsed/>
    <w:qFormat/>
    <w:rsid w:val="001866DC"/>
    <w:pPr>
      <w:spacing w:before="0"/>
    </w:pPr>
    <w:rPr>
      <w:rFonts w:asciiTheme="minorHAnsi" w:eastAsiaTheme="minorEastAsia" w:hAnsiTheme="minorHAnsi" w:cstheme="minorBidi"/>
      <w:sz w:val="18"/>
      <w:szCs w:val="24"/>
      <w:lang w:eastAsia="en-US"/>
    </w:rPr>
  </w:style>
  <w:style w:type="character" w:customStyle="1" w:styleId="FootnoteTextChar">
    <w:name w:val="Footnote Text Char"/>
    <w:aliases w:val="single space Char1,FOOTNOTES Char1,fn Char1,ADB Char1,WB-Fuﬂnotentext Char1,Footnote Char1,Fuﬂnote Char1,footnote text Char1,WB-Fußnotentext Char1,Fußnote Char1,ALTS FOOTNOTE Char1,Footnote Text Char2 Char Char1,ft Char1,stile 1 Char"/>
    <w:basedOn w:val="DefaultParagraphFont"/>
    <w:link w:val="FootnoteText"/>
    <w:uiPriority w:val="99"/>
    <w:rsid w:val="001866DC"/>
    <w:rPr>
      <w:rFonts w:asciiTheme="minorHAnsi" w:eastAsiaTheme="minorEastAsia" w:hAnsiTheme="minorHAnsi" w:cstheme="minorBidi"/>
      <w:sz w:val="18"/>
      <w:szCs w:val="24"/>
      <w:lang w:eastAsia="en-US"/>
    </w:rPr>
  </w:style>
  <w:style w:type="character" w:styleId="FootnoteReference">
    <w:name w:val="footnote reference"/>
    <w:aliases w:val="Char Char,ftref,BVI fnr,16 Point,Superscript 6 Point,Ref,de nota al pie,fr,Used by Word for Help footnote symbols,Car Car Char Car Char Car Car Char Car Char Char,SUPERS,BVI f,Car Car Char Car Char Car Car Char Car Char Cha,number,o"/>
    <w:basedOn w:val="DefaultParagraphFont"/>
    <w:uiPriority w:val="99"/>
    <w:unhideWhenUsed/>
    <w:qFormat/>
    <w:rsid w:val="001866DC"/>
    <w:rPr>
      <w:vertAlign w:val="superscript"/>
    </w:rPr>
  </w:style>
  <w:style w:type="paragraph" w:customStyle="1" w:styleId="bullet">
    <w:name w:val="bullet"/>
    <w:basedOn w:val="ListParagraph"/>
    <w:qFormat/>
    <w:rsid w:val="007F3528"/>
    <w:pPr>
      <w:spacing w:after="60" w:line="240" w:lineRule="auto"/>
      <w:ind w:left="360" w:hanging="360"/>
      <w:contextualSpacing w:val="0"/>
      <w:jc w:val="left"/>
    </w:pPr>
    <w:rPr>
      <w:rFonts w:asciiTheme="minorHAnsi" w:eastAsiaTheme="minorEastAsia" w:hAnsiTheme="minorHAnsi" w:cstheme="minorBidi"/>
      <w:sz w:val="20"/>
      <w:szCs w:val="20"/>
      <w:lang w:eastAsia="en-US"/>
    </w:rPr>
  </w:style>
  <w:style w:type="paragraph" w:customStyle="1" w:styleId="2Bullet">
    <w:name w:val="2Bullet"/>
    <w:basedOn w:val="bullet"/>
    <w:qFormat/>
    <w:rsid w:val="007F3528"/>
    <w:pPr>
      <w:numPr>
        <w:numId w:val="4"/>
      </w:numPr>
      <w:tabs>
        <w:tab w:val="left" w:pos="1260"/>
      </w:tabs>
      <w:spacing w:before="120" w:after="120" w:line="288" w:lineRule="auto"/>
      <w:ind w:left="1260"/>
    </w:pPr>
  </w:style>
  <w:style w:type="paragraph" w:customStyle="1" w:styleId="Headingb0">
    <w:name w:val="Heading b"/>
    <w:basedOn w:val="Normal"/>
    <w:qFormat/>
    <w:rsid w:val="00004356"/>
    <w:pPr>
      <w:tabs>
        <w:tab w:val="num" w:pos="1440"/>
      </w:tabs>
      <w:spacing w:after="120" w:line="360" w:lineRule="auto"/>
      <w:jc w:val="both"/>
    </w:pPr>
    <w:rPr>
      <w:rFonts w:asciiTheme="minorHAnsi" w:hAnsiTheme="minorHAnsi" w:cs="Arial"/>
      <w:szCs w:val="24"/>
    </w:rPr>
  </w:style>
  <w:style w:type="character" w:customStyle="1" w:styleId="FootnoteTextChar1">
    <w:name w:val="Footnote Text Char1"/>
    <w:aliases w:val="Footnote Text Char Char,single space Char,FOOTNOTES Char,fn Char,ADB Char,WB-Fuﬂnotentext Char,Footnote Char,Fuﬂnote Char,footnote text Char,WB-Fußnotentext Char,Fußnote Char,ALTS FOOTNOTE Char,Footnote Text Char2 Char Char,ft Char"/>
    <w:basedOn w:val="DefaultParagraphFont"/>
    <w:uiPriority w:val="99"/>
    <w:rsid w:val="00004356"/>
    <w:rPr>
      <w:rFonts w:ascii="Arial" w:hAnsi="Arial"/>
      <w:sz w:val="18"/>
      <w:lang w:val="en-GB"/>
    </w:rPr>
  </w:style>
  <w:style w:type="character" w:customStyle="1" w:styleId="CaptionChar">
    <w:name w:val="Caption Char"/>
    <w:link w:val="Caption"/>
    <w:rsid w:val="00004356"/>
    <w:rPr>
      <w:rFonts w:eastAsia="Times New Roman"/>
      <w:b/>
      <w:bCs/>
      <w:sz w:val="24"/>
      <w:szCs w:val="24"/>
      <w:lang w:val="en-GB" w:eastAsia="en-US"/>
    </w:rPr>
  </w:style>
  <w:style w:type="paragraph" w:customStyle="1" w:styleId="Body">
    <w:name w:val="Body"/>
    <w:basedOn w:val="BodyTextIndent"/>
    <w:link w:val="BodyChar"/>
    <w:rsid w:val="00D375F0"/>
    <w:pPr>
      <w:widowControl w:val="0"/>
      <w:suppressAutoHyphens/>
      <w:spacing w:before="0" w:after="0"/>
      <w:ind w:left="0" w:firstLine="720"/>
      <w:jc w:val="both"/>
    </w:pPr>
    <w:rPr>
      <w:rFonts w:eastAsia="Times New Roman"/>
      <w:spacing w:val="-3"/>
      <w:lang w:val="es-ES" w:eastAsia="es-ES"/>
    </w:rPr>
  </w:style>
  <w:style w:type="character" w:customStyle="1" w:styleId="BodyChar">
    <w:name w:val="Body Char"/>
    <w:basedOn w:val="DefaultParagraphFont"/>
    <w:link w:val="Body"/>
    <w:locked/>
    <w:rsid w:val="00D375F0"/>
    <w:rPr>
      <w:rFonts w:eastAsia="Times New Roman"/>
      <w:spacing w:val="-3"/>
      <w:sz w:val="24"/>
      <w:lang w:val="es-ES" w:eastAsia="es-ES"/>
    </w:rPr>
  </w:style>
  <w:style w:type="paragraph" w:styleId="BodyTextIndent">
    <w:name w:val="Body Text Indent"/>
    <w:basedOn w:val="Normal"/>
    <w:link w:val="BodyTextIndentChar"/>
    <w:semiHidden/>
    <w:unhideWhenUsed/>
    <w:rsid w:val="00D375F0"/>
    <w:pPr>
      <w:spacing w:after="120"/>
      <w:ind w:left="283"/>
    </w:pPr>
  </w:style>
  <w:style w:type="character" w:customStyle="1" w:styleId="BodyTextIndentChar">
    <w:name w:val="Body Text Indent Char"/>
    <w:basedOn w:val="DefaultParagraphFont"/>
    <w:link w:val="BodyTextIndent"/>
    <w:semiHidden/>
    <w:rsid w:val="00D375F0"/>
    <w:rPr>
      <w:sz w:val="24"/>
    </w:rPr>
  </w:style>
  <w:style w:type="paragraph" w:customStyle="1" w:styleId="Bullethyphen">
    <w:name w:val="Bullet hyphen"/>
    <w:basedOn w:val="Normal"/>
    <w:rsid w:val="00D375F0"/>
    <w:pPr>
      <w:numPr>
        <w:ilvl w:val="1"/>
        <w:numId w:val="5"/>
      </w:numPr>
      <w:spacing w:before="0" w:after="120"/>
      <w:jc w:val="both"/>
    </w:pPr>
    <w:rPr>
      <w:rFonts w:ascii="Arial" w:hAnsi="Arial"/>
      <w:sz w:val="22"/>
      <w:lang w:eastAsia="en-US"/>
    </w:rPr>
  </w:style>
  <w:style w:type="character" w:customStyle="1" w:styleId="HyperlinkBIS">
    <w:name w:val="HyperlinkBIS"/>
    <w:basedOn w:val="DefaultParagraphFont"/>
    <w:uiPriority w:val="1"/>
    <w:qFormat/>
    <w:rsid w:val="00D375F0"/>
    <w:rPr>
      <w:rFonts w:cs="Segoe UI"/>
      <w:u w:val="single" w:color="B3B3B3"/>
      <w:bdr w:val="none" w:sz="0" w:space="0" w:color="auto"/>
    </w:rPr>
  </w:style>
  <w:style w:type="paragraph" w:customStyle="1" w:styleId="Reftext">
    <w:name w:val="Ref_text"/>
    <w:basedOn w:val="Normal"/>
    <w:rsid w:val="00D375F0"/>
    <w:pPr>
      <w:tabs>
        <w:tab w:val="left" w:pos="794"/>
        <w:tab w:val="left" w:pos="1191"/>
        <w:tab w:val="left" w:pos="1588"/>
        <w:tab w:val="left" w:pos="1985"/>
      </w:tabs>
      <w:overflowPunct w:val="0"/>
      <w:autoSpaceDE w:val="0"/>
      <w:autoSpaceDN w:val="0"/>
      <w:adjustRightInd w:val="0"/>
      <w:ind w:left="794" w:hanging="794"/>
      <w:textAlignment w:val="baseline"/>
    </w:pPr>
    <w:rPr>
      <w:rFonts w:eastAsia="Times New Roman"/>
      <w:lang w:eastAsia="en-US"/>
    </w:rPr>
  </w:style>
  <w:style w:type="character" w:customStyle="1" w:styleId="CommentSubjectChar">
    <w:name w:val="Comment Subject Char"/>
    <w:link w:val="CommentSubject"/>
    <w:uiPriority w:val="99"/>
    <w:rsid w:val="00916B16"/>
    <w:rPr>
      <w:b/>
      <w:bCs/>
    </w:rPr>
  </w:style>
  <w:style w:type="paragraph" w:customStyle="1" w:styleId="ParagraphNumbering">
    <w:name w:val="Paragraph Numbering"/>
    <w:basedOn w:val="Normal"/>
    <w:link w:val="ParagraphNumberingCarattere1"/>
    <w:qFormat/>
    <w:rsid w:val="000E17B9"/>
    <w:pPr>
      <w:numPr>
        <w:numId w:val="6"/>
      </w:numPr>
      <w:spacing w:after="120" w:line="264" w:lineRule="auto"/>
      <w:jc w:val="both"/>
    </w:pPr>
    <w:rPr>
      <w:rFonts w:eastAsia="Calibri"/>
      <w:szCs w:val="24"/>
      <w:lang w:eastAsia="en-US"/>
    </w:rPr>
  </w:style>
  <w:style w:type="character" w:customStyle="1" w:styleId="ParagraphNumberingCarattere1">
    <w:name w:val="Paragraph Numbering Carattere1"/>
    <w:basedOn w:val="DefaultParagraphFont"/>
    <w:link w:val="ParagraphNumbering"/>
    <w:rsid w:val="000E17B9"/>
    <w:rPr>
      <w:rFonts w:eastAsia="Calibri"/>
      <w:sz w:val="24"/>
      <w:szCs w:val="24"/>
      <w:lang w:val="en-GB" w:eastAsia="en-US"/>
    </w:rPr>
  </w:style>
  <w:style w:type="paragraph" w:customStyle="1" w:styleId="FigureNotitle">
    <w:name w:val="Figure_No &amp; title"/>
    <w:basedOn w:val="Normal"/>
    <w:next w:val="Normal"/>
    <w:qFormat/>
    <w:rsid w:val="0039348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character" w:customStyle="1" w:styleId="FooterChar">
    <w:name w:val="Footer Char"/>
    <w:basedOn w:val="DefaultParagraphFont"/>
    <w:link w:val="Footer"/>
    <w:uiPriority w:val="99"/>
    <w:rsid w:val="0065099C"/>
    <w:rPr>
      <w:sz w:val="24"/>
    </w:rPr>
  </w:style>
  <w:style w:type="paragraph" w:styleId="Title">
    <w:name w:val="Title"/>
    <w:basedOn w:val="Normal"/>
    <w:next w:val="Normal"/>
    <w:link w:val="TitleChar"/>
    <w:qFormat/>
    <w:rsid w:val="00A9721B"/>
    <w:pPr>
      <w:spacing w:after="240" w:line="1120" w:lineRule="exact"/>
      <w:contextualSpacing/>
    </w:pPr>
    <w:rPr>
      <w:rFonts w:ascii="Cambria" w:eastAsia="MS Gothic" w:hAnsi="Cambria"/>
      <w:color w:val="88BBEE"/>
      <w:kern w:val="28"/>
      <w:sz w:val="72"/>
      <w:szCs w:val="60"/>
      <w:lang w:eastAsia="en-US"/>
    </w:rPr>
  </w:style>
  <w:style w:type="character" w:customStyle="1" w:styleId="TitleChar">
    <w:name w:val="Title Char"/>
    <w:basedOn w:val="DefaultParagraphFont"/>
    <w:link w:val="Title"/>
    <w:uiPriority w:val="10"/>
    <w:rsid w:val="00A9721B"/>
    <w:rPr>
      <w:rFonts w:ascii="Cambria" w:eastAsia="MS Gothic" w:hAnsi="Cambria"/>
      <w:color w:val="88BBEE"/>
      <w:kern w:val="28"/>
      <w:sz w:val="72"/>
      <w:szCs w:val="60"/>
      <w:lang w:eastAsia="en-US"/>
    </w:rPr>
  </w:style>
  <w:style w:type="character" w:customStyle="1" w:styleId="Heading2Char">
    <w:name w:val="Heading 2 Char"/>
    <w:aliases w:val="Heading 2 Char1 Char,Heading 2 Char Char Char"/>
    <w:link w:val="Heading2"/>
    <w:uiPriority w:val="9"/>
    <w:rsid w:val="00A9721B"/>
    <w:rPr>
      <w:rFonts w:cs="Arial"/>
      <w:b/>
      <w:bCs/>
      <w:iCs/>
      <w:sz w:val="24"/>
      <w:szCs w:val="28"/>
      <w:lang w:val="en-GB" w:eastAsia="ja-JP"/>
    </w:rPr>
  </w:style>
  <w:style w:type="character" w:customStyle="1" w:styleId="Heading3Char">
    <w:name w:val="Heading 3 Char"/>
    <w:link w:val="Heading3"/>
    <w:rsid w:val="00A9721B"/>
    <w:rPr>
      <w:rFonts w:cs="Arial"/>
      <w:b/>
      <w:bCs/>
      <w:sz w:val="24"/>
      <w:szCs w:val="26"/>
      <w:lang w:val="en-GB" w:eastAsia="ja-JP"/>
    </w:rPr>
  </w:style>
  <w:style w:type="character" w:customStyle="1" w:styleId="Heading4Char">
    <w:name w:val="Heading 4 Char"/>
    <w:link w:val="Heading4"/>
    <w:rsid w:val="00A9721B"/>
    <w:rPr>
      <w:b/>
      <w:bCs/>
      <w:sz w:val="24"/>
      <w:szCs w:val="28"/>
      <w:lang w:val="en-GB" w:eastAsia="ja-JP"/>
    </w:rPr>
  </w:style>
  <w:style w:type="character" w:customStyle="1" w:styleId="Heading5Char">
    <w:name w:val="Heading 5 Char"/>
    <w:link w:val="Heading5"/>
    <w:rsid w:val="00A9721B"/>
    <w:rPr>
      <w:b/>
      <w:bCs/>
      <w:i/>
      <w:iCs/>
      <w:sz w:val="24"/>
      <w:szCs w:val="26"/>
      <w:lang w:val="en-GB" w:eastAsia="ja-JP"/>
    </w:rPr>
  </w:style>
  <w:style w:type="character" w:customStyle="1" w:styleId="Heading6Char">
    <w:name w:val="Heading 6 Char"/>
    <w:link w:val="Heading6"/>
    <w:rsid w:val="00A9721B"/>
    <w:rPr>
      <w:b/>
      <w:bCs/>
      <w:sz w:val="24"/>
      <w:szCs w:val="22"/>
      <w:lang w:val="en-GB" w:eastAsia="ja-JP"/>
    </w:rPr>
  </w:style>
  <w:style w:type="character" w:customStyle="1" w:styleId="Heading7Char">
    <w:name w:val="Heading 7 Char"/>
    <w:link w:val="Heading7"/>
    <w:uiPriority w:val="9"/>
    <w:rsid w:val="00A9721B"/>
    <w:rPr>
      <w:sz w:val="24"/>
      <w:szCs w:val="24"/>
      <w:lang w:val="en-GB" w:eastAsia="ja-JP"/>
    </w:rPr>
  </w:style>
  <w:style w:type="character" w:customStyle="1" w:styleId="Heading8Char">
    <w:name w:val="Heading 8 Char"/>
    <w:link w:val="Heading8"/>
    <w:uiPriority w:val="9"/>
    <w:rsid w:val="00A9721B"/>
    <w:rPr>
      <w:i/>
      <w:iCs/>
      <w:sz w:val="24"/>
      <w:szCs w:val="24"/>
      <w:lang w:val="en-GB" w:eastAsia="ja-JP"/>
    </w:rPr>
  </w:style>
  <w:style w:type="character" w:customStyle="1" w:styleId="Heading9Char">
    <w:name w:val="Heading 9 Char"/>
    <w:link w:val="Heading9"/>
    <w:uiPriority w:val="9"/>
    <w:rsid w:val="00A9721B"/>
    <w:rPr>
      <w:rFonts w:cs="Arial"/>
      <w:sz w:val="24"/>
      <w:szCs w:val="22"/>
      <w:lang w:val="en-GB" w:eastAsia="ja-JP"/>
    </w:rPr>
  </w:style>
  <w:style w:type="numbering" w:styleId="111111">
    <w:name w:val="Outline List 2"/>
    <w:basedOn w:val="NoList"/>
    <w:uiPriority w:val="99"/>
    <w:semiHidden/>
    <w:unhideWhenUsed/>
    <w:rsid w:val="00A9721B"/>
    <w:pPr>
      <w:numPr>
        <w:numId w:val="7"/>
      </w:numPr>
    </w:pPr>
  </w:style>
  <w:style w:type="paragraph" w:customStyle="1" w:styleId="Style1">
    <w:name w:val="Style1"/>
    <w:basedOn w:val="Heading4"/>
    <w:rsid w:val="00A9721B"/>
    <w:pPr>
      <w:keepNext w:val="0"/>
      <w:numPr>
        <w:ilvl w:val="0"/>
        <w:numId w:val="0"/>
      </w:numPr>
      <w:spacing w:before="120" w:after="120" w:line="288" w:lineRule="auto"/>
      <w:contextualSpacing/>
    </w:pPr>
    <w:rPr>
      <w:rFonts w:ascii="Arial" w:hAnsi="Arial"/>
      <w:b w:val="0"/>
      <w:bCs w:val="0"/>
      <w:sz w:val="22"/>
      <w:szCs w:val="24"/>
      <w:lang w:val="en-US" w:eastAsia="en-US"/>
    </w:rPr>
  </w:style>
  <w:style w:type="character" w:styleId="SubtleEmphasis">
    <w:name w:val="Subtle Emphasis"/>
    <w:uiPriority w:val="19"/>
    <w:rsid w:val="00A9721B"/>
    <w:rPr>
      <w:i/>
      <w:iCs/>
      <w:color w:val="808080"/>
    </w:rPr>
  </w:style>
  <w:style w:type="paragraph" w:styleId="Subtitle">
    <w:name w:val="Subtitle"/>
    <w:basedOn w:val="Normal"/>
    <w:next w:val="Normal"/>
    <w:link w:val="SubtitleChar"/>
    <w:rsid w:val="00A9721B"/>
    <w:pPr>
      <w:numPr>
        <w:ilvl w:val="1"/>
      </w:numPr>
      <w:spacing w:after="120" w:line="288" w:lineRule="auto"/>
      <w:ind w:left="720"/>
      <w:contextualSpacing/>
    </w:pPr>
    <w:rPr>
      <w:rFonts w:ascii="Trebuchet MS" w:eastAsia="MS Gothic" w:hAnsi="Trebuchet MS"/>
      <w:i/>
      <w:iCs/>
      <w:color w:val="4F81BD"/>
      <w:spacing w:val="15"/>
      <w:sz w:val="20"/>
      <w:szCs w:val="24"/>
      <w:lang w:eastAsia="en-US"/>
    </w:rPr>
  </w:style>
  <w:style w:type="character" w:customStyle="1" w:styleId="SubtitleChar">
    <w:name w:val="Subtitle Char"/>
    <w:basedOn w:val="DefaultParagraphFont"/>
    <w:link w:val="Subtitle"/>
    <w:uiPriority w:val="11"/>
    <w:rsid w:val="00A9721B"/>
    <w:rPr>
      <w:rFonts w:ascii="Trebuchet MS" w:eastAsia="MS Gothic" w:hAnsi="Trebuchet MS"/>
      <w:i/>
      <w:iCs/>
      <w:color w:val="4F81BD"/>
      <w:spacing w:val="15"/>
      <w:szCs w:val="24"/>
      <w:lang w:eastAsia="en-US"/>
    </w:rPr>
  </w:style>
  <w:style w:type="character" w:styleId="BookTitle">
    <w:name w:val="Book Title"/>
    <w:uiPriority w:val="33"/>
    <w:rsid w:val="00A9721B"/>
    <w:rPr>
      <w:b/>
      <w:bCs/>
      <w:smallCaps/>
      <w:spacing w:val="5"/>
    </w:rPr>
  </w:style>
  <w:style w:type="character" w:customStyle="1" w:styleId="BalloonTextChar">
    <w:name w:val="Balloon Text Char"/>
    <w:link w:val="BalloonText"/>
    <w:uiPriority w:val="99"/>
    <w:semiHidden/>
    <w:rsid w:val="00A9721B"/>
    <w:rPr>
      <w:rFonts w:ascii="ヒラギノ角ゴ Pro W3" w:eastAsia="ヒラギノ角ゴ Pro W3"/>
      <w:sz w:val="18"/>
      <w:szCs w:val="18"/>
    </w:rPr>
  </w:style>
  <w:style w:type="character" w:customStyle="1" w:styleId="HeaderChar">
    <w:name w:val="Header Char"/>
    <w:link w:val="Header"/>
    <w:uiPriority w:val="99"/>
    <w:rsid w:val="00A9721B"/>
    <w:rPr>
      <w:sz w:val="24"/>
    </w:rPr>
  </w:style>
  <w:style w:type="paragraph" w:customStyle="1" w:styleId="List21">
    <w:name w:val="List 21"/>
    <w:basedOn w:val="ListParagraph"/>
    <w:next w:val="List2"/>
    <w:qFormat/>
    <w:rsid w:val="00A9721B"/>
    <w:pPr>
      <w:numPr>
        <w:numId w:val="8"/>
      </w:numPr>
      <w:spacing w:before="120" w:after="120" w:line="288" w:lineRule="auto"/>
      <w:contextualSpacing w:val="0"/>
      <w:jc w:val="left"/>
    </w:pPr>
    <w:rPr>
      <w:rFonts w:ascii="Trebuchet MS" w:hAnsi="Trebuchet MS" w:cs="Times New Roman"/>
      <w:sz w:val="20"/>
      <w:szCs w:val="24"/>
      <w:lang w:eastAsia="en-US"/>
    </w:rPr>
  </w:style>
  <w:style w:type="paragraph" w:styleId="NormalWeb">
    <w:name w:val="Normal (Web)"/>
    <w:basedOn w:val="Normal"/>
    <w:uiPriority w:val="99"/>
    <w:unhideWhenUsed/>
    <w:rsid w:val="00A9721B"/>
    <w:pPr>
      <w:spacing w:before="100" w:beforeAutospacing="1" w:after="100" w:afterAutospacing="1" w:line="288" w:lineRule="auto"/>
      <w:contextualSpacing/>
    </w:pPr>
    <w:rPr>
      <w:rFonts w:ascii="Times" w:hAnsi="Times"/>
      <w:sz w:val="20"/>
      <w:szCs w:val="24"/>
      <w:lang w:eastAsia="en-US"/>
    </w:rPr>
  </w:style>
  <w:style w:type="paragraph" w:customStyle="1" w:styleId="tablecontent">
    <w:name w:val="table content"/>
    <w:basedOn w:val="Normal"/>
    <w:qFormat/>
    <w:rsid w:val="00A9721B"/>
    <w:pPr>
      <w:spacing w:line="288" w:lineRule="auto"/>
      <w:contextualSpacing/>
    </w:pPr>
    <w:rPr>
      <w:rFonts w:ascii="Trebuchet MS" w:eastAsia="Times New Roman" w:hAnsi="Trebuchet MS"/>
      <w:sz w:val="18"/>
      <w:szCs w:val="18"/>
      <w:lang w:eastAsia="en-US"/>
    </w:rPr>
  </w:style>
  <w:style w:type="character" w:customStyle="1" w:styleId="CommentTextChar">
    <w:name w:val="Comment Text Char"/>
    <w:basedOn w:val="DefaultParagraphFont"/>
    <w:link w:val="CommentText"/>
    <w:rsid w:val="00A9721B"/>
    <w:rPr>
      <w:rFonts w:eastAsia="Times New Roman"/>
      <w:lang w:eastAsia="en-US"/>
    </w:rPr>
  </w:style>
  <w:style w:type="character" w:customStyle="1" w:styleId="apple-converted-space">
    <w:name w:val="apple-converted-space"/>
    <w:basedOn w:val="DefaultParagraphFont"/>
    <w:rsid w:val="00A9721B"/>
  </w:style>
  <w:style w:type="character" w:styleId="IntenseReference">
    <w:name w:val="Intense Reference"/>
    <w:uiPriority w:val="32"/>
    <w:rsid w:val="00A9721B"/>
    <w:rPr>
      <w:b/>
      <w:bCs/>
      <w:smallCaps/>
      <w:color w:val="C0504D"/>
      <w:spacing w:val="5"/>
      <w:u w:val="single"/>
    </w:rPr>
  </w:style>
  <w:style w:type="character" w:styleId="SubtleReference">
    <w:name w:val="Subtle Reference"/>
    <w:uiPriority w:val="31"/>
    <w:rsid w:val="00A9721B"/>
    <w:rPr>
      <w:smallCaps/>
      <w:color w:val="C0504D"/>
      <w:u w:val="single"/>
    </w:rPr>
  </w:style>
  <w:style w:type="character" w:styleId="IntenseEmphasis">
    <w:name w:val="Intense Emphasis"/>
    <w:uiPriority w:val="21"/>
    <w:rsid w:val="00A9721B"/>
    <w:rPr>
      <w:b/>
      <w:bCs/>
      <w:i/>
      <w:iCs/>
      <w:color w:val="4F81BD"/>
    </w:rPr>
  </w:style>
  <w:style w:type="character" w:customStyle="1" w:styleId="A10">
    <w:name w:val="A10"/>
    <w:uiPriority w:val="99"/>
    <w:rsid w:val="00A9721B"/>
    <w:rPr>
      <w:rFonts w:cs="Bliss Pro ExtraLight"/>
      <w:color w:val="000000"/>
      <w:sz w:val="30"/>
      <w:szCs w:val="30"/>
    </w:rPr>
  </w:style>
  <w:style w:type="character" w:customStyle="1" w:styleId="A11">
    <w:name w:val="A11"/>
    <w:uiPriority w:val="99"/>
    <w:rsid w:val="00A9721B"/>
    <w:rPr>
      <w:rFonts w:ascii="Bliss Pro Medium" w:hAnsi="Bliss Pro Medium" w:cs="Bliss Pro Medium"/>
      <w:color w:val="000000"/>
      <w:sz w:val="34"/>
      <w:szCs w:val="34"/>
    </w:rPr>
  </w:style>
  <w:style w:type="character" w:customStyle="1" w:styleId="A12">
    <w:name w:val="A12"/>
    <w:uiPriority w:val="99"/>
    <w:rsid w:val="00A9721B"/>
    <w:rPr>
      <w:rFonts w:ascii="Bliss Pro Bold" w:hAnsi="Bliss Pro Bold" w:cs="Bliss Pro Bold"/>
      <w:b/>
      <w:bCs/>
      <w:color w:val="000000"/>
      <w:sz w:val="32"/>
      <w:szCs w:val="32"/>
    </w:rPr>
  </w:style>
  <w:style w:type="character" w:customStyle="1" w:styleId="A13">
    <w:name w:val="A13"/>
    <w:uiPriority w:val="99"/>
    <w:rsid w:val="00A9721B"/>
    <w:rPr>
      <w:rFonts w:ascii="Bliss Pro Regular" w:hAnsi="Bliss Pro Regular" w:cs="Bliss Pro Regular"/>
      <w:color w:val="000000"/>
      <w:sz w:val="26"/>
      <w:szCs w:val="26"/>
    </w:rPr>
  </w:style>
  <w:style w:type="table" w:styleId="LightList-Accent1">
    <w:name w:val="Light List Accent 1"/>
    <w:basedOn w:val="TableNormal"/>
    <w:uiPriority w:val="61"/>
    <w:rsid w:val="00A9721B"/>
    <w:rPr>
      <w:rFonts w:ascii="Cambria"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2">
    <w:name w:val="Colorful List Accent 2"/>
    <w:basedOn w:val="TableNormal"/>
    <w:uiPriority w:val="72"/>
    <w:rsid w:val="00A9721B"/>
    <w:rPr>
      <w:rFonts w:ascii="Cambria" w:hAnsi="Cambria"/>
      <w:color w:val="000000"/>
      <w:sz w:val="24"/>
      <w:szCs w:val="24"/>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gi">
    <w:name w:val="gi"/>
    <w:rsid w:val="00A9721B"/>
  </w:style>
  <w:style w:type="paragraph" w:customStyle="1" w:styleId="TableText0">
    <w:name w:val="Table Text"/>
    <w:basedOn w:val="Heading2"/>
    <w:qFormat/>
    <w:rsid w:val="00A9721B"/>
    <w:pPr>
      <w:keepNext w:val="0"/>
      <w:numPr>
        <w:ilvl w:val="0"/>
        <w:numId w:val="0"/>
      </w:numPr>
      <w:spacing w:before="0" w:after="0"/>
      <w:ind w:left="14"/>
    </w:pPr>
    <w:rPr>
      <w:rFonts w:asciiTheme="minorHAnsi" w:hAnsiTheme="minorHAnsi" w:cs="Times New Roman"/>
      <w:b w:val="0"/>
      <w:bCs w:val="0"/>
      <w:iCs w:val="0"/>
      <w:sz w:val="16"/>
      <w:szCs w:val="36"/>
      <w:lang w:val="en-US" w:eastAsia="en-US"/>
    </w:rPr>
  </w:style>
  <w:style w:type="paragraph" w:customStyle="1" w:styleId="BullletCompressed">
    <w:name w:val="Bulllet Compressed"/>
    <w:basedOn w:val="bullet"/>
    <w:qFormat/>
    <w:rsid w:val="00A9721B"/>
    <w:pPr>
      <w:numPr>
        <w:numId w:val="5"/>
      </w:numPr>
      <w:spacing w:after="0" w:line="288" w:lineRule="auto"/>
    </w:pPr>
    <w:rPr>
      <w:rFonts w:eastAsia="MS Mincho" w:cs="Times New Roman"/>
      <w:szCs w:val="24"/>
    </w:rPr>
  </w:style>
  <w:style w:type="paragraph" w:styleId="DocumentMap">
    <w:name w:val="Document Map"/>
    <w:basedOn w:val="Normal"/>
    <w:link w:val="DocumentMapChar"/>
    <w:uiPriority w:val="99"/>
    <w:semiHidden/>
    <w:unhideWhenUsed/>
    <w:rsid w:val="00A9721B"/>
    <w:pPr>
      <w:spacing w:before="0"/>
      <w:contextualSpacing/>
    </w:pPr>
    <w:rPr>
      <w:rFonts w:ascii="Lucida Grande" w:hAnsi="Lucida Grande" w:cs="Lucida Grande"/>
      <w:szCs w:val="24"/>
      <w:lang w:eastAsia="en-US"/>
    </w:rPr>
  </w:style>
  <w:style w:type="character" w:customStyle="1" w:styleId="DocumentMapChar">
    <w:name w:val="Document Map Char"/>
    <w:basedOn w:val="DefaultParagraphFont"/>
    <w:link w:val="DocumentMap"/>
    <w:uiPriority w:val="99"/>
    <w:semiHidden/>
    <w:rsid w:val="00A9721B"/>
    <w:rPr>
      <w:rFonts w:ascii="Lucida Grande" w:hAnsi="Lucida Grande" w:cs="Lucida Grande"/>
      <w:sz w:val="24"/>
      <w:szCs w:val="24"/>
      <w:lang w:eastAsia="en-US"/>
    </w:rPr>
  </w:style>
  <w:style w:type="table" w:styleId="MediumShading1-Accent1">
    <w:name w:val="Medium Shading 1 Accent 1"/>
    <w:basedOn w:val="TableNormal"/>
    <w:uiPriority w:val="63"/>
    <w:rsid w:val="00A9721B"/>
    <w:rPr>
      <w:rFonts w:ascii="Cambria" w:hAnsi="Cambria"/>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A9721B"/>
    <w:pPr>
      <w:spacing w:before="0"/>
      <w:contextualSpacing/>
    </w:pPr>
    <w:rPr>
      <w:rFonts w:ascii="Trebuchet MS" w:hAnsi="Trebuchet MS"/>
      <w:sz w:val="20"/>
      <w:lang w:eastAsia="en-US"/>
    </w:rPr>
  </w:style>
  <w:style w:type="character" w:customStyle="1" w:styleId="EndnoteTextChar">
    <w:name w:val="Endnote Text Char"/>
    <w:basedOn w:val="DefaultParagraphFont"/>
    <w:link w:val="EndnoteText"/>
    <w:uiPriority w:val="99"/>
    <w:semiHidden/>
    <w:rsid w:val="00A9721B"/>
    <w:rPr>
      <w:rFonts w:ascii="Trebuchet MS" w:hAnsi="Trebuchet MS"/>
      <w:lang w:eastAsia="en-US"/>
    </w:rPr>
  </w:style>
  <w:style w:type="character" w:styleId="EndnoteReference">
    <w:name w:val="endnote reference"/>
    <w:basedOn w:val="DefaultParagraphFont"/>
    <w:uiPriority w:val="99"/>
    <w:semiHidden/>
    <w:unhideWhenUsed/>
    <w:rsid w:val="00A9721B"/>
    <w:rPr>
      <w:vertAlign w:val="superscript"/>
    </w:rPr>
  </w:style>
  <w:style w:type="paragraph" w:customStyle="1" w:styleId="TableNoTitle0">
    <w:name w:val="Table_NoTitle"/>
    <w:basedOn w:val="Normal"/>
    <w:next w:val="Tablehead"/>
    <w:rsid w:val="004E391E"/>
    <w:pPr>
      <w:keepNext/>
      <w:keepLines/>
      <w:tabs>
        <w:tab w:val="left" w:pos="794"/>
        <w:tab w:val="left" w:pos="1191"/>
        <w:tab w:val="left" w:pos="1588"/>
        <w:tab w:val="left" w:pos="1985"/>
      </w:tabs>
      <w:overflowPunct w:val="0"/>
      <w:autoSpaceDE w:val="0"/>
      <w:autoSpaceDN w:val="0"/>
      <w:adjustRightInd w:val="0"/>
      <w:spacing w:before="360" w:after="120"/>
      <w:jc w:val="center"/>
    </w:pPr>
    <w:rPr>
      <w:rFonts w:ascii="Cambria" w:eastAsia="Times New Roman" w:hAnsi="Cambria"/>
      <w:b/>
      <w:lang w:eastAsia="en-US"/>
    </w:rPr>
  </w:style>
  <w:style w:type="paragraph" w:customStyle="1" w:styleId="Default">
    <w:name w:val="Default"/>
    <w:rsid w:val="00891DA7"/>
    <w:pPr>
      <w:autoSpaceDE w:val="0"/>
      <w:autoSpaceDN w:val="0"/>
      <w:adjustRightInd w:val="0"/>
    </w:pPr>
    <w:rPr>
      <w:color w:val="000000"/>
      <w:sz w:val="24"/>
      <w:szCs w:val="24"/>
    </w:rPr>
  </w:style>
  <w:style w:type="paragraph" w:customStyle="1" w:styleId="gpBody">
    <w:name w:val="gpBody"/>
    <w:basedOn w:val="Normal"/>
    <w:uiPriority w:val="1"/>
    <w:qFormat/>
    <w:rsid w:val="00EA03E5"/>
    <w:pPr>
      <w:keepLines/>
      <w:spacing w:before="0" w:after="120" w:line="260" w:lineRule="atLeast"/>
      <w:jc w:val="both"/>
    </w:pPr>
    <w:rPr>
      <w:rFonts w:ascii="Arial" w:eastAsia="Arial Unicode MS" w:hAnsi="Arial" w:cs="Arial"/>
      <w:sz w:val="20"/>
      <w:lang w:val="en-US" w:eastAsia="en-US"/>
    </w:rPr>
  </w:style>
  <w:style w:type="paragraph" w:customStyle="1" w:styleId="gpBullet1">
    <w:name w:val="gpBullet1"/>
    <w:basedOn w:val="Normal"/>
    <w:uiPriority w:val="1"/>
    <w:qFormat/>
    <w:rsid w:val="00EA03E5"/>
    <w:pPr>
      <w:keepLines/>
      <w:numPr>
        <w:numId w:val="12"/>
      </w:numPr>
      <w:spacing w:before="0" w:after="120" w:line="260" w:lineRule="atLeast"/>
      <w:ind w:left="568" w:hanging="284"/>
    </w:pPr>
    <w:rPr>
      <w:rFonts w:ascii="Arial" w:eastAsia="Arial Unicode MS" w:hAnsi="Arial" w:cs="Arial"/>
      <w:sz w:val="20"/>
      <w:lang w:val="en-US" w:eastAsia="en-US"/>
    </w:rPr>
  </w:style>
  <w:style w:type="paragraph" w:customStyle="1" w:styleId="gpBullet3">
    <w:name w:val="gpBullet3"/>
    <w:basedOn w:val="gpBullet1"/>
    <w:uiPriority w:val="1"/>
    <w:qFormat/>
    <w:rsid w:val="00EA03E5"/>
    <w:pPr>
      <w:numPr>
        <w:ilvl w:val="2"/>
      </w:numPr>
      <w:ind w:left="1135" w:hanging="284"/>
    </w:pPr>
  </w:style>
  <w:style w:type="paragraph" w:customStyle="1" w:styleId="gpBullet2">
    <w:name w:val="gpBullet2"/>
    <w:basedOn w:val="gpBullet1"/>
    <w:uiPriority w:val="1"/>
    <w:qFormat/>
    <w:rsid w:val="00EA03E5"/>
    <w:pPr>
      <w:numPr>
        <w:ilvl w:val="1"/>
      </w:numPr>
      <w:ind w:left="851" w:hanging="284"/>
    </w:pPr>
  </w:style>
  <w:style w:type="paragraph" w:customStyle="1" w:styleId="gpBullet4">
    <w:name w:val="gpBullet4"/>
    <w:basedOn w:val="gpBullet2"/>
    <w:uiPriority w:val="1"/>
    <w:qFormat/>
    <w:rsid w:val="00EA03E5"/>
    <w:pPr>
      <w:numPr>
        <w:ilvl w:val="3"/>
      </w:numPr>
      <w:ind w:left="141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3012">
      <w:bodyDiv w:val="1"/>
      <w:marLeft w:val="0"/>
      <w:marRight w:val="0"/>
      <w:marTop w:val="0"/>
      <w:marBottom w:val="0"/>
      <w:divBdr>
        <w:top w:val="none" w:sz="0" w:space="0" w:color="auto"/>
        <w:left w:val="none" w:sz="0" w:space="0" w:color="auto"/>
        <w:bottom w:val="none" w:sz="0" w:space="0" w:color="auto"/>
        <w:right w:val="none" w:sz="0" w:space="0" w:color="auto"/>
      </w:divBdr>
    </w:div>
    <w:div w:id="729957322">
      <w:bodyDiv w:val="1"/>
      <w:marLeft w:val="0"/>
      <w:marRight w:val="0"/>
      <w:marTop w:val="0"/>
      <w:marBottom w:val="0"/>
      <w:divBdr>
        <w:top w:val="none" w:sz="0" w:space="0" w:color="auto"/>
        <w:left w:val="none" w:sz="0" w:space="0" w:color="auto"/>
        <w:bottom w:val="none" w:sz="0" w:space="0" w:color="auto"/>
        <w:right w:val="none" w:sz="0" w:space="0" w:color="auto"/>
      </w:divBdr>
    </w:div>
    <w:div w:id="967276074">
      <w:bodyDiv w:val="1"/>
      <w:marLeft w:val="0"/>
      <w:marRight w:val="0"/>
      <w:marTop w:val="0"/>
      <w:marBottom w:val="0"/>
      <w:divBdr>
        <w:top w:val="none" w:sz="0" w:space="0" w:color="auto"/>
        <w:left w:val="none" w:sz="0" w:space="0" w:color="auto"/>
        <w:bottom w:val="none" w:sz="0" w:space="0" w:color="auto"/>
        <w:right w:val="none" w:sz="0" w:space="0" w:color="auto"/>
      </w:divBdr>
    </w:div>
    <w:div w:id="1098915913">
      <w:bodyDiv w:val="1"/>
      <w:marLeft w:val="0"/>
      <w:marRight w:val="0"/>
      <w:marTop w:val="0"/>
      <w:marBottom w:val="0"/>
      <w:divBdr>
        <w:top w:val="none" w:sz="0" w:space="0" w:color="auto"/>
        <w:left w:val="none" w:sz="0" w:space="0" w:color="auto"/>
        <w:bottom w:val="none" w:sz="0" w:space="0" w:color="auto"/>
        <w:right w:val="none" w:sz="0" w:space="0" w:color="auto"/>
      </w:divBdr>
    </w:div>
    <w:div w:id="1334456308">
      <w:bodyDiv w:val="1"/>
      <w:marLeft w:val="0"/>
      <w:marRight w:val="0"/>
      <w:marTop w:val="0"/>
      <w:marBottom w:val="0"/>
      <w:divBdr>
        <w:top w:val="none" w:sz="0" w:space="0" w:color="auto"/>
        <w:left w:val="none" w:sz="0" w:space="0" w:color="auto"/>
        <w:bottom w:val="none" w:sz="0" w:space="0" w:color="auto"/>
        <w:right w:val="none" w:sz="0" w:space="0" w:color="auto"/>
      </w:divBdr>
    </w:div>
    <w:div w:id="1424955015">
      <w:bodyDiv w:val="1"/>
      <w:marLeft w:val="0"/>
      <w:marRight w:val="0"/>
      <w:marTop w:val="0"/>
      <w:marBottom w:val="0"/>
      <w:divBdr>
        <w:top w:val="none" w:sz="0" w:space="0" w:color="auto"/>
        <w:left w:val="none" w:sz="0" w:space="0" w:color="auto"/>
        <w:bottom w:val="none" w:sz="0" w:space="0" w:color="auto"/>
        <w:right w:val="none" w:sz="0" w:space="0" w:color="auto"/>
      </w:divBdr>
    </w:div>
    <w:div w:id="1536890852">
      <w:bodyDiv w:val="1"/>
      <w:marLeft w:val="0"/>
      <w:marRight w:val="0"/>
      <w:marTop w:val="0"/>
      <w:marBottom w:val="0"/>
      <w:divBdr>
        <w:top w:val="none" w:sz="0" w:space="0" w:color="auto"/>
        <w:left w:val="none" w:sz="0" w:space="0" w:color="auto"/>
        <w:bottom w:val="none" w:sz="0" w:space="0" w:color="auto"/>
        <w:right w:val="none" w:sz="0" w:space="0" w:color="auto"/>
      </w:divBdr>
    </w:div>
    <w:div w:id="1860967203">
      <w:bodyDiv w:val="1"/>
      <w:marLeft w:val="0"/>
      <w:marRight w:val="0"/>
      <w:marTop w:val="0"/>
      <w:marBottom w:val="0"/>
      <w:divBdr>
        <w:top w:val="none" w:sz="0" w:space="0" w:color="auto"/>
        <w:left w:val="none" w:sz="0" w:space="0" w:color="auto"/>
        <w:bottom w:val="none" w:sz="0" w:space="0" w:color="auto"/>
        <w:right w:val="none" w:sz="0" w:space="0" w:color="auto"/>
      </w:divBdr>
    </w:div>
    <w:div w:id="2091464097">
      <w:bodyDiv w:val="1"/>
      <w:marLeft w:val="0"/>
      <w:marRight w:val="0"/>
      <w:marTop w:val="0"/>
      <w:marBottom w:val="0"/>
      <w:divBdr>
        <w:top w:val="none" w:sz="0" w:space="0" w:color="auto"/>
        <w:left w:val="none" w:sz="0" w:space="0" w:color="auto"/>
        <w:bottom w:val="none" w:sz="0" w:space="0" w:color="auto"/>
        <w:right w:val="none" w:sz="0" w:space="0" w:color="auto"/>
      </w:divBdr>
    </w:div>
    <w:div w:id="21199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17" Type="http://schemas.openxmlformats.org/officeDocument/2006/relationships/fontTable" Target="fontTable.xml"/><Relationship Id="rId2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image" Target="media/image36.png"/><Relationship Id="rId1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7" Type="http://schemas.openxmlformats.org/officeDocument/2006/relationships/image" Target="media/image31.png"/><Relationship Id="rId11" Type="http://schemas.openxmlformats.org/officeDocument/2006/relationships/footer" Target="footer1.xml"/><Relationship Id="rId3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9" Type="http://schemas.openxmlformats.org/officeDocument/2006/relationships/image" Target="media/image3.png"/><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13" Type="http://schemas.openxmlformats.org/officeDocument/2006/relationships/image" Target="media/image37.png"/><Relationship Id="rId118" Type="http://schemas.openxmlformats.org/officeDocument/2006/relationships/theme" Target="theme/theme1.xml"/><Relationship Id="rId80" Type="http://schemas.openxmlformats.org/officeDocument/2006/relationships/image" Target="media/image4.png"/><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14"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9" Type="http://schemas.openxmlformats.org/officeDocument/2006/relationships/image" Target="media/image33.png"/><Relationship Id="rId3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header" Target="header2.xml"/><Relationship Id="rId6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2" Type="http://schemas.openxmlformats.org/officeDocument/2006/relationships/image" Target="media/image6.png"/><Relationship Id="rId1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4" Type="http://schemas.openxmlformats.org/officeDocument/2006/relationships/hyperlink" Target="https://creativecommons.org/licenses/by-nc-sa/4.0/" TargetMode="External"/><Relationship Id="rId3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customXml" Target="../customXml/item3.xml"/><Relationship Id="rId2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16" Type="http://schemas.openxmlformats.org/officeDocument/2006/relationships/footer" Target="footer3.xml"/><Relationship Id="rId2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image" Target="media/image35.png"/><Relationship Id="rId15" Type="http://schemas.openxmlformats.org/officeDocument/2006/relationships/hyperlink" Target="mailto:tsbfgdfc@itu.int" TargetMode="External"/><Relationship Id="rId3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6"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C035CA-B729-48A4-96D6-2AC4E7BEC430}">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7786BCF767546BBAB269D326B4FD8" ma:contentTypeVersion="2" ma:contentTypeDescription="Create a new document." ma:contentTypeScope="" ma:versionID="0c330298785323089383d487c2b3a357">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E2B6-F73A-4F77-A433-10E0079BA3EE}"/>
</file>

<file path=customXml/itemProps2.xml><?xml version="1.0" encoding="utf-8"?>
<ds:datastoreItem xmlns:ds="http://schemas.openxmlformats.org/officeDocument/2006/customXml" ds:itemID="{AC5A9728-E211-4A3B-BCEF-901E9E60B34A}"/>
</file>

<file path=customXml/itemProps3.xml><?xml version="1.0" encoding="utf-8"?>
<ds:datastoreItem xmlns:ds="http://schemas.openxmlformats.org/officeDocument/2006/customXml" ds:itemID="{56B37A5C-5171-4093-8339-0AA0CF09F27A}"/>
</file>

<file path=customXml/itemProps4.xml><?xml version="1.0" encoding="utf-8"?>
<ds:datastoreItem xmlns:ds="http://schemas.openxmlformats.org/officeDocument/2006/customXml" ds:itemID="{7033EFCA-31B7-4934-BC52-AD487F4F08FE}"/>
</file>

<file path=docProps/app.xml><?xml version="1.0" encoding="utf-8"?>
<Properties xmlns="http://schemas.openxmlformats.org/officeDocument/2006/extended-properties" xmlns:vt="http://schemas.openxmlformats.org/officeDocument/2006/docPropsVTypes">
  <Template>Normal.dotm</Template>
  <TotalTime>7</TotalTime>
  <Pages>43</Pages>
  <Words>6995</Words>
  <Characters>56901</Characters>
  <Application>Microsoft Office Word</Application>
  <DocSecurity>0</DocSecurity>
  <Lines>474</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on DFC Definitions of Terms and Taxonomy</vt:lpstr>
      <vt:lpstr/>
    </vt:vector>
  </TitlesOfParts>
  <Manager>ITU-T</Manager>
  <Company>International Telecommunication Union (ITU)</Company>
  <LinksUpToDate>false</LinksUpToDate>
  <CharactersWithSpaces>63769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DFC Definitions of Terms and Taxonomy</dc:title>
  <dc:creator>Jacques Francoeur</dc:creator>
  <dc:description/>
  <cp:lastModifiedBy>Restivo, Charlyne</cp:lastModifiedBy>
  <cp:revision>5</cp:revision>
  <cp:lastPrinted>2016-06-14T14:26:00Z</cp:lastPrinted>
  <dcterms:created xsi:type="dcterms:W3CDTF">2019-06-13T06:45:00Z</dcterms:created>
  <dcterms:modified xsi:type="dcterms:W3CDTF">2019-06-21T07:40:00Z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0x010100FAE7786BCF767546BBAB269D326B4FD8</vt:lpwstr>
  </property>
</Properties>
</file>