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585A3F" w:rsidRPr="00585A3F">
        <w:trPr>
          <w:cantSplit/>
        </w:trPr>
        <w:tc>
          <w:tcPr>
            <w:tcW w:w="4857" w:type="dxa"/>
            <w:gridSpan w:val="2"/>
          </w:tcPr>
          <w:p w:rsidR="00585A3F" w:rsidRPr="00585A3F" w:rsidRDefault="00585A3F" w:rsidP="00585A3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bookmarkStart w:id="0" w:name="dsg" w:colFirst="1" w:colLast="1"/>
            <w:bookmarkStart w:id="1" w:name="dtableau"/>
            <w:r w:rsidRPr="00585A3F">
              <w:rPr>
                <w:rFonts w:ascii="Times New Roman" w:hAnsi="Times New Roman" w:cs="Times New Roman"/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585A3F" w:rsidRPr="00585A3F" w:rsidRDefault="00585A3F" w:rsidP="00585A3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32"/>
              </w:rPr>
              <w:t>Focus Group on</w:t>
            </w:r>
            <w:r>
              <w:rPr>
                <w:rFonts w:ascii="Times New Roman" w:hAnsi="Times New Roman" w:cs="Times New Roman"/>
                <w:b/>
                <w:bCs/>
                <w:smallCaps/>
                <w:sz w:val="32"/>
              </w:rPr>
              <w:br/>
              <w:t>Smart Sustainable Cities</w:t>
            </w:r>
          </w:p>
        </w:tc>
      </w:tr>
      <w:tr w:rsidR="00585A3F" w:rsidRPr="00585A3F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585A3F" w:rsidRPr="00585A3F" w:rsidRDefault="00585A3F" w:rsidP="00585A3F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585A3F">
              <w:rPr>
                <w:rFonts w:ascii="Times New Roman" w:hAnsi="Times New Roman" w:cs="Times New Roman"/>
                <w:b/>
                <w:bCs/>
                <w:sz w:val="26"/>
              </w:rPr>
              <w:t>TELECOMMUNICATION</w:t>
            </w:r>
            <w:r w:rsidRPr="00585A3F">
              <w:rPr>
                <w:rFonts w:ascii="Times New Roman" w:hAnsi="Times New Roman" w:cs="Times New Roman"/>
                <w:b/>
                <w:bCs/>
                <w:sz w:val="26"/>
              </w:rPr>
              <w:br/>
              <w:t>STANDARDIZATION SECTOR</w:t>
            </w:r>
          </w:p>
          <w:p w:rsidR="00585A3F" w:rsidRPr="00585A3F" w:rsidRDefault="00585A3F" w:rsidP="00585A3F">
            <w:pPr>
              <w:spacing w:before="120"/>
              <w:rPr>
                <w:rFonts w:ascii="Times New Roman" w:hAnsi="Times New Roman" w:cs="Times New Roman"/>
                <w:smallCaps/>
                <w:sz w:val="20"/>
              </w:rPr>
            </w:pPr>
            <w:r w:rsidRPr="00585A3F">
              <w:rPr>
                <w:rFonts w:ascii="Times New Roman" w:hAnsi="Times New Roman" w:cs="Times New Roman"/>
                <w:sz w:val="20"/>
              </w:rPr>
              <w:t xml:space="preserve">STUDY PERIOD </w:t>
            </w:r>
            <w:r>
              <w:rPr>
                <w:rFonts w:ascii="Times New Roman" w:hAnsi="Times New Roman" w:cs="Times New Roman"/>
                <w:sz w:val="20"/>
              </w:rPr>
              <w:t>2013-2016</w:t>
            </w:r>
          </w:p>
        </w:tc>
        <w:tc>
          <w:tcPr>
            <w:tcW w:w="5066" w:type="dxa"/>
            <w:tcBorders>
              <w:bottom w:val="nil"/>
            </w:tcBorders>
          </w:tcPr>
          <w:p w:rsidR="00585A3F" w:rsidRPr="00585A3F" w:rsidRDefault="00FA3B54" w:rsidP="00585A3F">
            <w:pPr>
              <w:pStyle w:val="Docnumber"/>
            </w:pPr>
            <w:r>
              <w:t>SSC-</w:t>
            </w:r>
            <w:r w:rsidR="00936492">
              <w:t>00</w:t>
            </w:r>
            <w:r>
              <w:t>54</w:t>
            </w:r>
          </w:p>
        </w:tc>
      </w:tr>
      <w:tr w:rsidR="00585A3F" w:rsidRPr="00585A3F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585A3F" w:rsidRPr="00585A3F" w:rsidRDefault="00585A3F" w:rsidP="00585A3F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585A3F" w:rsidRDefault="00585A3F" w:rsidP="00585A3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English only</w:t>
            </w:r>
          </w:p>
          <w:p w:rsidR="00585A3F" w:rsidRPr="00585A3F" w:rsidRDefault="00585A3F" w:rsidP="00585A3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Original: English</w:t>
            </w:r>
          </w:p>
        </w:tc>
      </w:tr>
      <w:tr w:rsidR="00585A3F" w:rsidRPr="00585A3F">
        <w:trPr>
          <w:cantSplit/>
          <w:trHeight w:val="357"/>
        </w:trPr>
        <w:tc>
          <w:tcPr>
            <w:tcW w:w="1617" w:type="dxa"/>
          </w:tcPr>
          <w:p w:rsidR="00585A3F" w:rsidRPr="00585A3F" w:rsidRDefault="00585A3F" w:rsidP="00585A3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  <w:r>
              <w:rPr>
                <w:rFonts w:ascii="Times New Roman" w:hAnsi="Times New Roman" w:cs="Times New Roman"/>
                <w:b/>
                <w:bCs/>
              </w:rPr>
              <w:t>WG(s):</w:t>
            </w:r>
          </w:p>
        </w:tc>
        <w:tc>
          <w:tcPr>
            <w:tcW w:w="3240" w:type="dxa"/>
          </w:tcPr>
          <w:p w:rsidR="00585A3F" w:rsidRPr="00585A3F" w:rsidRDefault="00585A3F" w:rsidP="00585A3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5066" w:type="dxa"/>
          </w:tcPr>
          <w:p w:rsidR="00585A3F" w:rsidRPr="00585A3F" w:rsidRDefault="002A476D" w:rsidP="002A476D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Lima, 6</w:t>
            </w:r>
            <w:r w:rsidR="00585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December </w:t>
            </w:r>
            <w:r w:rsidR="00585A3F">
              <w:rPr>
                <w:rFonts w:ascii="Times New Roman" w:hAnsi="Times New Roman" w:cs="Times New Roman"/>
              </w:rPr>
              <w:t>2013</w:t>
            </w:r>
          </w:p>
        </w:tc>
      </w:tr>
      <w:tr w:rsidR="00585A3F" w:rsidRPr="00585A3F">
        <w:trPr>
          <w:cantSplit/>
          <w:trHeight w:val="357"/>
        </w:trPr>
        <w:tc>
          <w:tcPr>
            <w:tcW w:w="9923" w:type="dxa"/>
            <w:gridSpan w:val="3"/>
          </w:tcPr>
          <w:p w:rsidR="00585A3F" w:rsidRPr="00585A3F" w:rsidRDefault="00585A3F" w:rsidP="00585A3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6" w:name="dtitle" w:colFirst="0" w:colLast="0"/>
            <w:bookmarkEnd w:id="4"/>
            <w:bookmarkEnd w:id="5"/>
            <w:r w:rsidRPr="00585A3F">
              <w:rPr>
                <w:rFonts w:ascii="Times New Roman" w:hAnsi="Times New Roman" w:cs="Times New Roman"/>
                <w:b/>
                <w:bCs/>
                <w:sz w:val="24"/>
              </w:rPr>
              <w:t>DOCUMENT</w:t>
            </w:r>
          </w:p>
        </w:tc>
      </w:tr>
      <w:tr w:rsidR="00585A3F" w:rsidRPr="00585A3F">
        <w:trPr>
          <w:cantSplit/>
          <w:trHeight w:val="357"/>
        </w:trPr>
        <w:tc>
          <w:tcPr>
            <w:tcW w:w="1617" w:type="dxa"/>
          </w:tcPr>
          <w:p w:rsidR="00585A3F" w:rsidRPr="00585A3F" w:rsidRDefault="00585A3F" w:rsidP="00585A3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bookmarkStart w:id="7" w:name="dsource" w:colFirst="1" w:colLast="1"/>
            <w:bookmarkEnd w:id="6"/>
            <w:r w:rsidRPr="00585A3F">
              <w:rPr>
                <w:rFonts w:ascii="Times New Roman" w:hAnsi="Times New Roman" w:cs="Times New Roman"/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585A3F" w:rsidRPr="00585A3F" w:rsidRDefault="00F95854" w:rsidP="006F66A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TSB </w:t>
            </w:r>
          </w:p>
        </w:tc>
      </w:tr>
      <w:tr w:rsidR="00585A3F" w:rsidRPr="00585A3F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585A3F" w:rsidRPr="00585A3F" w:rsidRDefault="00585A3F" w:rsidP="00585A3F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8" w:name="dtitle1" w:colFirst="1" w:colLast="1"/>
            <w:bookmarkEnd w:id="7"/>
            <w:r w:rsidRPr="00585A3F">
              <w:rPr>
                <w:rFonts w:ascii="Times New Roman" w:hAnsi="Times New Roman" w:cs="Times New Roman"/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585A3F" w:rsidRPr="00585A3F" w:rsidRDefault="002A476D" w:rsidP="002A47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  <w:r w:rsidR="00F95854" w:rsidRPr="00F95854">
              <w:rPr>
                <w:rFonts w:ascii="Times New Roman" w:hAnsi="Times New Roman" w:cs="Times New Roman"/>
              </w:rPr>
              <w:t xml:space="preserve"> meeting of the Focus Group on </w:t>
            </w:r>
            <w:r w:rsidR="00F95854">
              <w:rPr>
                <w:rFonts w:ascii="Times New Roman" w:hAnsi="Times New Roman" w:cs="Times New Roman"/>
              </w:rPr>
              <w:t>Smart Sustainable Cities</w:t>
            </w:r>
            <w:r w:rsidR="00F95854" w:rsidRPr="00F9585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="00F95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December </w:t>
            </w:r>
            <w:r w:rsidR="00F95854" w:rsidRPr="00F95854">
              <w:rPr>
                <w:rFonts w:ascii="Times New Roman" w:hAnsi="Times New Roman" w:cs="Times New Roman"/>
              </w:rPr>
              <w:t xml:space="preserve">2013, </w:t>
            </w:r>
            <w:r>
              <w:rPr>
                <w:rFonts w:ascii="Times New Roman" w:hAnsi="Times New Roman" w:cs="Times New Roman"/>
              </w:rPr>
              <w:t>Lima</w:t>
            </w:r>
            <w:r w:rsidR="00F95854" w:rsidRPr="00F958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Peru</w:t>
            </w:r>
          </w:p>
        </w:tc>
      </w:tr>
      <w:bookmarkEnd w:id="1"/>
      <w:bookmarkEnd w:id="8"/>
    </w:tbl>
    <w:p w:rsidR="00585A3F" w:rsidRDefault="00585A3F"/>
    <w:p w:rsidR="00B10F04" w:rsidRPr="00B10F04" w:rsidRDefault="00B10F04" w:rsidP="002A476D">
      <w:pPr>
        <w:rPr>
          <w:lang w:val="en-GB"/>
        </w:rPr>
      </w:pPr>
      <w:r w:rsidRPr="00B10F04">
        <w:rPr>
          <w:rFonts w:hint="eastAsia"/>
          <w:lang w:val="en-GB"/>
        </w:rPr>
        <w:t xml:space="preserve">This document provides information on the </w:t>
      </w:r>
      <w:r w:rsidR="002A476D">
        <w:rPr>
          <w:lang w:val="en-GB"/>
        </w:rPr>
        <w:t xml:space="preserve">third </w:t>
      </w:r>
      <w:r w:rsidRPr="00B10F04">
        <w:rPr>
          <w:lang w:val="en-GB"/>
        </w:rPr>
        <w:t xml:space="preserve">meeting of the Focus Group on </w:t>
      </w:r>
      <w:r>
        <w:rPr>
          <w:lang w:val="en-GB"/>
        </w:rPr>
        <w:t>Smart Sustainable Cities</w:t>
      </w:r>
      <w:r w:rsidRPr="00B10F04">
        <w:rPr>
          <w:lang w:val="en-GB"/>
        </w:rPr>
        <w:t xml:space="preserve"> (FG-</w:t>
      </w:r>
      <w:r>
        <w:rPr>
          <w:lang w:val="en-GB"/>
        </w:rPr>
        <w:t>SSC</w:t>
      </w:r>
      <w:r w:rsidRPr="00B10F04">
        <w:rPr>
          <w:lang w:val="en-GB"/>
        </w:rPr>
        <w:t>)</w:t>
      </w:r>
      <w:r w:rsidRPr="00B10F04">
        <w:rPr>
          <w:rFonts w:hint="eastAsia"/>
          <w:lang w:val="en-GB"/>
        </w:rPr>
        <w:t>.</w:t>
      </w:r>
    </w:p>
    <w:p w:rsidR="0094657C" w:rsidRDefault="00B10F04" w:rsidP="0094657C">
      <w:pPr>
        <w:rPr>
          <w:lang w:val="en-GB"/>
        </w:rPr>
      </w:pPr>
      <w:bookmarkStart w:id="9" w:name="suitetext"/>
      <w:bookmarkEnd w:id="9"/>
      <w:r w:rsidRPr="00B10F04">
        <w:rPr>
          <w:rFonts w:hint="eastAsia"/>
        </w:rPr>
        <w:t>1</w:t>
      </w:r>
      <w:r w:rsidRPr="00B10F04">
        <w:tab/>
        <w:t>T</w:t>
      </w:r>
      <w:r w:rsidRPr="00B10F04">
        <w:rPr>
          <w:lang w:val="en-GB"/>
        </w:rPr>
        <w:t xml:space="preserve">he </w:t>
      </w:r>
      <w:r w:rsidR="002A476D">
        <w:rPr>
          <w:lang w:val="en-GB"/>
        </w:rPr>
        <w:t>third</w:t>
      </w:r>
      <w:r>
        <w:rPr>
          <w:lang w:val="en-GB"/>
        </w:rPr>
        <w:t xml:space="preserve"> </w:t>
      </w:r>
      <w:r w:rsidRPr="00B10F04">
        <w:rPr>
          <w:lang w:val="en-GB"/>
        </w:rPr>
        <w:t>meeting of the FG-</w:t>
      </w:r>
      <w:r>
        <w:rPr>
          <w:lang w:val="en-GB"/>
        </w:rPr>
        <w:t xml:space="preserve">SSC will </w:t>
      </w:r>
      <w:r w:rsidRPr="00B10F04">
        <w:rPr>
          <w:lang w:val="en-GB"/>
        </w:rPr>
        <w:t xml:space="preserve">take place in </w:t>
      </w:r>
      <w:r w:rsidR="002A476D">
        <w:rPr>
          <w:lang w:val="en-GB"/>
        </w:rPr>
        <w:t>Lima</w:t>
      </w:r>
      <w:r w:rsidRPr="00B10F04">
        <w:rPr>
          <w:lang w:val="en-GB"/>
        </w:rPr>
        <w:t xml:space="preserve">, </w:t>
      </w:r>
      <w:r w:rsidR="002A476D">
        <w:rPr>
          <w:lang w:val="en-GB"/>
        </w:rPr>
        <w:t>Peru, on 6</w:t>
      </w:r>
      <w:r>
        <w:rPr>
          <w:lang w:val="en-GB"/>
        </w:rPr>
        <w:t xml:space="preserve"> </w:t>
      </w:r>
      <w:r w:rsidR="002A476D">
        <w:rPr>
          <w:lang w:val="en-GB"/>
        </w:rPr>
        <w:t xml:space="preserve">December </w:t>
      </w:r>
      <w:r w:rsidR="0094657C">
        <w:rPr>
          <w:lang w:val="en-GB"/>
        </w:rPr>
        <w:t xml:space="preserve">2013, </w:t>
      </w:r>
      <w:r w:rsidR="0094657C" w:rsidRPr="0094657C">
        <w:rPr>
          <w:lang w:val="en-GB"/>
        </w:rPr>
        <w:t xml:space="preserve">back to back with four other events: </w:t>
      </w:r>
    </w:p>
    <w:p w:rsidR="00E67CD0" w:rsidRDefault="00E67CD0" w:rsidP="00E67CD0">
      <w:pPr>
        <w:pStyle w:val="ListParagraph"/>
        <w:numPr>
          <w:ilvl w:val="0"/>
          <w:numId w:val="2"/>
        </w:numPr>
        <w:rPr>
          <w:lang w:val="en-GB"/>
        </w:rPr>
      </w:pPr>
      <w:r w:rsidRPr="00E67CD0">
        <w:rPr>
          <w:lang w:val="en-GB"/>
        </w:rPr>
        <w:t>ITU-T Study Group 5 meeting</w:t>
      </w:r>
      <w:r w:rsidRPr="00E67CD0">
        <w:rPr>
          <w:lang w:val="en-GB"/>
        </w:rPr>
        <w:t xml:space="preserve"> (</w:t>
      </w:r>
      <w:r w:rsidRPr="00E67CD0">
        <w:rPr>
          <w:lang w:val="en-GB"/>
        </w:rPr>
        <w:t>2-13 December 2013</w:t>
      </w:r>
      <w:r>
        <w:rPr>
          <w:lang w:val="en-GB"/>
        </w:rPr>
        <w:t>)</w:t>
      </w:r>
    </w:p>
    <w:p w:rsidR="00E67CD0" w:rsidRDefault="00E67CD0" w:rsidP="00E67CD0">
      <w:pPr>
        <w:pStyle w:val="ListParagraph"/>
        <w:numPr>
          <w:ilvl w:val="0"/>
          <w:numId w:val="2"/>
        </w:numPr>
        <w:rPr>
          <w:lang w:val="en-GB"/>
        </w:rPr>
      </w:pPr>
      <w:r w:rsidRPr="00E67CD0">
        <w:rPr>
          <w:lang w:val="en-GB"/>
        </w:rPr>
        <w:t>Joint Coordination Activity on ICT and Climate Change</w:t>
      </w:r>
      <w:r w:rsidRPr="00E67CD0">
        <w:rPr>
          <w:lang w:val="en-GB"/>
        </w:rPr>
        <w:t xml:space="preserve"> (</w:t>
      </w:r>
      <w:r w:rsidRPr="00E67CD0">
        <w:rPr>
          <w:lang w:val="en-GB"/>
        </w:rPr>
        <w:t>5 December 2013</w:t>
      </w:r>
      <w:r w:rsidRPr="00E67CD0">
        <w:rPr>
          <w:lang w:val="en-GB"/>
        </w:rPr>
        <w:t>)</w:t>
      </w:r>
    </w:p>
    <w:p w:rsidR="00E67CD0" w:rsidRDefault="00E67CD0" w:rsidP="00E67CD0">
      <w:pPr>
        <w:pStyle w:val="ListParagraph"/>
        <w:numPr>
          <w:ilvl w:val="0"/>
          <w:numId w:val="2"/>
        </w:numPr>
        <w:rPr>
          <w:lang w:val="en-GB"/>
        </w:rPr>
      </w:pPr>
      <w:r w:rsidRPr="00E67CD0">
        <w:rPr>
          <w:lang w:val="en-GB"/>
        </w:rPr>
        <w:t>Workshop on "Smart Sustainable Cities in Latin America"</w:t>
      </w:r>
      <w:r w:rsidRPr="00E67CD0">
        <w:rPr>
          <w:lang w:val="en-GB"/>
        </w:rPr>
        <w:t xml:space="preserve"> (</w:t>
      </w:r>
      <w:r w:rsidRPr="00E67CD0">
        <w:rPr>
          <w:lang w:val="en-GB"/>
        </w:rPr>
        <w:t>5 December 2013</w:t>
      </w:r>
      <w:r w:rsidRPr="00E67CD0">
        <w:rPr>
          <w:lang w:val="en-GB"/>
        </w:rPr>
        <w:t>)</w:t>
      </w:r>
    </w:p>
    <w:p w:rsidR="00E67CD0" w:rsidRDefault="00E67CD0" w:rsidP="00E67CD0">
      <w:pPr>
        <w:pStyle w:val="ListParagraph"/>
        <w:numPr>
          <w:ilvl w:val="0"/>
          <w:numId w:val="2"/>
        </w:numPr>
        <w:rPr>
          <w:lang w:val="en-GB"/>
        </w:rPr>
      </w:pPr>
      <w:r w:rsidRPr="00E67CD0">
        <w:rPr>
          <w:lang w:val="en-GB"/>
        </w:rPr>
        <w:t>Focus Group on Smart Water Management meeting</w:t>
      </w:r>
      <w:r w:rsidRPr="00E67CD0">
        <w:rPr>
          <w:lang w:val="en-GB"/>
        </w:rPr>
        <w:t xml:space="preserve"> (</w:t>
      </w:r>
      <w:r w:rsidRPr="00E67CD0">
        <w:rPr>
          <w:lang w:val="en-GB"/>
        </w:rPr>
        <w:t>10 December 2013</w:t>
      </w:r>
      <w:r w:rsidRPr="00E67CD0">
        <w:rPr>
          <w:lang w:val="en-GB"/>
        </w:rPr>
        <w:t>)</w:t>
      </w:r>
    </w:p>
    <w:p w:rsidR="00E67CD0" w:rsidRPr="00E67CD0" w:rsidRDefault="00E67CD0" w:rsidP="00E67CD0">
      <w:pPr>
        <w:pStyle w:val="ListParagraph"/>
        <w:numPr>
          <w:ilvl w:val="0"/>
          <w:numId w:val="2"/>
        </w:numPr>
        <w:rPr>
          <w:lang w:val="en-GB"/>
        </w:rPr>
      </w:pPr>
      <w:r w:rsidRPr="00E67CD0">
        <w:rPr>
          <w:lang w:val="en-GB"/>
        </w:rPr>
        <w:t>Workshop on "With ICT's everywhere - How safe is EMF in Latin America?"</w:t>
      </w:r>
      <w:r>
        <w:rPr>
          <w:lang w:val="en-GB"/>
        </w:rPr>
        <w:t xml:space="preserve"> (10 December 2013)</w:t>
      </w:r>
      <w:r w:rsidRPr="00E67CD0">
        <w:rPr>
          <w:lang w:val="en-GB"/>
        </w:rPr>
        <w:t xml:space="preserve"> </w:t>
      </w:r>
    </w:p>
    <w:p w:rsidR="00B10F04" w:rsidRPr="00B10F04" w:rsidRDefault="00B10F04" w:rsidP="006C1DE8">
      <w:pPr>
        <w:rPr>
          <w:lang w:val="en-GB"/>
        </w:rPr>
      </w:pPr>
      <w:bookmarkStart w:id="10" w:name="_GoBack"/>
      <w:bookmarkEnd w:id="10"/>
      <w:r w:rsidRPr="00B10F04">
        <w:rPr>
          <w:rFonts w:hint="eastAsia"/>
          <w:lang w:val="en-GB"/>
        </w:rPr>
        <w:t>2</w:t>
      </w:r>
      <w:r w:rsidRPr="00B10F04">
        <w:rPr>
          <w:lang w:val="en-GB"/>
        </w:rPr>
        <w:tab/>
        <w:t>The FG-</w:t>
      </w:r>
      <w:r w:rsidR="00332A0F">
        <w:rPr>
          <w:lang w:val="en-GB"/>
        </w:rPr>
        <w:t xml:space="preserve">SSC </w:t>
      </w:r>
      <w:r w:rsidRPr="00B10F04">
        <w:rPr>
          <w:lang w:val="en-GB"/>
        </w:rPr>
        <w:t>is open to IT</w:t>
      </w:r>
      <w:r w:rsidR="006C1DE8">
        <w:rPr>
          <w:lang w:val="en-GB"/>
        </w:rPr>
        <w:t xml:space="preserve">U Member States, Sector Members, </w:t>
      </w:r>
      <w:r w:rsidRPr="00B10F04">
        <w:rPr>
          <w:lang w:val="en-GB"/>
        </w:rPr>
        <w:t>Associates</w:t>
      </w:r>
      <w:r w:rsidR="006C1DE8">
        <w:rPr>
          <w:lang w:val="en-GB"/>
        </w:rPr>
        <w:t xml:space="preserve"> and Academia</w:t>
      </w:r>
      <w:r w:rsidRPr="00B10F04">
        <w:rPr>
          <w:lang w:val="en-GB"/>
        </w:rPr>
        <w:t>. It is also open to any individual from a country which is a member of ITU and who is willing to contribute to the work. This includes individuals who are also members or representatives of interested standards development organizations.</w:t>
      </w:r>
    </w:p>
    <w:p w:rsidR="00B10F04" w:rsidRPr="00B10F04" w:rsidRDefault="00B10F04" w:rsidP="001E54D2">
      <w:pPr>
        <w:rPr>
          <w:lang w:val="en-GB"/>
        </w:rPr>
      </w:pPr>
      <w:r w:rsidRPr="00B10F04">
        <w:rPr>
          <w:rFonts w:hint="eastAsia"/>
          <w:lang w:val="en-GB"/>
        </w:rPr>
        <w:t>3</w:t>
      </w:r>
      <w:r w:rsidRPr="00B10F04">
        <w:rPr>
          <w:lang w:val="en-GB"/>
        </w:rPr>
        <w:tab/>
        <w:t>The items for discussion at the meeting</w:t>
      </w:r>
      <w:r w:rsidR="001E54D2">
        <w:rPr>
          <w:lang w:val="en-GB"/>
        </w:rPr>
        <w:t xml:space="preserve">, along with </w:t>
      </w:r>
      <w:r w:rsidR="0045219F">
        <w:rPr>
          <w:lang w:val="en-GB"/>
        </w:rPr>
        <w:t xml:space="preserve">the </w:t>
      </w:r>
      <w:r w:rsidR="001E54D2">
        <w:rPr>
          <w:lang w:val="en-GB"/>
        </w:rPr>
        <w:t>contributions received,</w:t>
      </w:r>
      <w:r w:rsidRPr="00B10F04">
        <w:rPr>
          <w:lang w:val="en-GB"/>
        </w:rPr>
        <w:t xml:space="preserve"> will be made availab</w:t>
      </w:r>
      <w:r w:rsidR="001E54D2">
        <w:rPr>
          <w:lang w:val="en-GB"/>
        </w:rPr>
        <w:t xml:space="preserve">le on the Focus Group web page: </w:t>
      </w:r>
      <w:hyperlink r:id="rId8" w:history="1">
        <w:r w:rsidR="00332A0F">
          <w:rPr>
            <w:rStyle w:val="Hyperlink"/>
            <w:lang w:val="en-GB"/>
          </w:rPr>
          <w:t>http://</w:t>
        </w:r>
        <w:r w:rsidRPr="00B10F04">
          <w:rPr>
            <w:rStyle w:val="Hyperlink"/>
            <w:lang w:val="en-GB"/>
          </w:rPr>
          <w:t>itu.int/en/ITU-T/focusgroups/</w:t>
        </w:r>
        <w:r w:rsidR="00332A0F">
          <w:rPr>
            <w:rStyle w:val="Hyperlink"/>
            <w:lang w:val="en-GB"/>
          </w:rPr>
          <w:t>ssc</w:t>
        </w:r>
        <w:r w:rsidRPr="00B10F04">
          <w:rPr>
            <w:rStyle w:val="Hyperlink"/>
            <w:lang w:val="en-GB"/>
          </w:rPr>
          <w:t>/</w:t>
        </w:r>
      </w:hyperlink>
      <w:r w:rsidRPr="00B10F04">
        <w:rPr>
          <w:lang w:val="en-GB"/>
        </w:rPr>
        <w:t xml:space="preserve">. </w:t>
      </w:r>
      <w:r w:rsidR="001E54D2">
        <w:rPr>
          <w:lang w:val="en-GB"/>
        </w:rPr>
        <w:t>Further updated i</w:t>
      </w:r>
      <w:r w:rsidRPr="00B10F04">
        <w:rPr>
          <w:lang w:val="en-GB"/>
        </w:rPr>
        <w:t>nformation related to the meeting</w:t>
      </w:r>
      <w:r w:rsidR="001E54D2">
        <w:rPr>
          <w:lang w:val="en-GB"/>
        </w:rPr>
        <w:t>,</w:t>
      </w:r>
      <w:r w:rsidRPr="00B10F04">
        <w:rPr>
          <w:lang w:val="en-GB"/>
        </w:rPr>
        <w:t xml:space="preserve"> </w:t>
      </w:r>
      <w:r w:rsidR="001E54D2">
        <w:rPr>
          <w:lang w:val="en-GB"/>
        </w:rPr>
        <w:t xml:space="preserve">including </w:t>
      </w:r>
      <w:r w:rsidR="0045219F">
        <w:rPr>
          <w:lang w:val="en-GB"/>
        </w:rPr>
        <w:t xml:space="preserve">practical information and </w:t>
      </w:r>
      <w:r w:rsidR="001E54D2">
        <w:rPr>
          <w:lang w:val="en-GB"/>
        </w:rPr>
        <w:t xml:space="preserve">remote participation arrangements, </w:t>
      </w:r>
      <w:r w:rsidRPr="00B10F04">
        <w:rPr>
          <w:lang w:val="en-GB"/>
        </w:rPr>
        <w:t xml:space="preserve">will be </w:t>
      </w:r>
      <w:r w:rsidR="001E54D2" w:rsidRPr="00B10F04">
        <w:rPr>
          <w:lang w:val="en-GB"/>
        </w:rPr>
        <w:t xml:space="preserve">also </w:t>
      </w:r>
      <w:r w:rsidRPr="00B10F04">
        <w:rPr>
          <w:lang w:val="en-GB"/>
        </w:rPr>
        <w:t>made available on the Focus Group web page.</w:t>
      </w:r>
    </w:p>
    <w:p w:rsidR="00B10F04" w:rsidRPr="00B10F04" w:rsidRDefault="0094657C" w:rsidP="0094657C">
      <w:pPr>
        <w:rPr>
          <w:lang w:val="en-GB"/>
        </w:rPr>
      </w:pPr>
      <w:r>
        <w:rPr>
          <w:lang w:val="en-GB"/>
        </w:rPr>
        <w:lastRenderedPageBreak/>
        <w:t>The meeting will open at 093</w:t>
      </w:r>
      <w:r w:rsidR="00B10F04" w:rsidRPr="00B10F04">
        <w:rPr>
          <w:lang w:val="en-GB"/>
        </w:rPr>
        <w:t xml:space="preserve">0 hours on </w:t>
      </w:r>
      <w:r>
        <w:rPr>
          <w:lang w:val="en-GB"/>
        </w:rPr>
        <w:t xml:space="preserve">6 December </w:t>
      </w:r>
      <w:r w:rsidR="00B10F04" w:rsidRPr="00B10F04">
        <w:rPr>
          <w:lang w:val="en-GB"/>
        </w:rPr>
        <w:t>2013. Participa</w:t>
      </w:r>
      <w:r w:rsidR="006C1DE8">
        <w:rPr>
          <w:lang w:val="en-GB"/>
        </w:rPr>
        <w:t>nt registration will begin at 090</w:t>
      </w:r>
      <w:r w:rsidR="00B10F04" w:rsidRPr="00B10F04">
        <w:rPr>
          <w:lang w:val="en-GB"/>
        </w:rPr>
        <w:t>0 hours. No registration fee is required for participating in this meeting.</w:t>
      </w:r>
    </w:p>
    <w:p w:rsidR="00B10F04" w:rsidRPr="00B10F04" w:rsidRDefault="006C1DE8" w:rsidP="0094657C">
      <w:pPr>
        <w:rPr>
          <w:lang w:val="en-GB"/>
        </w:rPr>
      </w:pPr>
      <w:r w:rsidRPr="006C1DE8">
        <w:rPr>
          <w:lang w:val="en-GB"/>
        </w:rPr>
        <w:t xml:space="preserve">Discussions will be held in English.  </w:t>
      </w:r>
    </w:p>
    <w:p w:rsidR="00B10F04" w:rsidRPr="00B10F04" w:rsidRDefault="00B10F04" w:rsidP="0024099A">
      <w:r w:rsidRPr="00B10F04">
        <w:rPr>
          <w:lang w:val="en-GB"/>
        </w:rPr>
        <w:t xml:space="preserve">The documents will be made publicly available. </w:t>
      </w:r>
      <w:r w:rsidRPr="00B10F04">
        <w:t xml:space="preserve">In preparing documents, please use the template for the FG documents available from the Focus Group web page. Participants shall submit input documents to FG </w:t>
      </w:r>
      <w:r w:rsidR="0024099A">
        <w:t xml:space="preserve">SSC </w:t>
      </w:r>
      <w:r w:rsidRPr="00B10F04">
        <w:t xml:space="preserve">in electronic format to TSB </w:t>
      </w:r>
      <w:r w:rsidR="0024099A">
        <w:t xml:space="preserve">FG SSC </w:t>
      </w:r>
      <w:r w:rsidRPr="00B10F04">
        <w:t xml:space="preserve">by sending them to </w:t>
      </w:r>
      <w:hyperlink r:id="rId9" w:history="1">
        <w:r w:rsidR="0024099A" w:rsidRPr="00AD23A5">
          <w:rPr>
            <w:rStyle w:val="Hyperlink"/>
          </w:rPr>
          <w:t>tsbfgssc@itu.int</w:t>
        </w:r>
      </w:hyperlink>
      <w:r w:rsidRPr="00B10F04">
        <w:t xml:space="preserve"> by e-mail.</w:t>
      </w:r>
    </w:p>
    <w:p w:rsidR="00B10F04" w:rsidRPr="00B10F04" w:rsidRDefault="00B10F04" w:rsidP="0094657C">
      <w:r w:rsidRPr="00B10F04">
        <w:rPr>
          <w:rFonts w:hint="eastAsia"/>
        </w:rPr>
        <w:t>T</w:t>
      </w:r>
      <w:r w:rsidRPr="00B10F04">
        <w:t>he deadline for document submission for this meeting is</w:t>
      </w:r>
      <w:r w:rsidRPr="00B10F04">
        <w:rPr>
          <w:b/>
          <w:bCs/>
        </w:rPr>
        <w:t xml:space="preserve"> </w:t>
      </w:r>
      <w:r w:rsidR="0094657C">
        <w:rPr>
          <w:b/>
          <w:bCs/>
        </w:rPr>
        <w:t>19 November</w:t>
      </w:r>
      <w:r w:rsidR="0024099A" w:rsidRPr="006C1DE8">
        <w:rPr>
          <w:b/>
          <w:bCs/>
        </w:rPr>
        <w:t xml:space="preserve"> </w:t>
      </w:r>
      <w:r w:rsidRPr="006C1DE8">
        <w:rPr>
          <w:b/>
          <w:bCs/>
        </w:rPr>
        <w:t>2013</w:t>
      </w:r>
      <w:r w:rsidRPr="00B10F04">
        <w:t>. Please note that this is a paperless meeting.</w:t>
      </w:r>
    </w:p>
    <w:p w:rsidR="00B10F04" w:rsidRPr="006C1DE8" w:rsidRDefault="00B10F04" w:rsidP="00110CF9">
      <w:pPr>
        <w:rPr>
          <w:b/>
          <w:bCs/>
          <w:lang w:val="en-GB"/>
        </w:rPr>
      </w:pPr>
      <w:r w:rsidRPr="00B10F04">
        <w:rPr>
          <w:lang w:val="en-GB"/>
        </w:rPr>
        <w:t>4</w:t>
      </w:r>
      <w:r w:rsidRPr="00B10F04">
        <w:rPr>
          <w:lang w:val="en-GB"/>
        </w:rPr>
        <w:tab/>
        <w:t xml:space="preserve">To enable TSB to make the necessary arrangements concerning the organization of the Focus Group meeting, </w:t>
      </w:r>
      <w:r w:rsidRPr="00B10F04">
        <w:rPr>
          <w:rFonts w:hint="eastAsia"/>
          <w:lang w:val="en-GB"/>
        </w:rPr>
        <w:t>please</w:t>
      </w:r>
      <w:r w:rsidRPr="00B10F04">
        <w:rPr>
          <w:lang w:val="en-GB"/>
        </w:rPr>
        <w:t xml:space="preserve"> register via the on-line form at</w:t>
      </w:r>
      <w:r w:rsidR="0094657C">
        <w:rPr>
          <w:lang w:val="en-GB"/>
        </w:rPr>
        <w:t xml:space="preserve"> </w:t>
      </w:r>
      <w:hyperlink r:id="rId10" w:history="1">
        <w:r w:rsidR="00110CF9" w:rsidRPr="00110CF9">
          <w:rPr>
            <w:rStyle w:val="Hyperlink"/>
          </w:rPr>
          <w:t>http://www.itu.int/online/regsys/ITU-T/misc/edrs.registration.form?_eventid=3000577</w:t>
        </w:r>
      </w:hyperlink>
      <w:r w:rsidRPr="00B10F04">
        <w:rPr>
          <w:lang w:val="en-GB"/>
        </w:rPr>
        <w:t xml:space="preserve">, as soon as possible, but </w:t>
      </w:r>
      <w:r w:rsidRPr="00B10F04">
        <w:rPr>
          <w:b/>
          <w:lang w:val="en-GB"/>
        </w:rPr>
        <w:t xml:space="preserve">not later </w:t>
      </w:r>
      <w:r w:rsidRPr="00110CF9">
        <w:rPr>
          <w:b/>
          <w:lang w:val="en-GB"/>
        </w:rPr>
        <w:t xml:space="preserve">than </w:t>
      </w:r>
      <w:r w:rsidR="00110CF9" w:rsidRPr="00110CF9">
        <w:rPr>
          <w:b/>
          <w:lang w:val="en-GB"/>
        </w:rPr>
        <w:t>29 November</w:t>
      </w:r>
      <w:r w:rsidR="00110CF9">
        <w:rPr>
          <w:b/>
          <w:lang w:val="en-GB"/>
        </w:rPr>
        <w:t xml:space="preserve"> </w:t>
      </w:r>
      <w:r w:rsidRPr="006C1DE8">
        <w:rPr>
          <w:b/>
          <w:lang w:val="en-GB"/>
        </w:rPr>
        <w:t>2013</w:t>
      </w:r>
      <w:r w:rsidRPr="006C1DE8">
        <w:rPr>
          <w:lang w:val="en-GB"/>
        </w:rPr>
        <w:t>.</w:t>
      </w:r>
      <w:r w:rsidRPr="00B10F04">
        <w:rPr>
          <w:lang w:val="en-GB"/>
        </w:rPr>
        <w:t xml:space="preserve">  </w:t>
      </w:r>
      <w:r w:rsidR="006C1DE8" w:rsidRPr="006C1DE8">
        <w:rPr>
          <w:b/>
          <w:bCs/>
          <w:lang w:val="en-GB"/>
        </w:rPr>
        <w:t xml:space="preserve">Please note that pre-registration of participants to </w:t>
      </w:r>
      <w:r w:rsidR="006C1DE8">
        <w:rPr>
          <w:b/>
          <w:bCs/>
          <w:lang w:val="en-GB"/>
        </w:rPr>
        <w:t xml:space="preserve">FG SSC </w:t>
      </w:r>
      <w:r w:rsidR="006C1DE8" w:rsidRPr="006C1DE8">
        <w:rPr>
          <w:b/>
          <w:bCs/>
          <w:lang w:val="en-GB"/>
        </w:rPr>
        <w:t xml:space="preserve">is carried out exclusively online. Participants will be able to register onsite </w:t>
      </w:r>
      <w:r w:rsidR="006C1DE8" w:rsidRPr="00110CF9">
        <w:rPr>
          <w:b/>
          <w:bCs/>
          <w:lang w:val="en-GB"/>
        </w:rPr>
        <w:t xml:space="preserve">after </w:t>
      </w:r>
      <w:r w:rsidR="0094657C" w:rsidRPr="00110CF9">
        <w:rPr>
          <w:b/>
          <w:bCs/>
          <w:lang w:val="en-GB"/>
        </w:rPr>
        <w:t xml:space="preserve">2 December </w:t>
      </w:r>
      <w:r w:rsidR="006C1DE8" w:rsidRPr="00110CF9">
        <w:rPr>
          <w:b/>
          <w:bCs/>
          <w:lang w:val="en-GB"/>
        </w:rPr>
        <w:t>2013.</w:t>
      </w:r>
      <w:r w:rsidR="006C1DE8" w:rsidRPr="00110CF9">
        <w:rPr>
          <w:b/>
          <w:bCs/>
          <w:i/>
          <w:iCs/>
          <w:lang w:val="en-GB"/>
        </w:rPr>
        <w:t xml:space="preserve"> </w:t>
      </w:r>
      <w:r w:rsidRPr="00110CF9">
        <w:rPr>
          <w:b/>
          <w:bCs/>
          <w:i/>
          <w:iCs/>
          <w:lang w:val="en-GB"/>
        </w:rPr>
        <w:t xml:space="preserve"> </w:t>
      </w:r>
      <w:r w:rsidRPr="00110CF9">
        <w:rPr>
          <w:lang w:val="en-GB"/>
        </w:rPr>
        <w:t>To</w:t>
      </w:r>
      <w:r w:rsidRPr="00B10F04">
        <w:rPr>
          <w:lang w:val="en-GB"/>
        </w:rPr>
        <w:t xml:space="preserve"> easily provide you with any updates concerning the meeting planning, please fill in your valid e-mail address on your registration form.</w:t>
      </w:r>
      <w:r w:rsidRPr="00B10F04">
        <w:rPr>
          <w:b/>
          <w:bCs/>
          <w:i/>
          <w:iCs/>
          <w:lang w:val="en-GB"/>
        </w:rPr>
        <w:t xml:space="preserve"> </w:t>
      </w:r>
    </w:p>
    <w:p w:rsidR="00B10F04" w:rsidRPr="00B10F04" w:rsidRDefault="00B10F04" w:rsidP="0094657C">
      <w:pPr>
        <w:rPr>
          <w:lang w:val="en-GB"/>
        </w:rPr>
      </w:pPr>
      <w:r w:rsidRPr="00B10F04">
        <w:rPr>
          <w:lang w:val="en-GB"/>
        </w:rPr>
        <w:t>5</w:t>
      </w:r>
      <w:r w:rsidRPr="00B10F04">
        <w:rPr>
          <w:lang w:val="en-GB"/>
        </w:rPr>
        <w:tab/>
        <w:t xml:space="preserve">We would remind you that citizens of some countries are required to obtain a visa in order to enter and spend any time in </w:t>
      </w:r>
      <w:r w:rsidR="0094657C">
        <w:rPr>
          <w:lang w:val="en-GB"/>
        </w:rPr>
        <w:t>Peru</w:t>
      </w:r>
      <w:r w:rsidRPr="00B10F04">
        <w:rPr>
          <w:lang w:val="en-GB"/>
        </w:rPr>
        <w:t xml:space="preserve">. </w:t>
      </w:r>
      <w:r w:rsidRPr="00B10F04">
        <w:rPr>
          <w:b/>
          <w:bCs/>
          <w:lang w:val="en-GB"/>
        </w:rPr>
        <w:t>The visa must be requested as soon as possible</w:t>
      </w:r>
      <w:r w:rsidRPr="00B10F04">
        <w:rPr>
          <w:lang w:val="en-GB"/>
        </w:rPr>
        <w:t xml:space="preserve"> and obtained from the office (embassy or consulate) representing </w:t>
      </w:r>
      <w:r w:rsidR="0094657C">
        <w:rPr>
          <w:lang w:val="en-GB"/>
        </w:rPr>
        <w:t>Peru</w:t>
      </w:r>
      <w:r w:rsidR="00A108FE">
        <w:rPr>
          <w:lang w:val="en-GB"/>
        </w:rPr>
        <w:t xml:space="preserve"> </w:t>
      </w:r>
      <w:r w:rsidRPr="00B10F04">
        <w:rPr>
          <w:lang w:val="en-GB"/>
        </w:rPr>
        <w:t>in your country or, if there is no such office in your country, from the one that is closest to the country of departure.</w:t>
      </w:r>
    </w:p>
    <w:p w:rsidR="00B10F04" w:rsidRPr="0043329A" w:rsidRDefault="0043329A" w:rsidP="0043329A">
      <w:r>
        <w:t xml:space="preserve">Participants who need an invitation letter and/or a visa supporting letter for entering Peru are advised to get in touch with the contact person in Peru, </w:t>
      </w:r>
      <w:proofErr w:type="spellStart"/>
      <w:r>
        <w:t>Mrs</w:t>
      </w:r>
      <w:proofErr w:type="spellEnd"/>
      <w:r>
        <w:t xml:space="preserve"> Claudia Carrasco </w:t>
      </w:r>
      <w:proofErr w:type="spellStart"/>
      <w:r>
        <w:t>Canchari</w:t>
      </w:r>
      <w:proofErr w:type="spellEnd"/>
      <w:r>
        <w:t xml:space="preserve">: Tel: (51) 1 615 7479, Fax: </w:t>
      </w:r>
      <w:r w:rsidRPr="007A17BF">
        <w:t xml:space="preserve">(51) 1 615 </w:t>
      </w:r>
      <w:r>
        <w:t>7814 and e</w:t>
      </w:r>
      <w:r w:rsidRPr="007A17BF">
        <w:t>mail:</w:t>
      </w:r>
      <w:r>
        <w:t xml:space="preserve"> </w:t>
      </w:r>
      <w:hyperlink r:id="rId11" w:history="1">
        <w:r w:rsidRPr="007A17BF">
          <w:rPr>
            <w:rStyle w:val="Hyperlink"/>
          </w:rPr>
          <w:t>ccarrasco@mtc.gob.pe</w:t>
        </w:r>
      </w:hyperlink>
      <w:r>
        <w:rPr>
          <w:rStyle w:val="Hyperlink"/>
        </w:rPr>
        <w:t>.</w:t>
      </w:r>
      <w:r w:rsidRPr="007A17BF">
        <w:t xml:space="preserve"> </w:t>
      </w:r>
    </w:p>
    <w:p w:rsidR="00B10F04" w:rsidRPr="00B10F04" w:rsidRDefault="00B10F04" w:rsidP="00B10F04">
      <w:pPr>
        <w:rPr>
          <w:lang w:val="en-GB"/>
        </w:rPr>
      </w:pPr>
    </w:p>
    <w:p w:rsidR="00B10F04" w:rsidRPr="00B10F04" w:rsidRDefault="00B10F04" w:rsidP="00B10F04">
      <w:pPr>
        <w:jc w:val="center"/>
        <w:rPr>
          <w:lang w:val="en-GB"/>
        </w:rPr>
      </w:pPr>
      <w:r w:rsidRPr="00B10F04">
        <w:rPr>
          <w:lang w:val="en-GB"/>
        </w:rPr>
        <w:t>_______________</w:t>
      </w:r>
    </w:p>
    <w:p w:rsidR="00C60BB7" w:rsidRDefault="00C60BB7" w:rsidP="00B10F04"/>
    <w:sectPr w:rsidR="00C60BB7" w:rsidSect="00585A3F">
      <w:headerReference w:type="default" r:id="rId12"/>
      <w:footerReference w:type="first" r:id="rId13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FD" w:rsidRDefault="004B20FD" w:rsidP="00585A3F">
      <w:pPr>
        <w:spacing w:after="0" w:line="240" w:lineRule="auto"/>
      </w:pPr>
      <w:r>
        <w:separator/>
      </w:r>
    </w:p>
  </w:endnote>
  <w:endnote w:type="continuationSeparator" w:id="0">
    <w:p w:rsidR="004B20FD" w:rsidRDefault="004B20FD" w:rsidP="0058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4" w:type="dxa"/>
      <w:jc w:val="center"/>
      <w:tblLayout w:type="fixed"/>
      <w:tblLook w:val="0000" w:firstRow="0" w:lastRow="0" w:firstColumn="0" w:lastColumn="0" w:noHBand="0" w:noVBand="0"/>
    </w:tblPr>
    <w:tblGrid>
      <w:gridCol w:w="51"/>
      <w:gridCol w:w="1565"/>
      <w:gridCol w:w="4394"/>
      <w:gridCol w:w="3913"/>
      <w:gridCol w:w="51"/>
    </w:tblGrid>
    <w:tr w:rsidR="00F95854" w:rsidRPr="00F95854" w:rsidTr="00F95854">
      <w:trPr>
        <w:gridAfter w:val="1"/>
        <w:wAfter w:w="51" w:type="dxa"/>
        <w:cantSplit/>
        <w:jc w:val="center"/>
      </w:trPr>
      <w:tc>
        <w:tcPr>
          <w:tcW w:w="1616" w:type="dxa"/>
          <w:gridSpan w:val="2"/>
          <w:tcBorders>
            <w:top w:val="single" w:sz="12" w:space="0" w:color="auto"/>
          </w:tcBorders>
        </w:tcPr>
        <w:p w:rsidR="00F95854" w:rsidRPr="00F95854" w:rsidRDefault="00F95854" w:rsidP="00F95854">
          <w:pPr>
            <w:rPr>
              <w:rFonts w:ascii="Times New Roman" w:hAnsi="Times New Roman" w:cs="Times New Roman"/>
            </w:rPr>
          </w:pPr>
          <w:r w:rsidRPr="00F95854">
            <w:rPr>
              <w:rFonts w:ascii="Times New Roman" w:hAnsi="Times New Roman" w:cs="Times New Roman"/>
              <w:b/>
              <w:bCs/>
            </w:rPr>
            <w:t>Contact</w:t>
          </w:r>
          <w:r w:rsidRPr="00F95854">
            <w:rPr>
              <w:rFonts w:ascii="Times New Roman" w:hAnsi="Times New Roman" w:cs="Times New Roman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F95854" w:rsidRPr="00F95854" w:rsidRDefault="00F95854" w:rsidP="006F66A6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TSB </w:t>
          </w:r>
        </w:p>
      </w:tc>
      <w:tc>
        <w:tcPr>
          <w:tcW w:w="3913" w:type="dxa"/>
          <w:tcBorders>
            <w:top w:val="single" w:sz="12" w:space="0" w:color="auto"/>
          </w:tcBorders>
        </w:tcPr>
        <w:p w:rsidR="00F95854" w:rsidRPr="00F95854" w:rsidRDefault="00F95854" w:rsidP="00F95854">
          <w:pPr>
            <w:rPr>
              <w:rFonts w:ascii="Times New Roman" w:hAnsi="Times New Roman" w:cs="Times New Roman"/>
            </w:rPr>
          </w:pPr>
          <w:r w:rsidRPr="00F95854">
            <w:rPr>
              <w:rFonts w:ascii="Times New Roman" w:hAnsi="Times New Roman" w:cs="Times New Roman"/>
            </w:rPr>
            <w:t>Email</w:t>
          </w:r>
          <w:r>
            <w:rPr>
              <w:rFonts w:ascii="Times New Roman" w:hAnsi="Times New Roman" w:cs="Times New Roman"/>
            </w:rPr>
            <w:t xml:space="preserve">: </w:t>
          </w:r>
          <w:hyperlink r:id="rId1" w:history="1">
            <w:r w:rsidRPr="00AD23A5">
              <w:rPr>
                <w:rStyle w:val="Hyperlink"/>
                <w:rFonts w:ascii="Times New Roman" w:hAnsi="Times New Roman" w:cs="Times New Roman"/>
              </w:rPr>
              <w:t>tsbfgssc@itu.int</w:t>
            </w:r>
          </w:hyperlink>
          <w:r>
            <w:rPr>
              <w:rFonts w:ascii="Times New Roman" w:hAnsi="Times New Roman" w:cs="Times New Roman"/>
            </w:rPr>
            <w:t xml:space="preserve"> </w:t>
          </w:r>
        </w:p>
      </w:tc>
    </w:tr>
    <w:tr w:rsidR="00F95854" w:rsidRPr="00F95854" w:rsidTr="00F95854">
      <w:trPr>
        <w:gridAfter w:val="1"/>
        <w:wAfter w:w="51" w:type="dxa"/>
        <w:cantSplit/>
        <w:trHeight w:hRule="exact" w:val="113"/>
        <w:jc w:val="center"/>
      </w:trPr>
      <w:tc>
        <w:tcPr>
          <w:tcW w:w="9923" w:type="dxa"/>
          <w:gridSpan w:val="4"/>
        </w:tcPr>
        <w:p w:rsidR="00F95854" w:rsidRPr="00F95854" w:rsidRDefault="00F95854" w:rsidP="00F95854">
          <w:pPr>
            <w:rPr>
              <w:rFonts w:ascii="Times New Roman" w:hAnsi="Times New Roman" w:cs="Times New Roman"/>
            </w:rPr>
          </w:pPr>
        </w:p>
      </w:tc>
    </w:tr>
    <w:tr w:rsidR="00585A3F" w:rsidRPr="00F95854" w:rsidTr="00F95854">
      <w:trPr>
        <w:gridBefore w:val="1"/>
        <w:wBefore w:w="51" w:type="dxa"/>
        <w:cantSplit/>
        <w:jc w:val="center"/>
      </w:trPr>
      <w:tc>
        <w:tcPr>
          <w:tcW w:w="99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85A3F" w:rsidRPr="00F95854" w:rsidRDefault="00585A3F" w:rsidP="00F95854">
          <w:pPr>
            <w:rPr>
              <w:rFonts w:ascii="Times New Roman" w:hAnsi="Times New Roman" w:cs="Times New Roman"/>
              <w:sz w:val="18"/>
              <w:szCs w:val="18"/>
            </w:rPr>
          </w:pPr>
          <w:r w:rsidRPr="00F95854">
            <w:rPr>
              <w:rFonts w:ascii="Times New Roman" w:hAnsi="Times New Roman" w:cs="Times New Roman"/>
              <w:b/>
              <w:bCs/>
              <w:sz w:val="18"/>
              <w:szCs w:val="18"/>
            </w:rPr>
            <w:t>Attention:</w:t>
          </w:r>
          <w:r w:rsidRPr="00F95854">
            <w:rPr>
              <w:rFonts w:ascii="Times New Roman" w:hAnsi="Times New Roman" w:cs="Times New Roman"/>
              <w:sz w:val="18"/>
              <w:szCs w:val="18"/>
            </w:rPr>
            <w:t xml:space="preserve"> This is not a publication made available to the public, but </w:t>
          </w:r>
          <w:r w:rsidRPr="00F95854">
            <w:rPr>
              <w:rFonts w:ascii="Times New Roman" w:hAnsi="Times New Roman" w:cs="Times New Roman"/>
              <w:b/>
              <w:bCs/>
              <w:sz w:val="18"/>
              <w:szCs w:val="18"/>
            </w:rPr>
            <w:t>an internal ITU-T Focus Group document</w:t>
          </w:r>
          <w:r w:rsidRPr="00F95854">
            <w:rPr>
              <w:rFonts w:ascii="Times New Roman" w:hAnsi="Times New Roman" w:cs="Times New Roman"/>
              <w:sz w:val="18"/>
              <w:szCs w:val="18"/>
            </w:rPr>
            <w:t xml:space="preserve"> intended only for use by participants of the Focus Group and their collaborators in ITU-T </w:t>
          </w:r>
          <w:r w:rsidRPr="00F9585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Focus Group </w:t>
          </w:r>
          <w:r w:rsidRPr="00F95854">
            <w:rPr>
              <w:rFonts w:ascii="Times New Roman" w:hAnsi="Times New Roman" w:cs="Times New Roman"/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:rsidR="00585A3F" w:rsidRPr="00585A3F" w:rsidRDefault="00585A3F" w:rsidP="00585A3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FD" w:rsidRDefault="004B20FD" w:rsidP="00585A3F">
      <w:pPr>
        <w:spacing w:after="0" w:line="240" w:lineRule="auto"/>
      </w:pPr>
      <w:r>
        <w:separator/>
      </w:r>
    </w:p>
  </w:footnote>
  <w:footnote w:type="continuationSeparator" w:id="0">
    <w:p w:rsidR="004B20FD" w:rsidRDefault="004B20FD" w:rsidP="0058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F" w:rsidRPr="00585A3F" w:rsidRDefault="00585A3F" w:rsidP="00585A3F">
    <w:pPr>
      <w:pStyle w:val="Header"/>
      <w:jc w:val="center"/>
      <w:rPr>
        <w:rFonts w:ascii="Times New Roman" w:hAnsi="Times New Roman" w:cs="Times New Roman"/>
        <w:sz w:val="18"/>
      </w:rPr>
    </w:pPr>
    <w:r w:rsidRPr="00585A3F">
      <w:rPr>
        <w:rFonts w:ascii="Times New Roman" w:hAnsi="Times New Roman" w:cs="Times New Roman"/>
        <w:sz w:val="18"/>
      </w:rPr>
      <w:t xml:space="preserve">- </w:t>
    </w:r>
    <w:r w:rsidRPr="00585A3F">
      <w:rPr>
        <w:rFonts w:ascii="Times New Roman" w:hAnsi="Times New Roman" w:cs="Times New Roman"/>
        <w:sz w:val="18"/>
      </w:rPr>
      <w:fldChar w:fldCharType="begin"/>
    </w:r>
    <w:r w:rsidRPr="00585A3F">
      <w:rPr>
        <w:rFonts w:ascii="Times New Roman" w:hAnsi="Times New Roman" w:cs="Times New Roman"/>
        <w:sz w:val="18"/>
      </w:rPr>
      <w:instrText xml:space="preserve"> PAGE  \* MERGEFORMAT </w:instrText>
    </w:r>
    <w:r w:rsidRPr="00585A3F">
      <w:rPr>
        <w:rFonts w:ascii="Times New Roman" w:hAnsi="Times New Roman" w:cs="Times New Roman"/>
        <w:sz w:val="18"/>
      </w:rPr>
      <w:fldChar w:fldCharType="separate"/>
    </w:r>
    <w:r w:rsidR="00E67CD0">
      <w:rPr>
        <w:rFonts w:ascii="Times New Roman" w:hAnsi="Times New Roman" w:cs="Times New Roman"/>
        <w:noProof/>
        <w:sz w:val="18"/>
      </w:rPr>
      <w:t>2</w:t>
    </w:r>
    <w:r w:rsidRPr="00585A3F">
      <w:rPr>
        <w:rFonts w:ascii="Times New Roman" w:hAnsi="Times New Roman" w:cs="Times New Roman"/>
        <w:sz w:val="18"/>
      </w:rPr>
      <w:fldChar w:fldCharType="end"/>
    </w:r>
    <w:r w:rsidRPr="00585A3F">
      <w:rPr>
        <w:rFonts w:ascii="Times New Roman" w:hAnsi="Times New Roman" w:cs="Times New Roman"/>
        <w:sz w:val="18"/>
      </w:rPr>
      <w:t xml:space="preserve"> -</w:t>
    </w:r>
  </w:p>
  <w:p w:rsidR="00585A3F" w:rsidRPr="00585A3F" w:rsidRDefault="00585A3F" w:rsidP="00585A3F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 w:rsidRPr="00585A3F">
      <w:rPr>
        <w:rFonts w:ascii="Times New Roman" w:hAnsi="Times New Roman" w:cs="Times New Roman"/>
        <w:sz w:val="18"/>
      </w:rPr>
      <w:fldChar w:fldCharType="begin"/>
    </w:r>
    <w:r w:rsidRPr="00585A3F">
      <w:rPr>
        <w:rFonts w:ascii="Times New Roman" w:hAnsi="Times New Roman" w:cs="Times New Roman"/>
        <w:sz w:val="18"/>
      </w:rPr>
      <w:instrText xml:space="preserve"> STYLEREF  Docnumber  </w:instrText>
    </w:r>
    <w:r w:rsidRPr="00585A3F">
      <w:rPr>
        <w:rFonts w:ascii="Times New Roman" w:hAnsi="Times New Roman" w:cs="Times New Roman"/>
        <w:sz w:val="18"/>
      </w:rPr>
      <w:fldChar w:fldCharType="separate"/>
    </w:r>
    <w:r w:rsidR="00E67CD0">
      <w:rPr>
        <w:rFonts w:ascii="Times New Roman" w:hAnsi="Times New Roman" w:cs="Times New Roman"/>
        <w:noProof/>
        <w:sz w:val="18"/>
      </w:rPr>
      <w:t>SSC-0054</w:t>
    </w:r>
    <w:r w:rsidRPr="00585A3F">
      <w:rPr>
        <w:rFonts w:ascii="Times New Roman" w:hAnsi="Times New Roman" w:cs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7ACB0431"/>
    <w:multiLevelType w:val="hybridMultilevel"/>
    <w:tmpl w:val="FF38AA2A"/>
    <w:lvl w:ilvl="0" w:tplc="9BD24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F"/>
    <w:rsid w:val="0007053A"/>
    <w:rsid w:val="000D27AE"/>
    <w:rsid w:val="000F369A"/>
    <w:rsid w:val="000F3D69"/>
    <w:rsid w:val="00110CF9"/>
    <w:rsid w:val="00124E74"/>
    <w:rsid w:val="0013128E"/>
    <w:rsid w:val="00131391"/>
    <w:rsid w:val="00164728"/>
    <w:rsid w:val="00177C46"/>
    <w:rsid w:val="001A28BE"/>
    <w:rsid w:val="001A350E"/>
    <w:rsid w:val="001E54D2"/>
    <w:rsid w:val="001F443F"/>
    <w:rsid w:val="0021023A"/>
    <w:rsid w:val="002335E5"/>
    <w:rsid w:val="0023536B"/>
    <w:rsid w:val="0024099A"/>
    <w:rsid w:val="00263BCD"/>
    <w:rsid w:val="00285D42"/>
    <w:rsid w:val="002A476D"/>
    <w:rsid w:val="002B506F"/>
    <w:rsid w:val="002E1C7E"/>
    <w:rsid w:val="002F19E3"/>
    <w:rsid w:val="003206A7"/>
    <w:rsid w:val="00331F6B"/>
    <w:rsid w:val="00332A0F"/>
    <w:rsid w:val="00340F43"/>
    <w:rsid w:val="003515D3"/>
    <w:rsid w:val="00356641"/>
    <w:rsid w:val="003A4C78"/>
    <w:rsid w:val="003E57E0"/>
    <w:rsid w:val="004061B6"/>
    <w:rsid w:val="0043329A"/>
    <w:rsid w:val="0045219F"/>
    <w:rsid w:val="00453D87"/>
    <w:rsid w:val="0045746B"/>
    <w:rsid w:val="0047548D"/>
    <w:rsid w:val="004B20FD"/>
    <w:rsid w:val="004C109A"/>
    <w:rsid w:val="004C2FB7"/>
    <w:rsid w:val="004C4774"/>
    <w:rsid w:val="004E64FD"/>
    <w:rsid w:val="00505678"/>
    <w:rsid w:val="00512ACA"/>
    <w:rsid w:val="00522B1A"/>
    <w:rsid w:val="00547E23"/>
    <w:rsid w:val="005539D1"/>
    <w:rsid w:val="0055482F"/>
    <w:rsid w:val="00565D53"/>
    <w:rsid w:val="00574155"/>
    <w:rsid w:val="00585A3F"/>
    <w:rsid w:val="005923C3"/>
    <w:rsid w:val="005A55DF"/>
    <w:rsid w:val="005C4FD7"/>
    <w:rsid w:val="005D1B19"/>
    <w:rsid w:val="005D2F74"/>
    <w:rsid w:val="005D77CA"/>
    <w:rsid w:val="005E1640"/>
    <w:rsid w:val="00621150"/>
    <w:rsid w:val="006417D7"/>
    <w:rsid w:val="00650D3E"/>
    <w:rsid w:val="00651E63"/>
    <w:rsid w:val="00657CE0"/>
    <w:rsid w:val="00671B1F"/>
    <w:rsid w:val="006926CC"/>
    <w:rsid w:val="00694A73"/>
    <w:rsid w:val="006C1DE8"/>
    <w:rsid w:val="006C752A"/>
    <w:rsid w:val="006F66A6"/>
    <w:rsid w:val="00702B87"/>
    <w:rsid w:val="00714B64"/>
    <w:rsid w:val="0073026C"/>
    <w:rsid w:val="0076490E"/>
    <w:rsid w:val="00775011"/>
    <w:rsid w:val="007862BB"/>
    <w:rsid w:val="007A1D13"/>
    <w:rsid w:val="007B5DDD"/>
    <w:rsid w:val="007C1393"/>
    <w:rsid w:val="007C4118"/>
    <w:rsid w:val="007E46DC"/>
    <w:rsid w:val="007F77AB"/>
    <w:rsid w:val="00800477"/>
    <w:rsid w:val="00801492"/>
    <w:rsid w:val="00803964"/>
    <w:rsid w:val="00812AE5"/>
    <w:rsid w:val="00837855"/>
    <w:rsid w:val="00855A29"/>
    <w:rsid w:val="00861A01"/>
    <w:rsid w:val="00895E28"/>
    <w:rsid w:val="00896C57"/>
    <w:rsid w:val="008E0D28"/>
    <w:rsid w:val="008E47A4"/>
    <w:rsid w:val="008E66A3"/>
    <w:rsid w:val="008E6DD5"/>
    <w:rsid w:val="00902831"/>
    <w:rsid w:val="009174C1"/>
    <w:rsid w:val="00923482"/>
    <w:rsid w:val="0093076E"/>
    <w:rsid w:val="0093195C"/>
    <w:rsid w:val="00936492"/>
    <w:rsid w:val="0094657C"/>
    <w:rsid w:val="00954330"/>
    <w:rsid w:val="00962C23"/>
    <w:rsid w:val="009660E4"/>
    <w:rsid w:val="009A40EE"/>
    <w:rsid w:val="009A42E5"/>
    <w:rsid w:val="009B4923"/>
    <w:rsid w:val="009D7823"/>
    <w:rsid w:val="009E6B8F"/>
    <w:rsid w:val="00A108FE"/>
    <w:rsid w:val="00A22436"/>
    <w:rsid w:val="00A24E5A"/>
    <w:rsid w:val="00A3751C"/>
    <w:rsid w:val="00A41FB7"/>
    <w:rsid w:val="00A45436"/>
    <w:rsid w:val="00A528AF"/>
    <w:rsid w:val="00A6068E"/>
    <w:rsid w:val="00A61C45"/>
    <w:rsid w:val="00A64A37"/>
    <w:rsid w:val="00A71B0B"/>
    <w:rsid w:val="00A7671F"/>
    <w:rsid w:val="00AB025A"/>
    <w:rsid w:val="00AB09F0"/>
    <w:rsid w:val="00AB608E"/>
    <w:rsid w:val="00AE3D1E"/>
    <w:rsid w:val="00AE4348"/>
    <w:rsid w:val="00AF0CDC"/>
    <w:rsid w:val="00AF5A76"/>
    <w:rsid w:val="00B10F04"/>
    <w:rsid w:val="00B17705"/>
    <w:rsid w:val="00B226F9"/>
    <w:rsid w:val="00B229DA"/>
    <w:rsid w:val="00B24BCC"/>
    <w:rsid w:val="00B316E9"/>
    <w:rsid w:val="00B46A1F"/>
    <w:rsid w:val="00B5708F"/>
    <w:rsid w:val="00B919AA"/>
    <w:rsid w:val="00B97654"/>
    <w:rsid w:val="00BA2A86"/>
    <w:rsid w:val="00BA5D2B"/>
    <w:rsid w:val="00BB1D42"/>
    <w:rsid w:val="00BC49CF"/>
    <w:rsid w:val="00BD2C74"/>
    <w:rsid w:val="00BD627C"/>
    <w:rsid w:val="00C04DE3"/>
    <w:rsid w:val="00C15C3D"/>
    <w:rsid w:val="00C178AA"/>
    <w:rsid w:val="00C30366"/>
    <w:rsid w:val="00C46293"/>
    <w:rsid w:val="00C531E4"/>
    <w:rsid w:val="00C60BB7"/>
    <w:rsid w:val="00C6671E"/>
    <w:rsid w:val="00C66E65"/>
    <w:rsid w:val="00CA3261"/>
    <w:rsid w:val="00CC0EB5"/>
    <w:rsid w:val="00CC6149"/>
    <w:rsid w:val="00CC74E6"/>
    <w:rsid w:val="00CD4A3C"/>
    <w:rsid w:val="00CF4A91"/>
    <w:rsid w:val="00D271F0"/>
    <w:rsid w:val="00D320DA"/>
    <w:rsid w:val="00D3409A"/>
    <w:rsid w:val="00D35593"/>
    <w:rsid w:val="00D44365"/>
    <w:rsid w:val="00D46FFE"/>
    <w:rsid w:val="00D570C4"/>
    <w:rsid w:val="00D91146"/>
    <w:rsid w:val="00DA0B76"/>
    <w:rsid w:val="00DA0FE3"/>
    <w:rsid w:val="00DC52FD"/>
    <w:rsid w:val="00DF4256"/>
    <w:rsid w:val="00E009A1"/>
    <w:rsid w:val="00E200EA"/>
    <w:rsid w:val="00E337EC"/>
    <w:rsid w:val="00E45680"/>
    <w:rsid w:val="00E60CC4"/>
    <w:rsid w:val="00E61ADE"/>
    <w:rsid w:val="00E6630A"/>
    <w:rsid w:val="00E67CD0"/>
    <w:rsid w:val="00E769EA"/>
    <w:rsid w:val="00EA0147"/>
    <w:rsid w:val="00EB4F46"/>
    <w:rsid w:val="00EC36E4"/>
    <w:rsid w:val="00ED3D02"/>
    <w:rsid w:val="00EF29B4"/>
    <w:rsid w:val="00F01829"/>
    <w:rsid w:val="00F33C68"/>
    <w:rsid w:val="00F502CB"/>
    <w:rsid w:val="00F93342"/>
    <w:rsid w:val="00F94311"/>
    <w:rsid w:val="00F95854"/>
    <w:rsid w:val="00FA1C16"/>
    <w:rsid w:val="00FA3B54"/>
    <w:rsid w:val="00FC05EA"/>
    <w:rsid w:val="00FC1669"/>
    <w:rsid w:val="00FE04C3"/>
    <w:rsid w:val="00FE0AAD"/>
    <w:rsid w:val="00FF0CE4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F"/>
  </w:style>
  <w:style w:type="paragraph" w:styleId="Footer">
    <w:name w:val="footer"/>
    <w:basedOn w:val="Normal"/>
    <w:link w:val="FooterChar"/>
    <w:uiPriority w:val="99"/>
    <w:unhideWhenUsed/>
    <w:rsid w:val="0058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3F"/>
  </w:style>
  <w:style w:type="paragraph" w:customStyle="1" w:styleId="Docnumber">
    <w:name w:val="Docnumber"/>
    <w:basedOn w:val="Normal"/>
    <w:link w:val="DocnumberChar"/>
    <w:rsid w:val="00585A3F"/>
    <w:pPr>
      <w:spacing w:before="120"/>
      <w:jc w:val="right"/>
    </w:pPr>
    <w:rPr>
      <w:rFonts w:ascii="Times New Roman" w:hAnsi="Times New Roman" w:cs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585A3F"/>
    <w:rPr>
      <w:rFonts w:ascii="Times New Roman" w:hAnsi="Times New Roman" w:cs="Times New Roman"/>
      <w:b/>
      <w:bCs/>
      <w:sz w:val="40"/>
    </w:rPr>
  </w:style>
  <w:style w:type="character" w:styleId="Hyperlink">
    <w:name w:val="Hyperlink"/>
    <w:basedOn w:val="DefaultParagraphFont"/>
    <w:uiPriority w:val="99"/>
    <w:unhideWhenUsed/>
    <w:rsid w:val="00F95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F"/>
  </w:style>
  <w:style w:type="paragraph" w:styleId="Footer">
    <w:name w:val="footer"/>
    <w:basedOn w:val="Normal"/>
    <w:link w:val="FooterChar"/>
    <w:uiPriority w:val="99"/>
    <w:unhideWhenUsed/>
    <w:rsid w:val="0058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3F"/>
  </w:style>
  <w:style w:type="paragraph" w:customStyle="1" w:styleId="Docnumber">
    <w:name w:val="Docnumber"/>
    <w:basedOn w:val="Normal"/>
    <w:link w:val="DocnumberChar"/>
    <w:rsid w:val="00585A3F"/>
    <w:pPr>
      <w:spacing w:before="120"/>
      <w:jc w:val="right"/>
    </w:pPr>
    <w:rPr>
      <w:rFonts w:ascii="Times New Roman" w:hAnsi="Times New Roman" w:cs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585A3F"/>
    <w:rPr>
      <w:rFonts w:ascii="Times New Roman" w:hAnsi="Times New Roman" w:cs="Times New Roman"/>
      <w:b/>
      <w:bCs/>
      <w:sz w:val="40"/>
    </w:rPr>
  </w:style>
  <w:style w:type="character" w:styleId="Hyperlink">
    <w:name w:val="Hyperlink"/>
    <w:basedOn w:val="DefaultParagraphFont"/>
    <w:uiPriority w:val="99"/>
    <w:unhideWhenUsed/>
    <w:rsid w:val="00F95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focusgroups/drnrr/Pages/default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arrasco@mtc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online/regsys/ITU-T/misc/edrs.registration.form?_eventid=300057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ssc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bfgssc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80306B6171D4680FBF36C637FE72B" ma:contentTypeVersion="3" ma:contentTypeDescription="Create a new document." ma:contentTypeScope="" ma:versionID="fade3fa90dab5f79237b93c1166f01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D787C-6AF4-4C1E-B9C5-5489B9815621}"/>
</file>

<file path=customXml/itemProps2.xml><?xml version="1.0" encoding="utf-8"?>
<ds:datastoreItem xmlns:ds="http://schemas.openxmlformats.org/officeDocument/2006/customXml" ds:itemID="{133EE34A-6A44-46A2-B974-235F8753350F}"/>
</file>

<file path=customXml/itemProps3.xml><?xml version="1.0" encoding="utf-8"?>
<ds:datastoreItem xmlns:ds="http://schemas.openxmlformats.org/officeDocument/2006/customXml" ds:itemID="{F226FF5F-70D8-4DF0-BB8A-8DFBEE5F5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Manager>ITU-T</Manager>
  <Company>International Telecommunication Union (ITU)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Campilongo, Erica</dc:creator>
  <dc:description>SSC-I-27  For: _x000d_Document date: _x000d_Saved by ITU51008659 at 17:10:58 on 11/06/2013</dc:description>
  <cp:lastModifiedBy>Campilongo, Erica</cp:lastModifiedBy>
  <cp:revision>13</cp:revision>
  <cp:lastPrinted>2013-10-18T09:59:00Z</cp:lastPrinted>
  <dcterms:created xsi:type="dcterms:W3CDTF">2013-06-11T16:17:00Z</dcterms:created>
  <dcterms:modified xsi:type="dcterms:W3CDTF">2013-10-29T11:15:00Z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SSC-I-27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0x01010017680306B6171D4680FBF36C637FE72B</vt:lpwstr>
  </property>
</Properties>
</file>