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093"/>
        <w:gridCol w:w="6477"/>
        <w:gridCol w:w="2540"/>
      </w:tblGrid>
      <w:tr w:rsidR="00224CFD" w:rsidRPr="00382EF3" w:rsidTr="00224CFD">
        <w:tc>
          <w:tcPr>
            <w:tcW w:w="942" w:type="pct"/>
            <w:vAlign w:val="center"/>
          </w:tcPr>
          <w:p w:rsidR="00224CFD" w:rsidRPr="00052616" w:rsidRDefault="00224CFD" w:rsidP="00224CFD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758825" cy="836930"/>
                  <wp:effectExtent l="19050" t="0" r="3175" b="0"/>
                  <wp:docPr id="1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vAlign w:val="center"/>
          </w:tcPr>
          <w:p w:rsidR="00224CFD" w:rsidRPr="009B6A63" w:rsidRDefault="00224CFD" w:rsidP="00224CFD">
            <w:pPr>
              <w:tabs>
                <w:tab w:val="left" w:pos="4111"/>
              </w:tabs>
              <w:ind w:left="57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24CFD" w:rsidRDefault="00224CFD" w:rsidP="00224CFD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6D55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ITU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Regional Workshop </w:t>
            </w: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on Efficiency of the</w:t>
            </w:r>
          </w:p>
          <w:p w:rsidR="00224CFD" w:rsidRDefault="00224CFD" w:rsidP="00224CFD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Frequency Spectrum Use in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the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Arab Region</w:t>
            </w:r>
          </w:p>
          <w:p w:rsidR="00224CFD" w:rsidRPr="00224CFD" w:rsidRDefault="00224CFD" w:rsidP="00224CFD">
            <w:pPr>
              <w:spacing w:before="240" w:after="0"/>
              <w:ind w:left="57"/>
              <w:jc w:val="center"/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</w:pPr>
            <w:r w:rsidRPr="009B6A63"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  <w:t>Amman-Jordan, 5-7 Dec. 2011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224CFD" w:rsidRPr="00382EF3" w:rsidRDefault="00224CFD" w:rsidP="00224CFD">
            <w:pPr>
              <w:tabs>
                <w:tab w:val="left" w:pos="1157"/>
              </w:tabs>
              <w:ind w:left="62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23290" cy="880110"/>
                  <wp:effectExtent l="19050" t="0" r="0" b="0"/>
                  <wp:docPr id="2" name="Picture 2" descr="T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CFD" w:rsidRDefault="00224CFD" w:rsidP="00975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533EF" w:rsidRDefault="008533EF" w:rsidP="005107CE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  <w:r w:rsidRPr="00224CFD">
        <w:rPr>
          <w:rFonts w:ascii="Times New Roman" w:hAnsi="Times New Roman"/>
          <w:b/>
          <w:i/>
          <w:iCs/>
          <w:color w:val="000080"/>
          <w:sz w:val="24"/>
        </w:rPr>
        <w:t>PROGRAM</w:t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tab/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br/>
      </w:r>
    </w:p>
    <w:p w:rsidR="00224CFD" w:rsidRPr="009734F2" w:rsidRDefault="00224CFD" w:rsidP="00224CFD">
      <w:pPr>
        <w:pStyle w:val="Default"/>
        <w:ind w:left="27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Day 1: 5 December 2011</w:t>
      </w:r>
    </w:p>
    <w:tbl>
      <w:tblPr>
        <w:tblW w:w="1080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7"/>
        <w:gridCol w:w="7773"/>
      </w:tblGrid>
      <w:tr w:rsidR="00224CFD" w:rsidRPr="000775CE" w:rsidTr="006B7026">
        <w:trPr>
          <w:trHeight w:val="132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24CFD" w:rsidRPr="000775CE" w:rsidRDefault="00224CFD" w:rsidP="00224CFD">
            <w:pPr>
              <w:pStyle w:val="Default"/>
              <w:tabs>
                <w:tab w:val="left" w:pos="1805"/>
              </w:tabs>
              <w:ind w:left="9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Opening Ceremony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24CFD" w:rsidRPr="000775CE" w:rsidRDefault="00224CFD" w:rsidP="00224CFD">
            <w:pPr>
              <w:pStyle w:val="Default"/>
              <w:ind w:left="9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CFD" w:rsidRPr="000775CE" w:rsidRDefault="00822561" w:rsidP="00822561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0 – 09: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24CFD" w:rsidRPr="000775CE" w:rsidRDefault="00224CFD" w:rsidP="00822561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09:</w:t>
            </w:r>
            <w:r w:rsidR="00822561"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822561">
              <w:rPr>
                <w:rFonts w:ascii="Times New Roman" w:hAnsi="Times New Roman" w:cs="Times New Roman"/>
                <w:color w:val="auto"/>
              </w:rPr>
              <w:t>10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 w:rsidR="00822561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On-site registration</w:t>
            </w:r>
          </w:p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Opening ceremony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24CFD" w:rsidRPr="000775CE" w:rsidRDefault="00224CFD" w:rsidP="00224CF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ITU Arab Regional Office</w:t>
            </w:r>
          </w:p>
          <w:p w:rsidR="00224CFD" w:rsidRPr="00224CFD" w:rsidRDefault="00224CFD" w:rsidP="00224CF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TRC</w:t>
            </w:r>
            <w:r w:rsidRPr="000775CE">
              <w:rPr>
                <w:rFonts w:ascii="Times New Roman" w:hAnsi="Times New Roman" w:cs="Times New Roman"/>
                <w:sz w:val="24"/>
                <w:szCs w:val="24"/>
              </w:rPr>
              <w:t xml:space="preserve"> welcoming and Keynote 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24CFD" w:rsidRPr="000775CE" w:rsidRDefault="00822561" w:rsidP="00822561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0 – 1</w:t>
            </w:r>
            <w:r w:rsidR="00224CFD">
              <w:rPr>
                <w:rFonts w:ascii="Times New Roman" w:hAnsi="Times New Roman" w:cs="Times New Roman"/>
                <w:color w:val="auto"/>
              </w:rPr>
              <w:t>0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224CFD"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224CFD" w:rsidRPr="00224CFD" w:rsidRDefault="00224CFD" w:rsidP="00224CF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224CFD">
              <w:rPr>
                <w:rFonts w:ascii="Times New Roman" w:hAnsi="Times New Roman" w:cs="Times New Roman"/>
                <w:color w:val="auto"/>
              </w:rPr>
              <w:t>Session 1: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224CFD">
              <w:rPr>
                <w:rFonts w:ascii="Times New Roman" w:hAnsi="Times New Roman" w:cs="Times New Roman"/>
                <w:color w:val="auto"/>
              </w:rPr>
              <w:t>Spectrum management fundamentals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CFD" w:rsidRPr="000775CE" w:rsidRDefault="00224CFD" w:rsidP="00822561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10:</w:t>
            </w:r>
            <w:r w:rsidR="00822561"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224CFD" w:rsidRPr="000775CE" w:rsidRDefault="00224CFD" w:rsidP="00224CFD">
            <w:pPr>
              <w:pStyle w:val="Default"/>
              <w:numPr>
                <w:ilvl w:val="0"/>
                <w:numId w:val="2"/>
              </w:numPr>
              <w:spacing w:after="120"/>
              <w:ind w:left="459" w:hanging="426"/>
              <w:rPr>
                <w:rFonts w:ascii="Times New Roman" w:hAnsi="Times New Roman" w:cs="Times New Roman"/>
                <w:color w:val="auto"/>
              </w:rPr>
            </w:pPr>
            <w:r w:rsidRPr="00224CFD">
              <w:rPr>
                <w:rFonts w:ascii="Times New Roman" w:hAnsi="Times New Roman" w:cs="Times New Roman"/>
                <w:color w:val="auto"/>
              </w:rPr>
              <w:t>Spectrum management fundamentals</w:t>
            </w:r>
            <w:r w:rsidR="00822561">
              <w:rPr>
                <w:rFonts w:ascii="Times New Roman" w:hAnsi="Times New Roman" w:cs="Times New Roman"/>
                <w:color w:val="auto"/>
              </w:rPr>
              <w:t>, policy and regulatory aspects for different services</w:t>
            </w:r>
            <w:r w:rsidRPr="00224CFD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224CFD">
              <w:rPr>
                <w:rFonts w:ascii="Times New Roman" w:hAnsi="Times New Roman" w:cs="Times New Roman"/>
                <w:color w:val="auto"/>
              </w:rPr>
              <w:t>Arturas</w:t>
            </w:r>
            <w:proofErr w:type="spellEnd"/>
            <w:r w:rsidRPr="00224C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CFD">
              <w:rPr>
                <w:rFonts w:ascii="Times New Roman" w:hAnsi="Times New Roman" w:cs="Times New Roman"/>
                <w:color w:val="auto"/>
              </w:rPr>
              <w:t>Medeisis</w:t>
            </w:r>
            <w:proofErr w:type="spellEnd"/>
            <w:r w:rsidRPr="00224CFD">
              <w:rPr>
                <w:rFonts w:ascii="Times New Roman" w:hAnsi="Times New Roman" w:cs="Times New Roman"/>
                <w:color w:val="auto"/>
              </w:rPr>
              <w:t>, ITU Expert)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CFD" w:rsidRPr="000775CE" w:rsidRDefault="00224CFD" w:rsidP="00B4500F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 w:rsidR="00B4500F"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 w:rsidR="00B4500F"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4CFD" w:rsidRPr="00224CFD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224CFD" w:rsidRPr="000775CE" w:rsidRDefault="00224CFD" w:rsidP="00224CFD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224CFD">
              <w:rPr>
                <w:rFonts w:ascii="Times New Roman" w:hAnsi="Times New Roman" w:cs="Times New Roman"/>
                <w:color w:val="auto"/>
              </w:rPr>
              <w:t xml:space="preserve">International, regional and national regulatory framework </w:t>
            </w:r>
            <w:r w:rsidR="00524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4CFD">
              <w:rPr>
                <w:rFonts w:ascii="Times New Roman" w:hAnsi="Times New Roman" w:cs="Times New Roman"/>
                <w:color w:val="auto"/>
              </w:rPr>
              <w:t>(Ilham G</w:t>
            </w:r>
            <w:r w:rsidR="008A6C30">
              <w:rPr>
                <w:rFonts w:ascii="Times New Roman" w:hAnsi="Times New Roman" w:cs="Times New Roman"/>
                <w:color w:val="auto"/>
              </w:rPr>
              <w:t>h</w:t>
            </w:r>
            <w:r w:rsidRPr="00224CFD">
              <w:rPr>
                <w:rFonts w:ascii="Times New Roman" w:hAnsi="Times New Roman" w:cs="Times New Roman"/>
                <w:color w:val="auto"/>
              </w:rPr>
              <w:t>azi, IT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224CFD">
              <w:rPr>
                <w:rFonts w:ascii="Times New Roman" w:hAnsi="Times New Roman" w:cs="Times New Roman"/>
                <w:color w:val="auto"/>
              </w:rPr>
              <w:t xml:space="preserve"> and ASMG)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CFD" w:rsidRPr="000775CE" w:rsidRDefault="00224CFD" w:rsidP="00B4500F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 w:rsidR="00B4500F"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 w:rsidR="00B4500F"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4CFD" w:rsidRPr="00224CFD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224CFD" w:rsidRDefault="00224CFD" w:rsidP="00224CFD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Discussion</w:t>
            </w:r>
          </w:p>
          <w:p w:rsidR="00224CFD" w:rsidRPr="000775CE" w:rsidRDefault="00224CFD" w:rsidP="00224CFD">
            <w:pPr>
              <w:pStyle w:val="Default"/>
              <w:tabs>
                <w:tab w:val="left" w:pos="375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24CFD" w:rsidRPr="000775CE" w:rsidRDefault="00224CFD" w:rsidP="00224CF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12:30 – 14:00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 xml:space="preserve">Lunch </w:t>
            </w:r>
          </w:p>
        </w:tc>
      </w:tr>
      <w:tr w:rsidR="00224CF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224CFD" w:rsidRPr="000775CE" w:rsidRDefault="00224CFD" w:rsidP="00432282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 xml:space="preserve">Session </w:t>
            </w:r>
            <w:r>
              <w:rPr>
                <w:rFonts w:ascii="Times New Roman" w:hAnsi="Times New Roman" w:cs="Times New Roman"/>
                <w:color w:val="auto"/>
              </w:rPr>
              <w:t>1 (</w:t>
            </w:r>
            <w:r w:rsidR="00432282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ont’d)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224CFD" w:rsidRPr="000775CE" w:rsidRDefault="00224CFD" w:rsidP="00224CF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224CFD">
              <w:rPr>
                <w:rFonts w:ascii="Times New Roman" w:hAnsi="Times New Roman" w:cs="Times New Roman"/>
                <w:color w:val="auto"/>
              </w:rPr>
              <w:t>Spectrum management fundamentals</w:t>
            </w:r>
          </w:p>
        </w:tc>
      </w:tr>
      <w:tr w:rsidR="005F7A4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A4D" w:rsidRPr="000775CE" w:rsidRDefault="005F7A4D" w:rsidP="005F7A4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:00 –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A4D" w:rsidRPr="000775CE" w:rsidRDefault="005F7A4D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5F7A4D" w:rsidRPr="000775CE" w:rsidRDefault="005F7A4D" w:rsidP="0086716E">
            <w:pPr>
              <w:pStyle w:val="Default"/>
              <w:numPr>
                <w:ilvl w:val="0"/>
                <w:numId w:val="2"/>
              </w:numPr>
              <w:spacing w:after="120"/>
              <w:ind w:left="459" w:hanging="426"/>
              <w:rPr>
                <w:rFonts w:ascii="Times New Roman" w:hAnsi="Times New Roman" w:cs="Times New Roman"/>
                <w:color w:val="auto"/>
              </w:rPr>
            </w:pPr>
            <w:r w:rsidRPr="005F7A4D">
              <w:rPr>
                <w:rFonts w:ascii="Times New Roman" w:hAnsi="Times New Roman" w:cs="Times New Roman"/>
                <w:color w:val="auto"/>
              </w:rPr>
              <w:t>Introduction to the Radio Regulations (Ilham G</w:t>
            </w:r>
            <w:r w:rsidR="008A6C30">
              <w:rPr>
                <w:rFonts w:ascii="Times New Roman" w:hAnsi="Times New Roman" w:cs="Times New Roman"/>
                <w:color w:val="auto"/>
              </w:rPr>
              <w:t>h</w:t>
            </w:r>
            <w:r w:rsidRPr="005F7A4D">
              <w:rPr>
                <w:rFonts w:ascii="Times New Roman" w:hAnsi="Times New Roman" w:cs="Times New Roman"/>
                <w:color w:val="auto"/>
              </w:rPr>
              <w:t>azi)</w:t>
            </w:r>
          </w:p>
        </w:tc>
      </w:tr>
      <w:tr w:rsidR="005F7A4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A4D" w:rsidRPr="000775CE" w:rsidRDefault="005F7A4D" w:rsidP="005F7A4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A4D" w:rsidRPr="00224CFD" w:rsidRDefault="005F7A4D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5F7A4D" w:rsidRPr="000775CE" w:rsidRDefault="005F7A4D" w:rsidP="0086716E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5F7A4D">
              <w:rPr>
                <w:rFonts w:ascii="Times New Roman" w:hAnsi="Times New Roman" w:cs="Times New Roman"/>
                <w:color w:val="auto"/>
              </w:rPr>
              <w:t xml:space="preserve">Spectrum Management Handbook, </w:t>
            </w:r>
            <w:r w:rsidR="00200271" w:rsidRPr="00200271">
              <w:rPr>
                <w:rFonts w:ascii="Times New Roman" w:hAnsi="Times New Roman" w:cs="Times New Roman"/>
                <w:color w:val="auto"/>
              </w:rPr>
              <w:t xml:space="preserve">Best Practices of Modern Spectrum Management </w:t>
            </w:r>
            <w:r w:rsidR="002002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7A4D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5F7A4D">
              <w:rPr>
                <w:rFonts w:ascii="Times New Roman" w:hAnsi="Times New Roman" w:cs="Times New Roman"/>
                <w:color w:val="auto"/>
              </w:rPr>
              <w:t>Arturas</w:t>
            </w:r>
            <w:proofErr w:type="spellEnd"/>
            <w:r w:rsidRPr="005F7A4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F7A4D">
              <w:rPr>
                <w:rFonts w:ascii="Times New Roman" w:hAnsi="Times New Roman" w:cs="Times New Roman"/>
                <w:color w:val="auto"/>
              </w:rPr>
              <w:t>Medeisis</w:t>
            </w:r>
            <w:proofErr w:type="spellEnd"/>
            <w:r w:rsidRPr="005F7A4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F7A4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F7A4D" w:rsidRPr="000775CE" w:rsidRDefault="005F7A4D" w:rsidP="005F7A4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5F7A4D" w:rsidRPr="000775CE" w:rsidRDefault="005F7A4D" w:rsidP="005F7A4D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5F7A4D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A4D" w:rsidRPr="000775CE" w:rsidRDefault="005F7A4D" w:rsidP="005F7A4D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A4D" w:rsidRPr="00224CFD" w:rsidRDefault="005F7A4D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5F7A4D" w:rsidRDefault="005F7A4D" w:rsidP="00524CE6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5F7A4D">
              <w:rPr>
                <w:rFonts w:ascii="Times New Roman" w:hAnsi="Times New Roman" w:cs="Times New Roman"/>
                <w:color w:val="auto"/>
              </w:rPr>
              <w:t xml:space="preserve">Computerized </w:t>
            </w:r>
            <w:r w:rsidR="00B8102A" w:rsidRPr="00B8102A">
              <w:rPr>
                <w:rFonts w:ascii="Times New Roman" w:hAnsi="Times New Roman" w:cs="Times New Roman"/>
                <w:color w:val="auto"/>
              </w:rPr>
              <w:t>spectrum management and monitoring, SMS4DC software (</w:t>
            </w:r>
            <w:proofErr w:type="spellStart"/>
            <w:r w:rsidR="00B8102A" w:rsidRPr="00B8102A">
              <w:rPr>
                <w:rFonts w:ascii="Times New Roman" w:hAnsi="Times New Roman" w:cs="Times New Roman"/>
                <w:color w:val="auto"/>
              </w:rPr>
              <w:t>István</w:t>
            </w:r>
            <w:proofErr w:type="spellEnd"/>
            <w:r w:rsidR="00B8102A" w:rsidRPr="00B810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8102A" w:rsidRPr="00B8102A">
              <w:rPr>
                <w:rFonts w:ascii="Times New Roman" w:hAnsi="Times New Roman" w:cs="Times New Roman"/>
                <w:color w:val="auto"/>
              </w:rPr>
              <w:t>Bozsóki</w:t>
            </w:r>
            <w:proofErr w:type="spellEnd"/>
            <w:r w:rsidR="00B8102A" w:rsidRPr="00B8102A">
              <w:rPr>
                <w:rFonts w:ascii="Times New Roman" w:hAnsi="Times New Roman" w:cs="Times New Roman"/>
                <w:color w:val="auto"/>
              </w:rPr>
              <w:t xml:space="preserve">, ITU and Jan Verduijn, ITU Expert, Chairman of WP-1C, </w:t>
            </w:r>
            <w:proofErr w:type="spellStart"/>
            <w:r w:rsidR="00B8102A" w:rsidRPr="00B8102A">
              <w:rPr>
                <w:rFonts w:ascii="Times New Roman" w:hAnsi="Times New Roman" w:cs="Times New Roman"/>
                <w:color w:val="auto"/>
              </w:rPr>
              <w:t>Yasir</w:t>
            </w:r>
            <w:proofErr w:type="spellEnd"/>
            <w:r w:rsidR="00B8102A" w:rsidRPr="00B8102A">
              <w:rPr>
                <w:rFonts w:ascii="Times New Roman" w:hAnsi="Times New Roman" w:cs="Times New Roman"/>
                <w:color w:val="auto"/>
              </w:rPr>
              <w:t xml:space="preserve"> Mohammed </w:t>
            </w:r>
            <w:proofErr w:type="spellStart"/>
            <w:r w:rsidR="00B8102A" w:rsidRPr="00B8102A">
              <w:rPr>
                <w:rFonts w:ascii="Times New Roman" w:hAnsi="Times New Roman" w:cs="Times New Roman"/>
                <w:color w:val="auto"/>
              </w:rPr>
              <w:t>Bashar</w:t>
            </w:r>
            <w:proofErr w:type="spellEnd"/>
            <w:r w:rsidR="00B8102A" w:rsidRPr="00B8102A">
              <w:rPr>
                <w:rFonts w:ascii="Times New Roman" w:hAnsi="Times New Roman" w:cs="Times New Roman"/>
                <w:color w:val="auto"/>
              </w:rPr>
              <w:t>, Sudan)</w:t>
            </w:r>
          </w:p>
          <w:p w:rsidR="00B8102A" w:rsidRPr="000775CE" w:rsidRDefault="00B8102A" w:rsidP="00B8102A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B94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B94" w:rsidRPr="000775CE" w:rsidRDefault="00077B94" w:rsidP="00077B94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77B94" w:rsidRPr="00077B94" w:rsidRDefault="00077B94" w:rsidP="00077B94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Discussion</w:t>
            </w:r>
          </w:p>
        </w:tc>
      </w:tr>
    </w:tbl>
    <w:p w:rsidR="00077B94" w:rsidRDefault="00077B94" w:rsidP="00975A4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</w:p>
    <w:p w:rsidR="00077B94" w:rsidRDefault="00077B94">
      <w:pPr>
        <w:spacing w:after="0" w:line="240" w:lineRule="auto"/>
        <w:rPr>
          <w:rFonts w:ascii="Times New Roman" w:hAnsi="Times New Roman"/>
          <w:b/>
          <w:i/>
          <w:iCs/>
          <w:color w:val="000080"/>
          <w:sz w:val="24"/>
        </w:rPr>
      </w:pPr>
      <w:r>
        <w:rPr>
          <w:rFonts w:ascii="Times New Roman" w:hAnsi="Times New Roman"/>
          <w:b/>
          <w:i/>
          <w:iCs/>
          <w:color w:val="000080"/>
          <w:sz w:val="24"/>
        </w:rPr>
        <w:br w:type="page"/>
      </w:r>
    </w:p>
    <w:p w:rsidR="00224CFD" w:rsidRDefault="00224CFD" w:rsidP="00975A4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</w:p>
    <w:tbl>
      <w:tblPr>
        <w:tblW w:w="4915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093"/>
        <w:gridCol w:w="6477"/>
        <w:gridCol w:w="2540"/>
      </w:tblGrid>
      <w:tr w:rsidR="00243CCE" w:rsidRPr="00382EF3" w:rsidTr="0086716E">
        <w:tc>
          <w:tcPr>
            <w:tcW w:w="942" w:type="pct"/>
            <w:vAlign w:val="center"/>
          </w:tcPr>
          <w:p w:rsidR="00243CCE" w:rsidRPr="00052616" w:rsidRDefault="00243CCE" w:rsidP="0086716E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8825" cy="836930"/>
                  <wp:effectExtent l="19050" t="0" r="3175" b="0"/>
                  <wp:docPr id="3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vAlign w:val="center"/>
          </w:tcPr>
          <w:p w:rsidR="00243CCE" w:rsidRPr="009B6A63" w:rsidRDefault="00243CCE" w:rsidP="0086716E">
            <w:pPr>
              <w:tabs>
                <w:tab w:val="left" w:pos="4111"/>
              </w:tabs>
              <w:ind w:left="57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43CCE" w:rsidRDefault="00243CCE" w:rsidP="0086716E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6D55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ITU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Regional Workshop </w:t>
            </w: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on Efficiency of the</w:t>
            </w:r>
          </w:p>
          <w:p w:rsidR="00243CCE" w:rsidRDefault="00243CCE" w:rsidP="0086716E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Frequency Spectrum Use in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the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Arab Region</w:t>
            </w:r>
          </w:p>
          <w:p w:rsidR="00243CCE" w:rsidRPr="00224CFD" w:rsidRDefault="00243CCE" w:rsidP="0086716E">
            <w:pPr>
              <w:spacing w:before="240" w:after="0"/>
              <w:ind w:left="57"/>
              <w:jc w:val="center"/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</w:pPr>
            <w:r w:rsidRPr="009B6A63"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  <w:t>Amman-Jordan, 5-7 Dec. 2011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243CCE" w:rsidRPr="00382EF3" w:rsidRDefault="00243CCE" w:rsidP="0086716E">
            <w:pPr>
              <w:tabs>
                <w:tab w:val="left" w:pos="1157"/>
              </w:tabs>
              <w:ind w:left="62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23290" cy="880110"/>
                  <wp:effectExtent l="19050" t="0" r="0" b="0"/>
                  <wp:docPr id="4" name="Picture 2" descr="T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CCE" w:rsidRDefault="00243CCE" w:rsidP="00243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43CCE" w:rsidRDefault="00243CCE" w:rsidP="00243CCE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  <w:r w:rsidRPr="00224CFD">
        <w:rPr>
          <w:rFonts w:ascii="Times New Roman" w:hAnsi="Times New Roman"/>
          <w:b/>
          <w:i/>
          <w:iCs/>
          <w:color w:val="000080"/>
          <w:sz w:val="24"/>
        </w:rPr>
        <w:t>PROGRAM</w:t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tab/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br/>
      </w:r>
    </w:p>
    <w:p w:rsidR="00243CCE" w:rsidRPr="009734F2" w:rsidRDefault="00243CCE" w:rsidP="00243CCE">
      <w:pPr>
        <w:pStyle w:val="Default"/>
        <w:ind w:left="27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Day 2: 6 December 2011</w:t>
      </w:r>
    </w:p>
    <w:tbl>
      <w:tblPr>
        <w:tblW w:w="1080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7"/>
        <w:gridCol w:w="7773"/>
      </w:tblGrid>
      <w:tr w:rsidR="00243CCE" w:rsidRPr="000775CE" w:rsidTr="006B7026">
        <w:trPr>
          <w:trHeight w:val="132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243CCE" w:rsidRPr="000775CE" w:rsidRDefault="00243CCE" w:rsidP="0086716E">
            <w:pPr>
              <w:pStyle w:val="Default"/>
              <w:tabs>
                <w:tab w:val="left" w:pos="1805"/>
              </w:tabs>
              <w:ind w:left="90"/>
              <w:rPr>
                <w:rFonts w:ascii="Times New Roman" w:hAnsi="Times New Roman" w:cs="Times New Roman"/>
                <w:color w:val="auto"/>
              </w:rPr>
            </w:pPr>
            <w:r w:rsidRPr="003522A2">
              <w:rPr>
                <w:rFonts w:ascii="Times New Roman" w:hAnsi="Times New Roman" w:cs="Times New Roman"/>
                <w:color w:val="auto"/>
              </w:rPr>
              <w:t>Session 2: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243CCE" w:rsidRPr="000775CE" w:rsidRDefault="00243CCE" w:rsidP="003522A2">
            <w:pPr>
              <w:pStyle w:val="Default"/>
              <w:tabs>
                <w:tab w:val="left" w:pos="1805"/>
              </w:tabs>
              <w:ind w:left="90"/>
              <w:rPr>
                <w:rFonts w:ascii="Times New Roman" w:hAnsi="Times New Roman" w:cs="Times New Roman"/>
                <w:color w:val="auto"/>
              </w:rPr>
            </w:pPr>
            <w:r w:rsidRPr="003522A2">
              <w:rPr>
                <w:rFonts w:ascii="Times New Roman" w:hAnsi="Times New Roman" w:cs="Times New Roman"/>
                <w:color w:val="auto"/>
              </w:rPr>
              <w:t>Tools and procedures for spectrum management</w:t>
            </w:r>
          </w:p>
        </w:tc>
      </w:tr>
      <w:tr w:rsidR="00243CCE" w:rsidRPr="00224CFD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3CCE" w:rsidRPr="000775CE" w:rsidRDefault="00243CCE" w:rsidP="00243CC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09:00 – 09: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CCE" w:rsidRPr="003522A2" w:rsidRDefault="003522A2" w:rsidP="00243CC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A2">
              <w:rPr>
                <w:rFonts w:ascii="Times New Roman" w:hAnsi="Times New Roman" w:cs="Times New Roman"/>
                <w:sz w:val="24"/>
                <w:szCs w:val="24"/>
              </w:rPr>
              <w:t xml:space="preserve">National Table of Frequency Allocation, Licensed vs. unlicensed spectrum use </w:t>
            </w:r>
            <w:r w:rsidR="004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2A2">
              <w:rPr>
                <w:rFonts w:ascii="Times New Roman" w:hAnsi="Times New Roman" w:cs="Times New Roman"/>
                <w:sz w:val="24"/>
                <w:szCs w:val="24"/>
              </w:rPr>
              <w:t>Arturas</w:t>
            </w:r>
            <w:proofErr w:type="spellEnd"/>
            <w:r w:rsidRP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2A2">
              <w:rPr>
                <w:rFonts w:ascii="Times New Roman" w:hAnsi="Times New Roman" w:cs="Times New Roman"/>
                <w:sz w:val="24"/>
                <w:szCs w:val="24"/>
              </w:rPr>
              <w:t>Medeisis</w:t>
            </w:r>
            <w:proofErr w:type="spellEnd"/>
            <w:r w:rsidRPr="00352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CCE" w:rsidRPr="00E15F11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E15F11" w:rsidRDefault="00243CCE" w:rsidP="00243CC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09:45 – 10:30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E15F11" w:rsidRDefault="00421570" w:rsidP="004074B6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 xml:space="preserve">Spectrum 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refarming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>, liberalization and economics (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Sampsa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Laamanen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Omnitele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 xml:space="preserve"> Ltd.)</w:t>
            </w:r>
            <w:r w:rsidR="004074B6" w:rsidRPr="00E15F11">
              <w:rPr>
                <w:rFonts w:ascii="Times New Roman" w:hAnsi="Times New Roman" w:cs="Times New Roman"/>
                <w:color w:val="auto"/>
              </w:rPr>
              <w:t xml:space="preserve">, Country experiences </w:t>
            </w:r>
          </w:p>
        </w:tc>
      </w:tr>
      <w:tr w:rsidR="003522A2" w:rsidRPr="00E15F11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522A2" w:rsidRPr="00E15F11" w:rsidRDefault="003522A2" w:rsidP="003522A2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10:30 – 11:00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3522A2" w:rsidRPr="00E15F11" w:rsidRDefault="003522A2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243CCE" w:rsidRPr="00E15F11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E15F11" w:rsidRDefault="00243CCE" w:rsidP="003522A2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11:00 – 1</w:t>
            </w:r>
            <w:r w:rsidR="003522A2" w:rsidRPr="00E15F11">
              <w:rPr>
                <w:rFonts w:ascii="Times New Roman" w:hAnsi="Times New Roman" w:cs="Times New Roman"/>
                <w:color w:val="auto"/>
              </w:rPr>
              <w:t>1</w:t>
            </w:r>
            <w:r w:rsidRPr="00E15F11">
              <w:rPr>
                <w:rFonts w:ascii="Times New Roman" w:hAnsi="Times New Roman" w:cs="Times New Roman"/>
                <w:color w:val="auto"/>
              </w:rPr>
              <w:t>:</w:t>
            </w:r>
            <w:r w:rsidR="003522A2" w:rsidRPr="00E15F11">
              <w:rPr>
                <w:rFonts w:ascii="Times New Roman" w:hAnsi="Times New Roman" w:cs="Times New Roman"/>
                <w:color w:val="auto"/>
              </w:rPr>
              <w:t>3</w:t>
            </w:r>
            <w:r w:rsidRPr="00E15F1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E15F11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ab/>
            </w:r>
          </w:p>
          <w:p w:rsidR="00243CCE" w:rsidRPr="00E15F11" w:rsidRDefault="00AC4903" w:rsidP="0086716E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Making way for novel broadband radio services (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Arturas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Medeisis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243CCE" w:rsidRPr="00E15F11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E15F11" w:rsidRDefault="00243CCE" w:rsidP="000966A8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1</w:t>
            </w:r>
            <w:r w:rsidR="009C7D9A" w:rsidRPr="00E15F11">
              <w:rPr>
                <w:rFonts w:ascii="Times New Roman" w:hAnsi="Times New Roman" w:cs="Times New Roman"/>
                <w:color w:val="auto"/>
              </w:rPr>
              <w:t>1</w:t>
            </w:r>
            <w:r w:rsidRPr="00E15F11">
              <w:rPr>
                <w:rFonts w:ascii="Times New Roman" w:hAnsi="Times New Roman" w:cs="Times New Roman"/>
                <w:color w:val="auto"/>
              </w:rPr>
              <w:t>:</w:t>
            </w:r>
            <w:r w:rsidR="009C7D9A" w:rsidRPr="00E15F11">
              <w:rPr>
                <w:rFonts w:ascii="Times New Roman" w:hAnsi="Times New Roman" w:cs="Times New Roman"/>
                <w:color w:val="auto"/>
              </w:rPr>
              <w:t>3</w:t>
            </w:r>
            <w:r w:rsidRPr="00E15F11">
              <w:rPr>
                <w:rFonts w:ascii="Times New Roman" w:hAnsi="Times New Roman" w:cs="Times New Roman"/>
                <w:color w:val="auto"/>
              </w:rPr>
              <w:t>0 – 12:</w:t>
            </w:r>
            <w:r w:rsidR="000966A8" w:rsidRPr="00E15F11">
              <w:rPr>
                <w:rFonts w:ascii="Times New Roman" w:hAnsi="Times New Roman" w:cs="Times New Roman"/>
                <w:color w:val="auto"/>
              </w:rPr>
              <w:t>0</w:t>
            </w:r>
            <w:r w:rsidRPr="00E15F1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E15F11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4074B6" w:rsidRPr="00E15F11" w:rsidRDefault="00AC4903" w:rsidP="000966A8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 xml:space="preserve">Spectrum </w:t>
            </w:r>
            <w:r w:rsidR="008D35AA" w:rsidRPr="00E15F11">
              <w:rPr>
                <w:rFonts w:ascii="Times New Roman" w:hAnsi="Times New Roman" w:cs="Times New Roman"/>
                <w:color w:val="auto"/>
              </w:rPr>
              <w:t>E</w:t>
            </w:r>
            <w:r w:rsidRPr="00E15F11">
              <w:rPr>
                <w:rFonts w:ascii="Times New Roman" w:hAnsi="Times New Roman" w:cs="Times New Roman"/>
                <w:color w:val="auto"/>
              </w:rPr>
              <w:t xml:space="preserve">fficiency Tool (Hugh Collins, Director, </w:t>
            </w:r>
            <w:proofErr w:type="spellStart"/>
            <w:r w:rsidRPr="00E15F11">
              <w:rPr>
                <w:rFonts w:ascii="Times New Roman" w:hAnsi="Times New Roman" w:cs="Times New Roman"/>
                <w:color w:val="auto"/>
              </w:rPr>
              <w:t>InterConnect</w:t>
            </w:r>
            <w:proofErr w:type="spellEnd"/>
            <w:r w:rsidRPr="00E15F11">
              <w:rPr>
                <w:rFonts w:ascii="Times New Roman" w:hAnsi="Times New Roman" w:cs="Times New Roman"/>
                <w:color w:val="auto"/>
              </w:rPr>
              <w:t xml:space="preserve"> Communications Ltd.)</w:t>
            </w:r>
            <w:r w:rsidR="009C7D9A" w:rsidRPr="00E15F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43CCE" w:rsidRPr="00E15F11" w:rsidRDefault="00243CCE" w:rsidP="004074B6">
            <w:pPr>
              <w:pStyle w:val="Default"/>
              <w:tabs>
                <w:tab w:val="left" w:pos="375"/>
              </w:tabs>
              <w:ind w:left="66"/>
              <w:rPr>
                <w:rFonts w:ascii="Times New Roman" w:hAnsi="Times New Roman" w:cs="Times New Roman"/>
                <w:color w:val="auto"/>
              </w:rPr>
            </w:pPr>
          </w:p>
          <w:p w:rsidR="00243CCE" w:rsidRPr="00E15F11" w:rsidRDefault="00243CCE" w:rsidP="0086716E">
            <w:pPr>
              <w:pStyle w:val="Default"/>
              <w:tabs>
                <w:tab w:val="left" w:pos="375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66A8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6A8" w:rsidRPr="00E15F11" w:rsidRDefault="000966A8" w:rsidP="000966A8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>12:00 – 12:30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966A8" w:rsidRDefault="000966A8" w:rsidP="000966A8">
            <w:pPr>
              <w:pStyle w:val="Default"/>
              <w:ind w:left="375"/>
              <w:rPr>
                <w:rFonts w:ascii="Times New Roman" w:hAnsi="Times New Roman" w:cs="Times New Roman"/>
                <w:color w:val="auto"/>
              </w:rPr>
            </w:pPr>
            <w:r w:rsidRPr="00E15F11">
              <w:rPr>
                <w:rFonts w:ascii="Times New Roman" w:hAnsi="Times New Roman" w:cs="Times New Roman"/>
                <w:color w:val="auto"/>
              </w:rPr>
              <w:t xml:space="preserve">Country experiences: </w:t>
            </w:r>
            <w:r w:rsidR="00247F81" w:rsidRPr="00E222D5">
              <w:rPr>
                <w:rFonts w:ascii="Times New Roman" w:hAnsi="Times New Roman" w:cs="Times New Roman"/>
                <w:color w:val="auto"/>
              </w:rPr>
              <w:t>Telecommunications Spectrum Policy and Planning</w:t>
            </w:r>
            <w:r w:rsidR="00247F81" w:rsidRPr="00336D5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7F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7F81" w:rsidRPr="00336D50">
              <w:rPr>
                <w:rFonts w:ascii="Times New Roman" w:hAnsi="Times New Roman" w:cs="Times New Roman"/>
                <w:color w:val="auto"/>
              </w:rPr>
              <w:t>(</w:t>
            </w:r>
            <w:r w:rsidR="00247F81" w:rsidRPr="00E15F11">
              <w:rPr>
                <w:rFonts w:ascii="Times New Roman" w:hAnsi="Times New Roman" w:cs="Times New Roman"/>
                <w:color w:val="auto"/>
              </w:rPr>
              <w:t xml:space="preserve">Mohamed </w:t>
            </w:r>
            <w:proofErr w:type="spellStart"/>
            <w:r w:rsidR="00247F81" w:rsidRPr="00E15F11">
              <w:rPr>
                <w:rFonts w:ascii="Times New Roman" w:hAnsi="Times New Roman" w:cs="Times New Roman"/>
                <w:color w:val="auto"/>
              </w:rPr>
              <w:t>Mahmood</w:t>
            </w:r>
            <w:proofErr w:type="spellEnd"/>
            <w:r w:rsidR="00247F8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47F81" w:rsidRPr="00336D50">
              <w:rPr>
                <w:rFonts w:ascii="Times New Roman" w:hAnsi="Times New Roman" w:cs="Times New Roman"/>
                <w:color w:val="auto"/>
              </w:rPr>
              <w:t>TRA</w:t>
            </w:r>
            <w:r w:rsidR="00247F81">
              <w:rPr>
                <w:rFonts w:ascii="Times New Roman" w:hAnsi="Times New Roman" w:cs="Times New Roman"/>
                <w:color w:val="auto"/>
              </w:rPr>
              <w:t xml:space="preserve"> Bahrain</w:t>
            </w:r>
            <w:r w:rsidR="00247F81" w:rsidRPr="00B9653C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247F81" w:rsidRPr="00E15F11" w:rsidRDefault="00247F81" w:rsidP="000966A8">
            <w:pPr>
              <w:pStyle w:val="Default"/>
              <w:ind w:left="37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12:30 – 14:00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43CCE" w:rsidRPr="000775CE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 xml:space="preserve">Lunch </w:t>
            </w: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243CCE" w:rsidRPr="000775CE" w:rsidRDefault="00432282" w:rsidP="00432282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432282">
              <w:rPr>
                <w:rFonts w:ascii="Times New Roman" w:hAnsi="Times New Roman" w:cs="Times New Roman"/>
                <w:color w:val="auto"/>
              </w:rPr>
              <w:t>Session 2 (cont’d)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243CCE" w:rsidRPr="000775CE" w:rsidRDefault="002B52C1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3522A2">
              <w:rPr>
                <w:rFonts w:ascii="Times New Roman" w:hAnsi="Times New Roman" w:cs="Times New Roman"/>
                <w:color w:val="auto"/>
              </w:rPr>
              <w:t>Tools and procedures for spectrum management</w:t>
            </w: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:00 –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0775CE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243CCE" w:rsidRPr="000775CE" w:rsidRDefault="008D35AA" w:rsidP="0086716E">
            <w:pPr>
              <w:pStyle w:val="Default"/>
              <w:numPr>
                <w:ilvl w:val="0"/>
                <w:numId w:val="2"/>
              </w:numPr>
              <w:spacing w:after="120"/>
              <w:ind w:left="459" w:hanging="426"/>
              <w:rPr>
                <w:rFonts w:ascii="Times New Roman" w:hAnsi="Times New Roman" w:cs="Times New Roman"/>
                <w:color w:val="auto"/>
              </w:rPr>
            </w:pPr>
            <w:r w:rsidRPr="008D35AA">
              <w:rPr>
                <w:rFonts w:ascii="Times New Roman" w:hAnsi="Times New Roman" w:cs="Times New Roman"/>
                <w:color w:val="auto"/>
              </w:rPr>
              <w:t>MIFR- Notification of Frequency Assignments (Ilham G</w:t>
            </w:r>
            <w:r w:rsidR="008A6C30">
              <w:rPr>
                <w:rFonts w:ascii="Times New Roman" w:hAnsi="Times New Roman" w:cs="Times New Roman"/>
                <w:color w:val="auto"/>
              </w:rPr>
              <w:t>h</w:t>
            </w:r>
            <w:r w:rsidRPr="008D35AA">
              <w:rPr>
                <w:rFonts w:ascii="Times New Roman" w:hAnsi="Times New Roman" w:cs="Times New Roman"/>
                <w:color w:val="auto"/>
              </w:rPr>
              <w:t>azi)</w:t>
            </w: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224CFD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243CCE" w:rsidRPr="000775CE" w:rsidRDefault="00B9653C" w:rsidP="008D35AA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B9653C">
              <w:rPr>
                <w:rFonts w:ascii="Times New Roman" w:hAnsi="Times New Roman" w:cs="Times New Roman"/>
                <w:color w:val="auto"/>
              </w:rPr>
              <w:t xml:space="preserve">Cross </w:t>
            </w:r>
            <w:r w:rsidR="008D35AA" w:rsidRPr="008D35AA">
              <w:rPr>
                <w:rFonts w:ascii="Times New Roman" w:hAnsi="Times New Roman" w:cs="Times New Roman"/>
                <w:color w:val="auto"/>
              </w:rPr>
              <w:t>border frequency coordination and associated framework agreements, ITU assistance on spectrum management (</w:t>
            </w:r>
            <w:proofErr w:type="spellStart"/>
            <w:r w:rsidR="008D35AA" w:rsidRPr="008D35AA">
              <w:rPr>
                <w:rFonts w:ascii="Times New Roman" w:hAnsi="Times New Roman" w:cs="Times New Roman"/>
                <w:color w:val="auto"/>
              </w:rPr>
              <w:t>István</w:t>
            </w:r>
            <w:proofErr w:type="spellEnd"/>
            <w:r w:rsidR="008D35AA" w:rsidRPr="008D35A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8D35AA" w:rsidRPr="008D35AA">
              <w:rPr>
                <w:rFonts w:ascii="Times New Roman" w:hAnsi="Times New Roman" w:cs="Times New Roman"/>
                <w:color w:val="auto"/>
              </w:rPr>
              <w:t>Bozsóki</w:t>
            </w:r>
            <w:proofErr w:type="spellEnd"/>
            <w:r w:rsidR="008D35AA" w:rsidRPr="008D35AA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43CCE" w:rsidRPr="000775CE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243CCE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224CFD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243CCE" w:rsidRDefault="001135C9" w:rsidP="001135C9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1135C9">
              <w:rPr>
                <w:rFonts w:ascii="Times New Roman" w:hAnsi="Times New Roman" w:cs="Times New Roman"/>
                <w:color w:val="auto"/>
              </w:rPr>
              <w:t>Design and Implementation of a new monitoring system, including new communication systems</w:t>
            </w:r>
            <w:r w:rsidRPr="001135C9" w:rsidDel="00D464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35C9">
              <w:rPr>
                <w:rFonts w:ascii="Times New Roman" w:hAnsi="Times New Roman" w:cs="Times New Roman"/>
                <w:color w:val="auto"/>
              </w:rPr>
              <w:t>(Jan Verduijn)</w:t>
            </w:r>
          </w:p>
          <w:p w:rsidR="00243CCE" w:rsidRPr="000775CE" w:rsidRDefault="00243CCE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CCE" w:rsidRPr="00077B94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CCE" w:rsidRPr="000775CE" w:rsidRDefault="00243CCE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3CCE" w:rsidRPr="00077B94" w:rsidRDefault="00243CCE" w:rsidP="0086716E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Discussion</w:t>
            </w:r>
          </w:p>
        </w:tc>
      </w:tr>
    </w:tbl>
    <w:p w:rsidR="00243CCE" w:rsidRDefault="00243CCE">
      <w:pPr>
        <w:spacing w:after="0" w:line="240" w:lineRule="auto"/>
        <w:rPr>
          <w:rFonts w:ascii="Times New Roman" w:hAnsi="Times New Roman"/>
          <w:b/>
          <w:i/>
          <w:iCs/>
          <w:color w:val="000080"/>
          <w:sz w:val="24"/>
        </w:rPr>
      </w:pPr>
      <w:r>
        <w:rPr>
          <w:rFonts w:ascii="Times New Roman" w:hAnsi="Times New Roman"/>
          <w:b/>
          <w:i/>
          <w:iCs/>
          <w:color w:val="000080"/>
          <w:sz w:val="24"/>
        </w:rPr>
        <w:br w:type="page"/>
      </w:r>
    </w:p>
    <w:p w:rsidR="00243CCE" w:rsidRDefault="00243CCE">
      <w:pPr>
        <w:spacing w:after="0" w:line="240" w:lineRule="auto"/>
        <w:rPr>
          <w:rFonts w:ascii="Times New Roman" w:hAnsi="Times New Roman"/>
          <w:b/>
          <w:i/>
          <w:iCs/>
          <w:color w:val="000080"/>
          <w:sz w:val="24"/>
        </w:rPr>
      </w:pPr>
    </w:p>
    <w:tbl>
      <w:tblPr>
        <w:tblW w:w="4915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093"/>
        <w:gridCol w:w="6477"/>
        <w:gridCol w:w="2540"/>
      </w:tblGrid>
      <w:tr w:rsidR="00243CCE" w:rsidRPr="00382EF3" w:rsidTr="0086716E">
        <w:tc>
          <w:tcPr>
            <w:tcW w:w="942" w:type="pct"/>
            <w:vAlign w:val="center"/>
          </w:tcPr>
          <w:p w:rsidR="00243CCE" w:rsidRPr="00052616" w:rsidRDefault="00243CCE" w:rsidP="0086716E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8825" cy="836930"/>
                  <wp:effectExtent l="19050" t="0" r="3175" b="0"/>
                  <wp:docPr id="5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vAlign w:val="center"/>
          </w:tcPr>
          <w:p w:rsidR="00243CCE" w:rsidRPr="009B6A63" w:rsidRDefault="00243CCE" w:rsidP="0086716E">
            <w:pPr>
              <w:tabs>
                <w:tab w:val="left" w:pos="4111"/>
              </w:tabs>
              <w:ind w:left="57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43CCE" w:rsidRDefault="00243CCE" w:rsidP="0086716E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6D55BF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ITU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Regional Workshop </w:t>
            </w: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on Efficiency of the</w:t>
            </w:r>
          </w:p>
          <w:p w:rsidR="00243CCE" w:rsidRDefault="00243CCE" w:rsidP="0086716E">
            <w:pPr>
              <w:tabs>
                <w:tab w:val="left" w:pos="4111"/>
              </w:tabs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9B6A63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Frequency Spectrum Use in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the </w:t>
            </w:r>
            <w:r w:rsidRPr="00D1059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Arab Region</w:t>
            </w:r>
          </w:p>
          <w:p w:rsidR="00243CCE" w:rsidRPr="00224CFD" w:rsidRDefault="00243CCE" w:rsidP="0086716E">
            <w:pPr>
              <w:spacing w:before="240" w:after="0"/>
              <w:ind w:left="57"/>
              <w:jc w:val="center"/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</w:pPr>
            <w:r w:rsidRPr="009B6A63">
              <w:rPr>
                <w:rFonts w:ascii="Times New Roman" w:hAnsi="Times New Roman"/>
                <w:b/>
                <w:i/>
                <w:iCs/>
                <w:color w:val="000080"/>
                <w:sz w:val="24"/>
              </w:rPr>
              <w:t>Amman-Jordan, 5-7 Dec. 2011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243CCE" w:rsidRPr="00382EF3" w:rsidRDefault="00243CCE" w:rsidP="0086716E">
            <w:pPr>
              <w:tabs>
                <w:tab w:val="left" w:pos="1157"/>
              </w:tabs>
              <w:ind w:left="62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23290" cy="880110"/>
                  <wp:effectExtent l="19050" t="0" r="0" b="0"/>
                  <wp:docPr id="6" name="Picture 2" descr="T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CCE" w:rsidRDefault="00243CCE" w:rsidP="00243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43CCE" w:rsidRDefault="00243CCE" w:rsidP="00243CCE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  <w:r w:rsidRPr="00224CFD">
        <w:rPr>
          <w:rFonts w:ascii="Times New Roman" w:hAnsi="Times New Roman"/>
          <w:b/>
          <w:i/>
          <w:iCs/>
          <w:color w:val="000080"/>
          <w:sz w:val="24"/>
        </w:rPr>
        <w:t>PROGRAM</w:t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tab/>
      </w:r>
      <w:r w:rsidRPr="00224CFD">
        <w:rPr>
          <w:rFonts w:ascii="Times New Roman" w:hAnsi="Times New Roman"/>
          <w:b/>
          <w:i/>
          <w:iCs/>
          <w:color w:val="000080"/>
          <w:sz w:val="24"/>
        </w:rPr>
        <w:br/>
      </w:r>
    </w:p>
    <w:p w:rsidR="00243CCE" w:rsidRPr="009734F2" w:rsidRDefault="00243CCE" w:rsidP="00243CCE">
      <w:pPr>
        <w:pStyle w:val="Default"/>
        <w:ind w:left="27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Day 3: 7 December 2011</w:t>
      </w:r>
    </w:p>
    <w:tbl>
      <w:tblPr>
        <w:tblW w:w="1080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7"/>
        <w:gridCol w:w="7773"/>
      </w:tblGrid>
      <w:tr w:rsidR="00B9653C" w:rsidRPr="000775CE" w:rsidTr="006B7026">
        <w:trPr>
          <w:trHeight w:val="132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B9653C" w:rsidRPr="000775CE" w:rsidRDefault="00B9653C" w:rsidP="00B9653C">
            <w:pPr>
              <w:pStyle w:val="Default"/>
              <w:tabs>
                <w:tab w:val="left" w:pos="1805"/>
              </w:tabs>
              <w:ind w:left="90"/>
              <w:rPr>
                <w:rFonts w:ascii="Times New Roman" w:hAnsi="Times New Roman" w:cs="Times New Roman"/>
                <w:color w:val="auto"/>
              </w:rPr>
            </w:pPr>
            <w:r w:rsidRPr="003522A2">
              <w:rPr>
                <w:rFonts w:ascii="Times New Roman" w:hAnsi="Times New Roman" w:cs="Times New Roman"/>
                <w:color w:val="auto"/>
              </w:rPr>
              <w:t xml:space="preserve">Session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522A2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B9653C" w:rsidRPr="000775CE" w:rsidRDefault="00B9653C" w:rsidP="0086716E">
            <w:pPr>
              <w:pStyle w:val="Default"/>
              <w:tabs>
                <w:tab w:val="left" w:pos="1805"/>
              </w:tabs>
              <w:ind w:left="90"/>
              <w:rPr>
                <w:rFonts w:ascii="Times New Roman" w:hAnsi="Times New Roman" w:cs="Times New Roman"/>
                <w:color w:val="auto"/>
              </w:rPr>
            </w:pPr>
            <w:r w:rsidRPr="00B9653C">
              <w:rPr>
                <w:rFonts w:ascii="Times New Roman" w:hAnsi="Times New Roman" w:cs="Times New Roman"/>
                <w:color w:val="auto"/>
              </w:rPr>
              <w:t>Digital broadcasting transition</w:t>
            </w:r>
          </w:p>
        </w:tc>
      </w:tr>
      <w:tr w:rsidR="00B9653C" w:rsidRPr="003522A2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53C" w:rsidRPr="000775CE" w:rsidRDefault="00B9653C" w:rsidP="00B9653C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09:00 – 09: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653C" w:rsidRPr="003522A2" w:rsidRDefault="00B9653C" w:rsidP="008C103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C"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8C103B" w:rsidRPr="008C103B">
              <w:rPr>
                <w:rFonts w:ascii="Times New Roman" w:hAnsi="Times New Roman" w:cs="Times New Roman"/>
                <w:sz w:val="24"/>
                <w:szCs w:val="24"/>
              </w:rPr>
              <w:t>digital migration matters? (</w:t>
            </w:r>
            <w:proofErr w:type="spellStart"/>
            <w:r w:rsidR="00B047B2" w:rsidRPr="00B047B2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  <w:r w:rsidR="00B047B2" w:rsidRPr="00B0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7B2" w:rsidRPr="00B047B2">
              <w:rPr>
                <w:rFonts w:ascii="Times New Roman" w:hAnsi="Times New Roman" w:cs="Times New Roman"/>
                <w:sz w:val="24"/>
                <w:szCs w:val="24"/>
              </w:rPr>
              <w:t>Bozsóki</w:t>
            </w:r>
            <w:proofErr w:type="spellEnd"/>
            <w:r w:rsidR="008C103B" w:rsidRPr="008C1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B9653C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B9653C" w:rsidRPr="000775CE" w:rsidRDefault="00B9653C" w:rsidP="0086716E">
            <w:pPr>
              <w:pStyle w:val="Default"/>
              <w:numPr>
                <w:ilvl w:val="0"/>
                <w:numId w:val="2"/>
              </w:numPr>
              <w:spacing w:after="120"/>
              <w:ind w:left="459" w:hanging="426"/>
              <w:rPr>
                <w:rFonts w:ascii="Times New Roman" w:hAnsi="Times New Roman" w:cs="Times New Roman"/>
                <w:color w:val="auto"/>
              </w:rPr>
            </w:pPr>
            <w:r w:rsidRPr="00B9653C">
              <w:rPr>
                <w:rFonts w:ascii="Times New Roman" w:hAnsi="Times New Roman" w:cs="Times New Roman"/>
                <w:color w:val="auto"/>
              </w:rPr>
              <w:t>Digital Migration Roadmap (</w:t>
            </w:r>
            <w:proofErr w:type="spellStart"/>
            <w:r w:rsidRPr="00B9653C">
              <w:rPr>
                <w:rFonts w:ascii="Times New Roman" w:hAnsi="Times New Roman" w:cs="Times New Roman"/>
                <w:color w:val="auto"/>
              </w:rPr>
              <w:t>István</w:t>
            </w:r>
            <w:proofErr w:type="spellEnd"/>
            <w:r w:rsidRPr="00B9653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653C">
              <w:rPr>
                <w:rFonts w:ascii="Times New Roman" w:hAnsi="Times New Roman" w:cs="Times New Roman"/>
                <w:color w:val="auto"/>
              </w:rPr>
              <w:t>Bozsóki</w:t>
            </w:r>
            <w:proofErr w:type="spellEnd"/>
            <w:r w:rsidRPr="00B9653C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Default="00B9653C" w:rsidP="00B9653C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Default="00B9653C" w:rsidP="0086716E">
            <w:pPr>
              <w:pStyle w:val="Default"/>
              <w:ind w:left="105"/>
              <w:rPr>
                <w:rFonts w:ascii="Times New Roman" w:hAnsi="Times New Roman"/>
                <w:b/>
                <w:i/>
                <w:iCs/>
                <w:color w:val="000080"/>
              </w:rPr>
            </w:pPr>
          </w:p>
          <w:p w:rsidR="00B9653C" w:rsidRDefault="00B9653C" w:rsidP="00B9653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B9653C">
              <w:rPr>
                <w:rFonts w:ascii="Times New Roman" w:hAnsi="Times New Roman" w:cs="Times New Roman"/>
                <w:color w:val="auto"/>
              </w:rPr>
              <w:t>Country experiences</w:t>
            </w:r>
          </w:p>
          <w:p w:rsidR="00B9653C" w:rsidRPr="000775CE" w:rsidRDefault="00B9653C" w:rsidP="00B9653C">
            <w:pPr>
              <w:pStyle w:val="Default"/>
              <w:ind w:left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224CFD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B9653C" w:rsidRPr="000775CE" w:rsidRDefault="00B9653C" w:rsidP="009526D8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336D50">
              <w:rPr>
                <w:rFonts w:ascii="Times New Roman" w:hAnsi="Times New Roman" w:cs="Times New Roman"/>
                <w:color w:val="auto"/>
              </w:rPr>
              <w:t xml:space="preserve">Digital </w:t>
            </w:r>
            <w:r w:rsidR="009526D8">
              <w:rPr>
                <w:rFonts w:ascii="Times New Roman" w:hAnsi="Times New Roman" w:cs="Times New Roman"/>
                <w:color w:val="auto"/>
              </w:rPr>
              <w:t>D</w:t>
            </w:r>
            <w:r w:rsidRPr="00336D50">
              <w:rPr>
                <w:rFonts w:ascii="Times New Roman" w:hAnsi="Times New Roman" w:cs="Times New Roman"/>
                <w:color w:val="auto"/>
              </w:rPr>
              <w:t>ividend</w:t>
            </w:r>
            <w:r w:rsidR="009526D8">
              <w:rPr>
                <w:rFonts w:ascii="Times New Roman" w:hAnsi="Times New Roman" w:cs="Times New Roman"/>
                <w:color w:val="auto"/>
              </w:rPr>
              <w:t xml:space="preserve"> and Spectrum  Considerations</w:t>
            </w:r>
            <w:r w:rsidRPr="00336D50">
              <w:rPr>
                <w:rFonts w:ascii="Times New Roman" w:hAnsi="Times New Roman" w:cs="Times New Roman"/>
                <w:color w:val="auto"/>
              </w:rPr>
              <w:t xml:space="preserve"> (Ilham G</w:t>
            </w:r>
            <w:r w:rsidR="0036736B">
              <w:rPr>
                <w:rFonts w:ascii="Times New Roman" w:hAnsi="Times New Roman" w:cs="Times New Roman"/>
                <w:color w:val="auto"/>
              </w:rPr>
              <w:t>h</w:t>
            </w:r>
            <w:r w:rsidRPr="00336D50">
              <w:rPr>
                <w:rFonts w:ascii="Times New Roman" w:hAnsi="Times New Roman" w:cs="Times New Roman"/>
                <w:color w:val="auto"/>
              </w:rPr>
              <w:t>azi)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224CFD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B9653C" w:rsidRDefault="00B9653C" w:rsidP="0086716E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9C7D9A">
              <w:rPr>
                <w:rFonts w:ascii="Times New Roman" w:hAnsi="Times New Roman" w:cs="Times New Roman"/>
                <w:color w:val="auto"/>
              </w:rPr>
              <w:t>Country experiences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9653C" w:rsidRPr="000775CE" w:rsidRDefault="00B9653C" w:rsidP="0086716E">
            <w:pPr>
              <w:pStyle w:val="Default"/>
              <w:tabs>
                <w:tab w:val="left" w:pos="375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53C" w:rsidRPr="00224CFD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Default="009526D8" w:rsidP="00B047B2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Digital Migration Roadmap</w:t>
            </w:r>
            <w:r w:rsidR="00B047B2">
              <w:rPr>
                <w:rFonts w:ascii="Times New Roman" w:hAnsi="Times New Roman" w:cs="Times New Roman"/>
                <w:color w:val="auto"/>
              </w:rPr>
              <w:t xml:space="preserve"> (Rouda Alamir Ali, ITU ARO</w:t>
            </w:r>
            <w:r w:rsidR="00B9653C" w:rsidRPr="00B9653C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B9653C" w:rsidRPr="00224CFD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12:30 – 14:00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 xml:space="preserve">Lunch 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B9653C" w:rsidRPr="000775CE" w:rsidRDefault="00B9653C" w:rsidP="00336D50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432282">
              <w:rPr>
                <w:rFonts w:ascii="Times New Roman" w:hAnsi="Times New Roman" w:cs="Times New Roman"/>
                <w:color w:val="auto"/>
              </w:rPr>
              <w:t xml:space="preserve">Session </w:t>
            </w:r>
            <w:r w:rsidR="00336D50">
              <w:rPr>
                <w:rFonts w:ascii="Times New Roman" w:hAnsi="Times New Roman" w:cs="Times New Roman"/>
                <w:color w:val="auto"/>
              </w:rPr>
              <w:t>4: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2060"/>
          </w:tcPr>
          <w:p w:rsidR="00B9653C" w:rsidRPr="000775CE" w:rsidRDefault="00336D50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336D50">
              <w:rPr>
                <w:rFonts w:ascii="Times New Roman" w:hAnsi="Times New Roman" w:cs="Times New Roman"/>
                <w:color w:val="auto"/>
              </w:rPr>
              <w:t>Policy, regulation, economics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:00 – 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B9653C" w:rsidRPr="000775CE" w:rsidRDefault="008C103B" w:rsidP="008C103B">
            <w:pPr>
              <w:pStyle w:val="Default"/>
              <w:numPr>
                <w:ilvl w:val="0"/>
                <w:numId w:val="2"/>
              </w:numPr>
              <w:spacing w:after="120"/>
              <w:ind w:left="459" w:hanging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Practical</w:t>
            </w:r>
            <w:r w:rsidR="00336D50" w:rsidRPr="00336D50">
              <w:rPr>
                <w:rFonts w:ascii="Times New Roman" w:hAnsi="Times New Roman" w:cs="Times New Roman"/>
                <w:color w:val="auto"/>
              </w:rPr>
              <w:t xml:space="preserve"> aspects </w:t>
            </w:r>
            <w:r>
              <w:rPr>
                <w:rFonts w:ascii="Times New Roman" w:hAnsi="Times New Roman" w:cs="Times New Roman"/>
                <w:color w:val="auto"/>
              </w:rPr>
              <w:t>of</w:t>
            </w:r>
            <w:r w:rsidR="00336D50" w:rsidRPr="00336D50">
              <w:rPr>
                <w:rFonts w:ascii="Times New Roman" w:hAnsi="Times New Roman" w:cs="Times New Roman"/>
                <w:color w:val="auto"/>
              </w:rPr>
              <w:t xml:space="preserve"> liberalization, </w:t>
            </w:r>
            <w:proofErr w:type="spellStart"/>
            <w:r w:rsidR="00336D50" w:rsidRPr="00336D50">
              <w:rPr>
                <w:rFonts w:ascii="Times New Roman" w:hAnsi="Times New Roman" w:cs="Times New Roman"/>
                <w:color w:val="auto"/>
              </w:rPr>
              <w:t>refarming</w:t>
            </w:r>
            <w:proofErr w:type="spellEnd"/>
            <w:r w:rsidR="00336D50" w:rsidRPr="00336D50">
              <w:rPr>
                <w:rFonts w:ascii="Times New Roman" w:hAnsi="Times New Roman" w:cs="Times New Roman"/>
                <w:color w:val="auto"/>
              </w:rPr>
              <w:t xml:space="preserve"> of spectrum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36D50" w:rsidRPr="00336D50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336D50" w:rsidRPr="00336D50">
              <w:rPr>
                <w:rFonts w:ascii="Times New Roman" w:hAnsi="Times New Roman" w:cs="Times New Roman"/>
                <w:color w:val="auto"/>
              </w:rPr>
              <w:t>Arturas</w:t>
            </w:r>
            <w:proofErr w:type="spellEnd"/>
            <w:r w:rsidR="00336D50" w:rsidRPr="00336D5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336D50" w:rsidRPr="00336D50">
              <w:rPr>
                <w:rFonts w:ascii="Times New Roman" w:hAnsi="Times New Roman" w:cs="Times New Roman"/>
                <w:color w:val="auto"/>
              </w:rPr>
              <w:t>Medeisis</w:t>
            </w:r>
            <w:proofErr w:type="spellEnd"/>
            <w:r w:rsidR="00336D50" w:rsidRPr="00336D50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224CFD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ab/>
            </w:r>
          </w:p>
          <w:p w:rsidR="00E15F11" w:rsidRPr="000775CE" w:rsidRDefault="00377F18" w:rsidP="00BE1B97">
            <w:pPr>
              <w:pStyle w:val="Default"/>
              <w:numPr>
                <w:ilvl w:val="0"/>
                <w:numId w:val="2"/>
              </w:numPr>
              <w:spacing w:after="120"/>
              <w:ind w:left="459" w:right="-18" w:hanging="426"/>
              <w:rPr>
                <w:rFonts w:ascii="Times New Roman" w:hAnsi="Times New Roman" w:cs="Times New Roman"/>
                <w:color w:val="auto"/>
              </w:rPr>
            </w:pPr>
            <w:r w:rsidRPr="00A25E21">
              <w:rPr>
                <w:rFonts w:ascii="Times New Roman" w:hAnsi="Times New Roman" w:cs="Times New Roman"/>
                <w:color w:val="auto"/>
              </w:rPr>
              <w:t xml:space="preserve">Spectrum 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A25E21">
              <w:rPr>
                <w:rFonts w:ascii="Times New Roman" w:hAnsi="Times New Roman" w:cs="Times New Roman"/>
                <w:color w:val="auto"/>
              </w:rPr>
              <w:t>conomics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1B97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BE1B97" w:rsidRPr="00BE1B97">
              <w:rPr>
                <w:rFonts w:ascii="Times New Roman" w:hAnsi="Times New Roman" w:cs="Times New Roman"/>
                <w:color w:val="auto"/>
              </w:rPr>
              <w:t xml:space="preserve">UAE Digital TV Switchover Plan </w:t>
            </w:r>
            <w:r>
              <w:rPr>
                <w:rFonts w:ascii="Times New Roman" w:hAnsi="Times New Roman" w:cs="Times New Roman"/>
                <w:color w:val="auto"/>
              </w:rPr>
              <w:t>(</w:t>
            </w:r>
            <w:r w:rsidRPr="00377F18">
              <w:rPr>
                <w:rFonts w:ascii="Times New Roman" w:hAnsi="Times New Roman" w:cs="Times New Roman"/>
                <w:color w:val="auto"/>
              </w:rPr>
              <w:t>Hassan Sharif, TRA UAE)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Coffee Break</w:t>
            </w:r>
          </w:p>
        </w:tc>
      </w:tr>
      <w:tr w:rsidR="00B9653C" w:rsidRPr="000775CE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775CE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224CFD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  <w:p w:rsidR="00B9653C" w:rsidRDefault="00336D50" w:rsidP="00336D50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336D50">
              <w:rPr>
                <w:rFonts w:ascii="Times New Roman" w:hAnsi="Times New Roman" w:cs="Times New Roman"/>
                <w:color w:val="auto"/>
              </w:rPr>
              <w:t>Discussions, recommendations</w:t>
            </w:r>
            <w:r w:rsidRPr="00B9653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9653C" w:rsidRPr="000775CE" w:rsidRDefault="00B9653C" w:rsidP="0086716E">
            <w:pPr>
              <w:pStyle w:val="Default"/>
              <w:ind w:left="10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653C" w:rsidRPr="00077B94" w:rsidTr="006B7026">
        <w:trPr>
          <w:trHeight w:val="259"/>
        </w:trPr>
        <w:tc>
          <w:tcPr>
            <w:tcW w:w="3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53C" w:rsidRPr="000775CE" w:rsidRDefault="00B9653C" w:rsidP="0086716E">
            <w:pPr>
              <w:pStyle w:val="Default"/>
              <w:ind w:right="-250"/>
              <w:rPr>
                <w:rFonts w:ascii="Times New Roman" w:hAnsi="Times New Roman" w:cs="Times New Roman"/>
                <w:color w:val="auto"/>
              </w:rPr>
            </w:pPr>
            <w:r w:rsidRPr="000775C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0775CE">
              <w:rPr>
                <w:rFonts w:ascii="Times New Roman" w:hAnsi="Times New Roman" w:cs="Times New Roman"/>
                <w:color w:val="auto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0775CE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53C" w:rsidRPr="00077B94" w:rsidRDefault="00336D50" w:rsidP="0086716E">
            <w:pPr>
              <w:pStyle w:val="Default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hAnsi="Times New Roman" w:cs="Times New Roman"/>
                <w:color w:val="auto"/>
              </w:rPr>
            </w:pPr>
            <w:r w:rsidRPr="00336D50">
              <w:rPr>
                <w:rFonts w:ascii="Times New Roman" w:hAnsi="Times New Roman" w:cs="Times New Roman"/>
                <w:color w:val="auto"/>
              </w:rPr>
              <w:t>Closing Session</w:t>
            </w:r>
          </w:p>
        </w:tc>
      </w:tr>
    </w:tbl>
    <w:p w:rsidR="00224CFD" w:rsidRDefault="00224CFD" w:rsidP="00975A4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</w:p>
    <w:p w:rsidR="00243CCE" w:rsidRDefault="00243CCE" w:rsidP="00975A4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  <w:sz w:val="24"/>
        </w:rPr>
      </w:pPr>
    </w:p>
    <w:p w:rsidR="008533EF" w:rsidRPr="00224CFD" w:rsidRDefault="008533EF" w:rsidP="00927676">
      <w:pPr>
        <w:rPr>
          <w:rFonts w:ascii="Times New Roman" w:hAnsi="Times New Roman"/>
          <w:b/>
          <w:i/>
          <w:iCs/>
          <w:color w:val="000080"/>
          <w:sz w:val="24"/>
        </w:rPr>
      </w:pPr>
    </w:p>
    <w:sectPr w:rsidR="008533EF" w:rsidRPr="00224CFD" w:rsidSect="00884EE7">
      <w:pgSz w:w="12240" w:h="15840"/>
      <w:pgMar w:top="709" w:right="56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01" w:rsidRDefault="00731A01" w:rsidP="00C65D57">
      <w:pPr>
        <w:spacing w:after="0" w:line="240" w:lineRule="auto"/>
      </w:pPr>
      <w:r>
        <w:separator/>
      </w:r>
    </w:p>
  </w:endnote>
  <w:endnote w:type="continuationSeparator" w:id="0">
    <w:p w:rsidR="00731A01" w:rsidRDefault="00731A01" w:rsidP="00C6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01" w:rsidRDefault="00731A01" w:rsidP="00C65D57">
      <w:pPr>
        <w:spacing w:after="0" w:line="240" w:lineRule="auto"/>
      </w:pPr>
      <w:r>
        <w:separator/>
      </w:r>
    </w:p>
  </w:footnote>
  <w:footnote w:type="continuationSeparator" w:id="0">
    <w:p w:rsidR="00731A01" w:rsidRDefault="00731A01" w:rsidP="00C6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3D31"/>
    <w:multiLevelType w:val="hybridMultilevel"/>
    <w:tmpl w:val="9E08FFA0"/>
    <w:lvl w:ilvl="0" w:tplc="AC54947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FE02CD7"/>
    <w:multiLevelType w:val="hybridMultilevel"/>
    <w:tmpl w:val="13A4F23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9906698"/>
    <w:multiLevelType w:val="hybridMultilevel"/>
    <w:tmpl w:val="F9D02820"/>
    <w:lvl w:ilvl="0" w:tplc="91C6F1F4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DD8"/>
    <w:rsid w:val="00027C8F"/>
    <w:rsid w:val="0005023A"/>
    <w:rsid w:val="00077B94"/>
    <w:rsid w:val="000816CF"/>
    <w:rsid w:val="00094845"/>
    <w:rsid w:val="000966A8"/>
    <w:rsid w:val="00097A12"/>
    <w:rsid w:val="000F02B0"/>
    <w:rsid w:val="001135C9"/>
    <w:rsid w:val="00115400"/>
    <w:rsid w:val="00144BBB"/>
    <w:rsid w:val="00145D2C"/>
    <w:rsid w:val="00164C3D"/>
    <w:rsid w:val="00191DAF"/>
    <w:rsid w:val="001D529B"/>
    <w:rsid w:val="00200271"/>
    <w:rsid w:val="00203A30"/>
    <w:rsid w:val="00212141"/>
    <w:rsid w:val="00224CFD"/>
    <w:rsid w:val="00243CCE"/>
    <w:rsid w:val="00247F81"/>
    <w:rsid w:val="00255F6D"/>
    <w:rsid w:val="002A6AFF"/>
    <w:rsid w:val="002B52C1"/>
    <w:rsid w:val="003148C7"/>
    <w:rsid w:val="00322281"/>
    <w:rsid w:val="00336D50"/>
    <w:rsid w:val="003460AA"/>
    <w:rsid w:val="003522A2"/>
    <w:rsid w:val="0036642B"/>
    <w:rsid w:val="0036736B"/>
    <w:rsid w:val="003675AC"/>
    <w:rsid w:val="00377F18"/>
    <w:rsid w:val="003B7079"/>
    <w:rsid w:val="004074B6"/>
    <w:rsid w:val="00421570"/>
    <w:rsid w:val="00432282"/>
    <w:rsid w:val="004840A4"/>
    <w:rsid w:val="004C0CB9"/>
    <w:rsid w:val="004D1EC4"/>
    <w:rsid w:val="005107CE"/>
    <w:rsid w:val="00514BB6"/>
    <w:rsid w:val="00524CE6"/>
    <w:rsid w:val="00534E1F"/>
    <w:rsid w:val="005602CB"/>
    <w:rsid w:val="005F76B8"/>
    <w:rsid w:val="005F7A4D"/>
    <w:rsid w:val="00663C94"/>
    <w:rsid w:val="00673FB0"/>
    <w:rsid w:val="006867ED"/>
    <w:rsid w:val="006B629C"/>
    <w:rsid w:val="006B7026"/>
    <w:rsid w:val="00731A01"/>
    <w:rsid w:val="0075581E"/>
    <w:rsid w:val="00764DA0"/>
    <w:rsid w:val="00767EE7"/>
    <w:rsid w:val="00774A71"/>
    <w:rsid w:val="007B2D22"/>
    <w:rsid w:val="007C4396"/>
    <w:rsid w:val="007D6AF9"/>
    <w:rsid w:val="007E207C"/>
    <w:rsid w:val="0080679E"/>
    <w:rsid w:val="008126FF"/>
    <w:rsid w:val="00822561"/>
    <w:rsid w:val="008533EF"/>
    <w:rsid w:val="008550FC"/>
    <w:rsid w:val="00884EE7"/>
    <w:rsid w:val="008A6C30"/>
    <w:rsid w:val="008C103B"/>
    <w:rsid w:val="008C3263"/>
    <w:rsid w:val="008D35AA"/>
    <w:rsid w:val="0090628F"/>
    <w:rsid w:val="00907DD8"/>
    <w:rsid w:val="009233F1"/>
    <w:rsid w:val="00927524"/>
    <w:rsid w:val="00927676"/>
    <w:rsid w:val="009375E4"/>
    <w:rsid w:val="0094335B"/>
    <w:rsid w:val="009474C5"/>
    <w:rsid w:val="009526D8"/>
    <w:rsid w:val="00975A48"/>
    <w:rsid w:val="00980DD5"/>
    <w:rsid w:val="00983B99"/>
    <w:rsid w:val="00996DBB"/>
    <w:rsid w:val="009A357A"/>
    <w:rsid w:val="009C7D9A"/>
    <w:rsid w:val="009D42C3"/>
    <w:rsid w:val="009F4981"/>
    <w:rsid w:val="00A01ED0"/>
    <w:rsid w:val="00A41978"/>
    <w:rsid w:val="00A47D5A"/>
    <w:rsid w:val="00A76C6D"/>
    <w:rsid w:val="00AC4903"/>
    <w:rsid w:val="00B047B2"/>
    <w:rsid w:val="00B4500F"/>
    <w:rsid w:val="00B7071B"/>
    <w:rsid w:val="00B7611C"/>
    <w:rsid w:val="00B8102A"/>
    <w:rsid w:val="00B9653C"/>
    <w:rsid w:val="00BC5BAB"/>
    <w:rsid w:val="00BD4AC8"/>
    <w:rsid w:val="00BE1B97"/>
    <w:rsid w:val="00C01AA9"/>
    <w:rsid w:val="00C0311D"/>
    <w:rsid w:val="00C2577B"/>
    <w:rsid w:val="00C40B4F"/>
    <w:rsid w:val="00C6236A"/>
    <w:rsid w:val="00C65D57"/>
    <w:rsid w:val="00C73D7A"/>
    <w:rsid w:val="00C91CDB"/>
    <w:rsid w:val="00CC6DE4"/>
    <w:rsid w:val="00D965C5"/>
    <w:rsid w:val="00D96979"/>
    <w:rsid w:val="00DC5CE4"/>
    <w:rsid w:val="00DF2FE3"/>
    <w:rsid w:val="00DF59B6"/>
    <w:rsid w:val="00E15F11"/>
    <w:rsid w:val="00E41F2F"/>
    <w:rsid w:val="00E50D40"/>
    <w:rsid w:val="00E634FE"/>
    <w:rsid w:val="00F012EC"/>
    <w:rsid w:val="00F472AF"/>
    <w:rsid w:val="00F55F42"/>
    <w:rsid w:val="00FF1ED5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A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D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76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D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D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DAF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24CF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43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5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57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1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A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D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76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D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DA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DAF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24CF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43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5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5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Company>ITU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creator>hai</dc:creator>
  <cp:lastModifiedBy>myriam</cp:lastModifiedBy>
  <cp:revision>7</cp:revision>
  <cp:lastPrinted>2011-11-11T08:01:00Z</cp:lastPrinted>
  <dcterms:created xsi:type="dcterms:W3CDTF">2011-12-13T11:37:00Z</dcterms:created>
  <dcterms:modified xsi:type="dcterms:W3CDTF">2011-12-13T12:18:00Z</dcterms:modified>
</cp:coreProperties>
</file>