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ayout w:type="fixed"/>
        <w:tblLook w:val="04A0" w:firstRow="1" w:lastRow="0" w:firstColumn="1" w:lastColumn="0" w:noHBand="0" w:noVBand="1"/>
      </w:tblPr>
      <w:tblGrid>
        <w:gridCol w:w="1276"/>
        <w:gridCol w:w="3935"/>
        <w:gridCol w:w="4644"/>
        <w:gridCol w:w="34"/>
      </w:tblGrid>
      <w:tr w:rsidR="00EA15B3" w:rsidRPr="00F42C8C" w:rsidTr="009655C6">
        <w:tc>
          <w:tcPr>
            <w:tcW w:w="9889" w:type="dxa"/>
            <w:gridSpan w:val="4"/>
            <w:tcBorders>
              <w:top w:val="nil"/>
              <w:left w:val="nil"/>
              <w:bottom w:val="nil"/>
              <w:right w:val="nil"/>
            </w:tcBorders>
          </w:tcPr>
          <w:p w:rsidR="00EA15B3" w:rsidRPr="002C2938" w:rsidRDefault="002C2938" w:rsidP="00F914DD">
            <w:pPr>
              <w:jc w:val="left"/>
              <w:rPr>
                <w:rFonts w:cs="Times New Roman Bold"/>
                <w:b/>
                <w:bCs/>
                <w:color w:val="808080"/>
                <w:sz w:val="28"/>
                <w:szCs w:val="28"/>
              </w:rPr>
            </w:pPr>
            <w:r w:rsidRPr="002C2938">
              <w:rPr>
                <w:rFonts w:cstheme="minorHAnsi"/>
                <w:b/>
                <w:bCs/>
                <w:noProof/>
                <w:color w:val="808080"/>
                <w:sz w:val="28"/>
                <w:szCs w:val="28"/>
                <w:lang w:eastAsia="fr-CH"/>
              </w:rPr>
              <w:t xml:space="preserve">Oficina de Desarrollo </w:t>
            </w:r>
            <w:r w:rsidRPr="002C2938">
              <w:rPr>
                <w:rFonts w:cstheme="minorHAnsi"/>
                <w:b/>
                <w:bCs/>
                <w:noProof/>
                <w:color w:val="808080"/>
                <w:sz w:val="28"/>
                <w:szCs w:val="28"/>
                <w:lang w:eastAsia="fr-CH"/>
              </w:rPr>
              <w:br/>
              <w:t>de las Telecomunicaciones (</w:t>
            </w:r>
            <w:r w:rsidRPr="002C2938">
              <w:rPr>
                <w:rFonts w:cstheme="minorHAnsi"/>
                <w:b/>
                <w:bCs/>
                <w:color w:val="808080"/>
                <w:sz w:val="28"/>
                <w:szCs w:val="28"/>
              </w:rPr>
              <w:t>BDT</w:t>
            </w:r>
            <w:r w:rsidRPr="002C2938">
              <w:rPr>
                <w:rFonts w:cstheme="minorHAnsi"/>
                <w:b/>
                <w:bCs/>
                <w:noProof/>
                <w:color w:val="808080"/>
                <w:sz w:val="28"/>
                <w:szCs w:val="28"/>
                <w:lang w:eastAsia="fr-CH"/>
              </w:rPr>
              <w:t>)</w:t>
            </w:r>
          </w:p>
        </w:tc>
      </w:tr>
      <w:tr w:rsidR="00EA15B3" w:rsidRPr="00F42C8C" w:rsidTr="009655C6">
        <w:tc>
          <w:tcPr>
            <w:tcW w:w="9889" w:type="dxa"/>
            <w:gridSpan w:val="4"/>
            <w:tcBorders>
              <w:top w:val="nil"/>
              <w:left w:val="nil"/>
              <w:bottom w:val="nil"/>
              <w:right w:val="nil"/>
            </w:tcBorders>
          </w:tcPr>
          <w:p w:rsidR="00EA15B3" w:rsidRPr="00F42C8C" w:rsidRDefault="00EA15B3" w:rsidP="00EA15B3">
            <w:pPr>
              <w:jc w:val="left"/>
            </w:pPr>
          </w:p>
        </w:tc>
      </w:tr>
      <w:tr w:rsidR="00651777" w:rsidRPr="00F42C8C" w:rsidTr="009655C6">
        <w:tc>
          <w:tcPr>
            <w:tcW w:w="5211" w:type="dxa"/>
            <w:gridSpan w:val="2"/>
            <w:tcBorders>
              <w:top w:val="nil"/>
              <w:left w:val="nil"/>
              <w:bottom w:val="nil"/>
              <w:right w:val="nil"/>
            </w:tcBorders>
          </w:tcPr>
          <w:p w:rsidR="00651777" w:rsidRPr="0040273E" w:rsidRDefault="0040273E" w:rsidP="00651777">
            <w:pPr>
              <w:jc w:val="left"/>
              <w:rPr>
                <w:lang w:val="en-US"/>
              </w:rPr>
            </w:pPr>
            <w:r>
              <w:rPr>
                <w:lang w:val="en-US"/>
              </w:rPr>
              <w:t>Ref.</w:t>
            </w:r>
            <w:r>
              <w:rPr>
                <w:lang w:val="en-US"/>
              </w:rPr>
              <w:tab/>
            </w:r>
            <w:r w:rsidRPr="00541FE5">
              <w:rPr>
                <w:rFonts w:asciiTheme="minorHAnsi" w:hAnsiTheme="minorHAnsi"/>
                <w:lang w:val="pt-BR"/>
              </w:rPr>
              <w:t>Circular BDT/IP/CSTG-</w:t>
            </w:r>
            <w:r>
              <w:rPr>
                <w:rFonts w:asciiTheme="minorHAnsi" w:hAnsiTheme="minorHAnsi"/>
                <w:lang w:val="pt-BR"/>
              </w:rPr>
              <w:t>0</w:t>
            </w:r>
            <w:r w:rsidR="00DF6193">
              <w:rPr>
                <w:rFonts w:asciiTheme="minorHAnsi" w:hAnsiTheme="minorHAnsi"/>
                <w:lang w:val="pt-BR"/>
              </w:rPr>
              <w:t>0</w:t>
            </w:r>
            <w:bookmarkStart w:id="0" w:name="_GoBack"/>
            <w:bookmarkEnd w:id="0"/>
            <w:r>
              <w:rPr>
                <w:rFonts w:asciiTheme="minorHAnsi" w:hAnsiTheme="minorHAnsi"/>
                <w:lang w:val="pt-BR"/>
              </w:rPr>
              <w:t>1</w:t>
            </w:r>
          </w:p>
        </w:tc>
        <w:tc>
          <w:tcPr>
            <w:tcW w:w="4678" w:type="dxa"/>
            <w:gridSpan w:val="2"/>
            <w:tcBorders>
              <w:top w:val="nil"/>
              <w:left w:val="nil"/>
              <w:bottom w:val="nil"/>
              <w:right w:val="nil"/>
            </w:tcBorders>
          </w:tcPr>
          <w:p w:rsidR="00651777" w:rsidRPr="00F42C8C" w:rsidRDefault="00F42C8C" w:rsidP="002C2938">
            <w:r w:rsidRPr="00F42C8C">
              <w:t xml:space="preserve">Ginebra, </w:t>
            </w:r>
            <w:sdt>
              <w:sdtPr>
                <w:rPr>
                  <w:rFonts w:cs="Arial"/>
                </w:rPr>
                <w:alias w:val="Date"/>
                <w:tag w:val="Date"/>
                <w:id w:val="20922293"/>
                <w:lock w:val="sdtLocked"/>
                <w:placeholder>
                  <w:docPart w:val="A521BBF59BF84423A8870DA0C7E6CAEC"/>
                </w:placeholder>
                <w:date w:fullDate="2014-04-28T00:00:00Z">
                  <w:dateFormat w:val="d' de 'MMMM' de 'yyyy"/>
                  <w:lid w:val="es-ES_tradnl"/>
                  <w:storeMappedDataAs w:val="date"/>
                  <w:calendar w:val="gregorian"/>
                </w:date>
              </w:sdtPr>
              <w:sdtEndPr/>
              <w:sdtContent>
                <w:r w:rsidR="005241BB">
                  <w:rPr>
                    <w:rFonts w:cs="Arial"/>
                  </w:rPr>
                  <w:t>28 de abril de 2014</w:t>
                </w:r>
              </w:sdtContent>
            </w:sdt>
          </w:p>
        </w:tc>
      </w:tr>
      <w:tr w:rsidR="00651777" w:rsidRPr="00F42C8C" w:rsidTr="009655C6">
        <w:tc>
          <w:tcPr>
            <w:tcW w:w="5211" w:type="dxa"/>
            <w:gridSpan w:val="2"/>
            <w:tcBorders>
              <w:top w:val="nil"/>
              <w:left w:val="nil"/>
              <w:bottom w:val="nil"/>
              <w:right w:val="nil"/>
            </w:tcBorders>
          </w:tcPr>
          <w:p w:rsidR="00651777" w:rsidRPr="00F42C8C" w:rsidRDefault="00651777" w:rsidP="00651777">
            <w:pPr>
              <w:jc w:val="left"/>
            </w:pPr>
          </w:p>
        </w:tc>
        <w:tc>
          <w:tcPr>
            <w:tcW w:w="4678" w:type="dxa"/>
            <w:gridSpan w:val="2"/>
            <w:tcBorders>
              <w:top w:val="nil"/>
              <w:left w:val="nil"/>
              <w:bottom w:val="nil"/>
              <w:right w:val="nil"/>
            </w:tcBorders>
          </w:tcPr>
          <w:p w:rsidR="00651777" w:rsidRPr="00F42C8C" w:rsidRDefault="00651777" w:rsidP="00651777">
            <w:pPr>
              <w:jc w:val="left"/>
              <w:rPr>
                <w:rFonts w:cs="Arial"/>
              </w:rPr>
            </w:pPr>
          </w:p>
        </w:tc>
      </w:tr>
      <w:tr w:rsidR="0049575C" w:rsidRPr="00F42C8C" w:rsidTr="009655C6">
        <w:tc>
          <w:tcPr>
            <w:tcW w:w="5211" w:type="dxa"/>
            <w:gridSpan w:val="2"/>
            <w:tcBorders>
              <w:top w:val="nil"/>
              <w:left w:val="nil"/>
              <w:bottom w:val="nil"/>
              <w:right w:val="nil"/>
            </w:tcBorders>
          </w:tcPr>
          <w:p w:rsidR="0049575C" w:rsidRPr="00F42C8C" w:rsidRDefault="0049575C" w:rsidP="00651777">
            <w:pPr>
              <w:spacing w:before="0"/>
            </w:pPr>
            <w:bookmarkStart w:id="1" w:name="Contact"/>
            <w:bookmarkEnd w:id="1"/>
          </w:p>
        </w:tc>
        <w:tc>
          <w:tcPr>
            <w:tcW w:w="4678" w:type="dxa"/>
            <w:gridSpan w:val="2"/>
            <w:vMerge w:val="restart"/>
            <w:tcBorders>
              <w:top w:val="nil"/>
              <w:left w:val="nil"/>
              <w:bottom w:val="nil"/>
              <w:right w:val="nil"/>
            </w:tcBorders>
          </w:tcPr>
          <w:p w:rsidR="0049575C" w:rsidRPr="00541FE5" w:rsidRDefault="0049575C" w:rsidP="0040273E">
            <w:pPr>
              <w:pStyle w:val="BDTContact-Details"/>
              <w:spacing w:before="0" w:after="0"/>
              <w:rPr>
                <w:rFonts w:asciiTheme="minorHAnsi" w:hAnsiTheme="minorHAnsi"/>
                <w:szCs w:val="22"/>
                <w:lang w:val="en-US"/>
              </w:rPr>
            </w:pPr>
            <w:r>
              <w:rPr>
                <w:rFonts w:asciiTheme="minorHAnsi" w:hAnsiTheme="minorHAnsi"/>
                <w:szCs w:val="22"/>
                <w:lang w:val="en-US"/>
              </w:rPr>
              <w:t>A</w:t>
            </w:r>
            <w:r w:rsidRPr="00541FE5">
              <w:rPr>
                <w:rFonts w:asciiTheme="minorHAnsi" w:hAnsiTheme="minorHAnsi"/>
                <w:szCs w:val="22"/>
                <w:lang w:val="en-US"/>
              </w:rPr>
              <w:t xml:space="preserve">: </w:t>
            </w:r>
          </w:p>
          <w:p w:rsidR="0049575C" w:rsidRPr="003648E2" w:rsidRDefault="0049575C" w:rsidP="0040273E">
            <w:pPr>
              <w:pStyle w:val="BDTContact-Details"/>
              <w:numPr>
                <w:ilvl w:val="0"/>
                <w:numId w:val="1"/>
              </w:numPr>
              <w:spacing w:before="0" w:after="0"/>
              <w:ind w:left="357" w:hanging="357"/>
              <w:rPr>
                <w:rFonts w:asciiTheme="minorHAnsi" w:hAnsiTheme="minorHAnsi"/>
                <w:szCs w:val="22"/>
                <w:lang w:val="es-ES_tradnl"/>
              </w:rPr>
            </w:pPr>
            <w:r w:rsidRPr="003648E2">
              <w:rPr>
                <w:rFonts w:asciiTheme="minorHAnsi" w:hAnsiTheme="minorHAnsi"/>
                <w:szCs w:val="22"/>
                <w:lang w:val="es-ES_tradnl"/>
              </w:rPr>
              <w:t>Las Administraciones de los Estados Miembros de la UIT</w:t>
            </w:r>
          </w:p>
          <w:p w:rsidR="0049575C" w:rsidRPr="0040273E" w:rsidRDefault="0049575C" w:rsidP="0040273E">
            <w:pPr>
              <w:pStyle w:val="BDTContact-Details"/>
              <w:numPr>
                <w:ilvl w:val="0"/>
                <w:numId w:val="1"/>
              </w:numPr>
              <w:spacing w:before="0" w:after="0"/>
              <w:ind w:left="357" w:hanging="357"/>
              <w:rPr>
                <w:lang w:val="es-ES_tradnl"/>
              </w:rPr>
            </w:pPr>
            <w:r w:rsidRPr="003648E2">
              <w:rPr>
                <w:rFonts w:asciiTheme="minorHAnsi" w:hAnsiTheme="minorHAnsi"/>
                <w:szCs w:val="22"/>
                <w:lang w:val="es-ES_tradnl"/>
              </w:rPr>
              <w:t>Los Miembros de Sector, Asociados e Instituciones Acad</w:t>
            </w:r>
            <w:r>
              <w:rPr>
                <w:rFonts w:asciiTheme="minorHAnsi" w:hAnsiTheme="minorHAnsi"/>
                <w:szCs w:val="22"/>
                <w:lang w:val="es-ES_tradnl"/>
              </w:rPr>
              <w:t>émicas del UIT-D</w:t>
            </w:r>
          </w:p>
          <w:p w:rsidR="0049575C" w:rsidRPr="0040273E" w:rsidRDefault="0049575C" w:rsidP="0040273E">
            <w:pPr>
              <w:pStyle w:val="BDTContact-Details"/>
              <w:numPr>
                <w:ilvl w:val="0"/>
                <w:numId w:val="1"/>
              </w:numPr>
              <w:spacing w:before="0" w:after="0"/>
              <w:ind w:left="357" w:hanging="357"/>
              <w:rPr>
                <w:lang w:val="es-ES_tradnl"/>
              </w:rPr>
            </w:pPr>
            <w:r w:rsidRPr="003648E2">
              <w:rPr>
                <w:rFonts w:asciiTheme="minorHAnsi" w:hAnsiTheme="minorHAnsi"/>
                <w:szCs w:val="22"/>
                <w:lang w:val="es-ES_tradnl"/>
              </w:rPr>
              <w:t>Los Presidentes y Vicepresidentes de las Comisiones de Estudio 1 y 2 del UIT-D</w:t>
            </w:r>
          </w:p>
        </w:tc>
      </w:tr>
      <w:tr w:rsidR="0049575C" w:rsidRPr="00F42C8C" w:rsidTr="009655C6">
        <w:tc>
          <w:tcPr>
            <w:tcW w:w="5211" w:type="dxa"/>
            <w:gridSpan w:val="2"/>
            <w:tcBorders>
              <w:top w:val="nil"/>
              <w:left w:val="nil"/>
              <w:bottom w:val="nil"/>
              <w:right w:val="nil"/>
            </w:tcBorders>
          </w:tcPr>
          <w:p w:rsidR="0049575C" w:rsidRPr="00F42C8C" w:rsidRDefault="0049575C" w:rsidP="00651777">
            <w:pPr>
              <w:spacing w:before="0"/>
            </w:pPr>
          </w:p>
        </w:tc>
        <w:tc>
          <w:tcPr>
            <w:tcW w:w="4678" w:type="dxa"/>
            <w:gridSpan w:val="2"/>
            <w:vMerge/>
            <w:tcBorders>
              <w:top w:val="nil"/>
              <w:left w:val="nil"/>
              <w:bottom w:val="nil"/>
              <w:right w:val="nil"/>
            </w:tcBorders>
          </w:tcPr>
          <w:p w:rsidR="0049575C" w:rsidRPr="00F42C8C" w:rsidRDefault="0049575C" w:rsidP="00651777">
            <w:pPr>
              <w:spacing w:before="0"/>
            </w:pPr>
          </w:p>
        </w:tc>
      </w:tr>
      <w:tr w:rsidR="0049575C" w:rsidRPr="00F42C8C" w:rsidTr="009655C6">
        <w:tc>
          <w:tcPr>
            <w:tcW w:w="5211" w:type="dxa"/>
            <w:gridSpan w:val="2"/>
            <w:tcBorders>
              <w:top w:val="nil"/>
              <w:left w:val="nil"/>
              <w:bottom w:val="nil"/>
              <w:right w:val="nil"/>
            </w:tcBorders>
          </w:tcPr>
          <w:p w:rsidR="0049575C" w:rsidRPr="00F42C8C" w:rsidRDefault="0049575C" w:rsidP="00651777">
            <w:pPr>
              <w:spacing w:before="0"/>
            </w:pPr>
          </w:p>
        </w:tc>
        <w:tc>
          <w:tcPr>
            <w:tcW w:w="4678" w:type="dxa"/>
            <w:gridSpan w:val="2"/>
            <w:vMerge/>
            <w:tcBorders>
              <w:top w:val="nil"/>
              <w:left w:val="nil"/>
              <w:bottom w:val="nil"/>
              <w:right w:val="nil"/>
            </w:tcBorders>
          </w:tcPr>
          <w:p w:rsidR="0049575C" w:rsidRPr="00F42C8C" w:rsidRDefault="0049575C" w:rsidP="00651777">
            <w:pPr>
              <w:spacing w:before="0"/>
            </w:pPr>
          </w:p>
        </w:tc>
      </w:tr>
      <w:tr w:rsidR="0049575C" w:rsidRPr="00F42C8C" w:rsidTr="009655C6">
        <w:tc>
          <w:tcPr>
            <w:tcW w:w="5211" w:type="dxa"/>
            <w:gridSpan w:val="2"/>
            <w:tcBorders>
              <w:top w:val="nil"/>
              <w:left w:val="nil"/>
              <w:bottom w:val="nil"/>
              <w:right w:val="nil"/>
            </w:tcBorders>
          </w:tcPr>
          <w:p w:rsidR="0049575C" w:rsidRPr="00F42C8C" w:rsidRDefault="0049575C" w:rsidP="00651777">
            <w:pPr>
              <w:spacing w:before="0"/>
            </w:pPr>
          </w:p>
        </w:tc>
        <w:tc>
          <w:tcPr>
            <w:tcW w:w="4678" w:type="dxa"/>
            <w:gridSpan w:val="2"/>
            <w:vMerge/>
            <w:tcBorders>
              <w:top w:val="nil"/>
              <w:left w:val="nil"/>
              <w:bottom w:val="nil"/>
              <w:right w:val="nil"/>
            </w:tcBorders>
          </w:tcPr>
          <w:p w:rsidR="0049575C" w:rsidRPr="00F42C8C" w:rsidRDefault="0049575C" w:rsidP="00651777">
            <w:pPr>
              <w:spacing w:before="0"/>
            </w:pPr>
          </w:p>
        </w:tc>
      </w:tr>
      <w:tr w:rsidR="00EA15B3" w:rsidRPr="00F42C8C" w:rsidTr="009655C6">
        <w:tc>
          <w:tcPr>
            <w:tcW w:w="9889" w:type="dxa"/>
            <w:gridSpan w:val="4"/>
            <w:tcBorders>
              <w:top w:val="nil"/>
              <w:left w:val="nil"/>
              <w:bottom w:val="nil"/>
              <w:right w:val="nil"/>
            </w:tcBorders>
          </w:tcPr>
          <w:p w:rsidR="00EA15B3" w:rsidRPr="00F42C8C" w:rsidRDefault="00EA15B3" w:rsidP="00EA15B3"/>
        </w:tc>
      </w:tr>
      <w:tr w:rsidR="0040273E" w:rsidRPr="00F42C8C" w:rsidTr="009655C6">
        <w:tc>
          <w:tcPr>
            <w:tcW w:w="1276" w:type="dxa"/>
            <w:tcBorders>
              <w:top w:val="nil"/>
              <w:left w:val="nil"/>
              <w:bottom w:val="nil"/>
              <w:right w:val="nil"/>
            </w:tcBorders>
          </w:tcPr>
          <w:p w:rsidR="0040273E" w:rsidRPr="00541FE5" w:rsidRDefault="0040273E" w:rsidP="001B7766">
            <w:pPr>
              <w:pStyle w:val="BDTSubject"/>
              <w:spacing w:after="120"/>
              <w:rPr>
                <w:rFonts w:asciiTheme="minorHAnsi" w:hAnsiTheme="minorHAnsi"/>
                <w:szCs w:val="22"/>
              </w:rPr>
            </w:pPr>
            <w:proofErr w:type="spellStart"/>
            <w:r>
              <w:rPr>
                <w:rFonts w:asciiTheme="minorHAnsi" w:hAnsiTheme="minorHAnsi"/>
                <w:szCs w:val="22"/>
              </w:rPr>
              <w:t>Asunto</w:t>
            </w:r>
            <w:proofErr w:type="spellEnd"/>
            <w:r w:rsidRPr="00541FE5">
              <w:rPr>
                <w:rFonts w:asciiTheme="minorHAnsi" w:hAnsiTheme="minorHAnsi"/>
                <w:szCs w:val="22"/>
              </w:rPr>
              <w:t>:</w:t>
            </w:r>
          </w:p>
        </w:tc>
        <w:tc>
          <w:tcPr>
            <w:tcW w:w="8613" w:type="dxa"/>
            <w:gridSpan w:val="3"/>
            <w:tcBorders>
              <w:top w:val="nil"/>
              <w:left w:val="nil"/>
              <w:bottom w:val="nil"/>
              <w:right w:val="nil"/>
            </w:tcBorders>
          </w:tcPr>
          <w:p w:rsidR="0040273E" w:rsidRPr="003648E2" w:rsidRDefault="0040273E" w:rsidP="001B7766">
            <w:pPr>
              <w:pStyle w:val="BDTSubjectdetail"/>
              <w:spacing w:after="0"/>
              <w:rPr>
                <w:rFonts w:asciiTheme="minorHAnsi" w:hAnsiTheme="minorHAnsi"/>
                <w:b/>
                <w:bCs/>
                <w:szCs w:val="22"/>
                <w:lang w:val="es-ES_tradnl"/>
              </w:rPr>
            </w:pPr>
            <w:r w:rsidRPr="003648E2">
              <w:rPr>
                <w:rFonts w:asciiTheme="minorHAnsi" w:hAnsiTheme="minorHAnsi"/>
                <w:b/>
                <w:bCs/>
                <w:szCs w:val="22"/>
                <w:lang w:val="es-ES_tradnl"/>
              </w:rPr>
              <w:t xml:space="preserve">Candidatos a Relator y </w:t>
            </w:r>
            <w:proofErr w:type="spellStart"/>
            <w:r w:rsidRPr="003648E2">
              <w:rPr>
                <w:rFonts w:asciiTheme="minorHAnsi" w:hAnsiTheme="minorHAnsi"/>
                <w:b/>
                <w:bCs/>
                <w:szCs w:val="22"/>
                <w:lang w:val="es-ES_tradnl"/>
              </w:rPr>
              <w:t>Vicerrelator</w:t>
            </w:r>
            <w:proofErr w:type="spellEnd"/>
            <w:r w:rsidRPr="003648E2">
              <w:rPr>
                <w:rFonts w:asciiTheme="minorHAnsi" w:hAnsiTheme="minorHAnsi"/>
                <w:b/>
                <w:bCs/>
                <w:szCs w:val="22"/>
                <w:lang w:val="es-ES_tradnl"/>
              </w:rPr>
              <w:t xml:space="preserve"> para las Cuestiones de las Comisiones de Estudio 1 y 2 del UIT-D para el periodo 2014-2018</w:t>
            </w:r>
          </w:p>
        </w:tc>
      </w:tr>
      <w:tr w:rsidR="0018340F" w:rsidRPr="00F42C8C" w:rsidTr="009655C6">
        <w:tc>
          <w:tcPr>
            <w:tcW w:w="9889" w:type="dxa"/>
            <w:gridSpan w:val="4"/>
            <w:tcBorders>
              <w:top w:val="nil"/>
              <w:left w:val="nil"/>
              <w:bottom w:val="nil"/>
              <w:right w:val="nil"/>
            </w:tcBorders>
          </w:tcPr>
          <w:p w:rsidR="0018340F" w:rsidRPr="003648E2" w:rsidRDefault="0018340F" w:rsidP="0018340F">
            <w:pPr>
              <w:pStyle w:val="CEONormal"/>
              <w:spacing w:before="240" w:after="0"/>
              <w:rPr>
                <w:rFonts w:asciiTheme="minorHAnsi" w:hAnsiTheme="minorHAnsi"/>
                <w:sz w:val="22"/>
                <w:szCs w:val="22"/>
                <w:lang w:val="es-ES_tradnl"/>
              </w:rPr>
            </w:pPr>
            <w:r w:rsidRPr="003648E2">
              <w:rPr>
                <w:rFonts w:asciiTheme="minorHAnsi" w:hAnsiTheme="minorHAnsi"/>
                <w:sz w:val="22"/>
                <w:szCs w:val="22"/>
                <w:lang w:val="es-ES_tradnl"/>
              </w:rPr>
              <w:t>Muy Señora mía/Muy Señor mío:</w:t>
            </w:r>
          </w:p>
          <w:p w:rsidR="0018340F" w:rsidRPr="002357A5" w:rsidRDefault="0018340F" w:rsidP="0018340F">
            <w:pPr>
              <w:pStyle w:val="CEONormal"/>
              <w:spacing w:after="0"/>
              <w:rPr>
                <w:rFonts w:asciiTheme="minorHAnsi" w:hAnsiTheme="minorHAnsi"/>
                <w:sz w:val="22"/>
                <w:szCs w:val="22"/>
                <w:lang w:val="es-ES_tradnl"/>
              </w:rPr>
            </w:pPr>
            <w:r w:rsidRPr="002357A5">
              <w:rPr>
                <w:rFonts w:asciiTheme="minorHAnsi" w:hAnsiTheme="minorHAnsi"/>
                <w:sz w:val="22"/>
                <w:szCs w:val="22"/>
                <w:lang w:val="es-ES_tradnl"/>
              </w:rPr>
              <w:t>La Conferencia Mundial de Desarrollo de las Telecomunicaciones de 2014 (CMDT-14), celebrada en Dub</w:t>
            </w:r>
            <w:r>
              <w:rPr>
                <w:rFonts w:asciiTheme="minorHAnsi" w:hAnsiTheme="minorHAnsi"/>
                <w:sz w:val="22"/>
                <w:szCs w:val="22"/>
                <w:lang w:val="es-ES_tradnl"/>
              </w:rPr>
              <w:t>á</w:t>
            </w:r>
            <w:r w:rsidRPr="002357A5">
              <w:rPr>
                <w:rFonts w:asciiTheme="minorHAnsi" w:hAnsiTheme="minorHAnsi"/>
                <w:sz w:val="22"/>
                <w:szCs w:val="22"/>
                <w:lang w:val="es-ES_tradnl"/>
              </w:rPr>
              <w:t>i</w:t>
            </w:r>
            <w:r>
              <w:rPr>
                <w:rFonts w:asciiTheme="minorHAnsi" w:hAnsiTheme="minorHAnsi"/>
                <w:sz w:val="22"/>
                <w:szCs w:val="22"/>
                <w:lang w:val="es-ES_tradnl"/>
              </w:rPr>
              <w:t xml:space="preserve">, nombró a los Presidentes y Vicepresidentes de las Comisiones de Estudio del UIT-D. </w:t>
            </w:r>
            <w:r w:rsidRPr="002357A5">
              <w:rPr>
                <w:rFonts w:asciiTheme="minorHAnsi" w:hAnsiTheme="minorHAnsi"/>
                <w:sz w:val="22"/>
                <w:szCs w:val="22"/>
                <w:lang w:val="es-ES_tradnl"/>
              </w:rPr>
              <w:t>De acuerdo con los resultados de la CMDT-14 en relación con las Cuestiones de las Comisiones de Estudio, las Comisiones de Estudio 1 y 2 seguir</w:t>
            </w:r>
            <w:r>
              <w:rPr>
                <w:rFonts w:asciiTheme="minorHAnsi" w:hAnsiTheme="minorHAnsi"/>
                <w:sz w:val="22"/>
                <w:szCs w:val="22"/>
                <w:lang w:val="es-ES_tradnl"/>
              </w:rPr>
              <w:t>án estudiando las Cuestiones enumeradas en el</w:t>
            </w:r>
            <w:r w:rsidRPr="002357A5">
              <w:rPr>
                <w:rFonts w:asciiTheme="minorHAnsi" w:hAnsiTheme="minorHAnsi"/>
                <w:sz w:val="22"/>
                <w:szCs w:val="22"/>
                <w:lang w:val="es-ES_tradnl"/>
              </w:rPr>
              <w:t xml:space="preserve"> </w:t>
            </w:r>
            <w:r w:rsidRPr="002357A5">
              <w:rPr>
                <w:rFonts w:asciiTheme="minorHAnsi" w:hAnsiTheme="minorHAnsi"/>
                <w:b/>
                <w:bCs/>
                <w:sz w:val="22"/>
                <w:szCs w:val="22"/>
                <w:lang w:val="es-ES_tradnl"/>
              </w:rPr>
              <w:t>Anex</w:t>
            </w:r>
            <w:r>
              <w:rPr>
                <w:rFonts w:asciiTheme="minorHAnsi" w:hAnsiTheme="minorHAnsi"/>
                <w:b/>
                <w:bCs/>
                <w:sz w:val="22"/>
                <w:szCs w:val="22"/>
                <w:lang w:val="es-ES_tradnl"/>
              </w:rPr>
              <w:t>o</w:t>
            </w:r>
            <w:r w:rsidRPr="002357A5">
              <w:rPr>
                <w:rFonts w:asciiTheme="minorHAnsi" w:hAnsiTheme="minorHAnsi"/>
                <w:b/>
                <w:bCs/>
                <w:sz w:val="22"/>
                <w:szCs w:val="22"/>
                <w:lang w:val="es-ES_tradnl"/>
              </w:rPr>
              <w:t xml:space="preserve"> 1</w:t>
            </w:r>
            <w:r w:rsidRPr="002357A5">
              <w:rPr>
                <w:rFonts w:asciiTheme="minorHAnsi" w:hAnsiTheme="minorHAnsi"/>
                <w:sz w:val="22"/>
                <w:szCs w:val="22"/>
                <w:lang w:val="es-ES_tradnl"/>
              </w:rPr>
              <w:t xml:space="preserve"> </w:t>
            </w:r>
            <w:r>
              <w:rPr>
                <w:rFonts w:asciiTheme="minorHAnsi" w:hAnsiTheme="minorHAnsi"/>
                <w:sz w:val="22"/>
                <w:szCs w:val="22"/>
                <w:lang w:val="es-ES_tradnl"/>
              </w:rPr>
              <w:t>a la presente Circular. El texto completo de las Cuestiones puede consultarse en el proyecto de Informe Final de la Conferencia en la dirección</w:t>
            </w:r>
            <w:r w:rsidRPr="002357A5">
              <w:rPr>
                <w:rFonts w:asciiTheme="minorHAnsi" w:hAnsiTheme="minorHAnsi"/>
                <w:sz w:val="22"/>
                <w:szCs w:val="22"/>
                <w:lang w:val="es-ES_tradnl"/>
              </w:rPr>
              <w:t xml:space="preserve"> </w:t>
            </w:r>
            <w:r w:rsidR="00DF6193">
              <w:fldChar w:fldCharType="begin"/>
            </w:r>
            <w:r w:rsidR="00DF6193" w:rsidRPr="00DF6193">
              <w:rPr>
                <w:lang w:val="es-ES_tradnl"/>
              </w:rPr>
              <w:instrText xml:space="preserve"> HYPERLINK "http://www.itu.int/md/D10-WTDC14-C-0118/" </w:instrText>
            </w:r>
            <w:r w:rsidR="00DF6193">
              <w:fldChar w:fldCharType="separate"/>
            </w:r>
            <w:r w:rsidRPr="002357A5">
              <w:rPr>
                <w:rStyle w:val="Hyperlink"/>
                <w:rFonts w:asciiTheme="minorHAnsi" w:hAnsiTheme="minorHAnsi"/>
                <w:sz w:val="22"/>
                <w:szCs w:val="22"/>
                <w:lang w:val="es-ES_tradnl"/>
              </w:rPr>
              <w:t>http://www.itu.int/md/D10-WTDC14-C-0118/</w:t>
            </w:r>
            <w:r w:rsidR="00DF6193">
              <w:rPr>
                <w:rStyle w:val="Hyperlink"/>
                <w:rFonts w:asciiTheme="minorHAnsi" w:hAnsiTheme="minorHAnsi"/>
                <w:sz w:val="22"/>
                <w:szCs w:val="22"/>
                <w:lang w:val="es-ES_tradnl"/>
              </w:rPr>
              <w:fldChar w:fldCharType="end"/>
            </w:r>
            <w:r w:rsidRPr="002357A5">
              <w:rPr>
                <w:rFonts w:asciiTheme="minorHAnsi" w:hAnsiTheme="minorHAnsi"/>
                <w:sz w:val="22"/>
                <w:szCs w:val="22"/>
                <w:lang w:val="es-ES_tradnl"/>
              </w:rPr>
              <w:t>.</w:t>
            </w:r>
          </w:p>
          <w:p w:rsidR="0018340F" w:rsidRPr="002357A5" w:rsidRDefault="0018340F" w:rsidP="0018340F">
            <w:pPr>
              <w:pStyle w:val="CEONormal"/>
              <w:spacing w:after="0"/>
              <w:rPr>
                <w:rFonts w:asciiTheme="minorHAnsi" w:hAnsiTheme="minorHAnsi"/>
                <w:sz w:val="22"/>
                <w:szCs w:val="22"/>
                <w:lang w:val="es-ES_tradnl"/>
              </w:rPr>
            </w:pPr>
            <w:r w:rsidRPr="002357A5">
              <w:rPr>
                <w:rFonts w:asciiTheme="minorHAnsi" w:hAnsiTheme="minorHAnsi"/>
                <w:sz w:val="22"/>
                <w:szCs w:val="22"/>
                <w:lang w:val="es-ES_tradnl"/>
              </w:rPr>
              <w:t>En la Resolución 1 (Rev. Dub</w:t>
            </w:r>
            <w:r>
              <w:rPr>
                <w:rFonts w:asciiTheme="minorHAnsi" w:hAnsiTheme="minorHAnsi"/>
                <w:sz w:val="22"/>
                <w:szCs w:val="22"/>
                <w:lang w:val="es-ES_tradnl"/>
              </w:rPr>
              <w:t>á</w:t>
            </w:r>
            <w:r w:rsidRPr="002357A5">
              <w:rPr>
                <w:rFonts w:asciiTheme="minorHAnsi" w:hAnsiTheme="minorHAnsi"/>
                <w:sz w:val="22"/>
                <w:szCs w:val="22"/>
                <w:lang w:val="es-ES_tradnl"/>
              </w:rPr>
              <w:t>i, 2014) se estipula que se nombrar</w:t>
            </w:r>
            <w:r>
              <w:rPr>
                <w:rFonts w:asciiTheme="minorHAnsi" w:hAnsiTheme="minorHAnsi"/>
                <w:sz w:val="22"/>
                <w:szCs w:val="22"/>
                <w:lang w:val="es-ES_tradnl"/>
              </w:rPr>
              <w:t xml:space="preserve">án Relatores y </w:t>
            </w:r>
            <w:proofErr w:type="spellStart"/>
            <w:r>
              <w:rPr>
                <w:rFonts w:asciiTheme="minorHAnsi" w:hAnsiTheme="minorHAnsi"/>
                <w:sz w:val="22"/>
                <w:szCs w:val="22"/>
                <w:lang w:val="es-ES_tradnl"/>
              </w:rPr>
              <w:t>Vicerrelatores</w:t>
            </w:r>
            <w:proofErr w:type="spellEnd"/>
            <w:r>
              <w:rPr>
                <w:rFonts w:asciiTheme="minorHAnsi" w:hAnsiTheme="minorHAnsi"/>
                <w:sz w:val="22"/>
                <w:szCs w:val="22"/>
                <w:lang w:val="es-ES_tradnl"/>
              </w:rPr>
              <w:t xml:space="preserve"> para avanzar en el estudio de las Cuestiones. Además, habida cuenta de la naturaleza de tales estudios, el nombramiento de Relatores se basará en su experiencia en torno al tema estudiado y en su capacidad para coordinar los trabajos. </w:t>
            </w:r>
            <w:r w:rsidRPr="002357A5">
              <w:rPr>
                <w:rFonts w:asciiTheme="minorHAnsi" w:hAnsiTheme="minorHAnsi"/>
                <w:sz w:val="22"/>
                <w:szCs w:val="22"/>
                <w:lang w:val="es-ES_tradnl"/>
              </w:rPr>
              <w:t>En el Anexo 5 a la Resolución 1 se define el trabajo que se espera de los Relatores, que tambi</w:t>
            </w:r>
            <w:r>
              <w:rPr>
                <w:rFonts w:asciiTheme="minorHAnsi" w:hAnsiTheme="minorHAnsi"/>
                <w:sz w:val="22"/>
                <w:szCs w:val="22"/>
                <w:lang w:val="es-ES_tradnl"/>
              </w:rPr>
              <w:t>én puede consultarse en el</w:t>
            </w:r>
            <w:r w:rsidRPr="002357A5">
              <w:rPr>
                <w:rFonts w:asciiTheme="minorHAnsi" w:hAnsiTheme="minorHAnsi"/>
                <w:sz w:val="22"/>
                <w:szCs w:val="22"/>
                <w:lang w:val="es-ES_tradnl"/>
              </w:rPr>
              <w:t xml:space="preserve"> </w:t>
            </w:r>
            <w:r w:rsidRPr="002357A5">
              <w:rPr>
                <w:rFonts w:asciiTheme="minorHAnsi" w:hAnsiTheme="minorHAnsi"/>
                <w:b/>
                <w:bCs/>
                <w:sz w:val="22"/>
                <w:szCs w:val="22"/>
                <w:lang w:val="es-ES_tradnl"/>
              </w:rPr>
              <w:t>Anexo 2</w:t>
            </w:r>
            <w:r w:rsidRPr="002357A5">
              <w:rPr>
                <w:rFonts w:asciiTheme="minorHAnsi" w:hAnsiTheme="minorHAnsi"/>
                <w:sz w:val="22"/>
                <w:szCs w:val="22"/>
                <w:lang w:val="es-ES_tradnl"/>
              </w:rPr>
              <w:t xml:space="preserve"> </w:t>
            </w:r>
            <w:r>
              <w:rPr>
                <w:rFonts w:asciiTheme="minorHAnsi" w:hAnsiTheme="minorHAnsi"/>
                <w:sz w:val="22"/>
                <w:szCs w:val="22"/>
                <w:lang w:val="es-ES_tradnl"/>
              </w:rPr>
              <w:t>a la presente. De conformidad con las disposiciones pertinentes de la Constitución y el Convenio, se alienta a los Estados Miembros y a los Miembros de Sector, Asociados e Instituciones Académicas del UIT-D a presentar al Director de la BDT sus candidaturas, que se examinarán durante la primera reunión de las Comisiones de Estudio 1 y 2 en septiembre de</w:t>
            </w:r>
            <w:r w:rsidRPr="002357A5">
              <w:rPr>
                <w:rFonts w:asciiTheme="minorHAnsi" w:hAnsiTheme="minorHAnsi"/>
                <w:sz w:val="22"/>
                <w:szCs w:val="22"/>
                <w:lang w:val="es-ES_tradnl"/>
              </w:rPr>
              <w:t xml:space="preserve"> 2014. </w:t>
            </w:r>
          </w:p>
          <w:p w:rsidR="0018340F" w:rsidRPr="00E3066E" w:rsidRDefault="0018340F" w:rsidP="00C8546D">
            <w:pPr>
              <w:pStyle w:val="CEONormal"/>
              <w:spacing w:after="0"/>
              <w:rPr>
                <w:rFonts w:asciiTheme="minorHAnsi" w:hAnsiTheme="minorHAnsi"/>
                <w:sz w:val="22"/>
                <w:szCs w:val="22"/>
                <w:lang w:val="es-ES_tradnl"/>
              </w:rPr>
            </w:pPr>
            <w:r w:rsidRPr="00E3066E">
              <w:rPr>
                <w:rFonts w:asciiTheme="minorHAnsi" w:hAnsiTheme="minorHAnsi"/>
                <w:sz w:val="22"/>
                <w:szCs w:val="22"/>
                <w:lang w:val="es-ES_tradnl"/>
              </w:rPr>
              <w:t xml:space="preserve">En caso de que su administración/organización desee proponer candidatos para un cargo de Relator o </w:t>
            </w:r>
            <w:proofErr w:type="spellStart"/>
            <w:r w:rsidRPr="00E3066E">
              <w:rPr>
                <w:rFonts w:asciiTheme="minorHAnsi" w:hAnsiTheme="minorHAnsi"/>
                <w:sz w:val="22"/>
                <w:szCs w:val="22"/>
                <w:lang w:val="es-ES_tradnl"/>
              </w:rPr>
              <w:t>Vicerrelator</w:t>
            </w:r>
            <w:proofErr w:type="spellEnd"/>
            <w:r w:rsidRPr="00E3066E">
              <w:rPr>
                <w:rFonts w:asciiTheme="minorHAnsi" w:hAnsiTheme="minorHAnsi"/>
                <w:sz w:val="22"/>
                <w:szCs w:val="22"/>
                <w:lang w:val="es-ES_tradnl"/>
              </w:rPr>
              <w:t xml:space="preserve"> para las Cuestiones de las Comisiones de Estudio del UIT-D, mucho le agradecería que enviase los nombres y perfiles biográficos de los candidatos, destacando sus cualificaciones para</w:t>
            </w:r>
            <w:r>
              <w:rPr>
                <w:rFonts w:asciiTheme="minorHAnsi" w:hAnsiTheme="minorHAnsi"/>
                <w:sz w:val="22"/>
                <w:szCs w:val="22"/>
                <w:lang w:val="es-ES_tradnl"/>
              </w:rPr>
              <w:t xml:space="preserve"> el cargo en cuestión, lo antes posible y, a más tardar el</w:t>
            </w:r>
            <w:r w:rsidRPr="00E3066E">
              <w:rPr>
                <w:rFonts w:asciiTheme="minorHAnsi" w:hAnsiTheme="minorHAnsi"/>
                <w:sz w:val="22"/>
                <w:szCs w:val="22"/>
                <w:lang w:val="es-ES_tradnl"/>
              </w:rPr>
              <w:t xml:space="preserve"> </w:t>
            </w:r>
            <w:r w:rsidR="00C8546D">
              <w:rPr>
                <w:rFonts w:asciiTheme="minorHAnsi" w:hAnsiTheme="minorHAnsi"/>
                <w:b/>
                <w:bCs/>
                <w:sz w:val="22"/>
                <w:szCs w:val="22"/>
                <w:lang w:val="es-ES_tradnl"/>
              </w:rPr>
              <w:t>15</w:t>
            </w:r>
            <w:r w:rsidRPr="00E3066E">
              <w:rPr>
                <w:rFonts w:asciiTheme="minorHAnsi" w:hAnsiTheme="minorHAnsi"/>
                <w:b/>
                <w:bCs/>
                <w:sz w:val="22"/>
                <w:szCs w:val="22"/>
                <w:lang w:val="es-ES_tradnl"/>
              </w:rPr>
              <w:t xml:space="preserve"> </w:t>
            </w:r>
            <w:r>
              <w:rPr>
                <w:rFonts w:asciiTheme="minorHAnsi" w:hAnsiTheme="minorHAnsi"/>
                <w:b/>
                <w:bCs/>
                <w:sz w:val="22"/>
                <w:szCs w:val="22"/>
                <w:lang w:val="es-ES_tradnl"/>
              </w:rPr>
              <w:t xml:space="preserve">de </w:t>
            </w:r>
            <w:r w:rsidR="00C8546D">
              <w:rPr>
                <w:rFonts w:asciiTheme="minorHAnsi" w:hAnsiTheme="minorHAnsi"/>
                <w:b/>
                <w:bCs/>
                <w:sz w:val="22"/>
                <w:szCs w:val="22"/>
                <w:lang w:val="es-ES_tradnl"/>
              </w:rPr>
              <w:t>junio</w:t>
            </w:r>
            <w:r>
              <w:rPr>
                <w:rFonts w:asciiTheme="minorHAnsi" w:hAnsiTheme="minorHAnsi"/>
                <w:b/>
                <w:bCs/>
                <w:sz w:val="22"/>
                <w:szCs w:val="22"/>
                <w:lang w:val="es-ES_tradnl"/>
              </w:rPr>
              <w:t xml:space="preserve"> de</w:t>
            </w:r>
            <w:r w:rsidRPr="00E3066E">
              <w:rPr>
                <w:rFonts w:asciiTheme="minorHAnsi" w:hAnsiTheme="minorHAnsi"/>
                <w:b/>
                <w:bCs/>
                <w:sz w:val="22"/>
                <w:szCs w:val="22"/>
                <w:lang w:val="es-ES_tradnl"/>
              </w:rPr>
              <w:t xml:space="preserve"> 2014</w:t>
            </w:r>
            <w:r w:rsidRPr="00E3066E">
              <w:rPr>
                <w:rFonts w:asciiTheme="minorHAnsi" w:hAnsiTheme="minorHAnsi"/>
                <w:sz w:val="22"/>
                <w:szCs w:val="22"/>
                <w:lang w:val="es-ES_tradnl"/>
              </w:rPr>
              <w:t>. Los nombres y curr</w:t>
            </w:r>
            <w:r>
              <w:rPr>
                <w:rFonts w:asciiTheme="minorHAnsi" w:hAnsiTheme="minorHAnsi"/>
                <w:sz w:val="22"/>
                <w:szCs w:val="22"/>
                <w:lang w:val="es-ES_tradnl"/>
              </w:rPr>
              <w:t>í</w:t>
            </w:r>
            <w:r w:rsidRPr="00E3066E">
              <w:rPr>
                <w:rFonts w:asciiTheme="minorHAnsi" w:hAnsiTheme="minorHAnsi"/>
                <w:sz w:val="22"/>
                <w:szCs w:val="22"/>
                <w:lang w:val="es-ES_tradnl"/>
              </w:rPr>
              <w:t>culum v</w:t>
            </w:r>
            <w:r>
              <w:rPr>
                <w:rFonts w:asciiTheme="minorHAnsi" w:hAnsiTheme="minorHAnsi"/>
                <w:sz w:val="22"/>
                <w:szCs w:val="22"/>
                <w:lang w:val="es-ES_tradnl"/>
              </w:rPr>
              <w:t>í</w:t>
            </w:r>
            <w:r w:rsidRPr="00E3066E">
              <w:rPr>
                <w:rFonts w:asciiTheme="minorHAnsi" w:hAnsiTheme="minorHAnsi"/>
                <w:sz w:val="22"/>
                <w:szCs w:val="22"/>
                <w:lang w:val="es-ES_tradnl"/>
              </w:rPr>
              <w:t xml:space="preserve">tae de los candidatos se publicarán en el sitio web </w:t>
            </w:r>
            <w:r w:rsidR="00DF6193">
              <w:fldChar w:fldCharType="begin"/>
            </w:r>
            <w:r w:rsidR="00DF6193" w:rsidRPr="00DF6193">
              <w:rPr>
                <w:lang w:val="es-ES_tradnl"/>
              </w:rPr>
              <w:instrText xml:space="preserve"> HYPERLINK "http://www.itu.int/ITU-D/study-groups" </w:instrText>
            </w:r>
            <w:r w:rsidR="00DF6193">
              <w:fldChar w:fldCharType="separate"/>
            </w:r>
            <w:r w:rsidRPr="00E3066E">
              <w:rPr>
                <w:rStyle w:val="Hyperlink"/>
                <w:rFonts w:asciiTheme="minorHAnsi" w:hAnsiTheme="minorHAnsi"/>
                <w:sz w:val="22"/>
                <w:szCs w:val="22"/>
                <w:lang w:val="es-ES_tradnl"/>
              </w:rPr>
              <w:t>http://www.itu.int/ITU-D/study-groups</w:t>
            </w:r>
            <w:r w:rsidR="00DF6193">
              <w:rPr>
                <w:rStyle w:val="Hyperlink"/>
                <w:rFonts w:asciiTheme="minorHAnsi" w:hAnsiTheme="minorHAnsi"/>
                <w:sz w:val="22"/>
                <w:szCs w:val="22"/>
                <w:lang w:val="es-ES_tradnl"/>
              </w:rPr>
              <w:fldChar w:fldCharType="end"/>
            </w:r>
            <w:r w:rsidRPr="00E3066E">
              <w:rPr>
                <w:lang w:val="es-ES_tradnl"/>
              </w:rPr>
              <w:t xml:space="preserve"> </w:t>
            </w:r>
            <w:r>
              <w:rPr>
                <w:rFonts w:asciiTheme="minorHAnsi" w:hAnsiTheme="minorHAnsi"/>
                <w:sz w:val="22"/>
                <w:szCs w:val="22"/>
                <w:lang w:val="es-ES_tradnl"/>
              </w:rPr>
              <w:t>tan pronto como se reciban</w:t>
            </w:r>
            <w:r w:rsidRPr="00E3066E">
              <w:rPr>
                <w:rFonts w:asciiTheme="minorHAnsi" w:hAnsiTheme="minorHAnsi"/>
                <w:sz w:val="22"/>
                <w:szCs w:val="22"/>
                <w:lang w:val="es-ES_tradnl"/>
              </w:rPr>
              <w:t>.</w:t>
            </w:r>
          </w:p>
          <w:p w:rsidR="0018340F" w:rsidRPr="00E3066E" w:rsidRDefault="0018340F" w:rsidP="0018340F">
            <w:pPr>
              <w:keepNext/>
              <w:keepLines/>
              <w:jc w:val="left"/>
              <w:rPr>
                <w:rFonts w:asciiTheme="minorHAnsi" w:hAnsiTheme="minorHAnsi"/>
              </w:rPr>
            </w:pPr>
            <w:r>
              <w:t>Espero recibir sus propuestas de candidatura</w:t>
            </w:r>
            <w:r w:rsidRPr="00E3066E">
              <w:rPr>
                <w:rFonts w:asciiTheme="minorHAnsi" w:hAnsiTheme="minorHAnsi"/>
              </w:rPr>
              <w:t xml:space="preserve"> y continuo apoyo a las actividades de las Comisiones de Estudio del UIT-D.</w:t>
            </w:r>
          </w:p>
          <w:p w:rsidR="0018340F" w:rsidRPr="00D9350F" w:rsidRDefault="0018340F" w:rsidP="0018340F">
            <w:pPr>
              <w:pStyle w:val="BDTClosing"/>
              <w:spacing w:after="120"/>
              <w:rPr>
                <w:rFonts w:asciiTheme="minorHAnsi" w:hAnsiTheme="minorHAnsi"/>
                <w:lang w:val="es-ES_tradnl"/>
              </w:rPr>
            </w:pPr>
            <w:r w:rsidRPr="00D9350F">
              <w:rPr>
                <w:rFonts w:asciiTheme="minorHAnsi" w:hAnsiTheme="minorHAnsi"/>
                <w:lang w:val="es-ES_tradnl"/>
              </w:rPr>
              <w:t>Atentamente</w:t>
            </w:r>
            <w:r w:rsidRPr="00B83D16">
              <w:rPr>
                <w:rFonts w:asciiTheme="minorHAnsi" w:hAnsiTheme="minorHAnsi"/>
              </w:rPr>
              <w:fldChar w:fldCharType="begin"/>
            </w:r>
            <w:r w:rsidRPr="00D9350F">
              <w:rPr>
                <w:rFonts w:asciiTheme="minorHAnsi" w:hAnsiTheme="minorHAnsi"/>
                <w:lang w:val="es-ES_tradnl"/>
              </w:rPr>
              <w:instrText xml:space="preserve"> MERGEFIELD FormuleDePolitesse_Closing </w:instrText>
            </w:r>
            <w:r w:rsidRPr="00B83D16">
              <w:rPr>
                <w:rFonts w:asciiTheme="minorHAnsi" w:hAnsiTheme="minorHAnsi"/>
              </w:rPr>
              <w:fldChar w:fldCharType="separate"/>
            </w:r>
            <w:r w:rsidRPr="00D9350F">
              <w:rPr>
                <w:rFonts w:asciiTheme="minorHAnsi" w:hAnsiTheme="minorHAnsi"/>
                <w:lang w:val="es-ES_tradnl"/>
              </w:rPr>
              <w:t>,</w:t>
            </w:r>
            <w:r w:rsidRPr="00B83D16">
              <w:rPr>
                <w:rFonts w:asciiTheme="minorHAnsi" w:hAnsiTheme="minorHAnsi"/>
              </w:rPr>
              <w:fldChar w:fldCharType="end"/>
            </w:r>
          </w:p>
          <w:p w:rsidR="0018340F" w:rsidRPr="00F70216" w:rsidRDefault="00F70216" w:rsidP="0018340F">
            <w:pPr>
              <w:pStyle w:val="BDTSignatureName"/>
              <w:spacing w:before="120" w:after="120"/>
              <w:rPr>
                <w:rFonts w:eastAsia="Times New Roman" w:cs="Calibri"/>
                <w:bCs w:val="0"/>
                <w:szCs w:val="22"/>
                <w:lang w:val="es-ES_tradnl"/>
              </w:rPr>
            </w:pPr>
            <w:r w:rsidRPr="00F70216">
              <w:rPr>
                <w:rFonts w:eastAsia="Times New Roman" w:cs="Calibri"/>
                <w:bCs w:val="0"/>
                <w:szCs w:val="22"/>
                <w:lang w:val="es-ES_tradnl"/>
              </w:rPr>
              <w:t>[Original firmado]</w:t>
            </w:r>
          </w:p>
          <w:p w:rsidR="0018340F" w:rsidRPr="0018340F" w:rsidRDefault="0018340F" w:rsidP="0018340F">
            <w:pPr>
              <w:pStyle w:val="BDTSubjectdetail"/>
              <w:spacing w:after="0"/>
              <w:rPr>
                <w:rFonts w:asciiTheme="minorHAnsi" w:hAnsiTheme="minorHAnsi"/>
                <w:szCs w:val="22"/>
                <w:lang w:val="es-ES_tradnl"/>
              </w:rPr>
            </w:pPr>
            <w:r w:rsidRPr="00D9350F">
              <w:rPr>
                <w:rFonts w:asciiTheme="minorHAnsi" w:hAnsiTheme="minorHAnsi"/>
                <w:szCs w:val="22"/>
                <w:lang w:val="es-ES_tradnl"/>
              </w:rPr>
              <w:t>Brahima Sanou</w:t>
            </w:r>
            <w:r w:rsidRPr="00D9350F">
              <w:rPr>
                <w:rFonts w:asciiTheme="minorHAnsi" w:hAnsiTheme="minorHAnsi"/>
                <w:szCs w:val="22"/>
                <w:lang w:val="es-ES_tradnl"/>
              </w:rPr>
              <w:br/>
              <w:t>Director</w:t>
            </w:r>
          </w:p>
        </w:tc>
      </w:tr>
      <w:tr w:rsidR="001A7DEF" w:rsidTr="001A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9855" w:type="dxa"/>
            <w:gridSpan w:val="3"/>
          </w:tcPr>
          <w:p w:rsidR="00685527" w:rsidRPr="0040273E" w:rsidRDefault="00685527" w:rsidP="00844E58">
            <w:pPr>
              <w:pStyle w:val="AnnexNoTitle"/>
              <w:spacing w:before="120"/>
            </w:pPr>
            <w:bookmarkStart w:id="2" w:name="Formula"/>
            <w:bookmarkStart w:id="3" w:name="MainStory"/>
            <w:bookmarkEnd w:id="2"/>
            <w:bookmarkEnd w:id="3"/>
            <w:r w:rsidRPr="0040273E">
              <w:lastRenderedPageBreak/>
              <w:t>Anexo 1</w:t>
            </w:r>
          </w:p>
          <w:p w:rsidR="00685527" w:rsidRPr="00E3066E" w:rsidRDefault="00685527" w:rsidP="00685527">
            <w:pPr>
              <w:pStyle w:val="CEOHeading1Underlined"/>
              <w:spacing w:before="240"/>
              <w:rPr>
                <w:rFonts w:asciiTheme="minorHAnsi" w:hAnsiTheme="minorHAnsi"/>
                <w:b w:val="0"/>
                <w:bCs w:val="0"/>
                <w:sz w:val="22"/>
                <w:szCs w:val="22"/>
                <w:lang w:val="es-ES_tradnl"/>
              </w:rPr>
            </w:pPr>
            <w:r w:rsidRPr="00E3066E">
              <w:rPr>
                <w:rFonts w:asciiTheme="minorHAnsi" w:hAnsiTheme="minorHAnsi"/>
                <w:b w:val="0"/>
                <w:bCs w:val="0"/>
                <w:sz w:val="22"/>
                <w:szCs w:val="22"/>
                <w:lang w:val="es-ES_tradnl"/>
              </w:rPr>
              <w:t>A continuación se indican las atribuciones y Cuestiones de las Comisiones de Estudio del UIT-D, asignadas por la CMDT-14.</w:t>
            </w:r>
          </w:p>
          <w:p w:rsidR="00685527" w:rsidRPr="00E3066E" w:rsidRDefault="00685527" w:rsidP="00685527">
            <w:pPr>
              <w:pStyle w:val="CEOHeading1Underlined"/>
              <w:spacing w:before="240"/>
              <w:rPr>
                <w:rFonts w:asciiTheme="minorHAnsi" w:hAnsiTheme="minorHAnsi"/>
                <w:sz w:val="22"/>
                <w:szCs w:val="22"/>
                <w:lang w:val="es-ES_tradnl"/>
              </w:rPr>
            </w:pPr>
            <w:r w:rsidRPr="00E3066E">
              <w:rPr>
                <w:rFonts w:asciiTheme="minorHAnsi" w:hAnsiTheme="minorHAnsi"/>
                <w:sz w:val="22"/>
                <w:szCs w:val="22"/>
                <w:lang w:val="es-ES_tradnl"/>
              </w:rPr>
              <w:t>Atribuciones de la Comisión de Estudio 1</w:t>
            </w:r>
          </w:p>
          <w:p w:rsidR="00685527" w:rsidRPr="00832121" w:rsidRDefault="00685527" w:rsidP="00685527">
            <w:pPr>
              <w:pStyle w:val="Headingb"/>
              <w:spacing w:before="80"/>
              <w:rPr>
                <w:i/>
                <w:iCs/>
                <w:lang w:val="es-ES"/>
              </w:rPr>
            </w:pPr>
            <w:r w:rsidRPr="00832121">
              <w:rPr>
                <w:i/>
                <w:iCs/>
                <w:lang w:val="es-ES"/>
              </w:rPr>
              <w:t>Entorno propicio para el desarrollo de las telecomunicaciones/TIC</w:t>
            </w:r>
          </w:p>
          <w:p w:rsidR="00685527" w:rsidRPr="00806062" w:rsidRDefault="00685527" w:rsidP="00844E58">
            <w:pPr>
              <w:pStyle w:val="enumlev1"/>
              <w:spacing w:before="60"/>
              <w:jc w:val="left"/>
              <w:rPr>
                <w:lang w:val="es-ES"/>
              </w:rPr>
            </w:pPr>
            <w:r>
              <w:rPr>
                <w:lang w:val="es-ES"/>
              </w:rPr>
              <w:t>–</w:t>
            </w:r>
            <w:r>
              <w:rPr>
                <w:lang w:val="es-ES"/>
              </w:rPr>
              <w:tab/>
              <w:t>Elaboración de p</w:t>
            </w:r>
            <w:r w:rsidRPr="00806062">
              <w:rPr>
                <w:lang w:val="es-ES"/>
              </w:rPr>
              <w:t>olíticas</w:t>
            </w:r>
            <w:r>
              <w:rPr>
                <w:lang w:val="es-ES"/>
              </w:rPr>
              <w:t>,</w:t>
            </w:r>
            <w:r w:rsidRPr="00806062">
              <w:rPr>
                <w:lang w:val="es-ES"/>
              </w:rPr>
              <w:t xml:space="preserve"> </w:t>
            </w:r>
            <w:r>
              <w:rPr>
                <w:lang w:val="es-ES"/>
              </w:rPr>
              <w:t xml:space="preserve">reglamentos, técnicas y estrategias </w:t>
            </w:r>
            <w:r w:rsidRPr="00806062">
              <w:rPr>
                <w:lang w:val="es-ES"/>
              </w:rPr>
              <w:t>nacionales de telecomunicaciones/TIC y que permitan a los países aprovechar de forma óptima el ímpetu de las telecomunicaciones/TIC, incluida la banda ancha</w:t>
            </w:r>
            <w:r>
              <w:rPr>
                <w:lang w:val="es-ES"/>
              </w:rPr>
              <w:t>, la computación en la nube</w:t>
            </w:r>
            <w:r w:rsidRPr="00806062">
              <w:rPr>
                <w:lang w:val="es-ES"/>
              </w:rPr>
              <w:t xml:space="preserve"> y la protección al consumidor, como motor del desarrollo sostenible.</w:t>
            </w:r>
          </w:p>
          <w:p w:rsidR="00685527" w:rsidRPr="00806062" w:rsidRDefault="00685527" w:rsidP="00844E58">
            <w:pPr>
              <w:pStyle w:val="enumlev1"/>
              <w:spacing w:before="60"/>
              <w:jc w:val="left"/>
              <w:rPr>
                <w:lang w:val="es-ES"/>
              </w:rPr>
            </w:pPr>
            <w:r w:rsidRPr="00806062">
              <w:rPr>
                <w:lang w:val="es-ES"/>
              </w:rPr>
              <w:t>–</w:t>
            </w:r>
            <w:r w:rsidRPr="00806062">
              <w:rPr>
                <w:lang w:val="es-ES"/>
              </w:rPr>
              <w:tab/>
              <w:t>Políticas económicas y métodos de determinación de costos de los servicios relativos a las redes nacionales de telecomunicaciones/TIC.</w:t>
            </w:r>
          </w:p>
          <w:p w:rsidR="00685527" w:rsidRPr="00806062" w:rsidRDefault="00685527" w:rsidP="00844E58">
            <w:pPr>
              <w:pStyle w:val="enumlev1"/>
              <w:spacing w:before="60"/>
              <w:jc w:val="left"/>
              <w:rPr>
                <w:lang w:val="es-ES"/>
              </w:rPr>
            </w:pPr>
            <w:r w:rsidRPr="00806062">
              <w:rPr>
                <w:lang w:val="es-ES"/>
              </w:rPr>
              <w:t>–</w:t>
            </w:r>
            <w:r w:rsidRPr="00806062">
              <w:rPr>
                <w:lang w:val="es-ES"/>
              </w:rPr>
              <w:tab/>
              <w:t>Acceso a las Telecomunicaciones/TIC para las zonas rurales y distantes.</w:t>
            </w:r>
          </w:p>
          <w:p w:rsidR="00685527" w:rsidRPr="00806062" w:rsidRDefault="00685527" w:rsidP="00844E58">
            <w:pPr>
              <w:pStyle w:val="enumlev1"/>
              <w:spacing w:before="60"/>
              <w:jc w:val="left"/>
              <w:rPr>
                <w:lang w:val="es-ES"/>
              </w:rPr>
            </w:pPr>
            <w:r w:rsidRPr="00806062">
              <w:rPr>
                <w:lang w:val="es-ES"/>
              </w:rPr>
              <w:t>–</w:t>
            </w:r>
            <w:r w:rsidRPr="00806062">
              <w:rPr>
                <w:lang w:val="es-ES"/>
              </w:rPr>
              <w:tab/>
              <w:t>Acceso a los servicios de telecomunicaciones/TIC para personas con discapacidad y con necesidades especiales.</w:t>
            </w:r>
          </w:p>
          <w:p w:rsidR="00685527" w:rsidRPr="00806062" w:rsidRDefault="00685527" w:rsidP="00844E58">
            <w:pPr>
              <w:pStyle w:val="enumlev1"/>
              <w:spacing w:before="60"/>
              <w:jc w:val="left"/>
              <w:rPr>
                <w:lang w:val="es-ES"/>
              </w:rPr>
            </w:pPr>
            <w:r w:rsidRPr="00806062">
              <w:rPr>
                <w:lang w:val="es-ES"/>
              </w:rPr>
              <w:t>–</w:t>
            </w:r>
            <w:r w:rsidRPr="00806062">
              <w:rPr>
                <w:lang w:val="es-ES"/>
              </w:rPr>
              <w:tab/>
              <w:t>Necesidades de los países en desarrollo en la gestión de espectro, incluida la transición en curso de la radiodifusión de televisión digital terrenal analógica a la digital y la utilización del dividendo digital, además de cualquier otra futura transición digital.</w:t>
            </w:r>
          </w:p>
          <w:p w:rsidR="00685527" w:rsidRPr="00E3066E" w:rsidRDefault="00685527" w:rsidP="00685527">
            <w:pPr>
              <w:pStyle w:val="CEOHeading1Underlined"/>
              <w:spacing w:before="120"/>
              <w:rPr>
                <w:rFonts w:asciiTheme="minorHAnsi" w:hAnsiTheme="minorHAnsi"/>
                <w:sz w:val="22"/>
                <w:szCs w:val="22"/>
                <w:lang w:val="es-ES_tradnl"/>
              </w:rPr>
            </w:pPr>
            <w:r w:rsidRPr="00E3066E">
              <w:rPr>
                <w:rFonts w:asciiTheme="minorHAnsi" w:hAnsiTheme="minorHAnsi"/>
                <w:sz w:val="22"/>
                <w:szCs w:val="22"/>
                <w:lang w:val="es-ES_tradnl"/>
              </w:rPr>
              <w:t>Cuestiones asignadas a la Comisión de Estudio 1 por la CMDT-14</w:t>
            </w:r>
          </w:p>
          <w:p w:rsidR="00685527" w:rsidRPr="00E3066E" w:rsidRDefault="00685527" w:rsidP="00685527">
            <w:pPr>
              <w:pStyle w:val="CEONormal"/>
              <w:spacing w:before="0" w:after="0"/>
              <w:rPr>
                <w:rFonts w:asciiTheme="minorHAnsi" w:hAnsiTheme="minorHAnsi"/>
                <w:sz w:val="22"/>
                <w:szCs w:val="22"/>
                <w:lang w:val="es-ES_tradnl"/>
              </w:rPr>
            </w:pPr>
          </w:p>
          <w:tbl>
            <w:tblPr>
              <w:tblStyle w:val="TableGrid"/>
              <w:tblW w:w="0" w:type="auto"/>
              <w:tblLayout w:type="fixed"/>
              <w:tblLook w:val="04A0" w:firstRow="1" w:lastRow="0" w:firstColumn="1" w:lastColumn="0" w:noHBand="0" w:noVBand="1"/>
            </w:tblPr>
            <w:tblGrid>
              <w:gridCol w:w="1426"/>
              <w:gridCol w:w="6178"/>
              <w:gridCol w:w="2025"/>
            </w:tblGrid>
            <w:tr w:rsidR="00685527" w:rsidTr="00844E58">
              <w:trPr>
                <w:cantSplit/>
              </w:trPr>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417873">
                  <w:pPr>
                    <w:keepNext/>
                    <w:spacing w:line="240" w:lineRule="auto"/>
                    <w:jc w:val="left"/>
                    <w:rPr>
                      <w:b/>
                      <w:bCs/>
                      <w:sz w:val="24"/>
                      <w:szCs w:val="24"/>
                    </w:rPr>
                  </w:pPr>
                  <w:r>
                    <w:rPr>
                      <w:b/>
                      <w:bCs/>
                    </w:rPr>
                    <w:t>Nuevo número</w:t>
                  </w:r>
                </w:p>
              </w:tc>
              <w:tc>
                <w:tcPr>
                  <w:tcW w:w="6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417873">
                  <w:pPr>
                    <w:keepNext/>
                    <w:spacing w:line="240" w:lineRule="auto"/>
                    <w:jc w:val="left"/>
                    <w:rPr>
                      <w:b/>
                      <w:bCs/>
                      <w:sz w:val="24"/>
                      <w:szCs w:val="24"/>
                    </w:rPr>
                  </w:pPr>
                  <w:r>
                    <w:rPr>
                      <w:b/>
                      <w:bCs/>
                    </w:rPr>
                    <w:t>Título</w:t>
                  </w:r>
                </w:p>
              </w:tc>
              <w:tc>
                <w:tcPr>
                  <w:tcW w:w="2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417873">
                  <w:pPr>
                    <w:keepNext/>
                    <w:spacing w:line="240" w:lineRule="auto"/>
                    <w:ind w:left="-57" w:right="-57"/>
                    <w:jc w:val="left"/>
                    <w:rPr>
                      <w:b/>
                      <w:bCs/>
                      <w:sz w:val="24"/>
                      <w:szCs w:val="24"/>
                    </w:rPr>
                  </w:pPr>
                  <w:r>
                    <w:rPr>
                      <w:b/>
                      <w:bCs/>
                    </w:rPr>
                    <w:t>Origen</w:t>
                  </w:r>
                </w:p>
              </w:tc>
            </w:tr>
            <w:tr w:rsidR="00685527" w:rsidRPr="00E3066E"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C1/1</w:t>
                  </w:r>
                </w:p>
              </w:tc>
              <w:tc>
                <w:tcPr>
                  <w:tcW w:w="6178"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jc w:val="left"/>
                    <w:rPr>
                      <w:sz w:val="24"/>
                      <w:szCs w:val="24"/>
                    </w:rPr>
                  </w:pPr>
                  <w:r w:rsidRPr="008C3283">
                    <w:rPr>
                      <w:lang w:val="es-ES"/>
                    </w:rPr>
                    <w:t>Aspectos políticos, reglamentarios y técnicos de la migración de las redes existentes a las redes de banda ancha en los países en desarrollo, incluyendo las redes de la próxima generación, los servicios móviles, los servicios OTT y la implantación de IPv6</w:t>
                  </w:r>
                </w:p>
              </w:tc>
              <w:tc>
                <w:tcPr>
                  <w:tcW w:w="2025"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ind w:left="-57" w:right="-57"/>
                    <w:jc w:val="left"/>
                    <w:rPr>
                      <w:sz w:val="24"/>
                      <w:szCs w:val="24"/>
                    </w:rPr>
                  </w:pPr>
                  <w:r w:rsidRPr="00E3066E">
                    <w:t xml:space="preserve">Fusión de las antiguas Cuestiones 7-3/1, 10-3/1, 19-2/1 </w:t>
                  </w:r>
                  <w:r>
                    <w:t>y</w:t>
                  </w:r>
                  <w:r w:rsidRPr="00E3066E">
                    <w:t xml:space="preserve"> 26/2</w:t>
                  </w:r>
                </w:p>
              </w:tc>
            </w:tr>
            <w:tr w:rsidR="00685527" w:rsidRPr="00E3066E"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C2/1</w:t>
                  </w:r>
                </w:p>
              </w:tc>
              <w:tc>
                <w:tcPr>
                  <w:tcW w:w="6178"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jc w:val="left"/>
                    <w:rPr>
                      <w:sz w:val="24"/>
                      <w:szCs w:val="24"/>
                    </w:rPr>
                  </w:pPr>
                  <w:r>
                    <w:rPr>
                      <w:lang w:val="es-ES"/>
                    </w:rPr>
                    <w:t>Tecnologías de acceso a la banda ancha, IMT inclusive, para los países en desarrollo</w:t>
                  </w:r>
                </w:p>
              </w:tc>
              <w:tc>
                <w:tcPr>
                  <w:tcW w:w="2025"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ind w:left="-57" w:right="-57"/>
                    <w:jc w:val="left"/>
                    <w:rPr>
                      <w:sz w:val="24"/>
                      <w:szCs w:val="24"/>
                    </w:rPr>
                  </w:pPr>
                  <w:r w:rsidRPr="00E3066E">
                    <w:t>Continuación de la Cuestión 25/2</w:t>
                  </w:r>
                </w:p>
              </w:tc>
            </w:tr>
            <w:tr w:rsidR="00685527"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C3/1</w:t>
                  </w:r>
                </w:p>
              </w:tc>
              <w:tc>
                <w:tcPr>
                  <w:tcW w:w="6178"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jc w:val="left"/>
                    <w:rPr>
                      <w:sz w:val="24"/>
                      <w:szCs w:val="24"/>
                    </w:rPr>
                  </w:pPr>
                  <w:r w:rsidRPr="006D3314">
                    <w:rPr>
                      <w:lang w:val="es-ES"/>
                    </w:rPr>
                    <w:t>Acceso a la computación en la nube: retos y oportunidades para los países en desarrollo</w:t>
                  </w:r>
                </w:p>
              </w:tc>
              <w:tc>
                <w:tcPr>
                  <w:tcW w:w="2025"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ind w:left="-57" w:right="-57"/>
                    <w:jc w:val="left"/>
                    <w:rPr>
                      <w:sz w:val="24"/>
                      <w:szCs w:val="24"/>
                    </w:rPr>
                  </w:pPr>
                  <w:r>
                    <w:t>Nueva Cuestión</w:t>
                  </w:r>
                </w:p>
              </w:tc>
            </w:tr>
            <w:tr w:rsidR="00685527" w:rsidRPr="00E3066E"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C4/1</w:t>
                  </w:r>
                </w:p>
              </w:tc>
              <w:tc>
                <w:tcPr>
                  <w:tcW w:w="6178"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jc w:val="left"/>
                    <w:rPr>
                      <w:sz w:val="24"/>
                      <w:szCs w:val="24"/>
                    </w:rPr>
                  </w:pPr>
                  <w:r w:rsidRPr="008C7A26">
                    <w:rPr>
                      <w:lang w:val="es-ES"/>
                    </w:rPr>
                    <w:t>Políticas económicas y métodos de determinación de costos de los servicios relativos a las redes nacionales de telecomunicaciones/TIC, incluidas las redes de la próxima generación (NGN)</w:t>
                  </w:r>
                </w:p>
              </w:tc>
              <w:tc>
                <w:tcPr>
                  <w:tcW w:w="2025" w:type="dxa"/>
                  <w:tcBorders>
                    <w:top w:val="single" w:sz="4" w:space="0" w:color="auto"/>
                    <w:left w:val="single" w:sz="4" w:space="0" w:color="auto"/>
                    <w:bottom w:val="single" w:sz="4" w:space="0" w:color="auto"/>
                    <w:right w:val="single" w:sz="4" w:space="0" w:color="auto"/>
                  </w:tcBorders>
                  <w:hideMark/>
                </w:tcPr>
                <w:p w:rsidR="00685527" w:rsidRPr="00E3066E" w:rsidRDefault="00685527" w:rsidP="00417873">
                  <w:pPr>
                    <w:spacing w:before="40" w:after="40" w:line="240" w:lineRule="auto"/>
                    <w:ind w:left="-57" w:right="-57"/>
                    <w:jc w:val="left"/>
                    <w:rPr>
                      <w:sz w:val="24"/>
                      <w:szCs w:val="24"/>
                    </w:rPr>
                  </w:pPr>
                  <w:r w:rsidRPr="00E3066E">
                    <w:t>Continuación de la Cuestión 12-3/1</w:t>
                  </w:r>
                </w:p>
              </w:tc>
            </w:tr>
            <w:tr w:rsidR="00685527" w:rsidRPr="00AC2BEA"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C5/1</w:t>
                  </w:r>
                </w:p>
              </w:tc>
              <w:tc>
                <w:tcPr>
                  <w:tcW w:w="6178"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jc w:val="left"/>
                    <w:rPr>
                      <w:sz w:val="24"/>
                      <w:szCs w:val="24"/>
                    </w:rPr>
                  </w:pPr>
                  <w:r>
                    <w:rPr>
                      <w:lang w:val="es-ES"/>
                    </w:rPr>
                    <w:t>Telecomunicaciones/TIC para las zonas rurales y alejadas</w:t>
                  </w:r>
                </w:p>
              </w:tc>
              <w:tc>
                <w:tcPr>
                  <w:tcW w:w="202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ind w:left="-57" w:right="-57"/>
                    <w:jc w:val="left"/>
                    <w:rPr>
                      <w:sz w:val="24"/>
                      <w:szCs w:val="24"/>
                    </w:rPr>
                  </w:pPr>
                  <w:r w:rsidRPr="00AC2BEA">
                    <w:t>Continuación de la Cuestión 10-3/2</w:t>
                  </w:r>
                </w:p>
              </w:tc>
            </w:tr>
            <w:tr w:rsidR="00685527" w:rsidRPr="00AC2BEA"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C6/1</w:t>
                  </w:r>
                </w:p>
              </w:tc>
              <w:tc>
                <w:tcPr>
                  <w:tcW w:w="6178"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jc w:val="left"/>
                    <w:rPr>
                      <w:sz w:val="24"/>
                      <w:szCs w:val="24"/>
                    </w:rPr>
                  </w:pPr>
                  <w:r w:rsidRPr="008C7A26">
                    <w:rPr>
                      <w:lang w:val="es-ES"/>
                    </w:rPr>
                    <w:t>Información al consumidor, protección y derechos: leyes, reglamentación, bases económicas, redes de consumidores</w:t>
                  </w:r>
                </w:p>
              </w:tc>
              <w:tc>
                <w:tcPr>
                  <w:tcW w:w="202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ind w:left="-57" w:right="-57"/>
                    <w:jc w:val="left"/>
                    <w:rPr>
                      <w:sz w:val="24"/>
                      <w:szCs w:val="24"/>
                    </w:rPr>
                  </w:pPr>
                  <w:r w:rsidRPr="00AC2BEA">
                    <w:t>Continuación de la Cuestión 18-2/1</w:t>
                  </w:r>
                </w:p>
              </w:tc>
            </w:tr>
            <w:tr w:rsidR="00685527" w:rsidRPr="00AC2BEA"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C7/1</w:t>
                  </w:r>
                </w:p>
              </w:tc>
              <w:tc>
                <w:tcPr>
                  <w:tcW w:w="6178"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jc w:val="left"/>
                    <w:rPr>
                      <w:sz w:val="24"/>
                      <w:szCs w:val="24"/>
                    </w:rPr>
                  </w:pPr>
                  <w:r w:rsidRPr="008C7A26">
                    <w:rPr>
                      <w:lang w:val="es-ES"/>
                    </w:rPr>
                    <w:t>Acceso a los servicios de telecomunicaciones/TIC para las personas con discapacidad y con necesidades especiales</w:t>
                  </w:r>
                </w:p>
              </w:tc>
              <w:tc>
                <w:tcPr>
                  <w:tcW w:w="202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ind w:left="-57" w:right="-57"/>
                    <w:jc w:val="left"/>
                    <w:rPr>
                      <w:sz w:val="24"/>
                      <w:szCs w:val="24"/>
                    </w:rPr>
                  </w:pPr>
                  <w:r w:rsidRPr="00AC2BEA">
                    <w:t>Continuación de la Cuestión 20-1/1</w:t>
                  </w:r>
                </w:p>
              </w:tc>
            </w:tr>
            <w:tr w:rsidR="00685527" w:rsidRPr="00AC2BEA" w:rsidTr="00844E58">
              <w:trPr>
                <w:cantSplit/>
              </w:trPr>
              <w:tc>
                <w:tcPr>
                  <w:tcW w:w="14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line="240" w:lineRule="auto"/>
                    <w:jc w:val="left"/>
                    <w:rPr>
                      <w:sz w:val="24"/>
                      <w:szCs w:val="24"/>
                    </w:rPr>
                  </w:pPr>
                  <w:r>
                    <w:t>C8/1</w:t>
                  </w:r>
                </w:p>
              </w:tc>
              <w:tc>
                <w:tcPr>
                  <w:tcW w:w="6178"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jc w:val="left"/>
                    <w:rPr>
                      <w:sz w:val="24"/>
                      <w:szCs w:val="24"/>
                    </w:rPr>
                  </w:pPr>
                  <w:r w:rsidRPr="008C7A26">
                    <w:rPr>
                      <w:lang w:val="es-ES"/>
                    </w:rPr>
                    <w:t xml:space="preserve">Examen de estrategias y métodos para la transición de la radiodifusión digital terrenal analógica a la digital e </w:t>
                  </w:r>
                  <w:r>
                    <w:rPr>
                      <w:lang w:val="es-ES"/>
                    </w:rPr>
                    <w:t>implantación</w:t>
                  </w:r>
                  <w:r w:rsidRPr="008C7A26">
                    <w:rPr>
                      <w:lang w:val="es-ES"/>
                    </w:rPr>
                    <w:t xml:space="preserve"> de nuevos servicio</w:t>
                  </w:r>
                  <w:r>
                    <w:rPr>
                      <w:lang w:val="es-ES"/>
                    </w:rPr>
                    <w:t>s</w:t>
                  </w:r>
                </w:p>
              </w:tc>
              <w:tc>
                <w:tcPr>
                  <w:tcW w:w="202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line="240" w:lineRule="auto"/>
                    <w:ind w:left="-57" w:right="-57"/>
                    <w:jc w:val="left"/>
                    <w:rPr>
                      <w:sz w:val="24"/>
                      <w:szCs w:val="24"/>
                    </w:rPr>
                  </w:pPr>
                  <w:r w:rsidRPr="00AC2BEA">
                    <w:t>Continuación de la Cuestión 11-3/2</w:t>
                  </w:r>
                </w:p>
              </w:tc>
            </w:tr>
            <w:tr w:rsidR="00844E58" w:rsidRPr="00AC2BEA" w:rsidTr="00844E58">
              <w:trPr>
                <w:cantSplit/>
              </w:trPr>
              <w:tc>
                <w:tcPr>
                  <w:tcW w:w="1426" w:type="dxa"/>
                  <w:tcBorders>
                    <w:top w:val="single" w:sz="4" w:space="0" w:color="auto"/>
                    <w:left w:val="single" w:sz="4" w:space="0" w:color="auto"/>
                    <w:bottom w:val="single" w:sz="4" w:space="0" w:color="auto"/>
                    <w:right w:val="single" w:sz="4" w:space="0" w:color="auto"/>
                  </w:tcBorders>
                </w:tcPr>
                <w:p w:rsidR="00844E58" w:rsidRDefault="00844E58" w:rsidP="00417873">
                  <w:pPr>
                    <w:spacing w:before="40" w:after="40" w:line="240" w:lineRule="auto"/>
                    <w:jc w:val="left"/>
                    <w:rPr>
                      <w:sz w:val="24"/>
                      <w:szCs w:val="24"/>
                    </w:rPr>
                  </w:pPr>
                  <w:r>
                    <w:t>Resolución 9</w:t>
                  </w:r>
                </w:p>
              </w:tc>
              <w:tc>
                <w:tcPr>
                  <w:tcW w:w="6178" w:type="dxa"/>
                  <w:tcBorders>
                    <w:top w:val="single" w:sz="4" w:space="0" w:color="auto"/>
                    <w:left w:val="single" w:sz="4" w:space="0" w:color="auto"/>
                    <w:bottom w:val="single" w:sz="4" w:space="0" w:color="auto"/>
                    <w:right w:val="single" w:sz="4" w:space="0" w:color="auto"/>
                  </w:tcBorders>
                </w:tcPr>
                <w:p w:rsidR="00844E58" w:rsidRPr="00AC2BEA" w:rsidRDefault="00844E58" w:rsidP="00417873">
                  <w:pPr>
                    <w:spacing w:before="40" w:after="40" w:line="240" w:lineRule="auto"/>
                    <w:jc w:val="left"/>
                    <w:rPr>
                      <w:sz w:val="24"/>
                      <w:szCs w:val="24"/>
                    </w:rPr>
                  </w:pPr>
                  <w:r w:rsidRPr="008C7A26">
                    <w:rPr>
                      <w:lang w:val="es-ES"/>
                    </w:rPr>
                    <w:t>Participación de los países, en particular</w:t>
                  </w:r>
                  <w:r w:rsidRPr="0073434C">
                    <w:rPr>
                      <w:lang w:val="es-ES"/>
                    </w:rPr>
                    <w:t xml:space="preserve"> de</w:t>
                  </w:r>
                  <w:r w:rsidRPr="008C7A26">
                    <w:rPr>
                      <w:lang w:val="es-ES"/>
                    </w:rPr>
                    <w:t xml:space="preserve"> los países en desarrollo, en la gesti</w:t>
                  </w:r>
                  <w:r w:rsidRPr="0073434C">
                    <w:rPr>
                      <w:lang w:val="es-ES"/>
                    </w:rPr>
                    <w:t>ón del espectro de frecuencias</w:t>
                  </w:r>
                </w:p>
              </w:tc>
              <w:tc>
                <w:tcPr>
                  <w:tcW w:w="2025" w:type="dxa"/>
                  <w:tcBorders>
                    <w:top w:val="single" w:sz="4" w:space="0" w:color="auto"/>
                    <w:left w:val="single" w:sz="4" w:space="0" w:color="auto"/>
                    <w:bottom w:val="single" w:sz="4" w:space="0" w:color="auto"/>
                    <w:right w:val="single" w:sz="4" w:space="0" w:color="auto"/>
                  </w:tcBorders>
                </w:tcPr>
                <w:p w:rsidR="00844E58" w:rsidRDefault="00844E58" w:rsidP="00417873">
                  <w:pPr>
                    <w:spacing w:before="40" w:after="40" w:line="240" w:lineRule="auto"/>
                    <w:ind w:left="-57" w:right="-57"/>
                    <w:jc w:val="left"/>
                    <w:rPr>
                      <w:sz w:val="24"/>
                      <w:szCs w:val="24"/>
                    </w:rPr>
                  </w:pPr>
                  <w:r>
                    <w:t>Resolución 9 revisada</w:t>
                  </w:r>
                </w:p>
              </w:tc>
            </w:tr>
          </w:tbl>
          <w:p w:rsidR="00685527" w:rsidRPr="00AC2BEA" w:rsidRDefault="00685527" w:rsidP="00685527">
            <w:pPr>
              <w:pStyle w:val="CEOHeading1Underlined"/>
              <w:spacing w:before="240"/>
              <w:rPr>
                <w:rFonts w:asciiTheme="minorHAnsi" w:hAnsiTheme="minorHAnsi"/>
                <w:sz w:val="22"/>
                <w:szCs w:val="22"/>
                <w:lang w:val="es-ES_tradnl"/>
              </w:rPr>
            </w:pPr>
            <w:r w:rsidRPr="00AC2BEA">
              <w:rPr>
                <w:rFonts w:asciiTheme="minorHAnsi" w:hAnsiTheme="minorHAnsi"/>
                <w:sz w:val="22"/>
                <w:szCs w:val="22"/>
                <w:lang w:val="es-ES_tradnl"/>
              </w:rPr>
              <w:lastRenderedPageBreak/>
              <w:t>Atribuciones de la Comisión de Estudio 2</w:t>
            </w:r>
          </w:p>
          <w:p w:rsidR="00685527" w:rsidRPr="00832121" w:rsidRDefault="00685527" w:rsidP="00685527">
            <w:pPr>
              <w:pStyle w:val="Headingb"/>
              <w:jc w:val="left"/>
              <w:rPr>
                <w:i/>
                <w:iCs/>
                <w:lang w:val="es-ES"/>
              </w:rPr>
            </w:pPr>
            <w:r w:rsidRPr="00832121">
              <w:rPr>
                <w:i/>
                <w:iCs/>
                <w:lang w:val="es-ES"/>
              </w:rPr>
              <w:t xml:space="preserve">Aplicaciones TIC, </w:t>
            </w:r>
            <w:proofErr w:type="spellStart"/>
            <w:r w:rsidRPr="00832121">
              <w:rPr>
                <w:i/>
                <w:iCs/>
                <w:lang w:val="es-ES"/>
              </w:rPr>
              <w:t>ciberseguridad</w:t>
            </w:r>
            <w:proofErr w:type="spellEnd"/>
            <w:r w:rsidRPr="00832121">
              <w:rPr>
                <w:i/>
                <w:iCs/>
                <w:lang w:val="es-ES"/>
              </w:rPr>
              <w:t>, telecomunicaciones de emergencia y adaptación al cambio climático</w:t>
            </w:r>
            <w:r w:rsidRPr="00832121" w:rsidDel="001B5B50">
              <w:rPr>
                <w:i/>
                <w:iCs/>
                <w:lang w:val="es-ES"/>
              </w:rPr>
              <w:t xml:space="preserve"> </w:t>
            </w:r>
          </w:p>
          <w:p w:rsidR="00685527" w:rsidRDefault="00685527" w:rsidP="00EF1D3A">
            <w:pPr>
              <w:pStyle w:val="enumlev1"/>
              <w:spacing w:before="60"/>
              <w:jc w:val="left"/>
              <w:rPr>
                <w:lang w:val="es-ES"/>
              </w:rPr>
            </w:pPr>
            <w:r>
              <w:rPr>
                <w:lang w:val="es-ES"/>
              </w:rPr>
              <w:t>–</w:t>
            </w:r>
            <w:r>
              <w:rPr>
                <w:lang w:val="es-ES"/>
              </w:rPr>
              <w:tab/>
              <w:t>Servicios y aplicaciones con soporte de telecomunicaciones/TIC.</w:t>
            </w:r>
          </w:p>
          <w:p w:rsidR="00685527" w:rsidRDefault="00685527" w:rsidP="00EF1D3A">
            <w:pPr>
              <w:pStyle w:val="enumlev1"/>
              <w:spacing w:before="60"/>
              <w:jc w:val="left"/>
              <w:rPr>
                <w:sz w:val="20"/>
                <w:lang w:val="es-ES"/>
              </w:rPr>
            </w:pPr>
            <w:r w:rsidRPr="00806062">
              <w:rPr>
                <w:lang w:val="es-ES"/>
              </w:rPr>
              <w:t>–</w:t>
            </w:r>
            <w:r w:rsidRPr="00806062">
              <w:rPr>
                <w:lang w:val="es-ES"/>
              </w:rPr>
              <w:tab/>
            </w:r>
            <w:r>
              <w:rPr>
                <w:lang w:val="es-ES"/>
              </w:rPr>
              <w:t>Creación de confianza y seguridad en la utilización de las TIC.</w:t>
            </w:r>
          </w:p>
          <w:p w:rsidR="00685527" w:rsidRDefault="00685527" w:rsidP="00EF1D3A">
            <w:pPr>
              <w:pStyle w:val="enumlev1"/>
              <w:spacing w:before="60"/>
              <w:jc w:val="left"/>
              <w:rPr>
                <w:lang w:val="es-ES"/>
              </w:rPr>
            </w:pPr>
            <w:r w:rsidRPr="00EF5491">
              <w:rPr>
                <w:lang w:val="es-ES"/>
              </w:rPr>
              <w:t>–</w:t>
            </w:r>
            <w:r>
              <w:rPr>
                <w:lang w:val="es-ES"/>
              </w:rPr>
              <w:tab/>
            </w:r>
            <w:r w:rsidRPr="00806062">
              <w:rPr>
                <w:lang w:val="es-ES"/>
              </w:rPr>
              <w:t xml:space="preserve">Utilización de las telecomunicaciones/TIC para atenuar las consecuencias del cambio climático en los países en desarrollo, así como para la preparación en situaciones de catástrofe natural, la atenuación de sus efectos y las operaciones de socorro pruebas de conformidad </w:t>
            </w:r>
            <w:r>
              <w:rPr>
                <w:lang w:val="es-ES"/>
              </w:rPr>
              <w:t>y compatibilidad</w:t>
            </w:r>
            <w:r w:rsidRPr="00D727B5">
              <w:rPr>
                <w:lang w:val="es-ES"/>
              </w:rPr>
              <w:t>.</w:t>
            </w:r>
          </w:p>
          <w:p w:rsidR="00685527" w:rsidRDefault="00685527" w:rsidP="00EF1D3A">
            <w:pPr>
              <w:pStyle w:val="enumlev1"/>
              <w:spacing w:before="60"/>
              <w:jc w:val="left"/>
              <w:rPr>
                <w:lang w:val="es-ES"/>
              </w:rPr>
            </w:pPr>
            <w:r w:rsidRPr="00806062">
              <w:rPr>
                <w:lang w:val="es-ES"/>
              </w:rPr>
              <w:t>–</w:t>
            </w:r>
            <w:r w:rsidRPr="00806062">
              <w:rPr>
                <w:lang w:val="es-ES"/>
              </w:rPr>
              <w:tab/>
            </w:r>
            <w:r w:rsidRPr="000E590C">
              <w:rPr>
                <w:lang w:val="es-ES"/>
              </w:rPr>
              <w:t xml:space="preserve">Exposición de las personas a los campos </w:t>
            </w:r>
            <w:r>
              <w:rPr>
                <w:lang w:val="es-ES"/>
              </w:rPr>
              <w:t>electro</w:t>
            </w:r>
            <w:r w:rsidRPr="000E590C">
              <w:rPr>
                <w:lang w:val="es-ES"/>
              </w:rPr>
              <w:t xml:space="preserve">magnéticos y eliminación segura de </w:t>
            </w:r>
            <w:r>
              <w:rPr>
                <w:lang w:val="es-ES"/>
              </w:rPr>
              <w:t>residuos</w:t>
            </w:r>
            <w:r w:rsidRPr="000E590C">
              <w:rPr>
                <w:lang w:val="es-ES"/>
              </w:rPr>
              <w:t xml:space="preserve"> electrónicos</w:t>
            </w:r>
            <w:r>
              <w:rPr>
                <w:lang w:val="es-ES"/>
              </w:rPr>
              <w:t>.</w:t>
            </w:r>
          </w:p>
          <w:p w:rsidR="00685527" w:rsidRDefault="00685527" w:rsidP="00EF1D3A">
            <w:pPr>
              <w:pStyle w:val="enumlev1"/>
              <w:spacing w:before="60"/>
              <w:jc w:val="left"/>
              <w:rPr>
                <w:lang w:val="es-ES"/>
              </w:rPr>
            </w:pPr>
            <w:r w:rsidRPr="00806062">
              <w:rPr>
                <w:lang w:val="es-ES"/>
              </w:rPr>
              <w:t>–</w:t>
            </w:r>
            <w:r w:rsidRPr="00806062">
              <w:rPr>
                <w:lang w:val="es-ES"/>
              </w:rPr>
              <w:tab/>
              <w:t>Implementación de las telecomunicaciones/TIC, teniendo en cuenta los resultados de los estudios realizados por el UIT-T y el UIT-R y las prioridades de los países en desarrollo.</w:t>
            </w:r>
          </w:p>
          <w:p w:rsidR="00685527" w:rsidRPr="00AC2BEA" w:rsidRDefault="00685527" w:rsidP="00685527">
            <w:pPr>
              <w:pStyle w:val="CEOHeading1Underlined"/>
              <w:spacing w:before="240"/>
              <w:rPr>
                <w:rFonts w:asciiTheme="minorHAnsi" w:hAnsiTheme="minorHAnsi"/>
                <w:sz w:val="22"/>
                <w:szCs w:val="22"/>
                <w:lang w:val="es-ES_tradnl"/>
              </w:rPr>
            </w:pPr>
            <w:r w:rsidRPr="00AC2BEA">
              <w:rPr>
                <w:rFonts w:asciiTheme="minorHAnsi" w:hAnsiTheme="minorHAnsi"/>
                <w:sz w:val="22"/>
                <w:szCs w:val="22"/>
                <w:lang w:val="es-ES_tradnl"/>
              </w:rPr>
              <w:t>Cuestiones asignadas a la Comisión de Estudio 2 por la CMDT-14</w:t>
            </w:r>
          </w:p>
          <w:tbl>
            <w:tblPr>
              <w:tblStyle w:val="TableGrid"/>
              <w:tblW w:w="0" w:type="auto"/>
              <w:tblLayout w:type="fixed"/>
              <w:tblLook w:val="04A0" w:firstRow="1" w:lastRow="0" w:firstColumn="1" w:lastColumn="0" w:noHBand="0" w:noVBand="1"/>
            </w:tblPr>
            <w:tblGrid>
              <w:gridCol w:w="1526"/>
              <w:gridCol w:w="6095"/>
              <w:gridCol w:w="2126"/>
            </w:tblGrid>
            <w:tr w:rsidR="00685527" w:rsidTr="00417873">
              <w:trPr>
                <w:tblHeader/>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FC724B">
                  <w:pPr>
                    <w:keepNext/>
                    <w:spacing w:before="120"/>
                    <w:jc w:val="left"/>
                    <w:rPr>
                      <w:b/>
                      <w:bCs/>
                      <w:sz w:val="24"/>
                      <w:szCs w:val="24"/>
                    </w:rPr>
                  </w:pPr>
                  <w:r>
                    <w:rPr>
                      <w:b/>
                      <w:bCs/>
                    </w:rPr>
                    <w:t>Nuevo número</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FC724B">
                  <w:pPr>
                    <w:keepNext/>
                    <w:spacing w:before="120"/>
                    <w:jc w:val="left"/>
                    <w:rPr>
                      <w:b/>
                      <w:bCs/>
                      <w:sz w:val="24"/>
                      <w:szCs w:val="24"/>
                    </w:rPr>
                  </w:pPr>
                  <w:r>
                    <w:rPr>
                      <w:b/>
                      <w:bCs/>
                    </w:rPr>
                    <w:t>Título</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527" w:rsidRDefault="00685527" w:rsidP="00FC724B">
                  <w:pPr>
                    <w:keepNext/>
                    <w:spacing w:before="120"/>
                    <w:ind w:left="-57" w:right="-57"/>
                    <w:jc w:val="left"/>
                    <w:rPr>
                      <w:b/>
                      <w:bCs/>
                      <w:sz w:val="24"/>
                      <w:szCs w:val="24"/>
                    </w:rPr>
                  </w:pPr>
                  <w:r>
                    <w:rPr>
                      <w:b/>
                      <w:bCs/>
                    </w:rPr>
                    <w:t>Origen</w:t>
                  </w:r>
                </w:p>
              </w:tc>
            </w:tr>
            <w:tr w:rsidR="00685527" w:rsidRPr="00AC2BEA" w:rsidTr="00417873">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keepNext/>
                    <w:spacing w:before="40" w:after="40"/>
                    <w:ind w:left="-57" w:right="-57"/>
                    <w:jc w:val="left"/>
                    <w:rPr>
                      <w:i/>
                      <w:sz w:val="24"/>
                      <w:szCs w:val="24"/>
                    </w:rPr>
                  </w:pPr>
                  <w:r w:rsidRPr="00AC2BEA">
                    <w:rPr>
                      <w:i/>
                    </w:rPr>
                    <w:t xml:space="preserve">Cuestiones relacionadas con las aplicaciones TIC y la </w:t>
                  </w:r>
                  <w:proofErr w:type="spellStart"/>
                  <w:r w:rsidRPr="00AC2BEA">
                    <w:rPr>
                      <w:i/>
                    </w:rPr>
                    <w:t>ciberseguridad</w:t>
                  </w:r>
                  <w:proofErr w:type="spellEnd"/>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1/2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Creación de la sociedad inteligente: desarrollo económico y social a través de aplicaciones TIC</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 xml:space="preserve">Nueva Cuestión que integra la </w:t>
                  </w:r>
                  <w:r>
                    <w:t>a</w:t>
                  </w:r>
                  <w:r w:rsidRPr="00AC2BEA">
                    <w:t>ntigua Cuesti</w:t>
                  </w:r>
                  <w:r>
                    <w:t>ón</w:t>
                  </w:r>
                  <w:r w:rsidRPr="00AC2BEA">
                    <w:t xml:space="preserve"> 17-3/2 </w:t>
                  </w:r>
                  <w:r>
                    <w:t>y contenido adicional</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2/2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 xml:space="preserve">información y telecomunicaciones/TIC para la </w:t>
                  </w:r>
                  <w:proofErr w:type="spellStart"/>
                  <w:r w:rsidRPr="00F27E78">
                    <w:rPr>
                      <w:lang w:val="es-ES"/>
                    </w:rPr>
                    <w:t>cibersalud</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14-3/2</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3/2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 xml:space="preserve">seguridad en las redes de información y comunicación: prácticas óptimas para el desarrollo de una cultura de </w:t>
                  </w:r>
                  <w:proofErr w:type="spellStart"/>
                  <w:r w:rsidRPr="00F27E78">
                    <w:rPr>
                      <w:lang w:val="es-ES"/>
                    </w:rPr>
                    <w:t>ciberseguridad</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22-1/1</w:t>
                  </w:r>
                </w:p>
              </w:tc>
            </w:tr>
            <w:tr w:rsidR="00685527"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4/2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 xml:space="preserve">Asistencia a los países en desarrollo para </w:t>
                  </w:r>
                  <w:r>
                    <w:rPr>
                      <w:lang w:val="es-ES"/>
                    </w:rPr>
                    <w:t>la ejecución de</w:t>
                  </w:r>
                  <w:r w:rsidRPr="00F27E78">
                    <w:rPr>
                      <w:lang w:val="es-ES"/>
                    </w:rPr>
                    <w:t xml:space="preserve"> Programas de Conformidad </w:t>
                  </w:r>
                  <w:r>
                    <w:rPr>
                      <w:lang w:val="es-ES"/>
                    </w:rPr>
                    <w:t>y compati</w:t>
                  </w:r>
                  <w:r w:rsidRPr="00F27E78">
                    <w:rPr>
                      <w:lang w:val="es-ES"/>
                    </w:rPr>
                    <w:t>bilidad</w:t>
                  </w:r>
                </w:p>
              </w:tc>
              <w:tc>
                <w:tcPr>
                  <w:tcW w:w="2126"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ind w:left="-57" w:right="-57"/>
                    <w:jc w:val="left"/>
                    <w:rPr>
                      <w:sz w:val="24"/>
                      <w:szCs w:val="24"/>
                    </w:rPr>
                  </w:pPr>
                  <w:r>
                    <w:t>Nueva Cuestión</w:t>
                  </w:r>
                </w:p>
              </w:tc>
            </w:tr>
            <w:tr w:rsidR="00685527" w:rsidRPr="00AC2BEA" w:rsidTr="00417873">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keepNext/>
                    <w:spacing w:before="40" w:after="40"/>
                    <w:ind w:left="-57" w:right="-57"/>
                    <w:jc w:val="left"/>
                    <w:rPr>
                      <w:i/>
                      <w:iCs/>
                      <w:sz w:val="24"/>
                      <w:szCs w:val="24"/>
                    </w:rPr>
                  </w:pPr>
                  <w:r w:rsidRPr="00AC2BEA">
                    <w:rPr>
                      <w:i/>
                      <w:iCs/>
                    </w:rPr>
                    <w:t>Cuestiones relacionadas con el cambio clim</w:t>
                  </w:r>
                  <w:r>
                    <w:rPr>
                      <w:i/>
                      <w:iCs/>
                    </w:rPr>
                    <w:t>ático, el medio ambiente y las telecomunicaciones de emergencia</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5/2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 xml:space="preserve">Utilización de las telecomunicaciones/TIC para la preparación, mitigación y respuesta en </w:t>
                  </w:r>
                  <w:r>
                    <w:rPr>
                      <w:lang w:val="es-ES"/>
                    </w:rPr>
                    <w:t>caso</w:t>
                  </w:r>
                  <w:r w:rsidRPr="00F27E78">
                    <w:rPr>
                      <w:lang w:val="es-ES"/>
                    </w:rPr>
                    <w:t xml:space="preserve"> de catástrofe</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22-1/2</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6/2</w:t>
                  </w:r>
                </w:p>
              </w:tc>
              <w:tc>
                <w:tcPr>
                  <w:tcW w:w="6095" w:type="dxa"/>
                  <w:tcBorders>
                    <w:top w:val="single" w:sz="4" w:space="0" w:color="auto"/>
                    <w:left w:val="single" w:sz="4" w:space="0" w:color="auto"/>
                    <w:bottom w:val="single" w:sz="4" w:space="0" w:color="auto"/>
                    <w:right w:val="single" w:sz="4" w:space="0" w:color="auto"/>
                  </w:tcBorders>
                  <w:hideMark/>
                </w:tcPr>
                <w:p w:rsidR="00685527" w:rsidRDefault="00685527" w:rsidP="00417873">
                  <w:pPr>
                    <w:spacing w:before="40" w:after="40"/>
                    <w:jc w:val="left"/>
                    <w:rPr>
                      <w:sz w:val="24"/>
                      <w:szCs w:val="24"/>
                    </w:rPr>
                  </w:pPr>
                  <w:r>
                    <w:t>TIC y cambio climático</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24/2</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7/2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Estrategias y políticas relativas a la exposición de las personas a los campos electromagnéticos</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23/1</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8/2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 xml:space="preserve">Estrategias y políticas para la </w:t>
                  </w:r>
                  <w:r>
                    <w:rPr>
                      <w:lang w:val="es-ES"/>
                    </w:rPr>
                    <w:t xml:space="preserve">adecuada </w:t>
                  </w:r>
                  <w:r w:rsidRPr="00F27E78">
                    <w:rPr>
                      <w:lang w:val="es-ES"/>
                    </w:rPr>
                    <w:t>eliminación o reutilización de residuos generados por las telecomunicaciones/TIC</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24/1 con contenido adicional</w:t>
                  </w:r>
                </w:p>
              </w:tc>
            </w:tr>
            <w:tr w:rsidR="00685527" w:rsidRPr="00AC2BEA" w:rsidTr="00FC724B">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keepNext/>
                    <w:spacing w:before="40" w:after="40"/>
                    <w:ind w:left="-57" w:right="-57"/>
                    <w:jc w:val="left"/>
                    <w:rPr>
                      <w:i/>
                      <w:iCs/>
                      <w:sz w:val="24"/>
                      <w:szCs w:val="24"/>
                    </w:rPr>
                  </w:pPr>
                  <w:r w:rsidRPr="00AC2BEA">
                    <w:rPr>
                      <w:i/>
                      <w:iCs/>
                    </w:rPr>
                    <w:t>Cuestión relacionada con otros temas</w:t>
                  </w:r>
                </w:p>
              </w:tc>
            </w:tr>
            <w:tr w:rsidR="00685527" w:rsidRPr="00AC2BEA" w:rsidTr="00417873">
              <w:trPr>
                <w:cantSplit/>
              </w:trPr>
              <w:tc>
                <w:tcPr>
                  <w:tcW w:w="1526" w:type="dxa"/>
                  <w:tcBorders>
                    <w:top w:val="single" w:sz="4" w:space="0" w:color="auto"/>
                    <w:left w:val="single" w:sz="4" w:space="0" w:color="auto"/>
                    <w:bottom w:val="single" w:sz="4" w:space="0" w:color="auto"/>
                    <w:right w:val="single" w:sz="4" w:space="0" w:color="auto"/>
                  </w:tcBorders>
                  <w:hideMark/>
                </w:tcPr>
                <w:p w:rsidR="00685527" w:rsidRDefault="005F6942" w:rsidP="00EF1D3A">
                  <w:pPr>
                    <w:spacing w:before="40" w:after="40"/>
                    <w:jc w:val="left"/>
                    <w:rPr>
                      <w:sz w:val="24"/>
                      <w:szCs w:val="24"/>
                    </w:rPr>
                  </w:pPr>
                  <w:r>
                    <w:t>C</w:t>
                  </w:r>
                  <w:r w:rsidR="00685527">
                    <w:t>9/2</w:t>
                  </w:r>
                </w:p>
              </w:tc>
              <w:tc>
                <w:tcPr>
                  <w:tcW w:w="6095"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jc w:val="left"/>
                    <w:rPr>
                      <w:sz w:val="24"/>
                      <w:szCs w:val="24"/>
                    </w:rPr>
                  </w:pPr>
                  <w:r w:rsidRPr="00F27E78">
                    <w:rPr>
                      <w:lang w:val="es-ES"/>
                    </w:rPr>
                    <w:t>Identificación de los temas que estudian las Comisiones de Estudio del UIT-R y el UIT-T que son de particular interés para los países en desarrollo</w:t>
                  </w:r>
                </w:p>
              </w:tc>
              <w:tc>
                <w:tcPr>
                  <w:tcW w:w="2126" w:type="dxa"/>
                  <w:tcBorders>
                    <w:top w:val="single" w:sz="4" w:space="0" w:color="auto"/>
                    <w:left w:val="single" w:sz="4" w:space="0" w:color="auto"/>
                    <w:bottom w:val="single" w:sz="4" w:space="0" w:color="auto"/>
                    <w:right w:val="single" w:sz="4" w:space="0" w:color="auto"/>
                  </w:tcBorders>
                  <w:hideMark/>
                </w:tcPr>
                <w:p w:rsidR="00685527" w:rsidRPr="00AC2BEA" w:rsidRDefault="00685527" w:rsidP="00417873">
                  <w:pPr>
                    <w:spacing w:before="40" w:after="40"/>
                    <w:ind w:left="-57" w:right="-57"/>
                    <w:jc w:val="left"/>
                    <w:rPr>
                      <w:sz w:val="24"/>
                      <w:szCs w:val="24"/>
                    </w:rPr>
                  </w:pPr>
                  <w:r w:rsidRPr="00AC2BEA">
                    <w:t>Continuación de la Cuestión 9-3/2</w:t>
                  </w:r>
                </w:p>
              </w:tc>
            </w:tr>
          </w:tbl>
          <w:p w:rsidR="001A7DEF" w:rsidRDefault="001A7DEF" w:rsidP="001A7DEF">
            <w:pPr>
              <w:pStyle w:val="BDTSignatureName"/>
              <w:spacing w:before="0"/>
              <w:rPr>
                <w:lang w:val="es-ES_tradnl"/>
              </w:rPr>
            </w:pPr>
          </w:p>
        </w:tc>
      </w:tr>
      <w:tr w:rsidR="00025499" w:rsidTr="00FC7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3891"/>
        </w:trPr>
        <w:tc>
          <w:tcPr>
            <w:tcW w:w="9855" w:type="dxa"/>
            <w:gridSpan w:val="3"/>
          </w:tcPr>
          <w:p w:rsidR="002932FB" w:rsidRPr="00AC2BEA" w:rsidRDefault="002932FB" w:rsidP="00FC724B">
            <w:pPr>
              <w:pStyle w:val="AnnexNoTitle"/>
              <w:spacing w:before="120"/>
            </w:pPr>
            <w:r w:rsidRPr="00AC2BEA">
              <w:lastRenderedPageBreak/>
              <w:t>Anexo 2</w:t>
            </w:r>
          </w:p>
          <w:p w:rsidR="002932FB" w:rsidRPr="00AC2BEA" w:rsidRDefault="002932FB" w:rsidP="002932FB">
            <w:pPr>
              <w:pStyle w:val="AnnexNo"/>
              <w:spacing w:before="120"/>
              <w:rPr>
                <w:lang w:val="es-ES_tradnl"/>
              </w:rPr>
            </w:pPr>
            <w:bookmarkStart w:id="4" w:name="Annex5"/>
            <w:r w:rsidRPr="00AC2BEA">
              <w:rPr>
                <w:lang w:val="es-ES_tradnl"/>
              </w:rPr>
              <w:t>AnexO 5</w:t>
            </w:r>
            <w:bookmarkEnd w:id="4"/>
            <w:r w:rsidRPr="00AC2BEA">
              <w:rPr>
                <w:lang w:val="es-ES_tradnl"/>
              </w:rPr>
              <w:t xml:space="preserve"> a la Resolución 1 (R</w:t>
            </w:r>
            <w:r w:rsidRPr="00AC2BEA">
              <w:rPr>
                <w:caps w:val="0"/>
                <w:lang w:val="es-ES_tradnl"/>
              </w:rPr>
              <w:t>ev</w:t>
            </w:r>
            <w:r w:rsidRPr="00AC2BEA">
              <w:rPr>
                <w:lang w:val="es-ES_tradnl"/>
              </w:rPr>
              <w:t>. D</w:t>
            </w:r>
            <w:r w:rsidRPr="00AC2BEA">
              <w:rPr>
                <w:caps w:val="0"/>
                <w:lang w:val="es-ES_tradnl"/>
              </w:rPr>
              <w:t>ub</w:t>
            </w:r>
            <w:r>
              <w:rPr>
                <w:caps w:val="0"/>
                <w:lang w:val="es-ES_tradnl"/>
              </w:rPr>
              <w:t>á</w:t>
            </w:r>
            <w:r w:rsidRPr="00AC2BEA">
              <w:rPr>
                <w:caps w:val="0"/>
                <w:lang w:val="es-ES_tradnl"/>
              </w:rPr>
              <w:t>i</w:t>
            </w:r>
            <w:r w:rsidRPr="00AC2BEA">
              <w:rPr>
                <w:lang w:val="es-ES_tradnl"/>
              </w:rPr>
              <w:t>, 2014)</w:t>
            </w:r>
          </w:p>
          <w:p w:rsidR="002932FB" w:rsidRPr="008C10EB" w:rsidRDefault="002932FB" w:rsidP="002932FB">
            <w:pPr>
              <w:pStyle w:val="Annextitle"/>
              <w:rPr>
                <w:lang w:val="es-ES_tradnl"/>
              </w:rPr>
            </w:pPr>
            <w:r w:rsidRPr="008C10EB">
              <w:rPr>
                <w:lang w:val="es-ES_tradnl"/>
              </w:rPr>
              <w:t>Tareas del Relator</w:t>
            </w:r>
          </w:p>
          <w:p w:rsidR="002932FB" w:rsidRPr="00103C81" w:rsidRDefault="002932FB" w:rsidP="002932FB">
            <w:pPr>
              <w:jc w:val="left"/>
              <w:rPr>
                <w:lang w:val="es-ES"/>
              </w:rPr>
            </w:pPr>
            <w:r w:rsidRPr="00103C81">
              <w:rPr>
                <w:lang w:val="es-ES"/>
              </w:rPr>
              <w:t>1</w:t>
            </w:r>
            <w:r w:rsidRPr="00103C81">
              <w:rPr>
                <w:lang w:val="es-ES"/>
              </w:rPr>
              <w:tab/>
              <w:t>Establecer un plan de trabajo consultando con el Grupo de Colaboradores. Dicho plan deberá revisarse periódicamente en la Comisión de Estudio y contendrá lo siguiente:</w:t>
            </w:r>
          </w:p>
          <w:p w:rsidR="002932FB" w:rsidRPr="00103C81" w:rsidRDefault="002932FB" w:rsidP="002932FB">
            <w:pPr>
              <w:pStyle w:val="enumlev1"/>
              <w:jc w:val="left"/>
              <w:rPr>
                <w:lang w:val="es-ES"/>
              </w:rPr>
            </w:pPr>
            <w:r w:rsidRPr="00103C81">
              <w:rPr>
                <w:lang w:val="es-ES"/>
              </w:rPr>
              <w:t>–</w:t>
            </w:r>
            <w:r w:rsidRPr="00103C81">
              <w:rPr>
                <w:lang w:val="es-ES"/>
              </w:rPr>
              <w:tab/>
              <w:t>lista de las tareas que deben realizarse;</w:t>
            </w:r>
          </w:p>
          <w:p w:rsidR="002932FB" w:rsidRPr="00103C81" w:rsidRDefault="002932FB" w:rsidP="002932FB">
            <w:pPr>
              <w:pStyle w:val="enumlev1"/>
              <w:jc w:val="left"/>
              <w:rPr>
                <w:lang w:val="es-ES"/>
              </w:rPr>
            </w:pPr>
            <w:r w:rsidRPr="00103C81">
              <w:rPr>
                <w:lang w:val="es-ES"/>
              </w:rPr>
              <w:t>–</w:t>
            </w:r>
            <w:r w:rsidRPr="00103C81">
              <w:rPr>
                <w:lang w:val="es-ES"/>
              </w:rPr>
              <w:tab/>
              <w:t>plazos para la consecución de los objetivos intermedios;</w:t>
            </w:r>
          </w:p>
          <w:p w:rsidR="002932FB" w:rsidRPr="00103C81" w:rsidRDefault="002932FB" w:rsidP="002932FB">
            <w:pPr>
              <w:pStyle w:val="enumlev1"/>
              <w:jc w:val="left"/>
              <w:rPr>
                <w:lang w:val="es-ES"/>
              </w:rPr>
            </w:pPr>
            <w:r w:rsidRPr="00103C81">
              <w:rPr>
                <w:lang w:val="es-ES"/>
              </w:rPr>
              <w:t>–</w:t>
            </w:r>
            <w:r w:rsidRPr="00103C81">
              <w:rPr>
                <w:lang w:val="es-ES"/>
              </w:rPr>
              <w:tab/>
              <w:t>avance de los resultados, incluidos los títulos de los documentos;</w:t>
            </w:r>
          </w:p>
          <w:p w:rsidR="002932FB" w:rsidRPr="00103C81" w:rsidRDefault="002932FB" w:rsidP="002932FB">
            <w:pPr>
              <w:pStyle w:val="enumlev1"/>
              <w:jc w:val="left"/>
              <w:rPr>
                <w:lang w:val="es-ES"/>
              </w:rPr>
            </w:pPr>
            <w:r w:rsidRPr="00103C81">
              <w:rPr>
                <w:lang w:val="es-ES"/>
              </w:rPr>
              <w:t>–</w:t>
            </w:r>
            <w:r w:rsidRPr="00103C81">
              <w:rPr>
                <w:lang w:val="es-ES"/>
              </w:rPr>
              <w:tab/>
              <w:t>coordinación requerida con otros Grupos y calendario para la misma si se conoce;</w:t>
            </w:r>
          </w:p>
          <w:p w:rsidR="002932FB" w:rsidRPr="00103C81" w:rsidRDefault="002932FB" w:rsidP="002932FB">
            <w:pPr>
              <w:pStyle w:val="enumlev1"/>
              <w:jc w:val="left"/>
              <w:rPr>
                <w:lang w:val="es-ES"/>
              </w:rPr>
            </w:pPr>
            <w:r w:rsidRPr="00103C81">
              <w:rPr>
                <w:lang w:val="es-ES"/>
              </w:rPr>
              <w:t>–</w:t>
            </w:r>
            <w:r w:rsidRPr="00103C81">
              <w:rPr>
                <w:lang w:val="es-ES"/>
              </w:rPr>
              <w:tab/>
              <w:t>propuesta de reuniones del Grupo de Relator con sus posibles fechas, indicando si se requieren servicios de interpretación.</w:t>
            </w:r>
          </w:p>
          <w:p w:rsidR="002932FB" w:rsidRPr="00103C81" w:rsidRDefault="002932FB" w:rsidP="002932FB">
            <w:pPr>
              <w:jc w:val="left"/>
              <w:rPr>
                <w:lang w:val="es-ES"/>
              </w:rPr>
            </w:pPr>
            <w:r w:rsidRPr="00103C81">
              <w:rPr>
                <w:bCs/>
                <w:lang w:val="es-ES"/>
              </w:rPr>
              <w:t>2</w:t>
            </w:r>
            <w:r w:rsidRPr="00103C81">
              <w:rPr>
                <w:lang w:val="es-ES"/>
              </w:rPr>
              <w:tab/>
              <w:t>Aprobar los métodos de trabajo adecuados para el Grupo. Utilizar el tratamiento electrónico de documentos (EDH); se encarece la utilización del correo electrónico y del fax para el intercambio de opiniones.</w:t>
            </w:r>
          </w:p>
          <w:p w:rsidR="002932FB" w:rsidRPr="00103C81" w:rsidRDefault="002932FB" w:rsidP="002932FB">
            <w:pPr>
              <w:jc w:val="left"/>
              <w:rPr>
                <w:lang w:val="es-ES"/>
              </w:rPr>
            </w:pPr>
            <w:r w:rsidRPr="00103C81">
              <w:rPr>
                <w:bCs/>
                <w:lang w:val="es-ES"/>
              </w:rPr>
              <w:t>3</w:t>
            </w:r>
            <w:r w:rsidRPr="00103C81">
              <w:rPr>
                <w:lang w:val="es-ES"/>
              </w:rPr>
              <w:tab/>
              <w:t xml:space="preserve">Actuar como Presidente en todas las reuniones del Grupo de Colaboradores. Si es necesario celebrar reuniones especiales de dicho Grupo, convocarlas con el margen de tiempo adecuado. </w:t>
            </w:r>
          </w:p>
          <w:p w:rsidR="002932FB" w:rsidRPr="00103C81" w:rsidRDefault="002932FB" w:rsidP="002932FB">
            <w:pPr>
              <w:jc w:val="left"/>
              <w:rPr>
                <w:lang w:val="es-ES"/>
              </w:rPr>
            </w:pPr>
            <w:r w:rsidRPr="00103C81">
              <w:rPr>
                <w:bCs/>
                <w:lang w:val="es-ES"/>
              </w:rPr>
              <w:t>4</w:t>
            </w:r>
            <w:r w:rsidRPr="00103C81">
              <w:rPr>
                <w:lang w:val="es-ES"/>
              </w:rPr>
              <w:tab/>
              <w:t xml:space="preserve">Delegar parte de la labor en los </w:t>
            </w:r>
            <w:proofErr w:type="spellStart"/>
            <w:r w:rsidRPr="00103C81">
              <w:rPr>
                <w:lang w:val="es-ES"/>
              </w:rPr>
              <w:t>Vicerrelatores</w:t>
            </w:r>
            <w:proofErr w:type="spellEnd"/>
            <w:r w:rsidRPr="00103C81">
              <w:rPr>
                <w:lang w:val="es-ES"/>
              </w:rPr>
              <w:t xml:space="preserve"> u otros colaboradores, en función del volumen de trabajo.</w:t>
            </w:r>
          </w:p>
          <w:p w:rsidR="002932FB" w:rsidRPr="00103C81" w:rsidRDefault="002932FB" w:rsidP="002932FB">
            <w:pPr>
              <w:jc w:val="left"/>
              <w:rPr>
                <w:lang w:val="es-ES"/>
              </w:rPr>
            </w:pPr>
            <w:r w:rsidRPr="00103C81">
              <w:rPr>
                <w:bCs/>
                <w:lang w:val="es-ES"/>
              </w:rPr>
              <w:t>5</w:t>
            </w:r>
            <w:r w:rsidRPr="00103C81">
              <w:rPr>
                <w:lang w:val="es-ES"/>
              </w:rPr>
              <w:tab/>
              <w:t>Mantener regularmente informado al 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Oficina de Desarrollo de las Telecomunicaciones (BDT) adopten las medidas necesarias para que se realice el trabajo sobre la Cuestión, los Informes deben presentarse al menos con dos meses de antelación a la reunión de la Comisión de Estudio.</w:t>
            </w:r>
          </w:p>
          <w:p w:rsidR="002932FB" w:rsidRPr="00103C81" w:rsidRDefault="002932FB" w:rsidP="002932FB">
            <w:pPr>
              <w:jc w:val="left"/>
              <w:rPr>
                <w:lang w:val="es-ES"/>
              </w:rPr>
            </w:pPr>
            <w:r w:rsidRPr="00103C81">
              <w:rPr>
                <w:bCs/>
                <w:lang w:val="es-ES"/>
              </w:rPr>
              <w:t>6</w:t>
            </w:r>
            <w:r w:rsidRPr="00103C81">
              <w:rPr>
                <w:lang w:val="es-ES"/>
              </w:rPr>
              <w:tab/>
              <w:t>Mantener informada a la Comisión de Estudio del avance del trabajo, presentando informes a las reuniones de aquélla. Los Informes deben realizarse en forma de contribuciones normales (cuando se haya avanzado lo suficiente para terminar un proyecto de Recomendación o un Informe) o de documentos temporales.</w:t>
            </w:r>
          </w:p>
          <w:p w:rsidR="002932FB" w:rsidRPr="00103C81" w:rsidRDefault="002932FB" w:rsidP="002932FB">
            <w:pPr>
              <w:jc w:val="left"/>
              <w:rPr>
                <w:lang w:val="es-ES"/>
              </w:rPr>
            </w:pPr>
            <w:r w:rsidRPr="00103C81">
              <w:rPr>
                <w:bCs/>
                <w:lang w:val="es-ES"/>
              </w:rPr>
              <w:t>7</w:t>
            </w:r>
            <w:r w:rsidRPr="00103C81">
              <w:rPr>
                <w:lang w:val="es-ES"/>
              </w:rPr>
              <w:tab/>
              <w:t xml:space="preserve">El Informe de situación mencionado en los § 5 y 6 </w:t>
            </w:r>
            <w:r w:rsidRPr="00103C81">
              <w:rPr>
                <w:i/>
                <w:iCs/>
                <w:lang w:val="es-ES"/>
              </w:rPr>
              <w:t>supra</w:t>
            </w:r>
            <w:r w:rsidRPr="00103C81">
              <w:rPr>
                <w:lang w:val="es-ES"/>
              </w:rPr>
              <w:t xml:space="preserve"> debe, en la medida de lo posible, ajustarse al formato que figura en el § </w:t>
            </w:r>
            <w:r w:rsidRPr="002946E6">
              <w:rPr>
                <w:lang w:val="es-ES"/>
              </w:rPr>
              <w:t>1</w:t>
            </w:r>
            <w:r w:rsidRPr="00534816">
              <w:rPr>
                <w:lang w:val="es-ES"/>
              </w:rPr>
              <w:t>1</w:t>
            </w:r>
            <w:r w:rsidRPr="002946E6">
              <w:rPr>
                <w:lang w:val="es-ES"/>
              </w:rPr>
              <w:t xml:space="preserve">.3 de la Sección </w:t>
            </w:r>
            <w:r w:rsidRPr="00534816">
              <w:rPr>
                <w:lang w:val="es-ES"/>
              </w:rPr>
              <w:t>2</w:t>
            </w:r>
            <w:r w:rsidRPr="002946E6">
              <w:rPr>
                <w:lang w:val="es-ES"/>
              </w:rPr>
              <w:t xml:space="preserve"> de</w:t>
            </w:r>
            <w:r w:rsidRPr="00103C81">
              <w:rPr>
                <w:lang w:val="es-ES"/>
              </w:rPr>
              <w:t xml:space="preserve"> la presente Resolución.</w:t>
            </w:r>
          </w:p>
          <w:p w:rsidR="002932FB" w:rsidRPr="00103C81" w:rsidRDefault="002932FB" w:rsidP="002932FB">
            <w:pPr>
              <w:jc w:val="left"/>
              <w:rPr>
                <w:lang w:val="es-ES"/>
              </w:rPr>
            </w:pPr>
            <w:r w:rsidRPr="00103C81">
              <w:rPr>
                <w:bCs/>
                <w:lang w:val="es-ES"/>
              </w:rPr>
              <w:t>8</w:t>
            </w:r>
            <w:r w:rsidRPr="00103C81">
              <w:rPr>
                <w:lang w:val="es-ES"/>
              </w:rPr>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103C81">
              <w:rPr>
                <w:i/>
                <w:lang w:val="es-ES"/>
              </w:rPr>
              <w:t>Modelo de Declaración de Coordinación</w:t>
            </w:r>
            <w:r w:rsidRPr="00103C81">
              <w:rPr>
                <w:lang w:val="es-ES"/>
              </w:rPr>
              <w:t xml:space="preserve"> descrito en el Anexo 4 a esta Resolución. La Secretaría de la BDT debe proporcionar asistencia para la distribución de las Declaraciones.</w:t>
            </w:r>
          </w:p>
          <w:p w:rsidR="002932FB" w:rsidRPr="00103C81" w:rsidRDefault="002932FB" w:rsidP="002932FB">
            <w:pPr>
              <w:jc w:val="left"/>
              <w:rPr>
                <w:lang w:val="es-ES"/>
              </w:rPr>
            </w:pPr>
            <w:r w:rsidRPr="00103C81">
              <w:rPr>
                <w:bCs/>
                <w:lang w:val="es-ES"/>
              </w:rPr>
              <w:t>9</w:t>
            </w:r>
            <w:r w:rsidRPr="00103C81">
              <w:rPr>
                <w:lang w:val="es-ES"/>
              </w:rPr>
              <w:tab/>
              <w:t>Controlar la calidad de todos los textos, incluido el texto final presentado para aprobación.</w:t>
            </w:r>
          </w:p>
          <w:p w:rsidR="00025499" w:rsidRDefault="002932FB" w:rsidP="002932FB">
            <w:pPr>
              <w:pStyle w:val="BDTSignatureTitle"/>
              <w:spacing w:before="160" w:line="480" w:lineRule="auto"/>
              <w:jc w:val="center"/>
              <w:rPr>
                <w:lang w:val="es-ES_tradnl"/>
              </w:rPr>
            </w:pPr>
            <w:r>
              <w:t>______________</w:t>
            </w:r>
          </w:p>
        </w:tc>
      </w:tr>
    </w:tbl>
    <w:p w:rsidR="000C03C7" w:rsidRPr="00F42C8C" w:rsidRDefault="000C03C7" w:rsidP="003B0C73">
      <w:pPr>
        <w:spacing w:before="0"/>
      </w:pPr>
      <w:bookmarkStart w:id="5" w:name="Signature"/>
      <w:bookmarkEnd w:id="5"/>
    </w:p>
    <w:sectPr w:rsidR="000C03C7" w:rsidRPr="00F42C8C" w:rsidSect="002C2938">
      <w:headerReference w:type="even" r:id="rId8"/>
      <w:headerReference w:type="default" r:id="rId9"/>
      <w:headerReference w:type="first" r:id="rId10"/>
      <w:footerReference w:type="first" r:id="rId11"/>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3E" w:rsidRDefault="0040273E">
      <w:r>
        <w:separator/>
      </w:r>
    </w:p>
  </w:endnote>
  <w:endnote w:type="continuationSeparator" w:id="0">
    <w:p w:rsidR="0040273E" w:rsidRDefault="0040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F42C8C" w:rsidRDefault="00F42C8C" w:rsidP="00F914DD">
    <w:pPr>
      <w:pStyle w:val="FirstFooter"/>
      <w:spacing w:line="240" w:lineRule="auto"/>
      <w:ind w:left="-397" w:right="-397"/>
      <w:jc w:val="center"/>
      <w:rPr>
        <w:sz w:val="18"/>
        <w:szCs w:val="18"/>
      </w:rPr>
    </w:pPr>
    <w:r w:rsidRPr="00F42C8C">
      <w:rPr>
        <w:sz w:val="18"/>
        <w:szCs w:val="18"/>
      </w:rPr>
      <w:t xml:space="preserve">Unión Internacional de Telecomunicaciones • Place des </w:t>
    </w:r>
    <w:proofErr w:type="spellStart"/>
    <w:r w:rsidRPr="00F42C8C">
      <w:rPr>
        <w:sz w:val="18"/>
        <w:szCs w:val="18"/>
      </w:rPr>
      <w:t>Nations</w:t>
    </w:r>
    <w:proofErr w:type="spellEnd"/>
    <w:r w:rsidRPr="00F42C8C">
      <w:rPr>
        <w:sz w:val="18"/>
        <w:szCs w:val="18"/>
      </w:rPr>
      <w:t xml:space="preserve">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sz w:val="18"/>
          <w:szCs w:val="18"/>
        </w:rPr>
        <w:t>itumail@itu.int</w:t>
      </w:r>
    </w:hyperlink>
    <w:r w:rsidRPr="00F42C8C">
      <w:rPr>
        <w:sz w:val="18"/>
        <w:szCs w:val="18"/>
      </w:rPr>
      <w:t xml:space="preserve"> • </w:t>
    </w:r>
    <w:hyperlink r:id="rId2" w:history="1">
      <w:r w:rsidRPr="00F42C8C">
        <w:rPr>
          <w:rStyle w:val="Hyperlink"/>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3E" w:rsidRDefault="0040273E">
      <w:r>
        <w:t>____________________</w:t>
      </w:r>
    </w:p>
  </w:footnote>
  <w:footnote w:type="continuationSeparator" w:id="0">
    <w:p w:rsidR="0040273E" w:rsidRDefault="0040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235A29" w:rsidRDefault="00026CF8" w:rsidP="002C2938">
    <w:pPr>
      <w:pStyle w:val="Header"/>
    </w:pPr>
    <w:r>
      <w:tab/>
    </w:r>
    <w:r>
      <w:tab/>
    </w:r>
    <w:r w:rsidR="002C293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AF3325" w:rsidRDefault="002C2938">
    <w:pPr>
      <w:pStyle w:val="Header"/>
    </w:pPr>
    <w:r>
      <w:ptab w:relativeTo="margin" w:alignment="center" w:leader="none"/>
    </w:r>
    <w:r>
      <w:ptab w:relativeTo="margin" w:alignment="center" w:leader="none"/>
    </w:r>
    <w:r w:rsidR="00200936" w:rsidRPr="002C2938">
      <w:rPr>
        <w:iCs/>
      </w:rPr>
      <w:fldChar w:fldCharType="begin"/>
    </w:r>
    <w:r w:rsidR="00026CF8" w:rsidRPr="002C2938">
      <w:rPr>
        <w:iCs/>
      </w:rPr>
      <w:instrText xml:space="preserve"> PAGE  \* MERGEFORMAT </w:instrText>
    </w:r>
    <w:r w:rsidR="00200936" w:rsidRPr="002C2938">
      <w:rPr>
        <w:iCs/>
      </w:rPr>
      <w:fldChar w:fldCharType="separate"/>
    </w:r>
    <w:r w:rsidR="00DF6193">
      <w:rPr>
        <w:iCs/>
        <w:noProof/>
      </w:rPr>
      <w:t>4</w:t>
    </w:r>
    <w:r w:rsidR="00200936" w:rsidRPr="002C2938">
      <w:rPr>
        <w:i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EA15B3" w:rsidRDefault="00026CF8" w:rsidP="00EA15B3">
    <w:pPr>
      <w:pStyle w:val="Header"/>
      <w:spacing w:line="360" w:lineRule="auto"/>
    </w:pPr>
    <w:r>
      <w:tab/>
    </w:r>
    <w:r>
      <w:tab/>
    </w:r>
    <w:r w:rsidR="003C4471">
      <w:rPr>
        <w:b/>
        <w:bCs/>
        <w:noProof/>
        <w:lang w:val="en-US" w:eastAsia="zh-CN"/>
      </w:rPr>
      <w:drawing>
        <wp:inline distT="0" distB="0" distL="0" distR="0" wp14:anchorId="4D3B80AF" wp14:editId="7EC4937C">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0273E"/>
    <w:rsid w:val="00003338"/>
    <w:rsid w:val="00010E30"/>
    <w:rsid w:val="00025499"/>
    <w:rsid w:val="00026CF8"/>
    <w:rsid w:val="00070258"/>
    <w:rsid w:val="00072B9B"/>
    <w:rsid w:val="00072E16"/>
    <w:rsid w:val="0007323C"/>
    <w:rsid w:val="00086D03"/>
    <w:rsid w:val="000A7051"/>
    <w:rsid w:val="000C03C7"/>
    <w:rsid w:val="000D786F"/>
    <w:rsid w:val="000E3DEE"/>
    <w:rsid w:val="00103C76"/>
    <w:rsid w:val="0011265F"/>
    <w:rsid w:val="00122157"/>
    <w:rsid w:val="0016308F"/>
    <w:rsid w:val="0018340F"/>
    <w:rsid w:val="00196710"/>
    <w:rsid w:val="00197324"/>
    <w:rsid w:val="001A7DEF"/>
    <w:rsid w:val="001B1CE8"/>
    <w:rsid w:val="001D7070"/>
    <w:rsid w:val="001F5A49"/>
    <w:rsid w:val="00200936"/>
    <w:rsid w:val="00201097"/>
    <w:rsid w:val="00201B6E"/>
    <w:rsid w:val="002240B2"/>
    <w:rsid w:val="00235A29"/>
    <w:rsid w:val="002861E6"/>
    <w:rsid w:val="002932FB"/>
    <w:rsid w:val="002A2700"/>
    <w:rsid w:val="002C2938"/>
    <w:rsid w:val="002D6688"/>
    <w:rsid w:val="002F0890"/>
    <w:rsid w:val="003370B8"/>
    <w:rsid w:val="003666FF"/>
    <w:rsid w:val="003741EE"/>
    <w:rsid w:val="00392CC7"/>
    <w:rsid w:val="003B0C73"/>
    <w:rsid w:val="003B2BDA"/>
    <w:rsid w:val="003B55EC"/>
    <w:rsid w:val="003C4471"/>
    <w:rsid w:val="003E504F"/>
    <w:rsid w:val="0040251A"/>
    <w:rsid w:val="0040273E"/>
    <w:rsid w:val="004326DB"/>
    <w:rsid w:val="0043682E"/>
    <w:rsid w:val="004815EB"/>
    <w:rsid w:val="0049575C"/>
    <w:rsid w:val="00496920"/>
    <w:rsid w:val="004B7C9A"/>
    <w:rsid w:val="004E0DC4"/>
    <w:rsid w:val="004E0FB5"/>
    <w:rsid w:val="004E43BB"/>
    <w:rsid w:val="004F178E"/>
    <w:rsid w:val="00505309"/>
    <w:rsid w:val="0050789B"/>
    <w:rsid w:val="00515771"/>
    <w:rsid w:val="005241BB"/>
    <w:rsid w:val="00542A47"/>
    <w:rsid w:val="00543DF8"/>
    <w:rsid w:val="00546101"/>
    <w:rsid w:val="00553DD7"/>
    <w:rsid w:val="0057469A"/>
    <w:rsid w:val="00580814"/>
    <w:rsid w:val="005A03A3"/>
    <w:rsid w:val="005B214C"/>
    <w:rsid w:val="005F6942"/>
    <w:rsid w:val="00602D53"/>
    <w:rsid w:val="00651777"/>
    <w:rsid w:val="00685527"/>
    <w:rsid w:val="006B0590"/>
    <w:rsid w:val="006B49DA"/>
    <w:rsid w:val="006D7134"/>
    <w:rsid w:val="00707216"/>
    <w:rsid w:val="007234B1"/>
    <w:rsid w:val="00730B9A"/>
    <w:rsid w:val="007921A7"/>
    <w:rsid w:val="007A5C27"/>
    <w:rsid w:val="007B3DB1"/>
    <w:rsid w:val="007D183E"/>
    <w:rsid w:val="007E3F13"/>
    <w:rsid w:val="00800012"/>
    <w:rsid w:val="0081513E"/>
    <w:rsid w:val="00823210"/>
    <w:rsid w:val="00843445"/>
    <w:rsid w:val="00844E58"/>
    <w:rsid w:val="00847D46"/>
    <w:rsid w:val="00854131"/>
    <w:rsid w:val="0085652D"/>
    <w:rsid w:val="0087694B"/>
    <w:rsid w:val="008C10EB"/>
    <w:rsid w:val="008F4F21"/>
    <w:rsid w:val="00904D4A"/>
    <w:rsid w:val="009151BA"/>
    <w:rsid w:val="009277BC"/>
    <w:rsid w:val="00927D57"/>
    <w:rsid w:val="00941D23"/>
    <w:rsid w:val="0095010C"/>
    <w:rsid w:val="00963D9D"/>
    <w:rsid w:val="009655C6"/>
    <w:rsid w:val="00981B54"/>
    <w:rsid w:val="009842C3"/>
    <w:rsid w:val="009A6BB6"/>
    <w:rsid w:val="009C161F"/>
    <w:rsid w:val="009E4AEC"/>
    <w:rsid w:val="009E5BD8"/>
    <w:rsid w:val="009E681E"/>
    <w:rsid w:val="00A34D6F"/>
    <w:rsid w:val="00A41F91"/>
    <w:rsid w:val="00A839BE"/>
    <w:rsid w:val="00A963DF"/>
    <w:rsid w:val="00AB1306"/>
    <w:rsid w:val="00AC3896"/>
    <w:rsid w:val="00AE6CFA"/>
    <w:rsid w:val="00AF3325"/>
    <w:rsid w:val="00B34CF9"/>
    <w:rsid w:val="00B67004"/>
    <w:rsid w:val="00B90C45"/>
    <w:rsid w:val="00B933BE"/>
    <w:rsid w:val="00BB4069"/>
    <w:rsid w:val="00BD7E5E"/>
    <w:rsid w:val="00BE6574"/>
    <w:rsid w:val="00C16F75"/>
    <w:rsid w:val="00C57E2C"/>
    <w:rsid w:val="00C608B7"/>
    <w:rsid w:val="00C66F24"/>
    <w:rsid w:val="00C8546D"/>
    <w:rsid w:val="00C9291E"/>
    <w:rsid w:val="00CA3F44"/>
    <w:rsid w:val="00CA4E58"/>
    <w:rsid w:val="00CB3771"/>
    <w:rsid w:val="00CB5153"/>
    <w:rsid w:val="00CC0DA0"/>
    <w:rsid w:val="00CF6752"/>
    <w:rsid w:val="00D10BA0"/>
    <w:rsid w:val="00D24EB5"/>
    <w:rsid w:val="00D41571"/>
    <w:rsid w:val="00D416A0"/>
    <w:rsid w:val="00D47672"/>
    <w:rsid w:val="00D5123C"/>
    <w:rsid w:val="00D51C9E"/>
    <w:rsid w:val="00D55560"/>
    <w:rsid w:val="00D61C5A"/>
    <w:rsid w:val="00D9350F"/>
    <w:rsid w:val="00DE66A5"/>
    <w:rsid w:val="00DF2B50"/>
    <w:rsid w:val="00DF6193"/>
    <w:rsid w:val="00DF76E9"/>
    <w:rsid w:val="00E003F5"/>
    <w:rsid w:val="00E04C86"/>
    <w:rsid w:val="00E20F30"/>
    <w:rsid w:val="00E27BBA"/>
    <w:rsid w:val="00E34CD1"/>
    <w:rsid w:val="00E35E8F"/>
    <w:rsid w:val="00E438E8"/>
    <w:rsid w:val="00E520E2"/>
    <w:rsid w:val="00E64254"/>
    <w:rsid w:val="00E935F7"/>
    <w:rsid w:val="00EA15B3"/>
    <w:rsid w:val="00EB2358"/>
    <w:rsid w:val="00EB3EB8"/>
    <w:rsid w:val="00EF1D3A"/>
    <w:rsid w:val="00F42C8C"/>
    <w:rsid w:val="00F468C5"/>
    <w:rsid w:val="00F52F39"/>
    <w:rsid w:val="00F55EAB"/>
    <w:rsid w:val="00F70216"/>
    <w:rsid w:val="00F914DD"/>
    <w:rsid w:val="00FA2358"/>
    <w:rsid w:val="00FB2592"/>
    <w:rsid w:val="00FB2810"/>
    <w:rsid w:val="00FC2947"/>
    <w:rsid w:val="00FC724B"/>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basedOn w:val="Normal"/>
    <w:uiPriority w:val="99"/>
    <w:rsid w:val="0040273E"/>
    <w:pPr>
      <w:spacing w:before="120" w:after="40" w:line="240" w:lineRule="auto"/>
      <w:jc w:val="left"/>
    </w:pPr>
    <w:rPr>
      <w:rFonts w:eastAsia="SimSun" w:cs="Traditional Arabic"/>
      <w:szCs w:val="30"/>
      <w:lang w:val="en-GB"/>
    </w:rPr>
  </w:style>
  <w:style w:type="paragraph" w:customStyle="1" w:styleId="BDTSubjectdetail">
    <w:name w:val="BDT_Subject_detail"/>
    <w:basedOn w:val="BDTSubject"/>
    <w:uiPriority w:val="99"/>
    <w:rsid w:val="0040273E"/>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Normal"/>
    <w:next w:val="Normal"/>
    <w:uiPriority w:val="99"/>
    <w:rsid w:val="0040273E"/>
    <w:pPr>
      <w:tabs>
        <w:tab w:val="clear" w:pos="794"/>
        <w:tab w:val="clear" w:pos="1191"/>
        <w:tab w:val="clear" w:pos="1588"/>
        <w:tab w:val="clear" w:pos="1985"/>
      </w:tabs>
      <w:overflowPunct/>
      <w:autoSpaceDE/>
      <w:autoSpaceDN/>
      <w:adjustRightInd/>
      <w:spacing w:before="120" w:after="80" w:line="240" w:lineRule="auto"/>
      <w:jc w:val="left"/>
      <w:textAlignment w:val="auto"/>
    </w:pPr>
    <w:rPr>
      <w:rFonts w:eastAsia="SimSun" w:cs="Traditional Arabic"/>
      <w:szCs w:val="30"/>
      <w:lang w:val="en-GB"/>
    </w:rPr>
  </w:style>
  <w:style w:type="paragraph" w:customStyle="1" w:styleId="BDTSignatureName">
    <w:name w:val="BDT_SignatureName"/>
    <w:next w:val="BDTSignatureTitle"/>
    <w:uiPriority w:val="99"/>
    <w:rsid w:val="0040273E"/>
    <w:pPr>
      <w:spacing w:before="360"/>
    </w:pPr>
    <w:rPr>
      <w:rFonts w:eastAsia="SimHei" w:cs="Simplified Arabic"/>
      <w:bCs/>
      <w:sz w:val="22"/>
      <w:szCs w:val="19"/>
      <w:lang w:val="en-GB" w:eastAsia="en-US"/>
    </w:rPr>
  </w:style>
  <w:style w:type="paragraph" w:customStyle="1" w:styleId="BDTSignatureTitle">
    <w:name w:val="BDT_SignatureTitle"/>
    <w:next w:val="Normal"/>
    <w:uiPriority w:val="99"/>
    <w:rsid w:val="0040273E"/>
    <w:rPr>
      <w:rFonts w:eastAsia="SimSun" w:cs="Traditional Arabic"/>
      <w:sz w:val="22"/>
      <w:szCs w:val="30"/>
      <w:lang w:val="es-ES" w:eastAsia="en-US"/>
    </w:rPr>
  </w:style>
  <w:style w:type="paragraph" w:customStyle="1" w:styleId="BDTClosing">
    <w:name w:val="BDT_Closing"/>
    <w:basedOn w:val="Normal"/>
    <w:next w:val="BDTSignatureName"/>
    <w:link w:val="BDTClosingChar"/>
    <w:uiPriority w:val="99"/>
    <w:rsid w:val="0040273E"/>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noProof/>
      <w:lang w:val="en-US" w:eastAsia="zh-CN"/>
    </w:rPr>
  </w:style>
  <w:style w:type="character" w:customStyle="1" w:styleId="BDTClosingChar">
    <w:name w:val="BDT_Closing Char"/>
    <w:basedOn w:val="DefaultParagraphFont"/>
    <w:link w:val="BDTClosing"/>
    <w:uiPriority w:val="99"/>
    <w:locked/>
    <w:rsid w:val="0040273E"/>
    <w:rPr>
      <w:rFonts w:eastAsia="SimSun" w:cs="Times New Roman"/>
      <w:noProof/>
      <w:sz w:val="22"/>
      <w:szCs w:val="22"/>
      <w:lang w:val="en-US"/>
    </w:rPr>
  </w:style>
  <w:style w:type="paragraph" w:customStyle="1" w:styleId="CEONormal">
    <w:name w:val="CEO_Normal"/>
    <w:link w:val="CEONormalChar"/>
    <w:uiPriority w:val="99"/>
    <w:rsid w:val="0040273E"/>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40273E"/>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40273E"/>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0273E"/>
    <w:rPr>
      <w:rFonts w:ascii="Verdana" w:eastAsia="SimSun" w:hAnsi="Verdana" w:cs="Times New Roman Bold"/>
      <w:b/>
      <w:bCs/>
      <w:sz w:val="19"/>
      <w:lang w:val="en-GB" w:eastAsia="en-US"/>
    </w:rPr>
  </w:style>
  <w:style w:type="table" w:styleId="TableGrid">
    <w:name w:val="Table Grid"/>
    <w:basedOn w:val="TableNormal"/>
    <w:uiPriority w:val="59"/>
    <w:rsid w:val="0040273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40273E"/>
    <w:rPr>
      <w:sz w:val="22"/>
      <w:szCs w:val="22"/>
      <w:lang w:val="es-ES_tradnl" w:eastAsia="en-US"/>
    </w:rPr>
  </w:style>
  <w:style w:type="character" w:styleId="FollowedHyperlink">
    <w:name w:val="FollowedHyperlink"/>
    <w:basedOn w:val="DefaultParagraphFont"/>
    <w:rsid w:val="002C2938"/>
    <w:rPr>
      <w:color w:val="800080" w:themeColor="followedHyperlink"/>
      <w:u w:val="single"/>
    </w:rPr>
  </w:style>
  <w:style w:type="paragraph" w:customStyle="1" w:styleId="AnnexNo">
    <w:name w:val="Annex_No"/>
    <w:basedOn w:val="Normal"/>
    <w:next w:val="Normal"/>
    <w:rsid w:val="008C10EB"/>
    <w:pPr>
      <w:keepNext/>
      <w:keepLines/>
      <w:spacing w:before="480" w:after="8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8C10EB"/>
    <w:pPr>
      <w:keepNext/>
      <w:keepLines/>
      <w:spacing w:before="240" w:after="280" w:line="240" w:lineRule="auto"/>
      <w:jc w:val="center"/>
    </w:pPr>
    <w:rPr>
      <w:rFonts w:asciiTheme="minorHAnsi" w:hAnsiTheme="minorHAnsi" w:cs="Times New Roman"/>
      <w:b/>
      <w:sz w:val="28"/>
      <w:szCs w:val="20"/>
      <w:lang w:val="en-GB"/>
    </w:rPr>
  </w:style>
  <w:style w:type="paragraph" w:customStyle="1" w:styleId="Reasons">
    <w:name w:val="Reasons"/>
    <w:basedOn w:val="Normal"/>
    <w:qFormat/>
    <w:rsid w:val="008C10E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basedOn w:val="Normal"/>
    <w:uiPriority w:val="99"/>
    <w:rsid w:val="0040273E"/>
    <w:pPr>
      <w:spacing w:before="120" w:after="40" w:line="240" w:lineRule="auto"/>
      <w:jc w:val="left"/>
    </w:pPr>
    <w:rPr>
      <w:rFonts w:eastAsia="SimSun" w:cs="Traditional Arabic"/>
      <w:szCs w:val="30"/>
      <w:lang w:val="en-GB"/>
    </w:rPr>
  </w:style>
  <w:style w:type="paragraph" w:customStyle="1" w:styleId="BDTSubjectdetail">
    <w:name w:val="BDT_Subject_detail"/>
    <w:basedOn w:val="BDTSubject"/>
    <w:uiPriority w:val="99"/>
    <w:rsid w:val="0040273E"/>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Normal"/>
    <w:next w:val="Normal"/>
    <w:uiPriority w:val="99"/>
    <w:rsid w:val="0040273E"/>
    <w:pPr>
      <w:tabs>
        <w:tab w:val="clear" w:pos="794"/>
        <w:tab w:val="clear" w:pos="1191"/>
        <w:tab w:val="clear" w:pos="1588"/>
        <w:tab w:val="clear" w:pos="1985"/>
      </w:tabs>
      <w:overflowPunct/>
      <w:autoSpaceDE/>
      <w:autoSpaceDN/>
      <w:adjustRightInd/>
      <w:spacing w:before="120" w:after="80" w:line="240" w:lineRule="auto"/>
      <w:jc w:val="left"/>
      <w:textAlignment w:val="auto"/>
    </w:pPr>
    <w:rPr>
      <w:rFonts w:eastAsia="SimSun" w:cs="Traditional Arabic"/>
      <w:szCs w:val="30"/>
      <w:lang w:val="en-GB"/>
    </w:rPr>
  </w:style>
  <w:style w:type="paragraph" w:customStyle="1" w:styleId="BDTSignatureName">
    <w:name w:val="BDT_SignatureName"/>
    <w:next w:val="BDTSignatureTitle"/>
    <w:uiPriority w:val="99"/>
    <w:rsid w:val="0040273E"/>
    <w:pPr>
      <w:spacing w:before="360"/>
    </w:pPr>
    <w:rPr>
      <w:rFonts w:eastAsia="SimHei" w:cs="Simplified Arabic"/>
      <w:bCs/>
      <w:sz w:val="22"/>
      <w:szCs w:val="19"/>
      <w:lang w:val="en-GB" w:eastAsia="en-US"/>
    </w:rPr>
  </w:style>
  <w:style w:type="paragraph" w:customStyle="1" w:styleId="BDTSignatureTitle">
    <w:name w:val="BDT_SignatureTitle"/>
    <w:next w:val="Normal"/>
    <w:uiPriority w:val="99"/>
    <w:rsid w:val="0040273E"/>
    <w:rPr>
      <w:rFonts w:eastAsia="SimSun" w:cs="Traditional Arabic"/>
      <w:sz w:val="22"/>
      <w:szCs w:val="30"/>
      <w:lang w:val="es-ES" w:eastAsia="en-US"/>
    </w:rPr>
  </w:style>
  <w:style w:type="paragraph" w:customStyle="1" w:styleId="BDTClosing">
    <w:name w:val="BDT_Closing"/>
    <w:basedOn w:val="Normal"/>
    <w:next w:val="BDTSignatureName"/>
    <w:link w:val="BDTClosingChar"/>
    <w:uiPriority w:val="99"/>
    <w:rsid w:val="0040273E"/>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noProof/>
      <w:lang w:val="en-US" w:eastAsia="zh-CN"/>
    </w:rPr>
  </w:style>
  <w:style w:type="character" w:customStyle="1" w:styleId="BDTClosingChar">
    <w:name w:val="BDT_Closing Char"/>
    <w:basedOn w:val="DefaultParagraphFont"/>
    <w:link w:val="BDTClosing"/>
    <w:uiPriority w:val="99"/>
    <w:locked/>
    <w:rsid w:val="0040273E"/>
    <w:rPr>
      <w:rFonts w:eastAsia="SimSun" w:cs="Times New Roman"/>
      <w:noProof/>
      <w:sz w:val="22"/>
      <w:szCs w:val="22"/>
      <w:lang w:val="en-US"/>
    </w:rPr>
  </w:style>
  <w:style w:type="paragraph" w:customStyle="1" w:styleId="CEONormal">
    <w:name w:val="CEO_Normal"/>
    <w:link w:val="CEONormalChar"/>
    <w:uiPriority w:val="99"/>
    <w:rsid w:val="0040273E"/>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40273E"/>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40273E"/>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0273E"/>
    <w:rPr>
      <w:rFonts w:ascii="Verdana" w:eastAsia="SimSun" w:hAnsi="Verdana" w:cs="Times New Roman Bold"/>
      <w:b/>
      <w:bCs/>
      <w:sz w:val="19"/>
      <w:lang w:val="en-GB" w:eastAsia="en-US"/>
    </w:rPr>
  </w:style>
  <w:style w:type="table" w:styleId="TableGrid">
    <w:name w:val="Table Grid"/>
    <w:basedOn w:val="TableNormal"/>
    <w:uiPriority w:val="59"/>
    <w:rsid w:val="0040273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40273E"/>
    <w:rPr>
      <w:sz w:val="22"/>
      <w:szCs w:val="22"/>
      <w:lang w:val="es-ES_tradnl" w:eastAsia="en-US"/>
    </w:rPr>
  </w:style>
  <w:style w:type="character" w:styleId="FollowedHyperlink">
    <w:name w:val="FollowedHyperlink"/>
    <w:basedOn w:val="DefaultParagraphFont"/>
    <w:rsid w:val="002C2938"/>
    <w:rPr>
      <w:color w:val="800080" w:themeColor="followedHyperlink"/>
      <w:u w:val="single"/>
    </w:rPr>
  </w:style>
  <w:style w:type="paragraph" w:customStyle="1" w:styleId="AnnexNo">
    <w:name w:val="Annex_No"/>
    <w:basedOn w:val="Normal"/>
    <w:next w:val="Normal"/>
    <w:rsid w:val="008C10EB"/>
    <w:pPr>
      <w:keepNext/>
      <w:keepLines/>
      <w:spacing w:before="480" w:after="8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8C10EB"/>
    <w:pPr>
      <w:keepNext/>
      <w:keepLines/>
      <w:spacing w:before="240" w:after="280" w:line="240" w:lineRule="auto"/>
      <w:jc w:val="center"/>
    </w:pPr>
    <w:rPr>
      <w:rFonts w:asciiTheme="minorHAnsi" w:hAnsiTheme="minorHAnsi" w:cs="Times New Roman"/>
      <w:b/>
      <w:sz w:val="28"/>
      <w:szCs w:val="20"/>
      <w:lang w:val="en-GB"/>
    </w:rPr>
  </w:style>
  <w:style w:type="paragraph" w:customStyle="1" w:styleId="Reasons">
    <w:name w:val="Reasons"/>
    <w:basedOn w:val="Normal"/>
    <w:qFormat/>
    <w:rsid w:val="008C10E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ITU\Letter-Fax-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1BBF59BF84423A8870DA0C7E6CAEC"/>
        <w:category>
          <w:name w:val="General"/>
          <w:gallery w:val="placeholder"/>
        </w:category>
        <w:types>
          <w:type w:val="bbPlcHdr"/>
        </w:types>
        <w:behaviors>
          <w:behavior w:val="content"/>
        </w:behaviors>
        <w:guid w:val="{37D3D927-1914-4684-BC88-B0B5A55B2639}"/>
      </w:docPartPr>
      <w:docPartBody>
        <w:p w:rsidR="00B4200C" w:rsidRDefault="002B1532">
          <w:pPr>
            <w:pStyle w:val="A521BBF59BF84423A8870DA0C7E6CAE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32"/>
    <w:rsid w:val="002B1532"/>
    <w:rsid w:val="00B42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532"/>
    <w:rPr>
      <w:color w:val="808080"/>
    </w:rPr>
  </w:style>
  <w:style w:type="paragraph" w:customStyle="1" w:styleId="A521BBF59BF84423A8870DA0C7E6CAEC">
    <w:name w:val="A521BBF59BF84423A8870DA0C7E6CAEC"/>
  </w:style>
  <w:style w:type="paragraph" w:customStyle="1" w:styleId="099BFE801EAB4D10BE6A232F43A7F26A">
    <w:name w:val="099BFE801EAB4D10BE6A232F43A7F26A"/>
    <w:rsid w:val="002B1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532"/>
    <w:rPr>
      <w:color w:val="808080"/>
    </w:rPr>
  </w:style>
  <w:style w:type="paragraph" w:customStyle="1" w:styleId="A521BBF59BF84423A8870DA0C7E6CAEC">
    <w:name w:val="A521BBF59BF84423A8870DA0C7E6CAEC"/>
  </w:style>
  <w:style w:type="paragraph" w:customStyle="1" w:styleId="099BFE801EAB4D10BE6A232F43A7F26A">
    <w:name w:val="099BFE801EAB4D10BE6A232F43A7F26A"/>
    <w:rsid w:val="002B1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Letter-Fax-S.dotm</Template>
  <TotalTime>50</TotalTime>
  <Pages>4</Pages>
  <Words>1608</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International Telecommunication Union (ITU)</Company>
  <LinksUpToDate>false</LinksUpToDate>
  <CharactersWithSpaces>10723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creator>BDT</dc:creator>
  <cp:lastModifiedBy>Stoudmann C.</cp:lastModifiedBy>
  <cp:revision>2</cp:revision>
  <cp:lastPrinted>2014-04-28T09:47:00Z</cp:lastPrinted>
  <dcterms:created xsi:type="dcterms:W3CDTF">2014-04-28T09:07:00Z</dcterms:created>
  <dcterms:modified xsi:type="dcterms:W3CDTF">2014-04-30T09:01:00Z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