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36" w:type="dxa"/>
        <w:jc w:val="center"/>
        <w:tblLayout w:type="fixed"/>
        <w:tblLook w:val="0000" w:firstRow="0" w:lastRow="0" w:firstColumn="0" w:lastColumn="0" w:noHBand="0" w:noVBand="0"/>
      </w:tblPr>
      <w:tblGrid>
        <w:gridCol w:w="6663"/>
        <w:gridCol w:w="3373"/>
      </w:tblGrid>
      <w:tr w:rsidR="000A39FD" w:rsidRPr="007078A2" w:rsidTr="00FF14BC">
        <w:trPr>
          <w:cantSplit/>
          <w:jc w:val="center"/>
        </w:trPr>
        <w:tc>
          <w:tcPr>
            <w:tcW w:w="6663" w:type="dxa"/>
          </w:tcPr>
          <w:p w:rsidR="000A39FD" w:rsidRPr="007078A2" w:rsidRDefault="000A39FD" w:rsidP="00326AA6">
            <w:pPr>
              <w:adjustRightInd/>
              <w:spacing w:before="0" w:after="60"/>
              <w:rPr>
                <w:b/>
                <w:bCs/>
                <w:sz w:val="28"/>
                <w:szCs w:val="28"/>
                <w:lang w:val="es-ES_tradnl"/>
              </w:rPr>
            </w:pPr>
            <w:bookmarkStart w:id="0" w:name="Meeting"/>
            <w:bookmarkEnd w:id="0"/>
            <w:r w:rsidRPr="007078A2">
              <w:rPr>
                <w:b/>
                <w:bCs/>
                <w:sz w:val="28"/>
                <w:szCs w:val="28"/>
                <w:lang w:val="es-ES_tradnl"/>
              </w:rPr>
              <w:t xml:space="preserve">Reunión Preparatoria Regional de la CMDT-17 </w:t>
            </w:r>
            <w:r w:rsidRPr="007078A2">
              <w:rPr>
                <w:b/>
                <w:bCs/>
                <w:sz w:val="28"/>
                <w:szCs w:val="28"/>
                <w:lang w:val="es-ES_tradnl"/>
              </w:rPr>
              <w:br/>
              <w:t>para las Américas (RP</w:t>
            </w:r>
            <w:r w:rsidR="00326AA6" w:rsidRPr="007078A2">
              <w:rPr>
                <w:b/>
                <w:bCs/>
                <w:sz w:val="28"/>
                <w:szCs w:val="28"/>
                <w:lang w:val="es-ES_tradnl"/>
              </w:rPr>
              <w:t>M</w:t>
            </w:r>
            <w:r w:rsidRPr="007078A2">
              <w:rPr>
                <w:b/>
                <w:bCs/>
                <w:sz w:val="28"/>
                <w:szCs w:val="28"/>
                <w:lang w:val="es-ES_tradnl"/>
              </w:rPr>
              <w:t>-AMS)</w:t>
            </w:r>
          </w:p>
        </w:tc>
        <w:tc>
          <w:tcPr>
            <w:tcW w:w="3373" w:type="dxa"/>
          </w:tcPr>
          <w:p w:rsidR="000A39FD" w:rsidRPr="007078A2" w:rsidRDefault="000A39FD" w:rsidP="00FF14BC">
            <w:pPr>
              <w:spacing w:before="0"/>
              <w:ind w:right="142"/>
              <w:jc w:val="right"/>
              <w:rPr>
                <w:lang w:val="es-ES_tradnl"/>
              </w:rPr>
            </w:pPr>
            <w:r w:rsidRPr="007078A2">
              <w:rPr>
                <w:noProof/>
                <w:lang w:eastAsia="zh-CN"/>
              </w:rPr>
              <w:drawing>
                <wp:inline distT="0" distB="0" distL="0" distR="0" wp14:anchorId="15332087" wp14:editId="657394BC">
                  <wp:extent cx="714375" cy="790575"/>
                  <wp:effectExtent l="0" t="0" r="9525" b="9525"/>
                  <wp:docPr id="1" name="Picture 1" descr="P:\SUP\Logos\Post-150th Anniv\ITU-logo-UN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P\Logos\Post-150th Anniv\ITU-logo-UNblu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714375" cy="790575"/>
                          </a:xfrm>
                          <a:prstGeom prst="rect">
                            <a:avLst/>
                          </a:prstGeom>
                          <a:noFill/>
                          <a:ln>
                            <a:noFill/>
                          </a:ln>
                        </pic:spPr>
                      </pic:pic>
                    </a:graphicData>
                  </a:graphic>
                </wp:inline>
              </w:drawing>
            </w:r>
          </w:p>
        </w:tc>
      </w:tr>
      <w:tr w:rsidR="000A39FD" w:rsidRPr="00A32FCB" w:rsidTr="00FF14BC">
        <w:trPr>
          <w:cantSplit/>
          <w:trHeight w:val="300"/>
          <w:jc w:val="center"/>
        </w:trPr>
        <w:tc>
          <w:tcPr>
            <w:tcW w:w="10036" w:type="dxa"/>
            <w:gridSpan w:val="2"/>
            <w:tcBorders>
              <w:bottom w:val="single" w:sz="12" w:space="0" w:color="auto"/>
            </w:tcBorders>
          </w:tcPr>
          <w:p w:rsidR="000A39FD" w:rsidRPr="007078A2" w:rsidRDefault="000A39FD" w:rsidP="00FF14BC">
            <w:pPr>
              <w:adjustRightInd/>
              <w:spacing w:before="0" w:after="60"/>
              <w:rPr>
                <w:b/>
                <w:bCs/>
                <w:sz w:val="26"/>
                <w:szCs w:val="26"/>
                <w:lang w:val="es-ES_tradnl"/>
              </w:rPr>
            </w:pPr>
            <w:r w:rsidRPr="007078A2">
              <w:rPr>
                <w:b/>
                <w:bCs/>
                <w:sz w:val="26"/>
                <w:szCs w:val="26"/>
                <w:lang w:val="es-ES_tradnl"/>
              </w:rPr>
              <w:t>Asunción, Paraguay, 22-24 de febrero de 2017</w:t>
            </w:r>
          </w:p>
        </w:tc>
      </w:tr>
      <w:tr w:rsidR="000A39FD" w:rsidRPr="00A32FCB" w:rsidTr="00FF14BC">
        <w:trPr>
          <w:cantSplit/>
          <w:trHeight w:val="238"/>
          <w:jc w:val="center"/>
        </w:trPr>
        <w:tc>
          <w:tcPr>
            <w:tcW w:w="6663" w:type="dxa"/>
            <w:tcBorders>
              <w:top w:val="single" w:sz="12" w:space="0" w:color="auto"/>
            </w:tcBorders>
          </w:tcPr>
          <w:p w:rsidR="000A39FD" w:rsidRPr="007078A2" w:rsidRDefault="000A39FD" w:rsidP="00FF14BC">
            <w:pPr>
              <w:spacing w:before="0"/>
              <w:rPr>
                <w:lang w:val="es-ES_tradnl"/>
              </w:rPr>
            </w:pPr>
          </w:p>
        </w:tc>
        <w:tc>
          <w:tcPr>
            <w:tcW w:w="3373" w:type="dxa"/>
            <w:tcBorders>
              <w:top w:val="single" w:sz="12" w:space="0" w:color="auto"/>
            </w:tcBorders>
          </w:tcPr>
          <w:p w:rsidR="000A39FD" w:rsidRPr="007078A2" w:rsidRDefault="000A39FD" w:rsidP="00FF14BC">
            <w:pPr>
              <w:spacing w:before="0"/>
              <w:rPr>
                <w:lang w:val="es-ES_tradnl"/>
              </w:rPr>
            </w:pPr>
          </w:p>
        </w:tc>
      </w:tr>
      <w:tr w:rsidR="000A39FD" w:rsidRPr="007078A2" w:rsidTr="00FF14BC">
        <w:trPr>
          <w:cantSplit/>
          <w:trHeight w:val="20"/>
          <w:jc w:val="center"/>
        </w:trPr>
        <w:tc>
          <w:tcPr>
            <w:tcW w:w="6663" w:type="dxa"/>
            <w:vMerge w:val="restart"/>
          </w:tcPr>
          <w:p w:rsidR="000A39FD" w:rsidRPr="007078A2" w:rsidRDefault="000A39FD" w:rsidP="00FF14BC">
            <w:pPr>
              <w:rPr>
                <w:lang w:val="es-ES_tradnl"/>
              </w:rPr>
            </w:pPr>
          </w:p>
        </w:tc>
        <w:tc>
          <w:tcPr>
            <w:tcW w:w="3373" w:type="dxa"/>
          </w:tcPr>
          <w:p w:rsidR="000A39FD" w:rsidRPr="007078A2" w:rsidRDefault="000A39FD" w:rsidP="00FF14BC">
            <w:pPr>
              <w:spacing w:before="0"/>
              <w:rPr>
                <w:b/>
                <w:bCs/>
                <w:szCs w:val="24"/>
                <w:lang w:val="es-ES_tradnl"/>
              </w:rPr>
            </w:pPr>
            <w:r w:rsidRPr="007078A2">
              <w:rPr>
                <w:b/>
                <w:bCs/>
                <w:szCs w:val="24"/>
                <w:lang w:val="es-ES_tradnl"/>
              </w:rPr>
              <w:t xml:space="preserve">Documento </w:t>
            </w:r>
            <w:bookmarkStart w:id="1" w:name="DocRef1"/>
            <w:bookmarkEnd w:id="1"/>
            <w:r w:rsidRPr="007078A2">
              <w:rPr>
                <w:b/>
                <w:bCs/>
                <w:szCs w:val="24"/>
                <w:lang w:val="es-ES_tradnl"/>
              </w:rPr>
              <w:t>RPM-AMS17/</w:t>
            </w:r>
            <w:bookmarkStart w:id="2" w:name="DocNo1"/>
            <w:bookmarkStart w:id="3" w:name="_GoBack"/>
            <w:bookmarkEnd w:id="2"/>
            <w:bookmarkEnd w:id="3"/>
            <w:r w:rsidRPr="007078A2">
              <w:rPr>
                <w:b/>
                <w:bCs/>
                <w:szCs w:val="24"/>
                <w:lang w:val="es-ES_tradnl"/>
              </w:rPr>
              <w:t>6-S</w:t>
            </w:r>
          </w:p>
        </w:tc>
      </w:tr>
      <w:tr w:rsidR="000A39FD" w:rsidRPr="007078A2" w:rsidTr="00FF14BC">
        <w:trPr>
          <w:cantSplit/>
          <w:trHeight w:val="23"/>
          <w:jc w:val="center"/>
        </w:trPr>
        <w:tc>
          <w:tcPr>
            <w:tcW w:w="6663" w:type="dxa"/>
            <w:vMerge/>
          </w:tcPr>
          <w:p w:rsidR="000A39FD" w:rsidRPr="007078A2" w:rsidRDefault="000A39FD" w:rsidP="00FF14BC">
            <w:pPr>
              <w:tabs>
                <w:tab w:val="left" w:pos="851"/>
              </w:tabs>
              <w:rPr>
                <w:b/>
                <w:lang w:val="es-ES_tradnl"/>
              </w:rPr>
            </w:pPr>
          </w:p>
        </w:tc>
        <w:tc>
          <w:tcPr>
            <w:tcW w:w="3373" w:type="dxa"/>
          </w:tcPr>
          <w:p w:rsidR="000A39FD" w:rsidRPr="007078A2" w:rsidRDefault="00D203CB" w:rsidP="00D203CB">
            <w:pPr>
              <w:spacing w:before="0"/>
              <w:rPr>
                <w:b/>
                <w:bCs/>
                <w:szCs w:val="24"/>
                <w:lang w:val="es-ES_tradnl"/>
              </w:rPr>
            </w:pPr>
            <w:r w:rsidRPr="007078A2">
              <w:rPr>
                <w:b/>
                <w:bCs/>
                <w:szCs w:val="24"/>
                <w:lang w:val="es-ES_tradnl"/>
              </w:rPr>
              <w:t>15</w:t>
            </w:r>
            <w:r w:rsidR="000A39FD" w:rsidRPr="007078A2">
              <w:rPr>
                <w:b/>
                <w:bCs/>
                <w:szCs w:val="24"/>
                <w:lang w:val="es-ES_tradnl"/>
              </w:rPr>
              <w:t xml:space="preserve"> de </w:t>
            </w:r>
            <w:r w:rsidRPr="007078A2">
              <w:rPr>
                <w:b/>
                <w:bCs/>
                <w:szCs w:val="24"/>
                <w:lang w:val="es-ES_tradnl"/>
              </w:rPr>
              <w:t>diciembre</w:t>
            </w:r>
            <w:r w:rsidR="000A39FD" w:rsidRPr="007078A2">
              <w:rPr>
                <w:b/>
                <w:bCs/>
                <w:szCs w:val="24"/>
                <w:lang w:val="es-ES_tradnl"/>
              </w:rPr>
              <w:t xml:space="preserve"> de 2017</w:t>
            </w:r>
          </w:p>
        </w:tc>
      </w:tr>
      <w:tr w:rsidR="000A39FD" w:rsidRPr="007078A2" w:rsidTr="00FF14BC">
        <w:trPr>
          <w:cantSplit/>
          <w:trHeight w:val="333"/>
          <w:jc w:val="center"/>
        </w:trPr>
        <w:tc>
          <w:tcPr>
            <w:tcW w:w="6663" w:type="dxa"/>
            <w:vMerge/>
          </w:tcPr>
          <w:p w:rsidR="000A39FD" w:rsidRPr="007078A2" w:rsidRDefault="000A39FD" w:rsidP="00FF14BC">
            <w:pPr>
              <w:tabs>
                <w:tab w:val="left" w:pos="851"/>
              </w:tabs>
              <w:rPr>
                <w:b/>
                <w:lang w:val="es-ES_tradnl"/>
              </w:rPr>
            </w:pPr>
          </w:p>
        </w:tc>
        <w:tc>
          <w:tcPr>
            <w:tcW w:w="3373" w:type="dxa"/>
          </w:tcPr>
          <w:p w:rsidR="000A39FD" w:rsidRPr="007078A2" w:rsidRDefault="000A39FD" w:rsidP="00FF14BC">
            <w:pPr>
              <w:spacing w:before="0" w:after="120"/>
              <w:rPr>
                <w:b/>
                <w:bCs/>
                <w:szCs w:val="24"/>
                <w:lang w:val="es-ES_tradnl"/>
              </w:rPr>
            </w:pPr>
            <w:r w:rsidRPr="007078A2">
              <w:rPr>
                <w:b/>
                <w:bCs/>
                <w:szCs w:val="24"/>
                <w:lang w:val="es-ES_tradnl"/>
              </w:rPr>
              <w:t xml:space="preserve">Original: </w:t>
            </w:r>
            <w:bookmarkStart w:id="4" w:name="Original"/>
            <w:bookmarkEnd w:id="4"/>
            <w:r w:rsidRPr="007078A2">
              <w:rPr>
                <w:b/>
                <w:bCs/>
                <w:szCs w:val="24"/>
                <w:lang w:val="es-ES_tradnl"/>
              </w:rPr>
              <w:t>inglés</w:t>
            </w:r>
          </w:p>
        </w:tc>
      </w:tr>
      <w:tr w:rsidR="000A39FD" w:rsidRPr="007078A2" w:rsidTr="00FF14BC">
        <w:trPr>
          <w:cantSplit/>
          <w:trHeight w:val="449"/>
          <w:jc w:val="center"/>
        </w:trPr>
        <w:tc>
          <w:tcPr>
            <w:tcW w:w="10036" w:type="dxa"/>
            <w:gridSpan w:val="2"/>
          </w:tcPr>
          <w:p w:rsidR="000A39FD" w:rsidRPr="007078A2" w:rsidRDefault="000A39FD" w:rsidP="00FF14BC">
            <w:pPr>
              <w:tabs>
                <w:tab w:val="clear" w:pos="1985"/>
              </w:tabs>
              <w:spacing w:after="120"/>
              <w:rPr>
                <w:szCs w:val="24"/>
                <w:lang w:val="es-ES_tradnl"/>
              </w:rPr>
            </w:pPr>
          </w:p>
        </w:tc>
      </w:tr>
      <w:tr w:rsidR="000A39FD" w:rsidRPr="00A32FCB" w:rsidTr="00FF14BC">
        <w:trPr>
          <w:cantSplit/>
          <w:trHeight w:val="23"/>
          <w:jc w:val="center"/>
        </w:trPr>
        <w:tc>
          <w:tcPr>
            <w:tcW w:w="10036" w:type="dxa"/>
            <w:gridSpan w:val="2"/>
          </w:tcPr>
          <w:p w:rsidR="000A39FD" w:rsidRPr="007078A2" w:rsidRDefault="00AD008D" w:rsidP="00FF14BC">
            <w:pPr>
              <w:tabs>
                <w:tab w:val="clear" w:pos="1985"/>
              </w:tabs>
              <w:spacing w:after="120"/>
              <w:jc w:val="center"/>
              <w:rPr>
                <w:b/>
                <w:bCs/>
                <w:sz w:val="28"/>
                <w:szCs w:val="28"/>
                <w:lang w:val="es-ES_tradnl"/>
              </w:rPr>
            </w:pPr>
            <w:r w:rsidRPr="007078A2">
              <w:rPr>
                <w:b/>
                <w:bCs/>
                <w:sz w:val="28"/>
                <w:szCs w:val="28"/>
                <w:lang w:val="es-ES_tradnl"/>
              </w:rPr>
              <w:t>Director de la Oficina de Desarrollo de las Telecomunicaciones</w:t>
            </w:r>
          </w:p>
        </w:tc>
      </w:tr>
      <w:tr w:rsidR="000A39FD" w:rsidRPr="00A32FCB" w:rsidTr="00FF14BC">
        <w:trPr>
          <w:cantSplit/>
          <w:trHeight w:val="23"/>
          <w:jc w:val="center"/>
        </w:trPr>
        <w:tc>
          <w:tcPr>
            <w:tcW w:w="10036" w:type="dxa"/>
            <w:gridSpan w:val="2"/>
          </w:tcPr>
          <w:p w:rsidR="000A39FD" w:rsidRPr="007078A2" w:rsidRDefault="00AD008D" w:rsidP="00FF14BC">
            <w:pPr>
              <w:tabs>
                <w:tab w:val="clear" w:pos="794"/>
                <w:tab w:val="clear" w:pos="1191"/>
                <w:tab w:val="clear" w:pos="1588"/>
                <w:tab w:val="clear" w:pos="1985"/>
              </w:tabs>
              <w:spacing w:after="120"/>
              <w:ind w:left="-108"/>
              <w:jc w:val="center"/>
              <w:rPr>
                <w:sz w:val="28"/>
                <w:szCs w:val="28"/>
                <w:lang w:val="es-ES_tradnl"/>
              </w:rPr>
            </w:pPr>
            <w:r w:rsidRPr="007078A2">
              <w:rPr>
                <w:sz w:val="28"/>
                <w:szCs w:val="28"/>
                <w:lang w:val="es-ES_tradnl"/>
              </w:rPr>
              <w:t>TENDENCIAS DE LAS TIC Y SU EVOLUCIÓN EN LAS AMÉRICAS</w:t>
            </w:r>
          </w:p>
        </w:tc>
      </w:tr>
    </w:tbl>
    <w:p w:rsidR="00FF14BC" w:rsidRPr="007078A2" w:rsidRDefault="00FF14BC">
      <w:pPr>
        <w:rPr>
          <w:lang w:val="es-ES_tradnl"/>
        </w:rPr>
      </w:pPr>
    </w:p>
    <w:tbl>
      <w:tblPr>
        <w:tblW w:w="1003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6"/>
      </w:tblGrid>
      <w:tr w:rsidR="000A39FD" w:rsidRPr="00A32FCB" w:rsidTr="000A39FD">
        <w:tc>
          <w:tcPr>
            <w:tcW w:w="10036" w:type="dxa"/>
            <w:shd w:val="clear" w:color="auto" w:fill="auto"/>
          </w:tcPr>
          <w:p w:rsidR="000A39FD" w:rsidRPr="007078A2" w:rsidRDefault="000A39FD" w:rsidP="000C5DD8">
            <w:pPr>
              <w:spacing w:before="160"/>
              <w:rPr>
                <w:b/>
                <w:bCs/>
                <w:lang w:val="es-ES_tradnl"/>
              </w:rPr>
            </w:pPr>
            <w:r w:rsidRPr="007078A2">
              <w:rPr>
                <w:b/>
                <w:bCs/>
                <w:lang w:val="es-ES_tradnl"/>
              </w:rPr>
              <w:t>Resumen:</w:t>
            </w:r>
          </w:p>
          <w:p w:rsidR="000A39FD" w:rsidRPr="007078A2" w:rsidRDefault="00AD008D" w:rsidP="00FF14BC">
            <w:pPr>
              <w:tabs>
                <w:tab w:val="clear" w:pos="794"/>
                <w:tab w:val="clear" w:pos="1191"/>
                <w:tab w:val="clear" w:pos="1588"/>
                <w:tab w:val="clear" w:pos="1985"/>
                <w:tab w:val="left" w:pos="1951"/>
              </w:tabs>
              <w:rPr>
                <w:szCs w:val="24"/>
                <w:lang w:val="es-ES_tradnl"/>
              </w:rPr>
            </w:pPr>
            <w:bookmarkStart w:id="5" w:name="Summary"/>
            <w:bookmarkEnd w:id="5"/>
            <w:r w:rsidRPr="007078A2">
              <w:rPr>
                <w:rFonts w:cs="Garamond"/>
                <w:szCs w:val="24"/>
                <w:lang w:val="es-ES_tradnl"/>
              </w:rPr>
              <w:t>El presente documento contiene una perspectiva general de las tendencias y evoluciones de la infraestructura de las TIC, su acceso y utilización en las Américas, que comprenden 35 países y representan una población de casi 1</w:t>
            </w:r>
            <w:r w:rsidR="00D203CB" w:rsidRPr="007078A2">
              <w:rPr>
                <w:rFonts w:cs="Garamond"/>
                <w:szCs w:val="24"/>
                <w:lang w:val="es-ES_tradnl"/>
              </w:rPr>
              <w:t xml:space="preserve"> </w:t>
            </w:r>
            <w:r w:rsidRPr="007078A2">
              <w:rPr>
                <w:rFonts w:cs="Garamond"/>
                <w:szCs w:val="24"/>
                <w:lang w:val="es-ES_tradnl"/>
              </w:rPr>
              <w:t xml:space="preserve">000 millones de personas. </w:t>
            </w:r>
            <w:r w:rsidR="00D203CB" w:rsidRPr="007078A2">
              <w:rPr>
                <w:rFonts w:cs="Garamond"/>
                <w:szCs w:val="24"/>
                <w:lang w:val="es-ES_tradnl"/>
              </w:rPr>
              <w:t>En el documento se destaca có</w:t>
            </w:r>
            <w:r w:rsidRPr="007078A2">
              <w:rPr>
                <w:rFonts w:cs="Garamond"/>
                <w:szCs w:val="24"/>
                <w:lang w:val="es-ES_tradnl"/>
              </w:rPr>
              <w:t>mo el sector de las TIC ha continuado su espectacular transformación, y se explica su impacto en la sociedad y el crecimiento económico y social desde la última Conferencia Mundial de Desarrollo de las Telecomunicaciones de 2014 (CMDT-14). También se sigue la evolución de la reglamentación</w:t>
            </w:r>
            <w:r w:rsidR="000A39FD" w:rsidRPr="007078A2">
              <w:rPr>
                <w:szCs w:val="24"/>
                <w:lang w:val="es-ES_tradnl"/>
              </w:rPr>
              <w:t>.</w:t>
            </w:r>
          </w:p>
          <w:p w:rsidR="000A39FD" w:rsidRPr="007078A2" w:rsidRDefault="000A39FD" w:rsidP="000C5DD8">
            <w:pPr>
              <w:spacing w:before="160"/>
              <w:rPr>
                <w:b/>
                <w:bCs/>
                <w:lang w:val="es-ES_tradnl"/>
              </w:rPr>
            </w:pPr>
            <w:r w:rsidRPr="007078A2">
              <w:rPr>
                <w:b/>
                <w:bCs/>
                <w:lang w:val="es-ES_tradnl"/>
              </w:rPr>
              <w:t>Resultados previstos:</w:t>
            </w:r>
          </w:p>
          <w:p w:rsidR="000A39FD" w:rsidRPr="007078A2" w:rsidRDefault="00AD008D" w:rsidP="00FF14BC">
            <w:pPr>
              <w:tabs>
                <w:tab w:val="clear" w:pos="794"/>
                <w:tab w:val="clear" w:pos="1191"/>
                <w:tab w:val="clear" w:pos="1588"/>
                <w:tab w:val="clear" w:pos="1985"/>
                <w:tab w:val="left" w:pos="1951"/>
              </w:tabs>
              <w:rPr>
                <w:szCs w:val="24"/>
                <w:lang w:val="es-ES_tradnl"/>
              </w:rPr>
            </w:pPr>
            <w:r w:rsidRPr="007078A2">
              <w:rPr>
                <w:szCs w:val="24"/>
                <w:lang w:val="es-ES_tradnl"/>
              </w:rPr>
              <w:t>Servir de referencia fidedigna para orientar el futuro del desarrollo de las TIC</w:t>
            </w:r>
            <w:r w:rsidR="00D203CB" w:rsidRPr="007078A2">
              <w:rPr>
                <w:szCs w:val="24"/>
                <w:lang w:val="es-ES_tradnl"/>
              </w:rPr>
              <w:t xml:space="preserve"> en</w:t>
            </w:r>
            <w:r w:rsidRPr="007078A2">
              <w:rPr>
                <w:szCs w:val="24"/>
                <w:lang w:val="es-ES_tradnl"/>
              </w:rPr>
              <w:t xml:space="preserve"> las Américas.</w:t>
            </w:r>
          </w:p>
          <w:p w:rsidR="000A39FD" w:rsidRPr="007078A2" w:rsidRDefault="000A39FD" w:rsidP="000C5DD8">
            <w:pPr>
              <w:spacing w:before="160"/>
              <w:rPr>
                <w:b/>
                <w:bCs/>
                <w:lang w:val="es-ES_tradnl"/>
              </w:rPr>
            </w:pPr>
            <w:r w:rsidRPr="007078A2">
              <w:rPr>
                <w:b/>
                <w:bCs/>
                <w:lang w:val="es-ES_tradnl"/>
              </w:rPr>
              <w:t>Referencias:</w:t>
            </w:r>
          </w:p>
          <w:p w:rsidR="00AD008D" w:rsidRPr="007078A2" w:rsidRDefault="00AD008D" w:rsidP="00D203CB">
            <w:pPr>
              <w:spacing w:after="120"/>
              <w:rPr>
                <w:rStyle w:val="Hyperlink"/>
                <w:lang w:val="es-ES_tradnl"/>
              </w:rPr>
            </w:pPr>
            <w:r w:rsidRPr="007078A2">
              <w:rPr>
                <w:rFonts w:cs="Garamond"/>
                <w:szCs w:val="24"/>
                <w:lang w:val="es-ES_tradnl"/>
              </w:rPr>
              <w:t xml:space="preserve">Datos y análisis de </w:t>
            </w:r>
            <w:r w:rsidR="00FF14BC" w:rsidRPr="007078A2">
              <w:rPr>
                <w:rFonts w:cs="Garamond"/>
                <w:szCs w:val="24"/>
                <w:lang w:val="es-ES_tradnl"/>
              </w:rPr>
              <w:t>"</w:t>
            </w:r>
            <w:r w:rsidRPr="007078A2">
              <w:rPr>
                <w:rFonts w:cs="Garamond"/>
                <w:szCs w:val="24"/>
                <w:lang w:val="es-ES_tradnl"/>
              </w:rPr>
              <w:t>Hechos y cifras de las TIC 2016</w:t>
            </w:r>
            <w:r w:rsidR="00FF14BC" w:rsidRPr="007078A2">
              <w:rPr>
                <w:rFonts w:cs="Garamond"/>
                <w:szCs w:val="24"/>
                <w:lang w:val="es-ES_tradnl"/>
              </w:rPr>
              <w:t>"</w:t>
            </w:r>
            <w:r w:rsidRPr="007078A2">
              <w:rPr>
                <w:rFonts w:cs="Garamond"/>
                <w:szCs w:val="24"/>
                <w:lang w:val="es-ES_tradnl"/>
              </w:rPr>
              <w:t xml:space="preserve"> de la UIT (UIT, 2016b), Informe </w:t>
            </w:r>
            <w:r w:rsidR="00FF14BC" w:rsidRPr="007078A2">
              <w:rPr>
                <w:rFonts w:cs="Garamond"/>
                <w:szCs w:val="24"/>
                <w:lang w:val="es-ES_tradnl"/>
              </w:rPr>
              <w:t>"</w:t>
            </w:r>
            <w:r w:rsidRPr="007078A2">
              <w:rPr>
                <w:rFonts w:cs="Garamond"/>
                <w:szCs w:val="24"/>
                <w:lang w:val="es-ES_tradnl"/>
              </w:rPr>
              <w:t>Medición de la sociedad de la información 2016</w:t>
            </w:r>
            <w:r w:rsidR="00FF14BC" w:rsidRPr="007078A2">
              <w:rPr>
                <w:rFonts w:cs="Garamond"/>
                <w:szCs w:val="24"/>
                <w:lang w:val="es-ES_tradnl"/>
              </w:rPr>
              <w:t>"</w:t>
            </w:r>
            <w:r w:rsidRPr="007078A2">
              <w:rPr>
                <w:rFonts w:cs="Garamond"/>
                <w:szCs w:val="24"/>
                <w:lang w:val="es-ES_tradnl"/>
              </w:rPr>
              <w:t xml:space="preserve"> (UIT, 2016a) y </w:t>
            </w:r>
            <w:r w:rsidR="00FF14BC" w:rsidRPr="007078A2">
              <w:rPr>
                <w:rFonts w:cs="Garamond"/>
                <w:szCs w:val="24"/>
                <w:lang w:val="es-ES_tradnl"/>
              </w:rPr>
              <w:t>"</w:t>
            </w:r>
            <w:r w:rsidRPr="007078A2">
              <w:rPr>
                <w:rFonts w:cs="Garamond"/>
                <w:szCs w:val="24"/>
                <w:lang w:val="es-ES_tradnl"/>
              </w:rPr>
              <w:t>Tendencias en las Reformas de Telecomunicaciones</w:t>
            </w:r>
            <w:r w:rsidR="00FF14BC" w:rsidRPr="007078A2">
              <w:rPr>
                <w:rFonts w:cs="Garamond"/>
                <w:szCs w:val="24"/>
                <w:lang w:val="es-ES_tradnl"/>
              </w:rPr>
              <w:t>"</w:t>
            </w:r>
            <w:r w:rsidRPr="007078A2">
              <w:rPr>
                <w:rFonts w:cs="Garamond"/>
                <w:szCs w:val="24"/>
                <w:lang w:val="es-ES_tradnl"/>
              </w:rPr>
              <w:t xml:space="preserve"> 2015 </w:t>
            </w:r>
            <w:r w:rsidRPr="007078A2">
              <w:rPr>
                <w:color w:val="000000" w:themeColor="text1"/>
                <w:szCs w:val="24"/>
                <w:lang w:val="es-ES_tradnl"/>
              </w:rPr>
              <w:t>(UIT, 2015).</w:t>
            </w:r>
          </w:p>
        </w:tc>
      </w:tr>
    </w:tbl>
    <w:p w:rsidR="000A39FD" w:rsidRPr="007078A2" w:rsidRDefault="000A39FD">
      <w:pPr>
        <w:rPr>
          <w:sz w:val="18"/>
          <w:szCs w:val="18"/>
          <w:lang w:val="es-ES_tradnl"/>
        </w:rPr>
      </w:pPr>
      <w:r w:rsidRPr="007078A2">
        <w:rPr>
          <w:sz w:val="18"/>
          <w:szCs w:val="18"/>
          <w:lang w:val="es-ES_tradnl"/>
        </w:rPr>
        <w:br w:type="page"/>
      </w:r>
    </w:p>
    <w:p w:rsidR="000A39FD" w:rsidRPr="007078A2" w:rsidRDefault="000A39FD" w:rsidP="00FF14BC">
      <w:pPr>
        <w:jc w:val="both"/>
        <w:rPr>
          <w:sz w:val="18"/>
          <w:szCs w:val="18"/>
          <w:lang w:val="es-ES_tradnl"/>
        </w:rPr>
      </w:pPr>
    </w:p>
    <w:sdt>
      <w:sdtPr>
        <w:rPr>
          <w:rFonts w:ascii="Calibri" w:eastAsia="Times New Roman" w:hAnsi="Calibri" w:cs="Times New Roman"/>
          <w:b w:val="0"/>
          <w:bCs w:val="0"/>
          <w:color w:val="auto"/>
          <w:sz w:val="24"/>
          <w:szCs w:val="20"/>
          <w:lang w:val="es-ES_tradnl"/>
        </w:rPr>
        <w:id w:val="-1841609005"/>
        <w:docPartObj>
          <w:docPartGallery w:val="Table of Contents"/>
          <w:docPartUnique/>
        </w:docPartObj>
      </w:sdtPr>
      <w:sdtEndPr>
        <w:rPr>
          <w:noProof/>
        </w:rPr>
      </w:sdtEndPr>
      <w:sdtContent>
        <w:p w:rsidR="000A39FD" w:rsidRPr="007078A2" w:rsidRDefault="00AD008D" w:rsidP="00AD008D">
          <w:pPr>
            <w:pStyle w:val="TOCHeading"/>
            <w:spacing w:before="240" w:after="240"/>
            <w:jc w:val="center"/>
            <w:rPr>
              <w:lang w:val="es-ES_tradnl"/>
            </w:rPr>
          </w:pPr>
          <w:r w:rsidRPr="007078A2">
            <w:rPr>
              <w:lang w:val="es-ES_tradnl"/>
            </w:rPr>
            <w:t>Índice</w:t>
          </w:r>
        </w:p>
        <w:p w:rsidR="00CE796C" w:rsidRDefault="000C5DD8">
          <w:pPr>
            <w:pStyle w:val="TOC2"/>
            <w:tabs>
              <w:tab w:val="right" w:leader="dot" w:pos="9350"/>
            </w:tabs>
            <w:rPr>
              <w:noProof/>
            </w:rPr>
          </w:pPr>
          <w:r w:rsidRPr="007078A2">
            <w:rPr>
              <w:lang w:val="es-ES_tradnl"/>
            </w:rPr>
            <w:fldChar w:fldCharType="begin"/>
          </w:r>
          <w:r w:rsidRPr="007078A2">
            <w:rPr>
              <w:lang w:val="es-ES_tradnl"/>
            </w:rPr>
            <w:instrText xml:space="preserve"> TOC \o "1-2" \h \z \t "Heading_b,2" </w:instrText>
          </w:r>
          <w:r w:rsidRPr="007078A2">
            <w:rPr>
              <w:lang w:val="es-ES_tradnl"/>
            </w:rPr>
            <w:fldChar w:fldCharType="separate"/>
          </w:r>
          <w:hyperlink w:anchor="_Toc474413179" w:history="1">
            <w:r w:rsidR="00CE796C" w:rsidRPr="00727C83">
              <w:rPr>
                <w:rStyle w:val="Hyperlink"/>
                <w:noProof/>
                <w:lang w:val="es-ES_tradnl"/>
              </w:rPr>
              <w:t>Tendencias de las TIC y su evolución en las Américas</w:t>
            </w:r>
            <w:r w:rsidR="00CE796C">
              <w:rPr>
                <w:noProof/>
                <w:webHidden/>
              </w:rPr>
              <w:tab/>
            </w:r>
            <w:r w:rsidR="00CE796C">
              <w:rPr>
                <w:noProof/>
                <w:webHidden/>
              </w:rPr>
              <w:fldChar w:fldCharType="begin"/>
            </w:r>
            <w:r w:rsidR="00CE796C">
              <w:rPr>
                <w:noProof/>
                <w:webHidden/>
              </w:rPr>
              <w:instrText xml:space="preserve"> PAGEREF _Toc474413179 \h </w:instrText>
            </w:r>
            <w:r w:rsidR="00CE796C">
              <w:rPr>
                <w:noProof/>
                <w:webHidden/>
              </w:rPr>
            </w:r>
            <w:r w:rsidR="00CE796C">
              <w:rPr>
                <w:noProof/>
                <w:webHidden/>
              </w:rPr>
              <w:fldChar w:fldCharType="separate"/>
            </w:r>
            <w:r w:rsidR="00274B03">
              <w:rPr>
                <w:noProof/>
                <w:webHidden/>
              </w:rPr>
              <w:t>3</w:t>
            </w:r>
            <w:r w:rsidR="00CE796C">
              <w:rPr>
                <w:noProof/>
                <w:webHidden/>
              </w:rPr>
              <w:fldChar w:fldCharType="end"/>
            </w:r>
          </w:hyperlink>
        </w:p>
        <w:p w:rsidR="00CE796C" w:rsidRDefault="00A32FCB">
          <w:pPr>
            <w:pStyle w:val="TOC1"/>
            <w:tabs>
              <w:tab w:val="left" w:pos="440"/>
              <w:tab w:val="right" w:leader="dot" w:pos="9350"/>
            </w:tabs>
            <w:rPr>
              <w:noProof/>
            </w:rPr>
          </w:pPr>
          <w:hyperlink w:anchor="_Toc474413180" w:history="1">
            <w:r w:rsidR="00CE796C" w:rsidRPr="00727C83">
              <w:rPr>
                <w:rStyle w:val="Hyperlink"/>
                <w:rFonts w:eastAsia="Times New Roman" w:cs="Times New Roman"/>
                <w:noProof/>
                <w:lang w:val="es-ES_tradnl"/>
              </w:rPr>
              <w:t>1</w:t>
            </w:r>
            <w:r w:rsidR="00CE796C">
              <w:rPr>
                <w:noProof/>
              </w:rPr>
              <w:tab/>
            </w:r>
            <w:r w:rsidR="00CE796C" w:rsidRPr="00727C83">
              <w:rPr>
                <w:rStyle w:val="Hyperlink"/>
                <w:rFonts w:eastAsia="Times New Roman" w:cs="Times New Roman"/>
                <w:noProof/>
                <w:lang w:val="es-ES_tradnl"/>
              </w:rPr>
              <w:t>Perspectiva general de las políticas mundiales y tendencias de la reglamentación de las TIC</w:t>
            </w:r>
            <w:r w:rsidR="00CE796C">
              <w:rPr>
                <w:noProof/>
                <w:webHidden/>
              </w:rPr>
              <w:tab/>
            </w:r>
            <w:r w:rsidR="00CE796C">
              <w:rPr>
                <w:noProof/>
                <w:webHidden/>
              </w:rPr>
              <w:fldChar w:fldCharType="begin"/>
            </w:r>
            <w:r w:rsidR="00CE796C">
              <w:rPr>
                <w:noProof/>
                <w:webHidden/>
              </w:rPr>
              <w:instrText xml:space="preserve"> PAGEREF _Toc474413180 \h </w:instrText>
            </w:r>
            <w:r w:rsidR="00CE796C">
              <w:rPr>
                <w:noProof/>
                <w:webHidden/>
              </w:rPr>
            </w:r>
            <w:r w:rsidR="00CE796C">
              <w:rPr>
                <w:noProof/>
                <w:webHidden/>
              </w:rPr>
              <w:fldChar w:fldCharType="separate"/>
            </w:r>
            <w:r w:rsidR="00274B03">
              <w:rPr>
                <w:noProof/>
                <w:webHidden/>
              </w:rPr>
              <w:t>3</w:t>
            </w:r>
            <w:r w:rsidR="00CE796C">
              <w:rPr>
                <w:noProof/>
                <w:webHidden/>
              </w:rPr>
              <w:fldChar w:fldCharType="end"/>
            </w:r>
          </w:hyperlink>
        </w:p>
        <w:p w:rsidR="00CE796C" w:rsidRDefault="00A32FCB">
          <w:pPr>
            <w:pStyle w:val="TOC2"/>
            <w:tabs>
              <w:tab w:val="right" w:leader="dot" w:pos="9350"/>
            </w:tabs>
            <w:rPr>
              <w:noProof/>
            </w:rPr>
          </w:pPr>
          <w:hyperlink w:anchor="_Toc474413181" w:history="1">
            <w:r w:rsidR="00CE796C" w:rsidRPr="00727C83">
              <w:rPr>
                <w:rStyle w:val="Hyperlink"/>
                <w:noProof/>
                <w:lang w:val="es-ES_tradnl"/>
              </w:rPr>
              <w:t>Nuevos actores y modelos de negocio</w:t>
            </w:r>
            <w:r w:rsidR="00CE796C">
              <w:rPr>
                <w:noProof/>
                <w:webHidden/>
              </w:rPr>
              <w:tab/>
            </w:r>
            <w:r w:rsidR="00CE796C">
              <w:rPr>
                <w:noProof/>
                <w:webHidden/>
              </w:rPr>
              <w:fldChar w:fldCharType="begin"/>
            </w:r>
            <w:r w:rsidR="00CE796C">
              <w:rPr>
                <w:noProof/>
                <w:webHidden/>
              </w:rPr>
              <w:instrText xml:space="preserve"> PAGEREF _Toc474413181 \h </w:instrText>
            </w:r>
            <w:r w:rsidR="00CE796C">
              <w:rPr>
                <w:noProof/>
                <w:webHidden/>
              </w:rPr>
            </w:r>
            <w:r w:rsidR="00CE796C">
              <w:rPr>
                <w:noProof/>
                <w:webHidden/>
              </w:rPr>
              <w:fldChar w:fldCharType="separate"/>
            </w:r>
            <w:r w:rsidR="00274B03">
              <w:rPr>
                <w:noProof/>
                <w:webHidden/>
              </w:rPr>
              <w:t>3</w:t>
            </w:r>
            <w:r w:rsidR="00CE796C">
              <w:rPr>
                <w:noProof/>
                <w:webHidden/>
              </w:rPr>
              <w:fldChar w:fldCharType="end"/>
            </w:r>
          </w:hyperlink>
        </w:p>
        <w:p w:rsidR="00CE796C" w:rsidRDefault="00A32FCB">
          <w:pPr>
            <w:pStyle w:val="TOC2"/>
            <w:tabs>
              <w:tab w:val="right" w:leader="dot" w:pos="9350"/>
            </w:tabs>
            <w:rPr>
              <w:noProof/>
            </w:rPr>
          </w:pPr>
          <w:hyperlink w:anchor="_Toc474413182" w:history="1">
            <w:r w:rsidR="00CE796C" w:rsidRPr="00727C83">
              <w:rPr>
                <w:rStyle w:val="Hyperlink"/>
                <w:noProof/>
                <w:lang w:val="es-ES_tradnl"/>
              </w:rPr>
              <w:t>El paso siguiente de la conectividad: dispositivos inteligentes y crecimiento de la red</w:t>
            </w:r>
            <w:r w:rsidR="00CE796C">
              <w:rPr>
                <w:noProof/>
                <w:webHidden/>
              </w:rPr>
              <w:tab/>
            </w:r>
            <w:r w:rsidR="00CE796C">
              <w:rPr>
                <w:noProof/>
                <w:webHidden/>
              </w:rPr>
              <w:fldChar w:fldCharType="begin"/>
            </w:r>
            <w:r w:rsidR="00CE796C">
              <w:rPr>
                <w:noProof/>
                <w:webHidden/>
              </w:rPr>
              <w:instrText xml:space="preserve"> PAGEREF _Toc474413182 \h </w:instrText>
            </w:r>
            <w:r w:rsidR="00CE796C">
              <w:rPr>
                <w:noProof/>
                <w:webHidden/>
              </w:rPr>
            </w:r>
            <w:r w:rsidR="00CE796C">
              <w:rPr>
                <w:noProof/>
                <w:webHidden/>
              </w:rPr>
              <w:fldChar w:fldCharType="separate"/>
            </w:r>
            <w:r w:rsidR="00274B03">
              <w:rPr>
                <w:noProof/>
                <w:webHidden/>
              </w:rPr>
              <w:t>5</w:t>
            </w:r>
            <w:r w:rsidR="00CE796C">
              <w:rPr>
                <w:noProof/>
                <w:webHidden/>
              </w:rPr>
              <w:fldChar w:fldCharType="end"/>
            </w:r>
          </w:hyperlink>
        </w:p>
        <w:p w:rsidR="00CE796C" w:rsidRDefault="00A32FCB">
          <w:pPr>
            <w:pStyle w:val="TOC2"/>
            <w:tabs>
              <w:tab w:val="right" w:leader="dot" w:pos="9350"/>
            </w:tabs>
            <w:rPr>
              <w:noProof/>
            </w:rPr>
          </w:pPr>
          <w:hyperlink w:anchor="_Toc474413183" w:history="1">
            <w:r w:rsidR="00CE796C" w:rsidRPr="00727C83">
              <w:rPr>
                <w:rStyle w:val="Hyperlink"/>
                <w:noProof/>
                <w:lang w:val="es-ES_tradnl"/>
              </w:rPr>
              <w:t>Lo primero son los consumidores</w:t>
            </w:r>
            <w:r w:rsidR="00CE796C">
              <w:rPr>
                <w:noProof/>
                <w:webHidden/>
              </w:rPr>
              <w:tab/>
            </w:r>
            <w:r w:rsidR="00CE796C">
              <w:rPr>
                <w:noProof/>
                <w:webHidden/>
              </w:rPr>
              <w:fldChar w:fldCharType="begin"/>
            </w:r>
            <w:r w:rsidR="00CE796C">
              <w:rPr>
                <w:noProof/>
                <w:webHidden/>
              </w:rPr>
              <w:instrText xml:space="preserve"> PAGEREF _Toc474413183 \h </w:instrText>
            </w:r>
            <w:r w:rsidR="00CE796C">
              <w:rPr>
                <w:noProof/>
                <w:webHidden/>
              </w:rPr>
            </w:r>
            <w:r w:rsidR="00CE796C">
              <w:rPr>
                <w:noProof/>
                <w:webHidden/>
              </w:rPr>
              <w:fldChar w:fldCharType="separate"/>
            </w:r>
            <w:r w:rsidR="00274B03">
              <w:rPr>
                <w:noProof/>
                <w:webHidden/>
              </w:rPr>
              <w:t>8</w:t>
            </w:r>
            <w:r w:rsidR="00CE796C">
              <w:rPr>
                <w:noProof/>
                <w:webHidden/>
              </w:rPr>
              <w:fldChar w:fldCharType="end"/>
            </w:r>
          </w:hyperlink>
        </w:p>
        <w:p w:rsidR="00CE796C" w:rsidRDefault="00A32FCB">
          <w:pPr>
            <w:pStyle w:val="TOC1"/>
            <w:tabs>
              <w:tab w:val="left" w:pos="440"/>
              <w:tab w:val="right" w:leader="dot" w:pos="9350"/>
            </w:tabs>
            <w:rPr>
              <w:noProof/>
            </w:rPr>
          </w:pPr>
          <w:hyperlink w:anchor="_Toc474413184" w:history="1">
            <w:r w:rsidR="00CE796C" w:rsidRPr="00727C83">
              <w:rPr>
                <w:rStyle w:val="Hyperlink"/>
                <w:rFonts w:eastAsia="Times New Roman" w:cs="Times New Roman"/>
                <w:noProof/>
                <w:lang w:val="es-ES_tradnl"/>
              </w:rPr>
              <w:t>2</w:t>
            </w:r>
            <w:r w:rsidR="00CE796C">
              <w:rPr>
                <w:noProof/>
              </w:rPr>
              <w:tab/>
            </w:r>
            <w:r w:rsidR="00CE796C" w:rsidRPr="00727C83">
              <w:rPr>
                <w:rStyle w:val="Hyperlink"/>
                <w:rFonts w:eastAsia="Times New Roman" w:cs="Times New Roman"/>
                <w:noProof/>
                <w:lang w:val="es-ES_tradnl"/>
              </w:rPr>
              <w:t>Tendencias de la reglamentación</w:t>
            </w:r>
            <w:r w:rsidR="00CE796C">
              <w:rPr>
                <w:noProof/>
                <w:webHidden/>
              </w:rPr>
              <w:tab/>
            </w:r>
            <w:r w:rsidR="00CE796C">
              <w:rPr>
                <w:noProof/>
                <w:webHidden/>
              </w:rPr>
              <w:fldChar w:fldCharType="begin"/>
            </w:r>
            <w:r w:rsidR="00CE796C">
              <w:rPr>
                <w:noProof/>
                <w:webHidden/>
              </w:rPr>
              <w:instrText xml:space="preserve"> PAGEREF _Toc474413184 \h </w:instrText>
            </w:r>
            <w:r w:rsidR="00CE796C">
              <w:rPr>
                <w:noProof/>
                <w:webHidden/>
              </w:rPr>
            </w:r>
            <w:r w:rsidR="00CE796C">
              <w:rPr>
                <w:noProof/>
                <w:webHidden/>
              </w:rPr>
              <w:fldChar w:fldCharType="separate"/>
            </w:r>
            <w:r w:rsidR="00274B03">
              <w:rPr>
                <w:noProof/>
                <w:webHidden/>
              </w:rPr>
              <w:t>10</w:t>
            </w:r>
            <w:r w:rsidR="00CE796C">
              <w:rPr>
                <w:noProof/>
                <w:webHidden/>
              </w:rPr>
              <w:fldChar w:fldCharType="end"/>
            </w:r>
          </w:hyperlink>
        </w:p>
        <w:p w:rsidR="00CE796C" w:rsidRDefault="00A32FCB">
          <w:pPr>
            <w:pStyle w:val="TOC2"/>
            <w:tabs>
              <w:tab w:val="right" w:leader="dot" w:pos="9350"/>
            </w:tabs>
            <w:rPr>
              <w:noProof/>
            </w:rPr>
          </w:pPr>
          <w:hyperlink w:anchor="_Toc474413185" w:history="1">
            <w:r w:rsidR="00CE796C" w:rsidRPr="00727C83">
              <w:rPr>
                <w:rStyle w:val="Hyperlink"/>
                <w:noProof/>
                <w:lang w:val="es-ES_tradnl"/>
              </w:rPr>
              <w:t>Seguimiento de la evolución de la reglamentación</w:t>
            </w:r>
            <w:r w:rsidR="00CE796C">
              <w:rPr>
                <w:noProof/>
                <w:webHidden/>
              </w:rPr>
              <w:tab/>
            </w:r>
            <w:r w:rsidR="00CE796C">
              <w:rPr>
                <w:noProof/>
                <w:webHidden/>
              </w:rPr>
              <w:fldChar w:fldCharType="begin"/>
            </w:r>
            <w:r w:rsidR="00CE796C">
              <w:rPr>
                <w:noProof/>
                <w:webHidden/>
              </w:rPr>
              <w:instrText xml:space="preserve"> PAGEREF _Toc474413185 \h </w:instrText>
            </w:r>
            <w:r w:rsidR="00CE796C">
              <w:rPr>
                <w:noProof/>
                <w:webHidden/>
              </w:rPr>
            </w:r>
            <w:r w:rsidR="00CE796C">
              <w:rPr>
                <w:noProof/>
                <w:webHidden/>
              </w:rPr>
              <w:fldChar w:fldCharType="separate"/>
            </w:r>
            <w:r w:rsidR="00274B03">
              <w:rPr>
                <w:noProof/>
                <w:webHidden/>
              </w:rPr>
              <w:t>10</w:t>
            </w:r>
            <w:r w:rsidR="00CE796C">
              <w:rPr>
                <w:noProof/>
                <w:webHidden/>
              </w:rPr>
              <w:fldChar w:fldCharType="end"/>
            </w:r>
          </w:hyperlink>
        </w:p>
        <w:p w:rsidR="00CE796C" w:rsidRDefault="00A32FCB">
          <w:pPr>
            <w:pStyle w:val="TOC2"/>
            <w:tabs>
              <w:tab w:val="right" w:leader="dot" w:pos="9350"/>
            </w:tabs>
            <w:rPr>
              <w:noProof/>
            </w:rPr>
          </w:pPr>
          <w:hyperlink w:anchor="_Toc474413186" w:history="1">
            <w:r w:rsidR="00CE796C" w:rsidRPr="00727C83">
              <w:rPr>
                <w:rStyle w:val="Hyperlink"/>
                <w:noProof/>
                <w:lang w:val="es-ES_tradnl"/>
              </w:rPr>
              <w:t>Tendencias ocasionadas por la evolución de la reglamentación</w:t>
            </w:r>
            <w:r w:rsidR="00CE796C">
              <w:rPr>
                <w:noProof/>
                <w:webHidden/>
              </w:rPr>
              <w:tab/>
            </w:r>
            <w:r w:rsidR="00CE796C">
              <w:rPr>
                <w:noProof/>
                <w:webHidden/>
              </w:rPr>
              <w:fldChar w:fldCharType="begin"/>
            </w:r>
            <w:r w:rsidR="00CE796C">
              <w:rPr>
                <w:noProof/>
                <w:webHidden/>
              </w:rPr>
              <w:instrText xml:space="preserve"> PAGEREF _Toc474413186 \h </w:instrText>
            </w:r>
            <w:r w:rsidR="00CE796C">
              <w:rPr>
                <w:noProof/>
                <w:webHidden/>
              </w:rPr>
            </w:r>
            <w:r w:rsidR="00CE796C">
              <w:rPr>
                <w:noProof/>
                <w:webHidden/>
              </w:rPr>
              <w:fldChar w:fldCharType="separate"/>
            </w:r>
            <w:r w:rsidR="00274B03">
              <w:rPr>
                <w:noProof/>
                <w:webHidden/>
              </w:rPr>
              <w:t>14</w:t>
            </w:r>
            <w:r w:rsidR="00CE796C">
              <w:rPr>
                <w:noProof/>
                <w:webHidden/>
              </w:rPr>
              <w:fldChar w:fldCharType="end"/>
            </w:r>
          </w:hyperlink>
        </w:p>
        <w:p w:rsidR="00CE796C" w:rsidRDefault="00A32FCB">
          <w:pPr>
            <w:pStyle w:val="TOC2"/>
            <w:tabs>
              <w:tab w:val="right" w:leader="dot" w:pos="9350"/>
            </w:tabs>
            <w:rPr>
              <w:noProof/>
            </w:rPr>
          </w:pPr>
          <w:hyperlink w:anchor="_Toc474413187" w:history="1">
            <w:r w:rsidR="00CE796C" w:rsidRPr="00727C83">
              <w:rPr>
                <w:rStyle w:val="Hyperlink"/>
                <w:noProof/>
                <w:lang w:val="es-ES_tradnl"/>
              </w:rPr>
              <w:t>Tendencias de la reglamentación en las Américas</w:t>
            </w:r>
            <w:r w:rsidR="00CE796C">
              <w:rPr>
                <w:noProof/>
                <w:webHidden/>
              </w:rPr>
              <w:tab/>
            </w:r>
            <w:r w:rsidR="00CE796C">
              <w:rPr>
                <w:noProof/>
                <w:webHidden/>
              </w:rPr>
              <w:fldChar w:fldCharType="begin"/>
            </w:r>
            <w:r w:rsidR="00CE796C">
              <w:rPr>
                <w:noProof/>
                <w:webHidden/>
              </w:rPr>
              <w:instrText xml:space="preserve"> PAGEREF _Toc474413187 \h </w:instrText>
            </w:r>
            <w:r w:rsidR="00CE796C">
              <w:rPr>
                <w:noProof/>
                <w:webHidden/>
              </w:rPr>
            </w:r>
            <w:r w:rsidR="00CE796C">
              <w:rPr>
                <w:noProof/>
                <w:webHidden/>
              </w:rPr>
              <w:fldChar w:fldCharType="separate"/>
            </w:r>
            <w:r w:rsidR="00274B03">
              <w:rPr>
                <w:noProof/>
                <w:webHidden/>
              </w:rPr>
              <w:t>18</w:t>
            </w:r>
            <w:r w:rsidR="00CE796C">
              <w:rPr>
                <w:noProof/>
                <w:webHidden/>
              </w:rPr>
              <w:fldChar w:fldCharType="end"/>
            </w:r>
          </w:hyperlink>
        </w:p>
        <w:p w:rsidR="00CE796C" w:rsidRDefault="00A32FCB">
          <w:pPr>
            <w:pStyle w:val="TOC2"/>
            <w:tabs>
              <w:tab w:val="right" w:leader="dot" w:pos="9350"/>
            </w:tabs>
            <w:rPr>
              <w:noProof/>
            </w:rPr>
          </w:pPr>
          <w:hyperlink w:anchor="_Toc474413188" w:history="1">
            <w:r w:rsidR="00CE796C" w:rsidRPr="00727C83">
              <w:rPr>
                <w:rStyle w:val="Hyperlink"/>
                <w:noProof/>
                <w:lang w:val="es-ES_tradnl"/>
              </w:rPr>
              <w:t>Innovación, trastornos del comercio y reglamentación de la quinta generación</w:t>
            </w:r>
            <w:r w:rsidR="00CE796C">
              <w:rPr>
                <w:noProof/>
                <w:webHidden/>
              </w:rPr>
              <w:tab/>
            </w:r>
            <w:r w:rsidR="00CE796C">
              <w:rPr>
                <w:noProof/>
                <w:webHidden/>
              </w:rPr>
              <w:fldChar w:fldCharType="begin"/>
            </w:r>
            <w:r w:rsidR="00CE796C">
              <w:rPr>
                <w:noProof/>
                <w:webHidden/>
              </w:rPr>
              <w:instrText xml:space="preserve"> PAGEREF _Toc474413188 \h </w:instrText>
            </w:r>
            <w:r w:rsidR="00CE796C">
              <w:rPr>
                <w:noProof/>
                <w:webHidden/>
              </w:rPr>
            </w:r>
            <w:r w:rsidR="00CE796C">
              <w:rPr>
                <w:noProof/>
                <w:webHidden/>
              </w:rPr>
              <w:fldChar w:fldCharType="separate"/>
            </w:r>
            <w:r w:rsidR="00274B03">
              <w:rPr>
                <w:noProof/>
                <w:webHidden/>
              </w:rPr>
              <w:t>25</w:t>
            </w:r>
            <w:r w:rsidR="00CE796C">
              <w:rPr>
                <w:noProof/>
                <w:webHidden/>
              </w:rPr>
              <w:fldChar w:fldCharType="end"/>
            </w:r>
          </w:hyperlink>
        </w:p>
        <w:p w:rsidR="00CE796C" w:rsidRDefault="00A32FCB">
          <w:pPr>
            <w:pStyle w:val="TOC2"/>
            <w:tabs>
              <w:tab w:val="right" w:leader="dot" w:pos="9350"/>
            </w:tabs>
            <w:rPr>
              <w:noProof/>
            </w:rPr>
          </w:pPr>
          <w:hyperlink w:anchor="_Toc474413189" w:history="1">
            <w:r w:rsidR="00CE796C" w:rsidRPr="00727C83">
              <w:rPr>
                <w:rStyle w:val="Hyperlink"/>
                <w:noProof/>
                <w:lang w:val="es-ES_tradnl"/>
              </w:rPr>
              <w:t>Cuantificación del impacto de la reglamentación en el despegue de las TIC</w:t>
            </w:r>
            <w:r w:rsidR="00CE796C">
              <w:rPr>
                <w:noProof/>
                <w:webHidden/>
              </w:rPr>
              <w:tab/>
            </w:r>
            <w:r w:rsidR="00CE796C">
              <w:rPr>
                <w:noProof/>
                <w:webHidden/>
              </w:rPr>
              <w:fldChar w:fldCharType="begin"/>
            </w:r>
            <w:r w:rsidR="00CE796C">
              <w:rPr>
                <w:noProof/>
                <w:webHidden/>
              </w:rPr>
              <w:instrText xml:space="preserve"> PAGEREF _Toc474413189 \h </w:instrText>
            </w:r>
            <w:r w:rsidR="00CE796C">
              <w:rPr>
                <w:noProof/>
                <w:webHidden/>
              </w:rPr>
            </w:r>
            <w:r w:rsidR="00CE796C">
              <w:rPr>
                <w:noProof/>
                <w:webHidden/>
              </w:rPr>
              <w:fldChar w:fldCharType="separate"/>
            </w:r>
            <w:r w:rsidR="00274B03">
              <w:rPr>
                <w:noProof/>
                <w:webHidden/>
              </w:rPr>
              <w:t>27</w:t>
            </w:r>
            <w:r w:rsidR="00CE796C">
              <w:rPr>
                <w:noProof/>
                <w:webHidden/>
              </w:rPr>
              <w:fldChar w:fldCharType="end"/>
            </w:r>
          </w:hyperlink>
        </w:p>
        <w:p w:rsidR="00CE796C" w:rsidRDefault="00A32FCB">
          <w:pPr>
            <w:pStyle w:val="TOC1"/>
            <w:tabs>
              <w:tab w:val="left" w:pos="440"/>
              <w:tab w:val="right" w:leader="dot" w:pos="9350"/>
            </w:tabs>
            <w:rPr>
              <w:noProof/>
            </w:rPr>
          </w:pPr>
          <w:hyperlink w:anchor="_Toc474413190" w:history="1">
            <w:r w:rsidR="00CE796C" w:rsidRPr="00727C83">
              <w:rPr>
                <w:rStyle w:val="Hyperlink"/>
                <w:rFonts w:eastAsia="Times New Roman" w:cs="Times New Roman"/>
                <w:noProof/>
                <w:lang w:val="es-ES_tradnl"/>
              </w:rPr>
              <w:t>3</w:t>
            </w:r>
            <w:r w:rsidR="00CE796C">
              <w:rPr>
                <w:noProof/>
              </w:rPr>
              <w:tab/>
            </w:r>
            <w:r w:rsidR="00CE796C" w:rsidRPr="00727C83">
              <w:rPr>
                <w:rStyle w:val="Hyperlink"/>
                <w:rFonts w:eastAsia="Times New Roman" w:cs="Times New Roman"/>
                <w:noProof/>
                <w:lang w:val="es-ES_tradnl"/>
              </w:rPr>
              <w:t>Perspectiva general de los desarrollos de las TIC</w:t>
            </w:r>
            <w:r w:rsidR="00CE796C">
              <w:rPr>
                <w:noProof/>
                <w:webHidden/>
              </w:rPr>
              <w:tab/>
            </w:r>
            <w:r w:rsidR="00CE796C">
              <w:rPr>
                <w:noProof/>
                <w:webHidden/>
              </w:rPr>
              <w:fldChar w:fldCharType="begin"/>
            </w:r>
            <w:r w:rsidR="00CE796C">
              <w:rPr>
                <w:noProof/>
                <w:webHidden/>
              </w:rPr>
              <w:instrText xml:space="preserve"> PAGEREF _Toc474413190 \h </w:instrText>
            </w:r>
            <w:r w:rsidR="00CE796C">
              <w:rPr>
                <w:noProof/>
                <w:webHidden/>
              </w:rPr>
            </w:r>
            <w:r w:rsidR="00CE796C">
              <w:rPr>
                <w:noProof/>
                <w:webHidden/>
              </w:rPr>
              <w:fldChar w:fldCharType="separate"/>
            </w:r>
            <w:r w:rsidR="00274B03">
              <w:rPr>
                <w:noProof/>
                <w:webHidden/>
              </w:rPr>
              <w:t>30</w:t>
            </w:r>
            <w:r w:rsidR="00CE796C">
              <w:rPr>
                <w:noProof/>
                <w:webHidden/>
              </w:rPr>
              <w:fldChar w:fldCharType="end"/>
            </w:r>
          </w:hyperlink>
        </w:p>
        <w:p w:rsidR="00CE796C" w:rsidRDefault="00A32FCB">
          <w:pPr>
            <w:pStyle w:val="TOC2"/>
            <w:tabs>
              <w:tab w:val="right" w:leader="dot" w:pos="9350"/>
            </w:tabs>
            <w:rPr>
              <w:noProof/>
            </w:rPr>
          </w:pPr>
          <w:hyperlink w:anchor="_Toc474413191" w:history="1">
            <w:r w:rsidR="00CE796C" w:rsidRPr="00727C83">
              <w:rPr>
                <w:rStyle w:val="Hyperlink"/>
                <w:noProof/>
                <w:lang w:val="es-ES_tradnl"/>
              </w:rPr>
              <w:t>Desarrollos del mercado móvil</w:t>
            </w:r>
            <w:r w:rsidR="00CE796C">
              <w:rPr>
                <w:noProof/>
                <w:webHidden/>
              </w:rPr>
              <w:tab/>
            </w:r>
            <w:r w:rsidR="00CE796C">
              <w:rPr>
                <w:noProof/>
                <w:webHidden/>
              </w:rPr>
              <w:fldChar w:fldCharType="begin"/>
            </w:r>
            <w:r w:rsidR="00CE796C">
              <w:rPr>
                <w:noProof/>
                <w:webHidden/>
              </w:rPr>
              <w:instrText xml:space="preserve"> PAGEREF _Toc474413191 \h </w:instrText>
            </w:r>
            <w:r w:rsidR="00CE796C">
              <w:rPr>
                <w:noProof/>
                <w:webHidden/>
              </w:rPr>
            </w:r>
            <w:r w:rsidR="00CE796C">
              <w:rPr>
                <w:noProof/>
                <w:webHidden/>
              </w:rPr>
              <w:fldChar w:fldCharType="separate"/>
            </w:r>
            <w:r w:rsidR="00274B03">
              <w:rPr>
                <w:noProof/>
                <w:webHidden/>
              </w:rPr>
              <w:t>31</w:t>
            </w:r>
            <w:r w:rsidR="00CE796C">
              <w:rPr>
                <w:noProof/>
                <w:webHidden/>
              </w:rPr>
              <w:fldChar w:fldCharType="end"/>
            </w:r>
          </w:hyperlink>
        </w:p>
        <w:p w:rsidR="00CE796C" w:rsidRDefault="00A32FCB">
          <w:pPr>
            <w:pStyle w:val="TOC2"/>
            <w:tabs>
              <w:tab w:val="right" w:leader="dot" w:pos="9350"/>
            </w:tabs>
            <w:rPr>
              <w:noProof/>
            </w:rPr>
          </w:pPr>
          <w:hyperlink w:anchor="_Toc474413192" w:history="1">
            <w:r w:rsidR="00CE796C" w:rsidRPr="00727C83">
              <w:rPr>
                <w:rStyle w:val="Hyperlink"/>
                <w:noProof/>
                <w:lang w:val="es-ES_tradnl"/>
              </w:rPr>
              <w:t>Banda ancha fija y ancho de banda Internet internacional</w:t>
            </w:r>
            <w:r w:rsidR="00CE796C">
              <w:rPr>
                <w:noProof/>
                <w:webHidden/>
              </w:rPr>
              <w:tab/>
            </w:r>
            <w:r w:rsidR="00CE796C">
              <w:rPr>
                <w:noProof/>
                <w:webHidden/>
              </w:rPr>
              <w:fldChar w:fldCharType="begin"/>
            </w:r>
            <w:r w:rsidR="00CE796C">
              <w:rPr>
                <w:noProof/>
                <w:webHidden/>
              </w:rPr>
              <w:instrText xml:space="preserve"> PAGEREF _Toc474413192 \h </w:instrText>
            </w:r>
            <w:r w:rsidR="00CE796C">
              <w:rPr>
                <w:noProof/>
                <w:webHidden/>
              </w:rPr>
            </w:r>
            <w:r w:rsidR="00CE796C">
              <w:rPr>
                <w:noProof/>
                <w:webHidden/>
              </w:rPr>
              <w:fldChar w:fldCharType="separate"/>
            </w:r>
            <w:r w:rsidR="00274B03">
              <w:rPr>
                <w:noProof/>
                <w:webHidden/>
              </w:rPr>
              <w:t>36</w:t>
            </w:r>
            <w:r w:rsidR="00CE796C">
              <w:rPr>
                <w:noProof/>
                <w:webHidden/>
              </w:rPr>
              <w:fldChar w:fldCharType="end"/>
            </w:r>
          </w:hyperlink>
        </w:p>
        <w:p w:rsidR="00CE796C" w:rsidRDefault="00A32FCB">
          <w:pPr>
            <w:pStyle w:val="TOC2"/>
            <w:tabs>
              <w:tab w:val="right" w:leader="dot" w:pos="9350"/>
            </w:tabs>
            <w:rPr>
              <w:noProof/>
            </w:rPr>
          </w:pPr>
          <w:hyperlink w:anchor="_Toc474413193" w:history="1">
            <w:r w:rsidR="00CE796C" w:rsidRPr="00727C83">
              <w:rPr>
                <w:rStyle w:val="Hyperlink"/>
                <w:noProof/>
                <w:lang w:val="es-ES_tradnl"/>
              </w:rPr>
              <w:t>Internet: acceso, utilización y brecha de género</w:t>
            </w:r>
            <w:r w:rsidR="00CE796C">
              <w:rPr>
                <w:noProof/>
                <w:webHidden/>
              </w:rPr>
              <w:tab/>
            </w:r>
            <w:r w:rsidR="00CE796C">
              <w:rPr>
                <w:noProof/>
                <w:webHidden/>
              </w:rPr>
              <w:fldChar w:fldCharType="begin"/>
            </w:r>
            <w:r w:rsidR="00CE796C">
              <w:rPr>
                <w:noProof/>
                <w:webHidden/>
              </w:rPr>
              <w:instrText xml:space="preserve"> PAGEREF _Toc474413193 \h </w:instrText>
            </w:r>
            <w:r w:rsidR="00CE796C">
              <w:rPr>
                <w:noProof/>
                <w:webHidden/>
              </w:rPr>
            </w:r>
            <w:r w:rsidR="00CE796C">
              <w:rPr>
                <w:noProof/>
                <w:webHidden/>
              </w:rPr>
              <w:fldChar w:fldCharType="separate"/>
            </w:r>
            <w:r w:rsidR="00274B03">
              <w:rPr>
                <w:noProof/>
                <w:webHidden/>
              </w:rPr>
              <w:t>39</w:t>
            </w:r>
            <w:r w:rsidR="00CE796C">
              <w:rPr>
                <w:noProof/>
                <w:webHidden/>
              </w:rPr>
              <w:fldChar w:fldCharType="end"/>
            </w:r>
          </w:hyperlink>
        </w:p>
        <w:p w:rsidR="00CE796C" w:rsidRDefault="00A32FCB">
          <w:pPr>
            <w:pStyle w:val="TOC1"/>
            <w:tabs>
              <w:tab w:val="left" w:pos="440"/>
              <w:tab w:val="right" w:leader="dot" w:pos="9350"/>
            </w:tabs>
            <w:rPr>
              <w:noProof/>
            </w:rPr>
          </w:pPr>
          <w:hyperlink w:anchor="_Toc474413194" w:history="1">
            <w:r w:rsidR="00CE796C" w:rsidRPr="00727C83">
              <w:rPr>
                <w:rStyle w:val="Hyperlink"/>
                <w:rFonts w:eastAsia="Times New Roman" w:cs="Times New Roman"/>
                <w:noProof/>
                <w:lang w:val="es-ES_tradnl"/>
              </w:rPr>
              <w:t>4</w:t>
            </w:r>
            <w:r w:rsidR="00CE796C">
              <w:rPr>
                <w:noProof/>
              </w:rPr>
              <w:tab/>
            </w:r>
            <w:r w:rsidR="00CE796C" w:rsidRPr="00727C83">
              <w:rPr>
                <w:rStyle w:val="Hyperlink"/>
                <w:rFonts w:eastAsia="Times New Roman" w:cs="Times New Roman"/>
                <w:noProof/>
                <w:lang w:val="es-ES_tradnl"/>
              </w:rPr>
              <w:t>Índice de Desarrollo de las TIC (IDT)</w:t>
            </w:r>
            <w:r w:rsidR="00CE796C">
              <w:rPr>
                <w:noProof/>
                <w:webHidden/>
              </w:rPr>
              <w:tab/>
            </w:r>
            <w:r w:rsidR="00CE796C">
              <w:rPr>
                <w:noProof/>
                <w:webHidden/>
              </w:rPr>
              <w:fldChar w:fldCharType="begin"/>
            </w:r>
            <w:r w:rsidR="00CE796C">
              <w:rPr>
                <w:noProof/>
                <w:webHidden/>
              </w:rPr>
              <w:instrText xml:space="preserve"> PAGEREF _Toc474413194 \h </w:instrText>
            </w:r>
            <w:r w:rsidR="00CE796C">
              <w:rPr>
                <w:noProof/>
                <w:webHidden/>
              </w:rPr>
            </w:r>
            <w:r w:rsidR="00CE796C">
              <w:rPr>
                <w:noProof/>
                <w:webHidden/>
              </w:rPr>
              <w:fldChar w:fldCharType="separate"/>
            </w:r>
            <w:r w:rsidR="00274B03">
              <w:rPr>
                <w:noProof/>
                <w:webHidden/>
              </w:rPr>
              <w:t>46</w:t>
            </w:r>
            <w:r w:rsidR="00CE796C">
              <w:rPr>
                <w:noProof/>
                <w:webHidden/>
              </w:rPr>
              <w:fldChar w:fldCharType="end"/>
            </w:r>
          </w:hyperlink>
        </w:p>
        <w:p w:rsidR="00CE796C" w:rsidRDefault="00A32FCB">
          <w:pPr>
            <w:pStyle w:val="TOC2"/>
            <w:tabs>
              <w:tab w:val="right" w:leader="dot" w:pos="9350"/>
            </w:tabs>
            <w:rPr>
              <w:noProof/>
            </w:rPr>
          </w:pPr>
          <w:hyperlink w:anchor="_Toc474413195" w:history="1">
            <w:r w:rsidR="00CE796C" w:rsidRPr="00727C83">
              <w:rPr>
                <w:rStyle w:val="Hyperlink"/>
                <w:noProof/>
                <w:lang w:val="es-ES_tradnl"/>
              </w:rPr>
              <w:t>Análisis regional del IDT 2016</w:t>
            </w:r>
            <w:r w:rsidR="00CE796C">
              <w:rPr>
                <w:noProof/>
                <w:webHidden/>
              </w:rPr>
              <w:tab/>
            </w:r>
            <w:r w:rsidR="00CE796C">
              <w:rPr>
                <w:noProof/>
                <w:webHidden/>
              </w:rPr>
              <w:fldChar w:fldCharType="begin"/>
            </w:r>
            <w:r w:rsidR="00CE796C">
              <w:rPr>
                <w:noProof/>
                <w:webHidden/>
              </w:rPr>
              <w:instrText xml:space="preserve"> PAGEREF _Toc474413195 \h </w:instrText>
            </w:r>
            <w:r w:rsidR="00CE796C">
              <w:rPr>
                <w:noProof/>
                <w:webHidden/>
              </w:rPr>
            </w:r>
            <w:r w:rsidR="00CE796C">
              <w:rPr>
                <w:noProof/>
                <w:webHidden/>
              </w:rPr>
              <w:fldChar w:fldCharType="separate"/>
            </w:r>
            <w:r w:rsidR="00274B03">
              <w:rPr>
                <w:noProof/>
                <w:webHidden/>
              </w:rPr>
              <w:t>47</w:t>
            </w:r>
            <w:r w:rsidR="00CE796C">
              <w:rPr>
                <w:noProof/>
                <w:webHidden/>
              </w:rPr>
              <w:fldChar w:fldCharType="end"/>
            </w:r>
          </w:hyperlink>
        </w:p>
        <w:p w:rsidR="00CE796C" w:rsidRDefault="00A32FCB">
          <w:pPr>
            <w:pStyle w:val="TOC2"/>
            <w:tabs>
              <w:tab w:val="right" w:leader="dot" w:pos="9350"/>
            </w:tabs>
            <w:rPr>
              <w:noProof/>
            </w:rPr>
          </w:pPr>
          <w:hyperlink w:anchor="_Toc474413196" w:history="1">
            <w:r w:rsidR="00CE796C" w:rsidRPr="00727C83">
              <w:rPr>
                <w:rStyle w:val="Hyperlink"/>
                <w:noProof/>
                <w:lang w:val="es-ES_tradnl"/>
              </w:rPr>
              <w:t>El IDI 2016 en la región de las Américas</w:t>
            </w:r>
            <w:r w:rsidR="00CE796C">
              <w:rPr>
                <w:noProof/>
                <w:webHidden/>
              </w:rPr>
              <w:tab/>
            </w:r>
            <w:r w:rsidR="00CE796C">
              <w:rPr>
                <w:noProof/>
                <w:webHidden/>
              </w:rPr>
              <w:fldChar w:fldCharType="begin"/>
            </w:r>
            <w:r w:rsidR="00CE796C">
              <w:rPr>
                <w:noProof/>
                <w:webHidden/>
              </w:rPr>
              <w:instrText xml:space="preserve"> PAGEREF _Toc474413196 \h </w:instrText>
            </w:r>
            <w:r w:rsidR="00CE796C">
              <w:rPr>
                <w:noProof/>
                <w:webHidden/>
              </w:rPr>
            </w:r>
            <w:r w:rsidR="00CE796C">
              <w:rPr>
                <w:noProof/>
                <w:webHidden/>
              </w:rPr>
              <w:fldChar w:fldCharType="separate"/>
            </w:r>
            <w:r w:rsidR="00274B03">
              <w:rPr>
                <w:noProof/>
                <w:webHidden/>
              </w:rPr>
              <w:t>53</w:t>
            </w:r>
            <w:r w:rsidR="00CE796C">
              <w:rPr>
                <w:noProof/>
                <w:webHidden/>
              </w:rPr>
              <w:fldChar w:fldCharType="end"/>
            </w:r>
          </w:hyperlink>
        </w:p>
        <w:p w:rsidR="00CE796C" w:rsidRDefault="00A32FCB">
          <w:pPr>
            <w:pStyle w:val="TOC2"/>
            <w:tabs>
              <w:tab w:val="right" w:leader="dot" w:pos="9350"/>
            </w:tabs>
            <w:rPr>
              <w:noProof/>
            </w:rPr>
          </w:pPr>
          <w:hyperlink w:anchor="_Toc474413197" w:history="1">
            <w:r w:rsidR="00CE796C" w:rsidRPr="00727C83">
              <w:rPr>
                <w:rStyle w:val="Hyperlink"/>
                <w:noProof/>
                <w:lang w:val="es-ES_tradnl"/>
              </w:rPr>
              <w:t>Las Américas: países más dinámicos en el IDT</w:t>
            </w:r>
            <w:r w:rsidR="00CE796C">
              <w:rPr>
                <w:noProof/>
                <w:webHidden/>
              </w:rPr>
              <w:tab/>
            </w:r>
            <w:r w:rsidR="00CE796C">
              <w:rPr>
                <w:noProof/>
                <w:webHidden/>
              </w:rPr>
              <w:fldChar w:fldCharType="begin"/>
            </w:r>
            <w:r w:rsidR="00CE796C">
              <w:rPr>
                <w:noProof/>
                <w:webHidden/>
              </w:rPr>
              <w:instrText xml:space="preserve"> PAGEREF _Toc474413197 \h </w:instrText>
            </w:r>
            <w:r w:rsidR="00CE796C">
              <w:rPr>
                <w:noProof/>
                <w:webHidden/>
              </w:rPr>
            </w:r>
            <w:r w:rsidR="00CE796C">
              <w:rPr>
                <w:noProof/>
                <w:webHidden/>
              </w:rPr>
              <w:fldChar w:fldCharType="separate"/>
            </w:r>
            <w:r w:rsidR="00274B03">
              <w:rPr>
                <w:noProof/>
                <w:webHidden/>
              </w:rPr>
              <w:t>56</w:t>
            </w:r>
            <w:r w:rsidR="00CE796C">
              <w:rPr>
                <w:noProof/>
                <w:webHidden/>
              </w:rPr>
              <w:fldChar w:fldCharType="end"/>
            </w:r>
          </w:hyperlink>
        </w:p>
        <w:p w:rsidR="00CE796C" w:rsidRDefault="00A32FCB">
          <w:pPr>
            <w:pStyle w:val="TOC1"/>
            <w:tabs>
              <w:tab w:val="left" w:pos="440"/>
              <w:tab w:val="right" w:leader="dot" w:pos="9350"/>
            </w:tabs>
            <w:rPr>
              <w:noProof/>
            </w:rPr>
          </w:pPr>
          <w:hyperlink w:anchor="_Toc474413198" w:history="1">
            <w:r w:rsidR="00CE796C" w:rsidRPr="00727C83">
              <w:rPr>
                <w:rStyle w:val="Hyperlink"/>
                <w:rFonts w:eastAsia="Times New Roman" w:cs="Times New Roman"/>
                <w:noProof/>
                <w:lang w:val="es-ES_tradnl"/>
              </w:rPr>
              <w:t>5</w:t>
            </w:r>
            <w:r w:rsidR="00CE796C">
              <w:rPr>
                <w:noProof/>
              </w:rPr>
              <w:tab/>
            </w:r>
            <w:r w:rsidR="00CE796C" w:rsidRPr="00727C83">
              <w:rPr>
                <w:rStyle w:val="Hyperlink"/>
                <w:rFonts w:eastAsia="Times New Roman" w:cs="Times New Roman"/>
                <w:noProof/>
                <w:lang w:val="es-ES_tradnl"/>
              </w:rPr>
              <w:t>Supervisión del precio y la asequibilidad de las TIC en la región de las Américas</w:t>
            </w:r>
            <w:r w:rsidR="00CE796C">
              <w:rPr>
                <w:noProof/>
                <w:webHidden/>
              </w:rPr>
              <w:tab/>
            </w:r>
            <w:r w:rsidR="00CE796C">
              <w:rPr>
                <w:noProof/>
                <w:webHidden/>
              </w:rPr>
              <w:fldChar w:fldCharType="begin"/>
            </w:r>
            <w:r w:rsidR="00CE796C">
              <w:rPr>
                <w:noProof/>
                <w:webHidden/>
              </w:rPr>
              <w:instrText xml:space="preserve"> PAGEREF _Toc474413198 \h </w:instrText>
            </w:r>
            <w:r w:rsidR="00CE796C">
              <w:rPr>
                <w:noProof/>
                <w:webHidden/>
              </w:rPr>
            </w:r>
            <w:r w:rsidR="00CE796C">
              <w:rPr>
                <w:noProof/>
                <w:webHidden/>
              </w:rPr>
              <w:fldChar w:fldCharType="separate"/>
            </w:r>
            <w:r w:rsidR="00274B03">
              <w:rPr>
                <w:noProof/>
                <w:webHidden/>
              </w:rPr>
              <w:t>60</w:t>
            </w:r>
            <w:r w:rsidR="00CE796C">
              <w:rPr>
                <w:noProof/>
                <w:webHidden/>
              </w:rPr>
              <w:fldChar w:fldCharType="end"/>
            </w:r>
          </w:hyperlink>
        </w:p>
        <w:p w:rsidR="00CE796C" w:rsidRDefault="00A32FCB">
          <w:pPr>
            <w:pStyle w:val="TOC2"/>
            <w:tabs>
              <w:tab w:val="right" w:leader="dot" w:pos="9350"/>
            </w:tabs>
            <w:rPr>
              <w:noProof/>
            </w:rPr>
          </w:pPr>
          <w:hyperlink w:anchor="_Toc474413199" w:history="1">
            <w:r w:rsidR="00CE796C" w:rsidRPr="00727C83">
              <w:rPr>
                <w:rStyle w:val="Hyperlink"/>
                <w:noProof/>
                <w:lang w:val="es-ES_tradnl"/>
              </w:rPr>
              <w:t>Precios móviles celulares en la región de las Américas</w:t>
            </w:r>
            <w:r w:rsidR="00CE796C">
              <w:rPr>
                <w:noProof/>
                <w:webHidden/>
              </w:rPr>
              <w:tab/>
            </w:r>
            <w:r w:rsidR="00CE796C">
              <w:rPr>
                <w:noProof/>
                <w:webHidden/>
              </w:rPr>
              <w:fldChar w:fldCharType="begin"/>
            </w:r>
            <w:r w:rsidR="00CE796C">
              <w:rPr>
                <w:noProof/>
                <w:webHidden/>
              </w:rPr>
              <w:instrText xml:space="preserve"> PAGEREF _Toc474413199 \h </w:instrText>
            </w:r>
            <w:r w:rsidR="00CE796C">
              <w:rPr>
                <w:noProof/>
                <w:webHidden/>
              </w:rPr>
            </w:r>
            <w:r w:rsidR="00CE796C">
              <w:rPr>
                <w:noProof/>
                <w:webHidden/>
              </w:rPr>
              <w:fldChar w:fldCharType="separate"/>
            </w:r>
            <w:r w:rsidR="00274B03">
              <w:rPr>
                <w:noProof/>
                <w:webHidden/>
              </w:rPr>
              <w:t>61</w:t>
            </w:r>
            <w:r w:rsidR="00CE796C">
              <w:rPr>
                <w:noProof/>
                <w:webHidden/>
              </w:rPr>
              <w:fldChar w:fldCharType="end"/>
            </w:r>
          </w:hyperlink>
        </w:p>
        <w:p w:rsidR="00CE796C" w:rsidRDefault="00A32FCB">
          <w:pPr>
            <w:pStyle w:val="TOC2"/>
            <w:tabs>
              <w:tab w:val="right" w:leader="dot" w:pos="9350"/>
            </w:tabs>
            <w:rPr>
              <w:noProof/>
            </w:rPr>
          </w:pPr>
          <w:hyperlink w:anchor="_Toc474413200" w:history="1">
            <w:r w:rsidR="00CE796C" w:rsidRPr="00727C83">
              <w:rPr>
                <w:rStyle w:val="Hyperlink"/>
                <w:noProof/>
                <w:lang w:val="es-ES_tradnl"/>
              </w:rPr>
              <w:t>Precios de la banda ancha fija en la región de las Américas</w:t>
            </w:r>
            <w:r w:rsidR="00CE796C">
              <w:rPr>
                <w:noProof/>
                <w:webHidden/>
              </w:rPr>
              <w:tab/>
            </w:r>
            <w:r w:rsidR="00CE796C">
              <w:rPr>
                <w:noProof/>
                <w:webHidden/>
              </w:rPr>
              <w:fldChar w:fldCharType="begin"/>
            </w:r>
            <w:r w:rsidR="00CE796C">
              <w:rPr>
                <w:noProof/>
                <w:webHidden/>
              </w:rPr>
              <w:instrText xml:space="preserve"> PAGEREF _Toc474413200 \h </w:instrText>
            </w:r>
            <w:r w:rsidR="00CE796C">
              <w:rPr>
                <w:noProof/>
                <w:webHidden/>
              </w:rPr>
            </w:r>
            <w:r w:rsidR="00CE796C">
              <w:rPr>
                <w:noProof/>
                <w:webHidden/>
              </w:rPr>
              <w:fldChar w:fldCharType="separate"/>
            </w:r>
            <w:r w:rsidR="00274B03">
              <w:rPr>
                <w:noProof/>
                <w:webHidden/>
              </w:rPr>
              <w:t>64</w:t>
            </w:r>
            <w:r w:rsidR="00CE796C">
              <w:rPr>
                <w:noProof/>
                <w:webHidden/>
              </w:rPr>
              <w:fldChar w:fldCharType="end"/>
            </w:r>
          </w:hyperlink>
        </w:p>
        <w:p w:rsidR="00CE796C" w:rsidRDefault="00A32FCB">
          <w:pPr>
            <w:pStyle w:val="TOC2"/>
            <w:tabs>
              <w:tab w:val="right" w:leader="dot" w:pos="9350"/>
            </w:tabs>
            <w:rPr>
              <w:noProof/>
            </w:rPr>
          </w:pPr>
          <w:hyperlink w:anchor="_Toc474413201" w:history="1">
            <w:r w:rsidR="00CE796C" w:rsidRPr="00727C83">
              <w:rPr>
                <w:rStyle w:val="Hyperlink"/>
                <w:noProof/>
                <w:lang w:val="es-ES_tradnl"/>
              </w:rPr>
              <w:t>Precios de la banda ancha móvil en la región de las Américas</w:t>
            </w:r>
            <w:r w:rsidR="00CE796C">
              <w:rPr>
                <w:noProof/>
                <w:webHidden/>
              </w:rPr>
              <w:tab/>
            </w:r>
            <w:r w:rsidR="00CE796C">
              <w:rPr>
                <w:noProof/>
                <w:webHidden/>
              </w:rPr>
              <w:fldChar w:fldCharType="begin"/>
            </w:r>
            <w:r w:rsidR="00CE796C">
              <w:rPr>
                <w:noProof/>
                <w:webHidden/>
              </w:rPr>
              <w:instrText xml:space="preserve"> PAGEREF _Toc474413201 \h </w:instrText>
            </w:r>
            <w:r w:rsidR="00CE796C">
              <w:rPr>
                <w:noProof/>
                <w:webHidden/>
              </w:rPr>
            </w:r>
            <w:r w:rsidR="00CE796C">
              <w:rPr>
                <w:noProof/>
                <w:webHidden/>
              </w:rPr>
              <w:fldChar w:fldCharType="separate"/>
            </w:r>
            <w:r w:rsidR="00274B03">
              <w:rPr>
                <w:noProof/>
                <w:webHidden/>
              </w:rPr>
              <w:t>66</w:t>
            </w:r>
            <w:r w:rsidR="00CE796C">
              <w:rPr>
                <w:noProof/>
                <w:webHidden/>
              </w:rPr>
              <w:fldChar w:fldCharType="end"/>
            </w:r>
          </w:hyperlink>
        </w:p>
        <w:p w:rsidR="00CE796C" w:rsidRDefault="00A32FCB">
          <w:pPr>
            <w:pStyle w:val="TOC1"/>
            <w:tabs>
              <w:tab w:val="left" w:pos="440"/>
              <w:tab w:val="right" w:leader="dot" w:pos="9350"/>
            </w:tabs>
            <w:rPr>
              <w:noProof/>
            </w:rPr>
          </w:pPr>
          <w:hyperlink w:anchor="_Toc474413202" w:history="1">
            <w:r w:rsidR="00CE796C" w:rsidRPr="00727C83">
              <w:rPr>
                <w:rStyle w:val="Hyperlink"/>
                <w:rFonts w:eastAsia="Times New Roman" w:cs="Times New Roman"/>
                <w:noProof/>
                <w:lang w:val="es-ES_tradnl"/>
              </w:rPr>
              <w:t>6</w:t>
            </w:r>
            <w:r w:rsidR="00CE796C">
              <w:rPr>
                <w:noProof/>
              </w:rPr>
              <w:tab/>
            </w:r>
            <w:r w:rsidR="00CE796C" w:rsidRPr="00727C83">
              <w:rPr>
                <w:rStyle w:val="Hyperlink"/>
                <w:rFonts w:eastAsia="Times New Roman" w:cs="Times New Roman"/>
                <w:noProof/>
                <w:lang w:val="es-ES_tradnl"/>
              </w:rPr>
              <w:t>Conclusiones</w:t>
            </w:r>
            <w:r w:rsidR="00CE796C">
              <w:rPr>
                <w:noProof/>
                <w:webHidden/>
              </w:rPr>
              <w:tab/>
            </w:r>
            <w:r w:rsidR="00CE796C">
              <w:rPr>
                <w:noProof/>
                <w:webHidden/>
              </w:rPr>
              <w:fldChar w:fldCharType="begin"/>
            </w:r>
            <w:r w:rsidR="00CE796C">
              <w:rPr>
                <w:noProof/>
                <w:webHidden/>
              </w:rPr>
              <w:instrText xml:space="preserve"> PAGEREF _Toc474413202 \h </w:instrText>
            </w:r>
            <w:r w:rsidR="00CE796C">
              <w:rPr>
                <w:noProof/>
                <w:webHidden/>
              </w:rPr>
            </w:r>
            <w:r w:rsidR="00CE796C">
              <w:rPr>
                <w:noProof/>
                <w:webHidden/>
              </w:rPr>
              <w:fldChar w:fldCharType="separate"/>
            </w:r>
            <w:r w:rsidR="00274B03">
              <w:rPr>
                <w:noProof/>
                <w:webHidden/>
              </w:rPr>
              <w:t>68</w:t>
            </w:r>
            <w:r w:rsidR="00CE796C">
              <w:rPr>
                <w:noProof/>
                <w:webHidden/>
              </w:rPr>
              <w:fldChar w:fldCharType="end"/>
            </w:r>
          </w:hyperlink>
        </w:p>
        <w:p w:rsidR="00CE796C" w:rsidRDefault="00A32FCB">
          <w:pPr>
            <w:pStyle w:val="TOC1"/>
            <w:tabs>
              <w:tab w:val="left" w:pos="440"/>
              <w:tab w:val="right" w:leader="dot" w:pos="9350"/>
            </w:tabs>
            <w:rPr>
              <w:noProof/>
            </w:rPr>
          </w:pPr>
          <w:hyperlink w:anchor="_Toc474413203" w:history="1">
            <w:r w:rsidR="00CE796C" w:rsidRPr="00727C83">
              <w:rPr>
                <w:rStyle w:val="Hyperlink"/>
                <w:rFonts w:eastAsia="Times New Roman" w:cs="Times New Roman"/>
                <w:noProof/>
                <w:lang w:val="es-ES_tradnl"/>
              </w:rPr>
              <w:t>7</w:t>
            </w:r>
            <w:r w:rsidR="00CE796C">
              <w:rPr>
                <w:noProof/>
              </w:rPr>
              <w:tab/>
            </w:r>
            <w:r w:rsidR="00CE796C" w:rsidRPr="00727C83">
              <w:rPr>
                <w:rStyle w:val="Hyperlink"/>
                <w:rFonts w:eastAsia="Times New Roman" w:cs="Times New Roman"/>
                <w:noProof/>
                <w:lang w:val="es-ES_tradnl"/>
              </w:rPr>
              <w:t>Referencias</w:t>
            </w:r>
            <w:r w:rsidR="00CE796C">
              <w:rPr>
                <w:noProof/>
                <w:webHidden/>
              </w:rPr>
              <w:tab/>
            </w:r>
            <w:r w:rsidR="00CE796C">
              <w:rPr>
                <w:noProof/>
                <w:webHidden/>
              </w:rPr>
              <w:fldChar w:fldCharType="begin"/>
            </w:r>
            <w:r w:rsidR="00CE796C">
              <w:rPr>
                <w:noProof/>
                <w:webHidden/>
              </w:rPr>
              <w:instrText xml:space="preserve"> PAGEREF _Toc474413203 \h </w:instrText>
            </w:r>
            <w:r w:rsidR="00CE796C">
              <w:rPr>
                <w:noProof/>
                <w:webHidden/>
              </w:rPr>
            </w:r>
            <w:r w:rsidR="00CE796C">
              <w:rPr>
                <w:noProof/>
                <w:webHidden/>
              </w:rPr>
              <w:fldChar w:fldCharType="separate"/>
            </w:r>
            <w:r w:rsidR="00274B03">
              <w:rPr>
                <w:noProof/>
                <w:webHidden/>
              </w:rPr>
              <w:t>70</w:t>
            </w:r>
            <w:r w:rsidR="00CE796C">
              <w:rPr>
                <w:noProof/>
                <w:webHidden/>
              </w:rPr>
              <w:fldChar w:fldCharType="end"/>
            </w:r>
          </w:hyperlink>
        </w:p>
        <w:p w:rsidR="000A39FD" w:rsidRPr="007078A2" w:rsidRDefault="000C5DD8" w:rsidP="00FF14BC">
          <w:pPr>
            <w:jc w:val="both"/>
            <w:rPr>
              <w:lang w:val="es-ES_tradnl"/>
            </w:rPr>
          </w:pPr>
          <w:r w:rsidRPr="007078A2">
            <w:rPr>
              <w:rFonts w:asciiTheme="minorHAnsi" w:eastAsiaTheme="minorEastAsia" w:hAnsiTheme="minorHAnsi" w:cstheme="minorBidi"/>
              <w:sz w:val="22"/>
              <w:szCs w:val="22"/>
              <w:lang w:val="es-ES_tradnl" w:eastAsia="zh-CN"/>
            </w:rPr>
            <w:fldChar w:fldCharType="end"/>
          </w:r>
        </w:p>
      </w:sdtContent>
    </w:sdt>
    <w:p w:rsidR="000A39FD" w:rsidRPr="007078A2" w:rsidRDefault="000A39FD" w:rsidP="008B75D5">
      <w:pPr>
        <w:pStyle w:val="Headingb"/>
        <w:rPr>
          <w:lang w:val="es-ES_tradnl"/>
        </w:rPr>
      </w:pPr>
      <w:r w:rsidRPr="007078A2">
        <w:rPr>
          <w:lang w:val="es-ES_tradnl"/>
        </w:rPr>
        <w:br w:type="page"/>
      </w:r>
      <w:bookmarkStart w:id="6" w:name="_Toc474413179"/>
      <w:r w:rsidRPr="007078A2">
        <w:rPr>
          <w:lang w:val="es-ES_tradnl"/>
        </w:rPr>
        <w:lastRenderedPageBreak/>
        <w:t>Tendencias de las TIC y su evolución en las Américas</w:t>
      </w:r>
      <w:r w:rsidRPr="007078A2">
        <w:rPr>
          <w:rStyle w:val="FootnoteReference"/>
          <w:lang w:val="es-ES_tradnl"/>
        </w:rPr>
        <w:footnoteReference w:id="1"/>
      </w:r>
      <w:bookmarkStart w:id="7" w:name="_Toc454361358"/>
      <w:bookmarkEnd w:id="6"/>
    </w:p>
    <w:p w:rsidR="000A39FD" w:rsidRPr="007078A2" w:rsidRDefault="008B75D5" w:rsidP="00A55685">
      <w:pPr>
        <w:pStyle w:val="Heading1"/>
        <w:tabs>
          <w:tab w:val="left" w:pos="794"/>
          <w:tab w:val="left" w:pos="1191"/>
          <w:tab w:val="left" w:pos="1588"/>
          <w:tab w:val="left" w:pos="1985"/>
        </w:tabs>
        <w:overflowPunct w:val="0"/>
        <w:autoSpaceDE w:val="0"/>
        <w:autoSpaceDN w:val="0"/>
        <w:adjustRightInd w:val="0"/>
        <w:spacing w:before="360" w:line="240" w:lineRule="auto"/>
        <w:ind w:left="794" w:hanging="794"/>
        <w:textAlignment w:val="baseline"/>
        <w:rPr>
          <w:rFonts w:asciiTheme="minorHAnsi" w:eastAsia="Times New Roman" w:hAnsiTheme="minorHAnsi" w:cs="Times New Roman"/>
          <w:bCs w:val="0"/>
          <w:color w:val="auto"/>
          <w:sz w:val="24"/>
          <w:szCs w:val="20"/>
          <w:lang w:val="es-ES_tradnl" w:bidi="ar-SA"/>
        </w:rPr>
      </w:pPr>
      <w:bookmarkStart w:id="8" w:name="_Toc1"/>
      <w:bookmarkStart w:id="9" w:name="_Toc474413180"/>
      <w:r w:rsidRPr="007078A2">
        <w:rPr>
          <w:rFonts w:asciiTheme="minorHAnsi" w:eastAsia="Times New Roman" w:hAnsiTheme="minorHAnsi" w:cs="Times New Roman"/>
          <w:bCs w:val="0"/>
          <w:color w:val="auto"/>
          <w:sz w:val="24"/>
          <w:szCs w:val="20"/>
          <w:lang w:val="es-ES_tradnl" w:bidi="ar-SA"/>
        </w:rPr>
        <w:t>1</w:t>
      </w:r>
      <w:r w:rsidRPr="007078A2">
        <w:rPr>
          <w:rFonts w:asciiTheme="minorHAnsi" w:eastAsia="Times New Roman" w:hAnsiTheme="minorHAnsi" w:cs="Times New Roman"/>
          <w:bCs w:val="0"/>
          <w:color w:val="auto"/>
          <w:sz w:val="24"/>
          <w:szCs w:val="20"/>
          <w:lang w:val="es-ES_tradnl" w:bidi="ar-SA"/>
        </w:rPr>
        <w:tab/>
      </w:r>
      <w:r w:rsidR="000A39FD" w:rsidRPr="007078A2">
        <w:rPr>
          <w:rFonts w:asciiTheme="minorHAnsi" w:eastAsia="Times New Roman" w:hAnsiTheme="minorHAnsi" w:cs="Times New Roman"/>
          <w:bCs w:val="0"/>
          <w:color w:val="auto"/>
          <w:sz w:val="24"/>
          <w:szCs w:val="20"/>
          <w:lang w:val="es-ES_tradnl" w:bidi="ar-SA"/>
        </w:rPr>
        <w:t>Perspectiva general de las políticas mundiales y tendencias de la reglamentación de las TIC</w:t>
      </w:r>
      <w:bookmarkEnd w:id="8"/>
      <w:bookmarkEnd w:id="9"/>
    </w:p>
    <w:p w:rsidR="000A39FD" w:rsidRPr="007078A2" w:rsidRDefault="000A39FD" w:rsidP="00A55685">
      <w:pPr>
        <w:rPr>
          <w:rStyle w:val="st1"/>
          <w:lang w:val="es-ES_tradnl"/>
        </w:rPr>
      </w:pPr>
      <w:r w:rsidRPr="007078A2">
        <w:rPr>
          <w:lang w:val="es-ES_tradnl"/>
        </w:rPr>
        <w:t>Desde la última Conferencia Mundial de Desarrollo de las Telecomunicaciones (CMDT), el sector de las TIC ha continuado su espectacular transformación, y su impacto en la sociedad y el desarrollo económico y social es cada vez más evidente. La creciente adopción de dispositivos móviles de banda ancha ha vuelto el acceso a un mundo digital cada vez más ubicuo y dominante. Una sociedad realmente interconectada entrañará aún más cambios, nuevos comportamientos, oportunidades y dificultades. La banda ancha en las TIC ofrecen una extraordinaria posibilidad de ayudar a los países a alcanzar los 17 Objetivos de Desarrollo Sostenible</w:t>
      </w:r>
      <w:r w:rsidRPr="007078A2">
        <w:rPr>
          <w:vertAlign w:val="superscript"/>
          <w:lang w:val="es-ES_tradnl"/>
        </w:rPr>
        <w:endnoteReference w:id="1"/>
      </w:r>
      <w:r w:rsidRPr="007078A2">
        <w:rPr>
          <w:lang w:val="es-ES_tradnl"/>
        </w:rPr>
        <w:t xml:space="preserve"> que dependerán considerablemente del ecosistema digital, ya que habrá una creciente diversidad de servicios y aplicaciones que atenderán nuestras necesidades sociales, comerciales y de esparcimiento. Ahora bien, para aprovechar todas estas posibilidades se precisan inversiones constantes en las redes y los servicios necesarios para extender el acceso a la banda ancha a todos</w:t>
      </w:r>
      <w:r w:rsidRPr="007078A2">
        <w:rPr>
          <w:rStyle w:val="st1"/>
          <w:lang w:val="es-ES_tradnl"/>
        </w:rPr>
        <w:t>.</w:t>
      </w:r>
    </w:p>
    <w:p w:rsidR="000A39FD" w:rsidRPr="007078A2" w:rsidRDefault="000A39FD" w:rsidP="00A55685">
      <w:pPr>
        <w:rPr>
          <w:lang w:val="es-ES_tradnl"/>
        </w:rPr>
      </w:pPr>
      <w:r w:rsidRPr="007078A2">
        <w:rPr>
          <w:lang w:val="es-ES_tradnl"/>
        </w:rPr>
        <w:t>Se reconoce que el sector de las TIC es la médula espinal del desarrollo socioeconómico, pero está experimentando cambios, de la transición tecnológica a la aparición de nuevos actores, el desplazamiento de las fuentes de ingresos y los cambios de modelos de actividad comercial. El crecimiento tecnológico también ha aumentado las posibilidades de utilización de las TIC en todos los sectores, y así lo reconocen y aprovechan empresas, poderes públicos y reguladores con respecto a la sanidad, la enseñanza, la agricultura, la gobernanza, las finanzas, la gestión de catástrofes o incluso las ciudades inteligentes. Es importante comprender la influencia del sector de las TIC en la estimulación del crecimiento en la economía digital junto con otros sectores y, siempre que sea posible, gestionarlo con marcos de política y normativos que tengan en cuenta esa situación.</w:t>
      </w:r>
    </w:p>
    <w:p w:rsidR="000A39FD" w:rsidRPr="007078A2" w:rsidRDefault="000A39FD" w:rsidP="00A55685">
      <w:pPr>
        <w:pStyle w:val="Headingb"/>
        <w:rPr>
          <w:rFonts w:asciiTheme="minorHAnsi" w:hAnsiTheme="minorHAnsi"/>
          <w:lang w:val="es-ES_tradnl"/>
        </w:rPr>
      </w:pPr>
      <w:bookmarkStart w:id="10" w:name="_Toc474413181"/>
      <w:r w:rsidRPr="007078A2">
        <w:rPr>
          <w:rFonts w:asciiTheme="minorHAnsi" w:hAnsiTheme="minorHAnsi"/>
          <w:lang w:val="es-ES_tradnl"/>
        </w:rPr>
        <w:t>Nuevos actores y modelos de negocio</w:t>
      </w:r>
      <w:bookmarkEnd w:id="10"/>
    </w:p>
    <w:p w:rsidR="000A39FD" w:rsidRPr="007078A2" w:rsidRDefault="000A39FD" w:rsidP="00A55685">
      <w:pPr>
        <w:rPr>
          <w:lang w:val="es-ES_tradnl"/>
        </w:rPr>
      </w:pPr>
      <w:r w:rsidRPr="007078A2">
        <w:rPr>
          <w:lang w:val="es-ES_tradnl"/>
        </w:rPr>
        <w:t>La perspectiva de una conectividad constante y complejas interconexiones de dispositivos está configurando los modelos de negocio. A pesar del espectacular crecimiento de la conectividad, 3</w:t>
      </w:r>
      <w:r w:rsidR="00FF14BC" w:rsidRPr="007078A2">
        <w:rPr>
          <w:lang w:val="es-ES_tradnl"/>
        </w:rPr>
        <w:t> 900 </w:t>
      </w:r>
      <w:r w:rsidRPr="007078A2">
        <w:rPr>
          <w:lang w:val="es-ES_tradnl"/>
        </w:rPr>
        <w:t xml:space="preserve">millones de personas, es decir, </w:t>
      </w:r>
      <w:r w:rsidR="00FF14BC" w:rsidRPr="007078A2">
        <w:rPr>
          <w:lang w:val="es-ES_tradnl"/>
        </w:rPr>
        <w:t xml:space="preserve">el </w:t>
      </w:r>
      <w:r w:rsidRPr="007078A2">
        <w:rPr>
          <w:lang w:val="es-ES_tradnl"/>
        </w:rPr>
        <w:t>53% de la población mundial, seguirá sin estar en línea a finales de 2016. Esto representa una dificultad, pero también una oportunidad, ya que en el mercado aparecen nuevos actores, entre los cuales algunos se dedicarán a poner en línea a los que todavía no están conectados.</w:t>
      </w:r>
    </w:p>
    <w:p w:rsidR="000A39FD" w:rsidRPr="007078A2" w:rsidRDefault="000A39FD" w:rsidP="00A55685">
      <w:pPr>
        <w:rPr>
          <w:lang w:val="es-ES_tradnl"/>
        </w:rPr>
      </w:pPr>
      <w:r w:rsidRPr="007078A2">
        <w:rPr>
          <w:lang w:val="es-ES_tradnl"/>
        </w:rPr>
        <w:t xml:space="preserve">Los proveedores de servicios de telecomunicaciones avanzan rápidamente, invirtiendo en futuros sistemas y explorando nuevas </w:t>
      </w:r>
      <w:r w:rsidRPr="007078A2">
        <w:rPr>
          <w:lang w:val="es-ES_tradnl"/>
        </w:rPr>
        <w:lastRenderedPageBreak/>
        <w:t xml:space="preserve">oportunidades comerciales con otros sectores industriales, y tratando de hallar su lugar en un nuevo ecosistema que exige flexibilidad para afrontar exigencias cambiantes. Cada vez más, nuevas clases de empresas (no sólo las que antes se consideraban empresas </w:t>
      </w:r>
      <w:r w:rsidR="00FF14BC" w:rsidRPr="007078A2">
        <w:rPr>
          <w:lang w:val="es-ES_tradnl"/>
        </w:rPr>
        <w:t>"</w:t>
      </w:r>
      <w:r w:rsidRPr="007078A2">
        <w:rPr>
          <w:lang w:val="es-ES_tradnl"/>
        </w:rPr>
        <w:t>tecnológicas</w:t>
      </w:r>
      <w:r w:rsidR="00FF14BC" w:rsidRPr="007078A2">
        <w:rPr>
          <w:lang w:val="es-ES_tradnl"/>
        </w:rPr>
        <w:t>"</w:t>
      </w:r>
      <w:r w:rsidRPr="007078A2">
        <w:rPr>
          <w:lang w:val="es-ES_tradnl"/>
        </w:rPr>
        <w:t>), están desarrollando nuevas capacidades y productos y servicios innovadores que dependen de nuevos servicios de conectividad y de datos. Todo esto también está cambiando el entorno reglamentario.</w:t>
      </w:r>
    </w:p>
    <w:p w:rsidR="000A39FD" w:rsidRPr="007078A2" w:rsidRDefault="000A39FD" w:rsidP="00A55685">
      <w:pPr>
        <w:rPr>
          <w:lang w:val="es-ES_tradnl"/>
        </w:rPr>
      </w:pPr>
      <w:r w:rsidRPr="007078A2">
        <w:rPr>
          <w:lang w:val="es-ES_tradnl"/>
        </w:rPr>
        <w:t>La industria de las TIC ha pasado de plataformas de infraestructuras distintas y dispositivos conectados a un ecosistema informático interconectado, la nube, que cambia las reglas del juego tradicionales. La nube da lugar a nuevas innovaciones en la sociedad y la economía, y a todos los niveles, para todos. Todo se está convirtiendo en un dispositivo informático, un dispositivo conectado, ya sea un automóvil, una nevera o un par de gafas. Esta nueva dimensión de la conectividad abre camino a posibilidades prácticamente ilimitadas. Las aplicaciones y los servicios móviles ayudan a los ciudadanos a innovar y a participar en todos los aspectos de la vida, sea cual sea la hora, la distancia o la ubicación. En cambio, se plantean preguntas con respecto a la protección de los datos personales y la confianza en general.</w:t>
      </w:r>
    </w:p>
    <w:p w:rsidR="000A39FD" w:rsidRPr="007078A2" w:rsidRDefault="000A39FD" w:rsidP="00A55685">
      <w:pPr>
        <w:rPr>
          <w:rStyle w:val="st1"/>
          <w:u w:color="404041"/>
          <w:lang w:val="es-ES_tradnl"/>
        </w:rPr>
      </w:pPr>
      <w:r w:rsidRPr="007078A2">
        <w:rPr>
          <w:rStyle w:val="st1"/>
          <w:u w:color="404041"/>
          <w:lang w:val="es-ES_tradnl"/>
        </w:rPr>
        <w:t>En este mundo digital se crean cada minuto ingentes volúmenes de datos. Este crecimiento explosivo de los datos, sumado a una gran demanda, el nuevo carburante de la economía, como lo han llamado algunos, está reconfigurando la industria de las TIC con incontables nuevas oportunidades de innovar, hacer las cosas mejor, más deprisa, de manera más general o completamente nueva. Para los consumidores, una nueva serie de interacciones rige la experiencia del usuario y crea nuevas eficiencias. Nuevas oportunidades se ofrecen a los gobiernos, los actores comerciales y los consumidores, y se plantean nuevas dificultades para los reguladores de las TIC, a las que se suman las dificultades que plantea el desarrollo de infraestructuras. Nuevos conocimientos, nuevas maneras de pensar y un conjunto diferente de instrumentos de política forman parte de la estrategia necesaria para aprovechar la transformación digital y facilitar la innovación y las inversiones. Todo ello debe equilibrarse con la necesidad de mantener la confianza en esas oportunidades.</w:t>
      </w:r>
    </w:p>
    <w:p w:rsidR="000A39FD" w:rsidRPr="007078A2" w:rsidRDefault="000A39FD" w:rsidP="00A55685">
      <w:pPr>
        <w:rPr>
          <w:rStyle w:val="st1"/>
          <w:color w:val="404041"/>
          <w:u w:color="404041"/>
          <w:lang w:val="es-ES_tradnl"/>
        </w:rPr>
      </w:pPr>
      <w:r w:rsidRPr="007078A2">
        <w:rPr>
          <w:rStyle w:val="st1"/>
          <w:u w:color="404041"/>
          <w:lang w:val="es-ES_tradnl"/>
        </w:rPr>
        <w:t>Durante estos últimos años, los avances tecnológicos han democratizado las TIC, de una época en que las computadoras centrales y los PC eran de uso exclusivo de una minoría de profesionales calificados a una sociedad en la que muchas más personas pueden utilizar numerosos dispositivos y pantallas, en la que los automóviles y los objetos pueden estar conectados y comunicar entre sí, las ciudades son cada vez más inteligentes y la informática cognitiva y la inteligencia artificial pronto serán realidad (véase la Figura 1.1). La tecnología ha pasado de ser exclusiva y difícil de utilizar a ser dominante, intuitiva y más fácil de utilizar. La digitalización ha acelerado el desarrollo tecnológico en estos dos últimos decenios.</w:t>
      </w:r>
    </w:p>
    <w:p w:rsidR="000A39FD" w:rsidRPr="007078A2" w:rsidRDefault="001F7D41" w:rsidP="001F7D41">
      <w:pPr>
        <w:pStyle w:val="FigureNotitle"/>
        <w:keepNext/>
        <w:rPr>
          <w:rStyle w:val="st1"/>
          <w:b w:val="0"/>
          <w:bCs/>
          <w:color w:val="404041"/>
          <w:sz w:val="20"/>
          <w:u w:color="404041"/>
        </w:rPr>
      </w:pPr>
      <w:r w:rsidRPr="007078A2">
        <w:rPr>
          <w:noProof/>
          <w:lang w:val="en-GB" w:eastAsia="zh-CN"/>
        </w:rPr>
        <w:lastRenderedPageBreak/>
        <w:drawing>
          <wp:anchor distT="57150" distB="57150" distL="57150" distR="57150" simplePos="0" relativeHeight="251660288" behindDoc="0" locked="0" layoutInCell="1" allowOverlap="1" wp14:anchorId="79E38728" wp14:editId="28C5023E">
            <wp:simplePos x="0" y="0"/>
            <wp:positionH relativeFrom="margin">
              <wp:align>left</wp:align>
            </wp:positionH>
            <wp:positionV relativeFrom="line">
              <wp:posOffset>243840</wp:posOffset>
            </wp:positionV>
            <wp:extent cx="5295900" cy="3057525"/>
            <wp:effectExtent l="0" t="0" r="0" b="9525"/>
            <wp:wrapTopAndBottom distT="57150" distB="57150"/>
            <wp:docPr id="1073741826" name="officeArt object" descr="C:\Users\lozanova\AppData\Local\Microsoft\Windows\Temporary Internet Files\Content.Word\1_1.jpg"/>
            <wp:cNvGraphicFramePr/>
            <a:graphic xmlns:a="http://schemas.openxmlformats.org/drawingml/2006/main">
              <a:graphicData uri="http://schemas.openxmlformats.org/drawingml/2006/picture">
                <pic:pic xmlns:pic="http://schemas.openxmlformats.org/drawingml/2006/picture">
                  <pic:nvPicPr>
                    <pic:cNvPr id="1073741826" name="image3.jpeg" descr="C:\Users\lozanova\AppData\Local\Microsoft\Windows\Temporary Internet Files\Content.Word\1_1.jpg"/>
                    <pic:cNvPicPr>
                      <a:picLocks noChangeAspect="1"/>
                    </pic:cNvPicPr>
                  </pic:nvPicPr>
                  <pic:blipFill>
                    <a:blip r:embed="rId9">
                      <a:extLst/>
                    </a:blip>
                    <a:stretch>
                      <a:fillRect/>
                    </a:stretch>
                  </pic:blipFill>
                  <pic:spPr>
                    <a:xfrm>
                      <a:off x="0" y="0"/>
                      <a:ext cx="5295900" cy="3057525"/>
                    </a:xfrm>
                    <a:prstGeom prst="rect">
                      <a:avLst/>
                    </a:prstGeom>
                    <a:ln w="12700" cap="flat">
                      <a:noFill/>
                      <a:miter lim="400000"/>
                    </a:ln>
                    <a:effectLst/>
                  </pic:spPr>
                </pic:pic>
              </a:graphicData>
            </a:graphic>
          </wp:anchor>
        </w:drawing>
      </w:r>
      <w:r w:rsidR="000A39FD" w:rsidRPr="007078A2">
        <w:t>Figura 1.1: Historia del futuro</w:t>
      </w:r>
    </w:p>
    <w:p w:rsidR="000A39FD" w:rsidRPr="007078A2" w:rsidRDefault="000A39FD" w:rsidP="001F7D41">
      <w:pPr>
        <w:pStyle w:val="Body"/>
        <w:keepNext/>
        <w:keepLines/>
        <w:spacing w:after="0"/>
        <w:jc w:val="both"/>
        <w:rPr>
          <w:rStyle w:val="st1"/>
          <w:color w:val="auto"/>
          <w:sz w:val="18"/>
          <w:szCs w:val="18"/>
          <w:u w:color="404041"/>
          <w:lang w:val="es-ES_tradnl"/>
        </w:rPr>
      </w:pPr>
      <w:r w:rsidRPr="007078A2">
        <w:rPr>
          <w:rStyle w:val="st1"/>
          <w:color w:val="auto"/>
          <w:sz w:val="18"/>
          <w:szCs w:val="18"/>
          <w:u w:color="404041"/>
          <w:lang w:val="es-ES_tradnl"/>
        </w:rPr>
        <w:t>Origen: UIT.</w:t>
      </w:r>
    </w:p>
    <w:p w:rsidR="008B75D5" w:rsidRPr="007078A2" w:rsidRDefault="008B75D5" w:rsidP="001F7D41">
      <w:pPr>
        <w:pStyle w:val="Body"/>
        <w:spacing w:after="0"/>
        <w:jc w:val="both"/>
        <w:rPr>
          <w:rStyle w:val="st1"/>
          <w:b/>
          <w:bCs/>
          <w:color w:val="auto"/>
          <w:sz w:val="18"/>
          <w:szCs w:val="18"/>
          <w:u w:color="404041"/>
          <w:lang w:val="es-ES_tradnl"/>
        </w:rPr>
      </w:pPr>
      <w:r w:rsidRPr="007078A2">
        <w:rPr>
          <w:rStyle w:val="st1"/>
          <w:b/>
          <w:bCs/>
          <w:color w:val="auto"/>
          <w:sz w:val="18"/>
          <w:szCs w:val="18"/>
          <w:u w:color="404041"/>
          <w:lang w:val="es-ES_tradnl"/>
        </w:rPr>
        <w:t>Leyenda de la Figura 1.1:</w:t>
      </w:r>
    </w:p>
    <w:p w:rsidR="008B75D5" w:rsidRPr="007078A2" w:rsidRDefault="008B75D5" w:rsidP="001F7D41">
      <w:pPr>
        <w:pStyle w:val="Body"/>
        <w:tabs>
          <w:tab w:val="left" w:pos="284"/>
        </w:tabs>
        <w:spacing w:after="0" w:line="240" w:lineRule="auto"/>
        <w:jc w:val="both"/>
        <w:rPr>
          <w:rStyle w:val="st1"/>
          <w:color w:val="auto"/>
          <w:sz w:val="18"/>
          <w:szCs w:val="18"/>
          <w:u w:color="404041"/>
          <w:lang w:val="es-ES_tradnl"/>
        </w:rPr>
      </w:pPr>
      <w:r w:rsidRPr="007078A2">
        <w:rPr>
          <w:rStyle w:val="st1"/>
          <w:color w:val="auto"/>
          <w:sz w:val="18"/>
          <w:szCs w:val="18"/>
          <w:u w:color="404041"/>
          <w:lang w:val="es-ES_tradnl"/>
        </w:rPr>
        <w:t>De uno a muchos y a todos: las TIC de los privilegiados a las masas</w:t>
      </w:r>
    </w:p>
    <w:p w:rsidR="008B75D5" w:rsidRPr="007078A2" w:rsidRDefault="008B75D5" w:rsidP="00A55685">
      <w:pPr>
        <w:pStyle w:val="Body"/>
        <w:tabs>
          <w:tab w:val="left" w:pos="284"/>
        </w:tabs>
        <w:spacing w:after="0" w:line="240" w:lineRule="auto"/>
        <w:jc w:val="both"/>
        <w:rPr>
          <w:rStyle w:val="st1"/>
          <w:color w:val="auto"/>
          <w:sz w:val="18"/>
          <w:szCs w:val="18"/>
          <w:u w:color="404041"/>
          <w:lang w:val="es-ES_tradnl"/>
        </w:rPr>
      </w:pPr>
      <w:r w:rsidRPr="007078A2">
        <w:rPr>
          <w:rStyle w:val="st1"/>
          <w:color w:val="auto"/>
          <w:sz w:val="18"/>
          <w:szCs w:val="18"/>
          <w:u w:color="404041"/>
          <w:lang w:val="es-ES_tradnl"/>
        </w:rPr>
        <w:t>Ordenador central (1 computadora, muchas personas)</w:t>
      </w:r>
    </w:p>
    <w:p w:rsidR="008B75D5" w:rsidRPr="007078A2" w:rsidRDefault="008B75D5" w:rsidP="00A55685">
      <w:pPr>
        <w:pStyle w:val="Body"/>
        <w:tabs>
          <w:tab w:val="left" w:pos="284"/>
        </w:tabs>
        <w:spacing w:after="0" w:line="240" w:lineRule="auto"/>
        <w:jc w:val="both"/>
        <w:rPr>
          <w:rStyle w:val="st1"/>
          <w:color w:val="auto"/>
          <w:sz w:val="18"/>
          <w:szCs w:val="18"/>
          <w:u w:color="404041"/>
          <w:lang w:val="es-ES_tradnl"/>
        </w:rPr>
      </w:pPr>
      <w:r w:rsidRPr="007078A2">
        <w:rPr>
          <w:rStyle w:val="st1"/>
          <w:color w:val="auto"/>
          <w:sz w:val="18"/>
          <w:szCs w:val="18"/>
          <w:u w:color="404041"/>
          <w:lang w:val="es-ES_tradnl"/>
        </w:rPr>
        <w:t>PC (1 persona, 1 computadora)</w:t>
      </w:r>
    </w:p>
    <w:p w:rsidR="008B75D5" w:rsidRPr="007078A2" w:rsidRDefault="008B75D5" w:rsidP="00A55685">
      <w:pPr>
        <w:pStyle w:val="Body"/>
        <w:tabs>
          <w:tab w:val="left" w:pos="284"/>
        </w:tabs>
        <w:spacing w:after="0" w:line="240" w:lineRule="auto"/>
        <w:jc w:val="both"/>
        <w:rPr>
          <w:rStyle w:val="st1"/>
          <w:color w:val="auto"/>
          <w:sz w:val="18"/>
          <w:szCs w:val="18"/>
          <w:u w:color="404041"/>
          <w:lang w:val="es-ES_tradnl"/>
        </w:rPr>
      </w:pPr>
      <w:r w:rsidRPr="007078A2">
        <w:rPr>
          <w:rStyle w:val="st1"/>
          <w:color w:val="auto"/>
          <w:sz w:val="18"/>
          <w:szCs w:val="18"/>
          <w:u w:color="404041"/>
          <w:lang w:val="es-ES_tradnl"/>
        </w:rPr>
        <w:t>Informática nativa digital (1 persona, muchas pantallas)</w:t>
      </w:r>
    </w:p>
    <w:p w:rsidR="008B75D5" w:rsidRPr="007078A2" w:rsidRDefault="008B75D5" w:rsidP="00A55685">
      <w:pPr>
        <w:pStyle w:val="Body"/>
        <w:tabs>
          <w:tab w:val="left" w:pos="284"/>
        </w:tabs>
        <w:spacing w:after="0" w:line="240" w:lineRule="auto"/>
        <w:jc w:val="both"/>
        <w:rPr>
          <w:rStyle w:val="st1"/>
          <w:color w:val="auto"/>
          <w:sz w:val="18"/>
          <w:szCs w:val="18"/>
          <w:u w:color="404041"/>
          <w:lang w:val="es-ES_tradnl"/>
        </w:rPr>
      </w:pPr>
      <w:r w:rsidRPr="007078A2">
        <w:rPr>
          <w:rStyle w:val="st1"/>
          <w:color w:val="auto"/>
          <w:sz w:val="18"/>
          <w:szCs w:val="18"/>
          <w:u w:color="404041"/>
          <w:lang w:val="es-ES_tradnl"/>
        </w:rPr>
        <w:t>Internet de todo</w:t>
      </w:r>
    </w:p>
    <w:p w:rsidR="008B75D5" w:rsidRPr="007078A2" w:rsidRDefault="008B75D5" w:rsidP="001F7D41">
      <w:pPr>
        <w:pStyle w:val="Body"/>
        <w:tabs>
          <w:tab w:val="left" w:pos="284"/>
        </w:tabs>
        <w:spacing w:before="120" w:after="120" w:line="240" w:lineRule="auto"/>
        <w:jc w:val="both"/>
        <w:rPr>
          <w:rStyle w:val="st1"/>
          <w:color w:val="auto"/>
          <w:sz w:val="18"/>
          <w:szCs w:val="18"/>
          <w:u w:color="404041"/>
          <w:lang w:val="es-ES_tradnl"/>
        </w:rPr>
      </w:pPr>
      <w:r w:rsidRPr="007078A2">
        <w:rPr>
          <w:rStyle w:val="st1"/>
          <w:color w:val="auto"/>
          <w:sz w:val="18"/>
          <w:szCs w:val="18"/>
          <w:u w:color="404041"/>
          <w:lang w:val="es-ES_tradnl"/>
        </w:rPr>
        <w:t>Volúmenes, B</w:t>
      </w:r>
    </w:p>
    <w:p w:rsidR="008B75D5" w:rsidRPr="007078A2" w:rsidRDefault="008B75D5" w:rsidP="001F7D41">
      <w:pPr>
        <w:pStyle w:val="Body"/>
        <w:tabs>
          <w:tab w:val="left" w:pos="284"/>
        </w:tabs>
        <w:spacing w:after="0" w:line="240" w:lineRule="auto"/>
        <w:jc w:val="both"/>
        <w:rPr>
          <w:rStyle w:val="st1"/>
          <w:color w:val="404041"/>
          <w:sz w:val="18"/>
          <w:szCs w:val="18"/>
          <w:u w:color="404041"/>
          <w:lang w:val="es-ES_tradnl"/>
        </w:rPr>
      </w:pPr>
      <w:r w:rsidRPr="007078A2">
        <w:rPr>
          <w:rStyle w:val="st1"/>
          <w:color w:val="auto"/>
          <w:sz w:val="18"/>
          <w:szCs w:val="18"/>
          <w:u w:color="404041"/>
          <w:lang w:val="es-ES_tradnl"/>
        </w:rPr>
        <w:t>Nace Internet</w:t>
      </w:r>
      <w:r w:rsidR="001F7D41" w:rsidRPr="007078A2">
        <w:rPr>
          <w:rStyle w:val="st1"/>
          <w:color w:val="auto"/>
          <w:sz w:val="18"/>
          <w:szCs w:val="18"/>
          <w:u w:color="404041"/>
          <w:lang w:val="es-ES_tradnl"/>
        </w:rPr>
        <w:t xml:space="preserve"> – www – Banda ancha móvil – teléfonos inteligentes –</w:t>
      </w:r>
      <w:r w:rsidRPr="007078A2">
        <w:rPr>
          <w:rStyle w:val="st1"/>
          <w:color w:val="auto"/>
          <w:sz w:val="18"/>
          <w:szCs w:val="18"/>
          <w:u w:color="404041"/>
          <w:lang w:val="es-ES_tradnl"/>
        </w:rPr>
        <w:t xml:space="preserve"> tabletas</w:t>
      </w:r>
      <w:r w:rsidR="001F7D41" w:rsidRPr="007078A2">
        <w:rPr>
          <w:rStyle w:val="st1"/>
          <w:color w:val="auto"/>
          <w:sz w:val="18"/>
          <w:szCs w:val="18"/>
          <w:u w:color="404041"/>
          <w:lang w:val="es-ES_tradnl"/>
        </w:rPr>
        <w:t xml:space="preserve"> – </w:t>
      </w:r>
      <w:r w:rsidRPr="007078A2">
        <w:rPr>
          <w:rStyle w:val="st1"/>
          <w:color w:val="auto"/>
          <w:sz w:val="18"/>
          <w:szCs w:val="18"/>
          <w:u w:color="404041"/>
          <w:lang w:val="es-ES_tradnl"/>
        </w:rPr>
        <w:t>Medios sociales</w:t>
      </w:r>
      <w:r w:rsidR="001F7D41" w:rsidRPr="007078A2">
        <w:rPr>
          <w:rStyle w:val="st1"/>
          <w:color w:val="auto"/>
          <w:sz w:val="18"/>
          <w:szCs w:val="18"/>
          <w:u w:color="404041"/>
          <w:lang w:val="es-ES_tradnl"/>
        </w:rPr>
        <w:t xml:space="preserve"> – </w:t>
      </w:r>
      <w:r w:rsidRPr="007078A2">
        <w:rPr>
          <w:rStyle w:val="st1"/>
          <w:color w:val="auto"/>
          <w:sz w:val="18"/>
          <w:szCs w:val="18"/>
          <w:u w:color="404041"/>
          <w:lang w:val="es-ES_tradnl"/>
        </w:rPr>
        <w:t>Automóvil conectado</w:t>
      </w:r>
      <w:r w:rsidR="001F7D41" w:rsidRPr="007078A2">
        <w:rPr>
          <w:rStyle w:val="st1"/>
          <w:color w:val="auto"/>
          <w:sz w:val="18"/>
          <w:szCs w:val="18"/>
          <w:u w:color="404041"/>
          <w:lang w:val="es-ES_tradnl"/>
        </w:rPr>
        <w:t xml:space="preserve"> – </w:t>
      </w:r>
      <w:r w:rsidRPr="007078A2">
        <w:rPr>
          <w:rStyle w:val="st1"/>
          <w:color w:val="auto"/>
          <w:sz w:val="18"/>
          <w:szCs w:val="18"/>
          <w:u w:color="404041"/>
          <w:lang w:val="es-ES_tradnl"/>
        </w:rPr>
        <w:t>Ponibles de masa</w:t>
      </w:r>
      <w:r w:rsidR="001F7D41" w:rsidRPr="007078A2">
        <w:rPr>
          <w:rStyle w:val="st1"/>
          <w:color w:val="auto"/>
          <w:sz w:val="18"/>
          <w:szCs w:val="18"/>
          <w:u w:color="404041"/>
          <w:lang w:val="es-ES_tradnl"/>
        </w:rPr>
        <w:t xml:space="preserve"> – </w:t>
      </w:r>
      <w:r w:rsidRPr="007078A2">
        <w:rPr>
          <w:rStyle w:val="st1"/>
          <w:color w:val="auto"/>
          <w:sz w:val="18"/>
          <w:szCs w:val="18"/>
          <w:u w:color="404041"/>
          <w:lang w:val="es-ES_tradnl"/>
        </w:rPr>
        <w:t>Inteligencia artificial</w:t>
      </w:r>
      <w:r w:rsidR="001F7D41" w:rsidRPr="007078A2">
        <w:rPr>
          <w:rStyle w:val="st1"/>
          <w:color w:val="auto"/>
          <w:sz w:val="18"/>
          <w:szCs w:val="18"/>
          <w:u w:color="404041"/>
          <w:lang w:val="es-ES_tradnl"/>
        </w:rPr>
        <w:t xml:space="preserve"> – </w:t>
      </w:r>
      <w:r w:rsidRPr="007078A2">
        <w:rPr>
          <w:rStyle w:val="st1"/>
          <w:color w:val="auto"/>
          <w:sz w:val="18"/>
          <w:szCs w:val="18"/>
          <w:u w:color="404041"/>
          <w:lang w:val="es-ES_tradnl"/>
        </w:rPr>
        <w:t>Informática cognitiva</w:t>
      </w:r>
      <w:r w:rsidR="001F7D41" w:rsidRPr="007078A2">
        <w:rPr>
          <w:rStyle w:val="st1"/>
          <w:color w:val="auto"/>
          <w:sz w:val="18"/>
          <w:szCs w:val="18"/>
          <w:u w:color="404041"/>
          <w:lang w:val="es-ES_tradnl"/>
        </w:rPr>
        <w:t xml:space="preserve"> – </w:t>
      </w:r>
      <w:r w:rsidRPr="007078A2">
        <w:rPr>
          <w:rStyle w:val="st1"/>
          <w:color w:val="auto"/>
          <w:sz w:val="18"/>
          <w:szCs w:val="18"/>
          <w:u w:color="404041"/>
          <w:lang w:val="es-ES_tradnl"/>
        </w:rPr>
        <w:t>Internet de las cosas</w:t>
      </w:r>
    </w:p>
    <w:p w:rsidR="000A39FD" w:rsidRPr="007078A2" w:rsidRDefault="000A39FD" w:rsidP="00EB7D0F">
      <w:pPr>
        <w:rPr>
          <w:rStyle w:val="st1"/>
          <w:u w:color="404041"/>
          <w:lang w:val="es-ES_tradnl"/>
        </w:rPr>
      </w:pPr>
      <w:r w:rsidRPr="007078A2">
        <w:rPr>
          <w:rStyle w:val="st1"/>
          <w:u w:color="404041"/>
          <w:lang w:val="es-ES_tradnl"/>
        </w:rPr>
        <w:t>Internet, en particular a través de la nube, ha invadido íntimamente todas las esferas de nuestra vida, ha cambiado nuestras pautas económicas, sociales y culturales, y se ha convertido en un facilitador esencial del progreso en toda la economía. ¿Y ahora? Algunas de las interesantes innovaciones futuras, como los objetos ponibles y la inteligencia artificial, están en ciernes y todavía deben demostrar su pleno potencial. Otras innovaciones, aún más revolucionarias, todavía nos son totalmente desconocidas.</w:t>
      </w:r>
    </w:p>
    <w:p w:rsidR="000A39FD" w:rsidRPr="007078A2" w:rsidRDefault="000A39FD" w:rsidP="00EB7D0F">
      <w:pPr>
        <w:rPr>
          <w:rStyle w:val="st1"/>
          <w:u w:color="404041"/>
          <w:lang w:val="es-ES_tradnl"/>
        </w:rPr>
      </w:pPr>
      <w:r w:rsidRPr="007078A2">
        <w:rPr>
          <w:rStyle w:val="st1"/>
          <w:u w:color="404041"/>
          <w:lang w:val="es-ES_tradnl"/>
        </w:rPr>
        <w:t>Para vaticinar el futuro digital necesitamos comprender fenómenos pasados y presentes, ya que las innovaciones del pasado se convierten en normas corrientes y a menudo se reencarnan para atender nuestra constante necesidad de comunicar, crear e innovar.</w:t>
      </w:r>
    </w:p>
    <w:p w:rsidR="000A39FD" w:rsidRPr="007078A2" w:rsidRDefault="000A39FD" w:rsidP="00A55685">
      <w:pPr>
        <w:pStyle w:val="Headingb"/>
        <w:rPr>
          <w:rFonts w:asciiTheme="minorHAnsi" w:hAnsiTheme="minorHAnsi"/>
          <w:lang w:val="es-ES_tradnl"/>
        </w:rPr>
      </w:pPr>
      <w:bookmarkStart w:id="11" w:name="_Toc2"/>
      <w:bookmarkStart w:id="12" w:name="_Toc474413182"/>
      <w:r w:rsidRPr="007078A2">
        <w:rPr>
          <w:rFonts w:asciiTheme="minorHAnsi" w:hAnsiTheme="minorHAnsi"/>
          <w:lang w:val="es-ES_tradnl"/>
        </w:rPr>
        <w:t>El paso siguiente de la conectividad: dispositivos inteligentes y crecimiento de la red</w:t>
      </w:r>
      <w:bookmarkEnd w:id="11"/>
      <w:bookmarkEnd w:id="12"/>
    </w:p>
    <w:p w:rsidR="000A39FD" w:rsidRPr="007078A2" w:rsidRDefault="000A39FD" w:rsidP="00017CAF">
      <w:pPr>
        <w:rPr>
          <w:lang w:val="es-ES_tradnl"/>
        </w:rPr>
      </w:pPr>
      <w:r w:rsidRPr="007078A2">
        <w:rPr>
          <w:lang w:val="es-ES_tradnl"/>
        </w:rPr>
        <w:t>Las tecnologías de la información y la comunicación avanzan en tres ámbitos esenciales: nuevas plataformas para la banda ancha y los servicios de conectividad que abren paso a nuevos servicios y a la posibilidad de estar siempre conectado, nuevas arquitecturas de red y tecnologías complementarias que aumentan las capacidades de las plataformas y de los servicios basados en Internet, y nuevas aplicaciones de esos avances que transforman la demanda de los consumidores, los servicios disponibles y los modelos de negocio del sector privado</w:t>
      </w:r>
      <w:r w:rsidRPr="007078A2">
        <w:rPr>
          <w:rStyle w:val="EndnoteReference"/>
          <w:lang w:val="es-ES_tradnl"/>
        </w:rPr>
        <w:endnoteReference w:id="2"/>
      </w:r>
      <w:r w:rsidRPr="007078A2">
        <w:rPr>
          <w:lang w:val="es-ES_tradnl"/>
        </w:rPr>
        <w:t>.</w:t>
      </w:r>
    </w:p>
    <w:p w:rsidR="000A39FD" w:rsidRPr="007078A2" w:rsidRDefault="000A39FD" w:rsidP="00017CAF">
      <w:pPr>
        <w:rPr>
          <w:lang w:val="es-ES_tradnl"/>
        </w:rPr>
      </w:pPr>
      <w:r w:rsidRPr="007078A2">
        <w:rPr>
          <w:lang w:val="es-ES_tradnl"/>
        </w:rPr>
        <w:t>Los recientes avances tecnológicos están transformando las plataformas de entrega, la manera en que utilizan de espectro y los servicios que pueden ofrecer. Los actores tradicionales y varios nuevos tipos de operadores están actuando rápidamente para desarrollar nuevos tipos de servicios, especialmente los basados en Internet</w:t>
      </w:r>
      <w:r w:rsidRPr="007078A2">
        <w:rPr>
          <w:rStyle w:val="EndnoteReference"/>
          <w:lang w:val="es-ES_tradnl"/>
        </w:rPr>
        <w:endnoteReference w:id="3"/>
      </w:r>
      <w:r w:rsidRPr="007078A2">
        <w:rPr>
          <w:lang w:val="es-ES_tradnl"/>
        </w:rPr>
        <w:t>.</w:t>
      </w:r>
    </w:p>
    <w:p w:rsidR="000A39FD" w:rsidRPr="007078A2" w:rsidRDefault="000A39FD" w:rsidP="00017CAF">
      <w:pPr>
        <w:rPr>
          <w:lang w:val="es-ES_tradnl"/>
        </w:rPr>
      </w:pPr>
      <w:r w:rsidRPr="007078A2">
        <w:rPr>
          <w:lang w:val="es-ES_tradnl"/>
        </w:rPr>
        <w:lastRenderedPageBreak/>
        <w:t xml:space="preserve">Las comunicaciones por satélite forman parte del ecosistema de conectividad de Internet y se utilizan para proporcionar servicios de datos comerciales y de consumo, por ejemplo a través de VSAT, servicios de banda ancha residenciales y comerciales, y conexiones M2M/IoT. Las comunicaciones por satélite se utilizan especialmente en zonas distantes y rurales para completar las redes terrenales, </w:t>
      </w:r>
      <w:r w:rsidR="00FD4BB2" w:rsidRPr="007078A2">
        <w:rPr>
          <w:lang w:val="es-ES_tradnl"/>
        </w:rPr>
        <w:t xml:space="preserve">a </w:t>
      </w:r>
      <w:r w:rsidRPr="007078A2">
        <w:rPr>
          <w:lang w:val="es-ES_tradnl"/>
        </w:rPr>
        <w:t>fin de aumentar su resistencia, ubicuidad y capacidad. En el sector de los satélites también aparecen nuevos operadores y fabricantes, y todo ese sector sufre la presión generada por la competencia de otras tecnologías de acceso</w:t>
      </w:r>
      <w:r w:rsidR="00FD4BB2" w:rsidRPr="007078A2">
        <w:rPr>
          <w:lang w:val="es-ES_tradnl"/>
        </w:rPr>
        <w:t>,</w:t>
      </w:r>
      <w:r w:rsidRPr="007078A2">
        <w:rPr>
          <w:lang w:val="es-ES_tradnl"/>
        </w:rPr>
        <w:t xml:space="preserve"> tales como drones o globos a gran altitud</w:t>
      </w:r>
      <w:r w:rsidR="00FD4BB2" w:rsidRPr="007078A2">
        <w:rPr>
          <w:lang w:val="es-ES_tradnl"/>
        </w:rPr>
        <w:t>,</w:t>
      </w:r>
      <w:r w:rsidRPr="007078A2">
        <w:rPr>
          <w:lang w:val="es-ES_tradnl"/>
        </w:rPr>
        <w:t xml:space="preserve"> que ofrecerán servicios </w:t>
      </w:r>
      <w:r w:rsidR="00FD4BB2" w:rsidRPr="007078A2">
        <w:rPr>
          <w:lang w:val="es-ES_tradnl"/>
        </w:rPr>
        <w:t>de Internet en zonas distantes y </w:t>
      </w:r>
      <w:r w:rsidRPr="007078A2">
        <w:rPr>
          <w:lang w:val="es-ES_tradnl"/>
        </w:rPr>
        <w:t>rurales</w:t>
      </w:r>
      <w:r w:rsidRPr="007078A2">
        <w:rPr>
          <w:rStyle w:val="EndnoteReference"/>
          <w:lang w:val="es-ES_tradnl"/>
        </w:rPr>
        <w:endnoteReference w:id="4"/>
      </w:r>
      <w:r w:rsidRPr="007078A2">
        <w:rPr>
          <w:lang w:val="es-ES_tradnl"/>
        </w:rPr>
        <w:t>.</w:t>
      </w:r>
    </w:p>
    <w:p w:rsidR="000A39FD" w:rsidRPr="007078A2" w:rsidRDefault="000A39FD" w:rsidP="00017CAF">
      <w:pPr>
        <w:rPr>
          <w:lang w:val="es-ES_tradnl"/>
        </w:rPr>
      </w:pPr>
      <w:r w:rsidRPr="007078A2">
        <w:rPr>
          <w:lang w:val="es-ES_tradnl"/>
        </w:rPr>
        <w:t>Se están realizando pruebas, pero todavía queda mucho trecho has</w:t>
      </w:r>
      <w:r w:rsidR="00FD4BB2" w:rsidRPr="007078A2">
        <w:rPr>
          <w:lang w:val="es-ES_tradnl"/>
        </w:rPr>
        <w:t>ta que se concretice la 5G. La </w:t>
      </w:r>
      <w:r w:rsidRPr="007078A2">
        <w:rPr>
          <w:lang w:val="es-ES_tradnl"/>
        </w:rPr>
        <w:t>Conferencia Mundial de Radiocomunicaciones de 2015 (CMR-15) definió las especificaciones técnicas para la adopción de normas mundiales sobre la 5G con el sistema de Telecomunicaciones Móviles Internacionales 2020 (IMT</w:t>
      </w:r>
      <w:r w:rsidRPr="007078A2">
        <w:rPr>
          <w:lang w:val="es-ES_tradnl"/>
        </w:rPr>
        <w:noBreakHyphen/>
        <w:t>2020). Algunos consideran que la 5G puede cambiar completamente la interacción con dispositivos conectados y, a su vez, la conexión con los dispositivos IoT, mientras que otros consideran que esas tecnologías son la consolidación de las generaciones existentes de la telefonía móvil y la próxima generación de servicios de red celular basados en una cobertura mucho más amplia y una fiabilidad permanente</w:t>
      </w:r>
      <w:r w:rsidRPr="007078A2">
        <w:rPr>
          <w:rStyle w:val="EndnoteReference"/>
          <w:lang w:val="es-ES_tradnl"/>
        </w:rPr>
        <w:endnoteReference w:id="5"/>
      </w:r>
      <w:r w:rsidRPr="007078A2">
        <w:rPr>
          <w:lang w:val="es-ES_tradnl"/>
        </w:rPr>
        <w:t>.</w:t>
      </w:r>
    </w:p>
    <w:p w:rsidR="000A39FD" w:rsidRPr="007078A2" w:rsidRDefault="000A39FD" w:rsidP="00017CAF">
      <w:pPr>
        <w:rPr>
          <w:lang w:val="es-ES_tradnl"/>
        </w:rPr>
      </w:pPr>
      <w:r w:rsidRPr="007078A2">
        <w:rPr>
          <w:lang w:val="es-ES_tradnl"/>
        </w:rPr>
        <w:t>Cambie lo que cambie la 5G, la banda ancha móvil seguirá desempeñando un papel complementario junto con la banda ancha fija en algunos mercados, pero podría acabar dominándola en otros mercados. Ahora bien, se sabe a ciencia cierta que las tecnologías fijas seguirán siendo esenciales en las redes</w:t>
      </w:r>
      <w:r w:rsidRPr="007078A2">
        <w:rPr>
          <w:rFonts w:asciiTheme="minorHAnsi" w:eastAsiaTheme="minorEastAsia" w:hAnsiTheme="minorHAnsi" w:cstheme="minorBidi"/>
          <w:lang w:val="es-ES_tradnl"/>
        </w:rPr>
        <w:t xml:space="preserve"> </w:t>
      </w:r>
      <w:r w:rsidRPr="007078A2">
        <w:rPr>
          <w:lang w:val="es-ES_tradnl"/>
        </w:rPr>
        <w:t xml:space="preserve">de conexión al núcleo de red. Otro ejemplo de la integración de las redes fijas e inalámbricas es la creciente descarga de tráfico de datos móvil a redes fijas, y Cisco estima que, en el mundo, </w:t>
      </w:r>
      <w:r w:rsidR="00FD4BB2" w:rsidRPr="007078A2">
        <w:rPr>
          <w:lang w:val="es-ES_tradnl"/>
        </w:rPr>
        <w:t xml:space="preserve">el </w:t>
      </w:r>
      <w:r w:rsidRPr="007078A2">
        <w:rPr>
          <w:lang w:val="es-ES_tradnl"/>
        </w:rPr>
        <w:t>51% del tráfico total de datos móviles se descargó a la red fija a través de Wi-Fi o femtocélulas en 2015. Cada mes se descargaron en total 3,9 exabytes de tráfico de datos móvil a la red fija</w:t>
      </w:r>
      <w:r w:rsidRPr="007078A2">
        <w:rPr>
          <w:rStyle w:val="EndnoteReference"/>
          <w:lang w:val="es-ES_tradnl"/>
        </w:rPr>
        <w:endnoteReference w:id="6"/>
      </w:r>
      <w:r w:rsidRPr="007078A2">
        <w:rPr>
          <w:lang w:val="es-ES_tradnl"/>
        </w:rPr>
        <w:t>. Las comunicaciones por satélite también of</w:t>
      </w:r>
      <w:r w:rsidR="00FD4BB2" w:rsidRPr="007078A2">
        <w:rPr>
          <w:lang w:val="es-ES_tradnl"/>
        </w:rPr>
        <w:t>recen servicios de banda ancha 'universales'</w:t>
      </w:r>
      <w:r w:rsidRPr="007078A2">
        <w:rPr>
          <w:lang w:val="es-ES_tradnl"/>
        </w:rPr>
        <w:t xml:space="preserve"> rápidamente a muchas personas, y se pueden instalar rápidamente sin necesidad de grandes inversiones en infraestructuras terrenales</w:t>
      </w:r>
      <w:r w:rsidRPr="007078A2">
        <w:rPr>
          <w:rStyle w:val="EndnoteReference"/>
          <w:lang w:val="es-ES_tradnl"/>
        </w:rPr>
        <w:endnoteReference w:id="7"/>
      </w:r>
      <w:r w:rsidRPr="007078A2">
        <w:rPr>
          <w:lang w:val="es-ES_tradnl"/>
        </w:rPr>
        <w:t>.</w:t>
      </w:r>
    </w:p>
    <w:p w:rsidR="000A39FD" w:rsidRPr="007078A2" w:rsidRDefault="000A39FD" w:rsidP="00017CAF">
      <w:pPr>
        <w:rPr>
          <w:lang w:val="es-ES_tradnl"/>
        </w:rPr>
      </w:pPr>
      <w:r w:rsidRPr="007078A2">
        <w:rPr>
          <w:lang w:val="es-ES_tradnl"/>
        </w:rPr>
        <w:t xml:space="preserve">En cuanto al valor total, se prevé que el mercado mundial de la banda ancha fija crezca </w:t>
      </w:r>
      <w:r w:rsidR="00FC4A10" w:rsidRPr="007078A2">
        <w:rPr>
          <w:lang w:val="es-ES_tradnl"/>
        </w:rPr>
        <w:t>un CAGR de 3% y alcance los 276 </w:t>
      </w:r>
      <w:r w:rsidRPr="007078A2">
        <w:rPr>
          <w:lang w:val="es-ES_tradnl"/>
        </w:rPr>
        <w:t>000 millones USD en 2019</w:t>
      </w:r>
      <w:r w:rsidRPr="007078A2">
        <w:rPr>
          <w:rStyle w:val="EndnoteReference"/>
          <w:lang w:val="es-ES_tradnl"/>
        </w:rPr>
        <w:endnoteReference w:id="8"/>
      </w:r>
      <w:r w:rsidRPr="007078A2">
        <w:rPr>
          <w:lang w:val="es-ES_tradnl"/>
        </w:rPr>
        <w:t>. Los operadores móviles siguen tratando de rentabilizar sus inversiones en las redes 3G y 4G desarrollando nuevos servicios y ofertas tarifarias para utilizar sus redes más eficazmente. La 4G está creciendo rápidamente en muchos países y una asociación de empresas del sector prevé que la infraestructura de red 4G representará una parte considerable de los 1,7 billones USD que los operadores móviles habrán invertido entre 2015 y 2020</w:t>
      </w:r>
      <w:r w:rsidRPr="007078A2">
        <w:rPr>
          <w:rStyle w:val="EndnoteReference"/>
          <w:lang w:val="es-ES_tradnl"/>
        </w:rPr>
        <w:endnoteReference w:id="9"/>
      </w:r>
      <w:r w:rsidR="008B75D5" w:rsidRPr="007078A2">
        <w:rPr>
          <w:lang w:val="es-ES_tradnl"/>
        </w:rPr>
        <w:t>. Es probable que 2015 sea un '</w:t>
      </w:r>
      <w:r w:rsidRPr="007078A2">
        <w:rPr>
          <w:lang w:val="es-ES_tradnl"/>
        </w:rPr>
        <w:t>año cénit</w:t>
      </w:r>
      <w:r w:rsidR="008B75D5" w:rsidRPr="007078A2">
        <w:rPr>
          <w:lang w:val="es-ES_tradnl"/>
        </w:rPr>
        <w:t>'</w:t>
      </w:r>
      <w:r w:rsidRPr="007078A2">
        <w:rPr>
          <w:lang w:val="es-ES_tradnl"/>
        </w:rPr>
        <w:t>, en el que el crecimiento de la 3G empezará a ralentizarse y el de las suscripciones a la 4G se acelerará aún más. A finales de 2015 se habían lanzado 480 redes LTE comerciales en 157 países</w:t>
      </w:r>
      <w:r w:rsidRPr="007078A2">
        <w:rPr>
          <w:rStyle w:val="EndnoteReference"/>
          <w:lang w:val="es-ES_tradnl"/>
        </w:rPr>
        <w:endnoteReference w:id="10"/>
      </w:r>
      <w:r w:rsidRPr="007078A2">
        <w:rPr>
          <w:lang w:val="es-ES_tradnl"/>
        </w:rPr>
        <w:t>.</w:t>
      </w:r>
    </w:p>
    <w:p w:rsidR="000A39FD" w:rsidRPr="007078A2" w:rsidRDefault="000A39FD" w:rsidP="00017CAF">
      <w:pPr>
        <w:rPr>
          <w:lang w:val="es-ES_tradnl"/>
        </w:rPr>
      </w:pPr>
      <w:r w:rsidRPr="007078A2">
        <w:rPr>
          <w:lang w:val="es-ES_tradnl"/>
        </w:rPr>
        <w:lastRenderedPageBreak/>
        <w:t>El sector de las TIC también está desarrollando nuevas maneras de construir redes para dar cabida a demandas crecientes de datos, como algunas que centralizan recursos para lograr economías de escala y otras que los distribuyen hacia los extremos para responder con más flexibilidad a los cambios de las necesidades. Estas innovaciones también se deben hasta cierto punto a la importancia creciente del software con respecto al hardware en las tecnologías de red. Casi todos los grandes actores están invirtiendo ahora masivamente para capitalizar las rápidas evoluciones recientes de la tecnología de banda ancha, ya que la 4G móvil, y las tecnologías de vectorización VDSL, DOCSIS 3.0 y FTTx ofrecen velocidades significativamente superiores. Los operadores ya están desplegando tecnologías tales como la virtualización de funciones de red (NFV), las redes definidas por software (SDN) y las redes heterogéneas (HetNets), que seguirán facilitando la progresión hacia la sociedad hiperconectada, junto con los desarrollos inminentes de la 5G.</w:t>
      </w:r>
    </w:p>
    <w:p w:rsidR="000A39FD" w:rsidRPr="007078A2" w:rsidRDefault="000A39FD" w:rsidP="00017CAF">
      <w:pPr>
        <w:rPr>
          <w:lang w:val="es-ES_tradnl"/>
        </w:rPr>
      </w:pPr>
      <w:r w:rsidRPr="007078A2">
        <w:rPr>
          <w:lang w:val="es-ES_tradnl"/>
        </w:rPr>
        <w:t>Los humanos no son los únicos que se están conectando, las cosas también se están volviendo inteligentes. Se están instalando sensores en diversos lugares para cuantificar (medir) casi todas las actividades humanas, animales y mecánicas. Se prevé que la Internet de las cosas (IoT), que conecta muchas cosas a Internet, y las comunicaciones de máquina a máquina (M2M) a través de redes móviles celulares, se convertirán en el sector de la industria que experimentara el mayor crecimiento de tráfico. Muchos analistas coinciden en que la IoT está alcanzando la mayoría de edad, y predicen un fuerte crecimiento, que también añadirá presión al desarrollo de las infraestructuras y los recursos del espectro.</w:t>
      </w:r>
    </w:p>
    <w:p w:rsidR="000A39FD" w:rsidRPr="007078A2" w:rsidRDefault="000A39FD" w:rsidP="00360A8E">
      <w:pPr>
        <w:rPr>
          <w:lang w:val="es-ES_tradnl"/>
        </w:rPr>
      </w:pPr>
      <w:r w:rsidRPr="007078A2">
        <w:rPr>
          <w:lang w:val="es-ES_tradnl"/>
        </w:rPr>
        <w:t>Se estima que el mercado mundial de los dispositivos ponibles habrá crecido un 172% en 2015. Fitbit, Apple y otros despacharon en total 78, 1 millones de dispositivos en el último año, con respecto a 28,8 millones en 2014.</w:t>
      </w:r>
      <w:r w:rsidRPr="007078A2">
        <w:rPr>
          <w:rFonts w:ascii="Arial" w:hAnsi="Arial" w:cs="Arial"/>
          <w:sz w:val="20"/>
          <w:lang w:val="es-ES_tradnl"/>
        </w:rPr>
        <w:t xml:space="preserve"> </w:t>
      </w:r>
      <w:r w:rsidR="00360A8E" w:rsidRPr="007078A2">
        <w:rPr>
          <w:lang w:val="es-ES_tradnl"/>
        </w:rPr>
        <w:t>En total, se esperaba vender 1 </w:t>
      </w:r>
      <w:r w:rsidRPr="007078A2">
        <w:rPr>
          <w:lang w:val="es-ES_tradnl"/>
        </w:rPr>
        <w:t>000 millones de dispositivos IoT inalámbricos en 2015, lo que representa un aumento de 60% con respecto a 2014, lo que supondrá 2</w:t>
      </w:r>
      <w:r w:rsidR="00360A8E" w:rsidRPr="007078A2">
        <w:rPr>
          <w:lang w:val="es-ES_tradnl"/>
        </w:rPr>
        <w:t> </w:t>
      </w:r>
      <w:r w:rsidRPr="007078A2">
        <w:rPr>
          <w:lang w:val="es-ES_tradnl"/>
        </w:rPr>
        <w:t>800 millones de dispositivos conectados a finales de 2015</w:t>
      </w:r>
      <w:r w:rsidRPr="007078A2">
        <w:rPr>
          <w:rStyle w:val="EndnoteReference"/>
          <w:lang w:val="es-ES_tradnl"/>
        </w:rPr>
        <w:endnoteReference w:id="11"/>
      </w:r>
      <w:r w:rsidRPr="007078A2">
        <w:rPr>
          <w:lang w:val="es-ES_tradnl"/>
        </w:rPr>
        <w:t>. Se p</w:t>
      </w:r>
      <w:r w:rsidR="00360A8E" w:rsidRPr="007078A2">
        <w:rPr>
          <w:lang w:val="es-ES_tradnl"/>
        </w:rPr>
        <w:t>revé que en 2020 habrá hasta 25 </w:t>
      </w:r>
      <w:r w:rsidRPr="007078A2">
        <w:rPr>
          <w:lang w:val="es-ES_tradnl"/>
        </w:rPr>
        <w:t>000 millones de dispositivos conectados en red, debido esencialmente a entidades que estarán conectadas a consumidores (por ejemplo, empresas, hospitales, autoridades locales y otras entidades), seguidas por los sectores de la manufactura, los servicios públicos y el transporte que transformarán irreversiblemente el concepto de Internet y de la sociedad conectada</w:t>
      </w:r>
      <w:r w:rsidRPr="007078A2">
        <w:rPr>
          <w:rStyle w:val="EndnoteReference"/>
          <w:lang w:val="es-ES_tradnl"/>
        </w:rPr>
        <w:endnoteReference w:id="12"/>
      </w:r>
      <w:r w:rsidRPr="007078A2">
        <w:rPr>
          <w:lang w:val="es-ES_tradnl"/>
        </w:rPr>
        <w:t>. En cuanto a los ingresos, se prevé que el mercado de la IoT alcanzará 1,7 billones USD en 2019 y será el mayor mercado de dispositivos del mundo</w:t>
      </w:r>
      <w:r w:rsidRPr="007078A2">
        <w:rPr>
          <w:vertAlign w:val="superscript"/>
          <w:lang w:val="es-ES_tradnl"/>
        </w:rPr>
        <w:endnoteReference w:id="13"/>
      </w:r>
      <w:r w:rsidRPr="007078A2">
        <w:rPr>
          <w:lang w:val="es-ES_tradnl"/>
        </w:rPr>
        <w:t>.</w:t>
      </w:r>
    </w:p>
    <w:p w:rsidR="000A39FD" w:rsidRPr="007078A2" w:rsidRDefault="000A39FD" w:rsidP="00017CAF">
      <w:pPr>
        <w:rPr>
          <w:lang w:val="es-ES_tradnl"/>
        </w:rPr>
      </w:pPr>
      <w:r w:rsidRPr="007078A2">
        <w:rPr>
          <w:lang w:val="es-ES_tradnl"/>
        </w:rPr>
        <w:t>En lo que concierne a los dispositivos, el mercado de las tabletas está declinando desde principios de 2015. Los envíos totales en 2015 alcanzaron 206,</w:t>
      </w:r>
      <w:r w:rsidR="00360A8E" w:rsidRPr="007078A2">
        <w:rPr>
          <w:lang w:val="es-ES_tradnl"/>
        </w:rPr>
        <w:t>8 millones, 10,1% menos que los </w:t>
      </w:r>
      <w:r w:rsidRPr="007078A2">
        <w:rPr>
          <w:lang w:val="es-ES_tradnl"/>
        </w:rPr>
        <w:t>230,1 millones de 2014</w:t>
      </w:r>
      <w:r w:rsidRPr="007078A2">
        <w:rPr>
          <w:rStyle w:val="EndnoteReference"/>
          <w:lang w:val="es-ES_tradnl"/>
        </w:rPr>
        <w:endnoteReference w:id="14"/>
      </w:r>
      <w:r w:rsidRPr="007078A2">
        <w:rPr>
          <w:lang w:val="es-ES_tradnl"/>
        </w:rPr>
        <w:t xml:space="preserve">. Ese mismo año, los envíos totales de PC y ordenadores portátiles totalizaron 276,2 millones de unidades, una disminución de 10,4% con respecto al año anterior. Las perspectivas para 2016 son más optimistas, ya que se espera que las tabletas </w:t>
      </w:r>
      <w:r w:rsidRPr="007078A2">
        <w:rPr>
          <w:lang w:val="es-ES_tradnl"/>
        </w:rPr>
        <w:lastRenderedPageBreak/>
        <w:t>desmontables aumenten el crecimiento de los volúmenes un modesto 1 a 2%</w:t>
      </w:r>
      <w:r w:rsidRPr="007078A2">
        <w:rPr>
          <w:rStyle w:val="EndnoteReference"/>
          <w:lang w:val="es-ES_tradnl"/>
        </w:rPr>
        <w:endnoteReference w:id="15"/>
      </w:r>
      <w:r w:rsidRPr="007078A2">
        <w:rPr>
          <w:lang w:val="es-ES_tradnl"/>
        </w:rPr>
        <w:t>. Las ventas de teléfonos inteligentes en 2015 alcanzaron los 1</w:t>
      </w:r>
      <w:r w:rsidR="00360A8E" w:rsidRPr="007078A2">
        <w:rPr>
          <w:lang w:val="es-ES_tradnl"/>
        </w:rPr>
        <w:t> </w:t>
      </w:r>
      <w:r w:rsidRPr="007078A2">
        <w:rPr>
          <w:lang w:val="es-ES_tradnl"/>
        </w:rPr>
        <w:t xml:space="preserve">400 millones de unidades, un aumento de 14,4% con respecto </w:t>
      </w:r>
      <w:r w:rsidR="00360A8E" w:rsidRPr="007078A2">
        <w:rPr>
          <w:lang w:val="es-ES_tradnl"/>
        </w:rPr>
        <w:t xml:space="preserve">a </w:t>
      </w:r>
      <w:r w:rsidRPr="007078A2">
        <w:rPr>
          <w:lang w:val="es-ES_tradnl"/>
        </w:rPr>
        <w:t>2014. Ese volumen de ventas supera las ventas totales de PC, televisores, tabletas y consolas de juego en número de unidades e ingresos</w:t>
      </w:r>
      <w:r w:rsidRPr="007078A2">
        <w:rPr>
          <w:rStyle w:val="EndnoteReference"/>
          <w:lang w:val="es-ES_tradnl"/>
        </w:rPr>
        <w:endnoteReference w:id="16"/>
      </w:r>
      <w:r w:rsidRPr="007078A2">
        <w:rPr>
          <w:lang w:val="es-ES_tradnl"/>
        </w:rPr>
        <w:t>. La creciente adopción de teléfonos inteligentes significa que, para muchos consumidores de los mercados en desarrollo, su primer contacto con Internet será probablemente a través de un teléfono inteligente. A ello se suma el crecimiento previsto de las ventas de teléfonos inteligentes de bajo coste y teléfonos inteligentes durante los próximos cinco años, en particular en los países en desarrollo, donde muchos consumidores siguen sin estar conectados</w:t>
      </w:r>
      <w:r w:rsidRPr="007078A2">
        <w:rPr>
          <w:rStyle w:val="EndnoteReference"/>
          <w:lang w:val="es-ES_tradnl"/>
        </w:rPr>
        <w:endnoteReference w:id="17"/>
      </w:r>
      <w:r w:rsidRPr="007078A2">
        <w:rPr>
          <w:lang w:val="es-ES_tradnl"/>
        </w:rPr>
        <w:t>.</w:t>
      </w:r>
    </w:p>
    <w:p w:rsidR="000A39FD" w:rsidRPr="007078A2" w:rsidRDefault="000A39FD" w:rsidP="00017CAF">
      <w:pPr>
        <w:rPr>
          <w:lang w:val="es-ES_tradnl"/>
        </w:rPr>
      </w:pPr>
      <w:r w:rsidRPr="007078A2">
        <w:rPr>
          <w:lang w:val="es-ES_tradnl"/>
        </w:rPr>
        <w:t>En los mercados maduros, los vendedores dependen esencialmente de la sustitución de aparatos, más que de las ventas a nuevos usuarios. Los analistas predicen que la proliferación de dispositivos móviles incitará</w:t>
      </w:r>
      <w:r w:rsidR="00360A8E" w:rsidRPr="007078A2">
        <w:rPr>
          <w:lang w:val="es-ES_tradnl"/>
        </w:rPr>
        <w:t xml:space="preserve"> a</w:t>
      </w:r>
      <w:r w:rsidRPr="007078A2">
        <w:rPr>
          <w:lang w:val="es-ES_tradnl"/>
        </w:rPr>
        <w:t xml:space="preserve"> los mercados a atender las </w:t>
      </w:r>
      <w:r w:rsidRPr="007078A2">
        <w:rPr>
          <w:i/>
          <w:iCs/>
          <w:lang w:val="es-ES_tradnl"/>
        </w:rPr>
        <w:t>necesidades de los usuarios</w:t>
      </w:r>
      <w:r w:rsidRPr="007078A2">
        <w:rPr>
          <w:lang w:val="es-ES_tradnl"/>
        </w:rPr>
        <w:t xml:space="preserve"> en diversos contextos y entornos, en lugar de preocuparse por las características y </w:t>
      </w:r>
      <w:r w:rsidRPr="007078A2">
        <w:rPr>
          <w:i/>
          <w:iCs/>
          <w:lang w:val="es-ES_tradnl"/>
        </w:rPr>
        <w:t>funcionalidades de los dispositivos</w:t>
      </w:r>
      <w:r w:rsidRPr="007078A2">
        <w:rPr>
          <w:lang w:val="es-ES_tradnl"/>
        </w:rPr>
        <w:t xml:space="preserve"> por sí solas</w:t>
      </w:r>
      <w:r w:rsidRPr="007078A2">
        <w:rPr>
          <w:rStyle w:val="EndnoteReference"/>
          <w:lang w:val="es-ES_tradnl"/>
        </w:rPr>
        <w:endnoteReference w:id="18"/>
      </w:r>
      <w:r w:rsidRPr="007078A2">
        <w:rPr>
          <w:lang w:val="es-ES_tradnl"/>
        </w:rPr>
        <w:t>. Más adelante,</w:t>
      </w:r>
      <w:r w:rsidR="00360A8E" w:rsidRPr="007078A2">
        <w:rPr>
          <w:lang w:val="es-ES_tradnl"/>
        </w:rPr>
        <w:t xml:space="preserve"> los teléfonos y dispositivos po</w:t>
      </w:r>
      <w:r w:rsidRPr="007078A2">
        <w:rPr>
          <w:lang w:val="es-ES_tradnl"/>
        </w:rPr>
        <w:t>nibles formarán parte de un entorno informático en plena expansión (incluidos los dispositivos conectados y la electrónica de consumo). Por consiguiente, cabe esperar lógicamente que el tráfico mundial de los teléfonos inteligentes se decuplique en 2019 y alcance los 18,24 exabytes al mes, con respecto a 1,74, y que el vídeo represente una parte considerable del tráfico</w:t>
      </w:r>
      <w:r w:rsidRPr="007078A2">
        <w:rPr>
          <w:rStyle w:val="EndnoteReference"/>
          <w:lang w:val="es-ES_tradnl"/>
        </w:rPr>
        <w:endnoteReference w:id="19"/>
      </w:r>
      <w:r w:rsidRPr="007078A2">
        <w:rPr>
          <w:lang w:val="es-ES_tradnl"/>
        </w:rPr>
        <w:t>.</w:t>
      </w:r>
    </w:p>
    <w:p w:rsidR="000A39FD" w:rsidRPr="007078A2" w:rsidRDefault="000A39FD" w:rsidP="00017CAF">
      <w:pPr>
        <w:rPr>
          <w:lang w:val="es-ES_tradnl"/>
        </w:rPr>
      </w:pPr>
      <w:r w:rsidRPr="007078A2">
        <w:rPr>
          <w:lang w:val="es-ES_tradnl"/>
        </w:rPr>
        <w:t>La movilidad, el acceso permanente y los dispositivos de banda ancha han cambiado de manera irreversible los comportamientos sociales y económicos de los consumidores. La proliferación de aplicaciones desarrolladas para atender la creciente necesidad de los consumidores de interactuar, comunicar y compartir información en línea los está convirtiendo en consumidores sociales digitales, comunicadores digitales y protagonistas del cambio en la transformación digital que invade el sector. En enero de 2016, el número de cuentas activas en medios sociales mundiales era superior a 2</w:t>
      </w:r>
      <w:r w:rsidR="00360A8E" w:rsidRPr="007078A2">
        <w:rPr>
          <w:lang w:val="es-ES_tradnl"/>
        </w:rPr>
        <w:t> </w:t>
      </w:r>
      <w:r w:rsidRPr="007078A2">
        <w:rPr>
          <w:lang w:val="es-ES_tradnl"/>
        </w:rPr>
        <w:t xml:space="preserve">307 billones, de los cuales las cuentas activas en medios sociales móviles representaban </w:t>
      </w:r>
      <w:r w:rsidR="00360A8E" w:rsidRPr="007078A2">
        <w:rPr>
          <w:lang w:val="es-ES_tradnl"/>
        </w:rPr>
        <w:t xml:space="preserve">el </w:t>
      </w:r>
      <w:r w:rsidRPr="007078A2">
        <w:rPr>
          <w:lang w:val="es-ES_tradnl"/>
        </w:rPr>
        <w:t>85%</w:t>
      </w:r>
      <w:r w:rsidRPr="007078A2">
        <w:rPr>
          <w:rStyle w:val="EndnoteReference"/>
          <w:lang w:val="es-ES_tradnl"/>
        </w:rPr>
        <w:endnoteReference w:id="20"/>
      </w:r>
      <w:r w:rsidRPr="007078A2">
        <w:rPr>
          <w:lang w:val="es-ES_tradnl"/>
        </w:rPr>
        <w:t>. Los usuarios activos de medios sociales dedican una media de casi 3 horas y 13 minutos al día a esa actividad</w:t>
      </w:r>
      <w:r w:rsidRPr="007078A2">
        <w:rPr>
          <w:rStyle w:val="EndnoteReference"/>
          <w:lang w:val="es-ES_tradnl"/>
        </w:rPr>
        <w:endnoteReference w:id="21"/>
      </w:r>
      <w:r w:rsidRPr="007078A2">
        <w:rPr>
          <w:lang w:val="es-ES_tradnl"/>
        </w:rPr>
        <w:t>, por lo que el impacto económico del tiempo dedicado a los medios sociales, aunque es indicativo, no es despreciable, ya que los usuarios proporcionan un ingente volumen de datos valiosos. El impacto de las redes sociales y de las aplicaciones multiplataformas (que dan acceso a una multitud de servicios desde una sola plataforma) aumenta las expectativas de muchos actores del mercado y empresas que vislumbran nuevas oportunidades comerciales en esas plataformas (incluidos análisis de macrodatos (</w:t>
      </w:r>
      <w:r w:rsidRPr="007078A2">
        <w:rPr>
          <w:i/>
          <w:iCs/>
          <w:lang w:val="es-ES_tradnl"/>
        </w:rPr>
        <w:t>Big Data</w:t>
      </w:r>
      <w:r w:rsidRPr="007078A2">
        <w:rPr>
          <w:lang w:val="es-ES_tradnl"/>
        </w:rPr>
        <w:t>) y publicidad). La difuminación de las diferencias entre el mundo físico y el digital está creando por supuesto nuevas oportunidades económicas, pero también plantea numerosas nuevas cuestiones sociales.</w:t>
      </w:r>
    </w:p>
    <w:p w:rsidR="000A39FD" w:rsidRPr="007078A2" w:rsidRDefault="000A39FD" w:rsidP="00A55685">
      <w:pPr>
        <w:pStyle w:val="Headingb"/>
        <w:rPr>
          <w:rFonts w:asciiTheme="minorHAnsi" w:hAnsiTheme="minorHAnsi"/>
          <w:lang w:val="es-ES_tradnl"/>
        </w:rPr>
      </w:pPr>
      <w:bookmarkStart w:id="13" w:name="_Toc3"/>
      <w:bookmarkStart w:id="14" w:name="_Toc474413183"/>
      <w:r w:rsidRPr="007078A2">
        <w:rPr>
          <w:rFonts w:asciiTheme="minorHAnsi" w:hAnsiTheme="minorHAnsi"/>
          <w:lang w:val="es-ES_tradnl"/>
        </w:rPr>
        <w:lastRenderedPageBreak/>
        <w:t>Lo primero son los consumidores</w:t>
      </w:r>
      <w:bookmarkEnd w:id="13"/>
      <w:bookmarkEnd w:id="14"/>
    </w:p>
    <w:p w:rsidR="000A39FD" w:rsidRPr="007078A2" w:rsidRDefault="000A39FD" w:rsidP="00017CAF">
      <w:pPr>
        <w:rPr>
          <w:lang w:val="es-ES_tradnl"/>
        </w:rPr>
      </w:pPr>
      <w:r w:rsidRPr="007078A2">
        <w:rPr>
          <w:lang w:val="es-ES_tradnl"/>
        </w:rPr>
        <w:t>La economía digital ha creado obviamente muchas nuevas oportunidades interesantes, pero también dificultades que requieren una mayor atención de los reguladores. El mayor surtido de dispositivos, servicios en línea y aplicaciones ofrece nuevas oportunidades a los consumidores. Es esencial identificar medidas dinámicas de política y reglamentación, además de soluciones e iniciativas de reglamentación colectivas e individuales, así como iniciativas encaminadas a informar y empoderar a los consumidores, para crear condiciones que estimulen las inversiones y la innovación y protejan al mismo tiempo los derechos de todos los usuarios en un mundo digital abierto, transparente e integrador. Los reguladores que participaron en el Simposio Mundial para Organismos Reguladores (GSR-14) de 2014 de la UIT identificaron y refrendaron un conjunto de directrices sobre prácticas idóneas en materia de reglamentación a fin de proteger los intereses de los consumidores y garantizar un terreno de juego equilibrado para los actores nuevos y tradicionales del mercado fomentando un sistema normativo flexible. Los reguladores reconocieron que deben tenerse en cuenta los derechos de todos los interesados a fin de velar por que los consumidores y las empresas se beneficien por igual de las oportunidades digitales</w:t>
      </w:r>
      <w:r w:rsidRPr="007078A2">
        <w:rPr>
          <w:rStyle w:val="EndnoteReference"/>
          <w:lang w:val="es-ES_tradnl"/>
        </w:rPr>
        <w:endnoteReference w:id="22"/>
      </w:r>
      <w:r w:rsidRPr="007078A2">
        <w:rPr>
          <w:lang w:val="es-ES_tradnl"/>
        </w:rPr>
        <w:t>.</w:t>
      </w:r>
    </w:p>
    <w:p w:rsidR="00F201B4" w:rsidRPr="007078A2" w:rsidRDefault="00F201B4">
      <w:pPr>
        <w:tabs>
          <w:tab w:val="clear" w:pos="794"/>
          <w:tab w:val="clear" w:pos="1191"/>
          <w:tab w:val="clear" w:pos="1588"/>
          <w:tab w:val="clear" w:pos="1985"/>
        </w:tabs>
        <w:overflowPunct/>
        <w:autoSpaceDE/>
        <w:autoSpaceDN/>
        <w:adjustRightInd/>
        <w:spacing w:before="0" w:after="160" w:line="259" w:lineRule="auto"/>
        <w:textAlignment w:val="auto"/>
        <w:rPr>
          <w:lang w:val="es-ES_tradnl"/>
        </w:rPr>
      </w:pPr>
      <w:r w:rsidRPr="007078A2">
        <w:rPr>
          <w:lang w:val="es-ES_tradnl"/>
        </w:rPr>
        <w:br w:type="page"/>
      </w:r>
    </w:p>
    <w:p w:rsidR="000A39FD" w:rsidRPr="007078A2" w:rsidRDefault="0082703E" w:rsidP="0082703E">
      <w:pPr>
        <w:pStyle w:val="Heading1"/>
        <w:tabs>
          <w:tab w:val="left" w:pos="794"/>
          <w:tab w:val="left" w:pos="1191"/>
          <w:tab w:val="left" w:pos="1588"/>
          <w:tab w:val="left" w:pos="1985"/>
        </w:tabs>
        <w:overflowPunct w:val="0"/>
        <w:autoSpaceDE w:val="0"/>
        <w:autoSpaceDN w:val="0"/>
        <w:adjustRightInd w:val="0"/>
        <w:spacing w:before="360" w:line="240" w:lineRule="auto"/>
        <w:ind w:left="794" w:hanging="794"/>
        <w:textAlignment w:val="baseline"/>
        <w:rPr>
          <w:rFonts w:asciiTheme="minorHAnsi" w:eastAsia="Times New Roman" w:hAnsiTheme="minorHAnsi" w:cs="Times New Roman"/>
          <w:bCs w:val="0"/>
          <w:color w:val="auto"/>
          <w:sz w:val="24"/>
          <w:szCs w:val="20"/>
          <w:lang w:val="es-ES_tradnl" w:bidi="ar-SA"/>
        </w:rPr>
      </w:pPr>
      <w:bookmarkStart w:id="15" w:name="_Toc4"/>
      <w:bookmarkStart w:id="16" w:name="_Toc474413184"/>
      <w:r w:rsidRPr="007078A2">
        <w:rPr>
          <w:rFonts w:asciiTheme="minorHAnsi" w:eastAsia="Times New Roman" w:hAnsiTheme="minorHAnsi" w:cs="Times New Roman"/>
          <w:bCs w:val="0"/>
          <w:color w:val="auto"/>
          <w:sz w:val="24"/>
          <w:szCs w:val="20"/>
          <w:lang w:val="es-ES_tradnl" w:bidi="ar-SA"/>
        </w:rPr>
        <w:lastRenderedPageBreak/>
        <w:t>2</w:t>
      </w:r>
      <w:r w:rsidRPr="007078A2">
        <w:rPr>
          <w:rFonts w:asciiTheme="minorHAnsi" w:eastAsia="Times New Roman" w:hAnsiTheme="minorHAnsi" w:cs="Times New Roman"/>
          <w:bCs w:val="0"/>
          <w:color w:val="auto"/>
          <w:sz w:val="24"/>
          <w:szCs w:val="20"/>
          <w:lang w:val="es-ES_tradnl" w:bidi="ar-SA"/>
        </w:rPr>
        <w:tab/>
      </w:r>
      <w:r w:rsidR="000A39FD" w:rsidRPr="007078A2">
        <w:rPr>
          <w:rFonts w:asciiTheme="minorHAnsi" w:eastAsia="Times New Roman" w:hAnsiTheme="minorHAnsi" w:cs="Times New Roman"/>
          <w:bCs w:val="0"/>
          <w:color w:val="auto"/>
          <w:sz w:val="24"/>
          <w:szCs w:val="20"/>
          <w:lang w:val="es-ES_tradnl" w:bidi="ar-SA"/>
        </w:rPr>
        <w:t>Tendencias de la reglamentación</w:t>
      </w:r>
      <w:bookmarkEnd w:id="15"/>
      <w:bookmarkEnd w:id="16"/>
    </w:p>
    <w:p w:rsidR="000A39FD" w:rsidRPr="007078A2" w:rsidRDefault="000A39FD" w:rsidP="00017CAF">
      <w:pPr>
        <w:rPr>
          <w:lang w:val="es-ES_tradnl"/>
        </w:rPr>
      </w:pPr>
      <w:r w:rsidRPr="007078A2">
        <w:rPr>
          <w:lang w:val="es-ES_tradnl"/>
        </w:rPr>
        <w:t>Los servicios y redes de comunicaciones se han vuelto más eficaces gracias a las tecnologías digitales y han facilitado la creación de ciudades inteligentes, naciones inteligentes y sociedades inteligentes. Han beneficiado a las personas, las empresas y los gobiernos.</w:t>
      </w:r>
    </w:p>
    <w:p w:rsidR="000A39FD" w:rsidRPr="007078A2" w:rsidRDefault="000A39FD" w:rsidP="00017CAF">
      <w:pPr>
        <w:rPr>
          <w:lang w:val="es-ES_tradnl"/>
        </w:rPr>
      </w:pPr>
      <w:r w:rsidRPr="007078A2">
        <w:rPr>
          <w:lang w:val="es-ES_tradnl"/>
        </w:rPr>
        <w:t>Las políticas y reglamentaciones de las TIC son fundamentales para crear un entorno propicio que permita reducir la brecha digital. El cambio del sector de las TIC está presionando a los reguladores y poderes públicos de las TIC para que revisen, adapten y anticipen constantemente los cambios, a fin de asegurarse de que su normativa nacional de las TIC sigue siendo pertinente.</w:t>
      </w:r>
    </w:p>
    <w:p w:rsidR="000A39FD" w:rsidRPr="007078A2" w:rsidRDefault="000A39FD" w:rsidP="00017CAF">
      <w:pPr>
        <w:rPr>
          <w:lang w:val="es-ES_tradnl"/>
        </w:rPr>
      </w:pPr>
      <w:r w:rsidRPr="007078A2">
        <w:rPr>
          <w:lang w:val="es-ES_tradnl"/>
        </w:rPr>
        <w:t>Al crear ciudades conectadas inteligentes y tratar de alcanzar los Objetivos de Desarrollo Sostenible, los poderes públicos y reguladores, junto con todos los interesados, tienen inquietudes similares que precisan soluciones comunes. Deben colaborar para crear un entorno normativo propicio en todos los sectores y suprimir los obstáculos al crecimiento. Es más importante que nunca adoptar marcos de política y normativos más flexibles e integradores y organizar diálogos con todos los interesados para comprender plenamente el potencial de la economía digital.</w:t>
      </w:r>
    </w:p>
    <w:p w:rsidR="000A39FD" w:rsidRPr="007078A2" w:rsidRDefault="000A39FD" w:rsidP="00017CAF">
      <w:pPr>
        <w:rPr>
          <w:lang w:val="es-ES_tradnl"/>
        </w:rPr>
      </w:pPr>
      <w:r w:rsidRPr="007078A2">
        <w:rPr>
          <w:lang w:val="es-ES_tradnl"/>
        </w:rPr>
        <w:t>Los reguladores y poderes públicos también deben reforzar sus fuerzas del orden para responder a las dificultades que plantea el dinamismo del mundo digital. La reforma del sector es un proceso constante que promueve el desarrollo social y económico en el sector de las TIC y otros sectores gracias a la reglamentación y a prácticas idóneas.</w:t>
      </w:r>
    </w:p>
    <w:p w:rsidR="000A39FD" w:rsidRPr="007078A2" w:rsidRDefault="000A39FD" w:rsidP="00017CAF">
      <w:pPr>
        <w:rPr>
          <w:lang w:val="es-ES_tradnl"/>
        </w:rPr>
      </w:pPr>
      <w:r w:rsidRPr="007078A2">
        <w:rPr>
          <w:lang w:val="es-ES_tradnl"/>
        </w:rPr>
        <w:t>Además, el desarrollo de la sociedad conectada digital mundial necesita confianza y seguridad, que dependen de una reglamentación coherente de la utilización de datos personales. Las diferencias culturales y conceptuales entre los países en materia de privacidad y de datos no han permitido determinar un marco normativo mundial. Una posibilidad podría consistir en aceptar a escala mundial un concepto generalizado basado en los derechos humanos en materia de protección de datos que los estados deben aplicar a todos los afectados por sus acciones, independientemente de su nacionalidad, estatuto legal o del lugar en el que viven. La sociedad conectada digital mundial sólo puede desarrollarse en los estados que acepten este principio fundamental, y entre esos estados.</w:t>
      </w:r>
    </w:p>
    <w:p w:rsidR="000A39FD" w:rsidRPr="007078A2" w:rsidRDefault="000A39FD" w:rsidP="00A55685">
      <w:pPr>
        <w:pStyle w:val="Headingb"/>
        <w:rPr>
          <w:rFonts w:asciiTheme="minorHAnsi" w:hAnsiTheme="minorHAnsi"/>
          <w:lang w:val="es-ES_tradnl"/>
        </w:rPr>
      </w:pPr>
      <w:bookmarkStart w:id="17" w:name="_Toc5"/>
      <w:bookmarkStart w:id="18" w:name="_Toc474413185"/>
      <w:r w:rsidRPr="007078A2">
        <w:rPr>
          <w:rFonts w:asciiTheme="minorHAnsi" w:hAnsiTheme="minorHAnsi"/>
          <w:lang w:val="es-ES_tradnl"/>
        </w:rPr>
        <w:t>Seguimiento de la evolución de la reglamentación</w:t>
      </w:r>
      <w:bookmarkEnd w:id="17"/>
      <w:bookmarkEnd w:id="18"/>
    </w:p>
    <w:p w:rsidR="000A39FD" w:rsidRPr="007078A2" w:rsidRDefault="000A39FD" w:rsidP="00017CAF">
      <w:pPr>
        <w:rPr>
          <w:lang w:val="es-ES_tradnl"/>
        </w:rPr>
      </w:pPr>
      <w:r w:rsidRPr="007078A2">
        <w:rPr>
          <w:lang w:val="es-ES_tradnl"/>
        </w:rPr>
        <w:t>La economía digital mundial ha abierto camino a una escala de reglamentaciones, o cinco generaciones de reglamentaciones de las TIC. Para responder a las evoluciones del mercado y la tecnología, los poderes públicos y los reguladores reciben solicitudes cada vez más evidentes para garantizar el acceso a infraestructuras digitales, a fin de empoderar a los consumidores y las sociedades y que las TIC se puedan aprovechar plenamente para alcanzar los ODS. Las redes y los servicios Inte</w:t>
      </w:r>
      <w:r w:rsidR="00D96645" w:rsidRPr="007078A2">
        <w:rPr>
          <w:lang w:val="es-ES_tradnl"/>
        </w:rPr>
        <w:t>rnet de banda ancha se considera</w:t>
      </w:r>
      <w:r w:rsidRPr="007078A2">
        <w:rPr>
          <w:lang w:val="es-ES_tradnl"/>
        </w:rPr>
        <w:t xml:space="preserve">n cada vez más como una materia prima y poder acceder a ellos se ha convertido incluso en un derecho en algunos países, dado </w:t>
      </w:r>
      <w:r w:rsidRPr="007078A2">
        <w:rPr>
          <w:lang w:val="es-ES_tradnl"/>
        </w:rPr>
        <w:lastRenderedPageBreak/>
        <w:t>que su disponibilidad y rendimiento impactan todos los aspectos del desarrollo de la economía y la sociedad actuales.</w:t>
      </w:r>
    </w:p>
    <w:p w:rsidR="000A39FD" w:rsidRPr="007078A2" w:rsidRDefault="000A39FD" w:rsidP="00017CAF">
      <w:pPr>
        <w:rPr>
          <w:rStyle w:val="st1"/>
          <w:color w:val="404041"/>
          <w:u w:color="404041"/>
          <w:lang w:val="es-ES_tradnl"/>
        </w:rPr>
      </w:pPr>
      <w:r w:rsidRPr="007078A2">
        <w:rPr>
          <w:lang w:val="es-ES_tradnl"/>
        </w:rPr>
        <w:t>Es necesario comprender y, siempre que sea posible, gestionar por medio de nuevos tipos de marcos de política y reglamentación, la utilización del sector de las TIC para estimular el crecimiento en la economía digital junto con otros sectores. Ahora bien, para ello deben comprenderse claramente las complejas relaciones entre las políticas normativas y el crecimiento de las TIC. También es importante cuantificar las tendencias recientes y aprender de buenas experiencias del pasado</w:t>
      </w:r>
      <w:r w:rsidRPr="007078A2">
        <w:rPr>
          <w:rStyle w:val="st1"/>
          <w:color w:val="404041"/>
          <w:u w:color="404041"/>
          <w:lang w:val="es-ES_tradnl"/>
        </w:rPr>
        <w:t>.</w:t>
      </w:r>
    </w:p>
    <w:p w:rsidR="000A39FD" w:rsidRPr="007078A2" w:rsidRDefault="000A39FD" w:rsidP="00017CAF">
      <w:pPr>
        <w:rPr>
          <w:lang w:val="es-ES_tradnl"/>
        </w:rPr>
      </w:pPr>
      <w:r w:rsidRPr="007078A2">
        <w:rPr>
          <w:lang w:val="es-ES_tradnl"/>
        </w:rPr>
        <w:t>Con ese objetivo, la UIT ha desarrollado un Rastreador de la Reglamentación de las TIC, que se basa en hechos fehacientes para ayudar a los poderes públicos y los reguladores a comprender la rápida evolución de la reglamentación del sector de las TIC. Este rastreador no se limita a echar la vista atrás, es un potente instrumento analítico que ayuda a determinar con precisión las calidades y los defectos de las intervenciones normativas a fin de aprender a crear un sector dinámico e innovador de las TIC (véase el Recuadro 1.1).</w:t>
      </w:r>
    </w:p>
    <w:tbl>
      <w:tblPr>
        <w:tblW w:w="92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48"/>
      </w:tblGrid>
      <w:tr w:rsidR="000A39FD" w:rsidRPr="00A32FCB" w:rsidTr="00F201B4">
        <w:trPr>
          <w:trHeight w:val="2614"/>
        </w:trPr>
        <w:tc>
          <w:tcPr>
            <w:tcW w:w="9248" w:type="dxa"/>
            <w:tcBorders>
              <w:top w:val="nil"/>
              <w:left w:val="nil"/>
              <w:bottom w:val="nil"/>
              <w:right w:val="nil"/>
            </w:tcBorders>
            <w:shd w:val="clear" w:color="auto" w:fill="DBE5F1"/>
            <w:tcMar>
              <w:top w:w="80" w:type="dxa"/>
              <w:left w:w="80" w:type="dxa"/>
              <w:bottom w:w="80" w:type="dxa"/>
              <w:right w:w="80" w:type="dxa"/>
            </w:tcMar>
          </w:tcPr>
          <w:p w:rsidR="000A39FD" w:rsidRPr="007078A2" w:rsidRDefault="000A39FD" w:rsidP="00FF14BC">
            <w:pPr>
              <w:pStyle w:val="Body"/>
              <w:spacing w:before="120" w:after="120"/>
              <w:jc w:val="both"/>
              <w:rPr>
                <w:rStyle w:val="st1"/>
                <w:b/>
                <w:bCs/>
                <w:sz w:val="20"/>
                <w:szCs w:val="20"/>
                <w:lang w:val="es-ES_tradnl"/>
              </w:rPr>
            </w:pPr>
            <w:r w:rsidRPr="007078A2">
              <w:rPr>
                <w:b/>
                <w:bCs/>
                <w:sz w:val="20"/>
                <w:szCs w:val="20"/>
                <w:lang w:val="es-ES_tradnl"/>
              </w:rPr>
              <w:t xml:space="preserve">Recuadro </w:t>
            </w:r>
            <w:r w:rsidRPr="007078A2">
              <w:rPr>
                <w:rStyle w:val="st1"/>
                <w:b/>
                <w:bCs/>
                <w:sz w:val="20"/>
                <w:szCs w:val="20"/>
                <w:lang w:val="es-ES_tradnl"/>
              </w:rPr>
              <w:t xml:space="preserve">1.1: Comprender las tendencias de la reglamentación: </w:t>
            </w:r>
            <w:r w:rsidRPr="007078A2">
              <w:rPr>
                <w:b/>
                <w:bCs/>
                <w:sz w:val="20"/>
                <w:szCs w:val="20"/>
                <w:lang w:val="es-ES_tradnl"/>
              </w:rPr>
              <w:t>Rastreador de la Reglamentación de las TIC</w:t>
            </w:r>
          </w:p>
          <w:p w:rsidR="000A39FD" w:rsidRPr="007078A2" w:rsidRDefault="000A39FD" w:rsidP="00017CAF">
            <w:pPr>
              <w:rPr>
                <w:rStyle w:val="st1"/>
                <w:sz w:val="20"/>
                <w:lang w:val="es-ES_tradnl"/>
              </w:rPr>
            </w:pPr>
            <w:r w:rsidRPr="007078A2">
              <w:rPr>
                <w:rStyle w:val="st1"/>
                <w:sz w:val="20"/>
                <w:lang w:val="es-ES_tradnl"/>
              </w:rPr>
              <w:t xml:space="preserve">La UIT ha creado un nuevo rastreador que permitirá seguir y medir los cambios que se producen en la reglamentación de las telecomunicaciones y las TIC, que recurre a métodos cuantitativos y a datos compilados en la encuesta anual de la UIT sobre reglamentación de las telecomunicaciones/TIC mundiales, y permite referenciar e identificar las tendencias de los marcos legislativos y normativos del sector de las TIC. </w:t>
            </w:r>
            <w:r w:rsidR="009D7998" w:rsidRPr="007078A2">
              <w:rPr>
                <w:rStyle w:val="st1"/>
                <w:sz w:val="20"/>
                <w:lang w:val="es-ES_tradnl"/>
              </w:rPr>
              <w:t xml:space="preserve">Los países que figuran en este </w:t>
            </w:r>
            <w:r w:rsidR="009D7998" w:rsidRPr="007078A2">
              <w:rPr>
                <w:rStyle w:val="st1"/>
                <w:i/>
                <w:iCs/>
                <w:sz w:val="20"/>
                <w:lang w:val="es-ES_tradnl"/>
              </w:rPr>
              <w:t>R</w:t>
            </w:r>
            <w:r w:rsidRPr="007078A2">
              <w:rPr>
                <w:rStyle w:val="st1"/>
                <w:i/>
                <w:iCs/>
                <w:sz w:val="20"/>
                <w:lang w:val="es-ES_tradnl"/>
              </w:rPr>
              <w:t>astreador</w:t>
            </w:r>
            <w:r w:rsidRPr="007078A2">
              <w:rPr>
                <w:rStyle w:val="st1"/>
                <w:sz w:val="20"/>
                <w:lang w:val="es-ES_tradnl"/>
              </w:rPr>
              <w:t xml:space="preserve"> se subdividen en umbrales de puntuación que, a partir del estudio de generaciones de reglamentaciones, ayudan a analizar la evolución de la reglamentación de las TIC en el mundo y sus perspectivas futuras.</w:t>
            </w:r>
          </w:p>
          <w:p w:rsidR="000A39FD" w:rsidRPr="007078A2" w:rsidRDefault="000A39FD" w:rsidP="00017CAF">
            <w:pPr>
              <w:rPr>
                <w:rStyle w:val="st1"/>
                <w:sz w:val="20"/>
                <w:lang w:val="es-ES_tradnl"/>
              </w:rPr>
            </w:pPr>
            <w:r w:rsidRPr="007078A2">
              <w:rPr>
                <w:rStyle w:val="st1"/>
                <w:sz w:val="20"/>
                <w:lang w:val="es-ES_tradnl"/>
              </w:rPr>
              <w:t xml:space="preserve">El </w:t>
            </w:r>
            <w:r w:rsidR="009D7998" w:rsidRPr="007078A2">
              <w:rPr>
                <w:rStyle w:val="st1"/>
                <w:i/>
                <w:iCs/>
                <w:sz w:val="20"/>
                <w:lang w:val="es-ES_tradnl"/>
              </w:rPr>
              <w:t>Rastreador</w:t>
            </w:r>
            <w:r w:rsidR="009D7998" w:rsidRPr="007078A2">
              <w:rPr>
                <w:rStyle w:val="st1"/>
                <w:sz w:val="20"/>
                <w:lang w:val="es-ES_tradnl"/>
              </w:rPr>
              <w:t xml:space="preserve"> </w:t>
            </w:r>
            <w:r w:rsidRPr="007078A2">
              <w:rPr>
                <w:rStyle w:val="st1"/>
                <w:sz w:val="20"/>
                <w:lang w:val="es-ES_tradnl"/>
              </w:rPr>
              <w:t>abarca hasta 156 países de los 193 Estados Miembros de la</w:t>
            </w:r>
            <w:r w:rsidR="009D7998" w:rsidRPr="007078A2">
              <w:rPr>
                <w:rStyle w:val="st1"/>
                <w:sz w:val="20"/>
                <w:lang w:val="es-ES_tradnl"/>
              </w:rPr>
              <w:t xml:space="preserve"> UIT, entre 2003 y 2013, </w:t>
            </w:r>
            <w:r w:rsidRPr="007078A2">
              <w:rPr>
                <w:rStyle w:val="st1"/>
                <w:sz w:val="20"/>
                <w:lang w:val="es-ES_tradnl"/>
              </w:rPr>
              <w:t>muestra los progresos en cada país, y los compara con los de otros países y regiones, y con los del mundo entero. El conjunto completo (50 indicadores) está disponible para el periodo 2007-2013, y será actualizado cada año. Se basa en datos indicados por cada país y reunidos en la encuesta anual de la UIT sobre reglamentación de las telecomunicaciones/TIC y en la compilación de otras investigaciones.</w:t>
            </w:r>
          </w:p>
          <w:p w:rsidR="00F201B4" w:rsidRPr="007078A2" w:rsidRDefault="000A39FD" w:rsidP="00F201B4">
            <w:pPr>
              <w:rPr>
                <w:rStyle w:val="st1"/>
                <w:sz w:val="20"/>
                <w:lang w:val="es-ES_tradnl"/>
              </w:rPr>
            </w:pPr>
            <w:r w:rsidRPr="007078A2">
              <w:rPr>
                <w:rStyle w:val="st1"/>
                <w:sz w:val="20"/>
                <w:lang w:val="es-ES_tradnl"/>
              </w:rPr>
              <w:t xml:space="preserve">El </w:t>
            </w:r>
            <w:r w:rsidR="009D7998" w:rsidRPr="007078A2">
              <w:rPr>
                <w:rStyle w:val="st1"/>
                <w:i/>
                <w:iCs/>
                <w:sz w:val="20"/>
                <w:lang w:val="es-ES_tradnl"/>
              </w:rPr>
              <w:t>Rastreador</w:t>
            </w:r>
            <w:r w:rsidR="009D7998" w:rsidRPr="007078A2">
              <w:rPr>
                <w:rStyle w:val="st1"/>
                <w:sz w:val="20"/>
                <w:lang w:val="es-ES_tradnl"/>
              </w:rPr>
              <w:t xml:space="preserve"> </w:t>
            </w:r>
            <w:r w:rsidRPr="007078A2">
              <w:rPr>
                <w:rStyle w:val="st1"/>
                <w:sz w:val="20"/>
                <w:lang w:val="es-ES_tradnl"/>
              </w:rPr>
              <w:t>se ha elaborado evaluando las distintas dimensiones de la reglamentación: el organismo regulador propiamente dicho, los segmentos y servicios reglamentados, el alcance y la orientación de las reglamentaciones, y la facilitación de un entorno de competencia. Comprende diversos elementos de reglamentación tradicional y nueva, en cuatro grupos: el organismo regulador, los mandatos de reglamentación, el régimen reglamentario y el marco de la competencia en el sec</w:t>
            </w:r>
            <w:r w:rsidR="004C1C61" w:rsidRPr="007078A2">
              <w:rPr>
                <w:rStyle w:val="st1"/>
                <w:sz w:val="20"/>
                <w:lang w:val="es-ES_tradnl"/>
              </w:rPr>
              <w:t>tor de las TIC (véase el Cuadro </w:t>
            </w:r>
            <w:r w:rsidRPr="007078A2">
              <w:rPr>
                <w:rStyle w:val="st1"/>
                <w:sz w:val="20"/>
                <w:lang w:val="es-ES_tradnl"/>
              </w:rPr>
              <w:t>1.1 siguiente).</w:t>
            </w:r>
          </w:p>
          <w:p w:rsidR="007F2082" w:rsidRPr="007078A2" w:rsidRDefault="007F2082" w:rsidP="00F201B4">
            <w:pPr>
              <w:rPr>
                <w:rStyle w:val="st1"/>
                <w:sz w:val="20"/>
                <w:lang w:val="es-ES_tradnl"/>
              </w:rPr>
            </w:pPr>
          </w:p>
          <w:p w:rsidR="007F2082" w:rsidRPr="007078A2" w:rsidRDefault="007F2082" w:rsidP="00F201B4">
            <w:pPr>
              <w:rPr>
                <w:rStyle w:val="st1"/>
                <w:sz w:val="20"/>
                <w:lang w:val="es-ES_tradnl"/>
              </w:rPr>
            </w:pPr>
          </w:p>
          <w:p w:rsidR="007F2082" w:rsidRPr="007078A2" w:rsidRDefault="007F2082" w:rsidP="00F201B4">
            <w:pPr>
              <w:rPr>
                <w:rStyle w:val="st1"/>
                <w:sz w:val="20"/>
                <w:lang w:val="es-ES_tradnl"/>
              </w:rPr>
            </w:pPr>
          </w:p>
          <w:p w:rsidR="007F2082" w:rsidRPr="007078A2" w:rsidRDefault="007F2082" w:rsidP="00F201B4">
            <w:pPr>
              <w:rPr>
                <w:rStyle w:val="st1"/>
                <w:sz w:val="20"/>
                <w:lang w:val="es-ES_tradnl"/>
              </w:rPr>
            </w:pPr>
          </w:p>
          <w:p w:rsidR="007F2082" w:rsidRPr="007078A2" w:rsidRDefault="007F2082" w:rsidP="00F201B4">
            <w:pPr>
              <w:rPr>
                <w:rStyle w:val="st1"/>
                <w:sz w:val="20"/>
                <w:lang w:val="es-ES_tradnl"/>
              </w:rPr>
            </w:pPr>
          </w:p>
          <w:p w:rsidR="007F2082" w:rsidRPr="007078A2" w:rsidRDefault="007F2082" w:rsidP="00F201B4">
            <w:pPr>
              <w:rPr>
                <w:rStyle w:val="st1"/>
                <w:sz w:val="20"/>
                <w:lang w:val="es-ES_tradnl"/>
              </w:rPr>
            </w:pPr>
          </w:p>
          <w:p w:rsidR="007F2082" w:rsidRPr="007078A2" w:rsidRDefault="007F2082" w:rsidP="00F201B4">
            <w:pPr>
              <w:rPr>
                <w:rStyle w:val="st1"/>
                <w:sz w:val="20"/>
                <w:lang w:val="es-ES_tradnl"/>
              </w:rPr>
            </w:pPr>
          </w:p>
          <w:p w:rsidR="007F2082" w:rsidRPr="007078A2" w:rsidRDefault="007F2082" w:rsidP="00F201B4">
            <w:pPr>
              <w:rPr>
                <w:rStyle w:val="st1"/>
                <w:sz w:val="20"/>
                <w:lang w:val="es-ES_tradnl"/>
              </w:rPr>
            </w:pPr>
          </w:p>
          <w:p w:rsidR="007F2082" w:rsidRPr="007078A2" w:rsidRDefault="007F2082" w:rsidP="00F201B4">
            <w:pPr>
              <w:rPr>
                <w:rStyle w:val="st1"/>
                <w:sz w:val="20"/>
                <w:lang w:val="es-ES_tradnl"/>
              </w:rPr>
            </w:pPr>
          </w:p>
          <w:p w:rsidR="000A39FD" w:rsidRPr="007078A2" w:rsidRDefault="000A39FD" w:rsidP="00F201B4">
            <w:pPr>
              <w:pStyle w:val="Body"/>
              <w:keepNext/>
              <w:keepLines/>
              <w:spacing w:before="120" w:after="0"/>
              <w:jc w:val="both"/>
              <w:rPr>
                <w:rStyle w:val="st1"/>
                <w:rFonts w:asciiTheme="minorHAnsi" w:eastAsiaTheme="minorEastAsia" w:hAnsiTheme="minorHAnsi" w:cstheme="minorBidi"/>
                <w:b/>
                <w:bCs/>
                <w:color w:val="auto"/>
                <w:sz w:val="18"/>
                <w:szCs w:val="18"/>
                <w:bdr w:val="none" w:sz="0" w:space="0" w:color="auto"/>
                <w:lang w:val="es-ES_tradnl"/>
              </w:rPr>
            </w:pPr>
            <w:r w:rsidRPr="007078A2">
              <w:rPr>
                <w:rStyle w:val="st1"/>
                <w:b/>
                <w:bCs/>
                <w:sz w:val="18"/>
                <w:szCs w:val="18"/>
                <w:lang w:val="es-ES_tradnl"/>
              </w:rPr>
              <w:t>Cuadro 1.1: Estructura resumida del Rastreador de la reglamentación de las TIC (conjunto completo), 2007-2013</w:t>
            </w:r>
          </w:p>
          <w:tbl>
            <w:tblPr>
              <w:tblStyle w:val="TableGrid"/>
              <w:tblpPr w:leftFromText="180" w:rightFromText="180" w:vertAnchor="text" w:horzAnchor="margin" w:tblpY="30"/>
              <w:tblW w:w="90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02"/>
              <w:gridCol w:w="1802"/>
              <w:gridCol w:w="1802"/>
              <w:gridCol w:w="1802"/>
              <w:gridCol w:w="1802"/>
            </w:tblGrid>
            <w:tr w:rsidR="000A39FD" w:rsidRPr="00A32FCB" w:rsidTr="004C1C61">
              <w:trPr>
                <w:trHeight w:val="227"/>
              </w:trPr>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Grupo</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Nombre</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rPr>
                      <w:rStyle w:val="st1"/>
                      <w:sz w:val="18"/>
                      <w:szCs w:val="18"/>
                      <w:lang w:val="es-ES_tradnl"/>
                    </w:rPr>
                  </w:pPr>
                  <w:r w:rsidRPr="007078A2">
                    <w:rPr>
                      <w:rStyle w:val="st1"/>
                      <w:sz w:val="18"/>
                      <w:szCs w:val="18"/>
                      <w:lang w:val="es-ES_tradnl"/>
                    </w:rPr>
                    <w:t>Número de indicadores</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Puntuación máxima</w:t>
                  </w:r>
                </w:p>
              </w:tc>
              <w:tc>
                <w:tcPr>
                  <w:tcW w:w="1802" w:type="dxa"/>
                </w:tcPr>
                <w:p w:rsidR="000A39FD" w:rsidRPr="007078A2" w:rsidRDefault="009D7998"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rPr>
                      <w:rStyle w:val="st1"/>
                      <w:sz w:val="18"/>
                      <w:szCs w:val="18"/>
                      <w:lang w:val="es-ES_tradnl"/>
                    </w:rPr>
                  </w:pPr>
                  <w:r w:rsidRPr="007078A2">
                    <w:rPr>
                      <w:rStyle w:val="st1"/>
                      <w:sz w:val="18"/>
                      <w:szCs w:val="18"/>
                      <w:lang w:val="es-ES_tradnl"/>
                    </w:rPr>
                    <w:t>Número mínimo de </w:t>
                  </w:r>
                  <w:r w:rsidR="000A39FD" w:rsidRPr="007078A2">
                    <w:rPr>
                      <w:rStyle w:val="st1"/>
                      <w:sz w:val="18"/>
                      <w:szCs w:val="18"/>
                      <w:lang w:val="es-ES_tradnl"/>
                    </w:rPr>
                    <w:t>indicadores necesarios para clasificar los países</w:t>
                  </w:r>
                </w:p>
              </w:tc>
            </w:tr>
            <w:tr w:rsidR="000A39FD" w:rsidRPr="007078A2" w:rsidTr="004C1C61">
              <w:trPr>
                <w:trHeight w:val="227"/>
              </w:trPr>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1</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Organismo regulador</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10</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20</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3</w:t>
                  </w:r>
                </w:p>
              </w:tc>
            </w:tr>
            <w:tr w:rsidR="000A39FD" w:rsidRPr="007078A2" w:rsidTr="004C1C61">
              <w:trPr>
                <w:trHeight w:val="227"/>
              </w:trPr>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2</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rPr>
                      <w:rStyle w:val="st1"/>
                      <w:sz w:val="18"/>
                      <w:szCs w:val="18"/>
                      <w:lang w:val="es-ES_tradnl"/>
                    </w:rPr>
                  </w:pPr>
                  <w:r w:rsidRPr="007078A2">
                    <w:rPr>
                      <w:rStyle w:val="st1"/>
                      <w:sz w:val="18"/>
                      <w:szCs w:val="18"/>
                      <w:lang w:val="es-ES_tradnl"/>
                    </w:rPr>
                    <w:t>Mandatos del regulador</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11</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22</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3</w:t>
                  </w:r>
                </w:p>
              </w:tc>
            </w:tr>
            <w:tr w:rsidR="000A39FD" w:rsidRPr="007078A2" w:rsidTr="004C1C61">
              <w:trPr>
                <w:trHeight w:val="227"/>
              </w:trPr>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3</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Régimen reglamentario</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15</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30</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4</w:t>
                  </w:r>
                </w:p>
              </w:tc>
            </w:tr>
            <w:tr w:rsidR="000A39FD" w:rsidRPr="007078A2" w:rsidTr="004C1C61">
              <w:trPr>
                <w:trHeight w:val="227"/>
              </w:trPr>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4</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rPr>
                      <w:rStyle w:val="st1"/>
                      <w:sz w:val="18"/>
                      <w:szCs w:val="18"/>
                      <w:lang w:val="es-ES_tradnl"/>
                    </w:rPr>
                  </w:pPr>
                  <w:r w:rsidRPr="007078A2">
                    <w:rPr>
                      <w:rStyle w:val="st1"/>
                      <w:sz w:val="18"/>
                      <w:szCs w:val="18"/>
                      <w:lang w:val="es-ES_tradnl"/>
                    </w:rPr>
                    <w:t>Marco de la competencia</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14</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28</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4</w:t>
                  </w:r>
                </w:p>
              </w:tc>
            </w:tr>
            <w:tr w:rsidR="000A39FD" w:rsidRPr="00A32FCB" w:rsidTr="004C1C61">
              <w:trPr>
                <w:trHeight w:val="227"/>
              </w:trPr>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Totales</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rPr>
                      <w:rStyle w:val="st1"/>
                      <w:sz w:val="18"/>
                      <w:szCs w:val="18"/>
                      <w:lang w:val="es-ES_tradnl"/>
                    </w:rPr>
                  </w:pPr>
                  <w:r w:rsidRPr="007078A2">
                    <w:rPr>
                      <w:rStyle w:val="st1"/>
                      <w:sz w:val="18"/>
                      <w:szCs w:val="18"/>
                      <w:lang w:val="es-ES_tradnl"/>
                    </w:rPr>
                    <w:t>Rastreador de la reglamentación de las TIC</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50</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100</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14</w:t>
                  </w:r>
                </w:p>
              </w:tc>
            </w:tr>
          </w:tbl>
          <w:p w:rsidR="000A39FD" w:rsidRPr="007078A2" w:rsidRDefault="000A39FD" w:rsidP="00F201B4">
            <w:pPr>
              <w:pStyle w:val="Body"/>
              <w:keepNext/>
              <w:keepLines/>
              <w:spacing w:before="120" w:after="0"/>
              <w:rPr>
                <w:rStyle w:val="st1"/>
                <w:i/>
                <w:iCs/>
                <w:sz w:val="18"/>
                <w:szCs w:val="18"/>
                <w:lang w:val="es-ES_tradnl"/>
              </w:rPr>
            </w:pPr>
            <w:r w:rsidRPr="007078A2">
              <w:rPr>
                <w:rStyle w:val="st1"/>
                <w:i/>
                <w:iCs/>
                <w:sz w:val="18"/>
                <w:szCs w:val="18"/>
                <w:lang w:val="es-ES_tradnl"/>
              </w:rPr>
              <w:lastRenderedPageBreak/>
              <w:t>Nota: Véanse todos los indicadores en las notas técnicas del Capítulo 1 de Tendencias en las Reformas de Telecomunicaciones 2015</w:t>
            </w:r>
          </w:p>
          <w:p w:rsidR="000A39FD" w:rsidRPr="007078A2" w:rsidRDefault="000A39FD" w:rsidP="00F201B4">
            <w:pPr>
              <w:keepNext/>
              <w:keepLines/>
              <w:rPr>
                <w:lang w:val="es-ES_tradnl"/>
              </w:rPr>
            </w:pPr>
            <w:r w:rsidRPr="007078A2">
              <w:rPr>
                <w:rStyle w:val="st1"/>
                <w:sz w:val="20"/>
                <w:lang w:val="es-ES_tradnl"/>
              </w:rPr>
              <w:t xml:space="preserve">El </w:t>
            </w:r>
            <w:r w:rsidR="009D7998" w:rsidRPr="007078A2">
              <w:rPr>
                <w:rStyle w:val="st1"/>
                <w:i/>
                <w:iCs/>
                <w:sz w:val="20"/>
                <w:lang w:val="es-ES_tradnl"/>
              </w:rPr>
              <w:t>Rastreador</w:t>
            </w:r>
            <w:r w:rsidR="009D7998" w:rsidRPr="007078A2">
              <w:rPr>
                <w:rStyle w:val="st1"/>
                <w:sz w:val="20"/>
                <w:lang w:val="es-ES_tradnl"/>
              </w:rPr>
              <w:t xml:space="preserve"> </w:t>
            </w:r>
            <w:r w:rsidRPr="007078A2">
              <w:rPr>
                <w:rStyle w:val="st1"/>
                <w:sz w:val="20"/>
                <w:lang w:val="es-ES_tradnl"/>
              </w:rPr>
              <w:t>efectúa evaluaciones c</w:t>
            </w:r>
            <w:r w:rsidR="00EB7D0F" w:rsidRPr="007078A2">
              <w:rPr>
                <w:rStyle w:val="st1"/>
                <w:sz w:val="20"/>
                <w:lang w:val="es-ES_tradnl"/>
              </w:rPr>
              <w:t>u</w:t>
            </w:r>
            <w:r w:rsidRPr="007078A2">
              <w:rPr>
                <w:rStyle w:val="st1"/>
                <w:sz w:val="20"/>
                <w:lang w:val="es-ES_tradnl"/>
              </w:rPr>
              <w:t>alitativas y cuantitativas. Todos los indicadores puntúan entre 0 y 2. La puntuación se basa en el caso que se considera más favorable en rel</w:t>
            </w:r>
            <w:r w:rsidR="009D7998" w:rsidRPr="007078A2">
              <w:rPr>
                <w:rStyle w:val="st1"/>
                <w:sz w:val="20"/>
                <w:lang w:val="es-ES_tradnl"/>
              </w:rPr>
              <w:t>ación con prácticas normativas e</w:t>
            </w:r>
            <w:r w:rsidRPr="007078A2">
              <w:rPr>
                <w:rStyle w:val="st1"/>
                <w:sz w:val="20"/>
                <w:lang w:val="es-ES_tradnl"/>
              </w:rPr>
              <w:t xml:space="preserve"> idóneas internacionalmente reconocidas adoptadas por la comunidad de mundial de reguladores en el Simposio Mundial para Organismos Reguladores de la UIT que se celebra cada año.</w:t>
            </w:r>
          </w:p>
        </w:tc>
      </w:tr>
    </w:tbl>
    <w:p w:rsidR="000A39FD" w:rsidRPr="007078A2" w:rsidRDefault="000A39FD" w:rsidP="00531C12">
      <w:pPr>
        <w:rPr>
          <w:lang w:val="es-ES_tradnl"/>
        </w:rPr>
      </w:pPr>
      <w:r w:rsidRPr="007078A2">
        <w:rPr>
          <w:lang w:val="es-ES_tradnl"/>
        </w:rPr>
        <w:lastRenderedPageBreak/>
        <w:t>Las normativas de la primera generación regían servicios monopolísticos, privados, públicos o gestionados por el sector público, con miras a fomentar mejoras de eficiencia y servicios; de hecho, las normativas simulaban la competencia. Con la privatización parcial y la concesión de licencias para infraestructuras en régimen de competencia, la segunda generación de normativas tenía por objeto garantizar que el operador establecido pusiera sus infraestructuras a disposición de manera no discriminatoria, a menudo presionada para que velase por los intereses de accionistas públicos. Con la privatización total y el paso a la competencia entre servicios en lugar de infraestructuras, la tercera generación de normativas independientes se focalizaba en la neutralidad de la red, que necesitaba estar protegida para obtener una competencia sostenible entre servicios y, dado el crecimiento de la entrega de contenidos, se planteó la necesidad creciente de proteger a los consumidores (véase la Figura 1.2).</w:t>
      </w:r>
    </w:p>
    <w:tbl>
      <w:tblPr>
        <w:tblW w:w="90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12"/>
        <w:gridCol w:w="3260"/>
      </w:tblGrid>
      <w:tr w:rsidR="000A39FD" w:rsidRPr="007078A2" w:rsidTr="00FF14BC">
        <w:trPr>
          <w:trHeight w:val="240"/>
        </w:trPr>
        <w:tc>
          <w:tcPr>
            <w:tcW w:w="9072" w:type="dxa"/>
            <w:gridSpan w:val="2"/>
            <w:tcBorders>
              <w:top w:val="nil"/>
              <w:left w:val="nil"/>
              <w:bottom w:val="nil"/>
              <w:right w:val="nil"/>
            </w:tcBorders>
            <w:shd w:val="clear" w:color="auto" w:fill="auto"/>
            <w:tcMar>
              <w:top w:w="80" w:type="dxa"/>
              <w:left w:w="80" w:type="dxa"/>
              <w:bottom w:w="80" w:type="dxa"/>
              <w:right w:w="80" w:type="dxa"/>
            </w:tcMar>
          </w:tcPr>
          <w:p w:rsidR="000A39FD" w:rsidRPr="007078A2" w:rsidRDefault="000A39FD" w:rsidP="00531C12">
            <w:pPr>
              <w:pStyle w:val="FigureNotitle"/>
              <w:keepNext/>
              <w:pBdr>
                <w:top w:val="nil"/>
                <w:left w:val="nil"/>
                <w:bottom w:val="nil"/>
                <w:right w:val="nil"/>
                <w:between w:val="nil"/>
                <w:bar w:val="nil"/>
              </w:pBdr>
            </w:pPr>
            <w:r w:rsidRPr="007078A2">
              <w:t>Figura 1.2: Generaciones de normativas</w:t>
            </w:r>
          </w:p>
        </w:tc>
      </w:tr>
      <w:tr w:rsidR="000A39FD" w:rsidRPr="00A32FCB" w:rsidTr="00FF14BC">
        <w:trPr>
          <w:trHeight w:val="4020"/>
        </w:trPr>
        <w:tc>
          <w:tcPr>
            <w:tcW w:w="5812" w:type="dxa"/>
            <w:tcBorders>
              <w:top w:val="nil"/>
              <w:left w:val="nil"/>
              <w:bottom w:val="nil"/>
              <w:right w:val="nil"/>
            </w:tcBorders>
            <w:shd w:val="clear" w:color="auto" w:fill="auto"/>
            <w:tcMar>
              <w:top w:w="80" w:type="dxa"/>
              <w:left w:w="80" w:type="dxa"/>
              <w:bottom w:w="80" w:type="dxa"/>
              <w:right w:w="80" w:type="dxa"/>
            </w:tcMar>
          </w:tcPr>
          <w:p w:rsidR="000A39FD" w:rsidRPr="007078A2" w:rsidRDefault="000A39FD" w:rsidP="00531C12">
            <w:pPr>
              <w:keepNext/>
              <w:keepLines/>
              <w:jc w:val="both"/>
              <w:rPr>
                <w:lang w:val="es-ES_tradnl"/>
              </w:rPr>
            </w:pPr>
            <w:r w:rsidRPr="007078A2">
              <w:rPr>
                <w:rFonts w:cs="Calibri Light"/>
                <w:noProof/>
                <w:color w:val="404041"/>
                <w:lang w:eastAsia="zh-CN"/>
              </w:rPr>
              <mc:AlternateContent>
                <mc:Choice Requires="wpg">
                  <w:drawing>
                    <wp:anchor distT="0" distB="0" distL="114300" distR="114300" simplePos="0" relativeHeight="251661312" behindDoc="0" locked="0" layoutInCell="1" allowOverlap="1" wp14:anchorId="28F3CFFA" wp14:editId="2C7E804A">
                      <wp:simplePos x="0" y="0"/>
                      <wp:positionH relativeFrom="column">
                        <wp:posOffset>2540</wp:posOffset>
                      </wp:positionH>
                      <wp:positionV relativeFrom="paragraph">
                        <wp:posOffset>-635</wp:posOffset>
                      </wp:positionV>
                      <wp:extent cx="3283585" cy="2428875"/>
                      <wp:effectExtent l="0" t="0" r="0" b="0"/>
                      <wp:wrapNone/>
                      <wp:docPr id="45" name="Group 7"/>
                      <wp:cNvGraphicFramePr/>
                      <a:graphic xmlns:a="http://schemas.openxmlformats.org/drawingml/2006/main">
                        <a:graphicData uri="http://schemas.microsoft.com/office/word/2010/wordprocessingGroup">
                          <wpg:wgp>
                            <wpg:cNvGrpSpPr/>
                            <wpg:grpSpPr>
                              <a:xfrm>
                                <a:off x="0" y="0"/>
                                <a:ext cx="3283585" cy="2428875"/>
                                <a:chOff x="0" y="0"/>
                                <a:chExt cx="6874693" cy="4900656"/>
                              </a:xfrm>
                            </wpg:grpSpPr>
                            <pic:pic xmlns:pic="http://schemas.openxmlformats.org/drawingml/2006/picture">
                              <pic:nvPicPr>
                                <pic:cNvPr id="46" name="Picture 46"/>
                                <pic:cNvPicPr/>
                              </pic:nvPicPr>
                              <pic:blipFill rotWithShape="1">
                                <a:blip r:embed="rId10" cstate="print">
                                  <a:extLst>
                                    <a:ext uri="{28A0092B-C50C-407E-A947-70E740481C1C}">
                                      <a14:useLocalDpi xmlns:a14="http://schemas.microsoft.com/office/drawing/2010/main" val="0"/>
                                    </a:ext>
                                  </a:extLst>
                                </a:blip>
                                <a:srcRect l="75985" t="30924" b="40862"/>
                                <a:stretch/>
                              </pic:blipFill>
                              <pic:spPr bwMode="auto">
                                <a:xfrm>
                                  <a:off x="5633723" y="0"/>
                                  <a:ext cx="1240970" cy="86214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Picture 47"/>
                                <pic:cNvPicPr/>
                              </pic:nvPicPr>
                              <pic:blipFill rotWithShape="1">
                                <a:blip r:embed="rId11" cstate="print">
                                  <a:extLst>
                                    <a:ext uri="{28A0092B-C50C-407E-A947-70E740481C1C}">
                                      <a14:useLocalDpi xmlns:a14="http://schemas.microsoft.com/office/drawing/2010/main" val="0"/>
                                    </a:ext>
                                  </a:extLst>
                                </a:blip>
                                <a:srcRect t="15127" b="8455"/>
                                <a:stretch/>
                              </pic:blipFill>
                              <pic:spPr bwMode="auto">
                                <a:xfrm>
                                  <a:off x="0" y="156753"/>
                                  <a:ext cx="6731002" cy="474390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097B57D" id="Group 7" o:spid="_x0000_s1026" style="position:absolute;margin-left:.2pt;margin-top:-.05pt;width:258.55pt;height:191.25pt;z-index:251661312;mso-width-relative:margin;mso-height-relative:margin" coordsize="68746,49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56337;width:12409;height:8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f+JPDAAAA2wAAAA8AAABkcnMvZG93bnJldi54bWxEj0trAkEQhO8B/8PQgrc4qwTRjaOoGPDq&#10;K9Fbs9PZhzs9y86o6/56RwjkWFTVV9R03phS3Kh2uWUFg34EgjixOudUwWH/9T4G4TyyxtIyKXiQ&#10;g/ms8zbFWNs7b+m286kIEHYxKsi8r2IpXZKRQde3FXHwfm1t0AdZp1LXeA9wU8phFI2kwZzDQoYV&#10;rTJKLrurUXBqiwmhPa827fL72BZr81Mshkr1us3iE4Snxv+H/9obreBjBK8v4Qf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4k8MAAADbAAAADwAAAAAAAAAAAAAAAACf&#10;AgAAZHJzL2Rvd25yZXYueG1sUEsFBgAAAAAEAAQA9wAAAI8DAAAAAA==&#10;">
                        <v:imagedata r:id="rId12" o:title="" croptop="20266f" cropbottom="26779f" cropleft="49798f"/>
                      </v:shape>
                      <v:shape id="Picture 47" o:spid="_x0000_s1028" type="#_x0000_t75" style="position:absolute;top:1567;width:67310;height:47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ILJPEAAAA2wAAAA8AAABkcnMvZG93bnJldi54bWxEj0FrwkAUhO9C/8PyCl6kbipiS+oqSUDQ&#10;oxra62v2NQndfZtmtxr/vSsIHoeZ+YZZrgdrxIl63zpW8DpNQBBXTrdcKyiPm5d3ED4gazSOScGF&#10;PKxXT6MlptqdeU+nQ6hFhLBPUUETQpdK6auGLPqp64ij9+N6iyHKvpa6x3OEWyNnSbKQFluOCw12&#10;VDRU/R7+rYJdaf++aq+z78nsc5IvTF4WJldq/DxkHyACDeERvre3WsH8DW5f4g+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ILJPEAAAA2wAAAA8AAAAAAAAAAAAAAAAA&#10;nwIAAGRycy9kb3ducmV2LnhtbFBLBQYAAAAABAAEAPcAAACQAwAAAAA=&#10;">
                        <v:imagedata r:id="rId13" o:title="" croptop="9914f" cropbottom="5541f"/>
                      </v:shape>
                    </v:group>
                  </w:pict>
                </mc:Fallback>
              </mc:AlternateContent>
            </w:r>
          </w:p>
        </w:tc>
        <w:tc>
          <w:tcPr>
            <w:tcW w:w="3260" w:type="dxa"/>
            <w:tcBorders>
              <w:top w:val="nil"/>
              <w:left w:val="nil"/>
              <w:bottom w:val="nil"/>
              <w:right w:val="nil"/>
            </w:tcBorders>
            <w:shd w:val="clear" w:color="auto" w:fill="auto"/>
            <w:tcMar>
              <w:top w:w="80" w:type="dxa"/>
              <w:left w:w="80" w:type="dxa"/>
              <w:bottom w:w="80" w:type="dxa"/>
              <w:right w:w="80" w:type="dxa"/>
            </w:tcMar>
          </w:tcPr>
          <w:p w:rsidR="000A39FD" w:rsidRPr="007078A2" w:rsidRDefault="000A39FD" w:rsidP="00500757">
            <w:pPr>
              <w:pStyle w:val="Body"/>
              <w:spacing w:after="0" w:line="240" w:lineRule="auto"/>
              <w:rPr>
                <w:rStyle w:val="st1"/>
                <w:color w:val="auto"/>
                <w:sz w:val="18"/>
                <w:szCs w:val="18"/>
                <w:u w:color="404041"/>
                <w:lang w:val="es-ES_tradnl"/>
              </w:rPr>
            </w:pPr>
            <w:r w:rsidRPr="007078A2">
              <w:rPr>
                <w:rStyle w:val="st1"/>
                <w:b/>
                <w:bCs/>
                <w:color w:val="auto"/>
                <w:sz w:val="18"/>
                <w:szCs w:val="18"/>
                <w:u w:color="404041"/>
                <w:lang w:val="es-ES_tradnl"/>
              </w:rPr>
              <w:t>G1:</w:t>
            </w:r>
            <w:r w:rsidRPr="007078A2">
              <w:rPr>
                <w:rStyle w:val="st1"/>
                <w:color w:val="auto"/>
                <w:sz w:val="18"/>
                <w:szCs w:val="18"/>
                <w:u w:color="404041"/>
                <w:lang w:val="es-ES_tradnl"/>
              </w:rPr>
              <w:t xml:space="preserve"> Monopolios públicos reglamentados sin regulador independiente</w:t>
            </w:r>
          </w:p>
          <w:p w:rsidR="000A39FD" w:rsidRPr="007078A2" w:rsidRDefault="000A39FD" w:rsidP="00500757">
            <w:pPr>
              <w:pStyle w:val="Body"/>
              <w:spacing w:after="0" w:line="240" w:lineRule="auto"/>
              <w:rPr>
                <w:rStyle w:val="st1"/>
                <w:color w:val="auto"/>
                <w:sz w:val="18"/>
                <w:szCs w:val="18"/>
                <w:u w:color="404041"/>
                <w:lang w:val="es-ES_tradnl"/>
              </w:rPr>
            </w:pPr>
            <w:r w:rsidRPr="007078A2">
              <w:rPr>
                <w:rStyle w:val="st1"/>
                <w:b/>
                <w:bCs/>
                <w:color w:val="auto"/>
                <w:sz w:val="18"/>
                <w:szCs w:val="18"/>
                <w:u w:color="404041"/>
                <w:lang w:val="es-ES_tradnl"/>
              </w:rPr>
              <w:t>G2:</w:t>
            </w:r>
            <w:r w:rsidRPr="007078A2">
              <w:rPr>
                <w:rStyle w:val="st1"/>
                <w:color w:val="auto"/>
                <w:sz w:val="18"/>
                <w:szCs w:val="18"/>
                <w:u w:color="404041"/>
                <w:lang w:val="es-ES_tradnl"/>
              </w:rPr>
              <w:t xml:space="preserve"> Reforma básica, con la creación de organismos reguladores independientes, liberalización parcial y privatización en las capas</w:t>
            </w:r>
          </w:p>
          <w:p w:rsidR="000A39FD" w:rsidRPr="007078A2" w:rsidRDefault="000A39FD" w:rsidP="00500757">
            <w:pPr>
              <w:pStyle w:val="Body"/>
              <w:spacing w:after="0" w:line="240" w:lineRule="auto"/>
              <w:rPr>
                <w:rStyle w:val="st1"/>
                <w:color w:val="auto"/>
                <w:sz w:val="18"/>
                <w:szCs w:val="18"/>
                <w:u w:color="404041"/>
                <w:lang w:val="es-ES_tradnl"/>
              </w:rPr>
            </w:pPr>
            <w:r w:rsidRPr="007078A2">
              <w:rPr>
                <w:rStyle w:val="st1"/>
                <w:b/>
                <w:bCs/>
                <w:color w:val="auto"/>
                <w:sz w:val="18"/>
                <w:szCs w:val="18"/>
                <w:u w:color="404041"/>
                <w:lang w:val="es-ES_tradnl"/>
              </w:rPr>
              <w:t>G3:</w:t>
            </w:r>
            <w:r w:rsidRPr="007078A2">
              <w:rPr>
                <w:rStyle w:val="st1"/>
                <w:color w:val="auto"/>
                <w:sz w:val="18"/>
                <w:szCs w:val="18"/>
                <w:u w:color="404041"/>
                <w:lang w:val="es-ES_tradnl"/>
              </w:rPr>
              <w:t xml:space="preserve"> Reglamentación para facilitar las inversiones, la innovación y el acceso, focalizada en la estimulación de la competencia</w:t>
            </w:r>
          </w:p>
          <w:p w:rsidR="000A39FD" w:rsidRPr="007078A2" w:rsidRDefault="000A39FD" w:rsidP="00500757">
            <w:pPr>
              <w:pStyle w:val="Body"/>
              <w:spacing w:after="0" w:line="240" w:lineRule="auto"/>
              <w:rPr>
                <w:rStyle w:val="st1"/>
                <w:color w:val="auto"/>
                <w:sz w:val="18"/>
                <w:szCs w:val="18"/>
                <w:u w:color="404041"/>
                <w:lang w:val="es-ES_tradnl"/>
              </w:rPr>
            </w:pPr>
            <w:r w:rsidRPr="007078A2">
              <w:rPr>
                <w:rStyle w:val="st1"/>
                <w:b/>
                <w:bCs/>
                <w:color w:val="auto"/>
                <w:sz w:val="18"/>
                <w:szCs w:val="18"/>
                <w:u w:color="404041"/>
                <w:lang w:val="es-ES_tradnl"/>
              </w:rPr>
              <w:t>G4:</w:t>
            </w:r>
            <w:r w:rsidRPr="007078A2">
              <w:rPr>
                <w:rStyle w:val="st1"/>
                <w:color w:val="auto"/>
                <w:sz w:val="18"/>
                <w:szCs w:val="18"/>
                <w:u w:color="404041"/>
                <w:lang w:val="es-ES_tradnl"/>
              </w:rPr>
              <w:t xml:space="preserve"> Reglamentación integrada con un papel evolutivo del regulador, que participa en el desarrollo y la integración social </w:t>
            </w:r>
          </w:p>
          <w:p w:rsidR="000A39FD" w:rsidRPr="007078A2" w:rsidRDefault="000A39FD" w:rsidP="00500757">
            <w:pPr>
              <w:pStyle w:val="Body"/>
              <w:spacing w:after="0" w:line="240" w:lineRule="auto"/>
              <w:rPr>
                <w:lang w:val="es-ES_tradnl"/>
              </w:rPr>
            </w:pPr>
            <w:r w:rsidRPr="007078A2">
              <w:rPr>
                <w:rStyle w:val="st1"/>
                <w:b/>
                <w:bCs/>
                <w:color w:val="auto"/>
                <w:sz w:val="18"/>
                <w:szCs w:val="18"/>
                <w:u w:color="404041"/>
                <w:lang w:val="es-ES_tradnl"/>
              </w:rPr>
              <w:t>G5:</w:t>
            </w:r>
            <w:r w:rsidRPr="007078A2">
              <w:rPr>
                <w:rStyle w:val="st1"/>
                <w:color w:val="auto"/>
                <w:sz w:val="18"/>
                <w:szCs w:val="18"/>
                <w:u w:color="404041"/>
                <w:lang w:val="es-ES_tradnl"/>
              </w:rPr>
              <w:t xml:space="preserve"> Reglamentación colaborativa en la que es necesario definir los fundamentos, plataformas y mecanismos de trabajo con otros reguladores del sector para alcanzar los Objetivos de Desarrollo Sostenibles</w:t>
            </w:r>
          </w:p>
        </w:tc>
      </w:tr>
      <w:tr w:rsidR="000A39FD" w:rsidRPr="007078A2" w:rsidTr="00FF14BC">
        <w:trPr>
          <w:trHeight w:val="220"/>
        </w:trPr>
        <w:tc>
          <w:tcPr>
            <w:tcW w:w="9072" w:type="dxa"/>
            <w:gridSpan w:val="2"/>
            <w:tcBorders>
              <w:top w:val="nil"/>
              <w:left w:val="nil"/>
              <w:bottom w:val="nil"/>
              <w:right w:val="nil"/>
            </w:tcBorders>
            <w:shd w:val="clear" w:color="auto" w:fill="auto"/>
            <w:tcMar>
              <w:top w:w="80" w:type="dxa"/>
              <w:left w:w="80" w:type="dxa"/>
              <w:bottom w:w="80" w:type="dxa"/>
              <w:right w:w="80" w:type="dxa"/>
            </w:tcMar>
          </w:tcPr>
          <w:p w:rsidR="000A39FD" w:rsidRPr="007078A2" w:rsidRDefault="000A39FD" w:rsidP="00FF14BC">
            <w:pPr>
              <w:pStyle w:val="Body"/>
              <w:spacing w:after="0" w:line="240" w:lineRule="auto"/>
              <w:jc w:val="both"/>
              <w:rPr>
                <w:lang w:val="es-ES_tradnl"/>
              </w:rPr>
            </w:pPr>
            <w:r w:rsidRPr="007078A2">
              <w:rPr>
                <w:rStyle w:val="st1"/>
                <w:sz w:val="18"/>
                <w:szCs w:val="18"/>
                <w:lang w:val="es-ES_tradnl"/>
              </w:rPr>
              <w:t>Origen: UIT.</w:t>
            </w:r>
          </w:p>
        </w:tc>
      </w:tr>
    </w:tbl>
    <w:p w:rsidR="00017CAF" w:rsidRPr="007078A2" w:rsidRDefault="00017CAF" w:rsidP="00017CAF">
      <w:pPr>
        <w:spacing w:before="0"/>
        <w:jc w:val="both"/>
        <w:rPr>
          <w:rStyle w:val="st1"/>
          <w:b/>
          <w:bCs/>
          <w:sz w:val="18"/>
          <w:szCs w:val="18"/>
          <w:u w:color="404041"/>
          <w:lang w:val="es-ES_tradnl"/>
        </w:rPr>
      </w:pPr>
      <w:r w:rsidRPr="007078A2">
        <w:rPr>
          <w:rStyle w:val="st1"/>
          <w:b/>
          <w:bCs/>
          <w:sz w:val="18"/>
          <w:szCs w:val="18"/>
          <w:u w:color="404041"/>
          <w:lang w:val="es-ES_tradnl"/>
        </w:rPr>
        <w:t>Leyenda de la Figura 1.2:</w:t>
      </w:r>
    </w:p>
    <w:p w:rsidR="000A39FD" w:rsidRPr="007078A2" w:rsidRDefault="000A39FD" w:rsidP="00017CAF">
      <w:pPr>
        <w:spacing w:before="0"/>
        <w:jc w:val="both"/>
        <w:rPr>
          <w:rStyle w:val="st1"/>
          <w:sz w:val="18"/>
          <w:szCs w:val="18"/>
          <w:u w:color="404041"/>
          <w:lang w:val="es-ES_tradnl"/>
        </w:rPr>
      </w:pPr>
      <w:r w:rsidRPr="007078A2">
        <w:rPr>
          <w:rStyle w:val="st1"/>
          <w:sz w:val="18"/>
          <w:szCs w:val="18"/>
          <w:u w:color="404041"/>
          <w:lang w:val="es-ES_tradnl"/>
        </w:rPr>
        <w:t>Apertura y flexibilidad</w:t>
      </w:r>
      <w:r w:rsidR="00F23789" w:rsidRPr="007078A2">
        <w:rPr>
          <w:rStyle w:val="st1"/>
          <w:sz w:val="18"/>
          <w:szCs w:val="18"/>
          <w:u w:color="404041"/>
          <w:lang w:val="es-ES_tradnl"/>
        </w:rPr>
        <w:tab/>
      </w:r>
      <w:r w:rsidR="00F23789" w:rsidRPr="007078A2">
        <w:rPr>
          <w:rStyle w:val="st1"/>
          <w:sz w:val="18"/>
          <w:szCs w:val="18"/>
          <w:u w:color="404041"/>
          <w:lang w:val="es-ES_tradnl"/>
        </w:rPr>
        <w:tab/>
        <w:t>Colaboración</w:t>
      </w:r>
    </w:p>
    <w:p w:rsidR="000A39FD" w:rsidRPr="007078A2" w:rsidRDefault="000A39FD" w:rsidP="00F23789">
      <w:pPr>
        <w:spacing w:before="0" w:after="120"/>
        <w:jc w:val="both"/>
        <w:rPr>
          <w:rStyle w:val="st1"/>
          <w:sz w:val="18"/>
          <w:szCs w:val="18"/>
          <w:u w:color="404041"/>
          <w:lang w:val="es-ES_tradnl"/>
        </w:rPr>
      </w:pPr>
      <w:r w:rsidRPr="007078A2">
        <w:rPr>
          <w:rStyle w:val="st1"/>
          <w:sz w:val="18"/>
          <w:szCs w:val="18"/>
          <w:u w:color="404041"/>
          <w:lang w:val="es-ES_tradnl"/>
        </w:rPr>
        <w:t>Efectividad</w:t>
      </w:r>
    </w:p>
    <w:p w:rsidR="000A39FD" w:rsidRPr="007078A2" w:rsidRDefault="000A39FD" w:rsidP="00557256">
      <w:pPr>
        <w:spacing w:before="0"/>
        <w:rPr>
          <w:rStyle w:val="st1"/>
          <w:sz w:val="18"/>
          <w:szCs w:val="18"/>
          <w:u w:color="404041"/>
          <w:lang w:val="es-ES_tradnl"/>
        </w:rPr>
      </w:pPr>
      <w:r w:rsidRPr="007078A2">
        <w:rPr>
          <w:rStyle w:val="st1"/>
          <w:sz w:val="18"/>
          <w:szCs w:val="18"/>
          <w:u w:color="404041"/>
          <w:lang w:val="es-ES_tradnl"/>
        </w:rPr>
        <w:t>G1: Monopolios reglamentados</w:t>
      </w:r>
      <w:r w:rsidR="00557256" w:rsidRPr="007078A2">
        <w:rPr>
          <w:rStyle w:val="st1"/>
          <w:sz w:val="18"/>
          <w:szCs w:val="18"/>
          <w:u w:color="404041"/>
          <w:lang w:val="es-ES_tradnl"/>
        </w:rPr>
        <w:t xml:space="preserve"> – </w:t>
      </w:r>
      <w:r w:rsidRPr="007078A2">
        <w:rPr>
          <w:rStyle w:val="st1"/>
          <w:sz w:val="18"/>
          <w:szCs w:val="18"/>
          <w:u w:color="404041"/>
          <w:lang w:val="es-ES_tradnl"/>
        </w:rPr>
        <w:t>G2: Reforma básica</w:t>
      </w:r>
      <w:r w:rsidR="00557256" w:rsidRPr="007078A2">
        <w:rPr>
          <w:rStyle w:val="st1"/>
          <w:sz w:val="18"/>
          <w:szCs w:val="18"/>
          <w:u w:color="404041"/>
          <w:lang w:val="es-ES_tradnl"/>
        </w:rPr>
        <w:t xml:space="preserve"> – </w:t>
      </w:r>
      <w:r w:rsidRPr="007078A2">
        <w:rPr>
          <w:rStyle w:val="st1"/>
          <w:sz w:val="18"/>
          <w:szCs w:val="18"/>
          <w:u w:color="404041"/>
          <w:lang w:val="es-ES_tradnl"/>
        </w:rPr>
        <w:t>G3: Entorno propicio</w:t>
      </w:r>
      <w:r w:rsidR="00557256" w:rsidRPr="007078A2">
        <w:rPr>
          <w:rStyle w:val="st1"/>
          <w:sz w:val="18"/>
          <w:szCs w:val="18"/>
          <w:u w:color="404041"/>
          <w:lang w:val="es-ES_tradnl"/>
        </w:rPr>
        <w:t xml:space="preserve"> – </w:t>
      </w:r>
      <w:r w:rsidRPr="007078A2">
        <w:rPr>
          <w:rStyle w:val="st1"/>
          <w:sz w:val="18"/>
          <w:szCs w:val="18"/>
          <w:u w:color="404041"/>
          <w:lang w:val="es-ES_tradnl"/>
        </w:rPr>
        <w:t>G4: Reglamentación integrada</w:t>
      </w:r>
      <w:r w:rsidR="00557256" w:rsidRPr="007078A2">
        <w:rPr>
          <w:rStyle w:val="st1"/>
          <w:sz w:val="18"/>
          <w:szCs w:val="18"/>
          <w:u w:color="404041"/>
          <w:lang w:val="es-ES_tradnl"/>
        </w:rPr>
        <w:t xml:space="preserve"> – G5: </w:t>
      </w:r>
      <w:r w:rsidRPr="007078A2">
        <w:rPr>
          <w:rStyle w:val="st1"/>
          <w:sz w:val="18"/>
          <w:szCs w:val="18"/>
          <w:u w:color="404041"/>
          <w:lang w:val="es-ES_tradnl"/>
        </w:rPr>
        <w:t>Reglamentación colaborativa</w:t>
      </w:r>
    </w:p>
    <w:p w:rsidR="000A39FD" w:rsidRPr="007078A2" w:rsidRDefault="000A39FD" w:rsidP="00017CAF">
      <w:pPr>
        <w:rPr>
          <w:rStyle w:val="st1"/>
          <w:u w:color="404041"/>
          <w:lang w:val="es-ES_tradnl"/>
        </w:rPr>
      </w:pPr>
      <w:r w:rsidRPr="007078A2">
        <w:rPr>
          <w:rStyle w:val="st1"/>
          <w:u w:color="404041"/>
          <w:lang w:val="es-ES_tradnl"/>
        </w:rPr>
        <w:t>Mayor complejidad y una visión transectorial, más allá de las TIC, son algunas de las características principales de la reglamentación de la cuarta generación, que conduce a una reglamentación colaborativa de la quinta generación. Las evoluciones de los mercados y las tecnologías han incitado a los reguladores de la cuarta generación a afrontar un reto diferente, el de la finalidad de la reglamentación. Durante el último decenio la reglamentación de la cuarta generación, que se caracteriza por su agilidad y flexibilidad, ha ganado terreno rápidamente. Uno de cada cuatro países encuestados disfruta ahora de un entorno reglamentario de la cuarta generación que permite apoyar</w:t>
      </w:r>
      <w:r w:rsidR="00017CAF" w:rsidRPr="007078A2">
        <w:rPr>
          <w:rStyle w:val="st1"/>
          <w:u w:color="404041"/>
          <w:lang w:val="es-ES_tradnl"/>
        </w:rPr>
        <w:t>se en el sector de las TIC para </w:t>
      </w:r>
      <w:r w:rsidRPr="007078A2">
        <w:rPr>
          <w:rStyle w:val="st1"/>
          <w:u w:color="404041"/>
          <w:lang w:val="es-ES_tradnl"/>
        </w:rPr>
        <w:t>propiciar el crecimiento económico y el desarrollo social en toda la economía (véase la</w:t>
      </w:r>
      <w:r w:rsidR="00017CAF" w:rsidRPr="007078A2">
        <w:rPr>
          <w:rStyle w:val="st1"/>
          <w:u w:color="404041"/>
          <w:lang w:val="es-ES_tradnl"/>
        </w:rPr>
        <w:t> </w:t>
      </w:r>
      <w:r w:rsidRPr="007078A2">
        <w:rPr>
          <w:rStyle w:val="st1"/>
          <w:u w:color="404041"/>
          <w:lang w:val="es-ES_tradnl"/>
        </w:rPr>
        <w:t>Figura</w:t>
      </w:r>
      <w:r w:rsidR="00017CAF" w:rsidRPr="007078A2">
        <w:rPr>
          <w:rStyle w:val="st1"/>
          <w:u w:color="404041"/>
          <w:lang w:val="es-ES_tradnl"/>
        </w:rPr>
        <w:t> </w:t>
      </w:r>
      <w:r w:rsidRPr="007078A2">
        <w:rPr>
          <w:rStyle w:val="st1"/>
          <w:u w:color="404041"/>
          <w:lang w:val="es-ES_tradnl"/>
        </w:rPr>
        <w:t xml:space="preserve">1.3). No todos esos países han </w:t>
      </w:r>
      <w:r w:rsidRPr="007078A2">
        <w:rPr>
          <w:rStyle w:val="st1"/>
          <w:u w:color="404041"/>
          <w:lang w:val="es-ES_tradnl"/>
        </w:rPr>
        <w:lastRenderedPageBreak/>
        <w:t>concretizado ya todas las oportunidades digitales, pero han abierto camino a un cambio significativo y pueden esperar mejoras tangibles de sus sectores de las TIC y de toda su economía a corto o mediano plazo.</w:t>
      </w:r>
    </w:p>
    <w:tbl>
      <w:tblPr>
        <w:tblW w:w="90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16"/>
        <w:gridCol w:w="3111"/>
      </w:tblGrid>
      <w:tr w:rsidR="000A39FD" w:rsidRPr="00A32FCB" w:rsidTr="00FF14BC">
        <w:trPr>
          <w:trHeight w:val="240"/>
        </w:trPr>
        <w:tc>
          <w:tcPr>
            <w:tcW w:w="9027" w:type="dxa"/>
            <w:gridSpan w:val="2"/>
            <w:tcBorders>
              <w:top w:val="nil"/>
              <w:left w:val="nil"/>
              <w:bottom w:val="nil"/>
              <w:right w:val="nil"/>
            </w:tcBorders>
            <w:shd w:val="clear" w:color="auto" w:fill="auto"/>
            <w:tcMar>
              <w:top w:w="80" w:type="dxa"/>
              <w:left w:w="80" w:type="dxa"/>
              <w:bottom w:w="80" w:type="dxa"/>
              <w:right w:w="80" w:type="dxa"/>
            </w:tcMar>
          </w:tcPr>
          <w:p w:rsidR="000A39FD" w:rsidRPr="007078A2" w:rsidRDefault="000A39FD" w:rsidP="00531C12">
            <w:pPr>
              <w:pStyle w:val="FigureNotitle"/>
              <w:keepNext/>
              <w:pBdr>
                <w:top w:val="nil"/>
                <w:left w:val="nil"/>
                <w:bottom w:val="nil"/>
                <w:right w:val="nil"/>
                <w:between w:val="nil"/>
                <w:bar w:val="nil"/>
              </w:pBdr>
            </w:pPr>
            <w:r w:rsidRPr="007078A2">
              <w:t>Figura 1.3: Evolución de la reglamentación de las TIC</w:t>
            </w:r>
          </w:p>
        </w:tc>
      </w:tr>
      <w:tr w:rsidR="000A39FD" w:rsidRPr="007078A2" w:rsidTr="00FF14BC">
        <w:trPr>
          <w:trHeight w:val="3681"/>
        </w:trPr>
        <w:tc>
          <w:tcPr>
            <w:tcW w:w="5916" w:type="dxa"/>
            <w:tcBorders>
              <w:top w:val="nil"/>
              <w:left w:val="nil"/>
              <w:bottom w:val="nil"/>
              <w:right w:val="nil"/>
            </w:tcBorders>
            <w:shd w:val="clear" w:color="auto" w:fill="auto"/>
            <w:tcMar>
              <w:top w:w="80" w:type="dxa"/>
              <w:left w:w="80" w:type="dxa"/>
              <w:bottom w:w="80" w:type="dxa"/>
              <w:right w:w="80" w:type="dxa"/>
            </w:tcMar>
          </w:tcPr>
          <w:p w:rsidR="000A39FD" w:rsidRPr="007078A2" w:rsidRDefault="000A39FD" w:rsidP="00531C12">
            <w:pPr>
              <w:keepNext/>
              <w:keepLines/>
              <w:jc w:val="both"/>
              <w:rPr>
                <w:lang w:val="es-ES_tradnl"/>
              </w:rPr>
            </w:pPr>
            <w:r w:rsidRPr="007078A2">
              <w:rPr>
                <w:noProof/>
                <w:lang w:eastAsia="zh-CN"/>
              </w:rPr>
              <w:drawing>
                <wp:anchor distT="0" distB="0" distL="114300" distR="114300" simplePos="0" relativeHeight="251662336" behindDoc="0" locked="0" layoutInCell="1" allowOverlap="1" wp14:anchorId="0C0C61E4" wp14:editId="5214147C">
                  <wp:simplePos x="0" y="0"/>
                  <wp:positionH relativeFrom="column">
                    <wp:posOffset>4445</wp:posOffset>
                  </wp:positionH>
                  <wp:positionV relativeFrom="paragraph">
                    <wp:posOffset>0</wp:posOffset>
                  </wp:positionV>
                  <wp:extent cx="3476625" cy="2170430"/>
                  <wp:effectExtent l="0" t="0" r="9525" b="127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6625" cy="217043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1" w:type="dxa"/>
            <w:tcBorders>
              <w:top w:val="nil"/>
              <w:left w:val="nil"/>
              <w:bottom w:val="nil"/>
              <w:right w:val="nil"/>
            </w:tcBorders>
            <w:shd w:val="clear" w:color="auto" w:fill="auto"/>
            <w:tcMar>
              <w:top w:w="80" w:type="dxa"/>
              <w:left w:w="80" w:type="dxa"/>
              <w:bottom w:w="80" w:type="dxa"/>
              <w:right w:w="80" w:type="dxa"/>
            </w:tcMar>
          </w:tcPr>
          <w:p w:rsidR="000A39FD" w:rsidRPr="007078A2" w:rsidRDefault="000A39FD" w:rsidP="00FF14BC">
            <w:pPr>
              <w:pStyle w:val="Body"/>
              <w:spacing w:after="0" w:line="240" w:lineRule="auto"/>
              <w:jc w:val="both"/>
              <w:rPr>
                <w:rStyle w:val="st1"/>
                <w:sz w:val="18"/>
                <w:szCs w:val="18"/>
                <w:lang w:val="es-ES_tradnl"/>
              </w:rPr>
            </w:pPr>
          </w:p>
          <w:p w:rsidR="000A39FD" w:rsidRPr="007078A2" w:rsidRDefault="00473E01" w:rsidP="00473E01">
            <w:pPr>
              <w:pStyle w:val="Body"/>
              <w:spacing w:after="0" w:line="240" w:lineRule="auto"/>
              <w:jc w:val="both"/>
              <w:rPr>
                <w:rStyle w:val="st1"/>
                <w:sz w:val="18"/>
                <w:szCs w:val="18"/>
                <w:lang w:val="es-ES_tradnl"/>
              </w:rPr>
            </w:pPr>
            <w:r w:rsidRPr="007078A2">
              <w:rPr>
                <w:rStyle w:val="st1"/>
                <w:color w:val="auto"/>
                <w:sz w:val="18"/>
                <w:szCs w:val="18"/>
                <w:u w:color="404041"/>
                <w:lang w:val="es-ES_tradnl"/>
              </w:rPr>
              <w:t>Leyenda:</w:t>
            </w:r>
          </w:p>
          <w:p w:rsidR="000A39FD" w:rsidRPr="007078A2" w:rsidRDefault="000A39FD" w:rsidP="00FF14BC">
            <w:pPr>
              <w:pStyle w:val="Body"/>
              <w:spacing w:after="0" w:line="240" w:lineRule="auto"/>
              <w:jc w:val="both"/>
              <w:rPr>
                <w:rStyle w:val="st1"/>
                <w:sz w:val="18"/>
                <w:szCs w:val="18"/>
                <w:lang w:val="es-ES_tradnl"/>
              </w:rPr>
            </w:pPr>
            <w:r w:rsidRPr="007078A2">
              <w:rPr>
                <w:rStyle w:val="st1"/>
                <w:sz w:val="18"/>
                <w:szCs w:val="18"/>
                <w:lang w:val="es-ES_tradnl"/>
              </w:rPr>
              <w:t>(Puntuación del rastreador de las TIC)</w:t>
            </w:r>
          </w:p>
          <w:p w:rsidR="000A39FD" w:rsidRPr="007078A2" w:rsidRDefault="000A39FD" w:rsidP="00FF14BC">
            <w:pPr>
              <w:pStyle w:val="Body"/>
              <w:spacing w:after="0" w:line="240" w:lineRule="auto"/>
              <w:jc w:val="both"/>
              <w:rPr>
                <w:rStyle w:val="st1"/>
                <w:sz w:val="18"/>
                <w:szCs w:val="18"/>
                <w:lang w:val="es-ES_tradnl"/>
              </w:rPr>
            </w:pPr>
          </w:p>
          <w:p w:rsidR="000A39FD" w:rsidRPr="007078A2" w:rsidRDefault="000A39FD" w:rsidP="00FF14BC">
            <w:pPr>
              <w:pStyle w:val="Body"/>
              <w:spacing w:after="0" w:line="240" w:lineRule="auto"/>
              <w:jc w:val="both"/>
              <w:rPr>
                <w:rStyle w:val="st1"/>
                <w:sz w:val="18"/>
                <w:szCs w:val="18"/>
                <w:lang w:val="es-ES_tradnl"/>
              </w:rPr>
            </w:pPr>
            <w:r w:rsidRPr="007078A2">
              <w:rPr>
                <w:rStyle w:val="st1"/>
                <w:sz w:val="18"/>
                <w:szCs w:val="18"/>
                <w:lang w:val="es-ES_tradnl"/>
              </w:rPr>
              <w:t>1ª generación   &gt;=0      &lt;40</w:t>
            </w:r>
          </w:p>
          <w:p w:rsidR="000A39FD" w:rsidRPr="007078A2" w:rsidRDefault="000A39FD" w:rsidP="00FF14BC">
            <w:pPr>
              <w:pStyle w:val="Body"/>
              <w:spacing w:after="0" w:line="240" w:lineRule="auto"/>
              <w:jc w:val="both"/>
              <w:rPr>
                <w:rStyle w:val="st1"/>
                <w:sz w:val="18"/>
                <w:szCs w:val="18"/>
                <w:lang w:val="es-ES_tradnl"/>
              </w:rPr>
            </w:pPr>
          </w:p>
          <w:p w:rsidR="000A39FD" w:rsidRPr="007078A2" w:rsidRDefault="000A39FD" w:rsidP="00FF14BC">
            <w:pPr>
              <w:pStyle w:val="Body"/>
              <w:spacing w:after="0" w:line="240" w:lineRule="auto"/>
              <w:jc w:val="both"/>
              <w:rPr>
                <w:rStyle w:val="st1"/>
                <w:sz w:val="18"/>
                <w:szCs w:val="18"/>
                <w:lang w:val="es-ES_tradnl"/>
              </w:rPr>
            </w:pPr>
            <w:r w:rsidRPr="007078A2">
              <w:rPr>
                <w:rStyle w:val="st1"/>
                <w:sz w:val="18"/>
                <w:szCs w:val="18"/>
                <w:lang w:val="es-ES_tradnl"/>
              </w:rPr>
              <w:t xml:space="preserve">2ª </w:t>
            </w:r>
            <w:r w:rsidRPr="007078A2">
              <w:rPr>
                <w:sz w:val="18"/>
                <w:szCs w:val="18"/>
                <w:lang w:val="es-ES_tradnl"/>
              </w:rPr>
              <w:t>generación</w:t>
            </w:r>
            <w:r w:rsidRPr="007078A2">
              <w:rPr>
                <w:rStyle w:val="st1"/>
                <w:sz w:val="18"/>
                <w:szCs w:val="18"/>
                <w:lang w:val="es-ES_tradnl"/>
              </w:rPr>
              <w:t xml:space="preserve">   &gt;=40    &lt;70</w:t>
            </w:r>
          </w:p>
          <w:p w:rsidR="000A39FD" w:rsidRPr="007078A2" w:rsidRDefault="000A39FD" w:rsidP="00FF14BC">
            <w:pPr>
              <w:pStyle w:val="Body"/>
              <w:spacing w:after="0" w:line="240" w:lineRule="auto"/>
              <w:jc w:val="both"/>
              <w:rPr>
                <w:rStyle w:val="st1"/>
                <w:sz w:val="18"/>
                <w:szCs w:val="18"/>
                <w:lang w:val="es-ES_tradnl"/>
              </w:rPr>
            </w:pPr>
          </w:p>
          <w:p w:rsidR="000A39FD" w:rsidRPr="007078A2" w:rsidRDefault="000A39FD" w:rsidP="00FF14BC">
            <w:pPr>
              <w:pStyle w:val="Body"/>
              <w:spacing w:after="0" w:line="240" w:lineRule="auto"/>
              <w:jc w:val="both"/>
              <w:rPr>
                <w:rStyle w:val="st1"/>
                <w:sz w:val="18"/>
                <w:szCs w:val="18"/>
                <w:lang w:val="es-ES_tradnl"/>
              </w:rPr>
            </w:pPr>
            <w:r w:rsidRPr="007078A2">
              <w:rPr>
                <w:rStyle w:val="st1"/>
                <w:sz w:val="18"/>
                <w:szCs w:val="18"/>
                <w:lang w:val="es-ES_tradnl"/>
              </w:rPr>
              <w:t xml:space="preserve">3ª </w:t>
            </w:r>
            <w:r w:rsidRPr="007078A2">
              <w:rPr>
                <w:sz w:val="18"/>
                <w:szCs w:val="18"/>
                <w:lang w:val="es-ES_tradnl"/>
              </w:rPr>
              <w:t xml:space="preserve">generación   </w:t>
            </w:r>
            <w:r w:rsidRPr="007078A2">
              <w:rPr>
                <w:rStyle w:val="st1"/>
                <w:sz w:val="18"/>
                <w:szCs w:val="18"/>
                <w:lang w:val="es-ES_tradnl"/>
              </w:rPr>
              <w:t>&gt;=70    &lt;85</w:t>
            </w:r>
          </w:p>
          <w:p w:rsidR="000A39FD" w:rsidRPr="007078A2" w:rsidRDefault="000A39FD" w:rsidP="00FF14BC">
            <w:pPr>
              <w:pStyle w:val="Body"/>
              <w:spacing w:after="0" w:line="240" w:lineRule="auto"/>
              <w:jc w:val="both"/>
              <w:rPr>
                <w:rStyle w:val="st1"/>
                <w:sz w:val="18"/>
                <w:szCs w:val="18"/>
                <w:lang w:val="es-ES_tradnl"/>
              </w:rPr>
            </w:pPr>
          </w:p>
          <w:p w:rsidR="000A39FD" w:rsidRPr="007078A2" w:rsidRDefault="000A39FD" w:rsidP="00FF14BC">
            <w:pPr>
              <w:pStyle w:val="Body"/>
              <w:spacing w:after="0" w:line="240" w:lineRule="auto"/>
              <w:jc w:val="both"/>
              <w:rPr>
                <w:lang w:val="es-ES_tradnl"/>
              </w:rPr>
            </w:pPr>
            <w:r w:rsidRPr="007078A2">
              <w:rPr>
                <w:rStyle w:val="st1"/>
                <w:sz w:val="18"/>
                <w:szCs w:val="18"/>
                <w:lang w:val="es-ES_tradnl"/>
              </w:rPr>
              <w:t xml:space="preserve">4ª </w:t>
            </w:r>
            <w:r w:rsidRPr="007078A2">
              <w:rPr>
                <w:sz w:val="18"/>
                <w:szCs w:val="18"/>
                <w:lang w:val="es-ES_tradnl"/>
              </w:rPr>
              <w:t>generación</w:t>
            </w:r>
            <w:r w:rsidRPr="007078A2">
              <w:rPr>
                <w:rStyle w:val="st1"/>
                <w:sz w:val="18"/>
                <w:szCs w:val="18"/>
                <w:lang w:val="es-ES_tradnl"/>
              </w:rPr>
              <w:t xml:space="preserve">   &gt;=85    &lt;=100 </w:t>
            </w:r>
          </w:p>
        </w:tc>
      </w:tr>
      <w:tr w:rsidR="000A39FD" w:rsidRPr="007078A2" w:rsidTr="00FF14BC">
        <w:trPr>
          <w:trHeight w:val="220"/>
        </w:trPr>
        <w:tc>
          <w:tcPr>
            <w:tcW w:w="9027" w:type="dxa"/>
            <w:gridSpan w:val="2"/>
            <w:tcBorders>
              <w:top w:val="nil"/>
              <w:left w:val="nil"/>
              <w:bottom w:val="nil"/>
              <w:right w:val="nil"/>
            </w:tcBorders>
            <w:shd w:val="clear" w:color="auto" w:fill="auto"/>
            <w:tcMar>
              <w:top w:w="80" w:type="dxa"/>
              <w:left w:w="80" w:type="dxa"/>
              <w:bottom w:w="80" w:type="dxa"/>
              <w:right w:w="80" w:type="dxa"/>
            </w:tcMar>
          </w:tcPr>
          <w:p w:rsidR="000A39FD" w:rsidRPr="007078A2" w:rsidRDefault="000A39FD" w:rsidP="00FF14BC">
            <w:pPr>
              <w:spacing w:after="120"/>
              <w:jc w:val="both"/>
              <w:rPr>
                <w:sz w:val="20"/>
                <w:lang w:val="es-ES_tradnl"/>
              </w:rPr>
            </w:pPr>
            <w:r w:rsidRPr="007078A2">
              <w:rPr>
                <w:sz w:val="20"/>
                <w:lang w:val="es-ES_tradnl"/>
              </w:rPr>
              <w:t>Origen: UIT.</w:t>
            </w:r>
          </w:p>
        </w:tc>
      </w:tr>
    </w:tbl>
    <w:p w:rsidR="00017CAF" w:rsidRPr="007078A2" w:rsidRDefault="000A39FD" w:rsidP="00FD10EE">
      <w:pPr>
        <w:pStyle w:val="Body"/>
        <w:spacing w:after="0"/>
        <w:jc w:val="both"/>
        <w:rPr>
          <w:rStyle w:val="st1"/>
          <w:b/>
          <w:bCs/>
          <w:color w:val="auto"/>
          <w:sz w:val="18"/>
          <w:szCs w:val="18"/>
          <w:u w:color="404041"/>
          <w:lang w:val="es-ES_tradnl"/>
        </w:rPr>
      </w:pPr>
      <w:r w:rsidRPr="007078A2">
        <w:rPr>
          <w:rStyle w:val="st1"/>
          <w:b/>
          <w:bCs/>
          <w:color w:val="auto"/>
          <w:sz w:val="18"/>
          <w:szCs w:val="18"/>
          <w:u w:color="404041"/>
          <w:lang w:val="es-ES_tradnl"/>
        </w:rPr>
        <w:t>Leyenda</w:t>
      </w:r>
      <w:r w:rsidR="00017CAF" w:rsidRPr="007078A2">
        <w:rPr>
          <w:rStyle w:val="st1"/>
          <w:b/>
          <w:bCs/>
          <w:color w:val="auto"/>
          <w:sz w:val="18"/>
          <w:szCs w:val="18"/>
          <w:u w:color="404041"/>
          <w:lang w:val="es-ES_tradnl"/>
        </w:rPr>
        <w:t xml:space="preserve"> de la Figura 1.3:</w:t>
      </w:r>
    </w:p>
    <w:p w:rsidR="000A39FD" w:rsidRPr="007078A2" w:rsidRDefault="000A39FD" w:rsidP="00FD10EE">
      <w:pPr>
        <w:pStyle w:val="Body"/>
        <w:spacing w:after="0"/>
        <w:jc w:val="both"/>
        <w:rPr>
          <w:rStyle w:val="st1"/>
          <w:color w:val="auto"/>
          <w:sz w:val="18"/>
          <w:szCs w:val="18"/>
          <w:u w:color="404041"/>
          <w:lang w:val="es-ES_tradnl"/>
        </w:rPr>
      </w:pPr>
      <w:r w:rsidRPr="007078A2">
        <w:rPr>
          <w:rStyle w:val="st1"/>
          <w:color w:val="auto"/>
          <w:sz w:val="18"/>
          <w:szCs w:val="18"/>
          <w:u w:color="404041"/>
          <w:lang w:val="es-ES_tradnl"/>
        </w:rPr>
        <w:t xml:space="preserve">Países que </w:t>
      </w:r>
      <w:r w:rsidR="00EB471B" w:rsidRPr="007078A2">
        <w:rPr>
          <w:rStyle w:val="st1"/>
          <w:color w:val="auto"/>
          <w:sz w:val="18"/>
          <w:szCs w:val="18"/>
          <w:u w:color="404041"/>
          <w:lang w:val="es-ES_tradnl"/>
        </w:rPr>
        <w:t>figuran en el Rastreador de la R</w:t>
      </w:r>
      <w:r w:rsidRPr="007078A2">
        <w:rPr>
          <w:rStyle w:val="st1"/>
          <w:color w:val="auto"/>
          <w:sz w:val="18"/>
          <w:szCs w:val="18"/>
          <w:u w:color="404041"/>
          <w:lang w:val="es-ES_tradnl"/>
        </w:rPr>
        <w:t>eglamentación de las TIC</w:t>
      </w:r>
    </w:p>
    <w:p w:rsidR="000A39FD" w:rsidRPr="007078A2" w:rsidRDefault="000A39FD" w:rsidP="00017CAF">
      <w:pPr>
        <w:rPr>
          <w:rStyle w:val="st1"/>
          <w:u w:color="404041"/>
          <w:lang w:val="es-ES_tradnl"/>
        </w:rPr>
      </w:pPr>
      <w:r w:rsidRPr="007078A2">
        <w:rPr>
          <w:rStyle w:val="st1"/>
          <w:u w:color="404041"/>
          <w:lang w:val="es-ES_tradnl"/>
        </w:rPr>
        <w:t>Globalmente, la reglamentación mejora constantemente en la gran mayoría de los países, ya que éstos han adoptado gradualmente reglamentaciones de generaciones posteriores. El número de países que tenían reglamentaciones de la primera y de la segunda generación se ha reducido a la mitad en menos de un decenio, pasando de dos tercios a menos de un tercio de los países. Esta perspectiva positiva refleja el ritmo dinámico de la innovación tecnológica y comercial a que deben hacer frente los reguladores de las telecomunicaciones y las TIC, es una situación que los reta a adaptarse al nuevo orden digital mundial.</w:t>
      </w:r>
    </w:p>
    <w:p w:rsidR="000A39FD" w:rsidRPr="007078A2" w:rsidRDefault="000A39FD" w:rsidP="00017CAF">
      <w:pPr>
        <w:rPr>
          <w:lang w:val="es-ES_tradnl"/>
        </w:rPr>
      </w:pPr>
      <w:r w:rsidRPr="007078A2">
        <w:rPr>
          <w:lang w:val="es-ES_tradnl"/>
        </w:rPr>
        <w:t>Estamos en los albores de la reglamentación de la quinta generación, que se basa en la complementariedad y las sinergias. En esta reglamentación se trata de colaboración intersectorial y de planteamientos normativos innovadores tales como una reglamentación común y la autorreglamentación, que conduce a nuevas modalidades de reglamentación colaborativa.</w:t>
      </w:r>
    </w:p>
    <w:p w:rsidR="000A39FD" w:rsidRPr="007078A2" w:rsidRDefault="000A39FD" w:rsidP="00A55685">
      <w:pPr>
        <w:pStyle w:val="Headingb"/>
        <w:rPr>
          <w:rFonts w:asciiTheme="minorHAnsi" w:hAnsiTheme="minorHAnsi"/>
          <w:lang w:val="es-ES_tradnl"/>
        </w:rPr>
      </w:pPr>
      <w:bookmarkStart w:id="19" w:name="_Toc6"/>
      <w:bookmarkStart w:id="20" w:name="_Toc474413186"/>
      <w:r w:rsidRPr="007078A2">
        <w:rPr>
          <w:rFonts w:asciiTheme="minorHAnsi" w:hAnsiTheme="minorHAnsi"/>
          <w:lang w:val="es-ES_tradnl"/>
        </w:rPr>
        <w:t>Tendencias ocasionadas por la evolución de la reglamentación</w:t>
      </w:r>
      <w:bookmarkEnd w:id="19"/>
      <w:bookmarkEnd w:id="20"/>
    </w:p>
    <w:p w:rsidR="000A39FD" w:rsidRPr="007078A2" w:rsidRDefault="000A39FD" w:rsidP="00017CAF">
      <w:pPr>
        <w:rPr>
          <w:lang w:val="es-ES_tradnl"/>
        </w:rPr>
      </w:pPr>
      <w:r w:rsidRPr="007078A2">
        <w:rPr>
          <w:lang w:val="es-ES_tradnl"/>
        </w:rPr>
        <w:t>¿Qué significa en realidad la evolución de la reglamentación?</w:t>
      </w:r>
    </w:p>
    <w:p w:rsidR="000A39FD" w:rsidRPr="007078A2" w:rsidRDefault="000A39FD" w:rsidP="00017CAF">
      <w:pPr>
        <w:rPr>
          <w:lang w:val="es-ES_tradnl"/>
        </w:rPr>
      </w:pPr>
      <w:r w:rsidRPr="007078A2">
        <w:rPr>
          <w:lang w:val="es-ES_tradnl"/>
        </w:rPr>
        <w:t xml:space="preserve">Si se examinan detenidamente las tendencias de la evolución de la reglamentación en distintas regiones, es evidente que su nivel y rapidez no son los mismos en todas partes. En 2008, los Estados Árabes partían de una situación relativamente desfavorable con una reglamentación principalmente de la segunda generación, y desde entonces han dado un gran salto adelante. </w:t>
      </w:r>
      <w:r w:rsidR="00EB471B" w:rsidRPr="007078A2">
        <w:rPr>
          <w:lang w:val="es-ES_tradnl"/>
        </w:rPr>
        <w:t>Los países de Asia y el P</w:t>
      </w:r>
      <w:r w:rsidRPr="007078A2">
        <w:rPr>
          <w:lang w:val="es-ES_tradnl"/>
        </w:rPr>
        <w:t>acífico y de África han seguido una pauta similar durante ese mismo periodo, pasando rápidamente a generaciones de reglamentación más recientes. Uno de cada cinco países árabes dispone ya de una reglamentación de las TIC de la cuarta generación. Los países de la CEI han avanzado más lentamente y en 2015 había aproximadamente tantos países con reglamentaciones de la primera y de la segunda generación que de la tercera y la cuarta (véase la Figura 1.5).</w:t>
      </w:r>
    </w:p>
    <w:p w:rsidR="000A39FD" w:rsidRPr="007078A2" w:rsidRDefault="000A39FD" w:rsidP="00017CAF">
      <w:pPr>
        <w:rPr>
          <w:lang w:val="es-ES_tradnl"/>
        </w:rPr>
      </w:pPr>
      <w:r w:rsidRPr="007078A2">
        <w:rPr>
          <w:lang w:val="es-ES_tradnl"/>
        </w:rPr>
        <w:lastRenderedPageBreak/>
        <w:t>Europa ha sido la cuna de la reglamentación de la cuarta generación y no es sorprendente que la transición haya empezado antes y que también se haya llevado a cabo mucho más rápidamente que en otras regiones. Dos tercios de los países europeos disponen de una reglamentación de la cuarta g</w:t>
      </w:r>
      <w:r w:rsidR="004F29F5">
        <w:rPr>
          <w:lang w:val="es-ES_tradnl"/>
        </w:rPr>
        <w:t>eneración, y apenas 10% tiene</w:t>
      </w:r>
      <w:r w:rsidRPr="007078A2">
        <w:rPr>
          <w:lang w:val="es-ES_tradnl"/>
        </w:rPr>
        <w:t xml:space="preserve"> reglamentaciones de la primera o de la segunda generación. El nivel global de madurez de la reglamentación en las Américas ya era superior al de las de otras regiones en desarrollo en 2008 y la región sigue siendo la segunda más avanzada del mundo en 2015, con dos tercios de los países que tienen reglamentaciones superiores a la tercera y a la cuarta generación (véase la Figura 1.5). Globalmente, el ritmo del cambio de la reglamentación ha sido sostenido y más rápido que en otros sectores de la economía, lo cual ha aumentado las expectativas de los reguladores de las TIC y abierto camino a tecnologías y modelos de negocio aún más impresionantes.</w:t>
      </w:r>
    </w:p>
    <w:p w:rsidR="000A39FD" w:rsidRPr="007078A2" w:rsidRDefault="000A39FD" w:rsidP="00017CAF">
      <w:pPr>
        <w:rPr>
          <w:lang w:val="es-ES_tradnl"/>
        </w:rPr>
      </w:pPr>
      <w:r w:rsidRPr="007078A2">
        <w:rPr>
          <w:lang w:val="es-ES_tradnl"/>
        </w:rPr>
        <w:t>A propósito de evolución, no todos los sectores de la reglamentación de las TIC han evolucionado al mismo ritmo. Un estudio cuantitativo de sectores esenciales de la reglamentación permite definir tendencias generales (véase la Figura 1.6). La competencia en los mercados de la banda ancha al por menor, indudablemente uno de los motores más potentes de la conectividad y la utilización de servicios digitales, ha aumentado progresivamente durante el último decenio, y regía más de 128 mercados en 2015. La compartición de infraestructuras ha aumentado, en particular después de la crisis financiera mundial de 2008, lo que ha permitido aprovechar instalaciones ya existentes para propiciar la innovación en los servicios y diversificar las fuentes de ingresos. La concesión de licencias a operadores y proveedores de servicios ha progresado mucho desde la aparición de la banda ancha fija y móvil. La liberalización de los regímenes de concesión de licencias ha dado origen al abultado mercado actual de las TIC, en el que se conceden licencias individuales específicas para determinados servicios a licencias multiservicios y de licencias de clase a autorizaciones generales.</w:t>
      </w:r>
    </w:p>
    <w:p w:rsidR="000A39FD" w:rsidRPr="007078A2" w:rsidRDefault="000A39FD" w:rsidP="00FF14BC">
      <w:pPr>
        <w:jc w:val="both"/>
        <w:rPr>
          <w:rStyle w:val="st1"/>
          <w:rFonts w:eastAsia="Calibri" w:cs="Calibri"/>
          <w:b/>
          <w:bCs/>
          <w:color w:val="000000"/>
          <w:sz w:val="20"/>
          <w:u w:color="000000"/>
          <w:bdr w:val="nil"/>
          <w:lang w:val="es-ES_tradnl"/>
        </w:rPr>
      </w:pPr>
      <w:r w:rsidRPr="007078A2">
        <w:rPr>
          <w:rStyle w:val="st1"/>
          <w:b/>
          <w:bCs/>
          <w:sz w:val="20"/>
          <w:lang w:val="es-ES_tradnl"/>
        </w:rPr>
        <w:br w:type="page"/>
      </w:r>
    </w:p>
    <w:p w:rsidR="000A39FD" w:rsidRPr="007078A2" w:rsidRDefault="000A39FD" w:rsidP="00473E01">
      <w:pPr>
        <w:pStyle w:val="FigureNotitle"/>
      </w:pPr>
      <w:r w:rsidRPr="007078A2">
        <w:lastRenderedPageBreak/>
        <w:t>Figura 1.5: Todas las regiones son</w:t>
      </w:r>
      <w:r w:rsidR="00473E01" w:rsidRPr="007078A2">
        <w:t xml:space="preserve"> diferentes: mejorar las pautas</w:t>
      </w:r>
      <w:r w:rsidR="00473E01" w:rsidRPr="007078A2">
        <w:br/>
      </w:r>
      <w:r w:rsidRPr="007078A2">
        <w:t xml:space="preserve">de la reglamentación, 2008-2015 </w:t>
      </w:r>
    </w:p>
    <w:p w:rsidR="000A39FD" w:rsidRPr="007078A2" w:rsidRDefault="000A39FD" w:rsidP="00FF14BC">
      <w:pPr>
        <w:pStyle w:val="Body"/>
        <w:jc w:val="both"/>
        <w:rPr>
          <w:lang w:val="es-ES_tradnl"/>
        </w:rPr>
      </w:pPr>
      <w:r w:rsidRPr="007078A2">
        <w:rPr>
          <w:noProof/>
          <w:lang w:val="en-GB"/>
        </w:rPr>
        <w:drawing>
          <wp:inline distT="0" distB="0" distL="0" distR="0" wp14:anchorId="6762BCC6" wp14:editId="51F0EF11">
            <wp:extent cx="4544060" cy="5675701"/>
            <wp:effectExtent l="0" t="0" r="8890" b="1270"/>
            <wp:docPr id="1073741991" name="Picture 107374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91" name="G1-4_2008-15_orange_rev2.png"/>
                    <pic:cNvPicPr/>
                  </pic:nvPicPr>
                  <pic:blipFill rotWithShape="1">
                    <a:blip r:embed="rId15">
                      <a:extLst>
                        <a:ext uri="{28A0092B-C50C-407E-A947-70E740481C1C}">
                          <a14:useLocalDpi xmlns:a14="http://schemas.microsoft.com/office/drawing/2010/main" val="0"/>
                        </a:ext>
                      </a:extLst>
                    </a:blip>
                    <a:srcRect t="1902" b="8148"/>
                    <a:stretch/>
                  </pic:blipFill>
                  <pic:spPr bwMode="auto">
                    <a:xfrm>
                      <a:off x="0" y="0"/>
                      <a:ext cx="4544060" cy="5675701"/>
                    </a:xfrm>
                    <a:prstGeom prst="rect">
                      <a:avLst/>
                    </a:prstGeom>
                    <a:ln>
                      <a:noFill/>
                    </a:ln>
                    <a:extLst>
                      <a:ext uri="{53640926-AAD7-44D8-BBD7-CCE9431645EC}">
                        <a14:shadowObscured xmlns:a14="http://schemas.microsoft.com/office/drawing/2010/main"/>
                      </a:ext>
                    </a:extLst>
                  </pic:spPr>
                </pic:pic>
              </a:graphicData>
            </a:graphic>
          </wp:inline>
        </w:drawing>
      </w:r>
    </w:p>
    <w:p w:rsidR="000A39FD" w:rsidRPr="007078A2" w:rsidRDefault="000A39FD" w:rsidP="00FF14BC">
      <w:pPr>
        <w:pStyle w:val="Body"/>
        <w:spacing w:after="0" w:line="240" w:lineRule="auto"/>
        <w:jc w:val="both"/>
        <w:rPr>
          <w:rStyle w:val="st1"/>
          <w:sz w:val="18"/>
          <w:szCs w:val="18"/>
          <w:lang w:val="es-ES_tradnl"/>
        </w:rPr>
      </w:pPr>
      <w:r w:rsidRPr="007078A2">
        <w:rPr>
          <w:rStyle w:val="st1"/>
          <w:sz w:val="18"/>
          <w:szCs w:val="18"/>
          <w:lang w:val="es-ES_tradnl"/>
        </w:rPr>
        <w:t>Origen: UIT.</w:t>
      </w:r>
    </w:p>
    <w:p w:rsidR="00017CAF" w:rsidRPr="007078A2" w:rsidRDefault="00017CAF" w:rsidP="00FF14BC">
      <w:pPr>
        <w:pStyle w:val="Body"/>
        <w:spacing w:after="0" w:line="240" w:lineRule="auto"/>
        <w:jc w:val="both"/>
        <w:rPr>
          <w:rStyle w:val="st1"/>
          <w:b/>
          <w:bCs/>
          <w:sz w:val="18"/>
          <w:szCs w:val="18"/>
          <w:lang w:val="es-ES_tradnl"/>
        </w:rPr>
      </w:pPr>
      <w:r w:rsidRPr="007078A2">
        <w:rPr>
          <w:rStyle w:val="st1"/>
          <w:b/>
          <w:bCs/>
          <w:sz w:val="18"/>
          <w:szCs w:val="18"/>
          <w:lang w:val="es-ES_tradnl"/>
        </w:rPr>
        <w:t>Leyenda de la Figura 1.5:</w:t>
      </w:r>
    </w:p>
    <w:p w:rsidR="000A39FD" w:rsidRPr="007078A2" w:rsidRDefault="000A39FD" w:rsidP="00473E01">
      <w:pPr>
        <w:pStyle w:val="Body"/>
        <w:tabs>
          <w:tab w:val="left" w:pos="426"/>
        </w:tabs>
        <w:spacing w:after="0" w:line="240" w:lineRule="auto"/>
        <w:jc w:val="both"/>
        <w:rPr>
          <w:rStyle w:val="st1"/>
          <w:sz w:val="18"/>
          <w:szCs w:val="18"/>
          <w:lang w:val="es-ES_tradnl"/>
        </w:rPr>
      </w:pPr>
      <w:r w:rsidRPr="007078A2">
        <w:rPr>
          <w:rStyle w:val="st1"/>
          <w:sz w:val="18"/>
          <w:szCs w:val="18"/>
          <w:lang w:val="es-ES_tradnl"/>
        </w:rPr>
        <w:t>África</w:t>
      </w:r>
      <w:r w:rsidR="00473E01" w:rsidRPr="007078A2">
        <w:rPr>
          <w:rStyle w:val="st1"/>
          <w:sz w:val="18"/>
          <w:szCs w:val="18"/>
          <w:lang w:val="es-ES_tradnl"/>
        </w:rPr>
        <w:t xml:space="preserve"> – </w:t>
      </w:r>
      <w:r w:rsidRPr="007078A2">
        <w:rPr>
          <w:rStyle w:val="st1"/>
          <w:sz w:val="18"/>
          <w:szCs w:val="18"/>
          <w:lang w:val="es-ES_tradnl"/>
        </w:rPr>
        <w:t>Américas</w:t>
      </w:r>
      <w:r w:rsidR="00473E01" w:rsidRPr="007078A2">
        <w:rPr>
          <w:rStyle w:val="st1"/>
          <w:sz w:val="18"/>
          <w:szCs w:val="18"/>
          <w:lang w:val="es-ES_tradnl"/>
        </w:rPr>
        <w:t xml:space="preserve"> – </w:t>
      </w:r>
      <w:r w:rsidRPr="007078A2">
        <w:rPr>
          <w:rStyle w:val="st1"/>
          <w:sz w:val="18"/>
          <w:szCs w:val="18"/>
          <w:lang w:val="es-ES_tradnl"/>
        </w:rPr>
        <w:t>Estados Árabes</w:t>
      </w:r>
    </w:p>
    <w:p w:rsidR="000A39FD" w:rsidRPr="007078A2" w:rsidRDefault="000A39FD" w:rsidP="00473E01">
      <w:pPr>
        <w:pStyle w:val="Body"/>
        <w:tabs>
          <w:tab w:val="left" w:pos="426"/>
        </w:tabs>
        <w:spacing w:after="0" w:line="240" w:lineRule="auto"/>
        <w:jc w:val="both"/>
        <w:rPr>
          <w:rStyle w:val="st1"/>
          <w:sz w:val="18"/>
          <w:szCs w:val="18"/>
          <w:lang w:val="es-ES_tradnl"/>
        </w:rPr>
      </w:pPr>
      <w:r w:rsidRPr="007078A2">
        <w:rPr>
          <w:rStyle w:val="st1"/>
          <w:sz w:val="18"/>
          <w:szCs w:val="18"/>
          <w:lang w:val="es-ES_tradnl"/>
        </w:rPr>
        <w:t>Asia-Pacífico</w:t>
      </w:r>
      <w:r w:rsidR="00473E01" w:rsidRPr="007078A2">
        <w:rPr>
          <w:rStyle w:val="st1"/>
          <w:sz w:val="18"/>
          <w:szCs w:val="18"/>
          <w:lang w:val="es-ES_tradnl"/>
        </w:rPr>
        <w:t xml:space="preserve"> – </w:t>
      </w:r>
      <w:r w:rsidRPr="007078A2">
        <w:rPr>
          <w:rStyle w:val="st1"/>
          <w:sz w:val="18"/>
          <w:szCs w:val="18"/>
          <w:lang w:val="es-ES_tradnl"/>
        </w:rPr>
        <w:t>CEI</w:t>
      </w:r>
      <w:r w:rsidR="00473E01" w:rsidRPr="007078A2">
        <w:rPr>
          <w:rStyle w:val="st1"/>
          <w:sz w:val="18"/>
          <w:szCs w:val="18"/>
          <w:lang w:val="es-ES_tradnl"/>
        </w:rPr>
        <w:t xml:space="preserve"> – </w:t>
      </w:r>
      <w:r w:rsidRPr="007078A2">
        <w:rPr>
          <w:rStyle w:val="st1"/>
          <w:sz w:val="18"/>
          <w:szCs w:val="18"/>
          <w:lang w:val="es-ES_tradnl"/>
        </w:rPr>
        <w:t>Europa</w:t>
      </w:r>
    </w:p>
    <w:p w:rsidR="000A39FD" w:rsidRPr="007078A2" w:rsidRDefault="000A39FD" w:rsidP="00017CAF">
      <w:pPr>
        <w:rPr>
          <w:lang w:val="es-ES_tradnl"/>
        </w:rPr>
      </w:pPr>
      <w:r w:rsidRPr="007078A2">
        <w:rPr>
          <w:lang w:val="es-ES_tradnl"/>
        </w:rPr>
        <w:t>Algunos de los primeros servicios digitales convergentes, que solían ser privilegio de unos cuantos usuarios que disponían de conexiones de banda ancha hace 10 años, se han democratizado mucho. La voz por IP (VoIP) se ha convertido en uno de los servicios gratuitos más populares. La reglamentación o, mejor dicho, la supresión de los obstáculos normativos, ha sido un factor facilitador importante. Otras normativas han sido adoptadas más lentamente y siguen estando limitadas a jurisdicciones relativamente menos numerosas. En cambio, el comercio del espectro y la neutralidad de la red pueden tener un impacto considerable en el desarrollo de mercados nacionales. Por último, pero no por ello menos importante, los nuevos instrumentos de política también han madurado, ya que los nuevos problemas deben afrontarse con nuevos métodos. Los planes de banda ancha nacionales y las políticas correspondientes que cobraron importancia esencialmente después de la crisis financiera mundial de 2008 para estimular la financiación, se han generalizado en 143 países y son utilizadas para reconectar servicios económicos a fin de mejorar su eficiencia y crear nuevas oportunidades comerciales.</w:t>
      </w:r>
    </w:p>
    <w:p w:rsidR="000A39FD" w:rsidRPr="007078A2" w:rsidRDefault="000A39FD" w:rsidP="00473E01">
      <w:pPr>
        <w:pStyle w:val="FigureNotitle"/>
      </w:pPr>
      <w:r w:rsidRPr="007078A2">
        <w:lastRenderedPageBreak/>
        <w:t>Figura 1.6: Análisis de los sistemas de reglamentación: ¿Qué reglamentaciones han configurado el sector de las TIC? 2005-2015</w:t>
      </w:r>
    </w:p>
    <w:p w:rsidR="000A39FD" w:rsidRPr="007078A2" w:rsidRDefault="000A39FD" w:rsidP="00FF14BC">
      <w:pPr>
        <w:pStyle w:val="Body"/>
        <w:jc w:val="both"/>
        <w:rPr>
          <w:lang w:val="es-ES_tradnl"/>
        </w:rPr>
      </w:pPr>
      <w:r w:rsidRPr="007078A2">
        <w:rPr>
          <w:noProof/>
          <w:lang w:val="en-GB"/>
        </w:rPr>
        <w:drawing>
          <wp:inline distT="0" distB="0" distL="0" distR="0" wp14:anchorId="231031AD" wp14:editId="3F4E6CCD">
            <wp:extent cx="4514215" cy="3033122"/>
            <wp:effectExtent l="0" t="0" r="635"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7.png"/>
                    <pic:cNvPicPr>
                      <a:picLocks noChangeAspect="1"/>
                    </pic:cNvPicPr>
                  </pic:nvPicPr>
                  <pic:blipFill rotWithShape="1">
                    <a:blip r:embed="rId16">
                      <a:extLst/>
                    </a:blip>
                    <a:srcRect t="6923"/>
                    <a:stretch/>
                  </pic:blipFill>
                  <pic:spPr bwMode="auto">
                    <a:xfrm>
                      <a:off x="0" y="0"/>
                      <a:ext cx="4514309" cy="3033185"/>
                    </a:xfrm>
                    <a:prstGeom prst="rect">
                      <a:avLst/>
                    </a:prstGeom>
                    <a:ln>
                      <a:noFill/>
                    </a:ln>
                    <a:effectLst/>
                    <a:extLst>
                      <a:ext uri="{53640926-AAD7-44D8-BBD7-CCE9431645EC}">
                        <a14:shadowObscured xmlns:a14="http://schemas.microsoft.com/office/drawing/2010/main"/>
                      </a:ext>
                    </a:extLst>
                  </pic:spPr>
                </pic:pic>
              </a:graphicData>
            </a:graphic>
          </wp:inline>
        </w:drawing>
      </w:r>
    </w:p>
    <w:p w:rsidR="000A39FD" w:rsidRPr="007078A2" w:rsidRDefault="000A39FD" w:rsidP="00FF14BC">
      <w:pPr>
        <w:pStyle w:val="Body"/>
        <w:spacing w:after="0" w:line="240" w:lineRule="auto"/>
        <w:jc w:val="both"/>
        <w:rPr>
          <w:rStyle w:val="st1"/>
          <w:sz w:val="18"/>
          <w:szCs w:val="18"/>
          <w:lang w:val="es-ES_tradnl"/>
        </w:rPr>
      </w:pPr>
      <w:r w:rsidRPr="007078A2">
        <w:rPr>
          <w:rStyle w:val="st1"/>
          <w:sz w:val="18"/>
          <w:szCs w:val="18"/>
          <w:lang w:val="es-ES_tradnl"/>
        </w:rPr>
        <w:t>Origen: UIT.</w:t>
      </w:r>
    </w:p>
    <w:p w:rsidR="00473E01" w:rsidRPr="007078A2" w:rsidRDefault="00473E01" w:rsidP="00473E01">
      <w:pPr>
        <w:pStyle w:val="Body"/>
        <w:spacing w:after="0" w:line="240" w:lineRule="auto"/>
        <w:jc w:val="both"/>
        <w:rPr>
          <w:rStyle w:val="st1"/>
          <w:b/>
          <w:bCs/>
          <w:sz w:val="18"/>
          <w:szCs w:val="18"/>
          <w:lang w:val="es-ES_tradnl"/>
        </w:rPr>
      </w:pPr>
      <w:r w:rsidRPr="007078A2">
        <w:rPr>
          <w:rStyle w:val="st1"/>
          <w:b/>
          <w:bCs/>
          <w:sz w:val="18"/>
          <w:szCs w:val="18"/>
          <w:lang w:val="es-ES_tradnl"/>
        </w:rPr>
        <w:t>Leyenda de la Figura 1.6 (en el sentido de las agujas del reloj):</w:t>
      </w:r>
    </w:p>
    <w:p w:rsidR="000A39FD" w:rsidRPr="007078A2" w:rsidRDefault="000A39FD" w:rsidP="00017CAF">
      <w:pPr>
        <w:pStyle w:val="Body"/>
        <w:tabs>
          <w:tab w:val="left" w:pos="426"/>
        </w:tabs>
        <w:spacing w:after="0" w:line="240" w:lineRule="auto"/>
        <w:jc w:val="both"/>
        <w:rPr>
          <w:rStyle w:val="st1"/>
          <w:sz w:val="18"/>
          <w:szCs w:val="18"/>
          <w:lang w:val="es-ES_tradnl"/>
        </w:rPr>
      </w:pPr>
      <w:r w:rsidRPr="007078A2">
        <w:rPr>
          <w:rStyle w:val="st1"/>
          <w:sz w:val="18"/>
          <w:szCs w:val="18"/>
          <w:lang w:val="es-ES_tradnl"/>
        </w:rPr>
        <w:t>Política/plan que comprende la banda ancha</w:t>
      </w:r>
    </w:p>
    <w:p w:rsidR="00473E01" w:rsidRPr="007078A2" w:rsidRDefault="00473E01" w:rsidP="00017CAF">
      <w:pPr>
        <w:pStyle w:val="Body"/>
        <w:tabs>
          <w:tab w:val="left" w:pos="426"/>
        </w:tabs>
        <w:spacing w:after="0" w:line="240" w:lineRule="auto"/>
        <w:jc w:val="both"/>
        <w:rPr>
          <w:rStyle w:val="st1"/>
          <w:sz w:val="18"/>
          <w:szCs w:val="18"/>
          <w:lang w:val="es-ES_tradnl"/>
        </w:rPr>
      </w:pPr>
      <w:r w:rsidRPr="007078A2">
        <w:rPr>
          <w:rStyle w:val="st1"/>
          <w:sz w:val="18"/>
          <w:szCs w:val="18"/>
          <w:lang w:val="es-ES_tradnl"/>
        </w:rPr>
        <w:t>Mercados en régimen de competencia (DSL, módem de cable, banda ancha inalámbrica fija, pasarelas internacionales)</w:t>
      </w:r>
    </w:p>
    <w:p w:rsidR="00473E01" w:rsidRPr="007078A2" w:rsidRDefault="00473E01" w:rsidP="00473E01">
      <w:pPr>
        <w:pStyle w:val="Body"/>
        <w:tabs>
          <w:tab w:val="left" w:pos="426"/>
        </w:tabs>
        <w:spacing w:after="0" w:line="240" w:lineRule="auto"/>
        <w:jc w:val="both"/>
        <w:rPr>
          <w:rStyle w:val="st1"/>
          <w:sz w:val="18"/>
          <w:szCs w:val="18"/>
          <w:lang w:val="es-ES_tradnl"/>
        </w:rPr>
      </w:pPr>
      <w:r w:rsidRPr="007078A2">
        <w:rPr>
          <w:rStyle w:val="st1"/>
          <w:sz w:val="18"/>
          <w:szCs w:val="18"/>
          <w:lang w:val="es-ES_tradnl"/>
        </w:rPr>
        <w:t>Adopción de licencias de clase/generales</w:t>
      </w:r>
    </w:p>
    <w:p w:rsidR="00473E01" w:rsidRPr="007078A2" w:rsidRDefault="00473E01" w:rsidP="00473E01">
      <w:pPr>
        <w:pStyle w:val="Body"/>
        <w:tabs>
          <w:tab w:val="left" w:pos="426"/>
        </w:tabs>
        <w:spacing w:after="0" w:line="240" w:lineRule="auto"/>
        <w:jc w:val="both"/>
        <w:rPr>
          <w:rStyle w:val="st1"/>
          <w:sz w:val="18"/>
          <w:szCs w:val="18"/>
          <w:lang w:val="es-ES_tradnl"/>
        </w:rPr>
      </w:pPr>
      <w:r w:rsidRPr="007078A2">
        <w:rPr>
          <w:rStyle w:val="st1"/>
          <w:sz w:val="18"/>
          <w:szCs w:val="18"/>
          <w:lang w:val="es-ES_tradnl"/>
        </w:rPr>
        <w:t>Inversión directa extranjera autorizada (FBO, SBO, ISP)</w:t>
      </w:r>
    </w:p>
    <w:p w:rsidR="00473E01" w:rsidRPr="007078A2" w:rsidRDefault="00473E01" w:rsidP="00473E01">
      <w:pPr>
        <w:pStyle w:val="Body"/>
        <w:tabs>
          <w:tab w:val="left" w:pos="426"/>
        </w:tabs>
        <w:spacing w:after="0" w:line="240" w:lineRule="auto"/>
        <w:jc w:val="both"/>
        <w:rPr>
          <w:rStyle w:val="st1"/>
          <w:sz w:val="18"/>
          <w:szCs w:val="18"/>
          <w:lang w:val="es-ES_tradnl"/>
        </w:rPr>
      </w:pPr>
      <w:r w:rsidRPr="007078A2">
        <w:rPr>
          <w:rStyle w:val="st1"/>
          <w:sz w:val="18"/>
          <w:szCs w:val="18"/>
          <w:lang w:val="es-ES_tradnl"/>
        </w:rPr>
        <w:t xml:space="preserve">Compartición de infraestructuras </w:t>
      </w:r>
    </w:p>
    <w:p w:rsidR="00473E01" w:rsidRPr="007078A2" w:rsidRDefault="00473E01" w:rsidP="00473E01">
      <w:pPr>
        <w:pStyle w:val="Body"/>
        <w:tabs>
          <w:tab w:val="left" w:pos="426"/>
        </w:tabs>
        <w:spacing w:after="0" w:line="240" w:lineRule="auto"/>
        <w:jc w:val="both"/>
        <w:rPr>
          <w:rStyle w:val="st1"/>
          <w:sz w:val="18"/>
          <w:szCs w:val="18"/>
          <w:lang w:val="es-ES_tradnl"/>
        </w:rPr>
      </w:pPr>
      <w:r w:rsidRPr="007078A2">
        <w:rPr>
          <w:rStyle w:val="st1"/>
          <w:sz w:val="18"/>
          <w:szCs w:val="18"/>
          <w:lang w:val="es-ES_tradnl"/>
        </w:rPr>
        <w:t>Mercado de espectro secundario autorizado</w:t>
      </w:r>
    </w:p>
    <w:p w:rsidR="000A39FD" w:rsidRPr="007078A2" w:rsidRDefault="000A39FD" w:rsidP="00473E01">
      <w:pPr>
        <w:pStyle w:val="Body"/>
        <w:tabs>
          <w:tab w:val="left" w:pos="426"/>
        </w:tabs>
        <w:spacing w:after="0" w:line="240" w:lineRule="auto"/>
        <w:jc w:val="both"/>
        <w:rPr>
          <w:rStyle w:val="st1"/>
          <w:sz w:val="18"/>
          <w:szCs w:val="18"/>
          <w:lang w:val="es-ES_tradnl"/>
        </w:rPr>
      </w:pPr>
      <w:r w:rsidRPr="007078A2">
        <w:rPr>
          <w:rStyle w:val="st1"/>
          <w:sz w:val="18"/>
          <w:szCs w:val="18"/>
          <w:lang w:val="es-ES_tradnl"/>
        </w:rPr>
        <w:t>Personas autorizadas a utilizar la VoIP</w:t>
      </w:r>
    </w:p>
    <w:tbl>
      <w:tblPr>
        <w:tblW w:w="901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17"/>
      </w:tblGrid>
      <w:tr w:rsidR="000A39FD" w:rsidRPr="007078A2" w:rsidTr="00FF14BC">
        <w:trPr>
          <w:trHeight w:val="7293"/>
        </w:trPr>
        <w:tc>
          <w:tcPr>
            <w:tcW w:w="9017" w:type="dxa"/>
            <w:tcBorders>
              <w:top w:val="nil"/>
              <w:left w:val="nil"/>
              <w:bottom w:val="nil"/>
              <w:right w:val="nil"/>
            </w:tcBorders>
            <w:shd w:val="clear" w:color="auto" w:fill="DBE5F1"/>
            <w:tcMar>
              <w:top w:w="80" w:type="dxa"/>
              <w:left w:w="80" w:type="dxa"/>
              <w:bottom w:w="80" w:type="dxa"/>
              <w:right w:w="80" w:type="dxa"/>
            </w:tcMar>
          </w:tcPr>
          <w:p w:rsidR="000A39FD" w:rsidRPr="007078A2" w:rsidRDefault="000A39FD" w:rsidP="00FF14BC">
            <w:pPr>
              <w:pStyle w:val="Body"/>
              <w:spacing w:before="120" w:after="120"/>
              <w:jc w:val="both"/>
              <w:rPr>
                <w:rStyle w:val="st1"/>
                <w:b/>
                <w:bCs/>
                <w:sz w:val="20"/>
                <w:szCs w:val="20"/>
                <w:lang w:val="es-ES_tradnl"/>
              </w:rPr>
            </w:pPr>
            <w:r w:rsidRPr="007078A2">
              <w:rPr>
                <w:rStyle w:val="st1"/>
                <w:b/>
                <w:bCs/>
                <w:sz w:val="20"/>
                <w:szCs w:val="20"/>
                <w:lang w:val="es-ES_tradnl"/>
              </w:rPr>
              <w:t>Recuadro 1.2: Fórmulas ganadoras para los mercados de la banda ancha fija y móvil</w:t>
            </w:r>
          </w:p>
          <w:p w:rsidR="000A39FD" w:rsidRPr="007078A2" w:rsidRDefault="00B015D8" w:rsidP="006A0C02">
            <w:pPr>
              <w:pStyle w:val="Body"/>
              <w:spacing w:before="120" w:after="0" w:line="240" w:lineRule="auto"/>
              <w:rPr>
                <w:rStyle w:val="st1"/>
                <w:sz w:val="20"/>
                <w:szCs w:val="20"/>
                <w:lang w:val="es-ES_tradnl"/>
              </w:rPr>
            </w:pPr>
            <w:r w:rsidRPr="007078A2">
              <w:rPr>
                <w:rStyle w:val="st1"/>
                <w:sz w:val="20"/>
                <w:szCs w:val="20"/>
                <w:lang w:val="es-ES_tradnl"/>
              </w:rPr>
              <w:t>S</w:t>
            </w:r>
            <w:r w:rsidR="000A39FD" w:rsidRPr="007078A2">
              <w:rPr>
                <w:rStyle w:val="st1"/>
                <w:sz w:val="20"/>
                <w:szCs w:val="20"/>
                <w:lang w:val="es-ES_tradnl"/>
              </w:rPr>
              <w:t xml:space="preserve">e reconoce por lo general que la calidad de la reglamentación es un factor fundamental del desarrollo de una economía digital próspera. Según los datos obtenidos con el </w:t>
            </w:r>
            <w:r w:rsidR="00F022F7" w:rsidRPr="007078A2">
              <w:rPr>
                <w:rStyle w:val="st1"/>
                <w:i/>
                <w:iCs/>
                <w:sz w:val="20"/>
                <w:szCs w:val="20"/>
                <w:lang w:val="es-ES_tradnl"/>
              </w:rPr>
              <w:t>Rastreador de la R</w:t>
            </w:r>
            <w:r w:rsidR="000A39FD" w:rsidRPr="007078A2">
              <w:rPr>
                <w:rStyle w:val="st1"/>
                <w:i/>
                <w:iCs/>
                <w:sz w:val="20"/>
                <w:szCs w:val="20"/>
                <w:lang w:val="es-ES_tradnl"/>
              </w:rPr>
              <w:t>eglamentación de las TIC</w:t>
            </w:r>
            <w:r w:rsidR="000A39FD" w:rsidRPr="007078A2">
              <w:rPr>
                <w:rStyle w:val="st1"/>
                <w:sz w:val="20"/>
                <w:szCs w:val="20"/>
                <w:lang w:val="es-ES_tradnl"/>
              </w:rPr>
              <w:t>, la elección de la o las intervenciones normativas parece tener un impacto igual de importante en la dinamización del crecimiento del mercado.</w:t>
            </w:r>
          </w:p>
          <w:p w:rsidR="000A39FD" w:rsidRPr="007078A2" w:rsidRDefault="000A39FD" w:rsidP="006A0C02">
            <w:pPr>
              <w:pStyle w:val="Body"/>
              <w:spacing w:before="120" w:after="0" w:line="240" w:lineRule="auto"/>
              <w:rPr>
                <w:rStyle w:val="st1"/>
                <w:sz w:val="20"/>
                <w:szCs w:val="20"/>
                <w:lang w:val="es-ES_tradnl"/>
              </w:rPr>
            </w:pPr>
            <w:r w:rsidRPr="007078A2">
              <w:rPr>
                <w:sz w:val="20"/>
                <w:szCs w:val="20"/>
                <w:lang w:val="es-ES_tradnl"/>
              </w:rPr>
              <w:t>Concretamente, una combinación de apenas unas medidas normativas clave está estrechamente asociada con un efecto catalítico en el despegue del mercado</w:t>
            </w:r>
            <w:r w:rsidRPr="007078A2">
              <w:rPr>
                <w:rStyle w:val="st1"/>
                <w:sz w:val="20"/>
                <w:szCs w:val="20"/>
                <w:lang w:val="es-ES_tradnl"/>
              </w:rPr>
              <w:t xml:space="preserve">. En lo que respecta a la penetración de la banda ancha móvil, los países dotados de un plan de banda ancha, la competencia en el sector móvil y las pasarelas internacionales, la compartición de infraestructuras, la portabilidad de números móviles y la migración de banda, superan sistemáticamente a los países que carecen de alguna de esas disposiciones normativas, o de todas ellas. </w:t>
            </w:r>
          </w:p>
          <w:p w:rsidR="000A39FD" w:rsidRPr="007078A2" w:rsidRDefault="000A39FD" w:rsidP="006A0C02">
            <w:pPr>
              <w:pStyle w:val="Body"/>
              <w:spacing w:before="120" w:after="0" w:line="240" w:lineRule="auto"/>
              <w:rPr>
                <w:rStyle w:val="st1"/>
                <w:sz w:val="20"/>
                <w:szCs w:val="20"/>
                <w:lang w:val="es-ES_tradnl"/>
              </w:rPr>
            </w:pPr>
            <w:r w:rsidRPr="007078A2">
              <w:rPr>
                <w:rStyle w:val="st1"/>
                <w:sz w:val="20"/>
                <w:szCs w:val="20"/>
                <w:lang w:val="es-ES_tradnl"/>
              </w:rPr>
              <w:t xml:space="preserve">A finales de 2013, los países que habían aplicado esta </w:t>
            </w:r>
            <w:r w:rsidR="00FF14BC" w:rsidRPr="007078A2">
              <w:rPr>
                <w:rStyle w:val="st1"/>
                <w:sz w:val="20"/>
                <w:szCs w:val="20"/>
                <w:lang w:val="es-ES_tradnl"/>
              </w:rPr>
              <w:t>"</w:t>
            </w:r>
            <w:r w:rsidRPr="007078A2">
              <w:rPr>
                <w:rStyle w:val="st1"/>
                <w:sz w:val="20"/>
                <w:szCs w:val="20"/>
                <w:lang w:val="es-ES_tradnl"/>
              </w:rPr>
              <w:t>fórmula ganadora</w:t>
            </w:r>
            <w:r w:rsidR="00FF14BC" w:rsidRPr="007078A2">
              <w:rPr>
                <w:rStyle w:val="st1"/>
                <w:sz w:val="20"/>
                <w:szCs w:val="20"/>
                <w:lang w:val="es-ES_tradnl"/>
              </w:rPr>
              <w:t>"</w:t>
            </w:r>
            <w:r w:rsidRPr="007078A2">
              <w:rPr>
                <w:rStyle w:val="st1"/>
                <w:sz w:val="20"/>
                <w:szCs w:val="20"/>
                <w:lang w:val="es-ES_tradnl"/>
              </w:rPr>
              <w:t xml:space="preserve"> a sus mercados de banda ancha móvil tenían una tasa de penetración nacional media de cerca de 60% en comparación con una media mundial de 27%, es decir prácticamente el doble. A corto plazo, estas medidas parecen haber tenido un efecto dinamizador asociado con la triplicación de las penetraciones de la banda ancha móvil (desde 2011), un efecto que tiende a ralentizarse ligeramente a mediano plazo y, potencialmente, a largo plazo. De manera similar, parece que los mercados de la banda ancha fija también tienen su </w:t>
            </w:r>
            <w:r w:rsidR="00FF14BC" w:rsidRPr="007078A2">
              <w:rPr>
                <w:rStyle w:val="st1"/>
                <w:sz w:val="20"/>
                <w:szCs w:val="20"/>
                <w:lang w:val="es-ES_tradnl"/>
              </w:rPr>
              <w:t>"</w:t>
            </w:r>
            <w:r w:rsidRPr="007078A2">
              <w:rPr>
                <w:rStyle w:val="st1"/>
                <w:sz w:val="20"/>
                <w:szCs w:val="20"/>
                <w:lang w:val="es-ES_tradnl"/>
              </w:rPr>
              <w:t>fórmula ganadora</w:t>
            </w:r>
            <w:r w:rsidR="00FF14BC" w:rsidRPr="007078A2">
              <w:rPr>
                <w:rStyle w:val="st1"/>
                <w:sz w:val="20"/>
                <w:szCs w:val="20"/>
                <w:lang w:val="es-ES_tradnl"/>
              </w:rPr>
              <w:t>"</w:t>
            </w:r>
            <w:r w:rsidRPr="007078A2">
              <w:rPr>
                <w:rStyle w:val="st1"/>
                <w:sz w:val="20"/>
                <w:szCs w:val="20"/>
                <w:lang w:val="es-ES_tradnl"/>
              </w:rPr>
              <w:t>.</w:t>
            </w:r>
          </w:p>
          <w:p w:rsidR="000A39FD" w:rsidRPr="007078A2" w:rsidRDefault="000A39FD" w:rsidP="006A0C02">
            <w:pPr>
              <w:pStyle w:val="Body"/>
              <w:spacing w:before="120" w:after="0" w:line="240" w:lineRule="auto"/>
              <w:rPr>
                <w:rStyle w:val="st1"/>
                <w:sz w:val="20"/>
                <w:szCs w:val="20"/>
                <w:lang w:val="es-ES_tradnl"/>
              </w:rPr>
            </w:pPr>
            <w:r w:rsidRPr="007078A2">
              <w:rPr>
                <w:rStyle w:val="st1"/>
                <w:sz w:val="20"/>
                <w:szCs w:val="20"/>
                <w:lang w:val="es-ES_tradnl"/>
              </w:rPr>
              <w:t>Las cinco medidas más conocidas son los planes de banda ancha, la competencia abierta en las tecnologías de banda ancha alámbricas, un marco avanzado de concesión de licencias (ya sea con licencias unificadas o un régimen de autorización general), combinados con una política de compartición de infraestructuras y disposiciones para la portabilidad de números fijos.</w:t>
            </w:r>
          </w:p>
          <w:p w:rsidR="000A39FD" w:rsidRPr="007078A2" w:rsidRDefault="000A39FD" w:rsidP="006A0C02">
            <w:pPr>
              <w:pStyle w:val="Body"/>
              <w:spacing w:before="120" w:after="0" w:line="240" w:lineRule="auto"/>
              <w:rPr>
                <w:rStyle w:val="st1"/>
                <w:sz w:val="20"/>
                <w:szCs w:val="20"/>
                <w:lang w:val="es-ES_tradnl"/>
              </w:rPr>
            </w:pPr>
            <w:r w:rsidRPr="007078A2">
              <w:rPr>
                <w:rStyle w:val="st1"/>
                <w:sz w:val="20"/>
                <w:szCs w:val="20"/>
                <w:lang w:val="es-ES_tradnl"/>
              </w:rPr>
              <w:t>Los países que han concretizado el potencial de esos pilares normativos obtienen resultados sistemáticamente superiores a la media y consiguen penetraciones medias de la banda ancha fija 13 a 16% superiores a la media mundial.</w:t>
            </w:r>
          </w:p>
          <w:p w:rsidR="000A39FD" w:rsidRPr="007078A2" w:rsidRDefault="000A39FD" w:rsidP="006A0C02">
            <w:pPr>
              <w:pStyle w:val="Body"/>
              <w:spacing w:before="120" w:after="0" w:line="240" w:lineRule="auto"/>
              <w:rPr>
                <w:rStyle w:val="st1"/>
                <w:sz w:val="20"/>
                <w:szCs w:val="20"/>
                <w:lang w:val="es-ES_tradnl"/>
              </w:rPr>
            </w:pPr>
            <w:r w:rsidRPr="007078A2">
              <w:rPr>
                <w:rStyle w:val="st1"/>
                <w:sz w:val="20"/>
                <w:szCs w:val="20"/>
                <w:lang w:val="es-ES_tradnl"/>
              </w:rPr>
              <w:t xml:space="preserve">Con las limitaciones del caso, estas cifras cuantitativas permiten suponer que las prácticas idóneas en materia de reglamentación son importantes y que la concepción y la aplicación efectiva de marcos normativos son esenciales para la prosperidad de los mercados de la banda ancha. El </w:t>
            </w:r>
            <w:r w:rsidR="00F022F7" w:rsidRPr="007078A2">
              <w:rPr>
                <w:rStyle w:val="st1"/>
                <w:i/>
                <w:iCs/>
                <w:sz w:val="20"/>
                <w:szCs w:val="20"/>
                <w:lang w:val="es-ES_tradnl"/>
              </w:rPr>
              <w:t>Rastreador de la R</w:t>
            </w:r>
            <w:r w:rsidRPr="007078A2">
              <w:rPr>
                <w:rStyle w:val="st1"/>
                <w:i/>
                <w:iCs/>
                <w:sz w:val="20"/>
                <w:szCs w:val="20"/>
                <w:lang w:val="es-ES_tradnl"/>
              </w:rPr>
              <w:t>eglamentación de las TIC</w:t>
            </w:r>
            <w:r w:rsidRPr="007078A2">
              <w:rPr>
                <w:rStyle w:val="st1"/>
                <w:sz w:val="20"/>
                <w:szCs w:val="20"/>
                <w:lang w:val="es-ES_tradnl"/>
              </w:rPr>
              <w:t xml:space="preserve"> puede ser un instrumento de referencia coherente para diversos casos de reglamentación.</w:t>
            </w:r>
          </w:p>
          <w:p w:rsidR="000A39FD" w:rsidRPr="007078A2" w:rsidRDefault="000A39FD" w:rsidP="00FF14BC">
            <w:pPr>
              <w:pStyle w:val="Body"/>
              <w:spacing w:before="120" w:after="0" w:line="240" w:lineRule="auto"/>
              <w:jc w:val="both"/>
              <w:rPr>
                <w:lang w:val="es-ES_tradnl"/>
              </w:rPr>
            </w:pPr>
            <w:r w:rsidRPr="007078A2">
              <w:rPr>
                <w:rStyle w:val="st1"/>
                <w:sz w:val="20"/>
                <w:szCs w:val="20"/>
                <w:lang w:val="es-ES_tradnl"/>
              </w:rPr>
              <w:t>Origen: UIT.</w:t>
            </w:r>
          </w:p>
        </w:tc>
      </w:tr>
    </w:tbl>
    <w:p w:rsidR="000A39FD" w:rsidRPr="007078A2" w:rsidRDefault="000A39FD" w:rsidP="00A55685">
      <w:pPr>
        <w:pStyle w:val="Headingb"/>
        <w:rPr>
          <w:rFonts w:asciiTheme="minorHAnsi" w:hAnsiTheme="minorHAnsi"/>
          <w:lang w:val="es-ES_tradnl"/>
        </w:rPr>
      </w:pPr>
      <w:bookmarkStart w:id="21" w:name="_Toc474413187"/>
      <w:r w:rsidRPr="007078A2">
        <w:rPr>
          <w:rFonts w:asciiTheme="minorHAnsi" w:hAnsiTheme="minorHAnsi"/>
          <w:lang w:val="es-ES_tradnl"/>
        </w:rPr>
        <w:t>Tendencias de la reglamentación en las Américas</w:t>
      </w:r>
      <w:bookmarkEnd w:id="21"/>
    </w:p>
    <w:p w:rsidR="000A39FD" w:rsidRPr="007078A2" w:rsidRDefault="000A39FD" w:rsidP="00017CAF">
      <w:pPr>
        <w:rPr>
          <w:lang w:val="es-ES_tradnl"/>
        </w:rPr>
      </w:pPr>
      <w:r w:rsidRPr="007078A2">
        <w:rPr>
          <w:lang w:val="es-ES_tradnl"/>
        </w:rPr>
        <w:t xml:space="preserve">En la región de </w:t>
      </w:r>
      <w:r w:rsidR="004F29F5">
        <w:rPr>
          <w:lang w:val="es-ES_tradnl"/>
        </w:rPr>
        <w:t>las Américas, 33 países de 35 (o</w:t>
      </w:r>
      <w:r w:rsidRPr="007078A2">
        <w:rPr>
          <w:lang w:val="es-ES_tradnl"/>
        </w:rPr>
        <w:t xml:space="preserve"> 94%) han creado un organismo regulador de las telecomunicaciones/TIC (véase el Gráfico 1.7). La gran mayoría de ellos, es decir más de 80%, tienen ahora la capacidad de aplicar decisiones normativas propicias a la competencia, en comparación con dos de cada tres hace 10 años. Esta tendencia muy positiva es síntoma de la importancia creciente del papel de los reguladores en la era digital, ya que se </w:t>
      </w:r>
      <w:r w:rsidRPr="007078A2">
        <w:rPr>
          <w:lang w:val="es-ES_tradnl"/>
        </w:rPr>
        <w:lastRenderedPageBreak/>
        <w:t xml:space="preserve">espera de ellos que tengan en cuenta intereses contrarios, garanticen un terreno de juego equilibrado, promuevan la transparencia y creen un entorno propicio a la innovación en la tecnología y los servicios. </w:t>
      </w:r>
    </w:p>
    <w:p w:rsidR="000A39FD" w:rsidRPr="007078A2" w:rsidRDefault="000A39FD" w:rsidP="00473E01">
      <w:pPr>
        <w:pStyle w:val="FigureNotitle"/>
        <w:keepNext/>
      </w:pPr>
      <w:r w:rsidRPr="007078A2">
        <w:t xml:space="preserve">Figura 1.7: Países con regulador separado, por región, 2015 </w:t>
      </w:r>
    </w:p>
    <w:p w:rsidR="000A39FD" w:rsidRPr="007078A2" w:rsidRDefault="000A39FD" w:rsidP="00017CAF">
      <w:pPr>
        <w:keepNext/>
        <w:keepLines/>
        <w:spacing w:line="360" w:lineRule="auto"/>
        <w:jc w:val="both"/>
        <w:rPr>
          <w:rFonts w:cs="Arial"/>
          <w:lang w:val="es-ES_tradnl"/>
        </w:rPr>
      </w:pPr>
      <w:r w:rsidRPr="007078A2">
        <w:rPr>
          <w:rFonts w:cs="Arial"/>
          <w:noProof/>
          <w:lang w:eastAsia="zh-CN"/>
        </w:rPr>
        <w:drawing>
          <wp:inline distT="0" distB="0" distL="0" distR="0" wp14:anchorId="3EB0BBBB" wp14:editId="1D1EC4CF">
            <wp:extent cx="3177217" cy="153352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4896" b="4734"/>
                    <a:stretch/>
                  </pic:blipFill>
                  <pic:spPr bwMode="auto">
                    <a:xfrm>
                      <a:off x="0" y="0"/>
                      <a:ext cx="3196600" cy="1542880"/>
                    </a:xfrm>
                    <a:prstGeom prst="rect">
                      <a:avLst/>
                    </a:prstGeom>
                    <a:noFill/>
                    <a:ln>
                      <a:noFill/>
                    </a:ln>
                    <a:extLst>
                      <a:ext uri="{53640926-AAD7-44D8-BBD7-CCE9431645EC}">
                        <a14:shadowObscured xmlns:a14="http://schemas.microsoft.com/office/drawing/2010/main"/>
                      </a:ext>
                    </a:extLst>
                  </pic:spPr>
                </pic:pic>
              </a:graphicData>
            </a:graphic>
          </wp:inline>
        </w:drawing>
      </w:r>
    </w:p>
    <w:p w:rsidR="000A39FD" w:rsidRPr="007078A2" w:rsidRDefault="000A39FD" w:rsidP="00017CAF">
      <w:pPr>
        <w:keepNext/>
        <w:keepLines/>
        <w:jc w:val="both"/>
        <w:rPr>
          <w:sz w:val="18"/>
          <w:szCs w:val="18"/>
          <w:lang w:val="es-ES_tradnl"/>
        </w:rPr>
      </w:pPr>
      <w:r w:rsidRPr="007078A2">
        <w:rPr>
          <w:sz w:val="18"/>
          <w:szCs w:val="18"/>
          <w:lang w:val="es-ES_tradnl"/>
        </w:rPr>
        <w:t>Origen: UIT.</w:t>
      </w:r>
    </w:p>
    <w:p w:rsidR="00017CAF" w:rsidRPr="007078A2" w:rsidRDefault="00017CAF" w:rsidP="00017CAF">
      <w:pPr>
        <w:keepNext/>
        <w:keepLines/>
        <w:spacing w:before="0"/>
        <w:jc w:val="both"/>
        <w:rPr>
          <w:b/>
          <w:bCs/>
          <w:sz w:val="18"/>
          <w:szCs w:val="18"/>
          <w:lang w:val="es-ES_tradnl"/>
        </w:rPr>
      </w:pPr>
      <w:r w:rsidRPr="007078A2">
        <w:rPr>
          <w:b/>
          <w:bCs/>
          <w:sz w:val="18"/>
          <w:szCs w:val="18"/>
          <w:lang w:val="es-ES_tradnl"/>
        </w:rPr>
        <w:t>Leyenda de la Figura 1.7:</w:t>
      </w:r>
    </w:p>
    <w:p w:rsidR="000A39FD" w:rsidRPr="007078A2" w:rsidRDefault="000A39FD" w:rsidP="00017CAF">
      <w:pPr>
        <w:spacing w:before="0"/>
        <w:jc w:val="both"/>
        <w:rPr>
          <w:sz w:val="18"/>
          <w:szCs w:val="18"/>
          <w:lang w:val="es-ES_tradnl"/>
        </w:rPr>
      </w:pPr>
      <w:r w:rsidRPr="007078A2">
        <w:rPr>
          <w:sz w:val="18"/>
          <w:szCs w:val="18"/>
          <w:lang w:val="es-ES_tradnl"/>
        </w:rPr>
        <w:t>Europa</w:t>
      </w:r>
    </w:p>
    <w:p w:rsidR="000A39FD" w:rsidRPr="007078A2" w:rsidRDefault="000A39FD" w:rsidP="00017CAF">
      <w:pPr>
        <w:spacing w:before="0"/>
        <w:jc w:val="both"/>
        <w:rPr>
          <w:sz w:val="18"/>
          <w:szCs w:val="18"/>
          <w:lang w:val="es-ES_tradnl"/>
        </w:rPr>
      </w:pPr>
      <w:r w:rsidRPr="007078A2">
        <w:rPr>
          <w:sz w:val="18"/>
          <w:szCs w:val="18"/>
          <w:lang w:val="es-ES_tradnl"/>
        </w:rPr>
        <w:t>CEI</w:t>
      </w:r>
    </w:p>
    <w:p w:rsidR="000A39FD" w:rsidRPr="007078A2" w:rsidRDefault="000A39FD" w:rsidP="00017CAF">
      <w:pPr>
        <w:spacing w:before="0"/>
        <w:jc w:val="both"/>
        <w:rPr>
          <w:sz w:val="18"/>
          <w:szCs w:val="18"/>
          <w:lang w:val="es-ES_tradnl"/>
        </w:rPr>
      </w:pPr>
      <w:r w:rsidRPr="007078A2">
        <w:rPr>
          <w:sz w:val="18"/>
          <w:szCs w:val="18"/>
          <w:lang w:val="es-ES_tradnl"/>
        </w:rPr>
        <w:t xml:space="preserve">Asia-Pacífico </w:t>
      </w:r>
    </w:p>
    <w:p w:rsidR="000A39FD" w:rsidRPr="007078A2" w:rsidRDefault="000A39FD" w:rsidP="00017CAF">
      <w:pPr>
        <w:spacing w:before="0"/>
        <w:jc w:val="both"/>
        <w:rPr>
          <w:sz w:val="18"/>
          <w:szCs w:val="18"/>
          <w:lang w:val="es-ES_tradnl"/>
        </w:rPr>
      </w:pPr>
      <w:r w:rsidRPr="007078A2">
        <w:rPr>
          <w:sz w:val="18"/>
          <w:szCs w:val="18"/>
          <w:lang w:val="es-ES_tradnl"/>
        </w:rPr>
        <w:t>Américas</w:t>
      </w:r>
    </w:p>
    <w:p w:rsidR="000A39FD" w:rsidRPr="007078A2" w:rsidRDefault="000A39FD" w:rsidP="00017CAF">
      <w:pPr>
        <w:spacing w:before="0"/>
        <w:jc w:val="both"/>
        <w:rPr>
          <w:sz w:val="18"/>
          <w:szCs w:val="18"/>
          <w:lang w:val="es-ES_tradnl"/>
        </w:rPr>
      </w:pPr>
      <w:r w:rsidRPr="007078A2">
        <w:rPr>
          <w:sz w:val="18"/>
          <w:szCs w:val="18"/>
          <w:lang w:val="es-ES_tradnl"/>
        </w:rPr>
        <w:t>Estados Árabes</w:t>
      </w:r>
    </w:p>
    <w:p w:rsidR="000A39FD" w:rsidRPr="007078A2" w:rsidRDefault="000A39FD" w:rsidP="00017CAF">
      <w:pPr>
        <w:spacing w:before="0"/>
        <w:jc w:val="both"/>
        <w:rPr>
          <w:sz w:val="18"/>
          <w:szCs w:val="18"/>
          <w:lang w:val="es-ES_tradnl"/>
        </w:rPr>
      </w:pPr>
      <w:r w:rsidRPr="007078A2">
        <w:rPr>
          <w:sz w:val="18"/>
          <w:szCs w:val="18"/>
          <w:lang w:val="es-ES_tradnl"/>
        </w:rPr>
        <w:t>África</w:t>
      </w:r>
    </w:p>
    <w:p w:rsidR="000A39FD" w:rsidRPr="007078A2" w:rsidRDefault="000A39FD" w:rsidP="00017CAF">
      <w:pPr>
        <w:rPr>
          <w:lang w:val="es-ES_tradnl"/>
        </w:rPr>
      </w:pPr>
      <w:r w:rsidRPr="007078A2">
        <w:rPr>
          <w:lang w:val="es-ES_tradnl"/>
        </w:rPr>
        <w:t xml:space="preserve">Desde el principio, la mayoría de los reguladores de las Américas, como en otras partes del mundo, reglamentan el acceso a las redes de telecomunicaciones (en particular, interconexión, concesión de licencias, supervisión de la calidad de servicio, etc.) y los precios de los servicios. Recientemente se les ha pedido que persigan objetivos de política pública, tales como el acceso universal a las TIC o el servicio universal. Dos de cada tres reguladores de las Américas han sido habilitados a tratar asuntos de espectro, tales como atribución y asignación. Y últimamente se les pide cada vez más que supervisen sectores adyacentes tales como ciberseguridad y protección del consumidor. </w:t>
      </w:r>
    </w:p>
    <w:p w:rsidR="000A39FD" w:rsidRPr="007078A2" w:rsidRDefault="000A39FD" w:rsidP="00473E01">
      <w:pPr>
        <w:pStyle w:val="FigureNotitle"/>
        <w:keepNext/>
      </w:pPr>
      <w:r w:rsidRPr="007078A2">
        <w:t xml:space="preserve">Figura 1.8: Evolución del mandato de los reguladores en las Américas, 2010-2015 </w:t>
      </w:r>
    </w:p>
    <w:p w:rsidR="000A39FD" w:rsidRPr="007078A2" w:rsidRDefault="000A39FD" w:rsidP="00017CAF">
      <w:pPr>
        <w:keepNext/>
        <w:keepLines/>
        <w:jc w:val="both"/>
        <w:rPr>
          <w:lang w:val="es-ES_tradnl"/>
        </w:rPr>
      </w:pPr>
      <w:r w:rsidRPr="007078A2">
        <w:rPr>
          <w:noProof/>
          <w:lang w:eastAsia="zh-CN"/>
        </w:rPr>
        <w:drawing>
          <wp:inline distT="0" distB="0" distL="0" distR="0" wp14:anchorId="407104CD" wp14:editId="4AD210E0">
            <wp:extent cx="4944110" cy="22542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8014"/>
                    <a:stretch/>
                  </pic:blipFill>
                  <pic:spPr bwMode="auto">
                    <a:xfrm>
                      <a:off x="0" y="0"/>
                      <a:ext cx="4944110" cy="2254250"/>
                    </a:xfrm>
                    <a:prstGeom prst="rect">
                      <a:avLst/>
                    </a:prstGeom>
                    <a:noFill/>
                    <a:ln>
                      <a:noFill/>
                    </a:ln>
                    <a:extLst>
                      <a:ext uri="{53640926-AAD7-44D8-BBD7-CCE9431645EC}">
                        <a14:shadowObscured xmlns:a14="http://schemas.microsoft.com/office/drawing/2010/main"/>
                      </a:ext>
                    </a:extLst>
                  </pic:spPr>
                </pic:pic>
              </a:graphicData>
            </a:graphic>
          </wp:inline>
        </w:drawing>
      </w:r>
    </w:p>
    <w:p w:rsidR="000A39FD" w:rsidRPr="007078A2" w:rsidRDefault="000A39FD" w:rsidP="00017CAF">
      <w:pPr>
        <w:keepNext/>
        <w:keepLines/>
        <w:spacing w:line="360" w:lineRule="auto"/>
        <w:jc w:val="both"/>
        <w:rPr>
          <w:sz w:val="18"/>
          <w:szCs w:val="18"/>
          <w:lang w:val="es-ES_tradnl"/>
        </w:rPr>
      </w:pPr>
      <w:r w:rsidRPr="007078A2">
        <w:rPr>
          <w:sz w:val="18"/>
          <w:szCs w:val="18"/>
          <w:lang w:val="es-ES_tradnl"/>
        </w:rPr>
        <w:t>Origen: UIT.</w:t>
      </w:r>
    </w:p>
    <w:p w:rsidR="00017CAF" w:rsidRPr="007078A2" w:rsidRDefault="00017CAF" w:rsidP="00E45B55">
      <w:pPr>
        <w:keepNext/>
        <w:keepLines/>
        <w:spacing w:before="0"/>
        <w:jc w:val="both"/>
        <w:rPr>
          <w:sz w:val="18"/>
          <w:szCs w:val="18"/>
          <w:lang w:val="es-ES_tradnl"/>
        </w:rPr>
      </w:pPr>
      <w:r w:rsidRPr="007078A2">
        <w:rPr>
          <w:b/>
          <w:bCs/>
          <w:sz w:val="18"/>
          <w:szCs w:val="18"/>
          <w:lang w:val="es-ES_tradnl"/>
        </w:rPr>
        <w:t>Leyenda de la Figura 1.8:</w:t>
      </w:r>
    </w:p>
    <w:p w:rsidR="000A39FD" w:rsidRPr="007078A2" w:rsidRDefault="000A39FD" w:rsidP="00473E01">
      <w:pPr>
        <w:keepNext/>
        <w:keepLines/>
        <w:spacing w:before="0" w:after="120"/>
        <w:jc w:val="both"/>
        <w:rPr>
          <w:sz w:val="18"/>
          <w:szCs w:val="18"/>
          <w:lang w:val="es-ES_tradnl"/>
        </w:rPr>
      </w:pPr>
      <w:r w:rsidRPr="007078A2">
        <w:rPr>
          <w:sz w:val="18"/>
          <w:szCs w:val="18"/>
          <w:lang w:val="es-ES_tradnl"/>
        </w:rPr>
        <w:t>Número de países</w:t>
      </w:r>
    </w:p>
    <w:p w:rsidR="000A39FD" w:rsidRPr="007078A2" w:rsidRDefault="000A39FD" w:rsidP="00473E01">
      <w:pPr>
        <w:keepNext/>
        <w:keepLines/>
        <w:spacing w:before="0"/>
        <w:rPr>
          <w:sz w:val="18"/>
          <w:szCs w:val="18"/>
          <w:lang w:val="es-ES_tradnl"/>
        </w:rPr>
      </w:pPr>
      <w:r w:rsidRPr="007078A2">
        <w:rPr>
          <w:sz w:val="18"/>
          <w:szCs w:val="18"/>
          <w:lang w:val="es-ES_tradnl"/>
        </w:rPr>
        <w:t>Transmisión de radiodifusión</w:t>
      </w:r>
      <w:r w:rsidR="00473E01" w:rsidRPr="007078A2">
        <w:rPr>
          <w:sz w:val="18"/>
          <w:szCs w:val="18"/>
          <w:lang w:val="es-ES_tradnl"/>
        </w:rPr>
        <w:t xml:space="preserve"> – </w:t>
      </w:r>
      <w:r w:rsidRPr="007078A2">
        <w:rPr>
          <w:sz w:val="18"/>
          <w:szCs w:val="18"/>
          <w:lang w:val="es-ES_tradnl"/>
        </w:rPr>
        <w:t>Contenido de radiodifusión</w:t>
      </w:r>
      <w:r w:rsidR="00473E01" w:rsidRPr="007078A2">
        <w:rPr>
          <w:sz w:val="18"/>
          <w:szCs w:val="18"/>
          <w:lang w:val="es-ES_tradnl"/>
        </w:rPr>
        <w:t xml:space="preserve"> – </w:t>
      </w:r>
      <w:r w:rsidRPr="007078A2">
        <w:rPr>
          <w:sz w:val="18"/>
          <w:szCs w:val="18"/>
          <w:lang w:val="es-ES_tradnl"/>
        </w:rPr>
        <w:t>Contenido Internet</w:t>
      </w:r>
      <w:r w:rsidR="00473E01" w:rsidRPr="007078A2">
        <w:rPr>
          <w:sz w:val="18"/>
          <w:szCs w:val="18"/>
          <w:lang w:val="es-ES_tradnl"/>
        </w:rPr>
        <w:t xml:space="preserve"> – </w:t>
      </w:r>
      <w:r w:rsidRPr="007078A2">
        <w:rPr>
          <w:sz w:val="18"/>
          <w:szCs w:val="18"/>
          <w:lang w:val="es-ES_tradnl"/>
        </w:rPr>
        <w:t>Aplicaciones electrónicas</w:t>
      </w:r>
      <w:r w:rsidR="00473E01" w:rsidRPr="007078A2">
        <w:rPr>
          <w:sz w:val="18"/>
          <w:szCs w:val="18"/>
          <w:lang w:val="es-ES_tradnl"/>
        </w:rPr>
        <w:t xml:space="preserve"> – </w:t>
      </w:r>
      <w:r w:rsidRPr="007078A2">
        <w:rPr>
          <w:sz w:val="18"/>
          <w:szCs w:val="18"/>
          <w:lang w:val="es-ES_tradnl"/>
        </w:rPr>
        <w:t>Ciberseguridad</w:t>
      </w:r>
      <w:r w:rsidR="00473E01" w:rsidRPr="007078A2">
        <w:rPr>
          <w:sz w:val="18"/>
          <w:szCs w:val="18"/>
          <w:lang w:val="es-ES_tradnl"/>
        </w:rPr>
        <w:t xml:space="preserve"> – </w:t>
      </w:r>
      <w:r w:rsidRPr="007078A2">
        <w:rPr>
          <w:sz w:val="18"/>
          <w:szCs w:val="18"/>
          <w:lang w:val="es-ES_tradnl"/>
        </w:rPr>
        <w:t>Protección del consumidor</w:t>
      </w:r>
    </w:p>
    <w:p w:rsidR="000A39FD" w:rsidRPr="007078A2" w:rsidRDefault="000A39FD" w:rsidP="00F022F7">
      <w:pPr>
        <w:rPr>
          <w:lang w:val="es-ES_tradnl"/>
        </w:rPr>
      </w:pPr>
      <w:r w:rsidRPr="007078A2">
        <w:rPr>
          <w:lang w:val="es-ES_tradnl"/>
        </w:rPr>
        <w:t xml:space="preserve">A escala mundial se ha observado una tendencia espectacular a extender y diversificar el mandato del regulador. Esto se debe en </w:t>
      </w:r>
      <w:r w:rsidRPr="007078A2">
        <w:rPr>
          <w:lang w:val="es-ES_tradnl"/>
        </w:rPr>
        <w:lastRenderedPageBreak/>
        <w:t>gran medida a la transformación tecnológica que se ha producido en el sector, con el paso hacia las redes basadas en IP, y las oportunidades y complejidades que entraña. Las redes de b</w:t>
      </w:r>
      <w:r w:rsidR="00F022F7" w:rsidRPr="007078A2">
        <w:rPr>
          <w:lang w:val="es-ES_tradnl"/>
        </w:rPr>
        <w:t>anda ancha no son simples tubos;</w:t>
      </w:r>
      <w:r w:rsidRPr="007078A2">
        <w:rPr>
          <w:lang w:val="es-ES_tradnl"/>
        </w:rPr>
        <w:t xml:space="preserve"> hoy se considera que son las arterias de la economía digital y la sociedad en general, con sus servicios, aplicaciones y contenidos. Las cuestiones de contenido electrónico, seguridad y protección de datos así como, en última instancia, una protección completa del consumidor, se han convertido en retos importantes para el desarrollo sano de redes y servicios, y deben tenerse en cuenta en la reglamentación. Por consiguiente, el mandato de los reguladores en las Américas </w:t>
      </w:r>
      <w:r w:rsidR="00F022F7" w:rsidRPr="007078A2">
        <w:rPr>
          <w:lang w:val="es-ES_tradnl"/>
        </w:rPr>
        <w:t xml:space="preserve">ha </w:t>
      </w:r>
      <w:r w:rsidRPr="007078A2">
        <w:rPr>
          <w:lang w:val="es-ES_tradnl"/>
        </w:rPr>
        <w:t>evolucionado durante los últimos cinco años, más o menos (véase el Gráfico 1.8).</w:t>
      </w:r>
    </w:p>
    <w:p w:rsidR="000A39FD" w:rsidRPr="007078A2" w:rsidRDefault="000A39FD" w:rsidP="00E45B55">
      <w:pPr>
        <w:rPr>
          <w:lang w:val="es-ES_tradnl"/>
        </w:rPr>
      </w:pPr>
      <w:r w:rsidRPr="007078A2">
        <w:rPr>
          <w:lang w:val="es-ES_tradnl"/>
        </w:rPr>
        <w:t>Como sus homólogos de otras regiones, los reguladores de las Américas consideran que una mayor competencia permitirá inversiones más abundantes y fomentará el desarrollo de las TIC en la región. La competencia en los servicios TI</w:t>
      </w:r>
      <w:r w:rsidR="00473E01" w:rsidRPr="007078A2">
        <w:rPr>
          <w:lang w:val="es-ES_tradnl"/>
        </w:rPr>
        <w:t>C es la norma en la región, aun</w:t>
      </w:r>
      <w:r w:rsidRPr="007078A2">
        <w:rPr>
          <w:lang w:val="es-ES_tradnl"/>
        </w:rPr>
        <w:t>que uno de cada cinco países de las Américas sigue manteniendo monopolios en los servicios de línea fija locales y de larga distancia, así como en el mercado de la DSL (véase el Gráfico 1.9 siguiente). Una de las principales dificultades para la mayoría de los reguladores de las Américas es seguir desarrollando sus marcos normativos para garantizar que los inversores tengan más incentivos para invertir en nuevas redes y nuevos servicios.</w:t>
      </w:r>
    </w:p>
    <w:p w:rsidR="000A39FD" w:rsidRPr="007078A2" w:rsidRDefault="000A39FD" w:rsidP="00473E01">
      <w:pPr>
        <w:pStyle w:val="FigureNotitle"/>
        <w:keepNext/>
      </w:pPr>
      <w:r w:rsidRPr="007078A2">
        <w:t>Figura 1.9: Competitividad de determinados segmentos de</w:t>
      </w:r>
      <w:r w:rsidR="00E45B55" w:rsidRPr="007078A2">
        <w:t>l mercado de las TIC, Américas, </w:t>
      </w:r>
      <w:r w:rsidRPr="007078A2">
        <w:t>2015</w:t>
      </w:r>
    </w:p>
    <w:p w:rsidR="000A39FD" w:rsidRPr="007078A2" w:rsidRDefault="000A39FD" w:rsidP="00FF14BC">
      <w:pPr>
        <w:jc w:val="both"/>
        <w:rPr>
          <w:b/>
          <w:bCs/>
          <w:lang w:val="es-ES_tradnl"/>
        </w:rPr>
      </w:pPr>
      <w:r w:rsidRPr="007078A2">
        <w:rPr>
          <w:b/>
          <w:bCs/>
          <w:noProof/>
          <w:lang w:eastAsia="zh-CN"/>
        </w:rPr>
        <w:drawing>
          <wp:inline distT="0" distB="0" distL="0" distR="0" wp14:anchorId="77DE4A7F" wp14:editId="25DCE446">
            <wp:extent cx="5178737" cy="280987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10339"/>
                    <a:stretch/>
                  </pic:blipFill>
                  <pic:spPr bwMode="auto">
                    <a:xfrm>
                      <a:off x="0" y="0"/>
                      <a:ext cx="5183999" cy="2812730"/>
                    </a:xfrm>
                    <a:prstGeom prst="rect">
                      <a:avLst/>
                    </a:prstGeom>
                    <a:noFill/>
                    <a:ln>
                      <a:noFill/>
                    </a:ln>
                    <a:extLst>
                      <a:ext uri="{53640926-AAD7-44D8-BBD7-CCE9431645EC}">
                        <a14:shadowObscured xmlns:a14="http://schemas.microsoft.com/office/drawing/2010/main"/>
                      </a:ext>
                    </a:extLst>
                  </pic:spPr>
                </pic:pic>
              </a:graphicData>
            </a:graphic>
          </wp:inline>
        </w:drawing>
      </w:r>
    </w:p>
    <w:p w:rsidR="000A39FD" w:rsidRPr="007078A2" w:rsidRDefault="000A39FD" w:rsidP="00FF14BC">
      <w:pPr>
        <w:jc w:val="both"/>
        <w:rPr>
          <w:sz w:val="18"/>
          <w:szCs w:val="18"/>
          <w:lang w:val="es-ES_tradnl"/>
        </w:rPr>
      </w:pPr>
      <w:r w:rsidRPr="007078A2">
        <w:rPr>
          <w:sz w:val="18"/>
          <w:szCs w:val="18"/>
          <w:lang w:val="es-ES_tradnl"/>
        </w:rPr>
        <w:t>Origen: Base de datos de la UIT sobre Reglamentación de las telecomunicaciones/TIC.</w:t>
      </w:r>
    </w:p>
    <w:p w:rsidR="00E45B55" w:rsidRPr="007078A2" w:rsidRDefault="00E45B55" w:rsidP="00E45B55">
      <w:pPr>
        <w:spacing w:before="0"/>
        <w:jc w:val="both"/>
        <w:rPr>
          <w:sz w:val="18"/>
          <w:szCs w:val="18"/>
          <w:lang w:val="es-ES_tradnl"/>
        </w:rPr>
      </w:pPr>
      <w:r w:rsidRPr="007078A2">
        <w:rPr>
          <w:b/>
          <w:bCs/>
          <w:sz w:val="18"/>
          <w:szCs w:val="18"/>
          <w:lang w:val="es-ES_tradnl"/>
        </w:rPr>
        <w:t>Leyenda de la Figura 1.9:</w:t>
      </w:r>
    </w:p>
    <w:p w:rsidR="00473E01" w:rsidRPr="007078A2" w:rsidRDefault="000A39FD" w:rsidP="00473E01">
      <w:pPr>
        <w:tabs>
          <w:tab w:val="clear" w:pos="794"/>
          <w:tab w:val="left" w:pos="426"/>
        </w:tabs>
        <w:spacing w:before="0"/>
        <w:jc w:val="both"/>
        <w:rPr>
          <w:sz w:val="18"/>
          <w:szCs w:val="18"/>
          <w:lang w:val="es-ES_tradnl"/>
        </w:rPr>
      </w:pPr>
      <w:r w:rsidRPr="007078A2">
        <w:rPr>
          <w:sz w:val="18"/>
          <w:szCs w:val="18"/>
          <w:lang w:val="es-ES_tradnl"/>
        </w:rPr>
        <w:t>Plena competencia</w:t>
      </w:r>
    </w:p>
    <w:p w:rsidR="00473E01" w:rsidRPr="007078A2" w:rsidRDefault="000A39FD" w:rsidP="00473E01">
      <w:pPr>
        <w:tabs>
          <w:tab w:val="clear" w:pos="794"/>
          <w:tab w:val="left" w:pos="426"/>
        </w:tabs>
        <w:spacing w:before="0"/>
        <w:jc w:val="both"/>
        <w:rPr>
          <w:sz w:val="18"/>
          <w:szCs w:val="18"/>
          <w:lang w:val="es-ES_tradnl"/>
        </w:rPr>
      </w:pPr>
      <w:r w:rsidRPr="007078A2">
        <w:rPr>
          <w:sz w:val="18"/>
          <w:szCs w:val="18"/>
          <w:lang w:val="es-ES_tradnl"/>
        </w:rPr>
        <w:t>Competencia parcial</w:t>
      </w:r>
    </w:p>
    <w:p w:rsidR="000A39FD" w:rsidRPr="007078A2" w:rsidRDefault="000A39FD" w:rsidP="00473E01">
      <w:pPr>
        <w:tabs>
          <w:tab w:val="clear" w:pos="794"/>
          <w:tab w:val="left" w:pos="426"/>
        </w:tabs>
        <w:spacing w:before="0"/>
        <w:jc w:val="both"/>
        <w:rPr>
          <w:sz w:val="18"/>
          <w:szCs w:val="18"/>
          <w:lang w:val="es-ES_tradnl"/>
        </w:rPr>
      </w:pPr>
      <w:r w:rsidRPr="007078A2">
        <w:rPr>
          <w:sz w:val="18"/>
          <w:szCs w:val="18"/>
          <w:lang w:val="es-ES_tradnl"/>
        </w:rPr>
        <w:t>Monopolio</w:t>
      </w:r>
    </w:p>
    <w:p w:rsidR="000A39FD" w:rsidRPr="007078A2" w:rsidRDefault="000A39FD" w:rsidP="00473E01">
      <w:pPr>
        <w:tabs>
          <w:tab w:val="clear" w:pos="794"/>
          <w:tab w:val="left" w:pos="426"/>
        </w:tabs>
        <w:spacing w:before="0"/>
        <w:rPr>
          <w:sz w:val="18"/>
          <w:szCs w:val="18"/>
          <w:lang w:val="es-ES_tradnl"/>
        </w:rPr>
      </w:pPr>
      <w:r w:rsidRPr="007078A2">
        <w:rPr>
          <w:sz w:val="18"/>
          <w:szCs w:val="18"/>
          <w:lang w:val="es-ES_tradnl"/>
        </w:rPr>
        <w:t>Servicios locales de línea fija</w:t>
      </w:r>
      <w:r w:rsidR="00473E01" w:rsidRPr="007078A2">
        <w:rPr>
          <w:sz w:val="18"/>
          <w:szCs w:val="18"/>
          <w:lang w:val="es-ES_tradnl"/>
        </w:rPr>
        <w:t xml:space="preserve"> – </w:t>
      </w:r>
      <w:r w:rsidRPr="007078A2">
        <w:rPr>
          <w:sz w:val="18"/>
          <w:szCs w:val="18"/>
          <w:lang w:val="es-ES_tradnl"/>
        </w:rPr>
        <w:t>Nacionales fijos de larga distancia</w:t>
      </w:r>
      <w:r w:rsidR="00473E01" w:rsidRPr="007078A2">
        <w:rPr>
          <w:sz w:val="18"/>
          <w:szCs w:val="18"/>
          <w:lang w:val="es-ES_tradnl"/>
        </w:rPr>
        <w:t xml:space="preserve"> – </w:t>
      </w:r>
      <w:r w:rsidRPr="007078A2">
        <w:rPr>
          <w:sz w:val="18"/>
          <w:szCs w:val="18"/>
          <w:lang w:val="es-ES_tradnl"/>
        </w:rPr>
        <w:t>Internacionales fijos de larga distancia</w:t>
      </w:r>
      <w:r w:rsidR="00473E01" w:rsidRPr="007078A2">
        <w:rPr>
          <w:sz w:val="18"/>
          <w:szCs w:val="18"/>
          <w:lang w:val="es-ES_tradnl"/>
        </w:rPr>
        <w:t xml:space="preserve"> – Pasarela </w:t>
      </w:r>
      <w:r w:rsidRPr="007078A2">
        <w:rPr>
          <w:sz w:val="18"/>
          <w:szCs w:val="18"/>
          <w:lang w:val="es-ES_tradnl"/>
        </w:rPr>
        <w:t>internacional</w:t>
      </w:r>
      <w:r w:rsidR="00473E01" w:rsidRPr="007078A2">
        <w:rPr>
          <w:sz w:val="18"/>
          <w:szCs w:val="18"/>
          <w:lang w:val="es-ES_tradnl"/>
        </w:rPr>
        <w:t xml:space="preserve"> – </w:t>
      </w:r>
      <w:r w:rsidR="00F022F7" w:rsidRPr="007078A2">
        <w:rPr>
          <w:sz w:val="18"/>
          <w:szCs w:val="18"/>
          <w:lang w:val="es-ES_tradnl"/>
        </w:rPr>
        <w:t xml:space="preserve">DSL – </w:t>
      </w:r>
      <w:r w:rsidRPr="007078A2">
        <w:rPr>
          <w:sz w:val="18"/>
          <w:szCs w:val="18"/>
          <w:lang w:val="es-ES_tradnl"/>
        </w:rPr>
        <w:t>Banda ancha inalámbrica fija</w:t>
      </w:r>
      <w:r w:rsidR="00473E01" w:rsidRPr="007078A2">
        <w:rPr>
          <w:sz w:val="18"/>
          <w:szCs w:val="18"/>
          <w:lang w:val="es-ES_tradnl"/>
        </w:rPr>
        <w:t xml:space="preserve"> – </w:t>
      </w:r>
      <w:r w:rsidRPr="007078A2">
        <w:rPr>
          <w:sz w:val="18"/>
          <w:szCs w:val="18"/>
          <w:lang w:val="es-ES_tradnl"/>
        </w:rPr>
        <w:t>Banda ancha móvil</w:t>
      </w:r>
      <w:r w:rsidR="00473E01" w:rsidRPr="007078A2">
        <w:rPr>
          <w:sz w:val="18"/>
          <w:szCs w:val="18"/>
          <w:lang w:val="es-ES_tradnl"/>
        </w:rPr>
        <w:t xml:space="preserve"> – </w:t>
      </w:r>
      <w:r w:rsidRPr="007078A2">
        <w:rPr>
          <w:sz w:val="18"/>
          <w:szCs w:val="18"/>
          <w:lang w:val="es-ES_tradnl"/>
        </w:rPr>
        <w:t>Servicios Internet</w:t>
      </w:r>
    </w:p>
    <w:p w:rsidR="000A39FD" w:rsidRPr="007078A2" w:rsidRDefault="000A39FD" w:rsidP="00E45B55">
      <w:pPr>
        <w:rPr>
          <w:lang w:val="es-ES_tradnl"/>
        </w:rPr>
      </w:pPr>
      <w:r w:rsidRPr="007078A2">
        <w:rPr>
          <w:lang w:val="es-ES_tradnl"/>
        </w:rPr>
        <w:t xml:space="preserve">En la mayoría de los países de la región, los esfuerzos realizados durante los últimos 10 años para liberalizar las pasarelas internacionales han dado frutos y apenas unos 10% de las pasarelas nacionales siguen siendo monopolísticas y están controladas por el operador de líneas fijas establecido (véase la Figura 1.9). En consecuencia, el crecimiento de la banda ancha en la región ha sido sólido y ha permitido también que los países en desarrollo creen nuevos servicios y oportunidades de empleo. Además, el interés de </w:t>
      </w:r>
      <w:r w:rsidRPr="007078A2">
        <w:rPr>
          <w:lang w:val="es-ES_tradnl"/>
        </w:rPr>
        <w:lastRenderedPageBreak/>
        <w:t>los inversores extranjeros por la mayoría de los paíse</w:t>
      </w:r>
      <w:r w:rsidR="00474503" w:rsidRPr="007078A2">
        <w:rPr>
          <w:lang w:val="es-ES_tradnl"/>
        </w:rPr>
        <w:t>s de la región ha permanecido só</w:t>
      </w:r>
      <w:r w:rsidRPr="007078A2">
        <w:rPr>
          <w:lang w:val="es-ES_tradnl"/>
        </w:rPr>
        <w:t>lido gracias al entorno propicio para nuevos actores.</w:t>
      </w:r>
    </w:p>
    <w:p w:rsidR="000A39FD" w:rsidRPr="007078A2" w:rsidRDefault="000A39FD" w:rsidP="00E45B55">
      <w:pPr>
        <w:rPr>
          <w:lang w:val="es-ES_tradnl"/>
        </w:rPr>
      </w:pPr>
      <w:r w:rsidRPr="007078A2">
        <w:rPr>
          <w:lang w:val="es-ES_tradnl"/>
        </w:rPr>
        <w:t>Los servicios Internet en particular, como en otras regiones, han sido muy competitivos. Prácticamente ya no quedan monopolios en la banda ancha alámbrica fija, la banda ancha móvil y los servicios PSI en la región de las Américas. Tradicionalmente, se prefiere la plena competencia a la competencia parcial, y eso ha contribuido notablemente al rápido crecimiento de nuevos servicios y del número de abonados.</w:t>
      </w:r>
    </w:p>
    <w:p w:rsidR="000A39FD" w:rsidRPr="007078A2" w:rsidRDefault="000A39FD" w:rsidP="00474503">
      <w:pPr>
        <w:rPr>
          <w:lang w:val="es-ES_tradnl"/>
        </w:rPr>
      </w:pPr>
      <w:r w:rsidRPr="007078A2">
        <w:rPr>
          <w:lang w:val="es-ES_tradnl"/>
        </w:rPr>
        <w:t xml:space="preserve">La adopción de regímenes de licencias simplificados lleva consigo la adopción de medidas normativas e institucionales adicionales por los gobiernos, a fin de reformar el sector. Algunos países han facilitado los trámites de entrada en el mercado simplificando su régimen de licencias. </w:t>
      </w:r>
      <w:r w:rsidR="00474503" w:rsidRPr="007078A2">
        <w:rPr>
          <w:lang w:val="es-ES_tradnl"/>
        </w:rPr>
        <w:t xml:space="preserve">Belice </w:t>
      </w:r>
      <w:r w:rsidRPr="007078A2">
        <w:rPr>
          <w:lang w:val="es-ES_tradnl"/>
        </w:rPr>
        <w:t>y Costa Rica han adoptado un régimen de licencias unificado mientras que Jamaica y Venezuela han introducido licencias multiservicios. Antiguo y Barbuda, las Bahamas y Colombia aplican un marco de licencias convergente con un régimen de autorización general. No obstante, las licencias individuales específicas de servicios siguen siendo la norma en la mayoría de los países de esa región. La creación de un marco de licencias coherente ha sido esencial para facilitar el desarrollo de servicios convergentes y la expansión de los mercados y la competencia, con el objetivo de promover la prestación de servicios nuevos e innovadores, la reducción de precios y un aumento de la eficiencia de la prestación de servicios, así como una diversificación de las ofertas para los abonados</w:t>
      </w:r>
      <w:r w:rsidRPr="007078A2">
        <w:rPr>
          <w:rFonts w:cs="Arial"/>
          <w:lang w:val="es-ES_tradnl"/>
        </w:rPr>
        <w:t>.</w:t>
      </w:r>
    </w:p>
    <w:p w:rsidR="000A39FD" w:rsidRPr="007078A2" w:rsidRDefault="000A39FD" w:rsidP="00473E01">
      <w:pPr>
        <w:pStyle w:val="FigureNotitle"/>
      </w:pPr>
      <w:r w:rsidRPr="007078A2">
        <w:t>Figura 1.10: Cables submarinos que conectan las Américas, 2015</w:t>
      </w:r>
    </w:p>
    <w:p w:rsidR="000A39FD" w:rsidRPr="007078A2" w:rsidRDefault="000A39FD" w:rsidP="00FF14BC">
      <w:pPr>
        <w:spacing w:line="360" w:lineRule="auto"/>
        <w:jc w:val="both"/>
        <w:rPr>
          <w:lang w:val="es-ES_tradnl"/>
        </w:rPr>
      </w:pPr>
      <w:r w:rsidRPr="007078A2">
        <w:rPr>
          <w:noProof/>
          <w:lang w:eastAsia="zh-CN"/>
        </w:rPr>
        <w:drawing>
          <wp:inline distT="0" distB="0" distL="0" distR="0" wp14:anchorId="262E07E8" wp14:editId="4EF204C8">
            <wp:extent cx="4219575" cy="3957329"/>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3047" cy="3960585"/>
                    </a:xfrm>
                    <a:prstGeom prst="rect">
                      <a:avLst/>
                    </a:prstGeom>
                    <a:noFill/>
                  </pic:spPr>
                </pic:pic>
              </a:graphicData>
            </a:graphic>
          </wp:inline>
        </w:drawing>
      </w:r>
    </w:p>
    <w:p w:rsidR="000A39FD" w:rsidRPr="007078A2" w:rsidRDefault="000A39FD" w:rsidP="00FF14BC">
      <w:pPr>
        <w:spacing w:line="360" w:lineRule="auto"/>
        <w:jc w:val="both"/>
        <w:rPr>
          <w:sz w:val="18"/>
          <w:szCs w:val="18"/>
          <w:lang w:val="es-ES_tradnl"/>
        </w:rPr>
      </w:pPr>
      <w:r w:rsidRPr="007078A2">
        <w:rPr>
          <w:sz w:val="18"/>
          <w:szCs w:val="18"/>
          <w:lang w:val="es-ES_tradnl"/>
        </w:rPr>
        <w:lastRenderedPageBreak/>
        <w:t xml:space="preserve">Origen: UIT y </w:t>
      </w:r>
      <w:r w:rsidRPr="007078A2">
        <w:rPr>
          <w:i/>
          <w:iCs/>
          <w:sz w:val="18"/>
          <w:szCs w:val="18"/>
          <w:lang w:val="es-ES_tradnl"/>
        </w:rPr>
        <w:t>Telegeography</w:t>
      </w:r>
      <w:r w:rsidRPr="007078A2">
        <w:rPr>
          <w:sz w:val="18"/>
          <w:szCs w:val="18"/>
          <w:lang w:val="es-ES_tradnl"/>
        </w:rPr>
        <w:t xml:space="preserve">, </w:t>
      </w:r>
      <w:hyperlink r:id="rId21" w:history="1">
        <w:r w:rsidRPr="007078A2">
          <w:rPr>
            <w:rStyle w:val="Hyperlink"/>
            <w:sz w:val="18"/>
            <w:szCs w:val="18"/>
            <w:lang w:val="es-ES_tradnl"/>
          </w:rPr>
          <w:t>http://www.itu.int/itu-d/tnd-map-public/</w:t>
        </w:r>
      </w:hyperlink>
      <w:r w:rsidRPr="007078A2">
        <w:rPr>
          <w:sz w:val="18"/>
          <w:szCs w:val="18"/>
          <w:lang w:val="es-ES_tradnl"/>
        </w:rPr>
        <w:t xml:space="preserve"> (trabajo en curso).</w:t>
      </w:r>
    </w:p>
    <w:p w:rsidR="000A39FD" w:rsidRPr="007078A2" w:rsidRDefault="000A39FD" w:rsidP="00DC761B">
      <w:pPr>
        <w:rPr>
          <w:lang w:val="es-ES_tradnl"/>
        </w:rPr>
      </w:pPr>
      <w:r w:rsidRPr="007078A2">
        <w:rPr>
          <w:lang w:val="es-ES_tradnl"/>
        </w:rPr>
        <w:t>Durante los últimos cinco años se han tendido cables submarinos internacionales adicionales en toda la región, aumentándose así las opciones de conectividad de alta velocidad internacional entre las diversas costas de la región de las Américas y el resto del mundo (véase la Figura</w:t>
      </w:r>
      <w:r w:rsidR="00DC761B">
        <w:rPr>
          <w:lang w:val="es-ES_tradnl"/>
        </w:rPr>
        <w:t> </w:t>
      </w:r>
      <w:r w:rsidRPr="007078A2">
        <w:rPr>
          <w:lang w:val="es-ES_tradnl"/>
        </w:rPr>
        <w:t>1.10), y reduciéndose también además el coste del ancho de banda internacional gracias a ofertas competitivas. La dificultad estriba ahora en garantizar que esas estaciones de aterraje de cables estén conectadas además a redes centrales de banda ancha nacionales.</w:t>
      </w:r>
    </w:p>
    <w:p w:rsidR="000A39FD" w:rsidRPr="007078A2" w:rsidRDefault="000A39FD" w:rsidP="00E45B55">
      <w:pPr>
        <w:rPr>
          <w:lang w:val="es-ES_tradnl"/>
        </w:rPr>
      </w:pPr>
      <w:r w:rsidRPr="007078A2">
        <w:rPr>
          <w:lang w:val="es-ES_tradnl"/>
        </w:rPr>
        <w:t>El coste del despliegue de redes a nivel nacional y, en particular, redes de la próxima generación, sigue siendo difícil en toda Latinoamérica y el Caribe. Para reducir esos costes y capitalizar las inversiones ya realizadas, aproximadamente un país de cada tres de la región ha obligado a compartir infraestructuras pasivas y uno de cada dos permite la presencia de operadores de redes virtuales móviles (MVNO) en sus mercados, lo que corresponde a la media mundial del nivel de reglamentación en esos ámbitos (véase la Figura 1.11). En cambio, la coubicación o la compartición de emplazamientos sólo es obligatoria en un país de cada cinco, una cifra considerablemente inferior a la media mundial.</w:t>
      </w:r>
    </w:p>
    <w:p w:rsidR="000A39FD" w:rsidRPr="007078A2" w:rsidRDefault="000A39FD" w:rsidP="00473E01">
      <w:pPr>
        <w:pStyle w:val="FigureNotitle"/>
      </w:pPr>
      <w:r w:rsidRPr="007078A2">
        <w:t xml:space="preserve">Figura 1.11: Compartición de infraestructuras, Américas y el mundo, 2015 </w:t>
      </w:r>
    </w:p>
    <w:p w:rsidR="000A39FD" w:rsidRPr="007078A2" w:rsidRDefault="000A39FD" w:rsidP="00FF14BC">
      <w:pPr>
        <w:keepNext/>
        <w:keepLines/>
        <w:spacing w:line="360" w:lineRule="auto"/>
        <w:jc w:val="both"/>
        <w:rPr>
          <w:sz w:val="20"/>
          <w:lang w:val="es-ES_tradnl"/>
        </w:rPr>
      </w:pPr>
      <w:r w:rsidRPr="007078A2">
        <w:rPr>
          <w:noProof/>
          <w:sz w:val="20"/>
          <w:lang w:eastAsia="zh-CN"/>
        </w:rPr>
        <w:drawing>
          <wp:inline distT="0" distB="0" distL="0" distR="0" wp14:anchorId="35AE3AA8" wp14:editId="780D1C3D">
            <wp:extent cx="4383059" cy="2000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20125" b="3885"/>
                    <a:stretch/>
                  </pic:blipFill>
                  <pic:spPr bwMode="auto">
                    <a:xfrm>
                      <a:off x="0" y="0"/>
                      <a:ext cx="4400832" cy="2008361"/>
                    </a:xfrm>
                    <a:prstGeom prst="rect">
                      <a:avLst/>
                    </a:prstGeom>
                    <a:noFill/>
                    <a:ln>
                      <a:noFill/>
                    </a:ln>
                    <a:extLst>
                      <a:ext uri="{53640926-AAD7-44D8-BBD7-CCE9431645EC}">
                        <a14:shadowObscured xmlns:a14="http://schemas.microsoft.com/office/drawing/2010/main"/>
                      </a:ext>
                    </a:extLst>
                  </pic:spPr>
                </pic:pic>
              </a:graphicData>
            </a:graphic>
          </wp:inline>
        </w:drawing>
      </w:r>
    </w:p>
    <w:p w:rsidR="000A39FD" w:rsidRPr="007078A2" w:rsidRDefault="000A39FD" w:rsidP="00FF14BC">
      <w:pPr>
        <w:keepNext/>
        <w:keepLines/>
        <w:jc w:val="both"/>
        <w:rPr>
          <w:sz w:val="18"/>
          <w:szCs w:val="18"/>
          <w:lang w:val="es-ES_tradnl"/>
        </w:rPr>
      </w:pPr>
      <w:r w:rsidRPr="007078A2">
        <w:rPr>
          <w:sz w:val="18"/>
          <w:szCs w:val="18"/>
          <w:lang w:val="es-ES_tradnl"/>
        </w:rPr>
        <w:t>Origen: Base de datos de la UIT sobre Reglamentación de las telecomunicaciones/TIC.</w:t>
      </w:r>
    </w:p>
    <w:p w:rsidR="00E45B55" w:rsidRPr="007078A2" w:rsidRDefault="00E45B55" w:rsidP="00E45B55">
      <w:pPr>
        <w:keepNext/>
        <w:keepLines/>
        <w:spacing w:before="0"/>
        <w:jc w:val="both"/>
        <w:rPr>
          <w:sz w:val="18"/>
          <w:szCs w:val="18"/>
          <w:lang w:val="es-ES_tradnl"/>
        </w:rPr>
      </w:pPr>
      <w:r w:rsidRPr="007078A2">
        <w:rPr>
          <w:b/>
          <w:bCs/>
          <w:sz w:val="18"/>
          <w:szCs w:val="18"/>
          <w:lang w:val="es-ES_tradnl"/>
        </w:rPr>
        <w:t>Leyenda de la Figura 1.11:</w:t>
      </w:r>
    </w:p>
    <w:p w:rsidR="000A39FD" w:rsidRPr="007078A2" w:rsidRDefault="000A39FD" w:rsidP="00E45B55">
      <w:pPr>
        <w:keepNext/>
        <w:keepLines/>
        <w:tabs>
          <w:tab w:val="clear" w:pos="794"/>
          <w:tab w:val="left" w:pos="426"/>
        </w:tabs>
        <w:spacing w:before="0"/>
        <w:jc w:val="both"/>
        <w:rPr>
          <w:sz w:val="18"/>
          <w:szCs w:val="18"/>
          <w:lang w:val="es-ES_tradnl"/>
        </w:rPr>
      </w:pPr>
      <w:r w:rsidRPr="007078A2">
        <w:rPr>
          <w:sz w:val="18"/>
          <w:szCs w:val="18"/>
          <w:lang w:val="es-ES_tradnl"/>
        </w:rPr>
        <w:t>Compartición obligatoria de infraestructuras</w:t>
      </w:r>
    </w:p>
    <w:p w:rsidR="000A39FD" w:rsidRPr="007078A2" w:rsidRDefault="000A39FD" w:rsidP="00E45B55">
      <w:pPr>
        <w:keepNext/>
        <w:keepLines/>
        <w:tabs>
          <w:tab w:val="clear" w:pos="794"/>
          <w:tab w:val="left" w:pos="426"/>
        </w:tabs>
        <w:spacing w:before="0"/>
        <w:jc w:val="both"/>
        <w:rPr>
          <w:sz w:val="18"/>
          <w:szCs w:val="18"/>
          <w:lang w:val="es-ES_tradnl"/>
        </w:rPr>
      </w:pPr>
      <w:r w:rsidRPr="007078A2">
        <w:rPr>
          <w:sz w:val="18"/>
          <w:szCs w:val="18"/>
          <w:lang w:val="es-ES_tradnl"/>
        </w:rPr>
        <w:t>Compartición de infraestructuras permitida para operadores móviles (MVNO)</w:t>
      </w:r>
    </w:p>
    <w:p w:rsidR="000A39FD" w:rsidRPr="007078A2" w:rsidRDefault="000A39FD" w:rsidP="00E45B55">
      <w:pPr>
        <w:keepNext/>
        <w:keepLines/>
        <w:tabs>
          <w:tab w:val="clear" w:pos="794"/>
          <w:tab w:val="left" w:pos="426"/>
        </w:tabs>
        <w:spacing w:before="0"/>
        <w:jc w:val="both"/>
        <w:rPr>
          <w:sz w:val="18"/>
          <w:szCs w:val="18"/>
          <w:lang w:val="es-ES_tradnl"/>
        </w:rPr>
      </w:pPr>
      <w:r w:rsidRPr="007078A2">
        <w:rPr>
          <w:sz w:val="18"/>
          <w:szCs w:val="18"/>
          <w:lang w:val="es-ES_tradnl"/>
        </w:rPr>
        <w:t>Coubicación/compartición de emplazamientos obligatoria</w:t>
      </w:r>
    </w:p>
    <w:p w:rsidR="000A39FD" w:rsidRPr="007078A2" w:rsidRDefault="000A39FD" w:rsidP="00E45B55">
      <w:pPr>
        <w:keepNext/>
        <w:keepLines/>
        <w:tabs>
          <w:tab w:val="clear" w:pos="794"/>
          <w:tab w:val="left" w:pos="426"/>
        </w:tabs>
        <w:spacing w:before="0"/>
        <w:jc w:val="both"/>
        <w:rPr>
          <w:sz w:val="18"/>
          <w:szCs w:val="18"/>
          <w:lang w:val="es-ES_tradnl"/>
        </w:rPr>
      </w:pPr>
      <w:r w:rsidRPr="007078A2">
        <w:rPr>
          <w:sz w:val="18"/>
          <w:szCs w:val="18"/>
          <w:lang w:val="es-ES_tradnl"/>
        </w:rPr>
        <w:t>Mundo</w:t>
      </w:r>
      <w:r w:rsidRPr="007078A2">
        <w:rPr>
          <w:sz w:val="18"/>
          <w:szCs w:val="18"/>
          <w:lang w:val="es-ES_tradnl"/>
        </w:rPr>
        <w:tab/>
        <w:t>Américas</w:t>
      </w:r>
    </w:p>
    <w:p w:rsidR="000A39FD" w:rsidRPr="007078A2" w:rsidRDefault="000A39FD" w:rsidP="00E45B55">
      <w:pPr>
        <w:rPr>
          <w:lang w:val="es-ES_tradnl"/>
        </w:rPr>
      </w:pPr>
      <w:r w:rsidRPr="007078A2">
        <w:rPr>
          <w:lang w:val="es-ES_tradnl"/>
        </w:rPr>
        <w:t xml:space="preserve">A fin de responder a la creciente demanda de espectro, casi uno de cada tres reguladores de las TIC en las Américas ha introducido el comercio de espectro secundario. Un 15% adicional ha adoptado algún tipo de mecanismo basado en el mercado que permite la migración en banda. En la mayoría de los países de la región se ha </w:t>
      </w:r>
      <w:r w:rsidR="000C6BC3" w:rsidRPr="007078A2">
        <w:rPr>
          <w:lang w:val="es-ES_tradnl"/>
        </w:rPr>
        <w:t xml:space="preserve">asignado </w:t>
      </w:r>
      <w:r w:rsidRPr="007078A2">
        <w:rPr>
          <w:lang w:val="es-ES_tradnl"/>
        </w:rPr>
        <w:t>a los operadores espectro para servicios de banda ancha móviles. En uno de cada tres países se ha asignado espectro para servicios WiMax, y el servicio está comercializado en la mayoría de ellos. En ocho países, incluidos Brasil, Canadá y Perú, se ha asignado espectro para servicios LTE.</w:t>
      </w:r>
    </w:p>
    <w:p w:rsidR="000A39FD" w:rsidRPr="007078A2" w:rsidRDefault="000A39FD" w:rsidP="000C6BC3">
      <w:pPr>
        <w:rPr>
          <w:lang w:val="es-ES_tradnl"/>
        </w:rPr>
      </w:pPr>
      <w:r w:rsidRPr="007078A2">
        <w:rPr>
          <w:lang w:val="es-ES_tradnl"/>
        </w:rPr>
        <w:lastRenderedPageBreak/>
        <w:t>23 países de la región, es decir 66%, reconocen el papel fundamental que desempeña la banda ancha en la economía digital actual y han adoptado o proyectan adoptar un plan, política o estrategia nacional para promover la banda ancha (véase la Figura 1.12). En esos planes figura como objetivo destacado la creación de infraestructuras de banda ancha nacionales, junto con una estimulación de la demanda gracias a la adopción de servicios y aplicaciones en línea y la prestación de servicios públicos por banda ancha. Además, por lo menos siete países de las Américas han incorporado la banda ancha en su definición del servicio universal. 21 países de la región disponen de un fondo de servicio universal (FSU) operacional, por lo que esa región es la que tiene la mayor proporción de FSU, es decir, 60%. No obstante, sólo dos de esos fondos, en Perú y Estados Unidos, son utilizados parcial o totalmente para financiar el plan de banda ancha nacional. Además de las financiaciones públicas directas, se ha determinado que las asociaciones público-privadas son el principal medio de financiar esos planes</w:t>
      </w:r>
      <w:r w:rsidRPr="007078A2">
        <w:rPr>
          <w:rFonts w:cs="Arial"/>
          <w:lang w:val="es-ES_tradnl"/>
        </w:rPr>
        <w:t>.</w:t>
      </w:r>
    </w:p>
    <w:p w:rsidR="000A39FD" w:rsidRPr="007078A2" w:rsidRDefault="000A39FD" w:rsidP="00E45B55">
      <w:pPr>
        <w:rPr>
          <w:rFonts w:cs="Arial"/>
          <w:lang w:val="es-ES_tradnl"/>
        </w:rPr>
      </w:pPr>
      <w:r w:rsidRPr="007078A2">
        <w:rPr>
          <w:lang w:val="es-ES_tradnl"/>
        </w:rPr>
        <w:t>A fin de que los ciudadanos de Latinoamérica y el Caribe se beneficien del acceso a la sociedad digital, es necesario hacer más para desarrollar y extender las redes troncales de banda ancha nacionales y el acceso de banda ancha a nivel local (probablemente por medios inalámbricos) a fin de conectar a los que no lo están y reducir los costes de la conectividad. De hecho, se necesitan más reformas del sector para aumentar los niveles de penetración, en particular de la banda ancha e Internet</w:t>
      </w:r>
      <w:r w:rsidRPr="007078A2">
        <w:rPr>
          <w:rFonts w:cs="Arial"/>
          <w:lang w:val="es-ES_tradnl"/>
        </w:rPr>
        <w:t>.</w:t>
      </w:r>
    </w:p>
    <w:p w:rsidR="000A39FD" w:rsidRPr="007078A2" w:rsidRDefault="000A39FD" w:rsidP="00473E01">
      <w:pPr>
        <w:pStyle w:val="FigureNotitle"/>
      </w:pPr>
      <w:r w:rsidRPr="007078A2">
        <w:t>Figura 1.12: Planes de banda ancha, por región, 2015</w:t>
      </w:r>
    </w:p>
    <w:p w:rsidR="000A39FD" w:rsidRPr="007078A2" w:rsidRDefault="000A39FD" w:rsidP="00FF14BC">
      <w:pPr>
        <w:keepNext/>
        <w:jc w:val="both"/>
        <w:rPr>
          <w:b/>
          <w:bCs/>
          <w:lang w:val="es-ES_tradnl"/>
        </w:rPr>
      </w:pPr>
      <w:r w:rsidRPr="007078A2">
        <w:rPr>
          <w:b/>
          <w:bCs/>
          <w:noProof/>
          <w:lang w:eastAsia="zh-CN"/>
        </w:rPr>
        <w:drawing>
          <wp:inline distT="0" distB="0" distL="0" distR="0" wp14:anchorId="2A014EDE" wp14:editId="0F3B541F">
            <wp:extent cx="4456097" cy="2314575"/>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t="13510"/>
                    <a:stretch/>
                  </pic:blipFill>
                  <pic:spPr bwMode="auto">
                    <a:xfrm>
                      <a:off x="0" y="0"/>
                      <a:ext cx="4469576" cy="2321576"/>
                    </a:xfrm>
                    <a:prstGeom prst="rect">
                      <a:avLst/>
                    </a:prstGeom>
                    <a:noFill/>
                    <a:ln>
                      <a:noFill/>
                    </a:ln>
                    <a:extLst>
                      <a:ext uri="{53640926-AAD7-44D8-BBD7-CCE9431645EC}">
                        <a14:shadowObscured xmlns:a14="http://schemas.microsoft.com/office/drawing/2010/main"/>
                      </a:ext>
                    </a:extLst>
                  </pic:spPr>
                </pic:pic>
              </a:graphicData>
            </a:graphic>
          </wp:inline>
        </w:drawing>
      </w:r>
    </w:p>
    <w:p w:rsidR="000A39FD" w:rsidRPr="007078A2" w:rsidRDefault="000A39FD" w:rsidP="00FF14BC">
      <w:pPr>
        <w:keepNext/>
        <w:jc w:val="both"/>
        <w:rPr>
          <w:rFonts w:cs="Arial"/>
          <w:sz w:val="18"/>
          <w:szCs w:val="18"/>
          <w:lang w:val="es-ES_tradnl"/>
        </w:rPr>
      </w:pPr>
      <w:r w:rsidRPr="007078A2">
        <w:rPr>
          <w:rFonts w:cs="Arial"/>
          <w:sz w:val="18"/>
          <w:szCs w:val="18"/>
          <w:lang w:val="es-ES_tradnl"/>
        </w:rPr>
        <w:t>Origen: Base de datos de la UIT sobre Reglamentación de las telecomunicaciones/TIC.</w:t>
      </w:r>
    </w:p>
    <w:p w:rsidR="00E45B55" w:rsidRPr="007078A2" w:rsidRDefault="00E45B55" w:rsidP="00E45B55">
      <w:pPr>
        <w:keepNext/>
        <w:spacing w:before="0"/>
        <w:jc w:val="both"/>
        <w:rPr>
          <w:rFonts w:cs="Arial"/>
          <w:sz w:val="18"/>
          <w:szCs w:val="18"/>
          <w:lang w:val="es-ES_tradnl"/>
        </w:rPr>
      </w:pPr>
      <w:r w:rsidRPr="007078A2">
        <w:rPr>
          <w:b/>
          <w:bCs/>
          <w:sz w:val="18"/>
          <w:szCs w:val="18"/>
          <w:lang w:val="es-ES_tradnl"/>
        </w:rPr>
        <w:t>Leyenda de la Figura 1.12:</w:t>
      </w:r>
    </w:p>
    <w:p w:rsidR="000A39FD" w:rsidRPr="007078A2" w:rsidRDefault="000A39FD" w:rsidP="00473E01">
      <w:pPr>
        <w:keepNext/>
        <w:tabs>
          <w:tab w:val="clear" w:pos="794"/>
          <w:tab w:val="left" w:pos="426"/>
        </w:tabs>
        <w:spacing w:before="0"/>
        <w:jc w:val="both"/>
        <w:rPr>
          <w:rFonts w:cs="Arial"/>
          <w:sz w:val="18"/>
          <w:szCs w:val="18"/>
          <w:lang w:val="es-ES_tradnl"/>
        </w:rPr>
      </w:pPr>
      <w:r w:rsidRPr="007078A2">
        <w:rPr>
          <w:rFonts w:cs="Arial"/>
          <w:sz w:val="18"/>
          <w:szCs w:val="18"/>
          <w:lang w:val="es-ES_tradnl"/>
        </w:rPr>
        <w:t>África</w:t>
      </w:r>
      <w:r w:rsidR="00473E01" w:rsidRPr="007078A2">
        <w:rPr>
          <w:rFonts w:cs="Arial"/>
          <w:sz w:val="18"/>
          <w:szCs w:val="18"/>
          <w:lang w:val="es-ES_tradnl"/>
        </w:rPr>
        <w:t xml:space="preserve"> – </w:t>
      </w:r>
      <w:r w:rsidRPr="007078A2">
        <w:rPr>
          <w:rFonts w:cs="Arial"/>
          <w:sz w:val="18"/>
          <w:szCs w:val="18"/>
          <w:lang w:val="es-ES_tradnl"/>
        </w:rPr>
        <w:t>Américas</w:t>
      </w:r>
      <w:r w:rsidR="00473E01" w:rsidRPr="007078A2">
        <w:rPr>
          <w:rFonts w:cs="Arial"/>
          <w:sz w:val="18"/>
          <w:szCs w:val="18"/>
          <w:lang w:val="es-ES_tradnl"/>
        </w:rPr>
        <w:t xml:space="preserve"> – </w:t>
      </w:r>
      <w:r w:rsidRPr="007078A2">
        <w:rPr>
          <w:rFonts w:cs="Arial"/>
          <w:sz w:val="18"/>
          <w:szCs w:val="18"/>
          <w:lang w:val="es-ES_tradnl"/>
        </w:rPr>
        <w:t>Estados Árabes</w:t>
      </w:r>
      <w:r w:rsidR="00473E01" w:rsidRPr="007078A2">
        <w:rPr>
          <w:rFonts w:cs="Arial"/>
          <w:sz w:val="18"/>
          <w:szCs w:val="18"/>
          <w:lang w:val="es-ES_tradnl"/>
        </w:rPr>
        <w:t xml:space="preserve"> – </w:t>
      </w:r>
      <w:r w:rsidRPr="007078A2">
        <w:rPr>
          <w:rFonts w:cs="Arial"/>
          <w:sz w:val="18"/>
          <w:szCs w:val="18"/>
          <w:lang w:val="es-ES_tradnl"/>
        </w:rPr>
        <w:t>Asia-Pacífico</w:t>
      </w:r>
      <w:r w:rsidR="00473E01" w:rsidRPr="007078A2">
        <w:rPr>
          <w:rFonts w:cs="Arial"/>
          <w:sz w:val="18"/>
          <w:szCs w:val="18"/>
          <w:lang w:val="es-ES_tradnl"/>
        </w:rPr>
        <w:t xml:space="preserve"> – </w:t>
      </w:r>
      <w:r w:rsidRPr="007078A2">
        <w:rPr>
          <w:rFonts w:cs="Arial"/>
          <w:sz w:val="18"/>
          <w:szCs w:val="18"/>
          <w:lang w:val="es-ES_tradnl"/>
        </w:rPr>
        <w:t>CEI</w:t>
      </w:r>
      <w:r w:rsidR="00473E01" w:rsidRPr="007078A2">
        <w:rPr>
          <w:rFonts w:cs="Arial"/>
          <w:sz w:val="18"/>
          <w:szCs w:val="18"/>
          <w:lang w:val="es-ES_tradnl"/>
        </w:rPr>
        <w:t xml:space="preserve"> – </w:t>
      </w:r>
      <w:r w:rsidRPr="007078A2">
        <w:rPr>
          <w:rFonts w:cs="Arial"/>
          <w:sz w:val="18"/>
          <w:szCs w:val="18"/>
          <w:lang w:val="es-ES_tradnl"/>
        </w:rPr>
        <w:t>Europa</w:t>
      </w:r>
    </w:p>
    <w:p w:rsidR="000A39FD" w:rsidRPr="007078A2" w:rsidRDefault="000A39FD" w:rsidP="00473E01">
      <w:pPr>
        <w:keepNext/>
        <w:tabs>
          <w:tab w:val="clear" w:pos="794"/>
          <w:tab w:val="left" w:pos="426"/>
        </w:tabs>
        <w:spacing w:before="0"/>
        <w:jc w:val="both"/>
        <w:rPr>
          <w:rFonts w:cs="Arial"/>
          <w:sz w:val="18"/>
          <w:szCs w:val="18"/>
          <w:lang w:val="es-ES_tradnl"/>
        </w:rPr>
      </w:pPr>
      <w:r w:rsidRPr="007078A2">
        <w:rPr>
          <w:rFonts w:cs="Arial"/>
          <w:sz w:val="18"/>
          <w:szCs w:val="18"/>
          <w:lang w:val="es-ES_tradnl"/>
        </w:rPr>
        <w:t>Plan de banda ancha nacional adoptado</w:t>
      </w:r>
      <w:r w:rsidR="00473E01" w:rsidRPr="007078A2">
        <w:rPr>
          <w:rFonts w:cs="Arial"/>
          <w:sz w:val="18"/>
          <w:szCs w:val="18"/>
          <w:lang w:val="es-ES_tradnl"/>
        </w:rPr>
        <w:tab/>
      </w:r>
      <w:r w:rsidRPr="007078A2">
        <w:rPr>
          <w:rFonts w:cs="Arial"/>
          <w:sz w:val="18"/>
          <w:szCs w:val="18"/>
          <w:lang w:val="es-ES_tradnl"/>
        </w:rPr>
        <w:t>Adopción prevista de un plan de banda ancha nacional</w:t>
      </w:r>
    </w:p>
    <w:p w:rsidR="000A39FD" w:rsidRPr="007078A2" w:rsidRDefault="000A39FD" w:rsidP="00E45B55">
      <w:pPr>
        <w:rPr>
          <w:rStyle w:val="st1"/>
          <w:lang w:val="es-ES_tradnl"/>
        </w:rPr>
      </w:pPr>
      <w:r w:rsidRPr="007078A2">
        <w:rPr>
          <w:rStyle w:val="st1"/>
          <w:lang w:val="es-ES_tradnl"/>
        </w:rPr>
        <w:t>Globalmente, la reforma gradual del sector en toda la región de las Américas y la evolución de la reglamentación de las TIC han tenido un efecto positivo en el desarrollo del mercado. En 2008, más de dos de cada tres países disponían de una reglamentación de las TIC de la primera o de la segunda generación (véase la Figura 1.13, gráfico de la izquierda) que sólo tiene un impacto limitado en la penetración de servicios TIC esenciales. En 2015, en cambio, más de dos de cada tres países de la región habían adop</w:t>
      </w:r>
      <w:r w:rsidRPr="007078A2">
        <w:rPr>
          <w:rStyle w:val="st1"/>
          <w:lang w:val="es-ES_tradnl"/>
        </w:rPr>
        <w:lastRenderedPageBreak/>
        <w:t>tado reglamentaciones de la tercera o incluso la cuarta generación. Una minoría de países sigue rigiéndose por una reglamentación de la primera generación, pero en los últimos siete años muchos han efectuado satisfactoriamente la transición a la segunda o la tercera generación. El impacto en el acceso a las TIC ha sido espectacular. A consecuencia de la evolución de la reglamentación de las TIC, varios países han pasado el umbral simbólico de 25% de penetración de los principales servicios TIC. En prácticamente todos los países de las Américas, todos los ciudadanos disponen de un acceso cotidiano a servicios móviles celulares. Además, en más de 80% de los países por lo menos una cuarta parte de la población también tiene acceso a servicios de banda ancha móviles y utiliza Internet (véase la Figura 1.13, gráfico de la derecha).</w:t>
      </w:r>
    </w:p>
    <w:p w:rsidR="000A39FD" w:rsidRPr="007078A2" w:rsidRDefault="000A39FD" w:rsidP="00473E01">
      <w:pPr>
        <w:pStyle w:val="FigureNotitle"/>
        <w:keepNext/>
      </w:pPr>
      <w:r w:rsidRPr="007078A2">
        <w:t>Figura 1.13: Evolución de la reglamentación de</w:t>
      </w:r>
      <w:r w:rsidR="00473E01" w:rsidRPr="007078A2">
        <w:t xml:space="preserve"> las TIC, factor de crecimiento</w:t>
      </w:r>
      <w:r w:rsidR="00473E01" w:rsidRPr="007078A2">
        <w:br/>
      </w:r>
      <w:r w:rsidRPr="007078A2">
        <w:t>del acceso a las TIC en las Américas, 2008 y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656"/>
      </w:tblGrid>
      <w:tr w:rsidR="000A39FD" w:rsidRPr="007078A2" w:rsidTr="00FF14BC">
        <w:tc>
          <w:tcPr>
            <w:tcW w:w="4508" w:type="dxa"/>
          </w:tcPr>
          <w:p w:rsidR="000A39FD" w:rsidRPr="007078A2" w:rsidRDefault="000A39FD" w:rsidP="00FF14BC">
            <w:pPr>
              <w:jc w:val="both"/>
              <w:rPr>
                <w:rStyle w:val="st1"/>
                <w:lang w:val="es-ES_tradnl"/>
              </w:rPr>
            </w:pPr>
            <w:r w:rsidRPr="007078A2">
              <w:rPr>
                <w:rStyle w:val="st1"/>
                <w:noProof/>
                <w:lang w:eastAsia="zh-CN"/>
              </w:rPr>
              <w:drawing>
                <wp:inline distT="0" distB="0" distL="0" distR="0" wp14:anchorId="7216E8F3" wp14:editId="73F39B40">
                  <wp:extent cx="2757189" cy="264795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4934" cy="2674596"/>
                          </a:xfrm>
                          <a:prstGeom prst="rect">
                            <a:avLst/>
                          </a:prstGeom>
                          <a:noFill/>
                        </pic:spPr>
                      </pic:pic>
                    </a:graphicData>
                  </a:graphic>
                </wp:inline>
              </w:drawing>
            </w:r>
          </w:p>
        </w:tc>
        <w:tc>
          <w:tcPr>
            <w:tcW w:w="4509" w:type="dxa"/>
          </w:tcPr>
          <w:p w:rsidR="000A39FD" w:rsidRPr="007078A2" w:rsidRDefault="000A39FD" w:rsidP="00FF14BC">
            <w:pPr>
              <w:jc w:val="both"/>
              <w:rPr>
                <w:rStyle w:val="st1"/>
                <w:lang w:val="es-ES_tradnl"/>
              </w:rPr>
            </w:pPr>
            <w:r w:rsidRPr="007078A2">
              <w:rPr>
                <w:rStyle w:val="st1"/>
                <w:noProof/>
                <w:lang w:eastAsia="zh-CN"/>
              </w:rPr>
              <w:drawing>
                <wp:inline distT="0" distB="0" distL="0" distR="0" wp14:anchorId="6397D285" wp14:editId="5274244A">
                  <wp:extent cx="2819142" cy="2707448"/>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4982" cy="2722660"/>
                          </a:xfrm>
                          <a:prstGeom prst="rect">
                            <a:avLst/>
                          </a:prstGeom>
                          <a:noFill/>
                        </pic:spPr>
                      </pic:pic>
                    </a:graphicData>
                  </a:graphic>
                </wp:inline>
              </w:drawing>
            </w:r>
          </w:p>
        </w:tc>
      </w:tr>
    </w:tbl>
    <w:p w:rsidR="000A39FD" w:rsidRPr="007078A2" w:rsidRDefault="000A39FD" w:rsidP="00FF14BC">
      <w:pPr>
        <w:jc w:val="both"/>
        <w:rPr>
          <w:rStyle w:val="st1"/>
          <w:sz w:val="20"/>
          <w:lang w:val="es-ES_tradnl"/>
        </w:rPr>
      </w:pPr>
      <w:r w:rsidRPr="007078A2">
        <w:rPr>
          <w:rStyle w:val="st1"/>
          <w:sz w:val="20"/>
          <w:lang w:val="es-ES_tradnl"/>
        </w:rPr>
        <w:t>Origen: UIT.</w:t>
      </w:r>
    </w:p>
    <w:p w:rsidR="00E45B55" w:rsidRPr="007078A2" w:rsidRDefault="00E45B55" w:rsidP="00E45B55">
      <w:pPr>
        <w:spacing w:before="0"/>
        <w:jc w:val="both"/>
        <w:rPr>
          <w:rStyle w:val="st1"/>
          <w:sz w:val="20"/>
          <w:lang w:val="es-ES_tradnl"/>
        </w:rPr>
      </w:pPr>
      <w:r w:rsidRPr="007078A2">
        <w:rPr>
          <w:b/>
          <w:bCs/>
          <w:sz w:val="18"/>
          <w:szCs w:val="18"/>
          <w:lang w:val="es-ES_tradnl"/>
        </w:rPr>
        <w:t>Leyenda de la Figura 1.13:</w:t>
      </w:r>
    </w:p>
    <w:p w:rsidR="000A39FD" w:rsidRPr="007078A2" w:rsidRDefault="000A39FD" w:rsidP="00E45B55">
      <w:pPr>
        <w:tabs>
          <w:tab w:val="clear" w:pos="794"/>
          <w:tab w:val="left" w:pos="426"/>
        </w:tabs>
        <w:spacing w:before="0"/>
        <w:jc w:val="both"/>
        <w:rPr>
          <w:rStyle w:val="st1"/>
          <w:sz w:val="20"/>
          <w:lang w:val="es-ES_tradnl"/>
        </w:rPr>
      </w:pPr>
      <w:r w:rsidRPr="007078A2">
        <w:rPr>
          <w:rStyle w:val="st1"/>
          <w:sz w:val="20"/>
          <w:lang w:val="es-ES_tradnl"/>
        </w:rPr>
        <w:t>Evolución de la reglamentación de las TIC en las Américas, 2008-2015</w:t>
      </w:r>
    </w:p>
    <w:p w:rsidR="000A39FD" w:rsidRPr="007078A2" w:rsidRDefault="000A39FD" w:rsidP="002D003C">
      <w:pPr>
        <w:tabs>
          <w:tab w:val="clear" w:pos="794"/>
          <w:tab w:val="left" w:pos="426"/>
        </w:tabs>
        <w:spacing w:before="0" w:after="120"/>
        <w:jc w:val="both"/>
        <w:rPr>
          <w:rStyle w:val="st1"/>
          <w:sz w:val="20"/>
          <w:lang w:val="es-ES_tradnl"/>
        </w:rPr>
      </w:pPr>
      <w:r w:rsidRPr="007078A2">
        <w:rPr>
          <w:rStyle w:val="st1"/>
          <w:sz w:val="20"/>
          <w:lang w:val="es-ES_tradnl"/>
        </w:rPr>
        <w:t>Número de países</w:t>
      </w:r>
    </w:p>
    <w:p w:rsidR="002D003C" w:rsidRPr="007078A2" w:rsidRDefault="002D003C" w:rsidP="002D003C">
      <w:pPr>
        <w:tabs>
          <w:tab w:val="clear" w:pos="794"/>
          <w:tab w:val="left" w:pos="426"/>
        </w:tabs>
        <w:spacing w:before="0"/>
        <w:jc w:val="both"/>
        <w:rPr>
          <w:rStyle w:val="st1"/>
          <w:sz w:val="20"/>
          <w:lang w:val="es-ES_tradnl"/>
        </w:rPr>
      </w:pPr>
      <w:r w:rsidRPr="007078A2">
        <w:rPr>
          <w:rStyle w:val="st1"/>
          <w:sz w:val="20"/>
          <w:lang w:val="es-ES_tradnl"/>
        </w:rPr>
        <w:t>Evolución de la adopción de TIC esenciales en las Américas, 2008-2015</w:t>
      </w:r>
    </w:p>
    <w:p w:rsidR="000A39FD" w:rsidRPr="007078A2" w:rsidRDefault="000A39FD" w:rsidP="00E45B55">
      <w:pPr>
        <w:tabs>
          <w:tab w:val="clear" w:pos="794"/>
          <w:tab w:val="left" w:pos="426"/>
        </w:tabs>
        <w:spacing w:before="0"/>
        <w:jc w:val="both"/>
        <w:rPr>
          <w:rStyle w:val="st1"/>
          <w:sz w:val="20"/>
          <w:lang w:val="es-ES_tradnl"/>
        </w:rPr>
      </w:pPr>
      <w:r w:rsidRPr="007078A2">
        <w:rPr>
          <w:rStyle w:val="st1"/>
          <w:sz w:val="20"/>
          <w:lang w:val="es-ES_tradnl"/>
        </w:rPr>
        <w:t>Número de países con una penetración de esos servicios &gt;25%</w:t>
      </w:r>
    </w:p>
    <w:p w:rsidR="000A39FD" w:rsidRPr="007078A2" w:rsidRDefault="000A39FD" w:rsidP="002D003C">
      <w:pPr>
        <w:tabs>
          <w:tab w:val="clear" w:pos="794"/>
          <w:tab w:val="left" w:pos="426"/>
        </w:tabs>
        <w:spacing w:before="0"/>
        <w:jc w:val="both"/>
        <w:rPr>
          <w:rStyle w:val="st1"/>
          <w:sz w:val="20"/>
          <w:lang w:val="es-ES_tradnl"/>
        </w:rPr>
      </w:pPr>
      <w:r w:rsidRPr="007078A2">
        <w:rPr>
          <w:rStyle w:val="st1"/>
          <w:sz w:val="20"/>
          <w:lang w:val="es-ES_tradnl"/>
        </w:rPr>
        <w:t>Abonos móviles celulares</w:t>
      </w:r>
      <w:r w:rsidR="002D003C" w:rsidRPr="007078A2">
        <w:rPr>
          <w:rStyle w:val="st1"/>
          <w:sz w:val="20"/>
          <w:lang w:val="es-ES_tradnl"/>
        </w:rPr>
        <w:t xml:space="preserve"> – </w:t>
      </w:r>
      <w:r w:rsidRPr="007078A2">
        <w:rPr>
          <w:rStyle w:val="st1"/>
          <w:sz w:val="20"/>
          <w:lang w:val="es-ES_tradnl"/>
        </w:rPr>
        <w:t>Abonos activos a la banda ancha móvil</w:t>
      </w:r>
      <w:r w:rsidR="002D003C" w:rsidRPr="007078A2">
        <w:rPr>
          <w:rStyle w:val="st1"/>
          <w:sz w:val="20"/>
          <w:lang w:val="es-ES_tradnl"/>
        </w:rPr>
        <w:t xml:space="preserve"> – </w:t>
      </w:r>
      <w:r w:rsidRPr="007078A2">
        <w:rPr>
          <w:rStyle w:val="st1"/>
          <w:sz w:val="20"/>
          <w:lang w:val="es-ES_tradnl"/>
        </w:rPr>
        <w:t>Personas que utilizan Internet</w:t>
      </w:r>
    </w:p>
    <w:p w:rsidR="000A39FD" w:rsidRPr="007078A2" w:rsidRDefault="000A39FD" w:rsidP="00A55685">
      <w:pPr>
        <w:pStyle w:val="Headingb"/>
        <w:rPr>
          <w:rFonts w:asciiTheme="minorHAnsi" w:hAnsiTheme="minorHAnsi"/>
          <w:lang w:val="es-ES_tradnl"/>
        </w:rPr>
      </w:pPr>
      <w:bookmarkStart w:id="22" w:name="_Toc474413188"/>
      <w:r w:rsidRPr="007078A2">
        <w:rPr>
          <w:rFonts w:asciiTheme="minorHAnsi" w:hAnsiTheme="minorHAnsi"/>
          <w:lang w:val="es-ES_tradnl"/>
        </w:rPr>
        <w:t>Innovación, trastornos del comercio y reglamentación de la quinta generación</w:t>
      </w:r>
      <w:bookmarkEnd w:id="22"/>
    </w:p>
    <w:p w:rsidR="000A39FD" w:rsidRPr="007078A2" w:rsidRDefault="000A39FD" w:rsidP="00E45B55">
      <w:pPr>
        <w:rPr>
          <w:lang w:val="es-ES_tradnl"/>
        </w:rPr>
      </w:pPr>
      <w:r w:rsidRPr="007078A2">
        <w:rPr>
          <w:lang w:val="es-ES_tradnl"/>
        </w:rPr>
        <w:t xml:space="preserve">Como en el sector de las TIC, durante el último decenio los marcos de política </w:t>
      </w:r>
      <w:r w:rsidR="004C365C" w:rsidRPr="007078A2">
        <w:rPr>
          <w:lang w:val="es-ES_tradnl"/>
        </w:rPr>
        <w:t xml:space="preserve">y </w:t>
      </w:r>
      <w:r w:rsidRPr="007078A2">
        <w:rPr>
          <w:lang w:val="es-ES_tradnl"/>
        </w:rPr>
        <w:t>reglamentación han evolucionado independientemente en muchos sectores económicos. Como ya se ha dicho, se reconoce cada vez más la creciente interdependencia entre los sectores. La innovación tecnológica y los nuevos modelos de negocio están facilitando de hecho un desarrollo mundial, regional y local, con ventajas que van de una mejor gestión del conocimiento a una compartición y colaboración efectivas entre todos los sectores y a todos los niveles del sector público, así como con empresas y usuarios. Ahora, los poderes públicos y los reguladores de todos los sectores están asociados en el proceso de desarrollo, y por ello es esencial una cooperación y una comunicación transparentes y prácticas entre todos los sectores y entre los interesados.</w:t>
      </w:r>
    </w:p>
    <w:p w:rsidR="000A39FD" w:rsidRPr="007078A2" w:rsidRDefault="000A39FD" w:rsidP="00E45B55">
      <w:pPr>
        <w:rPr>
          <w:lang w:val="es-ES_tradnl"/>
        </w:rPr>
      </w:pPr>
      <w:r w:rsidRPr="007078A2">
        <w:rPr>
          <w:lang w:val="es-ES_tradnl"/>
        </w:rPr>
        <w:lastRenderedPageBreak/>
        <w:t>La colaboración en el sector de las TIC y entre los sectores ha conducido al crecimiento de la economía colaborativa digital y permitido niveles de experimentación, innovación y crecimiento aún mayores que antes. Un crecimiento dinámico de la economía digital es vital para la innovación, el crecimiento, el empleo y la competitividad.</w:t>
      </w:r>
    </w:p>
    <w:p w:rsidR="000A39FD" w:rsidRPr="007078A2" w:rsidRDefault="000A39FD" w:rsidP="00E45B55">
      <w:pPr>
        <w:rPr>
          <w:lang w:val="es-ES_tradnl"/>
        </w:rPr>
      </w:pPr>
      <w:r w:rsidRPr="007078A2">
        <w:rPr>
          <w:lang w:val="es-ES_tradnl"/>
        </w:rPr>
        <w:t>El éxito de las pequeñas empresas digitales conectadas y de su economía dependerá de la confianza y de la reglamentación. El éxito o el fracaso de las empresas colaborativas gira en torno a la confianza de los usuarios, y una reglamentación apropiada es un elemento fundamental de estos nuevos modelos.</w:t>
      </w:r>
    </w:p>
    <w:p w:rsidR="000A39FD" w:rsidRPr="007078A2" w:rsidRDefault="000A39FD" w:rsidP="00E45B55">
      <w:pPr>
        <w:rPr>
          <w:lang w:val="es-ES_tradnl"/>
        </w:rPr>
      </w:pPr>
      <w:r w:rsidRPr="007078A2">
        <w:rPr>
          <w:lang w:val="es-ES_tradnl"/>
        </w:rPr>
        <w:t>Este nuevo entorno está presionando los marcos de política y reglamentación, y exige una colaboración cada vez más efectiva entre los reguladores de los sectores. La reglamentación de la quinta generación significa que se necesitan herramientas para crear un entorno propicio a una colaboración efectiva entre los sectores, a fin de integrar y empoderar a los ciudadanos a través de las TIC. La utilización de las TIC en todos los sectores para el desarrollo económico y social es un objetivo que exige una planificación de política coherente y estratégica. Los poderes públicos y reguladores deben colaborar para garantizar el acceso de la población a las nuevas tecnologías y que éstos posean los conocimientos digitales necesarios para utilizarlas y confiar en las TIC (véase la Figura 1.15</w:t>
      </w:r>
      <w:r w:rsidR="000A77EF" w:rsidRPr="007078A2">
        <w:rPr>
          <w:lang w:val="es-ES_tradnl"/>
        </w:rPr>
        <w:t>).</w:t>
      </w:r>
    </w:p>
    <w:tbl>
      <w:tblPr>
        <w:tblW w:w="901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379"/>
        <w:gridCol w:w="2268"/>
        <w:gridCol w:w="370"/>
      </w:tblGrid>
      <w:tr w:rsidR="000A39FD" w:rsidRPr="00A32FCB" w:rsidTr="00FF14BC">
        <w:trPr>
          <w:gridAfter w:val="1"/>
          <w:wAfter w:w="370" w:type="dxa"/>
          <w:trHeight w:val="532"/>
        </w:trPr>
        <w:tc>
          <w:tcPr>
            <w:tcW w:w="6379" w:type="dxa"/>
            <w:tcBorders>
              <w:top w:val="nil"/>
              <w:left w:val="nil"/>
              <w:bottom w:val="nil"/>
              <w:right w:val="nil"/>
            </w:tcBorders>
            <w:shd w:val="clear" w:color="auto" w:fill="auto"/>
            <w:tcMar>
              <w:top w:w="80" w:type="dxa"/>
              <w:left w:w="80" w:type="dxa"/>
              <w:bottom w:w="80" w:type="dxa"/>
              <w:right w:w="80" w:type="dxa"/>
            </w:tcMar>
          </w:tcPr>
          <w:p w:rsidR="000A39FD" w:rsidRPr="007078A2" w:rsidRDefault="000A39FD" w:rsidP="00531C12">
            <w:pPr>
              <w:pStyle w:val="FigureNotitle"/>
              <w:keepNext/>
              <w:pBdr>
                <w:top w:val="nil"/>
                <w:left w:val="nil"/>
                <w:bottom w:val="nil"/>
                <w:right w:val="nil"/>
                <w:between w:val="nil"/>
                <w:bar w:val="nil"/>
              </w:pBdr>
            </w:pPr>
            <w:r w:rsidRPr="007078A2">
              <w:t>Figura 1.15: Quinta generación de reglamentación colaborativa</w:t>
            </w:r>
          </w:p>
        </w:tc>
        <w:tc>
          <w:tcPr>
            <w:tcW w:w="2268" w:type="dxa"/>
            <w:vMerge w:val="restart"/>
            <w:tcBorders>
              <w:top w:val="nil"/>
              <w:left w:val="nil"/>
              <w:bottom w:val="nil"/>
              <w:right w:val="nil"/>
            </w:tcBorders>
            <w:shd w:val="clear" w:color="auto" w:fill="auto"/>
            <w:tcMar>
              <w:top w:w="80" w:type="dxa"/>
              <w:left w:w="80" w:type="dxa"/>
              <w:bottom w:w="80" w:type="dxa"/>
              <w:right w:w="80" w:type="dxa"/>
            </w:tcMar>
          </w:tcPr>
          <w:p w:rsidR="000A39FD" w:rsidRPr="007078A2" w:rsidRDefault="000A39FD" w:rsidP="00FF14BC">
            <w:pPr>
              <w:jc w:val="both"/>
              <w:rPr>
                <w:lang w:val="es-ES_tradnl"/>
              </w:rPr>
            </w:pPr>
          </w:p>
        </w:tc>
      </w:tr>
      <w:tr w:rsidR="000A39FD" w:rsidRPr="007078A2" w:rsidTr="00FF14BC">
        <w:trPr>
          <w:gridAfter w:val="1"/>
          <w:wAfter w:w="370" w:type="dxa"/>
          <w:trHeight w:val="4406"/>
        </w:trPr>
        <w:tc>
          <w:tcPr>
            <w:tcW w:w="6379" w:type="dxa"/>
            <w:tcBorders>
              <w:top w:val="nil"/>
              <w:left w:val="nil"/>
              <w:bottom w:val="nil"/>
              <w:right w:val="nil"/>
            </w:tcBorders>
            <w:shd w:val="clear" w:color="auto" w:fill="auto"/>
            <w:tcMar>
              <w:top w:w="80" w:type="dxa"/>
              <w:left w:w="80" w:type="dxa"/>
              <w:bottom w:w="80" w:type="dxa"/>
              <w:right w:w="80" w:type="dxa"/>
            </w:tcMar>
          </w:tcPr>
          <w:p w:rsidR="000A39FD" w:rsidRPr="007078A2" w:rsidRDefault="000A39FD" w:rsidP="00FF14BC">
            <w:pPr>
              <w:pStyle w:val="Body"/>
              <w:spacing w:after="0" w:line="240" w:lineRule="auto"/>
              <w:jc w:val="both"/>
              <w:rPr>
                <w:lang w:val="es-ES_tradnl"/>
              </w:rPr>
            </w:pPr>
            <w:r w:rsidRPr="007078A2">
              <w:rPr>
                <w:noProof/>
                <w:lang w:val="en-GB"/>
              </w:rPr>
              <w:drawing>
                <wp:inline distT="0" distB="0" distL="0" distR="0" wp14:anchorId="4CA0FAE8" wp14:editId="56C66FD2">
                  <wp:extent cx="2663041" cy="2766951"/>
                  <wp:effectExtent l="0" t="0" r="0" b="0"/>
                  <wp:docPr id="38" name="officeArt object" descr="cid:image001.png@01D0F51D.9A706BE0"/>
                  <wp:cNvGraphicFramePr/>
                  <a:graphic xmlns:a="http://schemas.openxmlformats.org/drawingml/2006/main">
                    <a:graphicData uri="http://schemas.openxmlformats.org/drawingml/2006/picture">
                      <pic:pic xmlns:pic="http://schemas.openxmlformats.org/drawingml/2006/picture">
                        <pic:nvPicPr>
                          <pic:cNvPr id="1073741829" name="image12.png" descr="cid:image001.png@01D0F51D.9A706BE0"/>
                          <pic:cNvPicPr>
                            <a:picLocks noChangeAspect="1"/>
                          </pic:cNvPicPr>
                        </pic:nvPicPr>
                        <pic:blipFill>
                          <a:blip r:embed="rId26">
                            <a:extLst/>
                          </a:blip>
                          <a:srcRect l="24493" r="22804"/>
                          <a:stretch>
                            <a:fillRect/>
                          </a:stretch>
                        </pic:blipFill>
                        <pic:spPr>
                          <a:xfrm>
                            <a:off x="0" y="0"/>
                            <a:ext cx="2665123" cy="2769115"/>
                          </a:xfrm>
                          <a:prstGeom prst="rect">
                            <a:avLst/>
                          </a:prstGeom>
                          <a:ln w="12700" cap="flat">
                            <a:noFill/>
                            <a:miter lim="400000"/>
                          </a:ln>
                          <a:effectLst/>
                        </pic:spPr>
                      </pic:pic>
                    </a:graphicData>
                  </a:graphic>
                </wp:inline>
              </w:drawing>
            </w:r>
          </w:p>
        </w:tc>
        <w:tc>
          <w:tcPr>
            <w:tcW w:w="2268" w:type="dxa"/>
            <w:vMerge/>
            <w:tcBorders>
              <w:top w:val="nil"/>
              <w:left w:val="nil"/>
              <w:bottom w:val="nil"/>
              <w:right w:val="nil"/>
            </w:tcBorders>
            <w:shd w:val="clear" w:color="auto" w:fill="auto"/>
          </w:tcPr>
          <w:p w:rsidR="000A39FD" w:rsidRPr="007078A2" w:rsidRDefault="000A39FD" w:rsidP="00FF14BC">
            <w:pPr>
              <w:jc w:val="both"/>
              <w:rPr>
                <w:lang w:val="es-ES_tradnl"/>
              </w:rPr>
            </w:pPr>
          </w:p>
        </w:tc>
      </w:tr>
      <w:tr w:rsidR="000A39FD" w:rsidRPr="00A32FCB" w:rsidTr="00FF14BC">
        <w:trPr>
          <w:gridAfter w:val="1"/>
          <w:wAfter w:w="370" w:type="dxa"/>
          <w:trHeight w:val="210"/>
        </w:trPr>
        <w:tc>
          <w:tcPr>
            <w:tcW w:w="6379" w:type="dxa"/>
            <w:tcBorders>
              <w:top w:val="nil"/>
              <w:left w:val="nil"/>
              <w:bottom w:val="nil"/>
              <w:right w:val="nil"/>
            </w:tcBorders>
            <w:shd w:val="clear" w:color="auto" w:fill="auto"/>
            <w:tcMar>
              <w:top w:w="80" w:type="dxa"/>
              <w:left w:w="80" w:type="dxa"/>
              <w:bottom w:w="80" w:type="dxa"/>
              <w:right w:w="80" w:type="dxa"/>
            </w:tcMar>
          </w:tcPr>
          <w:p w:rsidR="000A39FD" w:rsidRPr="007078A2" w:rsidRDefault="000A39FD" w:rsidP="00FF14BC">
            <w:pPr>
              <w:pStyle w:val="Body"/>
              <w:spacing w:after="0"/>
              <w:jc w:val="both"/>
              <w:rPr>
                <w:rStyle w:val="st1"/>
                <w:sz w:val="18"/>
                <w:szCs w:val="18"/>
                <w:lang w:val="es-ES_tradnl"/>
              </w:rPr>
            </w:pPr>
            <w:r w:rsidRPr="007078A2">
              <w:rPr>
                <w:rStyle w:val="st1"/>
                <w:sz w:val="18"/>
                <w:szCs w:val="18"/>
                <w:lang w:val="es-ES_tradnl"/>
              </w:rPr>
              <w:t>Origen: UIT.</w:t>
            </w:r>
          </w:p>
          <w:p w:rsidR="00E45B55" w:rsidRPr="007078A2" w:rsidRDefault="00E45B55" w:rsidP="00E45B55">
            <w:pPr>
              <w:pStyle w:val="Body"/>
              <w:spacing w:after="0" w:line="240" w:lineRule="auto"/>
              <w:jc w:val="both"/>
              <w:rPr>
                <w:rStyle w:val="st1"/>
                <w:sz w:val="18"/>
                <w:szCs w:val="18"/>
                <w:lang w:val="es-ES_tradnl"/>
              </w:rPr>
            </w:pPr>
            <w:r w:rsidRPr="007078A2">
              <w:rPr>
                <w:b/>
                <w:bCs/>
                <w:sz w:val="18"/>
                <w:szCs w:val="18"/>
                <w:lang w:val="es-ES_tradnl"/>
              </w:rPr>
              <w:t>Leyenda de la Figura 1.15:</w:t>
            </w:r>
          </w:p>
          <w:p w:rsidR="000A39FD" w:rsidRPr="007078A2" w:rsidRDefault="000A39FD" w:rsidP="00E45B55">
            <w:pPr>
              <w:pStyle w:val="Body"/>
              <w:tabs>
                <w:tab w:val="left" w:pos="521"/>
              </w:tabs>
              <w:spacing w:after="0" w:line="240" w:lineRule="auto"/>
              <w:jc w:val="both"/>
              <w:rPr>
                <w:rStyle w:val="st1"/>
                <w:sz w:val="18"/>
                <w:szCs w:val="18"/>
                <w:lang w:val="es-ES_tradnl"/>
              </w:rPr>
            </w:pPr>
            <w:r w:rsidRPr="007078A2">
              <w:rPr>
                <w:rStyle w:val="st1"/>
                <w:sz w:val="18"/>
                <w:szCs w:val="18"/>
                <w:lang w:val="es-ES_tradnl"/>
              </w:rPr>
              <w:t>1</w:t>
            </w:r>
            <w:r w:rsidRPr="007078A2">
              <w:rPr>
                <w:rStyle w:val="st1"/>
                <w:sz w:val="18"/>
                <w:szCs w:val="18"/>
                <w:lang w:val="es-ES_tradnl"/>
              </w:rPr>
              <w:tab/>
            </w:r>
            <w:r w:rsidRPr="007078A2">
              <w:rPr>
                <w:rStyle w:val="st1"/>
                <w:b/>
                <w:bCs/>
                <w:sz w:val="18"/>
                <w:szCs w:val="18"/>
                <w:lang w:val="es-ES_tradnl"/>
              </w:rPr>
              <w:t>Creación de los fundamentos de una reglamentación colaborativa</w:t>
            </w:r>
          </w:p>
          <w:p w:rsidR="000A39FD" w:rsidRPr="007078A2" w:rsidRDefault="000A39FD" w:rsidP="00E45B55">
            <w:pPr>
              <w:pStyle w:val="Body"/>
              <w:tabs>
                <w:tab w:val="left" w:pos="521"/>
              </w:tabs>
              <w:spacing w:after="0" w:line="240" w:lineRule="auto"/>
              <w:jc w:val="both"/>
              <w:rPr>
                <w:rStyle w:val="st1"/>
                <w:sz w:val="18"/>
                <w:szCs w:val="18"/>
                <w:lang w:val="es-ES_tradnl"/>
              </w:rPr>
            </w:pPr>
            <w:r w:rsidRPr="007078A2">
              <w:rPr>
                <w:rStyle w:val="st1"/>
                <w:sz w:val="18"/>
                <w:szCs w:val="18"/>
                <w:lang w:val="es-ES_tradnl"/>
              </w:rPr>
              <w:tab/>
              <w:t>Apoyo y capacidad institucionales</w:t>
            </w:r>
          </w:p>
          <w:p w:rsidR="000A39FD" w:rsidRPr="007078A2" w:rsidRDefault="000A39FD" w:rsidP="00E45B55">
            <w:pPr>
              <w:pStyle w:val="Body"/>
              <w:tabs>
                <w:tab w:val="left" w:pos="521"/>
              </w:tabs>
              <w:spacing w:after="0" w:line="240" w:lineRule="auto"/>
              <w:ind w:left="521" w:hanging="521"/>
              <w:jc w:val="both"/>
              <w:rPr>
                <w:rStyle w:val="st1"/>
                <w:sz w:val="18"/>
                <w:szCs w:val="18"/>
                <w:lang w:val="es-ES_tradnl"/>
              </w:rPr>
            </w:pPr>
            <w:r w:rsidRPr="007078A2">
              <w:rPr>
                <w:rStyle w:val="st1"/>
                <w:sz w:val="18"/>
                <w:szCs w:val="18"/>
                <w:lang w:val="es-ES_tradnl"/>
              </w:rPr>
              <w:t>2</w:t>
            </w:r>
            <w:r w:rsidRPr="007078A2">
              <w:rPr>
                <w:rStyle w:val="st1"/>
                <w:sz w:val="18"/>
                <w:szCs w:val="18"/>
                <w:lang w:val="es-ES_tradnl"/>
              </w:rPr>
              <w:tab/>
            </w:r>
            <w:r w:rsidRPr="007078A2">
              <w:rPr>
                <w:rStyle w:val="st1"/>
                <w:b/>
                <w:bCs/>
                <w:sz w:val="18"/>
                <w:szCs w:val="18"/>
                <w:lang w:val="es-ES_tradnl"/>
              </w:rPr>
              <w:t>Creación de una plataforma transectorial/colaborativa neutra</w:t>
            </w:r>
            <w:r w:rsidRPr="007078A2">
              <w:rPr>
                <w:rStyle w:val="st1"/>
                <w:sz w:val="18"/>
                <w:szCs w:val="18"/>
                <w:lang w:val="es-ES_tradnl"/>
              </w:rPr>
              <w:t xml:space="preserve"> (en conexión con otros sectores y otros interesados)</w:t>
            </w:r>
          </w:p>
          <w:p w:rsidR="000A39FD" w:rsidRPr="007078A2" w:rsidRDefault="000A39FD" w:rsidP="00E45B55">
            <w:pPr>
              <w:pStyle w:val="Body"/>
              <w:tabs>
                <w:tab w:val="left" w:pos="521"/>
              </w:tabs>
              <w:spacing w:after="0" w:line="240" w:lineRule="auto"/>
              <w:ind w:left="521" w:hanging="521"/>
              <w:jc w:val="both"/>
              <w:rPr>
                <w:rStyle w:val="st1"/>
                <w:lang w:val="es-ES_tradnl"/>
              </w:rPr>
            </w:pPr>
            <w:r w:rsidRPr="007078A2">
              <w:rPr>
                <w:rStyle w:val="st1"/>
                <w:sz w:val="18"/>
                <w:szCs w:val="18"/>
                <w:lang w:val="es-ES_tradnl"/>
              </w:rPr>
              <w:t>3</w:t>
            </w:r>
            <w:r w:rsidRPr="007078A2">
              <w:rPr>
                <w:rStyle w:val="st1"/>
                <w:sz w:val="18"/>
                <w:szCs w:val="18"/>
                <w:lang w:val="es-ES_tradnl"/>
              </w:rPr>
              <w:tab/>
            </w:r>
            <w:r w:rsidRPr="007078A2">
              <w:rPr>
                <w:rStyle w:val="st1"/>
                <w:b/>
                <w:bCs/>
                <w:sz w:val="18"/>
                <w:szCs w:val="18"/>
                <w:lang w:val="es-ES_tradnl"/>
              </w:rPr>
              <w:t>Empoderamiento digital habilitador para la integración en una sociedad inteligente (consumidor/usuario/ciudadano)</w:t>
            </w:r>
          </w:p>
          <w:p w:rsidR="000A39FD" w:rsidRPr="007078A2" w:rsidRDefault="000A39FD" w:rsidP="00FF14BC">
            <w:pPr>
              <w:pStyle w:val="Body"/>
              <w:spacing w:after="0" w:line="240" w:lineRule="auto"/>
              <w:jc w:val="both"/>
              <w:rPr>
                <w:lang w:val="es-ES_tradnl"/>
              </w:rPr>
            </w:pPr>
          </w:p>
        </w:tc>
        <w:tc>
          <w:tcPr>
            <w:tcW w:w="2268" w:type="dxa"/>
            <w:vMerge/>
            <w:tcBorders>
              <w:top w:val="nil"/>
              <w:left w:val="nil"/>
              <w:bottom w:val="nil"/>
              <w:right w:val="nil"/>
            </w:tcBorders>
            <w:shd w:val="clear" w:color="auto" w:fill="auto"/>
          </w:tcPr>
          <w:p w:rsidR="000A39FD" w:rsidRPr="007078A2" w:rsidRDefault="000A39FD" w:rsidP="00FF14BC">
            <w:pPr>
              <w:jc w:val="both"/>
              <w:rPr>
                <w:lang w:val="es-ES_tradnl"/>
              </w:rPr>
            </w:pPr>
          </w:p>
        </w:tc>
      </w:tr>
      <w:tr w:rsidR="000A39FD" w:rsidRPr="00A32FCB" w:rsidTr="00FF14BC">
        <w:trPr>
          <w:gridAfter w:val="1"/>
          <w:wAfter w:w="370" w:type="dxa"/>
          <w:trHeight w:val="210"/>
        </w:trPr>
        <w:tc>
          <w:tcPr>
            <w:tcW w:w="8647" w:type="dxa"/>
            <w:gridSpan w:val="2"/>
            <w:tcBorders>
              <w:top w:val="nil"/>
              <w:left w:val="nil"/>
              <w:bottom w:val="nil"/>
              <w:right w:val="nil"/>
            </w:tcBorders>
            <w:shd w:val="clear" w:color="auto" w:fill="auto"/>
            <w:tcMar>
              <w:top w:w="80" w:type="dxa"/>
              <w:left w:w="80" w:type="dxa"/>
              <w:bottom w:w="80" w:type="dxa"/>
              <w:right w:w="80" w:type="dxa"/>
            </w:tcMar>
          </w:tcPr>
          <w:p w:rsidR="000A39FD" w:rsidRPr="007078A2" w:rsidRDefault="000A39FD" w:rsidP="004C365C">
            <w:pPr>
              <w:rPr>
                <w:lang w:val="es-ES_tradnl"/>
              </w:rPr>
            </w:pPr>
            <w:r w:rsidRPr="007078A2">
              <w:rPr>
                <w:lang w:val="es-ES_tradnl"/>
              </w:rPr>
              <w:t>Los reguladores participantes en el Simposio Mundial para Organismos Reguladores de</w:t>
            </w:r>
            <w:r w:rsidR="004C365C" w:rsidRPr="007078A2">
              <w:rPr>
                <w:lang w:val="es-ES_tradnl"/>
              </w:rPr>
              <w:t> </w:t>
            </w:r>
            <w:r w:rsidRPr="007078A2">
              <w:rPr>
                <w:lang w:val="es-ES_tradnl"/>
              </w:rPr>
              <w:t>2016 (GSR-16) también reconocieron esta situación, e identificaron y refrendaron un conjunto de directrices sobre prácticas idóneas en materia de reglamentación orientado al futuro</w:t>
            </w:r>
            <w:r w:rsidRPr="007078A2">
              <w:rPr>
                <w:rStyle w:val="EndnoteReference"/>
                <w:lang w:val="es-ES_tradnl"/>
              </w:rPr>
              <w:endnoteReference w:id="23"/>
            </w:r>
            <w:r w:rsidRPr="007078A2">
              <w:rPr>
                <w:lang w:val="es-ES_tradnl"/>
              </w:rPr>
              <w:t>. Los reguladores de todas las regiones reconocieron que un marco nacional coherente de la reglamentación colaborativa es un gran paso adelante para crear sinergias de trabajo y facilitar efectivamente la aparición de nuevos servicios.</w:t>
            </w:r>
          </w:p>
        </w:tc>
      </w:tr>
      <w:tr w:rsidR="000A39FD" w:rsidRPr="00A32FCB" w:rsidTr="00FF14BC">
        <w:trPr>
          <w:trHeight w:val="629"/>
        </w:trPr>
        <w:tc>
          <w:tcPr>
            <w:tcW w:w="9017" w:type="dxa"/>
            <w:gridSpan w:val="3"/>
            <w:tcBorders>
              <w:top w:val="nil"/>
              <w:left w:val="nil"/>
              <w:bottom w:val="nil"/>
              <w:right w:val="nil"/>
            </w:tcBorders>
            <w:shd w:val="clear" w:color="auto" w:fill="DBE5F1"/>
            <w:tcMar>
              <w:top w:w="80" w:type="dxa"/>
              <w:left w:w="80" w:type="dxa"/>
              <w:bottom w:w="80" w:type="dxa"/>
              <w:right w:w="80" w:type="dxa"/>
            </w:tcMar>
          </w:tcPr>
          <w:p w:rsidR="000A39FD" w:rsidRPr="007078A2" w:rsidRDefault="000A39FD" w:rsidP="004C365C">
            <w:pPr>
              <w:pStyle w:val="Body"/>
              <w:spacing w:before="120" w:after="120"/>
              <w:rPr>
                <w:rStyle w:val="st1"/>
                <w:b/>
                <w:bCs/>
                <w:sz w:val="20"/>
                <w:szCs w:val="20"/>
                <w:lang w:val="es-ES_tradnl"/>
              </w:rPr>
            </w:pPr>
            <w:r w:rsidRPr="007078A2">
              <w:rPr>
                <w:rStyle w:val="st1"/>
                <w:b/>
                <w:bCs/>
                <w:sz w:val="20"/>
                <w:szCs w:val="20"/>
                <w:lang w:val="es-ES_tradnl"/>
              </w:rPr>
              <w:t>Recuadro 1.3: Tender puentes entre los reguladores de las TIC y del sector financiero</w:t>
            </w:r>
          </w:p>
          <w:p w:rsidR="000A39FD" w:rsidRPr="007078A2" w:rsidRDefault="000A39FD" w:rsidP="004C365C">
            <w:pPr>
              <w:pStyle w:val="Body"/>
              <w:spacing w:after="0" w:line="240" w:lineRule="auto"/>
              <w:rPr>
                <w:rStyle w:val="st1"/>
                <w:sz w:val="20"/>
                <w:szCs w:val="20"/>
                <w:lang w:val="es-ES_tradnl"/>
              </w:rPr>
            </w:pPr>
            <w:r w:rsidRPr="007078A2">
              <w:rPr>
                <w:rStyle w:val="st1"/>
                <w:sz w:val="20"/>
                <w:szCs w:val="20"/>
                <w:lang w:val="es-ES_tradnl"/>
              </w:rPr>
              <w:t xml:space="preserve">Con respecto a la integración financiera digital, los reguladores presentes en el </w:t>
            </w:r>
            <w:r w:rsidRPr="007078A2">
              <w:rPr>
                <w:sz w:val="20"/>
                <w:szCs w:val="20"/>
                <w:lang w:val="es-ES_tradnl"/>
              </w:rPr>
              <w:t>Diálogo Mundial sobre Integración Financiera Digital</w:t>
            </w:r>
            <w:r w:rsidRPr="007078A2">
              <w:rPr>
                <w:rStyle w:val="st1"/>
                <w:sz w:val="20"/>
                <w:szCs w:val="20"/>
                <w:lang w:val="es-ES_tradnl"/>
              </w:rPr>
              <w:t xml:space="preserve"> 2016 convinieron en que un marco de política colaborativa podría comenzar con la armonización de la ley de telecomunicaciones/TIC con la legislación financiera y las políticas de reglamentación </w:t>
            </w:r>
            <w:r w:rsidRPr="007078A2">
              <w:rPr>
                <w:rStyle w:val="st1"/>
                <w:sz w:val="20"/>
                <w:szCs w:val="20"/>
                <w:lang w:val="es-ES_tradnl"/>
              </w:rPr>
              <w:lastRenderedPageBreak/>
              <w:t>pertinentes. Del mismo modo, la colaboración podría extenderse a sectores transversales esenciales tales como la protección del consumidor, la ciberseguridad, la privacidad y la protección de los datos. Se necesita un diálogo y una colaboración constantes en materia de reglamentación en lo que respecta a la competencia entre proveedores de servicios financieros y de telecomunicaciones, así como con los actores de los servicios superpuestos. Se necesitan consultas y reuniones periódicas abiertas con todos los interesados, de los sectores público y privado, con respecto a la elaboración de políticas y la supervisión de su aplicación.</w:t>
            </w:r>
          </w:p>
          <w:p w:rsidR="000A39FD" w:rsidRPr="007078A2" w:rsidRDefault="000A39FD" w:rsidP="004C365C">
            <w:pPr>
              <w:pStyle w:val="Body"/>
              <w:spacing w:before="120" w:after="0" w:line="240" w:lineRule="auto"/>
              <w:rPr>
                <w:rStyle w:val="st1"/>
                <w:sz w:val="20"/>
                <w:szCs w:val="20"/>
                <w:lang w:val="es-ES_tradnl"/>
              </w:rPr>
            </w:pPr>
            <w:r w:rsidRPr="007078A2">
              <w:rPr>
                <w:rStyle w:val="st1"/>
                <w:sz w:val="20"/>
                <w:szCs w:val="20"/>
                <w:lang w:val="es-ES_tradnl"/>
              </w:rPr>
              <w:t>Los reguladores señalaron que la armonización de los requisitos legislativos y normativos de los servicios financieros digitales a escala regional o subregional puede tener un efecto multiplicador en la innovación y las inversiones en los mercados nacionales y, por consiguiente, debe incorporarse en la agenda de las asociaciones de reguladores y las comunidades económicas regionales, a fin de facilitar la propagación de la integración financiera digital en los países en desarrollo, con los consiguientes beneficios.</w:t>
            </w:r>
          </w:p>
          <w:p w:rsidR="000A39FD" w:rsidRPr="007078A2" w:rsidRDefault="000A39FD" w:rsidP="004C365C">
            <w:pPr>
              <w:pStyle w:val="Body"/>
              <w:spacing w:before="120" w:after="0" w:line="240" w:lineRule="auto"/>
              <w:rPr>
                <w:lang w:val="es-ES_tradnl"/>
              </w:rPr>
            </w:pPr>
            <w:r w:rsidRPr="007078A2">
              <w:rPr>
                <w:rStyle w:val="st1"/>
                <w:sz w:val="20"/>
                <w:szCs w:val="20"/>
                <w:lang w:val="es-ES_tradnl"/>
              </w:rPr>
              <w:t xml:space="preserve">Origen: UIT, Medidas orientativas del </w:t>
            </w:r>
            <w:r w:rsidRPr="007078A2">
              <w:rPr>
                <w:sz w:val="20"/>
                <w:szCs w:val="20"/>
                <w:lang w:val="es-ES_tradnl"/>
              </w:rPr>
              <w:t>Diálogo Mundial sobre Integración Financiera Digital 2016</w:t>
            </w:r>
            <w:r w:rsidRPr="007078A2">
              <w:rPr>
                <w:rStyle w:val="st1"/>
                <w:sz w:val="20"/>
                <w:szCs w:val="20"/>
                <w:lang w:val="es-ES_tradnl"/>
              </w:rPr>
              <w:t xml:space="preserve">, </w:t>
            </w:r>
            <w:hyperlink r:id="rId27" w:history="1">
              <w:r w:rsidRPr="007078A2">
                <w:rPr>
                  <w:rStyle w:val="Hyperlink2"/>
                  <w:sz w:val="20"/>
                  <w:szCs w:val="20"/>
                  <w:lang w:val="es-ES_tradnl"/>
                </w:rPr>
                <w:t>http://www.itu.int/en/ITU-D/Conferences/GSR/Pages/GSR2016/GDDFI.aspx</w:t>
              </w:r>
            </w:hyperlink>
            <w:r w:rsidRPr="007078A2">
              <w:rPr>
                <w:rStyle w:val="st1"/>
                <w:sz w:val="20"/>
                <w:szCs w:val="20"/>
                <w:lang w:val="es-ES_tradnl"/>
              </w:rPr>
              <w:t xml:space="preserve"> </w:t>
            </w:r>
          </w:p>
        </w:tc>
      </w:tr>
    </w:tbl>
    <w:p w:rsidR="000A39FD" w:rsidRPr="007078A2" w:rsidRDefault="000A39FD" w:rsidP="00A55685">
      <w:pPr>
        <w:pStyle w:val="Headingb"/>
        <w:rPr>
          <w:rFonts w:asciiTheme="minorHAnsi" w:eastAsia="Calibri" w:hAnsiTheme="minorHAnsi"/>
          <w:lang w:val="es-ES_tradnl"/>
        </w:rPr>
      </w:pPr>
      <w:bookmarkStart w:id="23" w:name="_Toc8"/>
      <w:bookmarkStart w:id="24" w:name="_Toc474413189"/>
      <w:r w:rsidRPr="007078A2">
        <w:rPr>
          <w:rFonts w:asciiTheme="minorHAnsi" w:hAnsiTheme="minorHAnsi"/>
          <w:lang w:val="es-ES_tradnl"/>
        </w:rPr>
        <w:lastRenderedPageBreak/>
        <w:t>Cuantificación del impacto de la reglamentación en el despegue de las TIC</w:t>
      </w:r>
      <w:bookmarkEnd w:id="23"/>
      <w:bookmarkEnd w:id="24"/>
    </w:p>
    <w:p w:rsidR="000A39FD" w:rsidRPr="007078A2" w:rsidRDefault="000A39FD" w:rsidP="00E45B55">
      <w:pPr>
        <w:rPr>
          <w:lang w:val="es-ES_tradnl"/>
        </w:rPr>
      </w:pPr>
      <w:r w:rsidRPr="007078A2">
        <w:rPr>
          <w:lang w:val="es-ES_tradnl"/>
        </w:rPr>
        <w:t xml:space="preserve">Se dispone ya de un gran acervo de investigaciones cualitativas sobre las relaciones de causa a efecto entre la reglamentación y la adopción de las TIC. En cambio, el acervo cuantitativo es considerablemente menos amplio. Para colmar las lagunas a este respecto y poder fundamentar decisiones de política documentadas, la UIT ha desarrollado dos modelos econométricos basados en el Rastreador de la reglamentación de las TIC, para la banda ancha fija y los servicios móviles celulares, en los cuales se determina que un entorno normativo coherente está asociado de cerca con un impacto positivo en la adopción de las TIC (véase </w:t>
      </w:r>
      <w:r w:rsidRPr="007078A2">
        <w:rPr>
          <w:i/>
          <w:iCs/>
          <w:lang w:val="es-ES_tradnl"/>
        </w:rPr>
        <w:t>Tendencias en las Reformas de Telecomunicaciones 2015</w:t>
      </w:r>
      <w:r w:rsidRPr="007078A2">
        <w:rPr>
          <w:lang w:val="es-ES_tradnl"/>
        </w:rPr>
        <w:t xml:space="preserve"> de la UIT). </w:t>
      </w:r>
    </w:p>
    <w:p w:rsidR="000A39FD" w:rsidRPr="007078A2" w:rsidRDefault="000A39FD" w:rsidP="00E45B55">
      <w:pPr>
        <w:rPr>
          <w:lang w:val="es-ES_tradnl"/>
        </w:rPr>
      </w:pPr>
      <w:r w:rsidRPr="007078A2">
        <w:rPr>
          <w:lang w:val="es-ES_tradnl"/>
        </w:rPr>
        <w:t xml:space="preserve">En este reciente estudio de la UIT se indica que un aumento de 10% de la puntuación en el </w:t>
      </w:r>
      <w:r w:rsidR="004C365C" w:rsidRPr="007078A2">
        <w:rPr>
          <w:i/>
          <w:iCs/>
          <w:lang w:val="es-ES_tradnl"/>
        </w:rPr>
        <w:t>Rastreador de la R</w:t>
      </w:r>
      <w:r w:rsidRPr="007078A2">
        <w:rPr>
          <w:i/>
          <w:iCs/>
          <w:lang w:val="es-ES_tradnl"/>
        </w:rPr>
        <w:t>eglamentación de las TIC</w:t>
      </w:r>
      <w:r w:rsidRPr="007078A2">
        <w:rPr>
          <w:lang w:val="es-ES_tradnl"/>
        </w:rPr>
        <w:t xml:space="preserve"> (que corresponde a una mejora evolutiva de los marcos normativos) está asociado con un aumento de 7,7% de la penetración de la banda ancha fija entre 2008 y 2013</w:t>
      </w:r>
      <w:r w:rsidRPr="007078A2">
        <w:rPr>
          <w:rStyle w:val="EndnoteReference"/>
          <w:lang w:val="es-ES_tradnl"/>
        </w:rPr>
        <w:endnoteReference w:id="24"/>
      </w:r>
      <w:r w:rsidRPr="007078A2">
        <w:rPr>
          <w:lang w:val="es-ES_tradnl"/>
        </w:rPr>
        <w:t xml:space="preserve">. Quiere decir, por ejemplo, que, en igualdad de condiciones, los países que han adoptado algún tipo de estrategia de desarrollo de la banda ancha (un plan nacional de banda ancha o una agenda digital, etc., que comprende medidas normativas dinámicas tales como la compartición de infraestructuras), que permiten la utilización de servicios VoIP y promueven un entorno de competencia para las tecnologías de banda ancha, obtendrán niveles de penetración 7,7% superiores a un país que no haya adoptado esas medidas. </w:t>
      </w:r>
    </w:p>
    <w:p w:rsidR="000A39FD" w:rsidRPr="007078A2" w:rsidRDefault="000A39FD" w:rsidP="00E45B55">
      <w:pPr>
        <w:rPr>
          <w:lang w:val="es-ES_tradnl"/>
        </w:rPr>
      </w:pPr>
      <w:r w:rsidRPr="007078A2">
        <w:rPr>
          <w:lang w:val="es-ES_tradnl"/>
        </w:rPr>
        <w:t>En el modelo se indica además que, en igualdad de condiciones, un aumento de 1% de la población urbana corresponde a un aumento de 7,8% de la penetración de la banda ancha fija. Este coeficiente elevado puede ser representativo de las diversas características de la organización: infraestructuras, comercio, inversiones en el sector terciario, que consume intensamente Internet, etc.</w:t>
      </w:r>
    </w:p>
    <w:p w:rsidR="000A39FD" w:rsidRPr="007078A2" w:rsidRDefault="000A39FD" w:rsidP="00E45B55">
      <w:pPr>
        <w:rPr>
          <w:lang w:val="es-ES_tradnl"/>
        </w:rPr>
      </w:pPr>
      <w:r w:rsidRPr="007078A2">
        <w:rPr>
          <w:lang w:val="es-ES_tradnl"/>
        </w:rPr>
        <w:t>La renta nacional bruta (RNB) por habitante también puede explicar los niveles de penetración de la banda ancha fija. Un país que, en igualdad de condici</w:t>
      </w:r>
      <w:r w:rsidR="00523104" w:rsidRPr="007078A2">
        <w:rPr>
          <w:lang w:val="es-ES_tradnl"/>
        </w:rPr>
        <w:t>ones, experimenta un aumento de </w:t>
      </w:r>
      <w:r w:rsidRPr="007078A2">
        <w:rPr>
          <w:lang w:val="es-ES_tradnl"/>
        </w:rPr>
        <w:t>10% de los ingresos p</w:t>
      </w:r>
      <w:r w:rsidR="00523104" w:rsidRPr="007078A2">
        <w:rPr>
          <w:lang w:val="es-ES_tradnl"/>
        </w:rPr>
        <w:t>or habitante, por ejemplo de 10 000 USD a 11 </w:t>
      </w:r>
      <w:r w:rsidRPr="007078A2">
        <w:rPr>
          <w:lang w:val="es-ES_tradnl"/>
        </w:rPr>
        <w:t>000 USD, tendrá probablemente 9,4 usuarios más de banda ancha fija por 100 habitantes. La explicación son probablemente las distintas interpretaciones de la importancia que reviste la renta nacional bruta por habitante en este modelo: como indicadores del desarrollo económico, unos ingresos más elevados podrían representar una economía más desarrollada, con una utilización in</w:t>
      </w:r>
      <w:r w:rsidRPr="007078A2">
        <w:rPr>
          <w:lang w:val="es-ES_tradnl"/>
        </w:rPr>
        <w:lastRenderedPageBreak/>
        <w:t xml:space="preserve">tensiva de las TIC en todos los sectores; como indicadores del poder adquisitivo individual, unos ingresos más elevados podrían suponer un aumento de la voluntad de pagar suscripciones a la banda ancha fija. </w:t>
      </w:r>
    </w:p>
    <w:p w:rsidR="000A39FD" w:rsidRPr="007078A2" w:rsidRDefault="000A39FD" w:rsidP="00E45B55">
      <w:pPr>
        <w:rPr>
          <w:lang w:val="es-ES_tradnl"/>
        </w:rPr>
      </w:pPr>
      <w:r w:rsidRPr="007078A2">
        <w:rPr>
          <w:lang w:val="es-ES_tradnl"/>
        </w:rPr>
        <w:t>La reglamentación conforme a prácticas idóneas también tiene un impacto beneficioso en la penetración móvil celular. El efecto positivo de la reglamentación en la penetración de los servicios móviles se confirma con los resultados de del modelo de regresión económica para los servicios móviles celulares</w:t>
      </w:r>
      <w:r w:rsidRPr="007078A2">
        <w:rPr>
          <w:rStyle w:val="EndnoteReference"/>
          <w:lang w:val="es-ES_tradnl"/>
        </w:rPr>
        <w:endnoteReference w:id="25"/>
      </w:r>
      <w:r w:rsidRPr="007078A2">
        <w:rPr>
          <w:lang w:val="es-ES_tradnl"/>
        </w:rPr>
        <w:t>. Un aumento de 10% de la puntuación de un país en el Rastreador está asociado con un aumento de 2,3% de la penetración móvil celular. Por ejemplo, un país que ha introducido la portabilidad de número móvil, permitido la compartición de infraestructuras para los operadores móviles, autorizado las inversiones extranjeras en operadores que poseen espectro, promovido legislativamente un entorno de competencia y exigido la publicación de los precios de interconexión, tendría niveles de penetración 2,3% superiores a un país que no hubiera adoptado esas medidas, todo ello en igualdad de condiciones.</w:t>
      </w:r>
    </w:p>
    <w:p w:rsidR="000A39FD" w:rsidRPr="007078A2" w:rsidRDefault="000A39FD" w:rsidP="00E45B55">
      <w:pPr>
        <w:rPr>
          <w:lang w:val="es-ES_tradnl"/>
        </w:rPr>
      </w:pPr>
      <w:r w:rsidRPr="007078A2">
        <w:rPr>
          <w:lang w:val="es-ES_tradnl"/>
        </w:rPr>
        <w:t>El impacto de la reglamentación en el sector móvil durante el periodo estudiado es inferior al impacto en la banda ancha fija, ya que los servicios móviles celulares son más antiguos y los efectos de la reglamentación tienden a alcanzar su apogeo pocos años después de su adopción, y a disminuir a largo plazo. El sector móvil también ha sido objeto de más incentivos normativos que de obligaciones, como las redes fijas. Se trata de situaciones conocidas que se resuelven con revisiones y puestas al día periódicas de disposiciones de política y reglamentación existentes, así como con la adopción de nuevas medidas e iniciativas de política para tener en cuenta el carácter cambiante del ecosistema digital.</w:t>
      </w:r>
    </w:p>
    <w:p w:rsidR="000A39FD" w:rsidRPr="007078A2" w:rsidRDefault="000A39FD" w:rsidP="00E45B55">
      <w:pPr>
        <w:rPr>
          <w:lang w:val="es-ES_tradnl"/>
        </w:rPr>
      </w:pPr>
      <w:r w:rsidRPr="007078A2">
        <w:rPr>
          <w:lang w:val="es-ES_tradnl"/>
        </w:rPr>
        <w:t>La urbanización es uno de los factores determinantes de la adopción de servicios móviles celulares. Un aumento de 1% de la urbanización corresponde, en igualdad de condiciones, a un aumento equivalente de 4,7% de la penetración móvil celular. Se señala el papel de las externalidades de red de la utilización de teléfonos móviles. Por ejemplo, el gran número de usuarios de servicios móviles celulares motiva a los que todavía no han adoptado el servicio</w:t>
      </w:r>
      <w:r w:rsidRPr="007078A2">
        <w:rPr>
          <w:rStyle w:val="EndnoteReference"/>
          <w:lang w:val="es-ES_tradnl"/>
        </w:rPr>
        <w:endnoteReference w:id="26"/>
      </w:r>
      <w:r w:rsidRPr="007078A2">
        <w:rPr>
          <w:lang w:val="es-ES_tradnl"/>
        </w:rPr>
        <w:t>. Debe señalarse, sin embargo, que el impacto de la urbanización en la adopción de servicios móviles celulares es inferior al que tiene en los niveles de penetración de la banda ancha fija, ya que los servicios móviles celulares dependen menos de las infraestructuras y, por consiguiente, se pueden desplegar por costes inferiores fuera de las zonas urbanas.</w:t>
      </w:r>
    </w:p>
    <w:p w:rsidR="000A39FD" w:rsidRPr="007078A2" w:rsidRDefault="000A39FD" w:rsidP="00E45B55">
      <w:pPr>
        <w:rPr>
          <w:lang w:val="es-ES_tradnl"/>
        </w:rPr>
      </w:pPr>
      <w:r w:rsidRPr="007078A2">
        <w:rPr>
          <w:lang w:val="es-ES_tradnl"/>
        </w:rPr>
        <w:t xml:space="preserve">En lo que respecta a la riqueza nacional, los resultados del modelo de regresión eran sumamente predecibles y confirman las hipótesis generales. La RNB por habitante tiene un impacto positivo en la adopción móvil celular: un aumento de 10% de </w:t>
      </w:r>
      <w:r w:rsidR="00523104" w:rsidRPr="007078A2">
        <w:rPr>
          <w:lang w:val="es-ES_tradnl"/>
        </w:rPr>
        <w:t>los ingresos, por ejemplo de 10 000 USD a 11 </w:t>
      </w:r>
      <w:r w:rsidRPr="007078A2">
        <w:rPr>
          <w:lang w:val="es-ES_tradnl"/>
        </w:rPr>
        <w:t xml:space="preserve">000 USD, generará en principio 6,5 suscripciones adicionales por cada 100 habitantes, todo ello en igualdad de condiciones. La RNB por habitante podría ser representativa del poder adquisitivo individual y de las correspondientes </w:t>
      </w:r>
      <w:r w:rsidRPr="007078A2">
        <w:rPr>
          <w:lang w:val="es-ES_tradnl"/>
        </w:rPr>
        <w:lastRenderedPageBreak/>
        <w:t>limitaciones presupuestarias, tanto para las personas que necesitan abonarse a servicios móviles celulares por primera vez como para otras que desean más de una suscripción.</w:t>
      </w:r>
    </w:p>
    <w:p w:rsidR="0082703E" w:rsidRPr="007078A2" w:rsidRDefault="000A39FD" w:rsidP="00E45B55">
      <w:pPr>
        <w:rPr>
          <w:lang w:val="es-ES_tradnl"/>
        </w:rPr>
      </w:pPr>
      <w:r w:rsidRPr="007078A2">
        <w:rPr>
          <w:lang w:val="es-ES_tradnl"/>
        </w:rPr>
        <w:t>Velar por que los consumidores se beneficien de las numerosas oportunidades que ofrece la economía digital de manera informada, responsable y segura, es un reto que deben afrontar cada vez más los poderes públicos y reguladores del mundo entero. Es indudable que sólo se puede lograr con reglamentaciones efectivas e inteligentes destinadas a emancipar a los consumidores, redefinir responsabilidades y crear condiciones propicias para una economía basada en los datos.</w:t>
      </w:r>
      <w:bookmarkStart w:id="25" w:name="_Toc469307812"/>
      <w:bookmarkStart w:id="26" w:name="_Toc469307813"/>
      <w:bookmarkStart w:id="27" w:name="_Toc469307814"/>
      <w:bookmarkStart w:id="28" w:name="_Toc469307815"/>
      <w:bookmarkStart w:id="29" w:name="_Toc469307816"/>
      <w:bookmarkStart w:id="30" w:name="_Toc469307817"/>
      <w:bookmarkStart w:id="31" w:name="_Toc469307818"/>
      <w:bookmarkStart w:id="32" w:name="_Toc469307819"/>
      <w:bookmarkStart w:id="33" w:name="_Toc469307820"/>
      <w:bookmarkStart w:id="34" w:name="_Toc455476223"/>
      <w:bookmarkEnd w:id="25"/>
      <w:bookmarkEnd w:id="26"/>
      <w:bookmarkEnd w:id="27"/>
      <w:bookmarkEnd w:id="28"/>
      <w:bookmarkEnd w:id="29"/>
      <w:bookmarkEnd w:id="30"/>
      <w:bookmarkEnd w:id="31"/>
      <w:bookmarkEnd w:id="32"/>
      <w:bookmarkEnd w:id="33"/>
    </w:p>
    <w:p w:rsidR="00F201B4" w:rsidRPr="007078A2" w:rsidRDefault="00F201B4">
      <w:pPr>
        <w:tabs>
          <w:tab w:val="clear" w:pos="794"/>
          <w:tab w:val="clear" w:pos="1191"/>
          <w:tab w:val="clear" w:pos="1588"/>
          <w:tab w:val="clear" w:pos="1985"/>
        </w:tabs>
        <w:overflowPunct/>
        <w:autoSpaceDE/>
        <w:autoSpaceDN/>
        <w:adjustRightInd/>
        <w:spacing w:before="0" w:after="160" w:line="259" w:lineRule="auto"/>
        <w:textAlignment w:val="auto"/>
        <w:rPr>
          <w:lang w:val="es-ES_tradnl"/>
        </w:rPr>
      </w:pPr>
      <w:r w:rsidRPr="007078A2">
        <w:rPr>
          <w:lang w:val="es-ES_tradnl"/>
        </w:rPr>
        <w:br w:type="page"/>
      </w:r>
    </w:p>
    <w:p w:rsidR="000A39FD" w:rsidRPr="007078A2" w:rsidRDefault="0082703E" w:rsidP="0082703E">
      <w:pPr>
        <w:pStyle w:val="Heading1"/>
        <w:tabs>
          <w:tab w:val="left" w:pos="794"/>
          <w:tab w:val="left" w:pos="1191"/>
          <w:tab w:val="left" w:pos="1588"/>
          <w:tab w:val="left" w:pos="1985"/>
        </w:tabs>
        <w:overflowPunct w:val="0"/>
        <w:autoSpaceDE w:val="0"/>
        <w:autoSpaceDN w:val="0"/>
        <w:adjustRightInd w:val="0"/>
        <w:spacing w:before="360" w:line="240" w:lineRule="auto"/>
        <w:ind w:left="794" w:hanging="794"/>
        <w:textAlignment w:val="baseline"/>
        <w:rPr>
          <w:rFonts w:asciiTheme="minorHAnsi" w:eastAsia="Times New Roman" w:hAnsiTheme="minorHAnsi" w:cs="Times New Roman"/>
          <w:bCs w:val="0"/>
          <w:color w:val="auto"/>
          <w:sz w:val="24"/>
          <w:szCs w:val="20"/>
          <w:lang w:val="es-ES_tradnl" w:bidi="ar-SA"/>
        </w:rPr>
      </w:pPr>
      <w:bookmarkStart w:id="35" w:name="_Toc474413190"/>
      <w:r w:rsidRPr="007078A2">
        <w:rPr>
          <w:rFonts w:asciiTheme="minorHAnsi" w:eastAsia="Times New Roman" w:hAnsiTheme="minorHAnsi" w:cs="Times New Roman"/>
          <w:bCs w:val="0"/>
          <w:color w:val="auto"/>
          <w:sz w:val="24"/>
          <w:szCs w:val="20"/>
          <w:lang w:val="es-ES_tradnl" w:bidi="ar-SA"/>
        </w:rPr>
        <w:lastRenderedPageBreak/>
        <w:t>3</w:t>
      </w:r>
      <w:r w:rsidRPr="007078A2">
        <w:rPr>
          <w:rFonts w:asciiTheme="minorHAnsi" w:eastAsia="Times New Roman" w:hAnsiTheme="minorHAnsi" w:cs="Times New Roman"/>
          <w:bCs w:val="0"/>
          <w:color w:val="auto"/>
          <w:sz w:val="24"/>
          <w:szCs w:val="20"/>
          <w:lang w:val="es-ES_tradnl" w:bidi="ar-SA"/>
        </w:rPr>
        <w:tab/>
      </w:r>
      <w:r w:rsidR="000A39FD" w:rsidRPr="007078A2">
        <w:rPr>
          <w:rFonts w:asciiTheme="minorHAnsi" w:eastAsia="Times New Roman" w:hAnsiTheme="minorHAnsi" w:cs="Times New Roman"/>
          <w:bCs w:val="0"/>
          <w:color w:val="auto"/>
          <w:sz w:val="24"/>
          <w:szCs w:val="20"/>
          <w:lang w:val="es-ES_tradnl" w:bidi="ar-SA"/>
        </w:rPr>
        <w:t>Perspectiva general de los desarrollos de las TIC</w:t>
      </w:r>
      <w:bookmarkEnd w:id="34"/>
      <w:bookmarkEnd w:id="35"/>
    </w:p>
    <w:p w:rsidR="000A39FD" w:rsidRPr="007078A2" w:rsidRDefault="000A39FD" w:rsidP="00E45B55">
      <w:pPr>
        <w:rPr>
          <w:lang w:val="es-ES_tradnl"/>
        </w:rPr>
      </w:pPr>
      <w:r w:rsidRPr="007078A2">
        <w:rPr>
          <w:lang w:val="es-ES_tradnl"/>
        </w:rPr>
        <w:t>Durante los últimos 10 años, la región de las Américas, que comprende 35 países y representa una población total de casi 1</w:t>
      </w:r>
      <w:r w:rsidR="00912282" w:rsidRPr="007078A2">
        <w:rPr>
          <w:lang w:val="es-ES_tradnl"/>
        </w:rPr>
        <w:t> </w:t>
      </w:r>
      <w:r w:rsidRPr="007078A2">
        <w:rPr>
          <w:lang w:val="es-ES_tradnl"/>
        </w:rPr>
        <w:t xml:space="preserve">000 millones de personas, ha experimentado un crecimiento de la infraestructura, el acceso y la utilización de las TIC (Gráfico 2.1). El porcentaje de personas que utilizan Internet ha aumentado constantemente, de 36% en 2005 a aproximadamente 65% a finales de 2016. Esta tendencia refleja estrechamente el aumento constante del número de hogares con acceso doméstico a Internet, que pasó de apenas 33% en 2005 a aproximadamente 64% a finales de 2016. El mercado móvil sigue creciendo a pesar de estar relativamente saturado. Las suscripciones móviles celulares </w:t>
      </w:r>
      <w:r w:rsidR="00912282" w:rsidRPr="007078A2">
        <w:rPr>
          <w:lang w:val="es-ES_tradnl"/>
        </w:rPr>
        <w:t xml:space="preserve">se </w:t>
      </w:r>
      <w:r w:rsidRPr="007078A2">
        <w:rPr>
          <w:lang w:val="es-ES_tradnl"/>
        </w:rPr>
        <w:t>han más que duplicado desde 2005 y, a finales de 2016, se barajaban cifras de 111 suscripciones por 100 habitantes. Por otra parte, las suscripciones activas a la banda ancha móvil aumentaron más rápidamente que las correspondientes a la banda ancha fija. Entre 2011 y 2016, la</w:t>
      </w:r>
      <w:r w:rsidR="004F29F5">
        <w:rPr>
          <w:lang w:val="es-ES_tradnl"/>
        </w:rPr>
        <w:t>s</w:t>
      </w:r>
      <w:r w:rsidRPr="007078A2">
        <w:rPr>
          <w:lang w:val="es-ES_tradnl"/>
        </w:rPr>
        <w:t xml:space="preserve"> suscripciones activas a la banda ancha móvil por 100 habitantes aumentaron un 300%, mientras que las correspondientes a la banda ancha fija aumentaron 35%. De ello se desprende que la propagación del acceso a Internet se debía esencialmente a las tecnologías móviles. Aproximadamente 92% y 73% de la población tiene ya a su alcance respectivamente una señal 3G o una señal de banda ancha móvil LTE.</w:t>
      </w:r>
    </w:p>
    <w:p w:rsidR="000A39FD" w:rsidRPr="007078A2" w:rsidRDefault="000A39FD" w:rsidP="00912282">
      <w:pPr>
        <w:rPr>
          <w:lang w:val="es-ES_tradnl"/>
        </w:rPr>
      </w:pPr>
      <w:r w:rsidRPr="007078A2">
        <w:rPr>
          <w:lang w:val="es-ES_tradnl"/>
        </w:rPr>
        <w:t>Los países de la región de las Américas representan un variopinto conjunto de ingresos bajos, medios y altos. Según el Banco Mundial, la RNB media (nominal) por país en la región es de aproximadamente 11</w:t>
      </w:r>
      <w:r w:rsidR="00912282" w:rsidRPr="007078A2">
        <w:rPr>
          <w:lang w:val="es-ES_tradnl"/>
        </w:rPr>
        <w:t> </w:t>
      </w:r>
      <w:r w:rsidRPr="007078A2">
        <w:rPr>
          <w:lang w:val="es-ES_tradnl"/>
        </w:rPr>
        <w:t>000 USD. Trece de los 35 países de las Américas tienen una RNB nominal</w:t>
      </w:r>
      <w:r w:rsidR="00912282" w:rsidRPr="007078A2">
        <w:rPr>
          <w:lang w:val="es-ES_tradnl"/>
        </w:rPr>
        <w:t xml:space="preserve"> por país igual o superior a 11 </w:t>
      </w:r>
      <w:r w:rsidRPr="007078A2">
        <w:rPr>
          <w:lang w:val="es-ES_tradnl"/>
        </w:rPr>
        <w:t>000 USD, mientras que un país tiene una RNB nominal inferior a 1</w:t>
      </w:r>
      <w:r w:rsidR="00912282" w:rsidRPr="007078A2">
        <w:rPr>
          <w:lang w:val="es-ES_tradnl"/>
        </w:rPr>
        <w:t> </w:t>
      </w:r>
      <w:r w:rsidRPr="007078A2">
        <w:rPr>
          <w:lang w:val="es-ES_tradnl"/>
        </w:rPr>
        <w:t xml:space="preserve">000 USD. Estados Unidos, Brasil, Canadá y México son los mayores mercados de telecomunicaciones de la región, dada la combinación de sus niveles de ingresos y de su demografía. Juntos, representan 90% de la producción económica total de la región. </w:t>
      </w:r>
    </w:p>
    <w:p w:rsidR="000A39FD" w:rsidRPr="007078A2" w:rsidRDefault="000A39FD" w:rsidP="000A77EF">
      <w:pPr>
        <w:pStyle w:val="FigureNotitle"/>
        <w:keepNext/>
      </w:pPr>
      <w:r w:rsidRPr="007078A2">
        <w:t>Gráfico 2.1: Desarrollos de las TIC en la región de las Américas, 2006-2016*</w:t>
      </w:r>
    </w:p>
    <w:p w:rsidR="000A39FD" w:rsidRPr="007078A2" w:rsidRDefault="000A39FD" w:rsidP="000A77EF">
      <w:pPr>
        <w:keepNext/>
        <w:keepLines/>
        <w:jc w:val="both"/>
        <w:rPr>
          <w:sz w:val="18"/>
          <w:szCs w:val="18"/>
          <w:lang w:val="es-ES_tradnl"/>
        </w:rPr>
      </w:pPr>
      <w:r w:rsidRPr="007078A2">
        <w:rPr>
          <w:noProof/>
          <w:sz w:val="18"/>
          <w:szCs w:val="18"/>
          <w:lang w:eastAsia="zh-CN"/>
        </w:rPr>
        <w:drawing>
          <wp:inline distT="0" distB="0" distL="0" distR="0" wp14:anchorId="15BCA774" wp14:editId="0170D0A8">
            <wp:extent cx="5288310" cy="272794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1228" cy="2734610"/>
                    </a:xfrm>
                    <a:prstGeom prst="rect">
                      <a:avLst/>
                    </a:prstGeom>
                    <a:noFill/>
                  </pic:spPr>
                </pic:pic>
              </a:graphicData>
            </a:graphic>
          </wp:inline>
        </w:drawing>
      </w:r>
    </w:p>
    <w:p w:rsidR="000A39FD" w:rsidRPr="007078A2" w:rsidRDefault="000A39FD" w:rsidP="000A77EF">
      <w:pPr>
        <w:keepNext/>
        <w:keepLines/>
        <w:jc w:val="both"/>
        <w:rPr>
          <w:sz w:val="18"/>
          <w:szCs w:val="18"/>
          <w:lang w:val="es-ES_tradnl"/>
        </w:rPr>
      </w:pPr>
      <w:r w:rsidRPr="007078A2">
        <w:rPr>
          <w:sz w:val="18"/>
          <w:szCs w:val="18"/>
          <w:lang w:val="es-ES_tradnl"/>
        </w:rPr>
        <w:t>Origen: UIT.</w:t>
      </w:r>
    </w:p>
    <w:p w:rsidR="00E45B55" w:rsidRPr="007078A2" w:rsidRDefault="00FD10EE" w:rsidP="000A77EF">
      <w:pPr>
        <w:keepNext/>
        <w:keepLines/>
        <w:spacing w:before="0"/>
        <w:jc w:val="both"/>
        <w:rPr>
          <w:sz w:val="20"/>
          <w:lang w:val="es-ES_tradnl"/>
        </w:rPr>
      </w:pPr>
      <w:r w:rsidRPr="007078A2">
        <w:rPr>
          <w:b/>
          <w:bCs/>
          <w:sz w:val="18"/>
          <w:szCs w:val="18"/>
          <w:lang w:val="es-ES_tradnl"/>
        </w:rPr>
        <w:t xml:space="preserve">Leyenda del gráfico </w:t>
      </w:r>
      <w:r w:rsidR="00E45B55" w:rsidRPr="007078A2">
        <w:rPr>
          <w:b/>
          <w:bCs/>
          <w:sz w:val="18"/>
          <w:szCs w:val="18"/>
          <w:lang w:val="es-ES_tradnl"/>
        </w:rPr>
        <w:t>2.1:</w:t>
      </w:r>
    </w:p>
    <w:p w:rsidR="000A39FD" w:rsidRPr="007078A2" w:rsidRDefault="000A39FD" w:rsidP="000A77EF">
      <w:pPr>
        <w:keepNext/>
        <w:keepLines/>
        <w:spacing w:before="0"/>
        <w:jc w:val="both"/>
        <w:rPr>
          <w:sz w:val="18"/>
          <w:szCs w:val="18"/>
          <w:lang w:val="es-ES_tradnl"/>
        </w:rPr>
      </w:pPr>
      <w:r w:rsidRPr="007078A2">
        <w:rPr>
          <w:sz w:val="18"/>
          <w:szCs w:val="18"/>
          <w:lang w:val="es-ES_tradnl"/>
        </w:rPr>
        <w:t>Suscripciones telefónicas móviles celulares por 100 habitantes</w:t>
      </w:r>
    </w:p>
    <w:p w:rsidR="000A39FD" w:rsidRPr="007078A2" w:rsidRDefault="000A39FD" w:rsidP="00E45B55">
      <w:pPr>
        <w:spacing w:before="0"/>
        <w:jc w:val="both"/>
        <w:rPr>
          <w:sz w:val="18"/>
          <w:szCs w:val="18"/>
          <w:lang w:val="es-ES_tradnl"/>
        </w:rPr>
      </w:pPr>
      <w:r w:rsidRPr="007078A2">
        <w:rPr>
          <w:sz w:val="18"/>
          <w:szCs w:val="18"/>
          <w:lang w:val="es-ES_tradnl"/>
        </w:rPr>
        <w:t>Suscripciones activas a banda ancha móvil por 100 habitantes</w:t>
      </w:r>
    </w:p>
    <w:p w:rsidR="000A39FD" w:rsidRPr="007078A2" w:rsidRDefault="000A39FD" w:rsidP="00E45B55">
      <w:pPr>
        <w:spacing w:before="0"/>
        <w:jc w:val="both"/>
        <w:rPr>
          <w:sz w:val="18"/>
          <w:szCs w:val="18"/>
          <w:lang w:val="es-ES_tradnl"/>
        </w:rPr>
      </w:pPr>
      <w:r w:rsidRPr="007078A2">
        <w:rPr>
          <w:sz w:val="18"/>
          <w:szCs w:val="18"/>
          <w:lang w:val="es-ES_tradnl"/>
        </w:rPr>
        <w:t>Porcentaje de personas que utilizan Internet p</w:t>
      </w:r>
    </w:p>
    <w:p w:rsidR="000A39FD" w:rsidRPr="007078A2" w:rsidRDefault="000A39FD" w:rsidP="00E45B55">
      <w:pPr>
        <w:spacing w:before="0"/>
        <w:jc w:val="both"/>
        <w:rPr>
          <w:sz w:val="18"/>
          <w:szCs w:val="18"/>
          <w:lang w:val="es-ES_tradnl"/>
        </w:rPr>
      </w:pPr>
      <w:r w:rsidRPr="007078A2">
        <w:rPr>
          <w:sz w:val="18"/>
          <w:szCs w:val="18"/>
          <w:lang w:val="es-ES_tradnl"/>
        </w:rPr>
        <w:t xml:space="preserve">Porcentaje de hogares con acceso doméstico </w:t>
      </w:r>
      <w:r w:rsidRPr="007078A2">
        <w:rPr>
          <w:sz w:val="18"/>
          <w:szCs w:val="18"/>
          <w:cs/>
          <w:lang w:val="es-ES_tradnl"/>
        </w:rPr>
        <w:t>‎</w:t>
      </w:r>
      <w:r w:rsidRPr="007078A2">
        <w:rPr>
          <w:sz w:val="18"/>
          <w:szCs w:val="18"/>
          <w:lang w:val="es-ES_tradnl"/>
        </w:rPr>
        <w:t>a Internet</w:t>
      </w:r>
    </w:p>
    <w:p w:rsidR="000A39FD" w:rsidRPr="007078A2" w:rsidRDefault="000A39FD" w:rsidP="00E45B55">
      <w:pPr>
        <w:spacing w:before="0"/>
        <w:jc w:val="both"/>
        <w:rPr>
          <w:sz w:val="18"/>
          <w:szCs w:val="18"/>
          <w:lang w:val="es-ES_tradnl"/>
        </w:rPr>
      </w:pPr>
      <w:r w:rsidRPr="007078A2">
        <w:rPr>
          <w:sz w:val="18"/>
          <w:szCs w:val="18"/>
          <w:lang w:val="es-ES_tradnl"/>
        </w:rPr>
        <w:lastRenderedPageBreak/>
        <w:t>Suscripciones telefónicas fijas por 100 habitantes</w:t>
      </w:r>
    </w:p>
    <w:p w:rsidR="000A39FD" w:rsidRPr="007078A2" w:rsidRDefault="000A39FD" w:rsidP="00E45B55">
      <w:pPr>
        <w:spacing w:before="0"/>
        <w:jc w:val="both"/>
        <w:rPr>
          <w:sz w:val="18"/>
          <w:szCs w:val="18"/>
          <w:lang w:val="es-ES_tradnl"/>
        </w:rPr>
      </w:pPr>
      <w:r w:rsidRPr="007078A2">
        <w:rPr>
          <w:sz w:val="18"/>
          <w:szCs w:val="18"/>
          <w:lang w:val="es-ES_tradnl"/>
        </w:rPr>
        <w:t>Suscripciones a la banda ancha fija (alámbrica) por 100 habitantes</w:t>
      </w:r>
    </w:p>
    <w:p w:rsidR="000A39FD" w:rsidRPr="007078A2" w:rsidRDefault="00E45B55" w:rsidP="00E45B55">
      <w:pPr>
        <w:spacing w:before="0"/>
        <w:jc w:val="both"/>
        <w:rPr>
          <w:sz w:val="18"/>
          <w:szCs w:val="18"/>
          <w:lang w:val="es-ES_tradnl"/>
        </w:rPr>
      </w:pPr>
      <w:r w:rsidRPr="007078A2">
        <w:rPr>
          <w:sz w:val="18"/>
          <w:szCs w:val="18"/>
          <w:lang w:val="es-ES_tradnl"/>
        </w:rPr>
        <w:t>Nota: * Estimación</w:t>
      </w:r>
    </w:p>
    <w:p w:rsidR="000A39FD" w:rsidRPr="007078A2" w:rsidRDefault="000A39FD" w:rsidP="00A55685">
      <w:pPr>
        <w:pStyle w:val="Headingb"/>
        <w:rPr>
          <w:rFonts w:asciiTheme="minorHAnsi" w:hAnsiTheme="minorHAnsi"/>
          <w:lang w:val="es-ES_tradnl"/>
        </w:rPr>
      </w:pPr>
      <w:bookmarkStart w:id="36" w:name="_Toc455476224"/>
      <w:bookmarkStart w:id="37" w:name="_Toc474413191"/>
      <w:r w:rsidRPr="007078A2">
        <w:rPr>
          <w:rFonts w:asciiTheme="minorHAnsi" w:hAnsiTheme="minorHAnsi"/>
          <w:lang w:val="es-ES_tradnl"/>
        </w:rPr>
        <w:t>Desarrollos del mercado móvil</w:t>
      </w:r>
      <w:bookmarkEnd w:id="36"/>
      <w:bookmarkEnd w:id="37"/>
    </w:p>
    <w:p w:rsidR="000A39FD" w:rsidRPr="007078A2" w:rsidRDefault="000A39FD" w:rsidP="006712E0">
      <w:pPr>
        <w:rPr>
          <w:lang w:val="es-ES_tradnl"/>
        </w:rPr>
      </w:pPr>
      <w:r w:rsidRPr="007078A2">
        <w:rPr>
          <w:lang w:val="es-ES_tradnl"/>
        </w:rPr>
        <w:t>En su globalidad, la región de las Américas tiene niveles de penetración móvil celular (en suscripciones por 100 habitantes) relativamente más elevados que la media mundial. La mayoría de los países de la región han alcanzado niveles de penetración superiores a la media mundial (Gráfico 2 punto 2), pero quedan varios países en los que las tasas de suscripciones móviles celulares son inferiores a las del resto de la región. Las tasas de suscripción en muchos de esos países no crecen suficientemente deprisa para alcanzar a las demás y, en algunos casos, incluso han disminuido en estos últimos años. Las excepciones, Cuba y Haití, han experimentado desde 2006 un salto de las tasas de suscripciones móviles celulares de respectivamente 2</w:t>
      </w:r>
      <w:r w:rsidR="006712E0" w:rsidRPr="007078A2">
        <w:rPr>
          <w:lang w:val="es-ES_tradnl"/>
        </w:rPr>
        <w:t> </w:t>
      </w:r>
      <w:r w:rsidRPr="007078A2">
        <w:rPr>
          <w:lang w:val="es-ES_tradnl"/>
        </w:rPr>
        <w:t>000% y 400%. A pesar de esas elevadas tasas de crecimiento, ambos países necesitarán varios años más de expansión constante para alcanzar al resto de las Américas.</w:t>
      </w:r>
    </w:p>
    <w:p w:rsidR="000A39FD" w:rsidRPr="007078A2" w:rsidRDefault="000A39FD" w:rsidP="00617E77">
      <w:pPr>
        <w:pStyle w:val="FigureNotitle"/>
        <w:keepNext/>
      </w:pPr>
      <w:r w:rsidRPr="007078A2">
        <w:lastRenderedPageBreak/>
        <w:t>Gráfico 2.2: Suscripciones móv</w:t>
      </w:r>
      <w:r w:rsidR="00617E77" w:rsidRPr="007078A2">
        <w:t>iles celulares en las Américas,</w:t>
      </w:r>
      <w:r w:rsidR="00617E77" w:rsidRPr="007078A2">
        <w:br/>
      </w:r>
      <w:r w:rsidRPr="007078A2">
        <w:t>2015 (arriba) y por región, 2016*(abajo)</w:t>
      </w:r>
    </w:p>
    <w:p w:rsidR="000A39FD" w:rsidRPr="007078A2" w:rsidRDefault="000A39FD" w:rsidP="00FF14BC">
      <w:pPr>
        <w:keepNext/>
        <w:keepLines/>
        <w:jc w:val="both"/>
        <w:rPr>
          <w:noProof/>
          <w:lang w:val="es-ES_tradnl"/>
        </w:rPr>
      </w:pPr>
      <w:r w:rsidRPr="007078A2">
        <w:rPr>
          <w:noProof/>
          <w:lang w:eastAsia="zh-CN"/>
        </w:rPr>
        <w:drawing>
          <wp:inline distT="0" distB="0" distL="0" distR="0" wp14:anchorId="60016365" wp14:editId="304EF388">
            <wp:extent cx="4035993" cy="4169391"/>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52606" cy="4186554"/>
                    </a:xfrm>
                    <a:prstGeom prst="rect">
                      <a:avLst/>
                    </a:prstGeom>
                    <a:noFill/>
                  </pic:spPr>
                </pic:pic>
              </a:graphicData>
            </a:graphic>
          </wp:inline>
        </w:drawing>
      </w:r>
    </w:p>
    <w:p w:rsidR="000A39FD" w:rsidRPr="007078A2" w:rsidRDefault="000A39FD" w:rsidP="00FF14BC">
      <w:pPr>
        <w:keepNext/>
        <w:keepLines/>
        <w:jc w:val="both"/>
        <w:rPr>
          <w:sz w:val="18"/>
          <w:szCs w:val="18"/>
          <w:lang w:val="es-ES_tradnl"/>
        </w:rPr>
      </w:pPr>
      <w:r w:rsidRPr="007078A2">
        <w:rPr>
          <w:noProof/>
          <w:sz w:val="18"/>
          <w:szCs w:val="18"/>
          <w:lang w:eastAsia="zh-CN"/>
        </w:rPr>
        <w:drawing>
          <wp:inline distT="0" distB="0" distL="0" distR="0" wp14:anchorId="5FE1858A" wp14:editId="69CCF6DE">
            <wp:extent cx="3179928" cy="2119822"/>
            <wp:effectExtent l="0" t="0" r="1905" b="0"/>
            <wp:docPr id="1073742025" name="Picture 10737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4660" cy="2136309"/>
                    </a:xfrm>
                    <a:prstGeom prst="rect">
                      <a:avLst/>
                    </a:prstGeom>
                    <a:noFill/>
                  </pic:spPr>
                </pic:pic>
              </a:graphicData>
            </a:graphic>
          </wp:inline>
        </w:drawing>
      </w:r>
    </w:p>
    <w:p w:rsidR="000A39FD" w:rsidRPr="007078A2" w:rsidRDefault="000A39FD" w:rsidP="00C259F8">
      <w:pPr>
        <w:keepNext/>
        <w:keepLines/>
        <w:spacing w:before="0"/>
        <w:jc w:val="both"/>
        <w:rPr>
          <w:sz w:val="18"/>
          <w:szCs w:val="18"/>
          <w:lang w:val="es-ES_tradnl"/>
        </w:rPr>
      </w:pPr>
      <w:r w:rsidRPr="007078A2">
        <w:rPr>
          <w:sz w:val="18"/>
          <w:szCs w:val="18"/>
          <w:lang w:val="es-ES_tradnl"/>
        </w:rPr>
        <w:t>Origen: UIT.</w:t>
      </w:r>
    </w:p>
    <w:p w:rsidR="00E45B55" w:rsidRPr="007078A2" w:rsidRDefault="00E45B55" w:rsidP="00C259F8">
      <w:pPr>
        <w:keepNext/>
        <w:keepLines/>
        <w:spacing w:before="0"/>
        <w:jc w:val="both"/>
        <w:rPr>
          <w:sz w:val="18"/>
          <w:szCs w:val="18"/>
          <w:lang w:val="es-ES_tradnl"/>
        </w:rPr>
      </w:pPr>
      <w:r w:rsidRPr="007078A2">
        <w:rPr>
          <w:sz w:val="18"/>
          <w:szCs w:val="18"/>
          <w:lang w:val="es-ES_tradnl"/>
        </w:rPr>
        <w:t>Nota: * Estimación</w:t>
      </w:r>
    </w:p>
    <w:p w:rsidR="00E45B55" w:rsidRPr="007078A2" w:rsidRDefault="00FD10EE" w:rsidP="00C259F8">
      <w:pPr>
        <w:keepNext/>
        <w:keepLines/>
        <w:spacing w:before="0"/>
        <w:jc w:val="both"/>
        <w:rPr>
          <w:b/>
          <w:bCs/>
          <w:sz w:val="18"/>
          <w:szCs w:val="18"/>
          <w:lang w:val="es-ES_tradnl"/>
        </w:rPr>
      </w:pPr>
      <w:r w:rsidRPr="007078A2">
        <w:rPr>
          <w:b/>
          <w:bCs/>
          <w:sz w:val="18"/>
          <w:szCs w:val="18"/>
          <w:lang w:val="es-ES_tradnl"/>
        </w:rPr>
        <w:t xml:space="preserve">Leyenda del gráfico </w:t>
      </w:r>
      <w:r w:rsidR="00E45B55" w:rsidRPr="007078A2">
        <w:rPr>
          <w:b/>
          <w:bCs/>
          <w:sz w:val="18"/>
          <w:szCs w:val="18"/>
          <w:lang w:val="es-ES_tradnl"/>
        </w:rPr>
        <w:t>2.2:</w:t>
      </w:r>
    </w:p>
    <w:p w:rsidR="00617E77" w:rsidRPr="007078A2" w:rsidRDefault="00C259F8" w:rsidP="00617E77">
      <w:pPr>
        <w:keepNext/>
        <w:keepLines/>
        <w:spacing w:before="0" w:after="120"/>
        <w:jc w:val="both"/>
        <w:rPr>
          <w:sz w:val="18"/>
          <w:szCs w:val="18"/>
          <w:lang w:val="es-ES_tradnl"/>
        </w:rPr>
      </w:pPr>
      <w:r w:rsidRPr="007078A2">
        <w:rPr>
          <w:sz w:val="18"/>
          <w:szCs w:val="18"/>
          <w:lang w:val="es-ES_tradnl"/>
        </w:rPr>
        <w:t>Suriname</w:t>
      </w:r>
      <w:r w:rsidR="00617E77" w:rsidRPr="007078A2">
        <w:rPr>
          <w:sz w:val="18"/>
          <w:szCs w:val="18"/>
          <w:lang w:val="es-ES_tradnl"/>
        </w:rPr>
        <w:t xml:space="preserve">, </w:t>
      </w:r>
      <w:r w:rsidRPr="007078A2">
        <w:rPr>
          <w:sz w:val="18"/>
          <w:szCs w:val="18"/>
          <w:lang w:val="es-ES_tradnl"/>
        </w:rPr>
        <w:t>Panamá</w:t>
      </w:r>
      <w:r w:rsidR="00617E77" w:rsidRPr="007078A2">
        <w:rPr>
          <w:sz w:val="18"/>
          <w:szCs w:val="18"/>
          <w:lang w:val="es-ES_tradnl"/>
        </w:rPr>
        <w:t xml:space="preserve">, </w:t>
      </w:r>
      <w:r w:rsidRPr="007078A2">
        <w:rPr>
          <w:sz w:val="18"/>
          <w:szCs w:val="18"/>
          <w:lang w:val="es-ES_tradnl"/>
        </w:rPr>
        <w:t>Uruguay</w:t>
      </w:r>
      <w:r w:rsidR="00617E77" w:rsidRPr="007078A2">
        <w:rPr>
          <w:sz w:val="18"/>
          <w:szCs w:val="18"/>
          <w:lang w:val="es-ES_tradnl"/>
        </w:rPr>
        <w:t xml:space="preserve">, </w:t>
      </w:r>
      <w:r w:rsidRPr="007078A2">
        <w:rPr>
          <w:sz w:val="18"/>
          <w:szCs w:val="18"/>
          <w:lang w:val="es-ES_tradnl"/>
        </w:rPr>
        <w:t>Trinidad y Tabago</w:t>
      </w:r>
      <w:r w:rsidR="00617E77" w:rsidRPr="007078A2">
        <w:rPr>
          <w:sz w:val="18"/>
          <w:szCs w:val="18"/>
          <w:lang w:val="es-ES_tradnl"/>
        </w:rPr>
        <w:t xml:space="preserve">, </w:t>
      </w:r>
      <w:r w:rsidRPr="007078A2">
        <w:rPr>
          <w:sz w:val="18"/>
          <w:szCs w:val="18"/>
          <w:lang w:val="es-ES_tradnl"/>
        </w:rPr>
        <w:t>Costa Rica</w:t>
      </w:r>
      <w:r w:rsidR="00617E77" w:rsidRPr="007078A2">
        <w:rPr>
          <w:sz w:val="18"/>
          <w:szCs w:val="18"/>
          <w:lang w:val="es-ES_tradnl"/>
        </w:rPr>
        <w:t xml:space="preserve">, </w:t>
      </w:r>
      <w:r w:rsidRPr="007078A2">
        <w:rPr>
          <w:sz w:val="18"/>
          <w:szCs w:val="18"/>
          <w:lang w:val="es-ES_tradnl"/>
        </w:rPr>
        <w:t>El Salvador</w:t>
      </w:r>
      <w:r w:rsidR="00617E77" w:rsidRPr="007078A2">
        <w:rPr>
          <w:sz w:val="18"/>
          <w:szCs w:val="18"/>
          <w:lang w:val="es-ES_tradnl"/>
        </w:rPr>
        <w:t xml:space="preserve">, </w:t>
      </w:r>
      <w:r w:rsidRPr="007078A2">
        <w:rPr>
          <w:sz w:val="18"/>
          <w:szCs w:val="18"/>
          <w:lang w:val="es-ES_tradnl"/>
        </w:rPr>
        <w:t>Argentina</w:t>
      </w:r>
      <w:r w:rsidR="00617E77" w:rsidRPr="007078A2">
        <w:rPr>
          <w:sz w:val="18"/>
          <w:szCs w:val="18"/>
          <w:lang w:val="es-ES_tradnl"/>
        </w:rPr>
        <w:t xml:space="preserve">, </w:t>
      </w:r>
      <w:r w:rsidRPr="007078A2">
        <w:rPr>
          <w:sz w:val="18"/>
          <w:szCs w:val="18"/>
          <w:lang w:val="es-ES_tradnl"/>
        </w:rPr>
        <w:t>Antigua y Barbuda</w:t>
      </w:r>
      <w:r w:rsidR="00617E77" w:rsidRPr="007078A2">
        <w:rPr>
          <w:sz w:val="18"/>
          <w:szCs w:val="18"/>
          <w:lang w:val="es-ES_tradnl"/>
        </w:rPr>
        <w:t xml:space="preserve">, </w:t>
      </w:r>
      <w:r w:rsidRPr="007078A2">
        <w:rPr>
          <w:sz w:val="18"/>
          <w:szCs w:val="18"/>
          <w:lang w:val="es-ES_tradnl"/>
        </w:rPr>
        <w:t>Saint Kitts y Nevis</w:t>
      </w:r>
      <w:r w:rsidR="00617E77" w:rsidRPr="007078A2">
        <w:rPr>
          <w:sz w:val="18"/>
          <w:szCs w:val="18"/>
          <w:lang w:val="es-ES_tradnl"/>
        </w:rPr>
        <w:t xml:space="preserve">, </w:t>
      </w:r>
      <w:r w:rsidRPr="007078A2">
        <w:rPr>
          <w:sz w:val="18"/>
          <w:szCs w:val="18"/>
          <w:lang w:val="es-ES_tradnl"/>
        </w:rPr>
        <w:t>Chile</w:t>
      </w:r>
      <w:r w:rsidR="00617E77" w:rsidRPr="007078A2">
        <w:rPr>
          <w:sz w:val="18"/>
          <w:szCs w:val="18"/>
          <w:lang w:val="es-ES_tradnl"/>
        </w:rPr>
        <w:t xml:space="preserve">, </w:t>
      </w:r>
      <w:r w:rsidRPr="007078A2">
        <w:rPr>
          <w:sz w:val="18"/>
          <w:szCs w:val="18"/>
          <w:lang w:val="es-ES_tradnl"/>
        </w:rPr>
        <w:t>Brasil</w:t>
      </w:r>
      <w:r w:rsidR="00617E77" w:rsidRPr="007078A2">
        <w:rPr>
          <w:sz w:val="18"/>
          <w:szCs w:val="18"/>
          <w:lang w:val="es-ES_tradnl"/>
        </w:rPr>
        <w:t xml:space="preserve">, </w:t>
      </w:r>
      <w:r w:rsidRPr="007078A2">
        <w:rPr>
          <w:sz w:val="18"/>
          <w:szCs w:val="18"/>
          <w:lang w:val="es-ES_tradnl"/>
        </w:rPr>
        <w:t>Estados Unidos</w:t>
      </w:r>
      <w:r w:rsidR="00617E77" w:rsidRPr="007078A2">
        <w:rPr>
          <w:sz w:val="18"/>
          <w:szCs w:val="18"/>
          <w:lang w:val="es-ES_tradnl"/>
        </w:rPr>
        <w:t xml:space="preserve">, </w:t>
      </w:r>
      <w:r w:rsidRPr="007078A2">
        <w:rPr>
          <w:sz w:val="18"/>
          <w:szCs w:val="18"/>
          <w:lang w:val="es-ES_tradnl"/>
        </w:rPr>
        <w:t>Barbados</w:t>
      </w:r>
      <w:r w:rsidR="00617E77" w:rsidRPr="007078A2">
        <w:rPr>
          <w:sz w:val="18"/>
          <w:szCs w:val="18"/>
          <w:lang w:val="es-ES_tradnl"/>
        </w:rPr>
        <w:t xml:space="preserve">, </w:t>
      </w:r>
      <w:r w:rsidRPr="007078A2">
        <w:rPr>
          <w:sz w:val="18"/>
          <w:szCs w:val="18"/>
          <w:lang w:val="es-ES_tradnl"/>
        </w:rPr>
        <w:t>Nicaragua</w:t>
      </w:r>
      <w:r w:rsidR="00617E77" w:rsidRPr="007078A2">
        <w:rPr>
          <w:sz w:val="18"/>
          <w:szCs w:val="18"/>
          <w:lang w:val="es-ES_tradnl"/>
        </w:rPr>
        <w:t xml:space="preserve">, </w:t>
      </w:r>
      <w:r w:rsidRPr="007078A2">
        <w:rPr>
          <w:sz w:val="18"/>
          <w:szCs w:val="18"/>
          <w:lang w:val="es-ES_tradnl"/>
        </w:rPr>
        <w:t>Colombia</w:t>
      </w:r>
      <w:r w:rsidR="00617E77" w:rsidRPr="007078A2">
        <w:rPr>
          <w:sz w:val="18"/>
          <w:szCs w:val="18"/>
          <w:lang w:val="es-ES_tradnl"/>
        </w:rPr>
        <w:t xml:space="preserve">, </w:t>
      </w:r>
      <w:r w:rsidRPr="007078A2">
        <w:rPr>
          <w:sz w:val="18"/>
          <w:szCs w:val="18"/>
          <w:lang w:val="es-ES_tradnl"/>
        </w:rPr>
        <w:t>Granada</w:t>
      </w:r>
      <w:r w:rsidR="00617E77" w:rsidRPr="007078A2">
        <w:rPr>
          <w:sz w:val="18"/>
          <w:szCs w:val="18"/>
          <w:lang w:val="es-ES_tradnl"/>
        </w:rPr>
        <w:t xml:space="preserve">, </w:t>
      </w:r>
      <w:r w:rsidRPr="007078A2">
        <w:rPr>
          <w:sz w:val="18"/>
          <w:szCs w:val="18"/>
          <w:lang w:val="es-ES_tradnl"/>
        </w:rPr>
        <w:t>Jamaica</w:t>
      </w:r>
      <w:r w:rsidR="00617E77" w:rsidRPr="007078A2">
        <w:rPr>
          <w:sz w:val="18"/>
          <w:szCs w:val="18"/>
          <w:lang w:val="es-ES_tradnl"/>
        </w:rPr>
        <w:t xml:space="preserve">, </w:t>
      </w:r>
      <w:r w:rsidRPr="007078A2">
        <w:rPr>
          <w:sz w:val="18"/>
          <w:szCs w:val="18"/>
          <w:lang w:val="es-ES_tradnl"/>
        </w:rPr>
        <w:t>Guatemala</w:t>
      </w:r>
      <w:r w:rsidR="00617E77" w:rsidRPr="007078A2">
        <w:rPr>
          <w:sz w:val="18"/>
          <w:szCs w:val="18"/>
          <w:lang w:val="es-ES_tradnl"/>
        </w:rPr>
        <w:t xml:space="preserve">, </w:t>
      </w:r>
      <w:r w:rsidRPr="007078A2">
        <w:rPr>
          <w:sz w:val="18"/>
          <w:szCs w:val="18"/>
          <w:lang w:val="es-ES_tradnl"/>
        </w:rPr>
        <w:t>Perú</w:t>
      </w:r>
      <w:r w:rsidR="00617E77" w:rsidRPr="007078A2">
        <w:rPr>
          <w:sz w:val="18"/>
          <w:szCs w:val="18"/>
          <w:lang w:val="es-ES_tradnl"/>
        </w:rPr>
        <w:t xml:space="preserve">, </w:t>
      </w:r>
      <w:r w:rsidRPr="007078A2">
        <w:rPr>
          <w:sz w:val="18"/>
          <w:szCs w:val="18"/>
          <w:lang w:val="es-ES_tradnl"/>
        </w:rPr>
        <w:t>Dominica</w:t>
      </w:r>
      <w:r w:rsidR="00617E77" w:rsidRPr="007078A2">
        <w:rPr>
          <w:sz w:val="18"/>
          <w:szCs w:val="18"/>
          <w:lang w:val="es-ES_tradnl"/>
        </w:rPr>
        <w:t xml:space="preserve">, </w:t>
      </w:r>
      <w:r w:rsidRPr="007078A2">
        <w:rPr>
          <w:sz w:val="18"/>
          <w:szCs w:val="18"/>
          <w:lang w:val="es-ES_tradnl"/>
        </w:rPr>
        <w:t>Paraguay</w:t>
      </w:r>
      <w:r w:rsidR="00617E77" w:rsidRPr="007078A2">
        <w:rPr>
          <w:sz w:val="18"/>
          <w:szCs w:val="18"/>
          <w:lang w:val="es-ES_tradnl"/>
        </w:rPr>
        <w:t xml:space="preserve">, </w:t>
      </w:r>
      <w:r w:rsidRPr="007078A2">
        <w:rPr>
          <w:sz w:val="18"/>
          <w:szCs w:val="18"/>
          <w:lang w:val="es-ES_tradnl"/>
        </w:rPr>
        <w:t>San Vicente y las Granadinas</w:t>
      </w:r>
      <w:r w:rsidR="00617E77" w:rsidRPr="007078A2">
        <w:rPr>
          <w:sz w:val="18"/>
          <w:szCs w:val="18"/>
          <w:lang w:val="es-ES_tradnl"/>
        </w:rPr>
        <w:t xml:space="preserve">, </w:t>
      </w:r>
      <w:r w:rsidRPr="007078A2">
        <w:rPr>
          <w:sz w:val="18"/>
          <w:szCs w:val="18"/>
          <w:lang w:val="es-ES_tradnl"/>
        </w:rPr>
        <w:t>Santa Lucía</w:t>
      </w:r>
      <w:r w:rsidR="00617E77" w:rsidRPr="007078A2">
        <w:rPr>
          <w:sz w:val="18"/>
          <w:szCs w:val="18"/>
          <w:lang w:val="es-ES_tradnl"/>
        </w:rPr>
        <w:t xml:space="preserve">, </w:t>
      </w:r>
      <w:r w:rsidRPr="007078A2">
        <w:rPr>
          <w:sz w:val="18"/>
          <w:szCs w:val="18"/>
          <w:lang w:val="es-ES_tradnl"/>
        </w:rPr>
        <w:t>Honduras</w:t>
      </w:r>
      <w:r w:rsidR="00617E77" w:rsidRPr="007078A2">
        <w:rPr>
          <w:sz w:val="18"/>
          <w:szCs w:val="18"/>
          <w:lang w:val="es-ES_tradnl"/>
        </w:rPr>
        <w:t xml:space="preserve">, </w:t>
      </w:r>
      <w:r w:rsidRPr="007078A2">
        <w:rPr>
          <w:sz w:val="18"/>
          <w:szCs w:val="18"/>
          <w:lang w:val="es-ES_tradnl"/>
        </w:rPr>
        <w:t>Venezuela</w:t>
      </w:r>
      <w:r w:rsidR="00617E77" w:rsidRPr="007078A2">
        <w:rPr>
          <w:sz w:val="18"/>
          <w:szCs w:val="18"/>
          <w:lang w:val="es-ES_tradnl"/>
        </w:rPr>
        <w:t xml:space="preserve">, </w:t>
      </w:r>
      <w:r w:rsidRPr="007078A2">
        <w:rPr>
          <w:sz w:val="18"/>
          <w:szCs w:val="18"/>
          <w:lang w:val="es-ES_tradnl"/>
        </w:rPr>
        <w:t>Bolivia (Estado Plurinacional de)</w:t>
      </w:r>
      <w:r w:rsidR="00617E77" w:rsidRPr="007078A2">
        <w:rPr>
          <w:sz w:val="18"/>
          <w:szCs w:val="18"/>
          <w:lang w:val="es-ES_tradnl"/>
        </w:rPr>
        <w:t xml:space="preserve">, </w:t>
      </w:r>
      <w:r w:rsidRPr="007078A2">
        <w:rPr>
          <w:sz w:val="18"/>
          <w:szCs w:val="18"/>
          <w:lang w:val="es-ES_tradnl"/>
        </w:rPr>
        <w:t>México</w:t>
      </w:r>
      <w:r w:rsidR="00617E77" w:rsidRPr="007078A2">
        <w:rPr>
          <w:sz w:val="18"/>
          <w:szCs w:val="18"/>
          <w:lang w:val="es-ES_tradnl"/>
        </w:rPr>
        <w:t xml:space="preserve">, </w:t>
      </w:r>
      <w:r w:rsidRPr="007078A2">
        <w:rPr>
          <w:sz w:val="18"/>
          <w:szCs w:val="18"/>
          <w:lang w:val="es-ES_tradnl"/>
        </w:rPr>
        <w:t>Dominicana (Rep.)</w:t>
      </w:r>
      <w:r w:rsidR="00617E77" w:rsidRPr="007078A2">
        <w:rPr>
          <w:sz w:val="18"/>
          <w:szCs w:val="18"/>
          <w:lang w:val="es-ES_tradnl"/>
        </w:rPr>
        <w:t xml:space="preserve">, </w:t>
      </w:r>
      <w:r w:rsidRPr="007078A2">
        <w:rPr>
          <w:sz w:val="18"/>
          <w:szCs w:val="18"/>
          <w:lang w:val="es-ES_tradnl"/>
        </w:rPr>
        <w:t>Canadá</w:t>
      </w:r>
      <w:r w:rsidR="00617E77" w:rsidRPr="007078A2">
        <w:rPr>
          <w:sz w:val="18"/>
          <w:szCs w:val="18"/>
          <w:lang w:val="es-ES_tradnl"/>
        </w:rPr>
        <w:t xml:space="preserve">, </w:t>
      </w:r>
      <w:r w:rsidRPr="007078A2">
        <w:rPr>
          <w:sz w:val="18"/>
          <w:szCs w:val="18"/>
          <w:lang w:val="es-ES_tradnl"/>
        </w:rPr>
        <w:t>Bahamas</w:t>
      </w:r>
      <w:r w:rsidR="00617E77" w:rsidRPr="007078A2">
        <w:rPr>
          <w:sz w:val="18"/>
          <w:szCs w:val="18"/>
          <w:lang w:val="es-ES_tradnl"/>
        </w:rPr>
        <w:t xml:space="preserve">, </w:t>
      </w:r>
      <w:r w:rsidRPr="007078A2">
        <w:rPr>
          <w:sz w:val="18"/>
          <w:szCs w:val="18"/>
          <w:lang w:val="es-ES_tradnl"/>
        </w:rPr>
        <w:t>Ecuador</w:t>
      </w:r>
      <w:r w:rsidR="00617E77" w:rsidRPr="007078A2">
        <w:rPr>
          <w:sz w:val="18"/>
          <w:szCs w:val="18"/>
          <w:lang w:val="es-ES_tradnl"/>
        </w:rPr>
        <w:t xml:space="preserve">, </w:t>
      </w:r>
      <w:r w:rsidRPr="007078A2">
        <w:rPr>
          <w:sz w:val="18"/>
          <w:szCs w:val="18"/>
          <w:lang w:val="es-ES_tradnl"/>
        </w:rPr>
        <w:t>Haití</w:t>
      </w:r>
      <w:r w:rsidR="00617E77" w:rsidRPr="007078A2">
        <w:rPr>
          <w:sz w:val="18"/>
          <w:szCs w:val="18"/>
          <w:lang w:val="es-ES_tradnl"/>
        </w:rPr>
        <w:t xml:space="preserve">, </w:t>
      </w:r>
      <w:r w:rsidRPr="007078A2">
        <w:rPr>
          <w:sz w:val="18"/>
          <w:szCs w:val="18"/>
          <w:lang w:val="es-ES_tradnl"/>
        </w:rPr>
        <w:t>Guyana</w:t>
      </w:r>
      <w:r w:rsidR="00617E77" w:rsidRPr="007078A2">
        <w:rPr>
          <w:sz w:val="18"/>
          <w:szCs w:val="18"/>
          <w:lang w:val="es-ES_tradnl"/>
        </w:rPr>
        <w:t xml:space="preserve">, </w:t>
      </w:r>
      <w:r w:rsidR="00E45B55" w:rsidRPr="007078A2">
        <w:rPr>
          <w:sz w:val="18"/>
          <w:szCs w:val="18"/>
          <w:lang w:val="es-ES_tradnl"/>
        </w:rPr>
        <w:t>Belice</w:t>
      </w:r>
      <w:r w:rsidR="00617E77" w:rsidRPr="007078A2">
        <w:rPr>
          <w:sz w:val="18"/>
          <w:szCs w:val="18"/>
          <w:lang w:val="es-ES_tradnl"/>
        </w:rPr>
        <w:t xml:space="preserve">, </w:t>
      </w:r>
      <w:r w:rsidR="00E45B55" w:rsidRPr="007078A2">
        <w:rPr>
          <w:sz w:val="18"/>
          <w:szCs w:val="18"/>
          <w:lang w:val="es-ES_tradnl"/>
        </w:rPr>
        <w:t>Cuba</w:t>
      </w:r>
    </w:p>
    <w:p w:rsidR="000A39FD" w:rsidRPr="007078A2" w:rsidRDefault="00617E77" w:rsidP="00617E77">
      <w:pPr>
        <w:keepNext/>
        <w:keepLines/>
        <w:spacing w:before="0"/>
        <w:jc w:val="both"/>
        <w:rPr>
          <w:sz w:val="18"/>
          <w:szCs w:val="18"/>
          <w:lang w:val="es-ES_tradnl"/>
        </w:rPr>
      </w:pPr>
      <w:r w:rsidRPr="007078A2">
        <w:rPr>
          <w:sz w:val="18"/>
          <w:szCs w:val="18"/>
          <w:lang w:val="es-ES_tradnl"/>
        </w:rPr>
        <w:t xml:space="preserve">Por 100 habitantes </w:t>
      </w:r>
      <w:r w:rsidRPr="007078A2">
        <w:rPr>
          <w:sz w:val="18"/>
          <w:szCs w:val="18"/>
          <w:lang w:val="es-ES_tradnl"/>
        </w:rPr>
        <w:tab/>
      </w:r>
      <w:r w:rsidR="000A39FD" w:rsidRPr="007078A2">
        <w:rPr>
          <w:sz w:val="18"/>
          <w:szCs w:val="18"/>
          <w:lang w:val="es-ES_tradnl"/>
        </w:rPr>
        <w:t>África</w:t>
      </w:r>
      <w:r w:rsidRPr="007078A2">
        <w:rPr>
          <w:sz w:val="18"/>
          <w:szCs w:val="18"/>
          <w:lang w:val="es-ES_tradnl"/>
        </w:rPr>
        <w:t xml:space="preserve"> – </w:t>
      </w:r>
      <w:r w:rsidR="00332216" w:rsidRPr="007078A2">
        <w:rPr>
          <w:sz w:val="18"/>
          <w:szCs w:val="18"/>
          <w:lang w:val="es-ES_tradnl"/>
        </w:rPr>
        <w:t>Asia-Pacífico</w:t>
      </w:r>
      <w:r w:rsidRPr="007078A2">
        <w:rPr>
          <w:sz w:val="18"/>
          <w:szCs w:val="18"/>
          <w:lang w:val="es-ES_tradnl"/>
        </w:rPr>
        <w:t xml:space="preserve"> – </w:t>
      </w:r>
      <w:r w:rsidR="00332216" w:rsidRPr="007078A2">
        <w:rPr>
          <w:sz w:val="18"/>
          <w:szCs w:val="18"/>
          <w:lang w:val="es-ES_tradnl"/>
        </w:rPr>
        <w:t>Estados Árabes</w:t>
      </w:r>
      <w:r w:rsidRPr="007078A2">
        <w:rPr>
          <w:sz w:val="18"/>
          <w:szCs w:val="18"/>
          <w:lang w:val="es-ES_tradnl"/>
        </w:rPr>
        <w:t xml:space="preserve"> – </w:t>
      </w:r>
      <w:r w:rsidR="000A39FD" w:rsidRPr="007078A2">
        <w:rPr>
          <w:sz w:val="18"/>
          <w:szCs w:val="18"/>
          <w:lang w:val="es-ES_tradnl"/>
        </w:rPr>
        <w:t>Américas</w:t>
      </w:r>
      <w:r w:rsidRPr="007078A2">
        <w:rPr>
          <w:sz w:val="18"/>
          <w:szCs w:val="18"/>
          <w:lang w:val="es-ES_tradnl"/>
        </w:rPr>
        <w:t xml:space="preserve"> – </w:t>
      </w:r>
      <w:r w:rsidR="00332216" w:rsidRPr="007078A2">
        <w:rPr>
          <w:sz w:val="18"/>
          <w:szCs w:val="18"/>
          <w:lang w:val="es-ES_tradnl"/>
        </w:rPr>
        <w:t>Europa</w:t>
      </w:r>
      <w:r w:rsidRPr="007078A2">
        <w:rPr>
          <w:sz w:val="18"/>
          <w:szCs w:val="18"/>
          <w:lang w:val="es-ES_tradnl"/>
        </w:rPr>
        <w:t xml:space="preserve"> – </w:t>
      </w:r>
      <w:r w:rsidR="00332216" w:rsidRPr="007078A2">
        <w:rPr>
          <w:sz w:val="18"/>
          <w:szCs w:val="18"/>
          <w:lang w:val="es-ES_tradnl"/>
        </w:rPr>
        <w:t>C</w:t>
      </w:r>
      <w:r w:rsidR="000A39FD" w:rsidRPr="007078A2">
        <w:rPr>
          <w:sz w:val="18"/>
          <w:szCs w:val="18"/>
          <w:lang w:val="es-ES_tradnl"/>
        </w:rPr>
        <w:t>EI</w:t>
      </w:r>
      <w:r w:rsidRPr="007078A2">
        <w:rPr>
          <w:sz w:val="18"/>
          <w:szCs w:val="18"/>
          <w:lang w:val="es-ES_tradnl"/>
        </w:rPr>
        <w:t xml:space="preserve"> – </w:t>
      </w:r>
      <w:r w:rsidR="000A39FD" w:rsidRPr="007078A2">
        <w:rPr>
          <w:sz w:val="18"/>
          <w:szCs w:val="18"/>
          <w:lang w:val="es-ES_tradnl"/>
        </w:rPr>
        <w:t>En desarrollo</w:t>
      </w:r>
      <w:r w:rsidRPr="007078A2">
        <w:rPr>
          <w:sz w:val="18"/>
          <w:szCs w:val="18"/>
          <w:lang w:val="es-ES_tradnl"/>
        </w:rPr>
        <w:t xml:space="preserve"> – </w:t>
      </w:r>
      <w:r w:rsidR="000A39FD" w:rsidRPr="007078A2">
        <w:rPr>
          <w:sz w:val="18"/>
          <w:szCs w:val="18"/>
          <w:lang w:val="es-ES_tradnl"/>
        </w:rPr>
        <w:t>Mundo</w:t>
      </w:r>
      <w:r w:rsidRPr="007078A2">
        <w:rPr>
          <w:sz w:val="18"/>
          <w:szCs w:val="18"/>
          <w:lang w:val="es-ES_tradnl"/>
        </w:rPr>
        <w:t xml:space="preserve"> – </w:t>
      </w:r>
      <w:r w:rsidR="000A39FD" w:rsidRPr="007078A2">
        <w:rPr>
          <w:sz w:val="18"/>
          <w:szCs w:val="18"/>
          <w:lang w:val="es-ES_tradnl"/>
        </w:rPr>
        <w:t>Desarrollados</w:t>
      </w:r>
    </w:p>
    <w:p w:rsidR="000A39FD" w:rsidRPr="007078A2" w:rsidRDefault="000A39FD" w:rsidP="00C259F8">
      <w:pPr>
        <w:rPr>
          <w:lang w:val="es-ES_tradnl"/>
        </w:rPr>
      </w:pPr>
      <w:r w:rsidRPr="007078A2">
        <w:rPr>
          <w:lang w:val="es-ES_tradnl"/>
        </w:rPr>
        <w:t xml:space="preserve">Entre todas las regiones, la de las Américas tiene las tasas de suscripción a la banda ancha móvil más elevadas, que se pueden atribuir en parte a la presencia de Estados Unidos, con su población numerosa y sus elevados ingresos. La UIT estima que a finales de 2016 las suscripciones a la banda ancha móvil por 100 habitantes en toda la región de las Américas alcanzarán más de 78%. En la región, doce países tienen tasas de penetración de la banda ancha móvil superiores a la media mundial de 49% (véase el Gráfico </w:t>
      </w:r>
      <w:r w:rsidRPr="007078A2">
        <w:rPr>
          <w:lang w:val="es-ES_tradnl"/>
        </w:rPr>
        <w:lastRenderedPageBreak/>
        <w:t>2.3). Entre 2010 y 2015, Costa Rica y Brasil experimentaron los niveles de crecimiento más elevados de la</w:t>
      </w:r>
      <w:r w:rsidR="004F29F5">
        <w:rPr>
          <w:lang w:val="es-ES_tradnl"/>
        </w:rPr>
        <w:t>s</w:t>
      </w:r>
      <w:r w:rsidRPr="007078A2">
        <w:rPr>
          <w:lang w:val="es-ES_tradnl"/>
        </w:rPr>
        <w:t xml:space="preserve"> suscripciones a la banda ancha móvil, por delante de Canadá y Venezuela, los países clasificados segundo y tercero en los niveles de penetración de la banda ancha móvil en la región en 2010. Conviene señalar también la experiencia de Suriname y de </w:t>
      </w:r>
      <w:r w:rsidR="00442022">
        <w:rPr>
          <w:lang w:val="es-ES_tradnl"/>
        </w:rPr>
        <w:t>Saint Kitts y Nevis</w:t>
      </w:r>
      <w:r w:rsidRPr="007078A2">
        <w:rPr>
          <w:lang w:val="es-ES_tradnl"/>
        </w:rPr>
        <w:t>, que han pasado de no tener servicio de banda ancha móvil en 2010 a unas tasas de penetración superiores a 70% en 2015. Si se mantiene esa tendencia al crecimiento, cabe esperar que Costa Rica, Brasil, Uruguay, Suriname y Saint Kits &amp; Nevis alcancen un nivel de 100% de adopción de la banda ancha móvil en menos de 5 años. Actualmente, el mercado de la banda ancha móvil en la región de las Américas dista mucho de estar saturado y todavía ofrece mucho potencial de expansión.</w:t>
      </w:r>
    </w:p>
    <w:p w:rsidR="000A39FD" w:rsidRPr="007078A2" w:rsidRDefault="00C259F8" w:rsidP="00617E77">
      <w:pPr>
        <w:pStyle w:val="FigureNotitle"/>
      </w:pPr>
      <w:r w:rsidRPr="007078A2">
        <w:rPr>
          <w:noProof/>
          <w:lang w:val="en-GB" w:eastAsia="zh-CN"/>
        </w:rPr>
        <w:drawing>
          <wp:anchor distT="0" distB="0" distL="114300" distR="114300" simplePos="0" relativeHeight="251664384" behindDoc="1" locked="0" layoutInCell="1" allowOverlap="1" wp14:anchorId="77278686" wp14:editId="4260C7C1">
            <wp:simplePos x="0" y="0"/>
            <wp:positionH relativeFrom="margin">
              <wp:align>left</wp:align>
            </wp:positionH>
            <wp:positionV relativeFrom="paragraph">
              <wp:posOffset>530784</wp:posOffset>
            </wp:positionV>
            <wp:extent cx="5356225" cy="5745480"/>
            <wp:effectExtent l="0" t="0" r="0" b="762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6225" cy="5745480"/>
                    </a:xfrm>
                    <a:prstGeom prst="rect">
                      <a:avLst/>
                    </a:prstGeom>
                    <a:noFill/>
                  </pic:spPr>
                </pic:pic>
              </a:graphicData>
            </a:graphic>
          </wp:anchor>
        </w:drawing>
      </w:r>
      <w:r w:rsidR="000A39FD" w:rsidRPr="007078A2">
        <w:t>Gráfico 2.3: Suscripciones activas en la banda ancha móvil por 100 habitantes, por país, en las Américas, 2015 (arriba) y por región, 2016*(abajo)</w:t>
      </w:r>
    </w:p>
    <w:p w:rsidR="00C259F8" w:rsidRPr="007078A2" w:rsidRDefault="00FD10EE" w:rsidP="00617E77">
      <w:pPr>
        <w:spacing w:before="0"/>
        <w:jc w:val="both"/>
        <w:rPr>
          <w:b/>
          <w:bCs/>
          <w:sz w:val="18"/>
          <w:szCs w:val="18"/>
          <w:lang w:val="es-ES_tradnl"/>
        </w:rPr>
      </w:pPr>
      <w:r w:rsidRPr="007078A2">
        <w:rPr>
          <w:b/>
          <w:bCs/>
          <w:sz w:val="18"/>
          <w:szCs w:val="18"/>
          <w:lang w:val="es-ES_tradnl"/>
        </w:rPr>
        <w:t xml:space="preserve">Leyenda del gráfico </w:t>
      </w:r>
      <w:r w:rsidR="00C259F8" w:rsidRPr="007078A2">
        <w:rPr>
          <w:b/>
          <w:bCs/>
          <w:sz w:val="18"/>
          <w:szCs w:val="18"/>
          <w:lang w:val="es-ES_tradnl"/>
        </w:rPr>
        <w:t>2.3:</w:t>
      </w:r>
    </w:p>
    <w:p w:rsidR="00C259F8" w:rsidRPr="007078A2" w:rsidRDefault="005476B5" w:rsidP="00617E77">
      <w:pPr>
        <w:spacing w:before="0"/>
        <w:jc w:val="both"/>
        <w:rPr>
          <w:sz w:val="18"/>
          <w:szCs w:val="18"/>
          <w:lang w:val="es-ES_tradnl"/>
        </w:rPr>
      </w:pPr>
      <w:r w:rsidRPr="007078A2">
        <w:rPr>
          <w:sz w:val="18"/>
          <w:szCs w:val="18"/>
          <w:lang w:val="es-ES_tradnl"/>
        </w:rPr>
        <w:t>Estados Unidos</w:t>
      </w:r>
      <w:r w:rsidR="00617E77" w:rsidRPr="007078A2">
        <w:rPr>
          <w:sz w:val="18"/>
          <w:szCs w:val="18"/>
          <w:lang w:val="es-ES_tradnl"/>
        </w:rPr>
        <w:t xml:space="preserve">, </w:t>
      </w:r>
      <w:r w:rsidRPr="007078A2">
        <w:rPr>
          <w:sz w:val="18"/>
          <w:szCs w:val="18"/>
          <w:lang w:val="es-ES_tradnl"/>
        </w:rPr>
        <w:t>Costa Rica</w:t>
      </w:r>
      <w:r w:rsidR="00617E77" w:rsidRPr="007078A2">
        <w:rPr>
          <w:sz w:val="18"/>
          <w:szCs w:val="18"/>
          <w:lang w:val="es-ES_tradnl"/>
        </w:rPr>
        <w:t xml:space="preserve">, </w:t>
      </w:r>
      <w:r w:rsidRPr="007078A2">
        <w:rPr>
          <w:sz w:val="18"/>
          <w:szCs w:val="18"/>
          <w:lang w:val="es-ES_tradnl"/>
        </w:rPr>
        <w:t>Brasil</w:t>
      </w:r>
      <w:r w:rsidR="00617E77" w:rsidRPr="007078A2">
        <w:rPr>
          <w:sz w:val="18"/>
          <w:szCs w:val="18"/>
          <w:lang w:val="es-ES_tradnl"/>
        </w:rPr>
        <w:t xml:space="preserve">, </w:t>
      </w:r>
      <w:r w:rsidRPr="007078A2">
        <w:rPr>
          <w:sz w:val="18"/>
          <w:szCs w:val="18"/>
          <w:lang w:val="es-ES_tradnl"/>
        </w:rPr>
        <w:t>Uruguay</w:t>
      </w:r>
      <w:r w:rsidR="00617E77" w:rsidRPr="007078A2">
        <w:rPr>
          <w:sz w:val="18"/>
          <w:szCs w:val="18"/>
          <w:lang w:val="es-ES_tradnl"/>
        </w:rPr>
        <w:t xml:space="preserve">, </w:t>
      </w:r>
      <w:r w:rsidRPr="007078A2">
        <w:rPr>
          <w:sz w:val="18"/>
          <w:szCs w:val="18"/>
          <w:lang w:val="es-ES_tradnl"/>
        </w:rPr>
        <w:t>Suriname</w:t>
      </w:r>
      <w:r w:rsidR="00617E77" w:rsidRPr="007078A2">
        <w:rPr>
          <w:sz w:val="18"/>
          <w:szCs w:val="18"/>
          <w:lang w:val="es-ES_tradnl"/>
        </w:rPr>
        <w:t xml:space="preserve">, </w:t>
      </w:r>
      <w:r w:rsidRPr="007078A2">
        <w:rPr>
          <w:sz w:val="18"/>
          <w:szCs w:val="18"/>
          <w:lang w:val="es-ES_tradnl"/>
        </w:rPr>
        <w:t>Saint Kitts y Nevis</w:t>
      </w:r>
      <w:r w:rsidR="00617E77" w:rsidRPr="007078A2">
        <w:rPr>
          <w:sz w:val="18"/>
          <w:szCs w:val="18"/>
          <w:lang w:val="es-ES_tradnl"/>
        </w:rPr>
        <w:t xml:space="preserve">, </w:t>
      </w:r>
      <w:r w:rsidRPr="007078A2">
        <w:rPr>
          <w:sz w:val="18"/>
          <w:szCs w:val="18"/>
          <w:lang w:val="es-ES_tradnl"/>
        </w:rPr>
        <w:t>Argentina</w:t>
      </w:r>
      <w:r w:rsidR="00617E77" w:rsidRPr="007078A2">
        <w:rPr>
          <w:sz w:val="18"/>
          <w:szCs w:val="18"/>
          <w:lang w:val="es-ES_tradnl"/>
        </w:rPr>
        <w:t xml:space="preserve">, </w:t>
      </w:r>
      <w:r w:rsidRPr="007078A2">
        <w:rPr>
          <w:sz w:val="18"/>
          <w:szCs w:val="18"/>
          <w:lang w:val="es-ES_tradnl"/>
        </w:rPr>
        <w:t>Chile</w:t>
      </w:r>
      <w:r w:rsidR="00617E77" w:rsidRPr="007078A2">
        <w:rPr>
          <w:sz w:val="18"/>
          <w:szCs w:val="18"/>
          <w:lang w:val="es-ES_tradnl"/>
        </w:rPr>
        <w:t xml:space="preserve">, </w:t>
      </w:r>
      <w:r w:rsidRPr="007078A2">
        <w:rPr>
          <w:sz w:val="18"/>
          <w:szCs w:val="18"/>
          <w:lang w:val="es-ES_tradnl"/>
        </w:rPr>
        <w:t>Canadá</w:t>
      </w:r>
      <w:r w:rsidR="00617E77" w:rsidRPr="007078A2">
        <w:rPr>
          <w:sz w:val="18"/>
          <w:szCs w:val="18"/>
          <w:lang w:val="es-ES_tradnl"/>
        </w:rPr>
        <w:t xml:space="preserve">, </w:t>
      </w:r>
      <w:r w:rsidRPr="007078A2">
        <w:rPr>
          <w:sz w:val="18"/>
          <w:szCs w:val="18"/>
          <w:lang w:val="es-ES_tradnl"/>
        </w:rPr>
        <w:t>Barbados</w:t>
      </w:r>
      <w:r w:rsidR="00617E77" w:rsidRPr="007078A2">
        <w:rPr>
          <w:sz w:val="18"/>
          <w:szCs w:val="18"/>
          <w:lang w:val="es-ES_tradnl"/>
        </w:rPr>
        <w:t xml:space="preserve">, </w:t>
      </w:r>
      <w:r w:rsidRPr="007078A2">
        <w:rPr>
          <w:sz w:val="18"/>
          <w:szCs w:val="18"/>
          <w:lang w:val="es-ES_tradnl"/>
        </w:rPr>
        <w:t>Jamaica</w:t>
      </w:r>
      <w:r w:rsidR="00617E77" w:rsidRPr="007078A2">
        <w:rPr>
          <w:sz w:val="18"/>
          <w:szCs w:val="18"/>
          <w:lang w:val="es-ES_tradnl"/>
        </w:rPr>
        <w:t xml:space="preserve">, </w:t>
      </w:r>
      <w:r w:rsidRPr="007078A2">
        <w:rPr>
          <w:sz w:val="18"/>
          <w:szCs w:val="18"/>
          <w:lang w:val="es-ES_tradnl"/>
        </w:rPr>
        <w:t>México</w:t>
      </w:r>
      <w:r w:rsidR="00617E77" w:rsidRPr="007078A2">
        <w:rPr>
          <w:sz w:val="18"/>
          <w:szCs w:val="18"/>
          <w:lang w:val="es-ES_tradnl"/>
        </w:rPr>
        <w:t xml:space="preserve">, </w:t>
      </w:r>
      <w:r w:rsidRPr="007078A2">
        <w:rPr>
          <w:sz w:val="18"/>
          <w:szCs w:val="18"/>
          <w:lang w:val="es-ES_tradnl"/>
        </w:rPr>
        <w:t>Venezuela</w:t>
      </w:r>
      <w:r w:rsidR="00617E77" w:rsidRPr="007078A2">
        <w:rPr>
          <w:sz w:val="18"/>
          <w:szCs w:val="18"/>
          <w:lang w:val="es-ES_tradnl"/>
        </w:rPr>
        <w:t xml:space="preserve">, </w:t>
      </w:r>
      <w:r w:rsidRPr="007078A2">
        <w:rPr>
          <w:sz w:val="18"/>
          <w:szCs w:val="18"/>
          <w:lang w:val="es-ES_tradnl"/>
        </w:rPr>
        <w:t>Dominica</w:t>
      </w:r>
      <w:r w:rsidR="00617E77" w:rsidRPr="007078A2">
        <w:rPr>
          <w:sz w:val="18"/>
          <w:szCs w:val="18"/>
          <w:lang w:val="es-ES_tradnl"/>
        </w:rPr>
        <w:t xml:space="preserve">, </w:t>
      </w:r>
      <w:r w:rsidRPr="007078A2">
        <w:rPr>
          <w:sz w:val="18"/>
          <w:szCs w:val="18"/>
          <w:lang w:val="es-ES_tradnl"/>
        </w:rPr>
        <w:t>Colombia</w:t>
      </w:r>
      <w:r w:rsidR="00617E77" w:rsidRPr="007078A2">
        <w:rPr>
          <w:sz w:val="18"/>
          <w:szCs w:val="18"/>
          <w:lang w:val="es-ES_tradnl"/>
        </w:rPr>
        <w:t xml:space="preserve">, </w:t>
      </w:r>
      <w:r w:rsidRPr="007078A2">
        <w:rPr>
          <w:sz w:val="18"/>
          <w:szCs w:val="18"/>
          <w:lang w:val="es-ES_tradnl"/>
        </w:rPr>
        <w:t>Dominicana (Rep.)</w:t>
      </w:r>
      <w:r w:rsidR="00617E77" w:rsidRPr="007078A2">
        <w:rPr>
          <w:sz w:val="18"/>
          <w:szCs w:val="18"/>
          <w:lang w:val="es-ES_tradnl"/>
        </w:rPr>
        <w:t xml:space="preserve">, </w:t>
      </w:r>
      <w:r w:rsidRPr="007078A2">
        <w:rPr>
          <w:sz w:val="18"/>
          <w:szCs w:val="18"/>
          <w:lang w:val="es-ES_tradnl"/>
        </w:rPr>
        <w:t>Paraguay</w:t>
      </w:r>
      <w:r w:rsidR="00617E77" w:rsidRPr="007078A2">
        <w:rPr>
          <w:sz w:val="18"/>
          <w:szCs w:val="18"/>
          <w:lang w:val="es-ES_tradnl"/>
        </w:rPr>
        <w:t xml:space="preserve">, </w:t>
      </w:r>
      <w:r w:rsidRPr="007078A2">
        <w:rPr>
          <w:sz w:val="18"/>
          <w:szCs w:val="18"/>
          <w:lang w:val="es-ES_tradnl"/>
        </w:rPr>
        <w:t>San Vicente y las Granadinas</w:t>
      </w:r>
      <w:r w:rsidR="00617E77" w:rsidRPr="007078A2">
        <w:rPr>
          <w:sz w:val="18"/>
          <w:szCs w:val="18"/>
          <w:lang w:val="es-ES_tradnl"/>
        </w:rPr>
        <w:t xml:space="preserve">, </w:t>
      </w:r>
      <w:r w:rsidRPr="007078A2">
        <w:rPr>
          <w:sz w:val="18"/>
          <w:szCs w:val="18"/>
          <w:lang w:val="es-ES_tradnl"/>
        </w:rPr>
        <w:t>Perú</w:t>
      </w:r>
      <w:r w:rsidR="00617E77" w:rsidRPr="007078A2">
        <w:rPr>
          <w:sz w:val="18"/>
          <w:szCs w:val="18"/>
          <w:lang w:val="es-ES_tradnl"/>
        </w:rPr>
        <w:t xml:space="preserve">, </w:t>
      </w:r>
      <w:r w:rsidRPr="007078A2">
        <w:rPr>
          <w:sz w:val="18"/>
          <w:szCs w:val="18"/>
          <w:lang w:val="es-ES_tradnl"/>
        </w:rPr>
        <w:t>Ecuador</w:t>
      </w:r>
      <w:r w:rsidR="00617E77" w:rsidRPr="007078A2">
        <w:rPr>
          <w:sz w:val="18"/>
          <w:szCs w:val="18"/>
          <w:lang w:val="es-ES_tradnl"/>
        </w:rPr>
        <w:t xml:space="preserve">, </w:t>
      </w:r>
      <w:r w:rsidRPr="007078A2">
        <w:rPr>
          <w:sz w:val="18"/>
          <w:szCs w:val="18"/>
          <w:lang w:val="es-ES_tradnl"/>
        </w:rPr>
        <w:t>Bolivia (Estado Plurinacional de)</w:t>
      </w:r>
      <w:r w:rsidR="00617E77" w:rsidRPr="007078A2">
        <w:rPr>
          <w:sz w:val="18"/>
          <w:szCs w:val="18"/>
          <w:lang w:val="es-ES_tradnl"/>
        </w:rPr>
        <w:t xml:space="preserve">, </w:t>
      </w:r>
      <w:r w:rsidRPr="007078A2">
        <w:rPr>
          <w:sz w:val="18"/>
          <w:szCs w:val="18"/>
          <w:lang w:val="es-ES_tradnl"/>
        </w:rPr>
        <w:t>Antigua y Barbuda</w:t>
      </w:r>
      <w:r w:rsidR="00617E77" w:rsidRPr="007078A2">
        <w:rPr>
          <w:sz w:val="18"/>
          <w:szCs w:val="18"/>
          <w:lang w:val="es-ES_tradnl"/>
        </w:rPr>
        <w:t xml:space="preserve">, </w:t>
      </w:r>
      <w:r w:rsidRPr="007078A2">
        <w:rPr>
          <w:sz w:val="18"/>
          <w:szCs w:val="18"/>
          <w:lang w:val="es-ES_tradnl"/>
        </w:rPr>
        <w:t>Santa Lucía</w:t>
      </w:r>
      <w:r w:rsidR="00617E77" w:rsidRPr="007078A2">
        <w:rPr>
          <w:sz w:val="18"/>
          <w:szCs w:val="18"/>
          <w:lang w:val="es-ES_tradnl"/>
        </w:rPr>
        <w:t xml:space="preserve">, </w:t>
      </w:r>
      <w:r w:rsidR="00C259F8" w:rsidRPr="007078A2">
        <w:rPr>
          <w:sz w:val="18"/>
          <w:szCs w:val="18"/>
          <w:lang w:val="es-ES_tradnl"/>
        </w:rPr>
        <w:t>Panamá</w:t>
      </w:r>
      <w:r w:rsidR="00617E77" w:rsidRPr="007078A2">
        <w:rPr>
          <w:sz w:val="18"/>
          <w:szCs w:val="18"/>
          <w:lang w:val="es-ES_tradnl"/>
        </w:rPr>
        <w:t xml:space="preserve">, </w:t>
      </w:r>
      <w:r w:rsidR="00C259F8" w:rsidRPr="007078A2">
        <w:rPr>
          <w:sz w:val="18"/>
          <w:szCs w:val="18"/>
          <w:lang w:val="es-ES_tradnl"/>
        </w:rPr>
        <w:t>Trinidad y Tabago</w:t>
      </w:r>
      <w:r w:rsidR="00617E77" w:rsidRPr="007078A2">
        <w:rPr>
          <w:sz w:val="18"/>
          <w:szCs w:val="18"/>
          <w:lang w:val="es-ES_tradnl"/>
        </w:rPr>
        <w:t xml:space="preserve">, </w:t>
      </w:r>
      <w:r w:rsidRPr="007078A2">
        <w:rPr>
          <w:sz w:val="18"/>
          <w:szCs w:val="18"/>
          <w:lang w:val="es-ES_tradnl"/>
        </w:rPr>
        <w:t>Belice</w:t>
      </w:r>
      <w:r w:rsidR="00617E77" w:rsidRPr="007078A2">
        <w:rPr>
          <w:sz w:val="18"/>
          <w:szCs w:val="18"/>
          <w:lang w:val="es-ES_tradnl"/>
        </w:rPr>
        <w:t xml:space="preserve">, </w:t>
      </w:r>
      <w:r w:rsidRPr="007078A2">
        <w:rPr>
          <w:sz w:val="18"/>
          <w:szCs w:val="18"/>
          <w:lang w:val="es-ES_tradnl"/>
        </w:rPr>
        <w:t>Granada</w:t>
      </w:r>
      <w:r w:rsidR="00617E77" w:rsidRPr="007078A2">
        <w:rPr>
          <w:sz w:val="18"/>
          <w:szCs w:val="18"/>
          <w:lang w:val="es-ES_tradnl"/>
        </w:rPr>
        <w:t xml:space="preserve">, </w:t>
      </w:r>
      <w:r w:rsidRPr="007078A2">
        <w:rPr>
          <w:sz w:val="18"/>
          <w:szCs w:val="18"/>
          <w:lang w:val="es-ES_tradnl"/>
        </w:rPr>
        <w:t>Bahamas</w:t>
      </w:r>
      <w:r w:rsidR="00617E77" w:rsidRPr="007078A2">
        <w:rPr>
          <w:sz w:val="18"/>
          <w:szCs w:val="18"/>
          <w:lang w:val="es-ES_tradnl"/>
        </w:rPr>
        <w:t xml:space="preserve">, </w:t>
      </w:r>
      <w:r w:rsidR="00C259F8" w:rsidRPr="007078A2">
        <w:rPr>
          <w:sz w:val="18"/>
          <w:szCs w:val="18"/>
          <w:lang w:val="es-ES_tradnl"/>
        </w:rPr>
        <w:t>El Salvador</w:t>
      </w:r>
      <w:r w:rsidR="00617E77" w:rsidRPr="007078A2">
        <w:rPr>
          <w:sz w:val="18"/>
          <w:szCs w:val="18"/>
          <w:lang w:val="es-ES_tradnl"/>
        </w:rPr>
        <w:t xml:space="preserve">, </w:t>
      </w:r>
      <w:r w:rsidRPr="007078A2">
        <w:rPr>
          <w:sz w:val="18"/>
          <w:szCs w:val="18"/>
          <w:lang w:val="es-ES_tradnl"/>
        </w:rPr>
        <w:t>Honduras</w:t>
      </w:r>
      <w:r w:rsidR="00617E77" w:rsidRPr="007078A2">
        <w:rPr>
          <w:sz w:val="18"/>
          <w:szCs w:val="18"/>
          <w:lang w:val="es-ES_tradnl"/>
        </w:rPr>
        <w:t xml:space="preserve">, </w:t>
      </w:r>
      <w:r w:rsidRPr="007078A2">
        <w:rPr>
          <w:sz w:val="18"/>
          <w:szCs w:val="18"/>
          <w:lang w:val="es-ES_tradnl"/>
        </w:rPr>
        <w:t>Guatemala</w:t>
      </w:r>
      <w:r w:rsidR="00617E77" w:rsidRPr="007078A2">
        <w:rPr>
          <w:sz w:val="18"/>
          <w:szCs w:val="18"/>
          <w:lang w:val="es-ES_tradnl"/>
        </w:rPr>
        <w:t xml:space="preserve">, </w:t>
      </w:r>
      <w:r w:rsidR="00C259F8" w:rsidRPr="007078A2">
        <w:rPr>
          <w:sz w:val="18"/>
          <w:szCs w:val="18"/>
          <w:lang w:val="es-ES_tradnl"/>
        </w:rPr>
        <w:t>Nicaragua</w:t>
      </w:r>
      <w:r w:rsidR="00617E77" w:rsidRPr="007078A2">
        <w:rPr>
          <w:sz w:val="18"/>
          <w:szCs w:val="18"/>
          <w:lang w:val="es-ES_tradnl"/>
        </w:rPr>
        <w:t xml:space="preserve">, </w:t>
      </w:r>
      <w:r w:rsidRPr="007078A2">
        <w:rPr>
          <w:sz w:val="18"/>
          <w:szCs w:val="18"/>
          <w:lang w:val="es-ES_tradnl"/>
        </w:rPr>
        <w:t>Guyana</w:t>
      </w:r>
      <w:r w:rsidR="00617E77" w:rsidRPr="007078A2">
        <w:rPr>
          <w:sz w:val="18"/>
          <w:szCs w:val="18"/>
          <w:lang w:val="es-ES_tradnl"/>
        </w:rPr>
        <w:t xml:space="preserve">, </w:t>
      </w:r>
      <w:r w:rsidR="00C259F8" w:rsidRPr="007078A2">
        <w:rPr>
          <w:sz w:val="18"/>
          <w:szCs w:val="18"/>
          <w:lang w:val="es-ES_tradnl"/>
        </w:rPr>
        <w:t>Haití</w:t>
      </w:r>
      <w:r w:rsidR="00617E77" w:rsidRPr="007078A2">
        <w:rPr>
          <w:sz w:val="18"/>
          <w:szCs w:val="18"/>
          <w:lang w:val="es-ES_tradnl"/>
        </w:rPr>
        <w:t xml:space="preserve">, </w:t>
      </w:r>
      <w:r w:rsidR="00C259F8" w:rsidRPr="007078A2">
        <w:rPr>
          <w:sz w:val="18"/>
          <w:szCs w:val="18"/>
          <w:lang w:val="es-ES_tradnl"/>
        </w:rPr>
        <w:t>Cuba</w:t>
      </w:r>
    </w:p>
    <w:p w:rsidR="00ED1352" w:rsidRPr="007078A2" w:rsidRDefault="00ED1352" w:rsidP="00617E77">
      <w:pPr>
        <w:spacing w:before="0"/>
        <w:jc w:val="both"/>
        <w:rPr>
          <w:sz w:val="18"/>
          <w:szCs w:val="18"/>
          <w:lang w:val="es-ES_tradnl"/>
        </w:rPr>
      </w:pPr>
      <w:r w:rsidRPr="007078A2">
        <w:rPr>
          <w:sz w:val="18"/>
          <w:szCs w:val="18"/>
          <w:lang w:val="es-ES_tradnl"/>
        </w:rPr>
        <w:t>Por 100 habitantes</w:t>
      </w:r>
    </w:p>
    <w:p w:rsidR="000A39FD" w:rsidRPr="007078A2" w:rsidRDefault="000A39FD" w:rsidP="00FF14BC">
      <w:pPr>
        <w:jc w:val="both"/>
        <w:rPr>
          <w:lang w:val="es-ES_tradnl"/>
        </w:rPr>
      </w:pPr>
      <w:r w:rsidRPr="007078A2">
        <w:rPr>
          <w:noProof/>
          <w:lang w:eastAsia="zh-CN"/>
        </w:rPr>
        <w:lastRenderedPageBreak/>
        <w:drawing>
          <wp:inline distT="0" distB="0" distL="0" distR="0" wp14:anchorId="15DC015F" wp14:editId="342D4D37">
            <wp:extent cx="4790364" cy="2773227"/>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9928" cy="2819288"/>
                    </a:xfrm>
                    <a:prstGeom prst="rect">
                      <a:avLst/>
                    </a:prstGeom>
                    <a:noFill/>
                  </pic:spPr>
                </pic:pic>
              </a:graphicData>
            </a:graphic>
          </wp:inline>
        </w:drawing>
      </w:r>
    </w:p>
    <w:p w:rsidR="000A39FD" w:rsidRPr="007078A2" w:rsidRDefault="000A39FD" w:rsidP="00FF14BC">
      <w:pPr>
        <w:jc w:val="both"/>
        <w:rPr>
          <w:sz w:val="18"/>
          <w:szCs w:val="18"/>
          <w:lang w:val="es-ES_tradnl"/>
        </w:rPr>
      </w:pPr>
      <w:r w:rsidRPr="007078A2">
        <w:rPr>
          <w:sz w:val="18"/>
          <w:szCs w:val="18"/>
          <w:lang w:val="es-ES_tradnl"/>
        </w:rPr>
        <w:t>Origen: UIT.</w:t>
      </w:r>
    </w:p>
    <w:p w:rsidR="000A39FD" w:rsidRPr="007078A2" w:rsidRDefault="000A39FD" w:rsidP="00FF14BC">
      <w:pPr>
        <w:jc w:val="both"/>
        <w:rPr>
          <w:sz w:val="18"/>
          <w:szCs w:val="18"/>
          <w:lang w:val="es-ES_tradnl"/>
        </w:rPr>
      </w:pPr>
      <w:r w:rsidRPr="007078A2">
        <w:rPr>
          <w:sz w:val="18"/>
          <w:szCs w:val="18"/>
          <w:lang w:val="es-ES_tradnl"/>
        </w:rPr>
        <w:t>Nota: * Estimación</w:t>
      </w:r>
    </w:p>
    <w:p w:rsidR="000A39FD" w:rsidRPr="007078A2" w:rsidRDefault="00FD10EE" w:rsidP="005476B5">
      <w:pPr>
        <w:keepNext/>
        <w:keepLines/>
        <w:spacing w:before="0"/>
        <w:jc w:val="both"/>
        <w:rPr>
          <w:b/>
          <w:bCs/>
          <w:sz w:val="18"/>
          <w:szCs w:val="18"/>
          <w:lang w:val="es-ES_tradnl"/>
        </w:rPr>
      </w:pPr>
      <w:r w:rsidRPr="007078A2">
        <w:rPr>
          <w:b/>
          <w:bCs/>
          <w:sz w:val="18"/>
          <w:szCs w:val="18"/>
          <w:lang w:val="es-ES_tradnl"/>
        </w:rPr>
        <w:t xml:space="preserve">Leyenda del gráfico </w:t>
      </w:r>
      <w:r w:rsidR="005476B5" w:rsidRPr="007078A2">
        <w:rPr>
          <w:b/>
          <w:bCs/>
          <w:sz w:val="18"/>
          <w:szCs w:val="18"/>
          <w:lang w:val="es-ES_tradnl"/>
        </w:rPr>
        <w:t>2.3 (</w:t>
      </w:r>
      <w:r w:rsidR="005476B5" w:rsidRPr="007078A2">
        <w:rPr>
          <w:b/>
          <w:bCs/>
          <w:i/>
          <w:iCs/>
          <w:sz w:val="18"/>
          <w:szCs w:val="18"/>
          <w:lang w:val="es-ES_tradnl"/>
        </w:rPr>
        <w:t>cont.</w:t>
      </w:r>
      <w:r w:rsidR="005476B5" w:rsidRPr="007078A2">
        <w:rPr>
          <w:b/>
          <w:bCs/>
          <w:sz w:val="18"/>
          <w:szCs w:val="18"/>
          <w:lang w:val="es-ES_tradnl"/>
        </w:rPr>
        <w:t>):</w:t>
      </w:r>
    </w:p>
    <w:p w:rsidR="000A39FD" w:rsidRPr="007078A2" w:rsidRDefault="005C5C87" w:rsidP="005C5C87">
      <w:pPr>
        <w:tabs>
          <w:tab w:val="clear" w:pos="794"/>
          <w:tab w:val="left" w:pos="426"/>
        </w:tabs>
        <w:spacing w:before="0"/>
        <w:jc w:val="both"/>
        <w:rPr>
          <w:sz w:val="18"/>
          <w:szCs w:val="18"/>
          <w:lang w:val="es-ES_tradnl"/>
        </w:rPr>
      </w:pPr>
      <w:r w:rsidRPr="007078A2">
        <w:rPr>
          <w:sz w:val="18"/>
          <w:szCs w:val="18"/>
          <w:lang w:val="es-ES_tradnl"/>
        </w:rPr>
        <w:t>África – Asia-Pacífico – Estados Árabes – CEI – Europa –– Américas – En desarrollo – Mundo – Desarrollados</w:t>
      </w:r>
    </w:p>
    <w:p w:rsidR="000A39FD" w:rsidRPr="007078A2" w:rsidRDefault="000A39FD" w:rsidP="00FA6C21">
      <w:pPr>
        <w:rPr>
          <w:lang w:val="es-ES_tradnl"/>
        </w:rPr>
      </w:pPr>
      <w:r w:rsidRPr="007078A2">
        <w:rPr>
          <w:lang w:val="es-ES_tradnl"/>
        </w:rPr>
        <w:t xml:space="preserve">Las inversiones en infraestructuras móviles, que ya se están llevando a cabo en muchos países de la región de las Américas, permitirán aumentar aún más la adopción de los servicios móviles celulares y de la banda ancha móvil. En 2015, 96% de la población de las Américas estaba cubierta por redes móviles de la segunda generación (2G). Por otra parte, la cobertura de banda ancha móvil se ha extendido rápidamente y 79% de la población ya puede recibir una señal móvil 3G. Entre los 27 países de las Américas que facilitaron cifras de su cobertura </w:t>
      </w:r>
      <w:r w:rsidR="00FA6C21" w:rsidRPr="007078A2">
        <w:rPr>
          <w:lang w:val="es-ES_tradnl"/>
        </w:rPr>
        <w:t>3G</w:t>
      </w:r>
      <w:r w:rsidRPr="007078A2">
        <w:rPr>
          <w:lang w:val="es-ES_tradnl"/>
        </w:rPr>
        <w:t xml:space="preserve"> en 2015, más de la mitad tenían ya una tasa de cobertura 3G de por lo menos 90%. Asimismo, de los 22 países que comunicaron cifras de cobertura LTE/4G, diez tienen tasas de cobertura superiores a la media mundial de 57,8%. Dado que sólo EEUU, Canadá y las Bahamas han alcanzado tasas de cobertura LTE/4G superiores a 90%, todavía queda mucho margen de expansión de las infraestructuras de red 3G y LTE/4G en el resto de la región.</w:t>
      </w:r>
    </w:p>
    <w:p w:rsidR="000A39FD" w:rsidRPr="007078A2" w:rsidRDefault="000A39FD" w:rsidP="005C5C87">
      <w:pPr>
        <w:pStyle w:val="FigureNotitle"/>
        <w:keepNext/>
      </w:pPr>
      <w:r w:rsidRPr="007078A2">
        <w:t>Gráfico 2.4: Población con cobertura 2G, 3G y LTE en la región de las Américas, 2015</w:t>
      </w:r>
    </w:p>
    <w:p w:rsidR="000A39FD" w:rsidRPr="007078A2" w:rsidRDefault="000A39FD" w:rsidP="00FF14BC">
      <w:pPr>
        <w:keepNext/>
        <w:keepLines/>
        <w:jc w:val="both"/>
        <w:rPr>
          <w:sz w:val="18"/>
          <w:szCs w:val="18"/>
          <w:lang w:val="es-ES_tradnl"/>
        </w:rPr>
      </w:pPr>
      <w:r w:rsidRPr="007078A2">
        <w:rPr>
          <w:noProof/>
          <w:lang w:eastAsia="zh-CN"/>
        </w:rPr>
        <w:drawing>
          <wp:inline distT="0" distB="0" distL="0" distR="0" wp14:anchorId="48F7F732" wp14:editId="6BD30630">
            <wp:extent cx="5871329" cy="1881383"/>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9828" cy="1893719"/>
                    </a:xfrm>
                    <a:prstGeom prst="rect">
                      <a:avLst/>
                    </a:prstGeom>
                    <a:noFill/>
                  </pic:spPr>
                </pic:pic>
              </a:graphicData>
            </a:graphic>
          </wp:inline>
        </w:drawing>
      </w:r>
      <w:r w:rsidRPr="007078A2">
        <w:rPr>
          <w:sz w:val="18"/>
          <w:szCs w:val="18"/>
          <w:lang w:val="es-ES_tradnl"/>
        </w:rPr>
        <w:t>Origen: UIT.</w:t>
      </w:r>
    </w:p>
    <w:p w:rsidR="00770788" w:rsidRPr="007078A2" w:rsidRDefault="00FD10EE" w:rsidP="00770788">
      <w:pPr>
        <w:keepNext/>
        <w:keepLines/>
        <w:spacing w:before="0"/>
        <w:jc w:val="both"/>
        <w:rPr>
          <w:b/>
          <w:bCs/>
          <w:sz w:val="18"/>
          <w:szCs w:val="18"/>
          <w:lang w:val="es-ES_tradnl"/>
        </w:rPr>
      </w:pPr>
      <w:r w:rsidRPr="007078A2">
        <w:rPr>
          <w:b/>
          <w:bCs/>
          <w:sz w:val="18"/>
          <w:szCs w:val="18"/>
          <w:lang w:val="es-ES_tradnl"/>
        </w:rPr>
        <w:t xml:space="preserve">Leyenda del gráfico </w:t>
      </w:r>
      <w:r w:rsidR="00770788" w:rsidRPr="007078A2">
        <w:rPr>
          <w:b/>
          <w:bCs/>
          <w:sz w:val="18"/>
          <w:szCs w:val="18"/>
          <w:lang w:val="es-ES_tradnl"/>
        </w:rPr>
        <w:t>2.4:</w:t>
      </w:r>
    </w:p>
    <w:p w:rsidR="000A39FD" w:rsidRPr="007078A2" w:rsidRDefault="000A39FD" w:rsidP="00770788">
      <w:pPr>
        <w:keepNext/>
        <w:keepLines/>
        <w:spacing w:before="0"/>
        <w:jc w:val="both"/>
        <w:rPr>
          <w:sz w:val="18"/>
          <w:szCs w:val="18"/>
          <w:lang w:val="es-ES_tradnl"/>
        </w:rPr>
      </w:pPr>
      <w:r w:rsidRPr="007078A2">
        <w:rPr>
          <w:sz w:val="18"/>
          <w:szCs w:val="18"/>
          <w:lang w:val="es-ES_tradnl"/>
        </w:rPr>
        <w:t>sin cobertura</w:t>
      </w:r>
    </w:p>
    <w:p w:rsidR="000A39FD" w:rsidRPr="007078A2" w:rsidRDefault="000A39FD" w:rsidP="00770788">
      <w:pPr>
        <w:keepNext/>
        <w:keepLines/>
        <w:spacing w:before="0"/>
        <w:jc w:val="both"/>
        <w:rPr>
          <w:sz w:val="18"/>
          <w:szCs w:val="18"/>
          <w:lang w:val="es-ES_tradnl"/>
        </w:rPr>
      </w:pPr>
      <w:r w:rsidRPr="007078A2">
        <w:rPr>
          <w:sz w:val="18"/>
          <w:szCs w:val="18"/>
          <w:lang w:val="es-ES_tradnl"/>
        </w:rPr>
        <w:t>con cobertura</w:t>
      </w:r>
    </w:p>
    <w:p w:rsidR="000A39FD" w:rsidRPr="007078A2" w:rsidRDefault="000A39FD" w:rsidP="00A55685">
      <w:pPr>
        <w:pStyle w:val="Headingb"/>
        <w:rPr>
          <w:rFonts w:asciiTheme="minorHAnsi" w:hAnsiTheme="minorHAnsi"/>
          <w:lang w:val="es-ES_tradnl"/>
        </w:rPr>
      </w:pPr>
      <w:bookmarkStart w:id="38" w:name="_Toc455476225"/>
      <w:bookmarkStart w:id="39" w:name="_Toc474413192"/>
      <w:r w:rsidRPr="007078A2">
        <w:rPr>
          <w:rFonts w:asciiTheme="minorHAnsi" w:hAnsiTheme="minorHAnsi"/>
          <w:lang w:val="es-ES_tradnl"/>
        </w:rPr>
        <w:t>Banda ancha fija y ancho de banda Internet internacional</w:t>
      </w:r>
      <w:bookmarkEnd w:id="38"/>
      <w:bookmarkEnd w:id="39"/>
    </w:p>
    <w:p w:rsidR="000A39FD" w:rsidRPr="007078A2" w:rsidRDefault="000A39FD" w:rsidP="00770788">
      <w:pPr>
        <w:rPr>
          <w:lang w:val="es-ES_tradnl"/>
        </w:rPr>
      </w:pPr>
      <w:r w:rsidRPr="007078A2">
        <w:rPr>
          <w:lang w:val="es-ES_tradnl"/>
        </w:rPr>
        <w:t xml:space="preserve">Entre todas las regiones, la de las Américas tiene la segunda tasa más elevada de suscripción a la banda ancha fija. La UIT estima un nivel de penetración de la banda ancha fija de casi 19% en las Américas en general en 2016, una cifra muy superior a la media </w:t>
      </w:r>
      <w:r w:rsidRPr="007078A2">
        <w:rPr>
          <w:lang w:val="es-ES_tradnl"/>
        </w:rPr>
        <w:lastRenderedPageBreak/>
        <w:t>mundial de 12%. En la región, 15 países han alcanzado un nivel de penetración de la banda ancha fija superior a la media mundial. Entre 2010 y 2015, la mejora media de la</w:t>
      </w:r>
      <w:r w:rsidR="004F29F5">
        <w:rPr>
          <w:lang w:val="es-ES_tradnl"/>
        </w:rPr>
        <w:t>s</w:t>
      </w:r>
      <w:r w:rsidRPr="007078A2">
        <w:rPr>
          <w:lang w:val="es-ES_tradnl"/>
        </w:rPr>
        <w:t xml:space="preserve"> suscripciones a la banda ancha fija por 100 habitantes en los países de las Américas fue de 4,2%, y un solo país experimentó una disminución durante ese mismo periodo. Uruguay y las Bahamas experimentaron las mayores mejoras absolutas en los últimos cinco años, mientras que Dominica y Saint Kits &amp; Nevis las mayores mejoras absolutas entre 2014 y 2015.</w:t>
      </w:r>
    </w:p>
    <w:p w:rsidR="000A39FD" w:rsidRPr="007078A2" w:rsidRDefault="000A39FD" w:rsidP="005C5C87">
      <w:pPr>
        <w:pStyle w:val="FigureNotitle"/>
        <w:keepNext/>
      </w:pPr>
      <w:r w:rsidRPr="007078A2">
        <w:lastRenderedPageBreak/>
        <w:t>Gráfico 2.5: Suscripciones a la ba</w:t>
      </w:r>
      <w:r w:rsidR="005C5C87" w:rsidRPr="007078A2">
        <w:t>nda ancha fija en las Américas,</w:t>
      </w:r>
      <w:r w:rsidR="005C5C87" w:rsidRPr="007078A2">
        <w:br/>
      </w:r>
      <w:r w:rsidRPr="007078A2">
        <w:t>2015 (arriba) y por región, 2016*(abajo)</w:t>
      </w:r>
    </w:p>
    <w:p w:rsidR="000A39FD" w:rsidRPr="007078A2" w:rsidRDefault="000A39FD" w:rsidP="00770788">
      <w:pPr>
        <w:keepNext/>
        <w:keepLines/>
        <w:jc w:val="both"/>
        <w:rPr>
          <w:sz w:val="18"/>
          <w:szCs w:val="18"/>
          <w:lang w:val="es-ES_tradnl"/>
        </w:rPr>
      </w:pPr>
      <w:r w:rsidRPr="007078A2">
        <w:rPr>
          <w:noProof/>
          <w:sz w:val="18"/>
          <w:szCs w:val="18"/>
          <w:lang w:eastAsia="zh-CN"/>
        </w:rPr>
        <w:drawing>
          <wp:inline distT="0" distB="0" distL="0" distR="0" wp14:anchorId="19A15527" wp14:editId="5D4C7A6E">
            <wp:extent cx="4162567" cy="4640858"/>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1546" cy="4650869"/>
                    </a:xfrm>
                    <a:prstGeom prst="rect">
                      <a:avLst/>
                    </a:prstGeom>
                    <a:noFill/>
                  </pic:spPr>
                </pic:pic>
              </a:graphicData>
            </a:graphic>
          </wp:inline>
        </w:drawing>
      </w:r>
    </w:p>
    <w:p w:rsidR="000A39FD" w:rsidRPr="007078A2" w:rsidRDefault="000A39FD" w:rsidP="00FF14BC">
      <w:pPr>
        <w:keepNext/>
        <w:keepLines/>
        <w:jc w:val="both"/>
        <w:rPr>
          <w:sz w:val="18"/>
          <w:szCs w:val="18"/>
          <w:lang w:val="es-ES_tradnl"/>
        </w:rPr>
      </w:pPr>
    </w:p>
    <w:p w:rsidR="000A39FD" w:rsidRPr="007078A2" w:rsidRDefault="000A39FD" w:rsidP="00ED1352">
      <w:pPr>
        <w:keepNext/>
        <w:keepLines/>
        <w:spacing w:before="0"/>
        <w:jc w:val="both"/>
        <w:rPr>
          <w:sz w:val="18"/>
          <w:szCs w:val="18"/>
          <w:lang w:val="es-ES_tradnl"/>
        </w:rPr>
      </w:pPr>
      <w:r w:rsidRPr="007078A2">
        <w:rPr>
          <w:sz w:val="18"/>
          <w:szCs w:val="18"/>
          <w:lang w:val="es-ES_tradnl"/>
        </w:rPr>
        <w:t>Origen: UIT.</w:t>
      </w:r>
    </w:p>
    <w:p w:rsidR="000A39FD" w:rsidRPr="007078A2" w:rsidRDefault="000A39FD" w:rsidP="00ED1352">
      <w:pPr>
        <w:keepNext/>
        <w:keepLines/>
        <w:spacing w:before="0"/>
        <w:jc w:val="both"/>
        <w:rPr>
          <w:sz w:val="18"/>
          <w:szCs w:val="18"/>
          <w:lang w:val="es-ES_tradnl"/>
        </w:rPr>
      </w:pPr>
      <w:r w:rsidRPr="007078A2">
        <w:rPr>
          <w:sz w:val="18"/>
          <w:szCs w:val="18"/>
          <w:lang w:val="es-ES_tradnl"/>
        </w:rPr>
        <w:t>Nota: * Estimación</w:t>
      </w:r>
    </w:p>
    <w:p w:rsidR="00770788" w:rsidRPr="007078A2" w:rsidRDefault="00FD10EE" w:rsidP="00ED1352">
      <w:pPr>
        <w:keepNext/>
        <w:keepLines/>
        <w:spacing w:before="0"/>
        <w:jc w:val="both"/>
        <w:rPr>
          <w:b/>
          <w:bCs/>
          <w:sz w:val="18"/>
          <w:szCs w:val="18"/>
          <w:lang w:val="es-ES_tradnl"/>
        </w:rPr>
      </w:pPr>
      <w:r w:rsidRPr="007078A2">
        <w:rPr>
          <w:b/>
          <w:bCs/>
          <w:sz w:val="18"/>
          <w:szCs w:val="18"/>
          <w:lang w:val="es-ES_tradnl"/>
        </w:rPr>
        <w:t xml:space="preserve">Leyenda del gráfico </w:t>
      </w:r>
      <w:r w:rsidR="00770788" w:rsidRPr="007078A2">
        <w:rPr>
          <w:b/>
          <w:bCs/>
          <w:sz w:val="18"/>
          <w:szCs w:val="18"/>
          <w:lang w:val="es-ES_tradnl"/>
        </w:rPr>
        <w:t>2.5:</w:t>
      </w:r>
    </w:p>
    <w:p w:rsidR="005C5C87" w:rsidRPr="007078A2" w:rsidRDefault="00770788" w:rsidP="00ED1352">
      <w:pPr>
        <w:keepNext/>
        <w:keepLines/>
        <w:spacing w:before="0"/>
        <w:jc w:val="both"/>
        <w:rPr>
          <w:sz w:val="18"/>
          <w:szCs w:val="18"/>
          <w:lang w:val="es-ES_tradnl"/>
        </w:rPr>
      </w:pPr>
      <w:r w:rsidRPr="007078A2">
        <w:rPr>
          <w:sz w:val="18"/>
          <w:szCs w:val="18"/>
          <w:lang w:val="es-ES_tradnl"/>
        </w:rPr>
        <w:t>Canadá</w:t>
      </w:r>
      <w:r w:rsidR="005C5C87" w:rsidRPr="007078A2">
        <w:rPr>
          <w:sz w:val="18"/>
          <w:szCs w:val="18"/>
          <w:lang w:val="es-ES_tradnl"/>
        </w:rPr>
        <w:t xml:space="preserve">, </w:t>
      </w:r>
      <w:r w:rsidRPr="007078A2">
        <w:rPr>
          <w:sz w:val="18"/>
          <w:szCs w:val="18"/>
          <w:lang w:val="es-ES_tradnl"/>
        </w:rPr>
        <w:t>Estados Unidos</w:t>
      </w:r>
      <w:r w:rsidR="005C5C87" w:rsidRPr="007078A2">
        <w:rPr>
          <w:sz w:val="18"/>
          <w:szCs w:val="18"/>
          <w:lang w:val="es-ES_tradnl"/>
        </w:rPr>
        <w:t xml:space="preserve">, </w:t>
      </w:r>
      <w:r w:rsidRPr="007078A2">
        <w:rPr>
          <w:sz w:val="18"/>
          <w:szCs w:val="18"/>
          <w:lang w:val="es-ES_tradnl"/>
        </w:rPr>
        <w:t>Saint Kitts y Nevis</w:t>
      </w:r>
      <w:r w:rsidR="005C5C87" w:rsidRPr="007078A2">
        <w:rPr>
          <w:sz w:val="18"/>
          <w:szCs w:val="18"/>
          <w:lang w:val="es-ES_tradnl"/>
        </w:rPr>
        <w:t xml:space="preserve">, </w:t>
      </w:r>
      <w:r w:rsidRPr="007078A2">
        <w:rPr>
          <w:sz w:val="18"/>
          <w:szCs w:val="18"/>
          <w:lang w:val="es-ES_tradnl"/>
        </w:rPr>
        <w:t>Barbados</w:t>
      </w:r>
      <w:r w:rsidR="005C5C87" w:rsidRPr="007078A2">
        <w:rPr>
          <w:sz w:val="18"/>
          <w:szCs w:val="18"/>
          <w:lang w:val="es-ES_tradnl"/>
        </w:rPr>
        <w:t xml:space="preserve">, </w:t>
      </w:r>
      <w:r w:rsidRPr="007078A2">
        <w:rPr>
          <w:sz w:val="18"/>
          <w:szCs w:val="18"/>
          <w:lang w:val="es-ES_tradnl"/>
        </w:rPr>
        <w:t>Uruguay</w:t>
      </w:r>
      <w:r w:rsidR="005C5C87" w:rsidRPr="007078A2">
        <w:rPr>
          <w:sz w:val="18"/>
          <w:szCs w:val="18"/>
          <w:lang w:val="es-ES_tradnl"/>
        </w:rPr>
        <w:t xml:space="preserve">, </w:t>
      </w:r>
      <w:r w:rsidRPr="007078A2">
        <w:rPr>
          <w:sz w:val="18"/>
          <w:szCs w:val="18"/>
          <w:lang w:val="es-ES_tradnl"/>
        </w:rPr>
        <w:t>Bahamas</w:t>
      </w:r>
      <w:r w:rsidR="005C5C87" w:rsidRPr="007078A2">
        <w:rPr>
          <w:sz w:val="18"/>
          <w:szCs w:val="18"/>
          <w:lang w:val="es-ES_tradnl"/>
        </w:rPr>
        <w:t xml:space="preserve">, </w:t>
      </w:r>
      <w:r w:rsidRPr="007078A2">
        <w:rPr>
          <w:sz w:val="18"/>
          <w:szCs w:val="18"/>
          <w:lang w:val="es-ES_tradnl"/>
        </w:rPr>
        <w:t>Dominica</w:t>
      </w:r>
      <w:r w:rsidR="005C5C87" w:rsidRPr="007078A2">
        <w:rPr>
          <w:sz w:val="18"/>
          <w:szCs w:val="18"/>
          <w:lang w:val="es-ES_tradnl"/>
        </w:rPr>
        <w:t xml:space="preserve">, </w:t>
      </w:r>
      <w:r w:rsidRPr="007078A2">
        <w:rPr>
          <w:sz w:val="18"/>
          <w:szCs w:val="18"/>
          <w:lang w:val="es-ES_tradnl"/>
        </w:rPr>
        <w:t>Trinidad y Tabago</w:t>
      </w:r>
      <w:r w:rsidR="005C5C87" w:rsidRPr="007078A2">
        <w:rPr>
          <w:sz w:val="18"/>
          <w:szCs w:val="18"/>
          <w:lang w:val="es-ES_tradnl"/>
        </w:rPr>
        <w:t xml:space="preserve">, </w:t>
      </w:r>
      <w:r w:rsidRPr="007078A2">
        <w:rPr>
          <w:sz w:val="18"/>
          <w:szCs w:val="18"/>
          <w:lang w:val="es-ES_tradnl"/>
        </w:rPr>
        <w:t>Granada</w:t>
      </w:r>
      <w:r w:rsidR="005C5C87" w:rsidRPr="007078A2">
        <w:rPr>
          <w:sz w:val="18"/>
          <w:szCs w:val="18"/>
          <w:lang w:val="es-ES_tradnl"/>
        </w:rPr>
        <w:t xml:space="preserve">, </w:t>
      </w:r>
      <w:r w:rsidRPr="007078A2">
        <w:rPr>
          <w:sz w:val="18"/>
          <w:szCs w:val="18"/>
          <w:lang w:val="es-ES_tradnl"/>
        </w:rPr>
        <w:t>Argentina</w:t>
      </w:r>
      <w:r w:rsidR="005C5C87" w:rsidRPr="007078A2">
        <w:rPr>
          <w:sz w:val="18"/>
          <w:szCs w:val="18"/>
          <w:lang w:val="es-ES_tradnl"/>
        </w:rPr>
        <w:t>, San </w:t>
      </w:r>
      <w:r w:rsidRPr="007078A2">
        <w:rPr>
          <w:sz w:val="18"/>
          <w:szCs w:val="18"/>
          <w:lang w:val="es-ES_tradnl"/>
        </w:rPr>
        <w:t>Vicente y las Granadinas</w:t>
      </w:r>
      <w:r w:rsidR="005C5C87" w:rsidRPr="007078A2">
        <w:rPr>
          <w:sz w:val="18"/>
          <w:szCs w:val="18"/>
          <w:lang w:val="es-ES_tradnl"/>
        </w:rPr>
        <w:t xml:space="preserve">, </w:t>
      </w:r>
      <w:r w:rsidRPr="007078A2">
        <w:rPr>
          <w:sz w:val="18"/>
          <w:szCs w:val="18"/>
          <w:lang w:val="es-ES_tradnl"/>
        </w:rPr>
        <w:t>Santa Lucía</w:t>
      </w:r>
      <w:r w:rsidR="005C5C87" w:rsidRPr="007078A2">
        <w:rPr>
          <w:sz w:val="18"/>
          <w:szCs w:val="18"/>
          <w:lang w:val="es-ES_tradnl"/>
        </w:rPr>
        <w:t xml:space="preserve">, </w:t>
      </w:r>
      <w:r w:rsidRPr="007078A2">
        <w:rPr>
          <w:sz w:val="18"/>
          <w:szCs w:val="18"/>
          <w:lang w:val="es-ES_tradnl"/>
        </w:rPr>
        <w:t>Chile</w:t>
      </w:r>
      <w:r w:rsidR="005C5C87" w:rsidRPr="007078A2">
        <w:rPr>
          <w:sz w:val="18"/>
          <w:szCs w:val="18"/>
          <w:lang w:val="es-ES_tradnl"/>
        </w:rPr>
        <w:t xml:space="preserve">, </w:t>
      </w:r>
      <w:r w:rsidRPr="007078A2">
        <w:rPr>
          <w:sz w:val="18"/>
          <w:szCs w:val="18"/>
          <w:lang w:val="es-ES_tradnl"/>
        </w:rPr>
        <w:t>Antigua y Barbuda</w:t>
      </w:r>
      <w:r w:rsidR="005C5C87" w:rsidRPr="007078A2">
        <w:rPr>
          <w:sz w:val="18"/>
          <w:szCs w:val="18"/>
          <w:lang w:val="es-ES_tradnl"/>
        </w:rPr>
        <w:t xml:space="preserve">, </w:t>
      </w:r>
      <w:r w:rsidRPr="007078A2">
        <w:rPr>
          <w:sz w:val="18"/>
          <w:szCs w:val="18"/>
          <w:lang w:val="es-ES_tradnl"/>
        </w:rPr>
        <w:t>Brasil</w:t>
      </w:r>
      <w:r w:rsidR="005C5C87" w:rsidRPr="007078A2">
        <w:rPr>
          <w:sz w:val="18"/>
          <w:szCs w:val="18"/>
          <w:lang w:val="es-ES_tradnl"/>
        </w:rPr>
        <w:t xml:space="preserve">, </w:t>
      </w:r>
      <w:r w:rsidRPr="007078A2">
        <w:rPr>
          <w:sz w:val="18"/>
          <w:szCs w:val="18"/>
          <w:lang w:val="es-ES_tradnl"/>
        </w:rPr>
        <w:t>México</w:t>
      </w:r>
      <w:r w:rsidR="005C5C87" w:rsidRPr="007078A2">
        <w:rPr>
          <w:sz w:val="18"/>
          <w:szCs w:val="18"/>
          <w:lang w:val="es-ES_tradnl"/>
        </w:rPr>
        <w:t xml:space="preserve">, </w:t>
      </w:r>
      <w:r w:rsidRPr="007078A2">
        <w:rPr>
          <w:sz w:val="18"/>
          <w:szCs w:val="18"/>
          <w:lang w:val="es-ES_tradnl"/>
        </w:rPr>
        <w:t>Costa Rica</w:t>
      </w:r>
      <w:r w:rsidR="005C5C87" w:rsidRPr="007078A2">
        <w:rPr>
          <w:sz w:val="18"/>
          <w:szCs w:val="18"/>
          <w:lang w:val="es-ES_tradnl"/>
        </w:rPr>
        <w:t xml:space="preserve">, </w:t>
      </w:r>
      <w:r w:rsidRPr="007078A2">
        <w:rPr>
          <w:sz w:val="18"/>
          <w:szCs w:val="18"/>
          <w:lang w:val="es-ES_tradnl"/>
        </w:rPr>
        <w:t>Colombia</w:t>
      </w:r>
      <w:r w:rsidR="005C5C87" w:rsidRPr="007078A2">
        <w:rPr>
          <w:sz w:val="18"/>
          <w:szCs w:val="18"/>
          <w:lang w:val="es-ES_tradnl"/>
        </w:rPr>
        <w:t xml:space="preserve">, </w:t>
      </w:r>
      <w:r w:rsidRPr="007078A2">
        <w:rPr>
          <w:sz w:val="18"/>
          <w:szCs w:val="18"/>
          <w:lang w:val="es-ES_tradnl"/>
        </w:rPr>
        <w:t>Suriname</w:t>
      </w:r>
      <w:r w:rsidR="005C5C87" w:rsidRPr="007078A2">
        <w:rPr>
          <w:sz w:val="18"/>
          <w:szCs w:val="18"/>
          <w:lang w:val="es-ES_tradnl"/>
        </w:rPr>
        <w:t xml:space="preserve">, </w:t>
      </w:r>
      <w:r w:rsidRPr="007078A2">
        <w:rPr>
          <w:sz w:val="18"/>
          <w:szCs w:val="18"/>
          <w:lang w:val="es-ES_tradnl"/>
        </w:rPr>
        <w:t>Ecuador</w:t>
      </w:r>
      <w:r w:rsidR="005C5C87" w:rsidRPr="007078A2">
        <w:rPr>
          <w:sz w:val="18"/>
          <w:szCs w:val="18"/>
          <w:lang w:val="es-ES_tradnl"/>
        </w:rPr>
        <w:t xml:space="preserve">, </w:t>
      </w:r>
      <w:r w:rsidRPr="007078A2">
        <w:rPr>
          <w:sz w:val="18"/>
          <w:szCs w:val="18"/>
          <w:lang w:val="es-ES_tradnl"/>
        </w:rPr>
        <w:t>Venezuela</w:t>
      </w:r>
      <w:r w:rsidR="005C5C87" w:rsidRPr="007078A2">
        <w:rPr>
          <w:sz w:val="18"/>
          <w:szCs w:val="18"/>
          <w:lang w:val="es-ES_tradnl"/>
        </w:rPr>
        <w:t xml:space="preserve">, </w:t>
      </w:r>
      <w:r w:rsidRPr="007078A2">
        <w:rPr>
          <w:sz w:val="18"/>
          <w:szCs w:val="18"/>
          <w:lang w:val="es-ES_tradnl"/>
        </w:rPr>
        <w:t>Panamá</w:t>
      </w:r>
      <w:r w:rsidR="005C5C87" w:rsidRPr="007078A2">
        <w:rPr>
          <w:sz w:val="18"/>
          <w:szCs w:val="18"/>
          <w:lang w:val="es-ES_tradnl"/>
        </w:rPr>
        <w:t xml:space="preserve">, </w:t>
      </w:r>
      <w:r w:rsidRPr="007078A2">
        <w:rPr>
          <w:sz w:val="18"/>
          <w:szCs w:val="18"/>
          <w:lang w:val="es-ES_tradnl"/>
        </w:rPr>
        <w:t>Guyana</w:t>
      </w:r>
      <w:r w:rsidR="005C5C87" w:rsidRPr="007078A2">
        <w:rPr>
          <w:sz w:val="18"/>
          <w:szCs w:val="18"/>
          <w:lang w:val="es-ES_tradnl"/>
        </w:rPr>
        <w:t xml:space="preserve">, </w:t>
      </w:r>
      <w:r w:rsidRPr="007078A2">
        <w:rPr>
          <w:sz w:val="18"/>
          <w:szCs w:val="18"/>
          <w:lang w:val="es-ES_tradnl"/>
        </w:rPr>
        <w:t>Dominicana (Rep.)</w:t>
      </w:r>
      <w:r w:rsidR="005C5C87" w:rsidRPr="007078A2">
        <w:rPr>
          <w:sz w:val="18"/>
          <w:szCs w:val="18"/>
          <w:lang w:val="es-ES_tradnl"/>
        </w:rPr>
        <w:t xml:space="preserve">, </w:t>
      </w:r>
      <w:r w:rsidRPr="007078A2">
        <w:rPr>
          <w:sz w:val="18"/>
          <w:szCs w:val="18"/>
          <w:lang w:val="es-ES_tradnl"/>
        </w:rPr>
        <w:t>Perú</w:t>
      </w:r>
      <w:r w:rsidR="005C5C87" w:rsidRPr="007078A2">
        <w:rPr>
          <w:sz w:val="18"/>
          <w:szCs w:val="18"/>
          <w:lang w:val="es-ES_tradnl"/>
        </w:rPr>
        <w:t xml:space="preserve">, </w:t>
      </w:r>
      <w:r w:rsidRPr="007078A2">
        <w:rPr>
          <w:sz w:val="18"/>
          <w:szCs w:val="18"/>
          <w:lang w:val="es-ES_tradnl"/>
        </w:rPr>
        <w:t>Jamaica</w:t>
      </w:r>
      <w:r w:rsidR="005C5C87" w:rsidRPr="007078A2">
        <w:rPr>
          <w:sz w:val="18"/>
          <w:szCs w:val="18"/>
          <w:lang w:val="es-ES_tradnl"/>
        </w:rPr>
        <w:t xml:space="preserve">, </w:t>
      </w:r>
      <w:r w:rsidRPr="007078A2">
        <w:rPr>
          <w:sz w:val="18"/>
          <w:szCs w:val="18"/>
          <w:lang w:val="es-ES_tradnl"/>
        </w:rPr>
        <w:t>El Salvador</w:t>
      </w:r>
      <w:r w:rsidR="005C5C87" w:rsidRPr="007078A2">
        <w:rPr>
          <w:sz w:val="18"/>
          <w:szCs w:val="18"/>
          <w:lang w:val="es-ES_tradnl"/>
        </w:rPr>
        <w:t xml:space="preserve">, </w:t>
      </w:r>
      <w:r w:rsidRPr="007078A2">
        <w:rPr>
          <w:sz w:val="18"/>
          <w:szCs w:val="18"/>
          <w:lang w:val="es-ES_tradnl"/>
        </w:rPr>
        <w:t>Paraguay</w:t>
      </w:r>
      <w:r w:rsidR="005C5C87" w:rsidRPr="007078A2">
        <w:rPr>
          <w:sz w:val="18"/>
          <w:szCs w:val="18"/>
          <w:lang w:val="es-ES_tradnl"/>
        </w:rPr>
        <w:t xml:space="preserve">, </w:t>
      </w:r>
      <w:r w:rsidRPr="007078A2">
        <w:rPr>
          <w:sz w:val="18"/>
          <w:szCs w:val="18"/>
          <w:lang w:val="es-ES_tradnl"/>
        </w:rPr>
        <w:t>Belice</w:t>
      </w:r>
      <w:r w:rsidR="005C5C87" w:rsidRPr="007078A2">
        <w:rPr>
          <w:sz w:val="18"/>
          <w:szCs w:val="18"/>
          <w:lang w:val="es-ES_tradnl"/>
        </w:rPr>
        <w:t xml:space="preserve">, </w:t>
      </w:r>
      <w:r w:rsidRPr="007078A2">
        <w:rPr>
          <w:sz w:val="18"/>
          <w:szCs w:val="18"/>
          <w:lang w:val="es-ES_tradnl"/>
        </w:rPr>
        <w:t>Guatemala</w:t>
      </w:r>
      <w:r w:rsidR="005C5C87" w:rsidRPr="007078A2">
        <w:rPr>
          <w:sz w:val="18"/>
          <w:szCs w:val="18"/>
          <w:lang w:val="es-ES_tradnl"/>
        </w:rPr>
        <w:t xml:space="preserve">, </w:t>
      </w:r>
      <w:r w:rsidRPr="007078A2">
        <w:rPr>
          <w:sz w:val="18"/>
          <w:szCs w:val="18"/>
          <w:lang w:val="es-ES_tradnl"/>
        </w:rPr>
        <w:t>Honduras</w:t>
      </w:r>
      <w:r w:rsidR="005C5C87" w:rsidRPr="007078A2">
        <w:rPr>
          <w:sz w:val="18"/>
          <w:szCs w:val="18"/>
          <w:lang w:val="es-ES_tradnl"/>
        </w:rPr>
        <w:t xml:space="preserve">, </w:t>
      </w:r>
      <w:r w:rsidRPr="007078A2">
        <w:rPr>
          <w:sz w:val="18"/>
          <w:szCs w:val="18"/>
          <w:lang w:val="es-ES_tradnl"/>
        </w:rPr>
        <w:t>Nicaragua</w:t>
      </w:r>
    </w:p>
    <w:p w:rsidR="00ED1352" w:rsidRPr="007078A2" w:rsidRDefault="00ED1352" w:rsidP="00ED1352">
      <w:pPr>
        <w:keepNext/>
        <w:keepLines/>
        <w:spacing w:before="0"/>
        <w:jc w:val="both"/>
        <w:rPr>
          <w:sz w:val="18"/>
          <w:szCs w:val="18"/>
          <w:lang w:val="es-ES_tradnl"/>
        </w:rPr>
      </w:pPr>
      <w:r w:rsidRPr="007078A2">
        <w:rPr>
          <w:sz w:val="18"/>
          <w:szCs w:val="18"/>
          <w:lang w:val="es-ES_tradnl"/>
        </w:rPr>
        <w:t>Por 100 habitantes</w:t>
      </w:r>
    </w:p>
    <w:p w:rsidR="00ED1352" w:rsidRPr="007078A2" w:rsidRDefault="00ED1352" w:rsidP="00ED1352">
      <w:pPr>
        <w:keepNext/>
        <w:keepLines/>
        <w:spacing w:before="0" w:after="120"/>
        <w:jc w:val="both"/>
        <w:rPr>
          <w:sz w:val="18"/>
          <w:szCs w:val="18"/>
          <w:lang w:val="es-ES_tradnl"/>
        </w:rPr>
      </w:pPr>
      <w:r w:rsidRPr="007078A2">
        <w:rPr>
          <w:noProof/>
          <w:sz w:val="18"/>
          <w:szCs w:val="18"/>
          <w:lang w:eastAsia="zh-CN"/>
        </w:rPr>
        <w:drawing>
          <wp:inline distT="0" distB="0" distL="0" distR="0" wp14:anchorId="5A01AFD1" wp14:editId="0DC2C74F">
            <wp:extent cx="3657600" cy="2377064"/>
            <wp:effectExtent l="0" t="0" r="0" b="4445"/>
            <wp:docPr id="1073742032" name="Picture 107374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72819" cy="2386955"/>
                    </a:xfrm>
                    <a:prstGeom prst="rect">
                      <a:avLst/>
                    </a:prstGeom>
                    <a:noFill/>
                  </pic:spPr>
                </pic:pic>
              </a:graphicData>
            </a:graphic>
          </wp:inline>
        </w:drawing>
      </w:r>
    </w:p>
    <w:p w:rsidR="00D80928" w:rsidRPr="007078A2" w:rsidRDefault="005C5C87" w:rsidP="005C5C87">
      <w:pPr>
        <w:spacing w:before="0"/>
        <w:jc w:val="both"/>
        <w:rPr>
          <w:sz w:val="18"/>
          <w:szCs w:val="18"/>
          <w:lang w:val="es-ES_tradnl"/>
        </w:rPr>
      </w:pPr>
      <w:r w:rsidRPr="007078A2">
        <w:rPr>
          <w:sz w:val="18"/>
          <w:szCs w:val="18"/>
          <w:lang w:val="es-ES_tradnl"/>
        </w:rPr>
        <w:t>Por 100 habitantes</w:t>
      </w:r>
      <w:r w:rsidRPr="007078A2">
        <w:rPr>
          <w:sz w:val="18"/>
          <w:szCs w:val="18"/>
          <w:lang w:val="es-ES_tradnl"/>
        </w:rPr>
        <w:tab/>
      </w:r>
      <w:r w:rsidR="00D80928" w:rsidRPr="007078A2">
        <w:rPr>
          <w:sz w:val="18"/>
          <w:szCs w:val="18"/>
          <w:lang w:val="es-ES_tradnl"/>
        </w:rPr>
        <w:t>África</w:t>
      </w:r>
      <w:r w:rsidRPr="007078A2">
        <w:rPr>
          <w:sz w:val="18"/>
          <w:szCs w:val="18"/>
          <w:lang w:val="es-ES_tradnl"/>
        </w:rPr>
        <w:t xml:space="preserve"> – </w:t>
      </w:r>
      <w:r w:rsidR="00D80928" w:rsidRPr="007078A2">
        <w:rPr>
          <w:sz w:val="18"/>
          <w:szCs w:val="18"/>
          <w:lang w:val="es-ES_tradnl"/>
        </w:rPr>
        <w:t>Estados Árabes</w:t>
      </w:r>
      <w:r w:rsidRPr="007078A2">
        <w:rPr>
          <w:sz w:val="18"/>
          <w:szCs w:val="18"/>
          <w:lang w:val="es-ES_tradnl"/>
        </w:rPr>
        <w:t xml:space="preserve"> – </w:t>
      </w:r>
      <w:r w:rsidR="00D80928" w:rsidRPr="007078A2">
        <w:rPr>
          <w:sz w:val="18"/>
          <w:szCs w:val="18"/>
          <w:lang w:val="es-ES_tradnl"/>
        </w:rPr>
        <w:t>Asia-Pacífico</w:t>
      </w:r>
      <w:r w:rsidRPr="007078A2">
        <w:rPr>
          <w:sz w:val="18"/>
          <w:szCs w:val="18"/>
          <w:lang w:val="es-ES_tradnl"/>
        </w:rPr>
        <w:t xml:space="preserve"> – </w:t>
      </w:r>
      <w:r w:rsidR="00D80928" w:rsidRPr="007078A2">
        <w:rPr>
          <w:sz w:val="18"/>
          <w:szCs w:val="18"/>
          <w:lang w:val="es-ES_tradnl"/>
        </w:rPr>
        <w:t>CEI</w:t>
      </w:r>
      <w:r w:rsidRPr="007078A2">
        <w:rPr>
          <w:sz w:val="18"/>
          <w:szCs w:val="18"/>
          <w:lang w:val="es-ES_tradnl"/>
        </w:rPr>
        <w:t xml:space="preserve"> – </w:t>
      </w:r>
      <w:r w:rsidR="00D80928" w:rsidRPr="007078A2">
        <w:rPr>
          <w:sz w:val="18"/>
          <w:szCs w:val="18"/>
          <w:lang w:val="es-ES_tradnl"/>
        </w:rPr>
        <w:t>Américas</w:t>
      </w:r>
      <w:r w:rsidRPr="007078A2">
        <w:rPr>
          <w:sz w:val="18"/>
          <w:szCs w:val="18"/>
          <w:lang w:val="es-ES_tradnl"/>
        </w:rPr>
        <w:t xml:space="preserve"> – </w:t>
      </w:r>
      <w:r w:rsidR="00D80928" w:rsidRPr="007078A2">
        <w:rPr>
          <w:sz w:val="18"/>
          <w:szCs w:val="18"/>
          <w:lang w:val="es-ES_tradnl"/>
        </w:rPr>
        <w:t>Europa</w:t>
      </w:r>
      <w:r w:rsidRPr="007078A2">
        <w:rPr>
          <w:sz w:val="18"/>
          <w:szCs w:val="18"/>
          <w:lang w:val="es-ES_tradnl"/>
        </w:rPr>
        <w:t xml:space="preserve"> – </w:t>
      </w:r>
      <w:r w:rsidR="00D80928" w:rsidRPr="007078A2">
        <w:rPr>
          <w:sz w:val="18"/>
          <w:szCs w:val="18"/>
          <w:lang w:val="es-ES_tradnl"/>
        </w:rPr>
        <w:t>En desarrollo</w:t>
      </w:r>
      <w:r w:rsidRPr="007078A2">
        <w:rPr>
          <w:sz w:val="18"/>
          <w:szCs w:val="18"/>
          <w:lang w:val="es-ES_tradnl"/>
        </w:rPr>
        <w:t xml:space="preserve"> – </w:t>
      </w:r>
      <w:r w:rsidR="00D80928" w:rsidRPr="007078A2">
        <w:rPr>
          <w:sz w:val="18"/>
          <w:szCs w:val="18"/>
          <w:lang w:val="es-ES_tradnl"/>
        </w:rPr>
        <w:t>Mundo</w:t>
      </w:r>
      <w:r w:rsidRPr="007078A2">
        <w:rPr>
          <w:sz w:val="18"/>
          <w:szCs w:val="18"/>
          <w:lang w:val="es-ES_tradnl"/>
        </w:rPr>
        <w:t xml:space="preserve"> – </w:t>
      </w:r>
      <w:r w:rsidR="00D80928" w:rsidRPr="007078A2">
        <w:rPr>
          <w:sz w:val="18"/>
          <w:szCs w:val="18"/>
          <w:lang w:val="es-ES_tradnl"/>
        </w:rPr>
        <w:t>Desarrollados</w:t>
      </w:r>
    </w:p>
    <w:p w:rsidR="000A39FD" w:rsidRPr="007078A2" w:rsidRDefault="000A39FD" w:rsidP="00770788">
      <w:pPr>
        <w:rPr>
          <w:lang w:val="es-ES_tradnl"/>
        </w:rPr>
      </w:pPr>
      <w:r w:rsidRPr="007078A2">
        <w:rPr>
          <w:lang w:val="es-ES_tradnl"/>
        </w:rPr>
        <w:t xml:space="preserve">La disponibilidad de ancho de banda Internet internacional sigue siendo un sector importante de la política y las inversiones, habida cuenta especialmente del creciente número de aplicaciones que </w:t>
      </w:r>
      <w:r w:rsidRPr="007078A2">
        <w:rPr>
          <w:lang w:val="es-ES_tradnl"/>
        </w:rPr>
        <w:lastRenderedPageBreak/>
        <w:t xml:space="preserve">consumen muchos datos y del número de usuarios de Internet que desean una mejor conectividad internacional. La región de las Américas experimentó una triplicación del ancho de banda total de Internet internacional entre 2010 y 2015. La región </w:t>
      </w:r>
      <w:r w:rsidR="0080021C" w:rsidRPr="007078A2">
        <w:rPr>
          <w:lang w:val="es-ES_tradnl"/>
        </w:rPr>
        <w:t>utiliza ahora en total 42 </w:t>
      </w:r>
      <w:r w:rsidRPr="007078A2">
        <w:rPr>
          <w:lang w:val="es-ES_tradnl"/>
        </w:rPr>
        <w:t>570 Gbit/s de ancho de banda Internet internacional, que representa 4,4% del total mundial. En 2015, el ancho de banda Internet internacional por habitante en la región de las Américas era de 46 kbit/s, una cifra significativamente superior a la de todas las demás regiones salvo Europa (véase el Gráfico 2.6). Sin embargo, todavía queda margen de expansión del mercado, dado que el ancho de banda Internet internacional por habitante es muy diferente en los países de la región. Por ejemplo, la mayoría de los países del Caribe tienen un ancho de banda Internet internacion</w:t>
      </w:r>
      <w:r w:rsidR="0080021C" w:rsidRPr="007078A2">
        <w:rPr>
          <w:lang w:val="es-ES_tradnl"/>
        </w:rPr>
        <w:t>al por habitante superior a 100 </w:t>
      </w:r>
      <w:r w:rsidRPr="007078A2">
        <w:rPr>
          <w:lang w:val="es-ES_tradnl"/>
        </w:rPr>
        <w:t>000 bit/s, unas cifras superiores a la media indicada por los países europeos. En cambio, el ancho de banda Internet internacional por habitante en la mayoría de los países de las Américas es infer</w:t>
      </w:r>
      <w:r w:rsidR="00770788" w:rsidRPr="007078A2">
        <w:rPr>
          <w:lang w:val="es-ES_tradnl"/>
        </w:rPr>
        <w:t>ior a la media regional de </w:t>
      </w:r>
      <w:r w:rsidR="0080021C" w:rsidRPr="007078A2">
        <w:rPr>
          <w:lang w:val="es-ES_tradnl"/>
        </w:rPr>
        <w:t>50 </w:t>
      </w:r>
      <w:r w:rsidRPr="007078A2">
        <w:rPr>
          <w:lang w:val="es-ES_tradnl"/>
        </w:rPr>
        <w:t>141 bit/.</w:t>
      </w:r>
    </w:p>
    <w:p w:rsidR="000A39FD" w:rsidRPr="007078A2" w:rsidRDefault="000A39FD" w:rsidP="005C5C87">
      <w:pPr>
        <w:pStyle w:val="FigureNotitle"/>
        <w:keepNext/>
      </w:pPr>
      <w:r w:rsidRPr="007078A2">
        <w:t>Gráfico 2.6: Ancho de banda Internet internacional por regiones, 2015</w:t>
      </w:r>
    </w:p>
    <w:p w:rsidR="005C5C87" w:rsidRPr="007078A2" w:rsidRDefault="000A39FD" w:rsidP="005C5C87">
      <w:pPr>
        <w:keepNext/>
        <w:keepLines/>
        <w:jc w:val="both"/>
        <w:rPr>
          <w:lang w:val="es-ES_tradnl"/>
        </w:rPr>
      </w:pPr>
      <w:r w:rsidRPr="007078A2">
        <w:rPr>
          <w:noProof/>
          <w:lang w:eastAsia="zh-CN"/>
        </w:rPr>
        <w:drawing>
          <wp:inline distT="0" distB="0" distL="0" distR="0" wp14:anchorId="0464E823" wp14:editId="2E2A304D">
            <wp:extent cx="3411940" cy="2483893"/>
            <wp:effectExtent l="0" t="0" r="0" b="0"/>
            <wp:docPr id="1073741881" name="Chart 10737418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7078A2">
        <w:rPr>
          <w:noProof/>
          <w:lang w:val="es-ES_trad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C5C87" w:rsidRPr="00A32FCB" w:rsidTr="005C5C87">
        <w:tc>
          <w:tcPr>
            <w:tcW w:w="4675" w:type="dxa"/>
          </w:tcPr>
          <w:p w:rsidR="005C5C87" w:rsidRPr="007078A2" w:rsidRDefault="005C5C87" w:rsidP="00FF14BC">
            <w:pPr>
              <w:keepNext/>
              <w:keepLines/>
              <w:jc w:val="both"/>
              <w:rPr>
                <w:lang w:val="es-ES_tradnl"/>
              </w:rPr>
            </w:pPr>
            <w:r w:rsidRPr="007078A2">
              <w:rPr>
                <w:noProof/>
                <w:lang w:eastAsia="zh-CN"/>
              </w:rPr>
              <w:drawing>
                <wp:inline distT="0" distB="0" distL="0" distR="0" wp14:anchorId="238BCC8C" wp14:editId="4532D0C7">
                  <wp:extent cx="2545232" cy="2367432"/>
                  <wp:effectExtent l="0" t="0" r="7620" b="0"/>
                  <wp:docPr id="1073741882" name="Chart 10737418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675" w:type="dxa"/>
          </w:tcPr>
          <w:p w:rsidR="005C5C87" w:rsidRPr="007078A2" w:rsidRDefault="005C5C87" w:rsidP="005C5C87">
            <w:pPr>
              <w:keepNext/>
              <w:keepLines/>
              <w:spacing w:before="240"/>
              <w:jc w:val="both"/>
              <w:rPr>
                <w:sz w:val="18"/>
                <w:szCs w:val="18"/>
                <w:lang w:val="es-ES_tradnl"/>
              </w:rPr>
            </w:pPr>
            <w:r w:rsidRPr="007078A2">
              <w:rPr>
                <w:b/>
                <w:bCs/>
                <w:sz w:val="18"/>
                <w:szCs w:val="18"/>
                <w:lang w:val="es-ES_tradnl"/>
              </w:rPr>
              <w:t>Leyenda del gráfico 2.6:</w:t>
            </w:r>
          </w:p>
          <w:p w:rsidR="005C5C87" w:rsidRPr="007078A2" w:rsidRDefault="005C5C87" w:rsidP="005C5C87">
            <w:pPr>
              <w:keepNext/>
              <w:keepLines/>
              <w:tabs>
                <w:tab w:val="clear" w:pos="794"/>
                <w:tab w:val="left" w:pos="426"/>
              </w:tabs>
              <w:spacing w:before="0"/>
              <w:jc w:val="both"/>
              <w:rPr>
                <w:sz w:val="18"/>
                <w:szCs w:val="18"/>
                <w:lang w:val="es-ES_tradnl"/>
              </w:rPr>
            </w:pPr>
            <w:r w:rsidRPr="007078A2">
              <w:rPr>
                <w:sz w:val="18"/>
                <w:szCs w:val="18"/>
                <w:lang w:val="es-ES_tradnl"/>
              </w:rPr>
              <w:t>Europa</w:t>
            </w:r>
          </w:p>
          <w:p w:rsidR="005C5C87" w:rsidRPr="007078A2" w:rsidRDefault="005C5C87" w:rsidP="005C5C87">
            <w:pPr>
              <w:keepNext/>
              <w:keepLines/>
              <w:tabs>
                <w:tab w:val="clear" w:pos="794"/>
                <w:tab w:val="left" w:pos="426"/>
              </w:tabs>
              <w:spacing w:before="0"/>
              <w:jc w:val="both"/>
              <w:rPr>
                <w:sz w:val="18"/>
                <w:szCs w:val="18"/>
                <w:lang w:val="es-ES_tradnl"/>
              </w:rPr>
            </w:pPr>
            <w:r w:rsidRPr="007078A2">
              <w:rPr>
                <w:sz w:val="18"/>
                <w:szCs w:val="18"/>
                <w:lang w:val="es-ES_tradnl"/>
              </w:rPr>
              <w:t>Américas</w:t>
            </w:r>
          </w:p>
          <w:p w:rsidR="005C5C87" w:rsidRPr="007078A2" w:rsidRDefault="005C5C87" w:rsidP="005C5C87">
            <w:pPr>
              <w:keepNext/>
              <w:keepLines/>
              <w:tabs>
                <w:tab w:val="clear" w:pos="794"/>
                <w:tab w:val="left" w:pos="426"/>
              </w:tabs>
              <w:spacing w:before="0"/>
              <w:jc w:val="both"/>
              <w:rPr>
                <w:sz w:val="18"/>
                <w:szCs w:val="18"/>
                <w:lang w:val="es-ES_tradnl"/>
              </w:rPr>
            </w:pPr>
            <w:r w:rsidRPr="007078A2">
              <w:rPr>
                <w:sz w:val="18"/>
                <w:szCs w:val="18"/>
                <w:lang w:val="es-ES_tradnl"/>
              </w:rPr>
              <w:t>CEI</w:t>
            </w:r>
          </w:p>
          <w:p w:rsidR="005C5C87" w:rsidRPr="007078A2" w:rsidRDefault="005C5C87" w:rsidP="005C5C87">
            <w:pPr>
              <w:keepNext/>
              <w:keepLines/>
              <w:tabs>
                <w:tab w:val="clear" w:pos="794"/>
                <w:tab w:val="left" w:pos="426"/>
              </w:tabs>
              <w:spacing w:before="0"/>
              <w:jc w:val="both"/>
              <w:rPr>
                <w:sz w:val="18"/>
                <w:szCs w:val="18"/>
                <w:lang w:val="es-ES_tradnl"/>
              </w:rPr>
            </w:pPr>
            <w:r w:rsidRPr="007078A2">
              <w:rPr>
                <w:sz w:val="18"/>
                <w:szCs w:val="18"/>
                <w:lang w:val="es-ES_tradnl"/>
              </w:rPr>
              <w:t>Estados Árabes</w:t>
            </w:r>
          </w:p>
          <w:p w:rsidR="005C5C87" w:rsidRPr="007078A2" w:rsidRDefault="005C5C87" w:rsidP="005C5C87">
            <w:pPr>
              <w:keepNext/>
              <w:keepLines/>
              <w:tabs>
                <w:tab w:val="clear" w:pos="794"/>
                <w:tab w:val="left" w:pos="426"/>
              </w:tabs>
              <w:spacing w:before="0"/>
              <w:jc w:val="both"/>
              <w:rPr>
                <w:sz w:val="18"/>
                <w:szCs w:val="18"/>
                <w:lang w:val="es-ES_tradnl"/>
              </w:rPr>
            </w:pPr>
            <w:r w:rsidRPr="007078A2">
              <w:rPr>
                <w:sz w:val="18"/>
                <w:szCs w:val="18"/>
                <w:lang w:val="es-ES_tradnl"/>
              </w:rPr>
              <w:t>Asia-Pacífico</w:t>
            </w:r>
          </w:p>
          <w:p w:rsidR="005C5C87" w:rsidRPr="007078A2" w:rsidRDefault="005C5C87" w:rsidP="005C5C87">
            <w:pPr>
              <w:keepNext/>
              <w:keepLines/>
              <w:tabs>
                <w:tab w:val="clear" w:pos="794"/>
                <w:tab w:val="left" w:pos="426"/>
              </w:tabs>
              <w:spacing w:before="0" w:after="120"/>
              <w:jc w:val="both"/>
              <w:rPr>
                <w:sz w:val="18"/>
                <w:szCs w:val="18"/>
                <w:lang w:val="es-ES_tradnl"/>
              </w:rPr>
            </w:pPr>
            <w:r w:rsidRPr="007078A2">
              <w:rPr>
                <w:sz w:val="18"/>
                <w:szCs w:val="18"/>
                <w:lang w:val="es-ES_tradnl"/>
              </w:rPr>
              <w:t>África</w:t>
            </w:r>
          </w:p>
          <w:p w:rsidR="005C5C87" w:rsidRPr="007078A2" w:rsidRDefault="005C5C87" w:rsidP="005C5C87">
            <w:pPr>
              <w:keepNext/>
              <w:keepLines/>
              <w:tabs>
                <w:tab w:val="clear" w:pos="794"/>
                <w:tab w:val="left" w:pos="426"/>
              </w:tabs>
              <w:spacing w:before="240"/>
              <w:jc w:val="both"/>
              <w:rPr>
                <w:sz w:val="18"/>
                <w:szCs w:val="18"/>
                <w:lang w:val="es-ES_tradnl"/>
              </w:rPr>
            </w:pPr>
            <w:r w:rsidRPr="007078A2">
              <w:rPr>
                <w:sz w:val="18"/>
                <w:szCs w:val="18"/>
                <w:lang w:val="es-ES_tradnl"/>
              </w:rPr>
              <w:t>Desarrollados</w:t>
            </w:r>
          </w:p>
          <w:p w:rsidR="005C5C87" w:rsidRPr="007078A2" w:rsidRDefault="005C5C87" w:rsidP="005C5C87">
            <w:pPr>
              <w:keepNext/>
              <w:keepLines/>
              <w:tabs>
                <w:tab w:val="clear" w:pos="794"/>
                <w:tab w:val="left" w:pos="426"/>
              </w:tabs>
              <w:spacing w:before="0"/>
              <w:jc w:val="both"/>
              <w:rPr>
                <w:sz w:val="18"/>
                <w:szCs w:val="18"/>
                <w:lang w:val="es-ES_tradnl"/>
              </w:rPr>
            </w:pPr>
            <w:r w:rsidRPr="007078A2">
              <w:rPr>
                <w:sz w:val="18"/>
                <w:szCs w:val="18"/>
                <w:lang w:val="es-ES_tradnl"/>
              </w:rPr>
              <w:t>En desarrollo</w:t>
            </w:r>
          </w:p>
          <w:p w:rsidR="005C5C87" w:rsidRPr="007078A2" w:rsidRDefault="005C5C87" w:rsidP="005C5C87">
            <w:pPr>
              <w:keepNext/>
              <w:keepLines/>
              <w:tabs>
                <w:tab w:val="clear" w:pos="794"/>
                <w:tab w:val="left" w:pos="426"/>
              </w:tabs>
              <w:spacing w:before="0"/>
              <w:jc w:val="both"/>
              <w:rPr>
                <w:sz w:val="18"/>
                <w:szCs w:val="18"/>
                <w:lang w:val="es-ES_tradnl"/>
              </w:rPr>
            </w:pPr>
            <w:r w:rsidRPr="007078A2">
              <w:rPr>
                <w:sz w:val="18"/>
                <w:szCs w:val="18"/>
                <w:lang w:val="es-ES_tradnl"/>
              </w:rPr>
              <w:t>PMA</w:t>
            </w:r>
          </w:p>
          <w:p w:rsidR="005C5C87" w:rsidRPr="007078A2" w:rsidRDefault="005C5C87" w:rsidP="005C5C87">
            <w:pPr>
              <w:keepNext/>
              <w:keepLines/>
              <w:spacing w:before="600"/>
              <w:jc w:val="both"/>
              <w:rPr>
                <w:lang w:val="es-ES_tradnl"/>
              </w:rPr>
            </w:pPr>
            <w:r w:rsidRPr="007078A2">
              <w:rPr>
                <w:sz w:val="18"/>
                <w:szCs w:val="18"/>
                <w:lang w:val="es-ES_tradnl"/>
              </w:rPr>
              <w:t>kbit/s por habitante, 2015</w:t>
            </w:r>
          </w:p>
        </w:tc>
      </w:tr>
    </w:tbl>
    <w:p w:rsidR="000A39FD" w:rsidRPr="007078A2" w:rsidRDefault="000A39FD" w:rsidP="005C5C87">
      <w:pPr>
        <w:keepNext/>
        <w:keepLines/>
        <w:jc w:val="both"/>
        <w:rPr>
          <w:sz w:val="18"/>
          <w:szCs w:val="18"/>
          <w:lang w:val="es-ES_tradnl"/>
        </w:rPr>
      </w:pPr>
      <w:r w:rsidRPr="007078A2">
        <w:rPr>
          <w:sz w:val="18"/>
          <w:szCs w:val="18"/>
          <w:lang w:val="es-ES_tradnl"/>
        </w:rPr>
        <w:t>Origen: UIT.</w:t>
      </w:r>
    </w:p>
    <w:p w:rsidR="000A39FD" w:rsidRPr="007078A2" w:rsidRDefault="000A39FD" w:rsidP="00A55685">
      <w:pPr>
        <w:pStyle w:val="Headingb"/>
        <w:rPr>
          <w:rFonts w:asciiTheme="minorHAnsi" w:hAnsiTheme="minorHAnsi"/>
          <w:lang w:val="es-ES_tradnl"/>
        </w:rPr>
      </w:pPr>
      <w:bookmarkStart w:id="40" w:name="_Toc455476226"/>
      <w:bookmarkStart w:id="41" w:name="_Toc474413193"/>
      <w:r w:rsidRPr="007078A2">
        <w:rPr>
          <w:rFonts w:asciiTheme="minorHAnsi" w:hAnsiTheme="minorHAnsi"/>
          <w:lang w:val="es-ES_tradnl"/>
        </w:rPr>
        <w:t>Internet: acceso, utilización y brecha de género</w:t>
      </w:r>
      <w:bookmarkEnd w:id="40"/>
      <w:bookmarkEnd w:id="41"/>
    </w:p>
    <w:p w:rsidR="000A39FD" w:rsidRPr="007078A2" w:rsidRDefault="000A39FD" w:rsidP="00770788">
      <w:pPr>
        <w:rPr>
          <w:lang w:val="es-ES_tradnl"/>
        </w:rPr>
      </w:pPr>
      <w:r w:rsidRPr="007078A2">
        <w:rPr>
          <w:lang w:val="es-ES_tradnl"/>
        </w:rPr>
        <w:t>En la región de las Américas, la proporción de hogares con ac</w:t>
      </w:r>
      <w:r w:rsidR="00253BA9" w:rsidRPr="007078A2">
        <w:rPr>
          <w:lang w:val="es-ES_tradnl"/>
        </w:rPr>
        <w:t>ceso doméstico a Internet es de </w:t>
      </w:r>
      <w:r w:rsidRPr="007078A2">
        <w:rPr>
          <w:lang w:val="es-ES_tradnl"/>
        </w:rPr>
        <w:t>64,4% en total, una cifra significativamente superior a la m</w:t>
      </w:r>
      <w:r w:rsidR="00253BA9" w:rsidRPr="007078A2">
        <w:rPr>
          <w:lang w:val="es-ES_tradnl"/>
        </w:rPr>
        <w:t>edia mundial de 52,3% (véase el </w:t>
      </w:r>
      <w:r w:rsidRPr="007078A2">
        <w:rPr>
          <w:lang w:val="es-ES_tradnl"/>
        </w:rPr>
        <w:t xml:space="preserve">Gráfico 2.7). En 14 de los 35 países de la región, más de la mitad de los hogares están conectados a Internet. Canadá, Estados Unidos y </w:t>
      </w:r>
      <w:r w:rsidR="00442022">
        <w:rPr>
          <w:lang w:val="es-ES_tradnl"/>
        </w:rPr>
        <w:t>Saint Kitts y Nevis</w:t>
      </w:r>
      <w:r w:rsidRPr="007078A2">
        <w:rPr>
          <w:lang w:val="es-ES_tradnl"/>
        </w:rPr>
        <w:t xml:space="preserve"> encabezan la lista con más de 70% de hogares </w:t>
      </w:r>
      <w:r w:rsidRPr="007078A2">
        <w:rPr>
          <w:lang w:val="es-ES_tradnl"/>
        </w:rPr>
        <w:lastRenderedPageBreak/>
        <w:t xml:space="preserve">con acceso a Internet. Con respecto a otras regiones, el aumento de la proporción de hogares conectados en las Américas fue modesto. Sin embargo, Panamá y varios países del Caribe, a saber, </w:t>
      </w:r>
      <w:r w:rsidR="00442022">
        <w:rPr>
          <w:lang w:val="es-ES_tradnl"/>
        </w:rPr>
        <w:t>Saint Kitts y Nevis</w:t>
      </w:r>
      <w:r w:rsidRPr="007078A2">
        <w:rPr>
          <w:lang w:val="es-ES_tradnl"/>
        </w:rPr>
        <w:t>, las Bahamas, Dominica y Antigua y Barbuda, pudieron aumentar en más de 50% sus proporciones respectivas de hogares conectados a Internet. La experiencia de Panamá es digna de mención. Entre 2014 y 2015, la proporción de hogares con acceso doméstico a Internet en el país aumentó más de 11%, lo que signif</w:t>
      </w:r>
      <w:r w:rsidR="0080021C" w:rsidRPr="007078A2">
        <w:rPr>
          <w:lang w:val="es-ES_tradnl"/>
        </w:rPr>
        <w:t>ica que, en un año, 107 </w:t>
      </w:r>
      <w:r w:rsidRPr="007078A2">
        <w:rPr>
          <w:lang w:val="es-ES_tradnl"/>
        </w:rPr>
        <w:t>748 hogares panameños más se habían conectado a Internet. Por consiguiente, más de la mitad de los hogares panameños tienen ahora acceso doméstico a Internet.</w:t>
      </w:r>
    </w:p>
    <w:p w:rsidR="000A39FD" w:rsidRPr="007078A2" w:rsidRDefault="000A39FD" w:rsidP="00845C7E">
      <w:pPr>
        <w:pStyle w:val="FigureNotitle"/>
      </w:pPr>
      <w:r w:rsidRPr="007078A2">
        <w:t>Gráfico 2.7: Hogares con acc</w:t>
      </w:r>
      <w:r w:rsidR="00845C7E" w:rsidRPr="007078A2">
        <w:t>eso a Internet de las Américas,</w:t>
      </w:r>
      <w:r w:rsidR="00845C7E" w:rsidRPr="007078A2">
        <w:br/>
      </w:r>
      <w:r w:rsidRPr="007078A2">
        <w:t>2015 (arriba) y por región, 2016*</w:t>
      </w:r>
      <w:r w:rsidR="00770788" w:rsidRPr="007078A2">
        <w:t xml:space="preserve"> (</w:t>
      </w:r>
      <w:r w:rsidRPr="007078A2">
        <w:t>abajo)</w:t>
      </w:r>
    </w:p>
    <w:p w:rsidR="000A39FD" w:rsidRPr="007078A2" w:rsidRDefault="000A39FD" w:rsidP="00FF14BC">
      <w:pPr>
        <w:jc w:val="both"/>
        <w:rPr>
          <w:sz w:val="18"/>
          <w:szCs w:val="18"/>
          <w:lang w:val="es-ES_tradnl"/>
        </w:rPr>
      </w:pPr>
      <w:r w:rsidRPr="007078A2">
        <w:rPr>
          <w:noProof/>
          <w:sz w:val="18"/>
          <w:szCs w:val="18"/>
          <w:lang w:eastAsia="zh-CN"/>
        </w:rPr>
        <w:drawing>
          <wp:inline distT="0" distB="0" distL="0" distR="0" wp14:anchorId="49804BCB" wp14:editId="59E87AFE">
            <wp:extent cx="4137028" cy="558193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9295" cy="5584992"/>
                    </a:xfrm>
                    <a:prstGeom prst="rect">
                      <a:avLst/>
                    </a:prstGeom>
                    <a:noFill/>
                  </pic:spPr>
                </pic:pic>
              </a:graphicData>
            </a:graphic>
          </wp:inline>
        </w:drawing>
      </w:r>
    </w:p>
    <w:p w:rsidR="00ED1352" w:rsidRPr="007078A2" w:rsidRDefault="00ED1352" w:rsidP="00ED1352">
      <w:pPr>
        <w:jc w:val="both"/>
        <w:rPr>
          <w:sz w:val="18"/>
          <w:szCs w:val="18"/>
          <w:lang w:val="es-ES_tradnl"/>
        </w:rPr>
      </w:pPr>
      <w:r w:rsidRPr="007078A2">
        <w:rPr>
          <w:sz w:val="18"/>
          <w:szCs w:val="18"/>
          <w:lang w:val="es-ES_tradnl"/>
        </w:rPr>
        <w:t>Nota: * Estimación</w:t>
      </w:r>
    </w:p>
    <w:p w:rsidR="00ED1352" w:rsidRPr="007078A2" w:rsidRDefault="00ED1352" w:rsidP="00ED1352">
      <w:pPr>
        <w:spacing w:before="0"/>
        <w:jc w:val="both"/>
        <w:rPr>
          <w:b/>
          <w:bCs/>
          <w:sz w:val="18"/>
          <w:szCs w:val="18"/>
          <w:lang w:val="es-ES_tradnl"/>
        </w:rPr>
      </w:pPr>
      <w:r w:rsidRPr="007078A2">
        <w:rPr>
          <w:b/>
          <w:bCs/>
          <w:sz w:val="18"/>
          <w:szCs w:val="18"/>
          <w:lang w:val="es-ES_tradnl"/>
        </w:rPr>
        <w:t>Leyenda del gráfico 2.7:</w:t>
      </w:r>
    </w:p>
    <w:p w:rsidR="00ED1352" w:rsidRPr="007078A2" w:rsidRDefault="00ED1352" w:rsidP="00ED1352">
      <w:pPr>
        <w:spacing w:before="0"/>
        <w:jc w:val="both"/>
        <w:rPr>
          <w:sz w:val="18"/>
          <w:szCs w:val="18"/>
          <w:lang w:val="es-ES_tradnl"/>
        </w:rPr>
      </w:pPr>
      <w:r w:rsidRPr="007078A2">
        <w:rPr>
          <w:sz w:val="18"/>
          <w:szCs w:val="18"/>
          <w:lang w:val="es-ES_tradnl"/>
        </w:rPr>
        <w:t>Canadá, Estados Unidos, Saint Kitts y Nevis, Trinidad y Tabago, Barbados, Bahamas, Costa Rica, Uruguay, Chile, Dominica, Antigua y Barbuda, Argentina, Brasil, Panamá, San Vicente y las Granadinas, Suriname, Granada, Colombia, Santa Lucía, México, Venezuela, Ecuador, Jamaica, Paraguay, Guyana, Belice, Bolivia (Estado Plurinacional de), Dominicana (Rep.), Perú, Honduras, Guatemala, El Salvador, Nicaragua, Cuba, Haití</w:t>
      </w:r>
    </w:p>
    <w:p w:rsidR="00ED1352" w:rsidRPr="007078A2" w:rsidRDefault="00ED1352" w:rsidP="00ED1352">
      <w:pPr>
        <w:jc w:val="both"/>
        <w:rPr>
          <w:sz w:val="18"/>
          <w:szCs w:val="18"/>
          <w:lang w:val="es-ES_tradnl"/>
        </w:rPr>
      </w:pPr>
      <w:r w:rsidRPr="007078A2">
        <w:rPr>
          <w:sz w:val="18"/>
          <w:szCs w:val="18"/>
          <w:lang w:val="es-ES_tradnl"/>
        </w:rPr>
        <w:t>Por 100 hogares</w:t>
      </w:r>
    </w:p>
    <w:p w:rsidR="000A39FD" w:rsidRPr="007078A2" w:rsidRDefault="000A39FD" w:rsidP="00845C7E">
      <w:pPr>
        <w:jc w:val="both"/>
        <w:rPr>
          <w:sz w:val="18"/>
          <w:szCs w:val="18"/>
          <w:lang w:val="es-ES_tradnl"/>
        </w:rPr>
      </w:pPr>
      <w:r w:rsidRPr="007078A2">
        <w:rPr>
          <w:b/>
          <w:bCs/>
          <w:noProof/>
          <w:lang w:eastAsia="zh-CN"/>
        </w:rPr>
        <w:lastRenderedPageBreak/>
        <w:drawing>
          <wp:inline distT="0" distB="0" distL="0" distR="0" wp14:anchorId="46C350B8" wp14:editId="4DFC72A4">
            <wp:extent cx="3357349" cy="2159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375" cy="2199759"/>
                    </a:xfrm>
                    <a:prstGeom prst="rect">
                      <a:avLst/>
                    </a:prstGeom>
                    <a:noFill/>
                  </pic:spPr>
                </pic:pic>
              </a:graphicData>
            </a:graphic>
          </wp:inline>
        </w:drawing>
      </w:r>
    </w:p>
    <w:p w:rsidR="00ED1352" w:rsidRPr="007078A2" w:rsidRDefault="000A39FD" w:rsidP="00ED1352">
      <w:pPr>
        <w:jc w:val="both"/>
        <w:rPr>
          <w:sz w:val="18"/>
          <w:szCs w:val="18"/>
          <w:lang w:val="es-ES_tradnl"/>
        </w:rPr>
      </w:pPr>
      <w:r w:rsidRPr="007078A2">
        <w:rPr>
          <w:sz w:val="18"/>
          <w:szCs w:val="18"/>
          <w:lang w:val="es-ES_tradnl"/>
        </w:rPr>
        <w:t>Origen: UIT.</w:t>
      </w:r>
    </w:p>
    <w:p w:rsidR="000A39FD" w:rsidRPr="007078A2" w:rsidRDefault="000A39FD" w:rsidP="00FD440D">
      <w:pPr>
        <w:tabs>
          <w:tab w:val="clear" w:pos="794"/>
          <w:tab w:val="left" w:pos="426"/>
        </w:tabs>
        <w:spacing w:before="0"/>
        <w:jc w:val="both"/>
        <w:rPr>
          <w:sz w:val="18"/>
          <w:szCs w:val="18"/>
          <w:lang w:val="es-ES_tradnl"/>
        </w:rPr>
      </w:pPr>
      <w:r w:rsidRPr="007078A2">
        <w:rPr>
          <w:sz w:val="18"/>
          <w:szCs w:val="18"/>
          <w:lang w:val="es-ES_tradnl"/>
        </w:rPr>
        <w:t>África</w:t>
      </w:r>
    </w:p>
    <w:p w:rsidR="000A39FD" w:rsidRPr="007078A2" w:rsidRDefault="000A39FD" w:rsidP="00FD440D">
      <w:pPr>
        <w:tabs>
          <w:tab w:val="clear" w:pos="794"/>
          <w:tab w:val="left" w:pos="426"/>
        </w:tabs>
        <w:spacing w:before="0"/>
        <w:jc w:val="both"/>
        <w:rPr>
          <w:sz w:val="18"/>
          <w:szCs w:val="18"/>
          <w:lang w:val="es-ES_tradnl"/>
        </w:rPr>
      </w:pPr>
      <w:r w:rsidRPr="007078A2">
        <w:rPr>
          <w:sz w:val="18"/>
          <w:szCs w:val="18"/>
          <w:lang w:val="es-ES_tradnl"/>
        </w:rPr>
        <w:t>Estados Árabes</w:t>
      </w:r>
    </w:p>
    <w:p w:rsidR="000A39FD" w:rsidRPr="007078A2" w:rsidRDefault="000A39FD" w:rsidP="00FD440D">
      <w:pPr>
        <w:tabs>
          <w:tab w:val="clear" w:pos="794"/>
          <w:tab w:val="left" w:pos="426"/>
        </w:tabs>
        <w:spacing w:before="0"/>
        <w:jc w:val="both"/>
        <w:rPr>
          <w:sz w:val="18"/>
          <w:szCs w:val="18"/>
          <w:lang w:val="es-ES_tradnl"/>
        </w:rPr>
      </w:pPr>
      <w:r w:rsidRPr="007078A2">
        <w:rPr>
          <w:sz w:val="18"/>
          <w:szCs w:val="18"/>
          <w:lang w:val="es-ES_tradnl"/>
        </w:rPr>
        <w:t>Asia-Pacífico</w:t>
      </w:r>
    </w:p>
    <w:p w:rsidR="00253BA9" w:rsidRPr="007078A2" w:rsidRDefault="00253BA9" w:rsidP="00253BA9">
      <w:pPr>
        <w:tabs>
          <w:tab w:val="clear" w:pos="794"/>
          <w:tab w:val="left" w:pos="426"/>
        </w:tabs>
        <w:spacing w:before="0"/>
        <w:jc w:val="both"/>
        <w:rPr>
          <w:sz w:val="18"/>
          <w:szCs w:val="18"/>
          <w:lang w:val="es-ES_tradnl"/>
        </w:rPr>
      </w:pPr>
      <w:r w:rsidRPr="007078A2">
        <w:rPr>
          <w:sz w:val="18"/>
          <w:szCs w:val="18"/>
          <w:lang w:val="es-ES_tradnl"/>
        </w:rPr>
        <w:t>Américas</w:t>
      </w:r>
    </w:p>
    <w:p w:rsidR="000A39FD" w:rsidRPr="007078A2" w:rsidRDefault="000A39FD" w:rsidP="00FD440D">
      <w:pPr>
        <w:tabs>
          <w:tab w:val="clear" w:pos="794"/>
          <w:tab w:val="left" w:pos="426"/>
        </w:tabs>
        <w:spacing w:before="0"/>
        <w:jc w:val="both"/>
        <w:rPr>
          <w:sz w:val="18"/>
          <w:szCs w:val="18"/>
          <w:lang w:val="es-ES_tradnl"/>
        </w:rPr>
      </w:pPr>
      <w:r w:rsidRPr="007078A2">
        <w:rPr>
          <w:sz w:val="18"/>
          <w:szCs w:val="18"/>
          <w:lang w:val="es-ES_tradnl"/>
        </w:rPr>
        <w:t>CEI</w:t>
      </w:r>
    </w:p>
    <w:p w:rsidR="000A39FD" w:rsidRPr="007078A2" w:rsidRDefault="000A39FD" w:rsidP="00FD440D">
      <w:pPr>
        <w:tabs>
          <w:tab w:val="clear" w:pos="794"/>
          <w:tab w:val="left" w:pos="426"/>
        </w:tabs>
        <w:spacing w:before="0"/>
        <w:jc w:val="both"/>
        <w:rPr>
          <w:sz w:val="18"/>
          <w:szCs w:val="18"/>
          <w:lang w:val="es-ES_tradnl"/>
        </w:rPr>
      </w:pPr>
      <w:r w:rsidRPr="007078A2">
        <w:rPr>
          <w:sz w:val="18"/>
          <w:szCs w:val="18"/>
          <w:lang w:val="es-ES_tradnl"/>
        </w:rPr>
        <w:t>Europa</w:t>
      </w:r>
    </w:p>
    <w:p w:rsidR="000A39FD" w:rsidRPr="007078A2" w:rsidRDefault="000A39FD" w:rsidP="00FD440D">
      <w:pPr>
        <w:tabs>
          <w:tab w:val="clear" w:pos="794"/>
          <w:tab w:val="left" w:pos="426"/>
        </w:tabs>
        <w:spacing w:before="0"/>
        <w:jc w:val="both"/>
        <w:rPr>
          <w:sz w:val="18"/>
          <w:szCs w:val="18"/>
          <w:lang w:val="es-ES_tradnl"/>
        </w:rPr>
      </w:pPr>
      <w:r w:rsidRPr="007078A2">
        <w:rPr>
          <w:sz w:val="18"/>
          <w:szCs w:val="18"/>
          <w:lang w:val="es-ES_tradnl"/>
        </w:rPr>
        <w:t>En desarrollo</w:t>
      </w:r>
    </w:p>
    <w:p w:rsidR="000A39FD" w:rsidRPr="007078A2" w:rsidRDefault="000A39FD" w:rsidP="00FD440D">
      <w:pPr>
        <w:tabs>
          <w:tab w:val="clear" w:pos="794"/>
          <w:tab w:val="left" w:pos="426"/>
        </w:tabs>
        <w:spacing w:before="0"/>
        <w:jc w:val="both"/>
        <w:rPr>
          <w:sz w:val="18"/>
          <w:szCs w:val="18"/>
          <w:lang w:val="es-ES_tradnl"/>
        </w:rPr>
      </w:pPr>
      <w:r w:rsidRPr="007078A2">
        <w:rPr>
          <w:sz w:val="18"/>
          <w:szCs w:val="18"/>
          <w:lang w:val="es-ES_tradnl"/>
        </w:rPr>
        <w:t>Mundo</w:t>
      </w:r>
    </w:p>
    <w:p w:rsidR="000A39FD" w:rsidRPr="007078A2" w:rsidRDefault="000A39FD" w:rsidP="00253BA9">
      <w:pPr>
        <w:tabs>
          <w:tab w:val="clear" w:pos="794"/>
          <w:tab w:val="left" w:pos="426"/>
        </w:tabs>
        <w:spacing w:before="0"/>
        <w:jc w:val="both"/>
        <w:rPr>
          <w:sz w:val="18"/>
          <w:szCs w:val="18"/>
          <w:lang w:val="es-ES_tradnl"/>
        </w:rPr>
      </w:pPr>
      <w:r w:rsidRPr="007078A2">
        <w:rPr>
          <w:sz w:val="18"/>
          <w:szCs w:val="18"/>
          <w:lang w:val="es-ES_tradnl"/>
        </w:rPr>
        <w:t>Desarrollados</w:t>
      </w:r>
    </w:p>
    <w:p w:rsidR="000A39FD" w:rsidRPr="007078A2" w:rsidRDefault="000A39FD" w:rsidP="00FD440D">
      <w:pPr>
        <w:rPr>
          <w:lang w:val="es-ES_tradnl"/>
        </w:rPr>
      </w:pPr>
      <w:r w:rsidRPr="007078A2">
        <w:rPr>
          <w:lang w:val="es-ES_tradnl"/>
        </w:rPr>
        <w:t>La UIT estima que en 2016 aproximadamente seis de cada diez habitantes de la región de las Américas utilizaban Internet, lo que significa que la región está muy por encima de la media mundial de 47% de personas que utilizan Internet. Más de 60% de los países de las Américas ya han alcanzado unas tasas de penetración individual de Internet superior a la media mundial (véase el Gráfico 2.8). No obstante, todavía quedan muchas oportunidades de aumentar el número de usuarios de Internet en la mayoría de los países de esa región. Entre 2010 y 2015, los países de esa región han aumentado sus tasas de penetración de Internet un promedio de 16%. Durante ese mismo periodo, esas tasas han crecido considerablemente más deprisa en países como las Bahamas, Granada y México, con un aumento de más de 25%. Últimamente, México, Bolivia y Dominica han experimentado un crecimiento significativo del número de usuarios de Internet, con un aumento de más de 10% de sus tasas de penetración de Internet entre 2014 y 2015. Si se mantienen esas tendencias, la proporción de usuarios de Internet señalados en la región de las Américas pronto será comparable con las de la CEI y Europa.</w:t>
      </w:r>
    </w:p>
    <w:p w:rsidR="000A39FD" w:rsidRPr="007078A2" w:rsidRDefault="000A39FD" w:rsidP="00793AC1">
      <w:pPr>
        <w:pStyle w:val="FigureNotitle"/>
        <w:keepNext/>
      </w:pPr>
      <w:r w:rsidRPr="007078A2">
        <w:lastRenderedPageBreak/>
        <w:t>Gráfico 2.8: Porcentaje de personas que uti</w:t>
      </w:r>
      <w:r w:rsidR="00793AC1" w:rsidRPr="007078A2">
        <w:t>lizan Internet de las Américas,</w:t>
      </w:r>
      <w:r w:rsidR="00793AC1" w:rsidRPr="007078A2">
        <w:br/>
      </w:r>
      <w:r w:rsidRPr="007078A2">
        <w:t>201</w:t>
      </w:r>
      <w:r w:rsidR="00793AC1" w:rsidRPr="007078A2">
        <w:t>5 (arriba) y por región, 2016* (</w:t>
      </w:r>
      <w:r w:rsidRPr="007078A2">
        <w:t>debajo)</w:t>
      </w:r>
    </w:p>
    <w:p w:rsidR="000A39FD" w:rsidRPr="007078A2" w:rsidRDefault="000A39FD" w:rsidP="00FF14BC">
      <w:pPr>
        <w:keepNext/>
        <w:keepLines/>
        <w:jc w:val="both"/>
        <w:rPr>
          <w:b/>
          <w:bCs/>
          <w:lang w:val="es-ES_tradnl"/>
        </w:rPr>
      </w:pPr>
      <w:r w:rsidRPr="007078A2">
        <w:rPr>
          <w:b/>
          <w:bCs/>
          <w:noProof/>
          <w:lang w:eastAsia="zh-CN"/>
        </w:rPr>
        <w:drawing>
          <wp:inline distT="0" distB="0" distL="0" distR="0" wp14:anchorId="68C6E893" wp14:editId="31D537EE">
            <wp:extent cx="4988257" cy="5737336"/>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9961" cy="5762300"/>
                    </a:xfrm>
                    <a:prstGeom prst="rect">
                      <a:avLst/>
                    </a:prstGeom>
                    <a:noFill/>
                  </pic:spPr>
                </pic:pic>
              </a:graphicData>
            </a:graphic>
          </wp:inline>
        </w:drawing>
      </w:r>
    </w:p>
    <w:p w:rsidR="000A77EF" w:rsidRPr="007078A2" w:rsidRDefault="000A77EF" w:rsidP="000A77EF">
      <w:pPr>
        <w:spacing w:before="0"/>
        <w:jc w:val="both"/>
        <w:rPr>
          <w:b/>
          <w:bCs/>
          <w:sz w:val="18"/>
          <w:szCs w:val="18"/>
          <w:lang w:val="es-ES_tradnl"/>
        </w:rPr>
      </w:pPr>
      <w:r w:rsidRPr="007078A2">
        <w:rPr>
          <w:b/>
          <w:bCs/>
          <w:sz w:val="18"/>
          <w:szCs w:val="18"/>
          <w:lang w:val="es-ES_tradnl"/>
        </w:rPr>
        <w:t>Leyenda del gráfico 2.8:</w:t>
      </w:r>
    </w:p>
    <w:p w:rsidR="000A77EF" w:rsidRPr="007078A2" w:rsidRDefault="000A77EF" w:rsidP="000A77EF">
      <w:pPr>
        <w:spacing w:before="0"/>
        <w:jc w:val="both"/>
        <w:rPr>
          <w:sz w:val="18"/>
          <w:szCs w:val="18"/>
          <w:lang w:val="es-ES_tradnl"/>
        </w:rPr>
      </w:pPr>
      <w:r w:rsidRPr="007078A2">
        <w:rPr>
          <w:sz w:val="18"/>
          <w:szCs w:val="18"/>
          <w:lang w:val="es-ES_tradnl"/>
        </w:rPr>
        <w:t>Canadá, Bahamas, Barbados, Saint Kitts y Nevis, Estados Unidos, Argentina, Trinidad y Tabago, Dominica, Antigua y Barbuda, Uruguay, Chile, Venezuela, Costa Rica, Brasil, México, Colombia, Granada, Santa Lucía, Dominicana (Rep.), San Vicente y las Granadinas, Panamá, Ecuador, Bolivia (Estado Plurinacional de), Paraguay, Jamaica, Suriname, Belice, Perú, Guyana, Cuba, Guatemala, El Salvador, Honduras, Nicaragua, Haití</w:t>
      </w:r>
    </w:p>
    <w:p w:rsidR="000A77EF" w:rsidRPr="007078A2" w:rsidRDefault="000A77EF" w:rsidP="000A77EF">
      <w:pPr>
        <w:jc w:val="both"/>
        <w:rPr>
          <w:b/>
          <w:bCs/>
          <w:lang w:val="es-ES_tradnl"/>
        </w:rPr>
      </w:pPr>
      <w:r w:rsidRPr="007078A2">
        <w:rPr>
          <w:sz w:val="18"/>
          <w:szCs w:val="18"/>
          <w:lang w:val="es-ES_tradnl"/>
        </w:rPr>
        <w:t>Por 100 habitantes</w:t>
      </w:r>
    </w:p>
    <w:p w:rsidR="000A39FD" w:rsidRPr="007078A2" w:rsidRDefault="000A39FD" w:rsidP="00FF14BC">
      <w:pPr>
        <w:jc w:val="both"/>
        <w:rPr>
          <w:lang w:val="es-ES_tradnl"/>
        </w:rPr>
      </w:pPr>
      <w:r w:rsidRPr="007078A2">
        <w:rPr>
          <w:noProof/>
          <w:lang w:eastAsia="zh-CN"/>
        </w:rPr>
        <w:drawing>
          <wp:inline distT="0" distB="0" distL="0" distR="0" wp14:anchorId="5BCF67D9" wp14:editId="3ECFC720">
            <wp:extent cx="4476466" cy="2646885"/>
            <wp:effectExtent l="0" t="0" r="63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82813" cy="2650638"/>
                    </a:xfrm>
                    <a:prstGeom prst="rect">
                      <a:avLst/>
                    </a:prstGeom>
                    <a:noFill/>
                  </pic:spPr>
                </pic:pic>
              </a:graphicData>
            </a:graphic>
          </wp:inline>
        </w:drawing>
      </w:r>
    </w:p>
    <w:p w:rsidR="000A39FD" w:rsidRPr="007078A2" w:rsidRDefault="000A39FD" w:rsidP="00FF14BC">
      <w:pPr>
        <w:jc w:val="both"/>
        <w:rPr>
          <w:sz w:val="18"/>
          <w:szCs w:val="18"/>
          <w:lang w:val="es-ES_tradnl"/>
        </w:rPr>
      </w:pPr>
      <w:r w:rsidRPr="007078A2">
        <w:rPr>
          <w:sz w:val="18"/>
          <w:szCs w:val="18"/>
          <w:lang w:val="es-ES_tradnl"/>
        </w:rPr>
        <w:t>Origen: UIT.</w:t>
      </w:r>
    </w:p>
    <w:p w:rsidR="000A39FD" w:rsidRPr="007078A2" w:rsidRDefault="000A39FD" w:rsidP="00FF14BC">
      <w:pPr>
        <w:jc w:val="both"/>
        <w:rPr>
          <w:sz w:val="18"/>
          <w:szCs w:val="18"/>
          <w:lang w:val="es-ES_tradnl"/>
        </w:rPr>
      </w:pPr>
      <w:r w:rsidRPr="007078A2">
        <w:rPr>
          <w:sz w:val="18"/>
          <w:szCs w:val="18"/>
          <w:lang w:val="es-ES_tradnl"/>
        </w:rPr>
        <w:t>Nota: * Estimación</w:t>
      </w:r>
    </w:p>
    <w:p w:rsidR="00793AC1" w:rsidRPr="007078A2" w:rsidRDefault="00FD10EE" w:rsidP="000A77EF">
      <w:pPr>
        <w:spacing w:before="0"/>
        <w:jc w:val="both"/>
        <w:rPr>
          <w:sz w:val="18"/>
          <w:szCs w:val="18"/>
          <w:lang w:val="es-ES_tradnl"/>
        </w:rPr>
      </w:pPr>
      <w:r w:rsidRPr="007078A2">
        <w:rPr>
          <w:b/>
          <w:bCs/>
          <w:sz w:val="18"/>
          <w:szCs w:val="18"/>
          <w:lang w:val="es-ES_tradnl"/>
        </w:rPr>
        <w:t xml:space="preserve">Leyenda del gráfico </w:t>
      </w:r>
      <w:r w:rsidR="00FD440D" w:rsidRPr="007078A2">
        <w:rPr>
          <w:b/>
          <w:bCs/>
          <w:sz w:val="18"/>
          <w:szCs w:val="18"/>
          <w:lang w:val="es-ES_tradnl"/>
        </w:rPr>
        <w:t>2.8</w:t>
      </w:r>
      <w:r w:rsidR="000A77EF" w:rsidRPr="007078A2">
        <w:rPr>
          <w:b/>
          <w:bCs/>
          <w:sz w:val="18"/>
          <w:szCs w:val="18"/>
          <w:lang w:val="es-ES_tradnl"/>
        </w:rPr>
        <w:t xml:space="preserve"> </w:t>
      </w:r>
      <w:r w:rsidR="000A77EF" w:rsidRPr="007078A2">
        <w:rPr>
          <w:b/>
          <w:bCs/>
          <w:i/>
          <w:iCs/>
          <w:sz w:val="18"/>
          <w:szCs w:val="18"/>
          <w:lang w:val="es-ES_tradnl"/>
        </w:rPr>
        <w:t>(cont.)</w:t>
      </w:r>
      <w:r w:rsidR="00FD440D" w:rsidRPr="007078A2">
        <w:rPr>
          <w:b/>
          <w:bCs/>
          <w:sz w:val="18"/>
          <w:szCs w:val="18"/>
          <w:lang w:val="es-ES_tradnl"/>
        </w:rPr>
        <w:t>:</w:t>
      </w:r>
    </w:p>
    <w:p w:rsidR="000A39FD" w:rsidRPr="007078A2" w:rsidRDefault="000A39FD" w:rsidP="00793AC1">
      <w:pPr>
        <w:tabs>
          <w:tab w:val="clear" w:pos="794"/>
          <w:tab w:val="left" w:pos="284"/>
        </w:tabs>
        <w:spacing w:before="0"/>
        <w:jc w:val="both"/>
        <w:rPr>
          <w:sz w:val="18"/>
          <w:szCs w:val="18"/>
          <w:lang w:val="es-ES_tradnl"/>
        </w:rPr>
      </w:pPr>
      <w:r w:rsidRPr="007078A2">
        <w:rPr>
          <w:sz w:val="18"/>
          <w:szCs w:val="18"/>
          <w:lang w:val="es-ES_tradnl"/>
        </w:rPr>
        <w:t>África</w:t>
      </w:r>
      <w:r w:rsidR="00793AC1" w:rsidRPr="007078A2">
        <w:rPr>
          <w:sz w:val="18"/>
          <w:szCs w:val="18"/>
          <w:lang w:val="es-ES_tradnl"/>
        </w:rPr>
        <w:t xml:space="preserve"> – </w:t>
      </w:r>
      <w:r w:rsidRPr="007078A2">
        <w:rPr>
          <w:sz w:val="18"/>
          <w:szCs w:val="18"/>
          <w:lang w:val="es-ES_tradnl"/>
        </w:rPr>
        <w:t>Estados Árabes</w:t>
      </w:r>
      <w:r w:rsidR="00793AC1" w:rsidRPr="007078A2">
        <w:rPr>
          <w:sz w:val="18"/>
          <w:szCs w:val="18"/>
          <w:lang w:val="es-ES_tradnl"/>
        </w:rPr>
        <w:t xml:space="preserve"> – </w:t>
      </w:r>
      <w:r w:rsidRPr="007078A2">
        <w:rPr>
          <w:sz w:val="18"/>
          <w:szCs w:val="18"/>
          <w:lang w:val="es-ES_tradnl"/>
        </w:rPr>
        <w:t>Asia-Pacífico</w:t>
      </w:r>
      <w:r w:rsidR="00793AC1" w:rsidRPr="007078A2">
        <w:rPr>
          <w:sz w:val="18"/>
          <w:szCs w:val="18"/>
          <w:lang w:val="es-ES_tradnl"/>
        </w:rPr>
        <w:t xml:space="preserve"> – </w:t>
      </w:r>
      <w:r w:rsidR="00253BA9" w:rsidRPr="007078A2">
        <w:rPr>
          <w:sz w:val="18"/>
          <w:szCs w:val="18"/>
          <w:lang w:val="es-ES_tradnl"/>
        </w:rPr>
        <w:t>Américas</w:t>
      </w:r>
      <w:r w:rsidR="00793AC1" w:rsidRPr="007078A2">
        <w:rPr>
          <w:sz w:val="18"/>
          <w:szCs w:val="18"/>
          <w:lang w:val="es-ES_tradnl"/>
        </w:rPr>
        <w:t xml:space="preserve"> – </w:t>
      </w:r>
      <w:r w:rsidRPr="007078A2">
        <w:rPr>
          <w:sz w:val="18"/>
          <w:szCs w:val="18"/>
          <w:lang w:val="es-ES_tradnl"/>
        </w:rPr>
        <w:t>CEI</w:t>
      </w:r>
      <w:r w:rsidR="00793AC1" w:rsidRPr="007078A2">
        <w:rPr>
          <w:sz w:val="18"/>
          <w:szCs w:val="18"/>
          <w:lang w:val="es-ES_tradnl"/>
        </w:rPr>
        <w:t xml:space="preserve"> – </w:t>
      </w:r>
      <w:r w:rsidRPr="007078A2">
        <w:rPr>
          <w:sz w:val="18"/>
          <w:szCs w:val="18"/>
          <w:lang w:val="es-ES_tradnl"/>
        </w:rPr>
        <w:t>Europa</w:t>
      </w:r>
      <w:r w:rsidR="00793AC1" w:rsidRPr="007078A2">
        <w:rPr>
          <w:sz w:val="18"/>
          <w:szCs w:val="18"/>
          <w:lang w:val="es-ES_tradnl"/>
        </w:rPr>
        <w:t xml:space="preserve"> – </w:t>
      </w:r>
      <w:r w:rsidRPr="007078A2">
        <w:rPr>
          <w:sz w:val="18"/>
          <w:szCs w:val="18"/>
          <w:lang w:val="es-ES_tradnl"/>
        </w:rPr>
        <w:t>En desarrollo</w:t>
      </w:r>
      <w:r w:rsidR="00793AC1" w:rsidRPr="007078A2">
        <w:rPr>
          <w:sz w:val="18"/>
          <w:szCs w:val="18"/>
          <w:lang w:val="es-ES_tradnl"/>
        </w:rPr>
        <w:t xml:space="preserve"> – </w:t>
      </w:r>
      <w:r w:rsidRPr="007078A2">
        <w:rPr>
          <w:sz w:val="18"/>
          <w:szCs w:val="18"/>
          <w:lang w:val="es-ES_tradnl"/>
        </w:rPr>
        <w:t>Mundo</w:t>
      </w:r>
      <w:r w:rsidR="00793AC1" w:rsidRPr="007078A2">
        <w:rPr>
          <w:sz w:val="18"/>
          <w:szCs w:val="18"/>
          <w:lang w:val="es-ES_tradnl"/>
        </w:rPr>
        <w:t xml:space="preserve"> – </w:t>
      </w:r>
      <w:r w:rsidRPr="007078A2">
        <w:rPr>
          <w:sz w:val="18"/>
          <w:szCs w:val="18"/>
          <w:lang w:val="es-ES_tradnl"/>
        </w:rPr>
        <w:t>Desarrollados</w:t>
      </w:r>
    </w:p>
    <w:p w:rsidR="000A39FD" w:rsidRPr="007078A2" w:rsidRDefault="000A39FD" w:rsidP="00332216">
      <w:pPr>
        <w:rPr>
          <w:lang w:val="es-ES_tradnl"/>
        </w:rPr>
      </w:pPr>
      <w:r w:rsidRPr="007078A2">
        <w:rPr>
          <w:lang w:val="es-ES_tradnl"/>
        </w:rPr>
        <w:lastRenderedPageBreak/>
        <w:t>Según datos de la UIT, a finales de 2016 proporcionalmente más hombres que mujeres utilizaban Internet en todas las regiones del mundo. La región de las Américas tiene la brecha de género más pequeña del mundo en la utilización de Internet (</w:t>
      </w:r>
      <w:r w:rsidR="000C451F" w:rsidRPr="007078A2">
        <w:rPr>
          <w:lang w:val="es-ES_tradnl"/>
        </w:rPr>
        <w:t>Gráfico 2.9). Ahora bien, entre </w:t>
      </w:r>
      <w:r w:rsidRPr="007078A2">
        <w:rPr>
          <w:lang w:val="es-ES_tradnl"/>
        </w:rPr>
        <w:t>2013 y 2016, las Américas fue una de las regiones en las que se observó un aumento de la brecha de género entre los usuarios de Internet, junto con los E</w:t>
      </w:r>
      <w:r w:rsidR="000C451F" w:rsidRPr="007078A2">
        <w:rPr>
          <w:lang w:val="es-ES_tradnl"/>
        </w:rPr>
        <w:t>stados Árabes y África (Gráfico </w:t>
      </w:r>
      <w:r w:rsidRPr="007078A2">
        <w:rPr>
          <w:lang w:val="es-ES_tradnl"/>
        </w:rPr>
        <w:t>2.10). La brecha de género representa la diferencia entre las tasas de penetración de Internet entre hombres y mujeres con respecto a las tasas de penetración de Internet entre los hombres, expresada en porcentaje. Las Américas han experimentado un aumento de 2% de su brecha de género en los últimos tres años.</w:t>
      </w:r>
    </w:p>
    <w:p w:rsidR="000A39FD" w:rsidRPr="007078A2" w:rsidRDefault="000A39FD" w:rsidP="00793AC1">
      <w:pPr>
        <w:pStyle w:val="FigureNotitle"/>
        <w:keepNext/>
      </w:pPr>
      <w:r w:rsidRPr="007078A2">
        <w:t>Gráfico 2.9: Proporción de personas que utilizan Internet por región, por género, 2016*</w:t>
      </w:r>
    </w:p>
    <w:p w:rsidR="000A39FD" w:rsidRPr="007078A2" w:rsidRDefault="000A39FD" w:rsidP="00FF14BC">
      <w:pPr>
        <w:jc w:val="both"/>
        <w:rPr>
          <w:lang w:val="es-ES_tradnl"/>
        </w:rPr>
      </w:pPr>
      <w:r w:rsidRPr="007078A2">
        <w:rPr>
          <w:noProof/>
          <w:lang w:eastAsia="zh-CN"/>
        </w:rPr>
        <w:drawing>
          <wp:inline distT="0" distB="0" distL="0" distR="0" wp14:anchorId="4416E18E" wp14:editId="3CD7D0A4">
            <wp:extent cx="5486400" cy="2975212"/>
            <wp:effectExtent l="0" t="0" r="0" b="0"/>
            <wp:docPr id="1073741885" name="Chart 10737418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A39FD" w:rsidRPr="007078A2" w:rsidRDefault="000A39FD" w:rsidP="00FF14BC">
      <w:pPr>
        <w:jc w:val="both"/>
        <w:rPr>
          <w:sz w:val="18"/>
          <w:szCs w:val="18"/>
          <w:lang w:val="es-ES_tradnl"/>
        </w:rPr>
      </w:pPr>
      <w:r w:rsidRPr="007078A2">
        <w:rPr>
          <w:sz w:val="18"/>
          <w:szCs w:val="18"/>
          <w:lang w:val="es-ES_tradnl"/>
        </w:rPr>
        <w:t>Origen: UIT.</w:t>
      </w:r>
    </w:p>
    <w:p w:rsidR="000A39FD" w:rsidRPr="007078A2" w:rsidRDefault="000A39FD" w:rsidP="00FF14BC">
      <w:pPr>
        <w:jc w:val="both"/>
        <w:rPr>
          <w:sz w:val="18"/>
          <w:szCs w:val="18"/>
          <w:lang w:val="es-ES_tradnl"/>
        </w:rPr>
      </w:pPr>
      <w:r w:rsidRPr="007078A2">
        <w:rPr>
          <w:sz w:val="18"/>
          <w:szCs w:val="18"/>
          <w:lang w:val="es-ES_tradnl"/>
        </w:rPr>
        <w:t>Nota: * Estimación</w:t>
      </w:r>
    </w:p>
    <w:p w:rsidR="000A39FD" w:rsidRPr="007078A2" w:rsidRDefault="00FD10EE" w:rsidP="00FD10EE">
      <w:pPr>
        <w:spacing w:before="0"/>
        <w:jc w:val="both"/>
        <w:rPr>
          <w:sz w:val="18"/>
          <w:szCs w:val="18"/>
          <w:lang w:val="es-ES_tradnl"/>
        </w:rPr>
      </w:pPr>
      <w:r w:rsidRPr="007078A2">
        <w:rPr>
          <w:b/>
          <w:bCs/>
          <w:sz w:val="18"/>
          <w:szCs w:val="18"/>
          <w:lang w:val="es-ES_tradnl"/>
        </w:rPr>
        <w:t xml:space="preserve">Leyenda del gráfico </w:t>
      </w:r>
      <w:r w:rsidR="00332216" w:rsidRPr="007078A2">
        <w:rPr>
          <w:b/>
          <w:bCs/>
          <w:sz w:val="18"/>
          <w:szCs w:val="18"/>
          <w:lang w:val="es-ES_tradnl"/>
        </w:rPr>
        <w:t>2.9:</w:t>
      </w:r>
    </w:p>
    <w:p w:rsidR="00793AC1" w:rsidRPr="007078A2" w:rsidRDefault="000A39FD" w:rsidP="00253BA9">
      <w:pPr>
        <w:tabs>
          <w:tab w:val="clear" w:pos="794"/>
          <w:tab w:val="left" w:pos="426"/>
        </w:tabs>
        <w:spacing w:before="0"/>
        <w:jc w:val="both"/>
        <w:rPr>
          <w:sz w:val="18"/>
          <w:szCs w:val="18"/>
          <w:lang w:val="es-ES_tradnl"/>
        </w:rPr>
      </w:pPr>
      <w:r w:rsidRPr="007078A2">
        <w:rPr>
          <w:sz w:val="18"/>
          <w:szCs w:val="18"/>
          <w:lang w:val="es-ES_tradnl"/>
        </w:rPr>
        <w:t>África</w:t>
      </w:r>
    </w:p>
    <w:p w:rsidR="00253BA9" w:rsidRPr="007078A2" w:rsidRDefault="00253BA9" w:rsidP="00253BA9">
      <w:pPr>
        <w:tabs>
          <w:tab w:val="clear" w:pos="794"/>
          <w:tab w:val="left" w:pos="426"/>
        </w:tabs>
        <w:spacing w:before="0"/>
        <w:jc w:val="both"/>
        <w:rPr>
          <w:sz w:val="18"/>
          <w:szCs w:val="18"/>
          <w:lang w:val="es-ES_tradnl"/>
        </w:rPr>
      </w:pPr>
      <w:r w:rsidRPr="007078A2">
        <w:rPr>
          <w:sz w:val="18"/>
          <w:szCs w:val="18"/>
          <w:lang w:val="es-ES_tradnl"/>
        </w:rPr>
        <w:t>Estados Árabes</w:t>
      </w:r>
    </w:p>
    <w:p w:rsidR="00253BA9" w:rsidRPr="007078A2" w:rsidRDefault="00253BA9" w:rsidP="00253BA9">
      <w:pPr>
        <w:tabs>
          <w:tab w:val="clear" w:pos="794"/>
          <w:tab w:val="left" w:pos="426"/>
        </w:tabs>
        <w:spacing w:before="0"/>
        <w:jc w:val="both"/>
        <w:rPr>
          <w:sz w:val="18"/>
          <w:szCs w:val="18"/>
          <w:lang w:val="es-ES_tradnl"/>
        </w:rPr>
      </w:pPr>
      <w:r w:rsidRPr="007078A2">
        <w:rPr>
          <w:sz w:val="18"/>
          <w:szCs w:val="18"/>
          <w:lang w:val="es-ES_tradnl"/>
        </w:rPr>
        <w:t>Asia-Pacífico</w:t>
      </w:r>
    </w:p>
    <w:p w:rsidR="000A39FD" w:rsidRPr="007078A2" w:rsidRDefault="000A39FD" w:rsidP="00332216">
      <w:pPr>
        <w:tabs>
          <w:tab w:val="clear" w:pos="794"/>
          <w:tab w:val="left" w:pos="426"/>
        </w:tabs>
        <w:spacing w:before="0"/>
        <w:jc w:val="both"/>
        <w:rPr>
          <w:sz w:val="18"/>
          <w:szCs w:val="18"/>
          <w:lang w:val="es-ES_tradnl"/>
        </w:rPr>
      </w:pPr>
      <w:r w:rsidRPr="007078A2">
        <w:rPr>
          <w:sz w:val="18"/>
          <w:szCs w:val="18"/>
          <w:lang w:val="es-ES_tradnl"/>
        </w:rPr>
        <w:t>Américas</w:t>
      </w:r>
    </w:p>
    <w:p w:rsidR="000A39FD" w:rsidRPr="007078A2" w:rsidRDefault="000A39FD" w:rsidP="00332216">
      <w:pPr>
        <w:tabs>
          <w:tab w:val="clear" w:pos="794"/>
          <w:tab w:val="left" w:pos="426"/>
        </w:tabs>
        <w:spacing w:before="0"/>
        <w:jc w:val="both"/>
        <w:rPr>
          <w:sz w:val="18"/>
          <w:szCs w:val="18"/>
          <w:lang w:val="es-ES_tradnl"/>
        </w:rPr>
      </w:pPr>
      <w:r w:rsidRPr="007078A2">
        <w:rPr>
          <w:sz w:val="18"/>
          <w:szCs w:val="18"/>
          <w:lang w:val="es-ES_tradnl"/>
        </w:rPr>
        <w:t>CEI</w:t>
      </w:r>
    </w:p>
    <w:p w:rsidR="000A39FD" w:rsidRPr="007078A2" w:rsidRDefault="000A39FD" w:rsidP="00253BA9">
      <w:pPr>
        <w:tabs>
          <w:tab w:val="clear" w:pos="794"/>
          <w:tab w:val="left" w:pos="426"/>
        </w:tabs>
        <w:spacing w:before="0" w:after="120"/>
        <w:jc w:val="both"/>
        <w:rPr>
          <w:sz w:val="18"/>
          <w:szCs w:val="18"/>
          <w:lang w:val="es-ES_tradnl"/>
        </w:rPr>
      </w:pPr>
      <w:r w:rsidRPr="007078A2">
        <w:rPr>
          <w:sz w:val="18"/>
          <w:szCs w:val="18"/>
          <w:lang w:val="es-ES_tradnl"/>
        </w:rPr>
        <w:t>Europa</w:t>
      </w:r>
    </w:p>
    <w:p w:rsidR="000A39FD" w:rsidRPr="007078A2" w:rsidRDefault="000A39FD" w:rsidP="00332216">
      <w:pPr>
        <w:tabs>
          <w:tab w:val="clear" w:pos="794"/>
          <w:tab w:val="left" w:pos="426"/>
        </w:tabs>
        <w:spacing w:before="0"/>
        <w:jc w:val="both"/>
        <w:rPr>
          <w:sz w:val="18"/>
          <w:szCs w:val="18"/>
          <w:lang w:val="es-ES_tradnl"/>
        </w:rPr>
      </w:pPr>
      <w:r w:rsidRPr="007078A2">
        <w:rPr>
          <w:sz w:val="18"/>
          <w:szCs w:val="18"/>
          <w:lang w:val="es-ES_tradnl"/>
        </w:rPr>
        <w:t>En desarrollo</w:t>
      </w:r>
    </w:p>
    <w:p w:rsidR="000A39FD" w:rsidRPr="007078A2" w:rsidRDefault="000A39FD" w:rsidP="00332216">
      <w:pPr>
        <w:tabs>
          <w:tab w:val="clear" w:pos="794"/>
          <w:tab w:val="left" w:pos="426"/>
        </w:tabs>
        <w:spacing w:before="0"/>
        <w:jc w:val="both"/>
        <w:rPr>
          <w:sz w:val="18"/>
          <w:szCs w:val="18"/>
          <w:lang w:val="es-ES_tradnl"/>
        </w:rPr>
      </w:pPr>
      <w:r w:rsidRPr="007078A2">
        <w:rPr>
          <w:sz w:val="18"/>
          <w:szCs w:val="18"/>
          <w:lang w:val="es-ES_tradnl"/>
        </w:rPr>
        <w:t>Mundo</w:t>
      </w:r>
    </w:p>
    <w:p w:rsidR="000A39FD" w:rsidRPr="007078A2" w:rsidRDefault="000A39FD" w:rsidP="00332216">
      <w:pPr>
        <w:tabs>
          <w:tab w:val="clear" w:pos="794"/>
          <w:tab w:val="left" w:pos="426"/>
        </w:tabs>
        <w:spacing w:before="0"/>
        <w:jc w:val="both"/>
        <w:rPr>
          <w:sz w:val="18"/>
          <w:szCs w:val="18"/>
          <w:lang w:val="es-ES_tradnl"/>
        </w:rPr>
      </w:pPr>
      <w:r w:rsidRPr="007078A2">
        <w:rPr>
          <w:sz w:val="18"/>
          <w:szCs w:val="18"/>
          <w:lang w:val="es-ES_tradnl"/>
        </w:rPr>
        <w:t>Desarrollados</w:t>
      </w:r>
    </w:p>
    <w:p w:rsidR="000A39FD" w:rsidRPr="007078A2" w:rsidRDefault="000A39FD" w:rsidP="00332216">
      <w:pPr>
        <w:tabs>
          <w:tab w:val="clear" w:pos="794"/>
          <w:tab w:val="left" w:pos="426"/>
        </w:tabs>
        <w:spacing w:before="0"/>
        <w:jc w:val="both"/>
        <w:rPr>
          <w:sz w:val="18"/>
          <w:szCs w:val="18"/>
          <w:lang w:val="es-ES_tradnl"/>
        </w:rPr>
      </w:pPr>
      <w:r w:rsidRPr="007078A2">
        <w:rPr>
          <w:sz w:val="18"/>
          <w:szCs w:val="18"/>
          <w:lang w:val="es-ES_tradnl"/>
        </w:rPr>
        <w:t>PMA</w:t>
      </w:r>
    </w:p>
    <w:p w:rsidR="000A39FD" w:rsidRPr="007078A2" w:rsidRDefault="000A39FD" w:rsidP="00793AC1">
      <w:pPr>
        <w:tabs>
          <w:tab w:val="clear" w:pos="794"/>
          <w:tab w:val="left" w:pos="426"/>
        </w:tabs>
        <w:spacing w:before="0"/>
        <w:jc w:val="both"/>
        <w:rPr>
          <w:sz w:val="18"/>
          <w:szCs w:val="18"/>
          <w:lang w:val="es-ES_tradnl"/>
        </w:rPr>
      </w:pPr>
      <w:r w:rsidRPr="007078A2">
        <w:rPr>
          <w:sz w:val="18"/>
          <w:szCs w:val="18"/>
          <w:lang w:val="es-ES_tradnl"/>
        </w:rPr>
        <w:t>Varones</w:t>
      </w:r>
      <w:r w:rsidR="00793AC1" w:rsidRPr="007078A2">
        <w:rPr>
          <w:sz w:val="18"/>
          <w:szCs w:val="18"/>
          <w:lang w:val="es-ES_tradnl"/>
        </w:rPr>
        <w:t xml:space="preserve"> – </w:t>
      </w:r>
      <w:r w:rsidRPr="007078A2">
        <w:rPr>
          <w:sz w:val="18"/>
          <w:szCs w:val="18"/>
          <w:lang w:val="es-ES_tradnl"/>
        </w:rPr>
        <w:t>Mujeres</w:t>
      </w:r>
    </w:p>
    <w:p w:rsidR="000A39FD" w:rsidRPr="007078A2" w:rsidRDefault="000A39FD" w:rsidP="00793AC1">
      <w:pPr>
        <w:pStyle w:val="FigureNotitle"/>
        <w:keepNext/>
      </w:pPr>
      <w:r w:rsidRPr="007078A2">
        <w:lastRenderedPageBreak/>
        <w:t>Gráfico 2.10: Brecha de género y la utilización de Internet (%), 2013 y 2016*</w:t>
      </w:r>
    </w:p>
    <w:p w:rsidR="000A39FD" w:rsidRPr="007078A2" w:rsidRDefault="000A39FD" w:rsidP="00FF14BC">
      <w:pPr>
        <w:keepNext/>
        <w:keepLines/>
        <w:jc w:val="both"/>
        <w:rPr>
          <w:lang w:val="es-ES_tradnl"/>
        </w:rPr>
      </w:pPr>
      <w:r w:rsidRPr="007078A2">
        <w:rPr>
          <w:noProof/>
          <w:lang w:eastAsia="zh-CN"/>
        </w:rPr>
        <w:drawing>
          <wp:inline distT="0" distB="0" distL="0" distR="0" wp14:anchorId="3E6BE511" wp14:editId="4C3F8D93">
            <wp:extent cx="5587365" cy="2424604"/>
            <wp:effectExtent l="0" t="0" r="0" b="0"/>
            <wp:docPr id="1073741886" name="Picture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0863" cy="2430461"/>
                    </a:xfrm>
                    <a:prstGeom prst="rect">
                      <a:avLst/>
                    </a:prstGeom>
                    <a:noFill/>
                  </pic:spPr>
                </pic:pic>
              </a:graphicData>
            </a:graphic>
          </wp:inline>
        </w:drawing>
      </w:r>
    </w:p>
    <w:p w:rsidR="000A39FD" w:rsidRPr="007078A2" w:rsidRDefault="000A39FD" w:rsidP="00FF14BC">
      <w:pPr>
        <w:keepNext/>
        <w:keepLines/>
        <w:jc w:val="both"/>
        <w:rPr>
          <w:sz w:val="18"/>
          <w:szCs w:val="18"/>
          <w:lang w:val="es-ES_tradnl"/>
        </w:rPr>
      </w:pPr>
      <w:r w:rsidRPr="007078A2">
        <w:rPr>
          <w:sz w:val="18"/>
          <w:szCs w:val="18"/>
          <w:lang w:val="es-ES_tradnl"/>
        </w:rPr>
        <w:t>Origen: UIT.</w:t>
      </w:r>
    </w:p>
    <w:p w:rsidR="000A39FD" w:rsidRPr="007078A2" w:rsidRDefault="000A39FD" w:rsidP="00253BA9">
      <w:pPr>
        <w:keepNext/>
        <w:keepLines/>
        <w:jc w:val="both"/>
        <w:rPr>
          <w:sz w:val="18"/>
          <w:szCs w:val="18"/>
          <w:lang w:val="es-ES_tradnl"/>
        </w:rPr>
      </w:pPr>
      <w:r w:rsidRPr="007078A2">
        <w:rPr>
          <w:sz w:val="18"/>
          <w:szCs w:val="18"/>
          <w:lang w:val="es-ES_tradnl"/>
        </w:rPr>
        <w:t>Nota: * Estimación. La brecha de género representa la diferencia entre las tasas de penetración de Internet entre hombres y mujeres con respecto a las tasas de penetración de Internet entre los hombres, expresada en porcentaje.</w:t>
      </w:r>
    </w:p>
    <w:p w:rsidR="000A39FD" w:rsidRPr="007078A2" w:rsidRDefault="000A39FD" w:rsidP="00793AC1">
      <w:pPr>
        <w:spacing w:before="0"/>
        <w:jc w:val="both"/>
        <w:rPr>
          <w:sz w:val="18"/>
          <w:szCs w:val="18"/>
          <w:lang w:val="es-ES_tradnl"/>
        </w:rPr>
      </w:pPr>
      <w:r w:rsidRPr="007078A2">
        <w:rPr>
          <w:sz w:val="18"/>
          <w:szCs w:val="18"/>
          <w:lang w:val="es-ES_tradnl"/>
        </w:rPr>
        <w:t>África</w:t>
      </w:r>
      <w:r w:rsidR="00793AC1" w:rsidRPr="007078A2">
        <w:rPr>
          <w:sz w:val="18"/>
          <w:szCs w:val="18"/>
          <w:lang w:val="es-ES_tradnl"/>
        </w:rPr>
        <w:t xml:space="preserve"> – </w:t>
      </w:r>
      <w:r w:rsidR="00253BA9" w:rsidRPr="007078A2">
        <w:rPr>
          <w:sz w:val="18"/>
          <w:szCs w:val="18"/>
          <w:lang w:val="es-ES_tradnl"/>
        </w:rPr>
        <w:t>Estados Árabes</w:t>
      </w:r>
      <w:r w:rsidR="00793AC1" w:rsidRPr="007078A2">
        <w:rPr>
          <w:sz w:val="18"/>
          <w:szCs w:val="18"/>
          <w:lang w:val="es-ES_tradnl"/>
        </w:rPr>
        <w:t xml:space="preserve"> – </w:t>
      </w:r>
      <w:r w:rsidR="00253BA9" w:rsidRPr="007078A2">
        <w:rPr>
          <w:sz w:val="18"/>
          <w:szCs w:val="18"/>
          <w:lang w:val="es-ES_tradnl"/>
        </w:rPr>
        <w:t>Asia-Pacífico</w:t>
      </w:r>
      <w:r w:rsidR="00793AC1" w:rsidRPr="007078A2">
        <w:rPr>
          <w:sz w:val="18"/>
          <w:szCs w:val="18"/>
          <w:lang w:val="es-ES_tradnl"/>
        </w:rPr>
        <w:t xml:space="preserve"> – </w:t>
      </w:r>
      <w:r w:rsidR="00253BA9" w:rsidRPr="007078A2">
        <w:rPr>
          <w:sz w:val="18"/>
          <w:szCs w:val="18"/>
          <w:lang w:val="es-ES_tradnl"/>
        </w:rPr>
        <w:t>Europa</w:t>
      </w:r>
      <w:r w:rsidR="00793AC1" w:rsidRPr="007078A2">
        <w:rPr>
          <w:sz w:val="18"/>
          <w:szCs w:val="18"/>
          <w:lang w:val="es-ES_tradnl"/>
        </w:rPr>
        <w:t xml:space="preserve"> – </w:t>
      </w:r>
      <w:r w:rsidRPr="007078A2">
        <w:rPr>
          <w:sz w:val="18"/>
          <w:szCs w:val="18"/>
          <w:lang w:val="es-ES_tradnl"/>
        </w:rPr>
        <w:t>CEI</w:t>
      </w:r>
      <w:r w:rsidR="00793AC1" w:rsidRPr="007078A2">
        <w:rPr>
          <w:sz w:val="18"/>
          <w:szCs w:val="18"/>
          <w:lang w:val="es-ES_tradnl"/>
        </w:rPr>
        <w:t xml:space="preserve"> – </w:t>
      </w:r>
      <w:r w:rsidR="00253BA9" w:rsidRPr="007078A2">
        <w:rPr>
          <w:sz w:val="18"/>
          <w:szCs w:val="18"/>
          <w:lang w:val="es-ES_tradnl"/>
        </w:rPr>
        <w:t>Américas</w:t>
      </w:r>
      <w:r w:rsidR="00793AC1" w:rsidRPr="007078A2">
        <w:rPr>
          <w:sz w:val="18"/>
          <w:szCs w:val="18"/>
          <w:lang w:val="es-ES_tradnl"/>
        </w:rPr>
        <w:tab/>
      </w:r>
      <w:r w:rsidRPr="007078A2">
        <w:rPr>
          <w:sz w:val="18"/>
          <w:szCs w:val="18"/>
          <w:lang w:val="es-ES_tradnl"/>
        </w:rPr>
        <w:t>En desarrollo</w:t>
      </w:r>
      <w:r w:rsidR="00793AC1" w:rsidRPr="007078A2">
        <w:rPr>
          <w:sz w:val="18"/>
          <w:szCs w:val="18"/>
          <w:lang w:val="es-ES_tradnl"/>
        </w:rPr>
        <w:t xml:space="preserve"> – </w:t>
      </w:r>
      <w:r w:rsidRPr="007078A2">
        <w:rPr>
          <w:sz w:val="18"/>
          <w:szCs w:val="18"/>
          <w:lang w:val="es-ES_tradnl"/>
        </w:rPr>
        <w:t>Mundo</w:t>
      </w:r>
      <w:r w:rsidR="00793AC1" w:rsidRPr="007078A2">
        <w:rPr>
          <w:sz w:val="18"/>
          <w:szCs w:val="18"/>
          <w:lang w:val="es-ES_tradnl"/>
        </w:rPr>
        <w:t xml:space="preserve"> – </w:t>
      </w:r>
      <w:r w:rsidRPr="007078A2">
        <w:rPr>
          <w:sz w:val="18"/>
          <w:szCs w:val="18"/>
          <w:lang w:val="es-ES_tradnl"/>
        </w:rPr>
        <w:t>Desarrollados</w:t>
      </w:r>
      <w:r w:rsidR="00793AC1" w:rsidRPr="007078A2">
        <w:rPr>
          <w:sz w:val="18"/>
          <w:szCs w:val="18"/>
          <w:lang w:val="es-ES_tradnl"/>
        </w:rPr>
        <w:t xml:space="preserve"> – </w:t>
      </w:r>
      <w:r w:rsidRPr="007078A2">
        <w:rPr>
          <w:sz w:val="18"/>
          <w:szCs w:val="18"/>
          <w:lang w:val="es-ES_tradnl"/>
        </w:rPr>
        <w:t>PMA</w:t>
      </w:r>
    </w:p>
    <w:p w:rsidR="0082703E" w:rsidRPr="007078A2" w:rsidRDefault="000A39FD" w:rsidP="0082703E">
      <w:pPr>
        <w:jc w:val="both"/>
        <w:rPr>
          <w:lang w:val="es-ES_tradnl"/>
        </w:rPr>
      </w:pPr>
      <w:r w:rsidRPr="007078A2">
        <w:rPr>
          <w:lang w:val="es-ES_tradnl"/>
        </w:rPr>
        <w:t>En las dos secciones siguientes figura un análisis regional del Índice de Desarrollo de las TIC (IDT) de la UIT y un panorama general del precio y la asequibilidad de los servicios TIC.</w:t>
      </w:r>
      <w:bookmarkStart w:id="42" w:name="_Toc455476227"/>
    </w:p>
    <w:p w:rsidR="00077DB4" w:rsidRPr="007078A2" w:rsidRDefault="00077DB4">
      <w:pPr>
        <w:tabs>
          <w:tab w:val="clear" w:pos="794"/>
          <w:tab w:val="clear" w:pos="1191"/>
          <w:tab w:val="clear" w:pos="1588"/>
          <w:tab w:val="clear" w:pos="1985"/>
        </w:tabs>
        <w:overflowPunct/>
        <w:autoSpaceDE/>
        <w:autoSpaceDN/>
        <w:adjustRightInd/>
        <w:spacing w:before="0" w:after="160" w:line="259" w:lineRule="auto"/>
        <w:textAlignment w:val="auto"/>
        <w:rPr>
          <w:lang w:val="es-ES_tradnl"/>
        </w:rPr>
      </w:pPr>
      <w:r w:rsidRPr="007078A2">
        <w:rPr>
          <w:lang w:val="es-ES_tradnl"/>
        </w:rPr>
        <w:br w:type="page"/>
      </w:r>
    </w:p>
    <w:p w:rsidR="000A39FD" w:rsidRPr="007078A2" w:rsidRDefault="0082703E" w:rsidP="0082703E">
      <w:pPr>
        <w:pStyle w:val="Heading1"/>
        <w:tabs>
          <w:tab w:val="left" w:pos="794"/>
          <w:tab w:val="left" w:pos="1191"/>
          <w:tab w:val="left" w:pos="1588"/>
          <w:tab w:val="left" w:pos="1985"/>
        </w:tabs>
        <w:overflowPunct w:val="0"/>
        <w:autoSpaceDE w:val="0"/>
        <w:autoSpaceDN w:val="0"/>
        <w:adjustRightInd w:val="0"/>
        <w:spacing w:before="360" w:line="240" w:lineRule="auto"/>
        <w:ind w:left="794" w:hanging="794"/>
        <w:textAlignment w:val="baseline"/>
        <w:rPr>
          <w:rFonts w:asciiTheme="minorHAnsi" w:eastAsia="Times New Roman" w:hAnsiTheme="minorHAnsi" w:cs="Times New Roman"/>
          <w:bCs w:val="0"/>
          <w:color w:val="auto"/>
          <w:sz w:val="24"/>
          <w:szCs w:val="20"/>
          <w:lang w:val="es-ES_tradnl" w:bidi="ar-SA"/>
        </w:rPr>
      </w:pPr>
      <w:bookmarkStart w:id="43" w:name="_Toc474413194"/>
      <w:r w:rsidRPr="007078A2">
        <w:rPr>
          <w:rFonts w:asciiTheme="minorHAnsi" w:eastAsia="Times New Roman" w:hAnsiTheme="minorHAnsi" w:cs="Times New Roman"/>
          <w:bCs w:val="0"/>
          <w:color w:val="auto"/>
          <w:sz w:val="24"/>
          <w:szCs w:val="20"/>
          <w:lang w:val="es-ES_tradnl" w:bidi="ar-SA"/>
        </w:rPr>
        <w:lastRenderedPageBreak/>
        <w:t>4</w:t>
      </w:r>
      <w:r w:rsidRPr="007078A2">
        <w:rPr>
          <w:rFonts w:asciiTheme="minorHAnsi" w:eastAsia="Times New Roman" w:hAnsiTheme="minorHAnsi" w:cs="Times New Roman"/>
          <w:bCs w:val="0"/>
          <w:color w:val="auto"/>
          <w:sz w:val="24"/>
          <w:szCs w:val="20"/>
          <w:lang w:val="es-ES_tradnl" w:bidi="ar-SA"/>
        </w:rPr>
        <w:tab/>
      </w:r>
      <w:r w:rsidR="000A39FD" w:rsidRPr="007078A2">
        <w:rPr>
          <w:rFonts w:asciiTheme="minorHAnsi" w:eastAsia="Times New Roman" w:hAnsiTheme="minorHAnsi" w:cs="Times New Roman"/>
          <w:bCs w:val="0"/>
          <w:color w:val="auto"/>
          <w:sz w:val="24"/>
          <w:szCs w:val="20"/>
          <w:lang w:val="es-ES_tradnl" w:bidi="ar-SA"/>
        </w:rPr>
        <w:t>Índice de Desarrollo de las TIC (IDT)</w:t>
      </w:r>
      <w:bookmarkEnd w:id="42"/>
      <w:bookmarkEnd w:id="43"/>
    </w:p>
    <w:p w:rsidR="000A39FD" w:rsidRPr="007078A2" w:rsidRDefault="000A39FD" w:rsidP="00253BA9">
      <w:pPr>
        <w:rPr>
          <w:lang w:val="es-ES_tradnl"/>
        </w:rPr>
      </w:pPr>
      <w:r w:rsidRPr="007078A2">
        <w:rPr>
          <w:lang w:val="es-ES_tradnl"/>
        </w:rPr>
        <w:t>El Índice de Desarrollo de las TIC (IDT)</w:t>
      </w:r>
      <w:r w:rsidRPr="007078A2">
        <w:rPr>
          <w:rStyle w:val="EndnoteReference"/>
          <w:lang w:val="es-ES_tradnl"/>
        </w:rPr>
        <w:t xml:space="preserve"> </w:t>
      </w:r>
      <w:r w:rsidRPr="007078A2">
        <w:rPr>
          <w:rStyle w:val="EndnoteReference"/>
          <w:lang w:val="es-ES_tradnl"/>
        </w:rPr>
        <w:endnoteReference w:id="27"/>
      </w:r>
      <w:r w:rsidRPr="007078A2">
        <w:rPr>
          <w:lang w:val="es-ES_tradnl"/>
        </w:rPr>
        <w:t xml:space="preserve"> es un índice compuesto que combina 11 indicadores en una sola medida de referencia que se puede utilizar para supervisar y comparar la evolución de las tecnologías de la información y la comunicación (TIC) entre los países y a lo largo del tiempo (Figura 3.1). La UIT creó el IDT en 2008 en respuesta a la solicitud de sus Estados Miembros de que estableciese un índice mundial de las TIC, lo presentó por primera vez en la edición de 2009 del </w:t>
      </w:r>
      <w:r w:rsidRPr="007078A2">
        <w:rPr>
          <w:i/>
          <w:iCs/>
          <w:lang w:val="es-ES_tradnl"/>
        </w:rPr>
        <w:t>Informe</w:t>
      </w:r>
      <w:r w:rsidRPr="007078A2">
        <w:rPr>
          <w:lang w:val="es-ES_tradnl"/>
        </w:rPr>
        <w:t xml:space="preserve"> (UIT, 2009), y lo publica anualmente desde entonces. En el análisis siguiente, el IDT 2016, que se calcula a partir de datos de finales de 2015, permite evaluar los avances comparando esos datos con respecto a los del IDT 2015 (calculado a partir de datos de finales de 2014).</w:t>
      </w:r>
    </w:p>
    <w:p w:rsidR="000A39FD" w:rsidRPr="007078A2" w:rsidRDefault="000A39FD" w:rsidP="00253BA9">
      <w:pPr>
        <w:rPr>
          <w:lang w:val="es-ES_tradnl"/>
        </w:rPr>
      </w:pPr>
      <w:r w:rsidRPr="007078A2">
        <w:rPr>
          <w:lang w:val="es-ES_tradnl"/>
        </w:rPr>
        <w:t xml:space="preserve">Los principales objetivos del IDT son medir: </w:t>
      </w:r>
    </w:p>
    <w:p w:rsidR="000A39FD" w:rsidRPr="007078A2" w:rsidRDefault="00253BA9" w:rsidP="007078A2">
      <w:pPr>
        <w:pStyle w:val="enumlev1"/>
      </w:pPr>
      <w:r w:rsidRPr="007078A2">
        <w:t>–</w:t>
      </w:r>
      <w:r w:rsidRPr="007078A2">
        <w:tab/>
      </w:r>
      <w:r w:rsidR="007078A2">
        <w:t>E</w:t>
      </w:r>
      <w:r w:rsidR="000A39FD" w:rsidRPr="007078A2">
        <w:t>l nivel y la evolución en el tiempo del desarrollo de las TIC en los países, y la experiencia de esos</w:t>
      </w:r>
      <w:r w:rsidR="007078A2">
        <w:t xml:space="preserve"> países en relación con otros.</w:t>
      </w:r>
    </w:p>
    <w:p w:rsidR="000A39FD" w:rsidRPr="007078A2" w:rsidRDefault="00253BA9" w:rsidP="00253BA9">
      <w:pPr>
        <w:pStyle w:val="enumlev1"/>
      </w:pPr>
      <w:r w:rsidRPr="007078A2">
        <w:t>–</w:t>
      </w:r>
      <w:r w:rsidRPr="007078A2">
        <w:tab/>
      </w:r>
      <w:r w:rsidR="007078A2">
        <w:t>L</w:t>
      </w:r>
      <w:r w:rsidR="000A39FD" w:rsidRPr="007078A2">
        <w:t>os progresos alcanzados en el desarrollo de las TIC en los paíse</w:t>
      </w:r>
      <w:r w:rsidR="007078A2">
        <w:t>s desarrollados y en desarrollo.</w:t>
      </w:r>
    </w:p>
    <w:p w:rsidR="000A39FD" w:rsidRPr="007078A2" w:rsidRDefault="00253BA9" w:rsidP="00253BA9">
      <w:pPr>
        <w:pStyle w:val="enumlev1"/>
      </w:pPr>
      <w:r w:rsidRPr="007078A2">
        <w:t>–</w:t>
      </w:r>
      <w:r w:rsidRPr="007078A2">
        <w:tab/>
      </w:r>
      <w:r w:rsidR="007078A2">
        <w:t>L</w:t>
      </w:r>
      <w:r w:rsidR="000A39FD" w:rsidRPr="007078A2">
        <w:t>a brecha digital, es decir, las diferencias entre países según sus n</w:t>
      </w:r>
      <w:r w:rsidR="007078A2">
        <w:t>iveles de desarrollo de las TIC.</w:t>
      </w:r>
    </w:p>
    <w:p w:rsidR="000A39FD" w:rsidRPr="007078A2" w:rsidRDefault="00253BA9" w:rsidP="00253BA9">
      <w:pPr>
        <w:pStyle w:val="enumlev1"/>
      </w:pPr>
      <w:r w:rsidRPr="007078A2">
        <w:t>–</w:t>
      </w:r>
      <w:r w:rsidRPr="007078A2">
        <w:tab/>
      </w:r>
      <w:r w:rsidR="007078A2">
        <w:t>E</w:t>
      </w:r>
      <w:r w:rsidR="000A39FD" w:rsidRPr="007078A2">
        <w:t>l potencial de desarrollo de las TIC y la medida en que los países pueden aprovecharlas para mejorar su crecimiento y desarrollo a tenor de las capacidades y los conocimientos disponibles.</w:t>
      </w:r>
    </w:p>
    <w:p w:rsidR="000A39FD" w:rsidRPr="007078A2" w:rsidRDefault="000A39FD" w:rsidP="00253BA9">
      <w:pPr>
        <w:rPr>
          <w:lang w:val="es-ES_tradnl"/>
        </w:rPr>
      </w:pPr>
      <w:r w:rsidRPr="007078A2">
        <w:rPr>
          <w:lang w:val="es-ES_tradnl"/>
        </w:rPr>
        <w:t>El Índice está concebido para ser mundial y reflejar los cambios que se producen en países con niveles distintos de desarrollo de las TIC. Si nos fijamos en el nivel regional, es posible destacar tendencias e identificar motivos por los cuales algunos países obtienen mejores resultados que otros, o por qué se están quedando rezagados.</w:t>
      </w:r>
    </w:p>
    <w:p w:rsidR="000A39FD" w:rsidRPr="007078A2" w:rsidRDefault="000A39FD" w:rsidP="00253BA9">
      <w:pPr>
        <w:rPr>
          <w:lang w:val="es-ES_tradnl"/>
        </w:rPr>
      </w:pPr>
      <w:r w:rsidRPr="007078A2">
        <w:rPr>
          <w:lang w:val="es-ES_tradnl"/>
        </w:rPr>
        <w:t>En esta sección se presentan los resultados del análisis del IDT regional, seguidos por el análisis de la región de las Américas. También se hace un rápido resumen de los países de las Américas que han mejorado más espectacularmente su rango en las clasificacion</w:t>
      </w:r>
      <w:r w:rsidR="006D4CB7">
        <w:rPr>
          <w:lang w:val="es-ES_tradnl"/>
        </w:rPr>
        <w:t>es globales del IDT desde 2015.</w:t>
      </w:r>
    </w:p>
    <w:p w:rsidR="000A39FD" w:rsidRPr="007078A2" w:rsidRDefault="000A39FD" w:rsidP="000C451F">
      <w:pPr>
        <w:keepNext/>
        <w:keepLines/>
        <w:jc w:val="both"/>
        <w:rPr>
          <w:b/>
          <w:bCs/>
          <w:lang w:val="es-ES_tradnl"/>
        </w:rPr>
      </w:pPr>
      <w:r w:rsidRPr="007078A2">
        <w:rPr>
          <w:b/>
          <w:bCs/>
          <w:lang w:val="es-ES_tradnl"/>
        </w:rPr>
        <w:t>Figura 3.1: Índice de Desarrollo de las TIC: indicadores, valores de referencia y factores de ponderación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7"/>
        <w:gridCol w:w="1251"/>
        <w:gridCol w:w="828"/>
        <w:gridCol w:w="3044"/>
      </w:tblGrid>
      <w:tr w:rsidR="00557DE8" w:rsidRPr="00A32FCB" w:rsidTr="00360A8E">
        <w:tc>
          <w:tcPr>
            <w:tcW w:w="4395" w:type="dxa"/>
            <w:tcBorders>
              <w:right w:val="single" w:sz="2" w:space="0" w:color="FFFFFF" w:themeColor="background1"/>
            </w:tcBorders>
            <w:shd w:val="clear" w:color="auto" w:fill="7030A0"/>
            <w:vAlign w:val="center"/>
          </w:tcPr>
          <w:p w:rsidR="00557DE8" w:rsidRPr="007078A2" w:rsidRDefault="00557DE8" w:rsidP="000C451F">
            <w:pPr>
              <w:keepNext/>
              <w:keepLines/>
              <w:spacing w:before="40" w:after="40"/>
              <w:rPr>
                <w:b/>
                <w:bCs/>
                <w:color w:val="FFFFFF" w:themeColor="background1"/>
                <w:sz w:val="14"/>
                <w:szCs w:val="14"/>
                <w:lang w:val="es-ES_tradnl"/>
              </w:rPr>
            </w:pPr>
            <w:r w:rsidRPr="007078A2">
              <w:rPr>
                <w:b/>
                <w:bCs/>
                <w:color w:val="FFFFFF" w:themeColor="background1"/>
                <w:sz w:val="14"/>
                <w:szCs w:val="14"/>
                <w:lang w:val="es-ES_tradnl"/>
              </w:rPr>
              <w:t>Acceso a las TIC</w:t>
            </w:r>
          </w:p>
        </w:tc>
        <w:tc>
          <w:tcPr>
            <w:tcW w:w="1275" w:type="dxa"/>
            <w:tcBorders>
              <w:left w:val="single" w:sz="2" w:space="0" w:color="FFFFFF" w:themeColor="background1"/>
              <w:right w:val="single" w:sz="2" w:space="0" w:color="FFFFFF" w:themeColor="background1"/>
            </w:tcBorders>
            <w:shd w:val="clear" w:color="auto" w:fill="7030A0"/>
            <w:vAlign w:val="center"/>
          </w:tcPr>
          <w:p w:rsidR="00557DE8" w:rsidRPr="007078A2" w:rsidRDefault="00557DE8" w:rsidP="000C451F">
            <w:pPr>
              <w:keepNext/>
              <w:keepLines/>
              <w:spacing w:before="40" w:after="40"/>
              <w:jc w:val="center"/>
              <w:rPr>
                <w:b/>
                <w:bCs/>
                <w:color w:val="FFFFFF" w:themeColor="background1"/>
                <w:sz w:val="14"/>
                <w:szCs w:val="14"/>
                <w:lang w:val="es-ES_tradnl"/>
              </w:rPr>
            </w:pPr>
            <w:r w:rsidRPr="007078A2">
              <w:rPr>
                <w:b/>
                <w:bCs/>
                <w:color w:val="FFFFFF" w:themeColor="background1"/>
                <w:sz w:val="14"/>
                <w:szCs w:val="14"/>
                <w:lang w:val="es-ES_tradnl"/>
              </w:rPr>
              <w:t>Valor de referencia</w:t>
            </w:r>
          </w:p>
        </w:tc>
        <w:tc>
          <w:tcPr>
            <w:tcW w:w="851" w:type="dxa"/>
            <w:tcBorders>
              <w:left w:val="single" w:sz="2" w:space="0" w:color="FFFFFF" w:themeColor="background1"/>
            </w:tcBorders>
            <w:shd w:val="clear" w:color="auto" w:fill="7030A0"/>
            <w:vAlign w:val="center"/>
          </w:tcPr>
          <w:p w:rsidR="00557DE8" w:rsidRPr="007078A2" w:rsidRDefault="00557DE8" w:rsidP="000C451F">
            <w:pPr>
              <w:keepNext/>
              <w:keepLines/>
              <w:spacing w:before="40" w:after="40"/>
              <w:jc w:val="center"/>
              <w:rPr>
                <w:b/>
                <w:bCs/>
                <w:color w:val="FFFFFF" w:themeColor="background1"/>
                <w:sz w:val="14"/>
                <w:szCs w:val="14"/>
                <w:lang w:val="es-ES_tradnl"/>
              </w:rPr>
            </w:pPr>
            <w:r w:rsidRPr="007078A2">
              <w:rPr>
                <w:b/>
                <w:bCs/>
                <w:color w:val="FFFFFF" w:themeColor="background1"/>
                <w:sz w:val="14"/>
                <w:szCs w:val="14"/>
                <w:lang w:val="es-ES_tradnl"/>
              </w:rPr>
              <w:t>(%)</w:t>
            </w:r>
          </w:p>
        </w:tc>
        <w:tc>
          <w:tcPr>
            <w:tcW w:w="3118" w:type="dxa"/>
            <w:vMerge w:val="restart"/>
            <w:shd w:val="clear" w:color="auto" w:fill="FFFFFF" w:themeFill="background1"/>
            <w:vAlign w:val="center"/>
          </w:tcPr>
          <w:p w:rsidR="00557DE8" w:rsidRPr="007078A2" w:rsidRDefault="00557DE8" w:rsidP="000C451F">
            <w:pPr>
              <w:keepNext/>
              <w:keepLines/>
              <w:spacing w:before="40" w:after="40"/>
              <w:rPr>
                <w:b/>
                <w:bCs/>
                <w:sz w:val="20"/>
                <w:lang w:val="es-ES_tradnl"/>
              </w:rPr>
            </w:pPr>
            <w:r w:rsidRPr="007078A2">
              <w:rPr>
                <w:b/>
                <w:bCs/>
                <w:noProof/>
                <w:lang w:eastAsia="zh-CN"/>
              </w:rPr>
              <w:drawing>
                <wp:anchor distT="0" distB="0" distL="114300" distR="114300" simplePos="0" relativeHeight="251668480" behindDoc="0" locked="0" layoutInCell="1" allowOverlap="1" wp14:anchorId="3D27166C" wp14:editId="1F93F4CB">
                  <wp:simplePos x="0" y="0"/>
                  <wp:positionH relativeFrom="column">
                    <wp:posOffset>-984250</wp:posOffset>
                  </wp:positionH>
                  <wp:positionV relativeFrom="paragraph">
                    <wp:posOffset>-18415</wp:posOffset>
                  </wp:positionV>
                  <wp:extent cx="921385" cy="2811145"/>
                  <wp:effectExtent l="0" t="0" r="0" b="8255"/>
                  <wp:wrapThrough wrapText="bothSides">
                    <wp:wrapPolygon edited="0">
                      <wp:start x="0" y="0"/>
                      <wp:lineTo x="0" y="21517"/>
                      <wp:lineTo x="20990" y="21517"/>
                      <wp:lineTo x="2099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l="66453" r="15651"/>
                          <a:stretch/>
                        </pic:blipFill>
                        <pic:spPr bwMode="auto">
                          <a:xfrm>
                            <a:off x="0" y="0"/>
                            <a:ext cx="921385" cy="2811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57DE8" w:rsidRPr="007078A2" w:rsidRDefault="00557DE8" w:rsidP="000C451F">
            <w:pPr>
              <w:keepNext/>
              <w:keepLines/>
              <w:spacing w:before="40" w:after="40"/>
              <w:rPr>
                <w:b/>
                <w:bCs/>
                <w:sz w:val="20"/>
                <w:lang w:val="es-ES_tradnl"/>
              </w:rPr>
            </w:pPr>
          </w:p>
          <w:p w:rsidR="00557DE8" w:rsidRPr="007078A2" w:rsidRDefault="00557DE8" w:rsidP="000C451F">
            <w:pPr>
              <w:keepNext/>
              <w:keepLines/>
              <w:spacing w:before="40" w:after="40"/>
              <w:rPr>
                <w:b/>
                <w:bCs/>
                <w:sz w:val="20"/>
                <w:lang w:val="es-ES_tradnl"/>
              </w:rPr>
            </w:pPr>
          </w:p>
          <w:p w:rsidR="00557DE8" w:rsidRPr="007078A2" w:rsidRDefault="00557DE8" w:rsidP="000C451F">
            <w:pPr>
              <w:keepNext/>
              <w:keepLines/>
              <w:spacing w:before="40" w:after="40"/>
              <w:rPr>
                <w:b/>
                <w:bCs/>
                <w:sz w:val="20"/>
                <w:lang w:val="es-ES_tradnl"/>
              </w:rPr>
            </w:pPr>
          </w:p>
          <w:p w:rsidR="00557DE8" w:rsidRPr="007078A2" w:rsidRDefault="00557DE8" w:rsidP="000C451F">
            <w:pPr>
              <w:keepNext/>
              <w:keepLines/>
              <w:spacing w:before="40" w:after="40"/>
              <w:rPr>
                <w:b/>
                <w:bCs/>
                <w:sz w:val="20"/>
                <w:lang w:val="es-ES_tradnl"/>
              </w:rPr>
            </w:pPr>
          </w:p>
          <w:p w:rsidR="00557DE8" w:rsidRPr="007078A2" w:rsidRDefault="00557DE8" w:rsidP="000C451F">
            <w:pPr>
              <w:keepNext/>
              <w:keepLines/>
              <w:spacing w:before="40" w:after="40"/>
              <w:rPr>
                <w:b/>
                <w:bCs/>
                <w:sz w:val="20"/>
                <w:lang w:val="es-ES_tradnl"/>
              </w:rPr>
            </w:pPr>
          </w:p>
          <w:p w:rsidR="00557DE8" w:rsidRPr="007078A2" w:rsidRDefault="00557DE8" w:rsidP="000C451F">
            <w:pPr>
              <w:keepNext/>
              <w:keepLines/>
              <w:spacing w:before="40" w:after="40"/>
              <w:rPr>
                <w:b/>
                <w:bCs/>
                <w:sz w:val="20"/>
                <w:lang w:val="es-ES_tradnl"/>
              </w:rPr>
            </w:pPr>
          </w:p>
          <w:p w:rsidR="00557DE8" w:rsidRPr="007078A2" w:rsidRDefault="00557DE8" w:rsidP="000C451F">
            <w:pPr>
              <w:keepNext/>
              <w:keepLines/>
              <w:spacing w:before="40" w:after="40"/>
              <w:rPr>
                <w:b/>
                <w:bCs/>
                <w:color w:val="FFFFFF" w:themeColor="background1"/>
                <w:sz w:val="20"/>
                <w:lang w:val="es-ES_tradnl"/>
              </w:rPr>
            </w:pPr>
            <w:r w:rsidRPr="007078A2">
              <w:rPr>
                <w:b/>
                <w:bCs/>
                <w:sz w:val="20"/>
                <w:lang w:val="es-ES_tradnl"/>
              </w:rPr>
              <w:t>Índice de Desarrollo</w:t>
            </w:r>
            <w:r w:rsidRPr="007078A2">
              <w:rPr>
                <w:b/>
                <w:bCs/>
                <w:sz w:val="20"/>
                <w:lang w:val="es-ES_tradnl"/>
              </w:rPr>
              <w:br/>
              <w:t>de las TIC</w:t>
            </w:r>
          </w:p>
        </w:tc>
      </w:tr>
      <w:tr w:rsidR="00557DE8" w:rsidRPr="007078A2" w:rsidTr="00360A8E">
        <w:tc>
          <w:tcPr>
            <w:tcW w:w="4395" w:type="dxa"/>
            <w:tcBorders>
              <w:right w:val="single" w:sz="2" w:space="0" w:color="FFFFFF" w:themeColor="background1"/>
            </w:tcBorders>
            <w:shd w:val="clear" w:color="auto" w:fill="D9D9D9" w:themeFill="background1" w:themeFillShade="D9"/>
          </w:tcPr>
          <w:p w:rsidR="00557DE8" w:rsidRPr="007078A2" w:rsidRDefault="00557DE8" w:rsidP="000C451F">
            <w:pPr>
              <w:keepNext/>
              <w:keepLines/>
              <w:tabs>
                <w:tab w:val="clear" w:pos="794"/>
                <w:tab w:val="left" w:pos="318"/>
              </w:tabs>
              <w:spacing w:before="40" w:after="40"/>
              <w:rPr>
                <w:sz w:val="14"/>
                <w:szCs w:val="14"/>
                <w:lang w:val="es-ES_tradnl"/>
              </w:rPr>
            </w:pPr>
            <w:r w:rsidRPr="007078A2">
              <w:rPr>
                <w:sz w:val="14"/>
                <w:szCs w:val="14"/>
                <w:lang w:val="es-ES_tradnl"/>
              </w:rPr>
              <w:t>1</w:t>
            </w:r>
            <w:r w:rsidRPr="007078A2">
              <w:rPr>
                <w:sz w:val="14"/>
                <w:szCs w:val="14"/>
                <w:lang w:val="es-ES_tradnl"/>
              </w:rPr>
              <w:tab/>
              <w:t>Abonados a la telefonía fija por cada 100 habitantes</w:t>
            </w:r>
          </w:p>
        </w:tc>
        <w:tc>
          <w:tcPr>
            <w:tcW w:w="1275" w:type="dxa"/>
            <w:tcBorders>
              <w:left w:val="single" w:sz="2" w:space="0" w:color="FFFFFF" w:themeColor="background1"/>
              <w:right w:val="single" w:sz="2" w:space="0" w:color="FFFFFF" w:themeColor="background1"/>
            </w:tcBorders>
            <w:shd w:val="clear" w:color="auto" w:fill="D6BBEB"/>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60</w:t>
            </w:r>
          </w:p>
        </w:tc>
        <w:tc>
          <w:tcPr>
            <w:tcW w:w="851" w:type="dxa"/>
            <w:tcBorders>
              <w:left w:val="single" w:sz="2" w:space="0" w:color="FFFFFF" w:themeColor="background1"/>
            </w:tcBorders>
            <w:shd w:val="clear" w:color="auto" w:fill="D6BBEB"/>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20</w:t>
            </w:r>
          </w:p>
        </w:tc>
        <w:tc>
          <w:tcPr>
            <w:tcW w:w="3118" w:type="dxa"/>
            <w:vMerge/>
            <w:shd w:val="clear" w:color="auto" w:fill="FFFFFF" w:themeFill="background1"/>
          </w:tcPr>
          <w:p w:rsidR="00557DE8" w:rsidRPr="007078A2" w:rsidRDefault="00557DE8" w:rsidP="000C451F">
            <w:pPr>
              <w:keepNext/>
              <w:keepLines/>
              <w:jc w:val="center"/>
              <w:rPr>
                <w:sz w:val="18"/>
                <w:szCs w:val="18"/>
                <w:lang w:val="es-ES_tradnl"/>
              </w:rPr>
            </w:pPr>
          </w:p>
        </w:tc>
      </w:tr>
      <w:tr w:rsidR="00557DE8" w:rsidRPr="007078A2" w:rsidTr="00360A8E">
        <w:tc>
          <w:tcPr>
            <w:tcW w:w="4395" w:type="dxa"/>
            <w:tcBorders>
              <w:right w:val="single" w:sz="2" w:space="0" w:color="FFFFFF" w:themeColor="background1"/>
            </w:tcBorders>
            <w:shd w:val="clear" w:color="auto" w:fill="D9D9D9" w:themeFill="background1" w:themeFillShade="D9"/>
          </w:tcPr>
          <w:p w:rsidR="00557DE8" w:rsidRPr="007078A2" w:rsidRDefault="00557DE8" w:rsidP="000C451F">
            <w:pPr>
              <w:keepNext/>
              <w:keepLines/>
              <w:tabs>
                <w:tab w:val="clear" w:pos="794"/>
                <w:tab w:val="left" w:pos="318"/>
              </w:tabs>
              <w:spacing w:before="40" w:after="40"/>
              <w:rPr>
                <w:sz w:val="14"/>
                <w:szCs w:val="14"/>
                <w:lang w:val="es-ES_tradnl"/>
              </w:rPr>
            </w:pPr>
            <w:r w:rsidRPr="007078A2">
              <w:rPr>
                <w:sz w:val="14"/>
                <w:szCs w:val="14"/>
                <w:lang w:val="es-ES_tradnl"/>
              </w:rPr>
              <w:t>2</w:t>
            </w:r>
            <w:r w:rsidRPr="007078A2">
              <w:rPr>
                <w:sz w:val="14"/>
                <w:szCs w:val="14"/>
                <w:lang w:val="es-ES_tradnl"/>
              </w:rPr>
              <w:tab/>
              <w:t>Abonados a la telefonía móvil celular por cada 100 habitantes</w:t>
            </w:r>
          </w:p>
        </w:tc>
        <w:tc>
          <w:tcPr>
            <w:tcW w:w="1275" w:type="dxa"/>
            <w:tcBorders>
              <w:left w:val="single" w:sz="2" w:space="0" w:color="FFFFFF" w:themeColor="background1"/>
              <w:right w:val="single" w:sz="2" w:space="0" w:color="FFFFFF" w:themeColor="background1"/>
            </w:tcBorders>
            <w:shd w:val="clear" w:color="auto" w:fill="D6BBEB"/>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120</w:t>
            </w:r>
          </w:p>
        </w:tc>
        <w:tc>
          <w:tcPr>
            <w:tcW w:w="851" w:type="dxa"/>
            <w:tcBorders>
              <w:left w:val="single" w:sz="2" w:space="0" w:color="FFFFFF" w:themeColor="background1"/>
            </w:tcBorders>
            <w:shd w:val="clear" w:color="auto" w:fill="D6BBEB"/>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20</w:t>
            </w:r>
          </w:p>
        </w:tc>
        <w:tc>
          <w:tcPr>
            <w:tcW w:w="3118" w:type="dxa"/>
            <w:vMerge/>
            <w:shd w:val="clear" w:color="auto" w:fill="FFFFFF" w:themeFill="background1"/>
          </w:tcPr>
          <w:p w:rsidR="00557DE8" w:rsidRPr="007078A2" w:rsidRDefault="00557DE8" w:rsidP="000C451F">
            <w:pPr>
              <w:keepNext/>
              <w:keepLines/>
              <w:jc w:val="center"/>
              <w:rPr>
                <w:sz w:val="18"/>
                <w:szCs w:val="18"/>
                <w:lang w:val="es-ES_tradnl"/>
              </w:rPr>
            </w:pPr>
          </w:p>
        </w:tc>
      </w:tr>
      <w:tr w:rsidR="00557DE8" w:rsidRPr="007078A2" w:rsidTr="00360A8E">
        <w:tc>
          <w:tcPr>
            <w:tcW w:w="4395" w:type="dxa"/>
            <w:tcBorders>
              <w:right w:val="single" w:sz="2" w:space="0" w:color="FFFFFF" w:themeColor="background1"/>
            </w:tcBorders>
            <w:shd w:val="clear" w:color="auto" w:fill="D9D9D9" w:themeFill="background1" w:themeFillShade="D9"/>
          </w:tcPr>
          <w:p w:rsidR="00557DE8" w:rsidRPr="007078A2" w:rsidRDefault="00557DE8" w:rsidP="000C451F">
            <w:pPr>
              <w:keepNext/>
              <w:keepLines/>
              <w:tabs>
                <w:tab w:val="clear" w:pos="794"/>
                <w:tab w:val="left" w:pos="318"/>
              </w:tabs>
              <w:spacing w:before="40" w:after="40"/>
              <w:rPr>
                <w:sz w:val="14"/>
                <w:szCs w:val="14"/>
                <w:lang w:val="es-ES_tradnl"/>
              </w:rPr>
            </w:pPr>
            <w:r w:rsidRPr="007078A2">
              <w:rPr>
                <w:sz w:val="14"/>
                <w:szCs w:val="14"/>
                <w:lang w:val="es-ES_tradnl"/>
              </w:rPr>
              <w:t>3</w:t>
            </w:r>
            <w:r w:rsidRPr="007078A2">
              <w:rPr>
                <w:sz w:val="14"/>
                <w:szCs w:val="14"/>
                <w:lang w:val="es-ES_tradnl"/>
              </w:rPr>
              <w:tab/>
              <w:t>Ancho de banda de Internet internacional (bit/s) por usuario de Internet</w:t>
            </w:r>
          </w:p>
        </w:tc>
        <w:tc>
          <w:tcPr>
            <w:tcW w:w="1275" w:type="dxa"/>
            <w:tcBorders>
              <w:left w:val="single" w:sz="2" w:space="0" w:color="FFFFFF" w:themeColor="background1"/>
              <w:right w:val="single" w:sz="2" w:space="0" w:color="FFFFFF" w:themeColor="background1"/>
            </w:tcBorders>
            <w:shd w:val="clear" w:color="auto" w:fill="D6BBEB"/>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976'696*</w:t>
            </w:r>
          </w:p>
        </w:tc>
        <w:tc>
          <w:tcPr>
            <w:tcW w:w="851" w:type="dxa"/>
            <w:tcBorders>
              <w:left w:val="single" w:sz="2" w:space="0" w:color="FFFFFF" w:themeColor="background1"/>
            </w:tcBorders>
            <w:shd w:val="clear" w:color="auto" w:fill="D6BBEB"/>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20</w:t>
            </w:r>
          </w:p>
        </w:tc>
        <w:tc>
          <w:tcPr>
            <w:tcW w:w="3118" w:type="dxa"/>
            <w:vMerge/>
            <w:shd w:val="clear" w:color="auto" w:fill="FFFFFF" w:themeFill="background1"/>
          </w:tcPr>
          <w:p w:rsidR="00557DE8" w:rsidRPr="007078A2" w:rsidRDefault="00557DE8" w:rsidP="000C451F">
            <w:pPr>
              <w:keepNext/>
              <w:keepLines/>
              <w:jc w:val="center"/>
              <w:rPr>
                <w:sz w:val="18"/>
                <w:szCs w:val="18"/>
                <w:lang w:val="es-ES_tradnl"/>
              </w:rPr>
            </w:pPr>
          </w:p>
        </w:tc>
      </w:tr>
      <w:tr w:rsidR="00557DE8" w:rsidRPr="007078A2" w:rsidTr="00360A8E">
        <w:tc>
          <w:tcPr>
            <w:tcW w:w="4395" w:type="dxa"/>
            <w:tcBorders>
              <w:right w:val="single" w:sz="2" w:space="0" w:color="FFFFFF" w:themeColor="background1"/>
            </w:tcBorders>
            <w:shd w:val="clear" w:color="auto" w:fill="D9D9D9" w:themeFill="background1" w:themeFillShade="D9"/>
          </w:tcPr>
          <w:p w:rsidR="00557DE8" w:rsidRPr="007078A2" w:rsidRDefault="00557DE8" w:rsidP="000C451F">
            <w:pPr>
              <w:keepNext/>
              <w:keepLines/>
              <w:tabs>
                <w:tab w:val="clear" w:pos="794"/>
                <w:tab w:val="left" w:pos="318"/>
              </w:tabs>
              <w:spacing w:before="40" w:after="40"/>
              <w:rPr>
                <w:sz w:val="14"/>
                <w:szCs w:val="14"/>
                <w:lang w:val="es-ES_tradnl"/>
              </w:rPr>
            </w:pPr>
            <w:r w:rsidRPr="007078A2">
              <w:rPr>
                <w:sz w:val="14"/>
                <w:szCs w:val="14"/>
                <w:lang w:val="es-ES_tradnl"/>
              </w:rPr>
              <w:t>4</w:t>
            </w:r>
            <w:r w:rsidRPr="007078A2">
              <w:rPr>
                <w:sz w:val="14"/>
                <w:szCs w:val="14"/>
                <w:lang w:val="es-ES_tradnl"/>
              </w:rPr>
              <w:tab/>
              <w:t>Porcentaje de hogares con computadora</w:t>
            </w:r>
          </w:p>
        </w:tc>
        <w:tc>
          <w:tcPr>
            <w:tcW w:w="1275" w:type="dxa"/>
            <w:tcBorders>
              <w:left w:val="single" w:sz="2" w:space="0" w:color="FFFFFF" w:themeColor="background1"/>
              <w:right w:val="single" w:sz="2" w:space="0" w:color="FFFFFF" w:themeColor="background1"/>
            </w:tcBorders>
            <w:shd w:val="clear" w:color="auto" w:fill="D6BBEB"/>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100</w:t>
            </w:r>
          </w:p>
        </w:tc>
        <w:tc>
          <w:tcPr>
            <w:tcW w:w="851" w:type="dxa"/>
            <w:tcBorders>
              <w:left w:val="single" w:sz="2" w:space="0" w:color="FFFFFF" w:themeColor="background1"/>
            </w:tcBorders>
            <w:shd w:val="clear" w:color="auto" w:fill="D6BBEB"/>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20</w:t>
            </w:r>
          </w:p>
        </w:tc>
        <w:tc>
          <w:tcPr>
            <w:tcW w:w="3118" w:type="dxa"/>
            <w:vMerge/>
            <w:shd w:val="clear" w:color="auto" w:fill="FFFFFF" w:themeFill="background1"/>
          </w:tcPr>
          <w:p w:rsidR="00557DE8" w:rsidRPr="007078A2" w:rsidRDefault="00557DE8" w:rsidP="000C451F">
            <w:pPr>
              <w:keepNext/>
              <w:keepLines/>
              <w:jc w:val="center"/>
              <w:rPr>
                <w:sz w:val="18"/>
                <w:szCs w:val="18"/>
                <w:lang w:val="es-ES_tradnl"/>
              </w:rPr>
            </w:pPr>
          </w:p>
        </w:tc>
      </w:tr>
      <w:tr w:rsidR="00557DE8" w:rsidRPr="007078A2" w:rsidTr="00360A8E">
        <w:tc>
          <w:tcPr>
            <w:tcW w:w="4395" w:type="dxa"/>
            <w:tcBorders>
              <w:bottom w:val="single" w:sz="18" w:space="0" w:color="FFFFFF" w:themeColor="background1"/>
              <w:right w:val="single" w:sz="2" w:space="0" w:color="FFFFFF" w:themeColor="background1"/>
            </w:tcBorders>
            <w:shd w:val="clear" w:color="auto" w:fill="D9D9D9" w:themeFill="background1" w:themeFillShade="D9"/>
          </w:tcPr>
          <w:p w:rsidR="00557DE8" w:rsidRPr="007078A2" w:rsidRDefault="00557DE8" w:rsidP="000C451F">
            <w:pPr>
              <w:keepNext/>
              <w:keepLines/>
              <w:tabs>
                <w:tab w:val="clear" w:pos="794"/>
                <w:tab w:val="left" w:pos="318"/>
              </w:tabs>
              <w:spacing w:before="40" w:after="40"/>
              <w:rPr>
                <w:sz w:val="14"/>
                <w:szCs w:val="14"/>
                <w:lang w:val="es-ES_tradnl"/>
              </w:rPr>
            </w:pPr>
            <w:r w:rsidRPr="007078A2">
              <w:rPr>
                <w:sz w:val="14"/>
                <w:szCs w:val="14"/>
                <w:lang w:val="es-ES_tradnl"/>
              </w:rPr>
              <w:t>5</w:t>
            </w:r>
            <w:r w:rsidRPr="007078A2">
              <w:rPr>
                <w:sz w:val="14"/>
                <w:szCs w:val="14"/>
                <w:lang w:val="es-ES_tradnl"/>
              </w:rPr>
              <w:tab/>
              <w:t>Porcentaje de hogares con acceso a Internet</w:t>
            </w:r>
          </w:p>
        </w:tc>
        <w:tc>
          <w:tcPr>
            <w:tcW w:w="1275" w:type="dxa"/>
            <w:tcBorders>
              <w:left w:val="single" w:sz="2" w:space="0" w:color="FFFFFF" w:themeColor="background1"/>
              <w:bottom w:val="single" w:sz="18" w:space="0" w:color="FFFFFF" w:themeColor="background1"/>
              <w:right w:val="single" w:sz="2" w:space="0" w:color="FFFFFF" w:themeColor="background1"/>
            </w:tcBorders>
            <w:shd w:val="clear" w:color="auto" w:fill="D6BBEB"/>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100</w:t>
            </w:r>
          </w:p>
        </w:tc>
        <w:tc>
          <w:tcPr>
            <w:tcW w:w="851" w:type="dxa"/>
            <w:tcBorders>
              <w:left w:val="single" w:sz="2" w:space="0" w:color="FFFFFF" w:themeColor="background1"/>
              <w:bottom w:val="single" w:sz="18" w:space="0" w:color="FFFFFF" w:themeColor="background1"/>
            </w:tcBorders>
            <w:shd w:val="clear" w:color="auto" w:fill="D6BBEB"/>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20</w:t>
            </w:r>
          </w:p>
        </w:tc>
        <w:tc>
          <w:tcPr>
            <w:tcW w:w="3118" w:type="dxa"/>
            <w:vMerge/>
            <w:shd w:val="clear" w:color="auto" w:fill="FFFFFF" w:themeFill="background1"/>
          </w:tcPr>
          <w:p w:rsidR="00557DE8" w:rsidRPr="007078A2" w:rsidRDefault="00557DE8" w:rsidP="000C451F">
            <w:pPr>
              <w:keepNext/>
              <w:keepLines/>
              <w:jc w:val="center"/>
              <w:rPr>
                <w:sz w:val="18"/>
                <w:szCs w:val="18"/>
                <w:lang w:val="es-ES_tradnl"/>
              </w:rPr>
            </w:pPr>
          </w:p>
        </w:tc>
      </w:tr>
      <w:tr w:rsidR="00557DE8" w:rsidRPr="007078A2" w:rsidTr="00360A8E">
        <w:tc>
          <w:tcPr>
            <w:tcW w:w="4395" w:type="dxa"/>
            <w:tcBorders>
              <w:top w:val="single" w:sz="18" w:space="0" w:color="FFFFFF" w:themeColor="background1"/>
              <w:right w:val="single" w:sz="2" w:space="0" w:color="FFFFFF" w:themeColor="background1"/>
            </w:tcBorders>
            <w:shd w:val="clear" w:color="auto" w:fill="92D050"/>
            <w:vAlign w:val="center"/>
          </w:tcPr>
          <w:p w:rsidR="00557DE8" w:rsidRPr="007078A2" w:rsidRDefault="00557DE8" w:rsidP="000C451F">
            <w:pPr>
              <w:keepNext/>
              <w:keepLines/>
              <w:spacing w:before="40" w:after="40"/>
              <w:rPr>
                <w:b/>
                <w:bCs/>
                <w:color w:val="FFFFFF" w:themeColor="background1"/>
                <w:sz w:val="14"/>
                <w:szCs w:val="14"/>
                <w:lang w:val="es-ES_tradnl"/>
              </w:rPr>
            </w:pPr>
            <w:r w:rsidRPr="007078A2">
              <w:rPr>
                <w:b/>
                <w:bCs/>
                <w:color w:val="FFFFFF" w:themeColor="background1"/>
                <w:sz w:val="14"/>
                <w:szCs w:val="14"/>
                <w:lang w:val="es-ES_tradnl"/>
              </w:rPr>
              <w:t>Utilización de las TIC</w:t>
            </w:r>
          </w:p>
        </w:tc>
        <w:tc>
          <w:tcPr>
            <w:tcW w:w="1275" w:type="dxa"/>
            <w:tcBorders>
              <w:top w:val="single" w:sz="18" w:space="0" w:color="FFFFFF" w:themeColor="background1"/>
              <w:left w:val="single" w:sz="2" w:space="0" w:color="FFFFFF" w:themeColor="background1"/>
              <w:right w:val="single" w:sz="2" w:space="0" w:color="FFFFFF" w:themeColor="background1"/>
            </w:tcBorders>
            <w:shd w:val="clear" w:color="auto" w:fill="92D050"/>
            <w:vAlign w:val="center"/>
          </w:tcPr>
          <w:p w:rsidR="00557DE8" w:rsidRPr="007078A2" w:rsidRDefault="00557DE8" w:rsidP="000C451F">
            <w:pPr>
              <w:keepNext/>
              <w:keepLines/>
              <w:spacing w:before="40" w:after="40"/>
              <w:jc w:val="center"/>
              <w:rPr>
                <w:b/>
                <w:bCs/>
                <w:color w:val="FFFFFF" w:themeColor="background1"/>
                <w:sz w:val="14"/>
                <w:szCs w:val="14"/>
                <w:lang w:val="es-ES_tradnl"/>
              </w:rPr>
            </w:pPr>
            <w:r w:rsidRPr="007078A2">
              <w:rPr>
                <w:b/>
                <w:bCs/>
                <w:color w:val="FFFFFF" w:themeColor="background1"/>
                <w:sz w:val="14"/>
                <w:szCs w:val="14"/>
                <w:lang w:val="es-ES_tradnl"/>
              </w:rPr>
              <w:t>Valor de referencia</w:t>
            </w:r>
          </w:p>
        </w:tc>
        <w:tc>
          <w:tcPr>
            <w:tcW w:w="851" w:type="dxa"/>
            <w:tcBorders>
              <w:top w:val="single" w:sz="18" w:space="0" w:color="FFFFFF" w:themeColor="background1"/>
              <w:left w:val="single" w:sz="2" w:space="0" w:color="FFFFFF" w:themeColor="background1"/>
            </w:tcBorders>
            <w:shd w:val="clear" w:color="auto" w:fill="92D050"/>
            <w:vAlign w:val="center"/>
          </w:tcPr>
          <w:p w:rsidR="00557DE8" w:rsidRPr="007078A2" w:rsidRDefault="00557DE8" w:rsidP="000C451F">
            <w:pPr>
              <w:keepNext/>
              <w:keepLines/>
              <w:spacing w:before="40" w:after="40"/>
              <w:jc w:val="center"/>
              <w:rPr>
                <w:b/>
                <w:bCs/>
                <w:color w:val="FFFFFF" w:themeColor="background1"/>
                <w:sz w:val="14"/>
                <w:szCs w:val="14"/>
                <w:lang w:val="es-ES_tradnl"/>
              </w:rPr>
            </w:pPr>
            <w:r w:rsidRPr="007078A2">
              <w:rPr>
                <w:b/>
                <w:bCs/>
                <w:color w:val="FFFFFF" w:themeColor="background1"/>
                <w:sz w:val="14"/>
                <w:szCs w:val="14"/>
                <w:lang w:val="es-ES_tradnl"/>
              </w:rPr>
              <w:t>(%)</w:t>
            </w:r>
          </w:p>
        </w:tc>
        <w:tc>
          <w:tcPr>
            <w:tcW w:w="3118" w:type="dxa"/>
            <w:vMerge/>
            <w:shd w:val="clear" w:color="auto" w:fill="FFFFFF" w:themeFill="background1"/>
          </w:tcPr>
          <w:p w:rsidR="00557DE8" w:rsidRPr="007078A2" w:rsidRDefault="00557DE8" w:rsidP="000C451F">
            <w:pPr>
              <w:keepNext/>
              <w:keepLines/>
              <w:spacing w:before="40" w:after="40"/>
              <w:jc w:val="center"/>
              <w:rPr>
                <w:b/>
                <w:bCs/>
                <w:color w:val="FFFFFF" w:themeColor="background1"/>
                <w:sz w:val="20"/>
                <w:lang w:val="es-ES_tradnl"/>
              </w:rPr>
            </w:pPr>
          </w:p>
        </w:tc>
      </w:tr>
      <w:tr w:rsidR="00557DE8" w:rsidRPr="007078A2" w:rsidTr="00360A8E">
        <w:tc>
          <w:tcPr>
            <w:tcW w:w="4395" w:type="dxa"/>
            <w:tcBorders>
              <w:right w:val="single" w:sz="2" w:space="0" w:color="FFFFFF" w:themeColor="background1"/>
            </w:tcBorders>
            <w:shd w:val="clear" w:color="auto" w:fill="D9D9D9" w:themeFill="background1" w:themeFillShade="D9"/>
          </w:tcPr>
          <w:p w:rsidR="00557DE8" w:rsidRPr="007078A2" w:rsidRDefault="00557DE8" w:rsidP="000C451F">
            <w:pPr>
              <w:keepNext/>
              <w:keepLines/>
              <w:tabs>
                <w:tab w:val="clear" w:pos="794"/>
                <w:tab w:val="left" w:pos="318"/>
              </w:tabs>
              <w:spacing w:before="40" w:after="40"/>
              <w:rPr>
                <w:sz w:val="14"/>
                <w:szCs w:val="14"/>
                <w:lang w:val="es-ES_tradnl"/>
              </w:rPr>
            </w:pPr>
            <w:r w:rsidRPr="007078A2">
              <w:rPr>
                <w:sz w:val="14"/>
                <w:szCs w:val="14"/>
                <w:lang w:val="es-ES_tradnl"/>
              </w:rPr>
              <w:t>6</w:t>
            </w:r>
            <w:r w:rsidRPr="007078A2">
              <w:rPr>
                <w:sz w:val="14"/>
                <w:szCs w:val="14"/>
                <w:lang w:val="es-ES_tradnl"/>
              </w:rPr>
              <w:tab/>
              <w:t>Porcentaje de personas que utilizan Internet</w:t>
            </w:r>
          </w:p>
        </w:tc>
        <w:tc>
          <w:tcPr>
            <w:tcW w:w="1275" w:type="dxa"/>
            <w:tcBorders>
              <w:left w:val="single" w:sz="2" w:space="0" w:color="FFFFFF" w:themeColor="background1"/>
              <w:right w:val="single" w:sz="2" w:space="0" w:color="FFFFFF" w:themeColor="background1"/>
            </w:tcBorders>
            <w:shd w:val="clear" w:color="auto" w:fill="DBDBDB" w:themeFill="accent3" w:themeFillTint="66"/>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100</w:t>
            </w:r>
          </w:p>
        </w:tc>
        <w:tc>
          <w:tcPr>
            <w:tcW w:w="851" w:type="dxa"/>
            <w:tcBorders>
              <w:left w:val="single" w:sz="2" w:space="0" w:color="FFFFFF" w:themeColor="background1"/>
            </w:tcBorders>
            <w:shd w:val="clear" w:color="auto" w:fill="DBDBDB" w:themeFill="accent3" w:themeFillTint="66"/>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33</w:t>
            </w:r>
          </w:p>
        </w:tc>
        <w:tc>
          <w:tcPr>
            <w:tcW w:w="3118" w:type="dxa"/>
            <w:vMerge/>
            <w:shd w:val="clear" w:color="auto" w:fill="FFFFFF" w:themeFill="background1"/>
          </w:tcPr>
          <w:p w:rsidR="00557DE8" w:rsidRPr="007078A2" w:rsidRDefault="00557DE8" w:rsidP="000C451F">
            <w:pPr>
              <w:keepNext/>
              <w:keepLines/>
              <w:jc w:val="center"/>
              <w:rPr>
                <w:lang w:val="es-ES_tradnl"/>
              </w:rPr>
            </w:pPr>
          </w:p>
        </w:tc>
      </w:tr>
      <w:tr w:rsidR="00557DE8" w:rsidRPr="007078A2" w:rsidTr="00360A8E">
        <w:tc>
          <w:tcPr>
            <w:tcW w:w="4395" w:type="dxa"/>
            <w:tcBorders>
              <w:right w:val="single" w:sz="2" w:space="0" w:color="FFFFFF" w:themeColor="background1"/>
            </w:tcBorders>
            <w:shd w:val="clear" w:color="auto" w:fill="D9D9D9" w:themeFill="background1" w:themeFillShade="D9"/>
          </w:tcPr>
          <w:p w:rsidR="00557DE8" w:rsidRPr="007078A2" w:rsidRDefault="00557DE8" w:rsidP="000C451F">
            <w:pPr>
              <w:keepNext/>
              <w:keepLines/>
              <w:tabs>
                <w:tab w:val="clear" w:pos="794"/>
                <w:tab w:val="left" w:pos="318"/>
              </w:tabs>
              <w:spacing w:before="40" w:after="40"/>
              <w:rPr>
                <w:sz w:val="14"/>
                <w:szCs w:val="14"/>
                <w:lang w:val="es-ES_tradnl"/>
              </w:rPr>
            </w:pPr>
            <w:r w:rsidRPr="007078A2">
              <w:rPr>
                <w:sz w:val="14"/>
                <w:szCs w:val="14"/>
                <w:lang w:val="es-ES_tradnl"/>
              </w:rPr>
              <w:t>7</w:t>
            </w:r>
            <w:r w:rsidRPr="007078A2">
              <w:rPr>
                <w:sz w:val="14"/>
                <w:szCs w:val="14"/>
                <w:lang w:val="es-ES_tradnl"/>
              </w:rPr>
              <w:tab/>
              <w:t>Abonados a la banda ancha fija por 100 habitantes</w:t>
            </w:r>
          </w:p>
        </w:tc>
        <w:tc>
          <w:tcPr>
            <w:tcW w:w="1275" w:type="dxa"/>
            <w:tcBorders>
              <w:left w:val="single" w:sz="2" w:space="0" w:color="FFFFFF" w:themeColor="background1"/>
              <w:right w:val="single" w:sz="2" w:space="0" w:color="FFFFFF" w:themeColor="background1"/>
            </w:tcBorders>
            <w:shd w:val="clear" w:color="auto" w:fill="DBDBDB" w:themeFill="accent3" w:themeFillTint="66"/>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60</w:t>
            </w:r>
          </w:p>
        </w:tc>
        <w:tc>
          <w:tcPr>
            <w:tcW w:w="851" w:type="dxa"/>
            <w:tcBorders>
              <w:left w:val="single" w:sz="2" w:space="0" w:color="FFFFFF" w:themeColor="background1"/>
            </w:tcBorders>
            <w:shd w:val="clear" w:color="auto" w:fill="DBDBDB" w:themeFill="accent3" w:themeFillTint="66"/>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33</w:t>
            </w:r>
          </w:p>
        </w:tc>
        <w:tc>
          <w:tcPr>
            <w:tcW w:w="3118" w:type="dxa"/>
            <w:vMerge/>
            <w:shd w:val="clear" w:color="auto" w:fill="FFFFFF" w:themeFill="background1"/>
          </w:tcPr>
          <w:p w:rsidR="00557DE8" w:rsidRPr="007078A2" w:rsidRDefault="00557DE8" w:rsidP="000C451F">
            <w:pPr>
              <w:keepNext/>
              <w:keepLines/>
              <w:jc w:val="center"/>
              <w:rPr>
                <w:lang w:val="es-ES_tradnl"/>
              </w:rPr>
            </w:pPr>
          </w:p>
        </w:tc>
      </w:tr>
      <w:tr w:rsidR="00557DE8" w:rsidRPr="007078A2" w:rsidTr="00360A8E">
        <w:tc>
          <w:tcPr>
            <w:tcW w:w="4395" w:type="dxa"/>
            <w:tcBorders>
              <w:bottom w:val="single" w:sz="18" w:space="0" w:color="FFFFFF" w:themeColor="background1"/>
              <w:right w:val="single" w:sz="2" w:space="0" w:color="FFFFFF" w:themeColor="background1"/>
            </w:tcBorders>
            <w:shd w:val="clear" w:color="auto" w:fill="D9D9D9" w:themeFill="background1" w:themeFillShade="D9"/>
          </w:tcPr>
          <w:p w:rsidR="00557DE8" w:rsidRPr="007078A2" w:rsidRDefault="00557DE8" w:rsidP="000C451F">
            <w:pPr>
              <w:keepNext/>
              <w:keepLines/>
              <w:tabs>
                <w:tab w:val="clear" w:pos="794"/>
                <w:tab w:val="left" w:pos="318"/>
              </w:tabs>
              <w:spacing w:before="40" w:after="40"/>
              <w:rPr>
                <w:sz w:val="14"/>
                <w:szCs w:val="14"/>
                <w:lang w:val="es-ES_tradnl"/>
              </w:rPr>
            </w:pPr>
            <w:r w:rsidRPr="007078A2">
              <w:rPr>
                <w:sz w:val="14"/>
                <w:szCs w:val="14"/>
                <w:lang w:val="es-ES_tradnl"/>
              </w:rPr>
              <w:t>8</w:t>
            </w:r>
            <w:r w:rsidRPr="007078A2">
              <w:rPr>
                <w:sz w:val="14"/>
                <w:szCs w:val="14"/>
                <w:lang w:val="es-ES_tradnl"/>
              </w:rPr>
              <w:tab/>
              <w:t>Abonados a la banda ancha móvil por 100 habitantes</w:t>
            </w:r>
          </w:p>
        </w:tc>
        <w:tc>
          <w:tcPr>
            <w:tcW w:w="1275" w:type="dxa"/>
            <w:tcBorders>
              <w:left w:val="single" w:sz="2" w:space="0" w:color="FFFFFF" w:themeColor="background1"/>
              <w:bottom w:val="single" w:sz="18" w:space="0" w:color="FFFFFF" w:themeColor="background1"/>
              <w:right w:val="single" w:sz="2" w:space="0" w:color="FFFFFF" w:themeColor="background1"/>
            </w:tcBorders>
            <w:shd w:val="clear" w:color="auto" w:fill="DBDBDB" w:themeFill="accent3" w:themeFillTint="66"/>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100</w:t>
            </w:r>
          </w:p>
        </w:tc>
        <w:tc>
          <w:tcPr>
            <w:tcW w:w="851" w:type="dxa"/>
            <w:tcBorders>
              <w:left w:val="single" w:sz="2" w:space="0" w:color="FFFFFF" w:themeColor="background1"/>
              <w:bottom w:val="single" w:sz="18" w:space="0" w:color="FFFFFF" w:themeColor="background1"/>
            </w:tcBorders>
            <w:shd w:val="clear" w:color="auto" w:fill="DBDBDB" w:themeFill="accent3" w:themeFillTint="66"/>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33</w:t>
            </w:r>
          </w:p>
        </w:tc>
        <w:tc>
          <w:tcPr>
            <w:tcW w:w="3118" w:type="dxa"/>
            <w:vMerge/>
            <w:shd w:val="clear" w:color="auto" w:fill="FFFFFF" w:themeFill="background1"/>
          </w:tcPr>
          <w:p w:rsidR="00557DE8" w:rsidRPr="007078A2" w:rsidRDefault="00557DE8" w:rsidP="000C451F">
            <w:pPr>
              <w:keepNext/>
              <w:keepLines/>
              <w:jc w:val="center"/>
              <w:rPr>
                <w:lang w:val="es-ES_tradnl"/>
              </w:rPr>
            </w:pPr>
          </w:p>
        </w:tc>
      </w:tr>
      <w:tr w:rsidR="00557DE8" w:rsidRPr="007078A2" w:rsidTr="00360A8E">
        <w:tc>
          <w:tcPr>
            <w:tcW w:w="4395" w:type="dxa"/>
            <w:tcBorders>
              <w:top w:val="single" w:sz="18" w:space="0" w:color="FFFFFF" w:themeColor="background1"/>
              <w:right w:val="single" w:sz="2" w:space="0" w:color="FFFFFF" w:themeColor="background1"/>
            </w:tcBorders>
            <w:shd w:val="clear" w:color="auto" w:fill="ACB9CA" w:themeFill="text2" w:themeFillTint="66"/>
            <w:vAlign w:val="center"/>
          </w:tcPr>
          <w:p w:rsidR="00557DE8" w:rsidRPr="007078A2" w:rsidRDefault="00557DE8" w:rsidP="000C451F">
            <w:pPr>
              <w:keepNext/>
              <w:keepLines/>
              <w:spacing w:before="40" w:after="40"/>
              <w:rPr>
                <w:b/>
                <w:bCs/>
                <w:color w:val="FFFFFF" w:themeColor="background1"/>
                <w:sz w:val="14"/>
                <w:szCs w:val="14"/>
                <w:lang w:val="es-ES_tradnl"/>
              </w:rPr>
            </w:pPr>
            <w:r w:rsidRPr="007078A2">
              <w:rPr>
                <w:b/>
                <w:bCs/>
                <w:color w:val="FFFFFF" w:themeColor="background1"/>
                <w:sz w:val="14"/>
                <w:szCs w:val="14"/>
                <w:lang w:val="es-ES_tradnl"/>
              </w:rPr>
              <w:t>Aptitudes de las TIC</w:t>
            </w:r>
          </w:p>
        </w:tc>
        <w:tc>
          <w:tcPr>
            <w:tcW w:w="1275" w:type="dxa"/>
            <w:tcBorders>
              <w:top w:val="single" w:sz="18" w:space="0" w:color="FFFFFF" w:themeColor="background1"/>
              <w:left w:val="single" w:sz="2" w:space="0" w:color="FFFFFF" w:themeColor="background1"/>
              <w:right w:val="single" w:sz="2" w:space="0" w:color="FFFFFF" w:themeColor="background1"/>
            </w:tcBorders>
            <w:shd w:val="clear" w:color="auto" w:fill="ACB9CA" w:themeFill="text2" w:themeFillTint="66"/>
            <w:vAlign w:val="center"/>
          </w:tcPr>
          <w:p w:rsidR="00557DE8" w:rsidRPr="007078A2" w:rsidRDefault="00557DE8" w:rsidP="000C451F">
            <w:pPr>
              <w:keepNext/>
              <w:keepLines/>
              <w:spacing w:before="40" w:after="40"/>
              <w:jc w:val="center"/>
              <w:rPr>
                <w:b/>
                <w:bCs/>
                <w:color w:val="FFFFFF" w:themeColor="background1"/>
                <w:sz w:val="14"/>
                <w:szCs w:val="14"/>
                <w:lang w:val="es-ES_tradnl"/>
              </w:rPr>
            </w:pPr>
            <w:r w:rsidRPr="007078A2">
              <w:rPr>
                <w:b/>
                <w:bCs/>
                <w:color w:val="FFFFFF" w:themeColor="background1"/>
                <w:sz w:val="14"/>
                <w:szCs w:val="14"/>
                <w:lang w:val="es-ES_tradnl"/>
              </w:rPr>
              <w:t>Valor de referencia</w:t>
            </w:r>
          </w:p>
        </w:tc>
        <w:tc>
          <w:tcPr>
            <w:tcW w:w="851" w:type="dxa"/>
            <w:tcBorders>
              <w:top w:val="single" w:sz="18" w:space="0" w:color="FFFFFF" w:themeColor="background1"/>
              <w:left w:val="single" w:sz="2" w:space="0" w:color="FFFFFF" w:themeColor="background1"/>
            </w:tcBorders>
            <w:shd w:val="clear" w:color="auto" w:fill="ACB9CA" w:themeFill="text2" w:themeFillTint="66"/>
            <w:vAlign w:val="center"/>
          </w:tcPr>
          <w:p w:rsidR="00557DE8" w:rsidRPr="007078A2" w:rsidRDefault="00557DE8" w:rsidP="000C451F">
            <w:pPr>
              <w:keepNext/>
              <w:keepLines/>
              <w:spacing w:before="40" w:after="40"/>
              <w:jc w:val="center"/>
              <w:rPr>
                <w:b/>
                <w:bCs/>
                <w:color w:val="FFFFFF" w:themeColor="background1"/>
                <w:sz w:val="14"/>
                <w:szCs w:val="14"/>
                <w:lang w:val="es-ES_tradnl"/>
              </w:rPr>
            </w:pPr>
            <w:r w:rsidRPr="007078A2">
              <w:rPr>
                <w:b/>
                <w:bCs/>
                <w:color w:val="FFFFFF" w:themeColor="background1"/>
                <w:sz w:val="14"/>
                <w:szCs w:val="14"/>
                <w:lang w:val="es-ES_tradnl"/>
              </w:rPr>
              <w:t>(%)</w:t>
            </w:r>
          </w:p>
        </w:tc>
        <w:tc>
          <w:tcPr>
            <w:tcW w:w="3118" w:type="dxa"/>
            <w:vMerge/>
            <w:shd w:val="clear" w:color="auto" w:fill="FFFFFF" w:themeFill="background1"/>
          </w:tcPr>
          <w:p w:rsidR="00557DE8" w:rsidRPr="007078A2" w:rsidRDefault="00557DE8" w:rsidP="000C451F">
            <w:pPr>
              <w:keepNext/>
              <w:keepLines/>
              <w:spacing w:before="40" w:after="40"/>
              <w:jc w:val="center"/>
              <w:rPr>
                <w:b/>
                <w:bCs/>
                <w:color w:val="FFFFFF" w:themeColor="background1"/>
                <w:sz w:val="20"/>
                <w:lang w:val="es-ES_tradnl"/>
              </w:rPr>
            </w:pPr>
          </w:p>
        </w:tc>
      </w:tr>
      <w:tr w:rsidR="00557DE8" w:rsidRPr="007078A2" w:rsidTr="00360A8E">
        <w:tc>
          <w:tcPr>
            <w:tcW w:w="4395" w:type="dxa"/>
            <w:tcBorders>
              <w:right w:val="single" w:sz="2" w:space="0" w:color="FFFFFF" w:themeColor="background1"/>
            </w:tcBorders>
            <w:shd w:val="clear" w:color="auto" w:fill="D9D9D9" w:themeFill="background1" w:themeFillShade="D9"/>
          </w:tcPr>
          <w:p w:rsidR="00557DE8" w:rsidRPr="007078A2" w:rsidRDefault="00557DE8" w:rsidP="00360A8E">
            <w:pPr>
              <w:tabs>
                <w:tab w:val="clear" w:pos="794"/>
                <w:tab w:val="left" w:pos="318"/>
              </w:tabs>
              <w:spacing w:before="40" w:after="40"/>
              <w:rPr>
                <w:sz w:val="14"/>
                <w:szCs w:val="14"/>
                <w:lang w:val="es-ES_tradnl"/>
              </w:rPr>
            </w:pPr>
            <w:r w:rsidRPr="007078A2">
              <w:rPr>
                <w:sz w:val="14"/>
                <w:szCs w:val="14"/>
                <w:lang w:val="es-ES_tradnl"/>
              </w:rPr>
              <w:t>9</w:t>
            </w:r>
            <w:r w:rsidRPr="007078A2">
              <w:rPr>
                <w:sz w:val="14"/>
                <w:szCs w:val="14"/>
                <w:lang w:val="es-ES_tradnl"/>
              </w:rPr>
              <w:tab/>
              <w:t>Escolarización media en años</w:t>
            </w:r>
          </w:p>
        </w:tc>
        <w:tc>
          <w:tcPr>
            <w:tcW w:w="1275" w:type="dxa"/>
            <w:tcBorders>
              <w:left w:val="single" w:sz="2" w:space="0" w:color="FFFFFF" w:themeColor="background1"/>
              <w:right w:val="single" w:sz="2" w:space="0" w:color="FFFFFF" w:themeColor="background1"/>
            </w:tcBorders>
            <w:shd w:val="clear" w:color="auto" w:fill="DEEAF6" w:themeFill="accent1" w:themeFillTint="33"/>
            <w:vAlign w:val="center"/>
          </w:tcPr>
          <w:p w:rsidR="00557DE8" w:rsidRPr="007078A2" w:rsidRDefault="00557DE8" w:rsidP="00360A8E">
            <w:pPr>
              <w:spacing w:before="40" w:after="40"/>
              <w:jc w:val="center"/>
              <w:rPr>
                <w:sz w:val="14"/>
                <w:szCs w:val="14"/>
                <w:lang w:val="es-ES_tradnl"/>
              </w:rPr>
            </w:pPr>
            <w:r w:rsidRPr="007078A2">
              <w:rPr>
                <w:sz w:val="14"/>
                <w:szCs w:val="14"/>
                <w:lang w:val="es-ES_tradnl"/>
              </w:rPr>
              <w:t>15</w:t>
            </w:r>
          </w:p>
        </w:tc>
        <w:tc>
          <w:tcPr>
            <w:tcW w:w="851" w:type="dxa"/>
            <w:tcBorders>
              <w:left w:val="single" w:sz="2" w:space="0" w:color="FFFFFF" w:themeColor="background1"/>
            </w:tcBorders>
            <w:shd w:val="clear" w:color="auto" w:fill="DEEAF6" w:themeFill="accent1" w:themeFillTint="33"/>
            <w:vAlign w:val="center"/>
          </w:tcPr>
          <w:p w:rsidR="00557DE8" w:rsidRPr="007078A2" w:rsidRDefault="00557DE8" w:rsidP="00360A8E">
            <w:pPr>
              <w:spacing w:before="40" w:after="40"/>
              <w:jc w:val="center"/>
              <w:rPr>
                <w:sz w:val="14"/>
                <w:szCs w:val="14"/>
                <w:lang w:val="es-ES_tradnl"/>
              </w:rPr>
            </w:pPr>
            <w:r w:rsidRPr="007078A2">
              <w:rPr>
                <w:sz w:val="14"/>
                <w:szCs w:val="14"/>
                <w:lang w:val="es-ES_tradnl"/>
              </w:rPr>
              <w:t>33</w:t>
            </w:r>
          </w:p>
        </w:tc>
        <w:tc>
          <w:tcPr>
            <w:tcW w:w="3118" w:type="dxa"/>
            <w:vMerge/>
            <w:shd w:val="clear" w:color="auto" w:fill="FFFFFF" w:themeFill="background1"/>
          </w:tcPr>
          <w:p w:rsidR="00557DE8" w:rsidRPr="007078A2" w:rsidRDefault="00557DE8" w:rsidP="00360A8E">
            <w:pPr>
              <w:jc w:val="center"/>
              <w:rPr>
                <w:lang w:val="es-ES_tradnl"/>
              </w:rPr>
            </w:pPr>
          </w:p>
        </w:tc>
      </w:tr>
      <w:tr w:rsidR="00557DE8" w:rsidRPr="007078A2" w:rsidTr="00360A8E">
        <w:tc>
          <w:tcPr>
            <w:tcW w:w="4395" w:type="dxa"/>
            <w:tcBorders>
              <w:right w:val="single" w:sz="2" w:space="0" w:color="FFFFFF" w:themeColor="background1"/>
            </w:tcBorders>
            <w:shd w:val="clear" w:color="auto" w:fill="D9D9D9" w:themeFill="background1" w:themeFillShade="D9"/>
          </w:tcPr>
          <w:p w:rsidR="00557DE8" w:rsidRPr="007078A2" w:rsidRDefault="00557DE8" w:rsidP="00360A8E">
            <w:pPr>
              <w:tabs>
                <w:tab w:val="clear" w:pos="794"/>
                <w:tab w:val="left" w:pos="318"/>
              </w:tabs>
              <w:spacing w:before="40" w:after="40"/>
              <w:rPr>
                <w:sz w:val="14"/>
                <w:szCs w:val="14"/>
                <w:lang w:val="es-ES_tradnl"/>
              </w:rPr>
            </w:pPr>
            <w:r w:rsidRPr="007078A2">
              <w:rPr>
                <w:sz w:val="14"/>
                <w:szCs w:val="14"/>
                <w:lang w:val="es-ES_tradnl"/>
              </w:rPr>
              <w:t>10</w:t>
            </w:r>
            <w:r w:rsidRPr="007078A2">
              <w:rPr>
                <w:sz w:val="14"/>
                <w:szCs w:val="14"/>
                <w:lang w:val="es-ES_tradnl"/>
              </w:rPr>
              <w:tab/>
              <w:t>Porcentaje bruto de matriculación en la enseñanza secundaria</w:t>
            </w:r>
          </w:p>
        </w:tc>
        <w:tc>
          <w:tcPr>
            <w:tcW w:w="1275" w:type="dxa"/>
            <w:tcBorders>
              <w:left w:val="single" w:sz="2" w:space="0" w:color="FFFFFF" w:themeColor="background1"/>
              <w:right w:val="single" w:sz="2" w:space="0" w:color="FFFFFF" w:themeColor="background1"/>
            </w:tcBorders>
            <w:shd w:val="clear" w:color="auto" w:fill="DEEAF6" w:themeFill="accent1" w:themeFillTint="33"/>
            <w:vAlign w:val="center"/>
          </w:tcPr>
          <w:p w:rsidR="00557DE8" w:rsidRPr="007078A2" w:rsidRDefault="00557DE8" w:rsidP="00360A8E">
            <w:pPr>
              <w:spacing w:before="40" w:after="40"/>
              <w:jc w:val="center"/>
              <w:rPr>
                <w:sz w:val="14"/>
                <w:szCs w:val="14"/>
                <w:lang w:val="es-ES_tradnl"/>
              </w:rPr>
            </w:pPr>
            <w:r w:rsidRPr="007078A2">
              <w:rPr>
                <w:sz w:val="14"/>
                <w:szCs w:val="14"/>
                <w:lang w:val="es-ES_tradnl"/>
              </w:rPr>
              <w:t>100</w:t>
            </w:r>
          </w:p>
        </w:tc>
        <w:tc>
          <w:tcPr>
            <w:tcW w:w="851" w:type="dxa"/>
            <w:tcBorders>
              <w:left w:val="single" w:sz="2" w:space="0" w:color="FFFFFF" w:themeColor="background1"/>
            </w:tcBorders>
            <w:shd w:val="clear" w:color="auto" w:fill="DEEAF6" w:themeFill="accent1" w:themeFillTint="33"/>
            <w:vAlign w:val="center"/>
          </w:tcPr>
          <w:p w:rsidR="00557DE8" w:rsidRPr="007078A2" w:rsidRDefault="00557DE8" w:rsidP="00360A8E">
            <w:pPr>
              <w:spacing w:before="40" w:after="40"/>
              <w:jc w:val="center"/>
              <w:rPr>
                <w:sz w:val="14"/>
                <w:szCs w:val="14"/>
                <w:lang w:val="es-ES_tradnl"/>
              </w:rPr>
            </w:pPr>
            <w:r w:rsidRPr="007078A2">
              <w:rPr>
                <w:sz w:val="14"/>
                <w:szCs w:val="14"/>
                <w:lang w:val="es-ES_tradnl"/>
              </w:rPr>
              <w:t>33</w:t>
            </w:r>
          </w:p>
        </w:tc>
        <w:tc>
          <w:tcPr>
            <w:tcW w:w="3118" w:type="dxa"/>
            <w:vMerge/>
            <w:shd w:val="clear" w:color="auto" w:fill="FFFFFF" w:themeFill="background1"/>
          </w:tcPr>
          <w:p w:rsidR="00557DE8" w:rsidRPr="007078A2" w:rsidRDefault="00557DE8" w:rsidP="00360A8E">
            <w:pPr>
              <w:jc w:val="center"/>
              <w:rPr>
                <w:lang w:val="es-ES_tradnl"/>
              </w:rPr>
            </w:pPr>
          </w:p>
        </w:tc>
      </w:tr>
      <w:tr w:rsidR="00557DE8" w:rsidRPr="007078A2" w:rsidTr="00360A8E">
        <w:tc>
          <w:tcPr>
            <w:tcW w:w="4395" w:type="dxa"/>
            <w:tcBorders>
              <w:right w:val="single" w:sz="2" w:space="0" w:color="FFFFFF" w:themeColor="background1"/>
            </w:tcBorders>
            <w:shd w:val="clear" w:color="auto" w:fill="D9D9D9" w:themeFill="background1" w:themeFillShade="D9"/>
          </w:tcPr>
          <w:p w:rsidR="00557DE8" w:rsidRPr="007078A2" w:rsidRDefault="00557DE8" w:rsidP="00360A8E">
            <w:pPr>
              <w:tabs>
                <w:tab w:val="clear" w:pos="794"/>
                <w:tab w:val="left" w:pos="318"/>
              </w:tabs>
              <w:spacing w:before="40" w:after="40"/>
              <w:rPr>
                <w:sz w:val="14"/>
                <w:szCs w:val="14"/>
                <w:lang w:val="es-ES_tradnl"/>
              </w:rPr>
            </w:pPr>
            <w:r w:rsidRPr="007078A2">
              <w:rPr>
                <w:sz w:val="14"/>
                <w:szCs w:val="14"/>
                <w:lang w:val="es-ES_tradnl"/>
              </w:rPr>
              <w:lastRenderedPageBreak/>
              <w:t>11</w:t>
            </w:r>
            <w:r w:rsidRPr="007078A2">
              <w:rPr>
                <w:sz w:val="14"/>
                <w:szCs w:val="14"/>
                <w:lang w:val="es-ES_tradnl"/>
              </w:rPr>
              <w:tab/>
              <w:t>Porcentaje bruto de matriculación en la enseñanza terciaria</w:t>
            </w:r>
          </w:p>
        </w:tc>
        <w:tc>
          <w:tcPr>
            <w:tcW w:w="1275" w:type="dxa"/>
            <w:tcBorders>
              <w:left w:val="single" w:sz="2" w:space="0" w:color="FFFFFF" w:themeColor="background1"/>
              <w:right w:val="single" w:sz="2" w:space="0" w:color="FFFFFF" w:themeColor="background1"/>
            </w:tcBorders>
            <w:shd w:val="clear" w:color="auto" w:fill="DEEAF6" w:themeFill="accent1" w:themeFillTint="33"/>
            <w:vAlign w:val="center"/>
          </w:tcPr>
          <w:p w:rsidR="00557DE8" w:rsidRPr="007078A2" w:rsidRDefault="00557DE8" w:rsidP="00360A8E">
            <w:pPr>
              <w:spacing w:before="40" w:after="40"/>
              <w:jc w:val="center"/>
              <w:rPr>
                <w:sz w:val="14"/>
                <w:szCs w:val="14"/>
                <w:lang w:val="es-ES_tradnl"/>
              </w:rPr>
            </w:pPr>
            <w:r w:rsidRPr="007078A2">
              <w:rPr>
                <w:sz w:val="14"/>
                <w:szCs w:val="14"/>
                <w:lang w:val="es-ES_tradnl"/>
              </w:rPr>
              <w:t>100</w:t>
            </w:r>
          </w:p>
        </w:tc>
        <w:tc>
          <w:tcPr>
            <w:tcW w:w="851" w:type="dxa"/>
            <w:tcBorders>
              <w:left w:val="single" w:sz="2" w:space="0" w:color="FFFFFF" w:themeColor="background1"/>
            </w:tcBorders>
            <w:shd w:val="clear" w:color="auto" w:fill="DEEAF6" w:themeFill="accent1" w:themeFillTint="33"/>
            <w:vAlign w:val="center"/>
          </w:tcPr>
          <w:p w:rsidR="00557DE8" w:rsidRPr="007078A2" w:rsidRDefault="00557DE8" w:rsidP="00360A8E">
            <w:pPr>
              <w:spacing w:before="40" w:after="40"/>
              <w:jc w:val="center"/>
              <w:rPr>
                <w:sz w:val="14"/>
                <w:szCs w:val="14"/>
                <w:lang w:val="es-ES_tradnl"/>
              </w:rPr>
            </w:pPr>
            <w:r w:rsidRPr="007078A2">
              <w:rPr>
                <w:sz w:val="14"/>
                <w:szCs w:val="14"/>
                <w:lang w:val="es-ES_tradnl"/>
              </w:rPr>
              <w:t>33</w:t>
            </w:r>
          </w:p>
        </w:tc>
        <w:tc>
          <w:tcPr>
            <w:tcW w:w="3118" w:type="dxa"/>
            <w:vMerge/>
            <w:shd w:val="clear" w:color="auto" w:fill="FFFFFF" w:themeFill="background1"/>
          </w:tcPr>
          <w:p w:rsidR="00557DE8" w:rsidRPr="007078A2" w:rsidRDefault="00557DE8" w:rsidP="00360A8E">
            <w:pPr>
              <w:jc w:val="center"/>
              <w:rPr>
                <w:lang w:val="es-ES_tradnl"/>
              </w:rPr>
            </w:pPr>
          </w:p>
        </w:tc>
      </w:tr>
    </w:tbl>
    <w:p w:rsidR="000A39FD" w:rsidRPr="007078A2" w:rsidRDefault="000A39FD" w:rsidP="00557DE8">
      <w:pPr>
        <w:jc w:val="both"/>
        <w:rPr>
          <w:sz w:val="18"/>
          <w:szCs w:val="18"/>
          <w:lang w:val="es-ES_tradnl"/>
        </w:rPr>
      </w:pPr>
      <w:r w:rsidRPr="007078A2">
        <w:rPr>
          <w:sz w:val="18"/>
          <w:szCs w:val="18"/>
          <w:lang w:val="es-ES_tradnl"/>
        </w:rPr>
        <w:t>Origen: UIT</w:t>
      </w:r>
    </w:p>
    <w:p w:rsidR="000A39FD" w:rsidRPr="007078A2" w:rsidRDefault="000A39FD" w:rsidP="00A55685">
      <w:pPr>
        <w:pStyle w:val="Headingb"/>
        <w:rPr>
          <w:rFonts w:asciiTheme="minorHAnsi" w:hAnsiTheme="minorHAnsi"/>
          <w:lang w:val="es-ES_tradnl"/>
        </w:rPr>
      </w:pPr>
      <w:bookmarkStart w:id="44" w:name="_Toc455476228"/>
      <w:bookmarkStart w:id="45" w:name="_Toc474413195"/>
      <w:r w:rsidRPr="007078A2">
        <w:rPr>
          <w:rFonts w:asciiTheme="minorHAnsi" w:hAnsiTheme="minorHAnsi"/>
          <w:lang w:val="es-ES_tradnl"/>
        </w:rPr>
        <w:t>Análisis regional del IDT 2016</w:t>
      </w:r>
      <w:bookmarkEnd w:id="44"/>
      <w:bookmarkEnd w:id="45"/>
    </w:p>
    <w:p w:rsidR="000A39FD" w:rsidRPr="007078A2" w:rsidRDefault="000A39FD" w:rsidP="002805FB">
      <w:pPr>
        <w:rPr>
          <w:lang w:val="es-ES_tradnl"/>
        </w:rPr>
      </w:pPr>
      <w:r w:rsidRPr="007078A2">
        <w:rPr>
          <w:lang w:val="es-ES_tradnl"/>
        </w:rPr>
        <w:t>Los Estados Miembros de la UIT se subdividen en seis Regiones, a s</w:t>
      </w:r>
      <w:r w:rsidR="003C0647">
        <w:rPr>
          <w:lang w:val="es-ES_tradnl"/>
        </w:rPr>
        <w:t>aber, África, las Américas, los </w:t>
      </w:r>
      <w:r w:rsidRPr="007078A2">
        <w:rPr>
          <w:lang w:val="es-ES_tradnl"/>
        </w:rPr>
        <w:t>Estados Árabes, Asia y el Pacífico, la Comunidad de Estados Independientes (CEI) y Europa. La distribución de los países en las Regiones es diferente de la distribución regional en otros datos de las Naciones Unidas, particularmente en Europa y África, y esa consideración debe tenerse en cuenta al comparar análisis con otros conjuntos de datos</w:t>
      </w:r>
      <w:r w:rsidRPr="007078A2">
        <w:rPr>
          <w:rStyle w:val="EndnoteReference"/>
          <w:lang w:val="es-ES_tradnl"/>
        </w:rPr>
        <w:endnoteReference w:id="28"/>
      </w:r>
      <w:r w:rsidRPr="007078A2">
        <w:rPr>
          <w:lang w:val="es-ES_tradnl"/>
        </w:rPr>
        <w:t>.</w:t>
      </w:r>
    </w:p>
    <w:p w:rsidR="000A39FD" w:rsidRPr="007078A2" w:rsidRDefault="000A39FD" w:rsidP="002805FB">
      <w:pPr>
        <w:rPr>
          <w:lang w:val="es-ES_tradnl"/>
        </w:rPr>
      </w:pPr>
      <w:r w:rsidRPr="007078A2">
        <w:rPr>
          <w:lang w:val="es-ES_tradnl"/>
        </w:rPr>
        <w:t>Los datos del IDI 2016 publicados en el presente volumen proceden de 175 economías, de las cuales 39 están en la región de Áf</w:t>
      </w:r>
      <w:r w:rsidR="004F29F5">
        <w:rPr>
          <w:lang w:val="es-ES_tradnl"/>
        </w:rPr>
        <w:t>rica, 34 en las Américas, 18 en</w:t>
      </w:r>
      <w:r w:rsidRPr="007078A2">
        <w:rPr>
          <w:lang w:val="es-ES_tradnl"/>
        </w:rPr>
        <w:t xml:space="preserve"> los Estados Árabes, 34 en Asia y el Pacífico, 10 en la CEI y 40 en Europa. De los 21 Estados Miembros de la UIT para los cuales no se dispone de datos, cinco están en África, uno en las Américas, cuatro en los Estados Árabes, seis en Asia y el Pacífico (incluidos cinco de la región de Oceanía de las Naciones Unidas), dos en la CEI y tres, todos ellos pequeños, en Europa.</w:t>
      </w:r>
    </w:p>
    <w:p w:rsidR="000A39FD" w:rsidRPr="007078A2" w:rsidRDefault="000A39FD" w:rsidP="002805FB">
      <w:pPr>
        <w:rPr>
          <w:lang w:val="es-ES_tradnl"/>
        </w:rPr>
      </w:pPr>
      <w:r w:rsidRPr="007078A2">
        <w:rPr>
          <w:lang w:val="es-ES_tradnl"/>
        </w:rPr>
        <w:t>En el Cuadro 3.1 se indican los resultados del IDT 2016 para cada</w:t>
      </w:r>
      <w:r w:rsidR="003C0647">
        <w:rPr>
          <w:lang w:val="es-ES_tradnl"/>
        </w:rPr>
        <w:t xml:space="preserve"> una de las seis Regiones de la </w:t>
      </w:r>
      <w:r w:rsidRPr="007078A2">
        <w:rPr>
          <w:lang w:val="es-ES_tradnl"/>
        </w:rPr>
        <w:t>UIT, y se comparan con los resultados del IDT 2015. En el Gráfico 3.1 se muestra la distribución de los valores medio, mínimo y máximo del IDT en esas regiones, en comparación con la media mundial.</w:t>
      </w:r>
    </w:p>
    <w:p w:rsidR="000A39FD" w:rsidRPr="007078A2" w:rsidRDefault="000A39FD" w:rsidP="006D4CB7">
      <w:pPr>
        <w:pStyle w:val="FigureNotitle"/>
        <w:keepNext/>
      </w:pPr>
      <w:r w:rsidRPr="007078A2">
        <w:t>Cuadro 3.1: IDT por región, 2016 y 2015</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709"/>
        <w:gridCol w:w="709"/>
        <w:gridCol w:w="425"/>
        <w:gridCol w:w="425"/>
        <w:gridCol w:w="567"/>
        <w:gridCol w:w="567"/>
        <w:gridCol w:w="426"/>
        <w:gridCol w:w="567"/>
        <w:gridCol w:w="425"/>
        <w:gridCol w:w="425"/>
        <w:gridCol w:w="567"/>
        <w:gridCol w:w="567"/>
        <w:gridCol w:w="425"/>
        <w:gridCol w:w="567"/>
        <w:gridCol w:w="567"/>
        <w:gridCol w:w="567"/>
        <w:gridCol w:w="426"/>
      </w:tblGrid>
      <w:tr w:rsidR="001D0DF1" w:rsidRPr="007078A2" w:rsidTr="006D4CB7">
        <w:tc>
          <w:tcPr>
            <w:tcW w:w="709" w:type="dxa"/>
            <w:vMerge w:val="restart"/>
            <w:tcBorders>
              <w:right w:val="single" w:sz="4" w:space="0" w:color="FFFFFF" w:themeColor="background1"/>
            </w:tcBorders>
            <w:shd w:val="clear" w:color="auto" w:fill="2E74B5" w:themeFill="accent1" w:themeFillShade="BF"/>
            <w:vAlign w:val="center"/>
          </w:tcPr>
          <w:p w:rsidR="001D0DF1" w:rsidRPr="007078A2" w:rsidRDefault="001D0DF1" w:rsidP="006D4CB7">
            <w:pPr>
              <w:keepNext/>
              <w:keepLines/>
              <w:rPr>
                <w:b/>
                <w:bCs/>
                <w:color w:val="FFFFFF" w:themeColor="background1"/>
                <w:sz w:val="14"/>
                <w:szCs w:val="14"/>
                <w:lang w:val="es-ES_tradnl"/>
              </w:rPr>
            </w:pPr>
            <w:r w:rsidRPr="007078A2">
              <w:rPr>
                <w:b/>
                <w:bCs/>
                <w:color w:val="FFFFFF" w:themeColor="background1"/>
                <w:sz w:val="14"/>
                <w:szCs w:val="14"/>
                <w:lang w:val="es-ES_tradnl"/>
              </w:rPr>
              <w:t>Región</w:t>
            </w:r>
          </w:p>
        </w:tc>
        <w:tc>
          <w:tcPr>
            <w:tcW w:w="709" w:type="dxa"/>
            <w:vMerge w:val="restart"/>
            <w:tcBorders>
              <w:left w:val="single" w:sz="4" w:space="0" w:color="FFFFFF" w:themeColor="background1"/>
              <w:right w:val="single" w:sz="18" w:space="0" w:color="FFFFFF" w:themeColor="background1"/>
            </w:tcBorders>
            <w:shd w:val="clear" w:color="auto" w:fill="2E74B5" w:themeFill="accent1" w:themeFillShade="BF"/>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Número de econo-mías</w:t>
            </w:r>
          </w:p>
        </w:tc>
        <w:tc>
          <w:tcPr>
            <w:tcW w:w="2977" w:type="dxa"/>
            <w:gridSpan w:val="6"/>
            <w:tcBorders>
              <w:left w:val="single" w:sz="18" w:space="0" w:color="FFFFFF" w:themeColor="background1"/>
              <w:bottom w:val="single" w:sz="4" w:space="0" w:color="FFFFFF" w:themeColor="background1"/>
              <w:right w:val="single" w:sz="18"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IDIT 2015</w:t>
            </w:r>
          </w:p>
        </w:tc>
        <w:tc>
          <w:tcPr>
            <w:tcW w:w="2976" w:type="dxa"/>
            <w:gridSpan w:val="6"/>
            <w:tcBorders>
              <w:left w:val="single" w:sz="18" w:space="0" w:color="FFFFFF" w:themeColor="background1"/>
              <w:bottom w:val="single" w:sz="4" w:space="0" w:color="FFFFFF" w:themeColor="background1"/>
              <w:right w:val="single" w:sz="18"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IDIT 2010</w:t>
            </w:r>
          </w:p>
        </w:tc>
        <w:tc>
          <w:tcPr>
            <w:tcW w:w="1560" w:type="dxa"/>
            <w:gridSpan w:val="3"/>
            <w:tcBorders>
              <w:left w:val="single" w:sz="18" w:space="0" w:color="FFFFFF" w:themeColor="background1"/>
              <w:bottom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Diferencia</w:t>
            </w:r>
            <w:r w:rsidRPr="007078A2">
              <w:rPr>
                <w:b/>
                <w:bCs/>
                <w:color w:val="FFFFFF" w:themeColor="background1"/>
                <w:sz w:val="14"/>
                <w:szCs w:val="14"/>
                <w:lang w:val="es-ES_tradnl"/>
              </w:rPr>
              <w:br/>
              <w:t>2010-2015</w:t>
            </w:r>
          </w:p>
        </w:tc>
      </w:tr>
      <w:tr w:rsidR="001D0DF1" w:rsidRPr="007078A2" w:rsidTr="006D4CB7">
        <w:tc>
          <w:tcPr>
            <w:tcW w:w="709" w:type="dxa"/>
            <w:vMerge/>
            <w:tcBorders>
              <w:right w:val="single" w:sz="4" w:space="0" w:color="FFFFFF" w:themeColor="background1"/>
            </w:tcBorders>
            <w:shd w:val="clear" w:color="auto" w:fill="2E74B5" w:themeFill="accent1" w:themeFillShade="BF"/>
          </w:tcPr>
          <w:p w:rsidR="001D0DF1" w:rsidRPr="007078A2" w:rsidRDefault="001D0DF1" w:rsidP="006D4CB7">
            <w:pPr>
              <w:keepNext/>
              <w:keepLines/>
              <w:rPr>
                <w:b/>
                <w:bCs/>
                <w:color w:val="FFFFFF" w:themeColor="background1"/>
                <w:sz w:val="14"/>
                <w:szCs w:val="14"/>
                <w:lang w:val="es-ES_tradnl"/>
              </w:rPr>
            </w:pPr>
          </w:p>
        </w:tc>
        <w:tc>
          <w:tcPr>
            <w:tcW w:w="709" w:type="dxa"/>
            <w:vMerge/>
            <w:tcBorders>
              <w:left w:val="single" w:sz="4" w:space="0" w:color="FFFFFF" w:themeColor="background1"/>
              <w:right w:val="single" w:sz="18" w:space="0" w:color="FFFFFF" w:themeColor="background1"/>
            </w:tcBorders>
            <w:shd w:val="clear" w:color="auto" w:fill="2E74B5" w:themeFill="accent1" w:themeFillShade="BF"/>
          </w:tcPr>
          <w:p w:rsidR="001D0DF1" w:rsidRPr="007078A2" w:rsidRDefault="001D0DF1" w:rsidP="006D4CB7">
            <w:pPr>
              <w:keepNext/>
              <w:keepLines/>
              <w:jc w:val="center"/>
              <w:rPr>
                <w:b/>
                <w:bCs/>
                <w:color w:val="FFFFFF" w:themeColor="background1"/>
                <w:sz w:val="14"/>
                <w:szCs w:val="14"/>
                <w:lang w:val="es-ES_tradnl"/>
              </w:rPr>
            </w:pPr>
          </w:p>
        </w:tc>
        <w:tc>
          <w:tcPr>
            <w:tcW w:w="425" w:type="dxa"/>
            <w:tcBorders>
              <w:top w:val="single" w:sz="4" w:space="0" w:color="FFFFFF" w:themeColor="background1"/>
              <w:left w:val="single" w:sz="18" w:space="0" w:color="FFFFFF" w:themeColor="background1"/>
              <w:righ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Máx.</w:t>
            </w:r>
          </w:p>
        </w:tc>
        <w:tc>
          <w:tcPr>
            <w:tcW w:w="425" w:type="dxa"/>
            <w:tcBorders>
              <w:top w:val="single" w:sz="4" w:space="0" w:color="FFFFFF" w:themeColor="background1"/>
              <w:left w:val="single" w:sz="4" w:space="0" w:color="FFFFFF" w:themeColor="background1"/>
              <w:righ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Mín.</w:t>
            </w:r>
          </w:p>
        </w:tc>
        <w:tc>
          <w:tcPr>
            <w:tcW w:w="567" w:type="dxa"/>
            <w:tcBorders>
              <w:top w:val="single" w:sz="4" w:space="0" w:color="FFFFFF" w:themeColor="background1"/>
              <w:left w:val="single" w:sz="4" w:space="0" w:color="FFFFFF" w:themeColor="background1"/>
              <w:righ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Dife-rencia</w:t>
            </w:r>
          </w:p>
        </w:tc>
        <w:tc>
          <w:tcPr>
            <w:tcW w:w="567" w:type="dxa"/>
            <w:tcBorders>
              <w:left w:val="single" w:sz="4" w:space="0" w:color="FFFFFF" w:themeColor="background1"/>
              <w:righ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Valor medio</w:t>
            </w:r>
          </w:p>
        </w:tc>
        <w:tc>
          <w:tcPr>
            <w:tcW w:w="426" w:type="dxa"/>
            <w:tcBorders>
              <w:left w:val="single" w:sz="4" w:space="0" w:color="FFFFFF" w:themeColor="background1"/>
              <w:righ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DT</w:t>
            </w:r>
          </w:p>
        </w:tc>
        <w:tc>
          <w:tcPr>
            <w:tcW w:w="567" w:type="dxa"/>
            <w:tcBorders>
              <w:left w:val="single" w:sz="4" w:space="0" w:color="FFFFFF" w:themeColor="background1"/>
              <w:right w:val="single" w:sz="18"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CV</w:t>
            </w:r>
          </w:p>
        </w:tc>
        <w:tc>
          <w:tcPr>
            <w:tcW w:w="425" w:type="dxa"/>
            <w:tcBorders>
              <w:left w:val="single" w:sz="18" w:space="0" w:color="FFFFFF" w:themeColor="background1"/>
              <w:righ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Máx.</w:t>
            </w:r>
          </w:p>
        </w:tc>
        <w:tc>
          <w:tcPr>
            <w:tcW w:w="425" w:type="dxa"/>
            <w:tcBorders>
              <w:left w:val="single" w:sz="4" w:space="0" w:color="FFFFFF" w:themeColor="background1"/>
              <w:righ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Mín.</w:t>
            </w:r>
          </w:p>
        </w:tc>
        <w:tc>
          <w:tcPr>
            <w:tcW w:w="567" w:type="dxa"/>
            <w:tcBorders>
              <w:left w:val="single" w:sz="4" w:space="0" w:color="FFFFFF" w:themeColor="background1"/>
              <w:righ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Dife-rencia</w:t>
            </w:r>
          </w:p>
        </w:tc>
        <w:tc>
          <w:tcPr>
            <w:tcW w:w="567" w:type="dxa"/>
            <w:tcBorders>
              <w:left w:val="single" w:sz="4" w:space="0" w:color="FFFFFF" w:themeColor="background1"/>
              <w:righ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Valor medio</w:t>
            </w:r>
          </w:p>
        </w:tc>
        <w:tc>
          <w:tcPr>
            <w:tcW w:w="425" w:type="dxa"/>
            <w:tcBorders>
              <w:left w:val="single" w:sz="4" w:space="0" w:color="FFFFFF" w:themeColor="background1"/>
              <w:righ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DT</w:t>
            </w:r>
          </w:p>
        </w:tc>
        <w:tc>
          <w:tcPr>
            <w:tcW w:w="567" w:type="dxa"/>
            <w:tcBorders>
              <w:left w:val="single" w:sz="4" w:space="0" w:color="FFFFFF" w:themeColor="background1"/>
              <w:right w:val="single" w:sz="18"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CV</w:t>
            </w:r>
          </w:p>
        </w:tc>
        <w:tc>
          <w:tcPr>
            <w:tcW w:w="567" w:type="dxa"/>
            <w:tcBorders>
              <w:top w:val="single" w:sz="4" w:space="0" w:color="FFFFFF" w:themeColor="background1"/>
              <w:left w:val="single" w:sz="18" w:space="0" w:color="FFFFFF" w:themeColor="background1"/>
              <w:righ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Dife-rencia</w:t>
            </w:r>
          </w:p>
        </w:tc>
        <w:tc>
          <w:tcPr>
            <w:tcW w:w="567" w:type="dxa"/>
            <w:tcBorders>
              <w:top w:val="single" w:sz="4" w:space="0" w:color="FFFFFF" w:themeColor="background1"/>
              <w:left w:val="single" w:sz="4" w:space="0" w:color="FFFFFF" w:themeColor="background1"/>
              <w:righ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Valor medio</w:t>
            </w:r>
          </w:p>
        </w:tc>
        <w:tc>
          <w:tcPr>
            <w:tcW w:w="426" w:type="dxa"/>
            <w:tcBorders>
              <w:top w:val="single" w:sz="4" w:space="0" w:color="FFFFFF" w:themeColor="background1"/>
              <w:lef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CV</w:t>
            </w:r>
          </w:p>
        </w:tc>
      </w:tr>
      <w:tr w:rsidR="001D0DF1" w:rsidRPr="007078A2" w:rsidTr="006D4CB7">
        <w:tc>
          <w:tcPr>
            <w:tcW w:w="709" w:type="dxa"/>
            <w:tcBorders>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Europa</w:t>
            </w:r>
          </w:p>
        </w:tc>
        <w:tc>
          <w:tcPr>
            <w:tcW w:w="709" w:type="dxa"/>
            <w:tcBorders>
              <w:left w:val="single" w:sz="4" w:space="0" w:color="FFFFFF" w:themeColor="background1"/>
              <w:right w:val="single" w:sz="18"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40</w:t>
            </w:r>
          </w:p>
        </w:tc>
        <w:tc>
          <w:tcPr>
            <w:tcW w:w="425" w:type="dxa"/>
            <w:tcBorders>
              <w:left w:val="single" w:sz="18"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8,83</w:t>
            </w:r>
          </w:p>
        </w:tc>
        <w:tc>
          <w:tcPr>
            <w:tcW w:w="425"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4,92</w:t>
            </w:r>
          </w:p>
        </w:tc>
        <w:tc>
          <w:tcPr>
            <w:tcW w:w="567"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3,91</w:t>
            </w:r>
          </w:p>
        </w:tc>
        <w:tc>
          <w:tcPr>
            <w:tcW w:w="567"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7,35</w:t>
            </w:r>
          </w:p>
        </w:tc>
        <w:tc>
          <w:tcPr>
            <w:tcW w:w="426"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0,97</w:t>
            </w:r>
          </w:p>
        </w:tc>
        <w:tc>
          <w:tcPr>
            <w:tcW w:w="567" w:type="dxa"/>
            <w:tcBorders>
              <w:left w:val="single" w:sz="4" w:space="0" w:color="FFFFFF" w:themeColor="background1"/>
              <w:right w:val="single" w:sz="18"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13,23</w:t>
            </w:r>
          </w:p>
        </w:tc>
        <w:tc>
          <w:tcPr>
            <w:tcW w:w="425" w:type="dxa"/>
            <w:tcBorders>
              <w:left w:val="single" w:sz="18"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8,77</w:t>
            </w:r>
          </w:p>
        </w:tc>
        <w:tc>
          <w:tcPr>
            <w:tcW w:w="425"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4,62</w:t>
            </w:r>
          </w:p>
        </w:tc>
        <w:tc>
          <w:tcPr>
            <w:tcW w:w="567"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4,15</w:t>
            </w:r>
          </w:p>
        </w:tc>
        <w:tc>
          <w:tcPr>
            <w:tcW w:w="567"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7,19</w:t>
            </w:r>
          </w:p>
        </w:tc>
        <w:tc>
          <w:tcPr>
            <w:tcW w:w="425"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1,03</w:t>
            </w:r>
          </w:p>
        </w:tc>
        <w:tc>
          <w:tcPr>
            <w:tcW w:w="567" w:type="dxa"/>
            <w:tcBorders>
              <w:left w:val="single" w:sz="4" w:space="0" w:color="FFFFFF" w:themeColor="background1"/>
              <w:right w:val="single" w:sz="18"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14,36</w:t>
            </w:r>
          </w:p>
        </w:tc>
        <w:tc>
          <w:tcPr>
            <w:tcW w:w="567" w:type="dxa"/>
            <w:tcBorders>
              <w:left w:val="single" w:sz="18"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-0,24</w:t>
            </w:r>
          </w:p>
        </w:tc>
        <w:tc>
          <w:tcPr>
            <w:tcW w:w="567"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0,16</w:t>
            </w:r>
          </w:p>
        </w:tc>
        <w:tc>
          <w:tcPr>
            <w:tcW w:w="426" w:type="dxa"/>
            <w:tcBorders>
              <w:lef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-1,14</w:t>
            </w:r>
          </w:p>
        </w:tc>
      </w:tr>
      <w:tr w:rsidR="001D0DF1" w:rsidRPr="007078A2" w:rsidTr="006D4CB7">
        <w:tc>
          <w:tcPr>
            <w:tcW w:w="709" w:type="dxa"/>
            <w:tcBorders>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CEI</w:t>
            </w:r>
          </w:p>
        </w:tc>
        <w:tc>
          <w:tcPr>
            <w:tcW w:w="709" w:type="dxa"/>
            <w:tcBorders>
              <w:left w:val="single" w:sz="4" w:space="0" w:color="FFFFFF" w:themeColor="background1"/>
              <w:right w:val="single" w:sz="18"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10</w:t>
            </w:r>
          </w:p>
        </w:tc>
        <w:tc>
          <w:tcPr>
            <w:tcW w:w="425" w:type="dxa"/>
            <w:tcBorders>
              <w:left w:val="single" w:sz="18"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7,26</w:t>
            </w:r>
          </w:p>
        </w:tc>
        <w:tc>
          <w:tcPr>
            <w:tcW w:w="425"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3,99</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3,27</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5,74</w:t>
            </w:r>
          </w:p>
        </w:tc>
        <w:tc>
          <w:tcPr>
            <w:tcW w:w="426"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1,10</w:t>
            </w:r>
          </w:p>
        </w:tc>
        <w:tc>
          <w:tcPr>
            <w:tcW w:w="567" w:type="dxa"/>
            <w:tcBorders>
              <w:left w:val="single" w:sz="4" w:space="0" w:color="FFFFFF" w:themeColor="background1"/>
              <w:right w:val="single" w:sz="18"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19,15</w:t>
            </w:r>
          </w:p>
        </w:tc>
        <w:tc>
          <w:tcPr>
            <w:tcW w:w="425" w:type="dxa"/>
            <w:tcBorders>
              <w:left w:val="single" w:sz="18"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7,02</w:t>
            </w:r>
          </w:p>
        </w:tc>
        <w:tc>
          <w:tcPr>
            <w:tcW w:w="425"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3,76</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3,26</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5,56</w:t>
            </w:r>
          </w:p>
        </w:tc>
        <w:tc>
          <w:tcPr>
            <w:tcW w:w="425"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1,12</w:t>
            </w:r>
          </w:p>
        </w:tc>
        <w:tc>
          <w:tcPr>
            <w:tcW w:w="567" w:type="dxa"/>
            <w:tcBorders>
              <w:left w:val="single" w:sz="4" w:space="0" w:color="FFFFFF" w:themeColor="background1"/>
              <w:right w:val="single" w:sz="18"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20,10</w:t>
            </w:r>
          </w:p>
        </w:tc>
        <w:tc>
          <w:tcPr>
            <w:tcW w:w="567" w:type="dxa"/>
            <w:tcBorders>
              <w:left w:val="single" w:sz="18"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0,01</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0,18</w:t>
            </w:r>
          </w:p>
        </w:tc>
        <w:tc>
          <w:tcPr>
            <w:tcW w:w="426" w:type="dxa"/>
            <w:tcBorders>
              <w:lef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-0,94</w:t>
            </w:r>
          </w:p>
        </w:tc>
      </w:tr>
      <w:tr w:rsidR="001D0DF1" w:rsidRPr="007078A2" w:rsidTr="006D4CB7">
        <w:tc>
          <w:tcPr>
            <w:tcW w:w="709" w:type="dxa"/>
            <w:tcBorders>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Américas</w:t>
            </w:r>
          </w:p>
        </w:tc>
        <w:tc>
          <w:tcPr>
            <w:tcW w:w="709" w:type="dxa"/>
            <w:tcBorders>
              <w:left w:val="single" w:sz="4" w:space="0" w:color="FFFFFF" w:themeColor="background1"/>
              <w:right w:val="single" w:sz="18"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34</w:t>
            </w:r>
          </w:p>
        </w:tc>
        <w:tc>
          <w:tcPr>
            <w:tcW w:w="425" w:type="dxa"/>
            <w:tcBorders>
              <w:left w:val="single" w:sz="18"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8,17</w:t>
            </w:r>
          </w:p>
        </w:tc>
        <w:tc>
          <w:tcPr>
            <w:tcW w:w="425"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2,76</w:t>
            </w:r>
          </w:p>
        </w:tc>
        <w:tc>
          <w:tcPr>
            <w:tcW w:w="567"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5,44</w:t>
            </w:r>
          </w:p>
        </w:tc>
        <w:tc>
          <w:tcPr>
            <w:tcW w:w="567"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5,13</w:t>
            </w:r>
          </w:p>
        </w:tc>
        <w:tc>
          <w:tcPr>
            <w:tcW w:w="426"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1,39</w:t>
            </w:r>
          </w:p>
        </w:tc>
        <w:tc>
          <w:tcPr>
            <w:tcW w:w="567" w:type="dxa"/>
            <w:tcBorders>
              <w:left w:val="single" w:sz="4" w:space="0" w:color="FFFFFF" w:themeColor="background1"/>
              <w:right w:val="single" w:sz="18"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27,09</w:t>
            </w:r>
          </w:p>
        </w:tc>
        <w:tc>
          <w:tcPr>
            <w:tcW w:w="425" w:type="dxa"/>
            <w:tcBorders>
              <w:left w:val="single" w:sz="18"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8,06</w:t>
            </w:r>
          </w:p>
        </w:tc>
        <w:tc>
          <w:tcPr>
            <w:tcW w:w="425"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2,64</w:t>
            </w:r>
          </w:p>
        </w:tc>
        <w:tc>
          <w:tcPr>
            <w:tcW w:w="567"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5,42</w:t>
            </w:r>
          </w:p>
        </w:tc>
        <w:tc>
          <w:tcPr>
            <w:tcW w:w="567"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4,89</w:t>
            </w:r>
          </w:p>
        </w:tc>
        <w:tc>
          <w:tcPr>
            <w:tcW w:w="425"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1,35</w:t>
            </w:r>
          </w:p>
        </w:tc>
        <w:tc>
          <w:tcPr>
            <w:tcW w:w="567" w:type="dxa"/>
            <w:tcBorders>
              <w:left w:val="single" w:sz="4" w:space="0" w:color="FFFFFF" w:themeColor="background1"/>
              <w:right w:val="single" w:sz="18"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27,55</w:t>
            </w:r>
          </w:p>
        </w:tc>
        <w:tc>
          <w:tcPr>
            <w:tcW w:w="567" w:type="dxa"/>
            <w:tcBorders>
              <w:left w:val="single" w:sz="18"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0,01</w:t>
            </w:r>
          </w:p>
        </w:tc>
        <w:tc>
          <w:tcPr>
            <w:tcW w:w="567"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0,25</w:t>
            </w:r>
          </w:p>
        </w:tc>
        <w:tc>
          <w:tcPr>
            <w:tcW w:w="426" w:type="dxa"/>
            <w:tcBorders>
              <w:lef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-0,46</w:t>
            </w:r>
          </w:p>
        </w:tc>
      </w:tr>
      <w:tr w:rsidR="001D0DF1" w:rsidRPr="007078A2" w:rsidTr="006D4CB7">
        <w:tc>
          <w:tcPr>
            <w:tcW w:w="709" w:type="dxa"/>
            <w:tcBorders>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Estados Árabes</w:t>
            </w:r>
          </w:p>
        </w:tc>
        <w:tc>
          <w:tcPr>
            <w:tcW w:w="709" w:type="dxa"/>
            <w:tcBorders>
              <w:left w:val="single" w:sz="4" w:space="0" w:color="FFFFFF" w:themeColor="background1"/>
              <w:right w:val="single" w:sz="18"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18</w:t>
            </w:r>
          </w:p>
        </w:tc>
        <w:tc>
          <w:tcPr>
            <w:tcW w:w="425" w:type="dxa"/>
            <w:tcBorders>
              <w:left w:val="single" w:sz="18"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7,46</w:t>
            </w:r>
          </w:p>
        </w:tc>
        <w:tc>
          <w:tcPr>
            <w:tcW w:w="425"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1,82</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5,64</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4,81</w:t>
            </w:r>
          </w:p>
        </w:tc>
        <w:tc>
          <w:tcPr>
            <w:tcW w:w="426"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1,87</w:t>
            </w:r>
          </w:p>
        </w:tc>
        <w:tc>
          <w:tcPr>
            <w:tcW w:w="567" w:type="dxa"/>
            <w:tcBorders>
              <w:left w:val="single" w:sz="4" w:space="0" w:color="FFFFFF" w:themeColor="background1"/>
              <w:right w:val="single" w:sz="18"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38,79</w:t>
            </w:r>
          </w:p>
        </w:tc>
        <w:tc>
          <w:tcPr>
            <w:tcW w:w="425" w:type="dxa"/>
            <w:tcBorders>
              <w:left w:val="single" w:sz="18"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7,42</w:t>
            </w:r>
          </w:p>
        </w:tc>
        <w:tc>
          <w:tcPr>
            <w:tcW w:w="425"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1,73</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5,69</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4,63</w:t>
            </w:r>
          </w:p>
        </w:tc>
        <w:tc>
          <w:tcPr>
            <w:tcW w:w="425"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1,89</w:t>
            </w:r>
          </w:p>
        </w:tc>
        <w:tc>
          <w:tcPr>
            <w:tcW w:w="567" w:type="dxa"/>
            <w:tcBorders>
              <w:left w:val="single" w:sz="4" w:space="0" w:color="FFFFFF" w:themeColor="background1"/>
              <w:right w:val="single" w:sz="18"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40,74</w:t>
            </w:r>
          </w:p>
        </w:tc>
        <w:tc>
          <w:tcPr>
            <w:tcW w:w="567" w:type="dxa"/>
            <w:tcBorders>
              <w:left w:val="single" w:sz="18"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-0,05</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0,18</w:t>
            </w:r>
          </w:p>
        </w:tc>
        <w:tc>
          <w:tcPr>
            <w:tcW w:w="426" w:type="dxa"/>
            <w:tcBorders>
              <w:lef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-1,95</w:t>
            </w:r>
          </w:p>
        </w:tc>
      </w:tr>
      <w:tr w:rsidR="001D0DF1" w:rsidRPr="007078A2" w:rsidTr="006D4CB7">
        <w:tc>
          <w:tcPr>
            <w:tcW w:w="709" w:type="dxa"/>
            <w:tcBorders>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Asia y el Pacífico</w:t>
            </w:r>
          </w:p>
        </w:tc>
        <w:tc>
          <w:tcPr>
            <w:tcW w:w="709" w:type="dxa"/>
            <w:tcBorders>
              <w:left w:val="single" w:sz="4" w:space="0" w:color="FFFFFF" w:themeColor="background1"/>
              <w:right w:val="single" w:sz="18"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34</w:t>
            </w:r>
          </w:p>
        </w:tc>
        <w:tc>
          <w:tcPr>
            <w:tcW w:w="425" w:type="dxa"/>
            <w:tcBorders>
              <w:left w:val="single" w:sz="18" w:space="0" w:color="FFFFFF" w:themeColor="background1"/>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8,84</w:t>
            </w:r>
          </w:p>
        </w:tc>
        <w:tc>
          <w:tcPr>
            <w:tcW w:w="425" w:type="dxa"/>
            <w:tcBorders>
              <w:left w:val="single" w:sz="4" w:space="0" w:color="FFFFFF" w:themeColor="background1"/>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1,73</w:t>
            </w:r>
          </w:p>
        </w:tc>
        <w:tc>
          <w:tcPr>
            <w:tcW w:w="567" w:type="dxa"/>
            <w:tcBorders>
              <w:left w:val="single" w:sz="4" w:space="0" w:color="FFFFFF" w:themeColor="background1"/>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7,11</w:t>
            </w:r>
          </w:p>
        </w:tc>
        <w:tc>
          <w:tcPr>
            <w:tcW w:w="567" w:type="dxa"/>
            <w:tcBorders>
              <w:left w:val="single" w:sz="4" w:space="0" w:color="FFFFFF" w:themeColor="background1"/>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4,58</w:t>
            </w:r>
          </w:p>
        </w:tc>
        <w:tc>
          <w:tcPr>
            <w:tcW w:w="426" w:type="dxa"/>
            <w:tcBorders>
              <w:left w:val="single" w:sz="4" w:space="0" w:color="FFFFFF" w:themeColor="background1"/>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2,19</w:t>
            </w:r>
          </w:p>
        </w:tc>
        <w:tc>
          <w:tcPr>
            <w:tcW w:w="567" w:type="dxa"/>
            <w:tcBorders>
              <w:left w:val="single" w:sz="4" w:space="0" w:color="FFFFFF" w:themeColor="background1"/>
              <w:right w:val="single" w:sz="18"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47,87</w:t>
            </w:r>
          </w:p>
        </w:tc>
        <w:tc>
          <w:tcPr>
            <w:tcW w:w="425" w:type="dxa"/>
            <w:tcBorders>
              <w:left w:val="single" w:sz="18" w:space="0" w:color="FFFFFF" w:themeColor="background1"/>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8,78</w:t>
            </w:r>
          </w:p>
        </w:tc>
        <w:tc>
          <w:tcPr>
            <w:tcW w:w="425" w:type="dxa"/>
            <w:tcBorders>
              <w:left w:val="single" w:sz="4" w:space="0" w:color="FFFFFF" w:themeColor="background1"/>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1,62</w:t>
            </w:r>
          </w:p>
        </w:tc>
        <w:tc>
          <w:tcPr>
            <w:tcW w:w="567" w:type="dxa"/>
            <w:tcBorders>
              <w:left w:val="single" w:sz="4" w:space="0" w:color="FFFFFF" w:themeColor="background1"/>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7,16</w:t>
            </w:r>
          </w:p>
        </w:tc>
        <w:tc>
          <w:tcPr>
            <w:tcW w:w="567" w:type="dxa"/>
            <w:tcBorders>
              <w:left w:val="single" w:sz="4" w:space="0" w:color="FFFFFF" w:themeColor="background1"/>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4,35</w:t>
            </w:r>
          </w:p>
        </w:tc>
        <w:tc>
          <w:tcPr>
            <w:tcW w:w="425" w:type="dxa"/>
            <w:tcBorders>
              <w:left w:val="single" w:sz="4" w:space="0" w:color="FFFFFF" w:themeColor="background1"/>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2,23</w:t>
            </w:r>
          </w:p>
        </w:tc>
        <w:tc>
          <w:tcPr>
            <w:tcW w:w="567" w:type="dxa"/>
            <w:tcBorders>
              <w:left w:val="single" w:sz="4" w:space="0" w:color="FFFFFF" w:themeColor="background1"/>
              <w:right w:val="single" w:sz="18"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51,14</w:t>
            </w:r>
          </w:p>
        </w:tc>
        <w:tc>
          <w:tcPr>
            <w:tcW w:w="567" w:type="dxa"/>
            <w:tcBorders>
              <w:left w:val="single" w:sz="18" w:space="0" w:color="FFFFFF" w:themeColor="background1"/>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-0,05</w:t>
            </w:r>
          </w:p>
        </w:tc>
        <w:tc>
          <w:tcPr>
            <w:tcW w:w="567" w:type="dxa"/>
            <w:tcBorders>
              <w:left w:val="single" w:sz="4" w:space="0" w:color="FFFFFF" w:themeColor="background1"/>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0,23</w:t>
            </w:r>
          </w:p>
        </w:tc>
        <w:tc>
          <w:tcPr>
            <w:tcW w:w="426" w:type="dxa"/>
            <w:tcBorders>
              <w:lef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-3,27</w:t>
            </w:r>
          </w:p>
        </w:tc>
      </w:tr>
      <w:tr w:rsidR="001D0DF1" w:rsidRPr="007078A2" w:rsidTr="006D4CB7">
        <w:tc>
          <w:tcPr>
            <w:tcW w:w="709" w:type="dxa"/>
            <w:tcBorders>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África</w:t>
            </w:r>
          </w:p>
        </w:tc>
        <w:tc>
          <w:tcPr>
            <w:tcW w:w="709" w:type="dxa"/>
            <w:tcBorders>
              <w:left w:val="single" w:sz="4" w:space="0" w:color="FFFFFF" w:themeColor="background1"/>
              <w:right w:val="single" w:sz="18"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39</w:t>
            </w:r>
          </w:p>
        </w:tc>
        <w:tc>
          <w:tcPr>
            <w:tcW w:w="425" w:type="dxa"/>
            <w:tcBorders>
              <w:left w:val="single" w:sz="18" w:space="0" w:color="FFFFFF" w:themeColor="background1"/>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5,55</w:t>
            </w:r>
          </w:p>
        </w:tc>
        <w:tc>
          <w:tcPr>
            <w:tcW w:w="425"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1,07</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4,47</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2,48</w:t>
            </w:r>
          </w:p>
        </w:tc>
        <w:tc>
          <w:tcPr>
            <w:tcW w:w="426"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1,14</w:t>
            </w:r>
          </w:p>
        </w:tc>
        <w:tc>
          <w:tcPr>
            <w:tcW w:w="567" w:type="dxa"/>
            <w:tcBorders>
              <w:left w:val="single" w:sz="4" w:space="0" w:color="FFFFFF" w:themeColor="background1"/>
              <w:right w:val="single" w:sz="18"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46,06</w:t>
            </w:r>
          </w:p>
        </w:tc>
        <w:tc>
          <w:tcPr>
            <w:tcW w:w="425" w:type="dxa"/>
            <w:tcBorders>
              <w:left w:val="single" w:sz="18" w:space="0" w:color="FFFFFF" w:themeColor="background1"/>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5,27</w:t>
            </w:r>
          </w:p>
        </w:tc>
        <w:tc>
          <w:tcPr>
            <w:tcW w:w="425"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1,00</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4,27</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2,30</w:t>
            </w:r>
          </w:p>
        </w:tc>
        <w:tc>
          <w:tcPr>
            <w:tcW w:w="425"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1,07</w:t>
            </w:r>
          </w:p>
        </w:tc>
        <w:tc>
          <w:tcPr>
            <w:tcW w:w="567" w:type="dxa"/>
            <w:tcBorders>
              <w:left w:val="single" w:sz="4" w:space="0" w:color="FFFFFF" w:themeColor="background1"/>
              <w:right w:val="single" w:sz="18"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46,57</w:t>
            </w:r>
          </w:p>
        </w:tc>
        <w:tc>
          <w:tcPr>
            <w:tcW w:w="567" w:type="dxa"/>
            <w:tcBorders>
              <w:left w:val="single" w:sz="18" w:space="0" w:color="FFFFFF" w:themeColor="background1"/>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0,20</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0,18</w:t>
            </w:r>
          </w:p>
        </w:tc>
        <w:tc>
          <w:tcPr>
            <w:tcW w:w="426" w:type="dxa"/>
            <w:tcBorders>
              <w:lef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-0,51</w:t>
            </w:r>
          </w:p>
        </w:tc>
      </w:tr>
    </w:tbl>
    <w:p w:rsidR="000A39FD" w:rsidRPr="007078A2" w:rsidRDefault="00FD10EE" w:rsidP="001D0DF1">
      <w:pPr>
        <w:jc w:val="both"/>
        <w:rPr>
          <w:b/>
          <w:bCs/>
          <w:sz w:val="18"/>
          <w:szCs w:val="18"/>
          <w:lang w:val="es-ES_tradnl"/>
        </w:rPr>
      </w:pPr>
      <w:r w:rsidRPr="007078A2">
        <w:rPr>
          <w:b/>
          <w:bCs/>
          <w:sz w:val="18"/>
          <w:szCs w:val="18"/>
          <w:lang w:val="es-ES_tradnl"/>
        </w:rPr>
        <w:lastRenderedPageBreak/>
        <w:t>Leyenda del Cuadro 3.1:</w:t>
      </w:r>
    </w:p>
    <w:p w:rsidR="000A39FD" w:rsidRPr="007078A2" w:rsidRDefault="000A39FD" w:rsidP="00FD10EE">
      <w:pPr>
        <w:tabs>
          <w:tab w:val="clear" w:pos="794"/>
          <w:tab w:val="left" w:pos="284"/>
        </w:tabs>
        <w:spacing w:before="0"/>
        <w:jc w:val="both"/>
        <w:rPr>
          <w:sz w:val="18"/>
          <w:szCs w:val="18"/>
          <w:lang w:val="es-ES_tradnl"/>
        </w:rPr>
      </w:pPr>
      <w:r w:rsidRPr="007078A2">
        <w:rPr>
          <w:sz w:val="18"/>
          <w:szCs w:val="18"/>
          <w:lang w:val="es-ES_tradnl"/>
        </w:rPr>
        <w:t>1</w:t>
      </w:r>
      <w:r w:rsidRPr="007078A2">
        <w:rPr>
          <w:sz w:val="18"/>
          <w:szCs w:val="18"/>
          <w:lang w:val="es-ES_tradnl"/>
        </w:rPr>
        <w:tab/>
        <w:t>Número de economías</w:t>
      </w:r>
    </w:p>
    <w:p w:rsidR="000A39FD" w:rsidRPr="007078A2" w:rsidRDefault="000A39FD" w:rsidP="00FD10EE">
      <w:pPr>
        <w:tabs>
          <w:tab w:val="clear" w:pos="794"/>
          <w:tab w:val="left" w:pos="284"/>
        </w:tabs>
        <w:spacing w:before="0"/>
        <w:jc w:val="both"/>
        <w:rPr>
          <w:sz w:val="18"/>
          <w:szCs w:val="18"/>
          <w:lang w:val="es-ES_tradnl"/>
        </w:rPr>
      </w:pPr>
      <w:r w:rsidRPr="007078A2">
        <w:rPr>
          <w:sz w:val="18"/>
          <w:szCs w:val="18"/>
          <w:lang w:val="es-ES_tradnl"/>
        </w:rPr>
        <w:t>2</w:t>
      </w:r>
      <w:r w:rsidRPr="007078A2">
        <w:rPr>
          <w:sz w:val="18"/>
          <w:szCs w:val="18"/>
          <w:lang w:val="es-ES_tradnl"/>
        </w:rPr>
        <w:tab/>
        <w:t>Nota:*Medias simples, DT = Desviación típica, CV = coeficiente de variación</w:t>
      </w:r>
    </w:p>
    <w:p w:rsidR="000A39FD" w:rsidRPr="007078A2" w:rsidRDefault="000A39FD" w:rsidP="00D8478B">
      <w:pPr>
        <w:pStyle w:val="FigureNotitle"/>
      </w:pPr>
      <w:r w:rsidRPr="007078A2">
        <w:t>Gráfico 3.1: IDT por región, en comparación con la media mundial, 2016</w:t>
      </w:r>
    </w:p>
    <w:p w:rsidR="000A39FD" w:rsidRPr="007078A2" w:rsidRDefault="000A39FD" w:rsidP="00457697">
      <w:pPr>
        <w:keepNext/>
        <w:keepLines/>
        <w:jc w:val="both"/>
        <w:rPr>
          <w:lang w:val="es-ES_tradnl"/>
        </w:rPr>
      </w:pPr>
      <w:r w:rsidRPr="007078A2">
        <w:rPr>
          <w:noProof/>
          <w:lang w:eastAsia="zh-CN"/>
        </w:rPr>
        <w:drawing>
          <wp:inline distT="0" distB="0" distL="0" distR="0" wp14:anchorId="0A22D522" wp14:editId="75573478">
            <wp:extent cx="6038369" cy="3125338"/>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55977" cy="3134451"/>
                    </a:xfrm>
                    <a:prstGeom prst="rect">
                      <a:avLst/>
                    </a:prstGeom>
                    <a:noFill/>
                  </pic:spPr>
                </pic:pic>
              </a:graphicData>
            </a:graphic>
          </wp:inline>
        </w:drawing>
      </w:r>
    </w:p>
    <w:p w:rsidR="000A39FD" w:rsidRPr="007078A2" w:rsidRDefault="00FD10EE" w:rsidP="00457697">
      <w:pPr>
        <w:keepNext/>
        <w:keepLines/>
        <w:spacing w:before="0"/>
        <w:jc w:val="both"/>
        <w:rPr>
          <w:b/>
          <w:bCs/>
          <w:sz w:val="18"/>
          <w:szCs w:val="18"/>
          <w:lang w:val="es-ES_tradnl"/>
        </w:rPr>
      </w:pPr>
      <w:r w:rsidRPr="007078A2">
        <w:rPr>
          <w:b/>
          <w:bCs/>
          <w:sz w:val="18"/>
          <w:szCs w:val="18"/>
          <w:lang w:val="es-ES_tradnl"/>
        </w:rPr>
        <w:t>Leyenda del Gráfico 3.1:</w:t>
      </w:r>
    </w:p>
    <w:p w:rsidR="000A39FD" w:rsidRPr="007078A2" w:rsidRDefault="00FD10EE" w:rsidP="00457697">
      <w:pPr>
        <w:keepNext/>
        <w:keepLines/>
        <w:spacing w:before="0"/>
        <w:jc w:val="both"/>
        <w:rPr>
          <w:sz w:val="18"/>
          <w:szCs w:val="18"/>
          <w:lang w:val="es-ES_tradnl"/>
        </w:rPr>
      </w:pPr>
      <w:r w:rsidRPr="007078A2">
        <w:rPr>
          <w:sz w:val="18"/>
          <w:szCs w:val="18"/>
          <w:lang w:val="es-ES_tradnl"/>
        </w:rPr>
        <w:t>Origen: UIT.</w:t>
      </w:r>
    </w:p>
    <w:p w:rsidR="001D0DF1" w:rsidRPr="007078A2" w:rsidRDefault="001D0DF1" w:rsidP="001D0DF1">
      <w:pPr>
        <w:keepNext/>
        <w:keepLines/>
        <w:spacing w:before="0"/>
        <w:jc w:val="both"/>
        <w:rPr>
          <w:sz w:val="18"/>
          <w:szCs w:val="18"/>
          <w:lang w:val="es-ES_tradnl"/>
        </w:rPr>
      </w:pPr>
      <w:r w:rsidRPr="007078A2">
        <w:rPr>
          <w:sz w:val="18"/>
          <w:szCs w:val="18"/>
          <w:lang w:val="es-ES_tradnl"/>
        </w:rPr>
        <w:t>África – Estados Árabes – Asia-Pacífico – CEI – Europa – Américas</w:t>
      </w:r>
    </w:p>
    <w:p w:rsidR="00F20A4A" w:rsidRPr="007078A2" w:rsidRDefault="00F20A4A" w:rsidP="001D0DF1">
      <w:pPr>
        <w:keepNext/>
        <w:keepLines/>
        <w:spacing w:before="0"/>
        <w:jc w:val="both"/>
        <w:rPr>
          <w:sz w:val="18"/>
          <w:szCs w:val="18"/>
          <w:lang w:val="es-ES_tradnl"/>
        </w:rPr>
      </w:pPr>
      <w:r w:rsidRPr="007078A2">
        <w:rPr>
          <w:sz w:val="18"/>
          <w:szCs w:val="18"/>
          <w:lang w:val="es-ES_tradnl"/>
        </w:rPr>
        <w:t>Media mundial</w:t>
      </w:r>
    </w:p>
    <w:p w:rsidR="00FD10EE" w:rsidRPr="007078A2" w:rsidRDefault="00FD10EE" w:rsidP="00457697">
      <w:pPr>
        <w:keepNext/>
        <w:keepLines/>
        <w:spacing w:before="0"/>
        <w:jc w:val="both"/>
        <w:rPr>
          <w:sz w:val="18"/>
          <w:szCs w:val="18"/>
          <w:lang w:val="es-ES_tradnl"/>
        </w:rPr>
      </w:pPr>
      <w:r w:rsidRPr="007078A2">
        <w:rPr>
          <w:sz w:val="18"/>
          <w:szCs w:val="18"/>
          <w:lang w:val="es-ES_tradnl"/>
        </w:rPr>
        <w:t>Diferencia</w:t>
      </w:r>
    </w:p>
    <w:p w:rsidR="00FD10EE" w:rsidRPr="007078A2" w:rsidRDefault="00FD10EE" w:rsidP="00457697">
      <w:pPr>
        <w:keepNext/>
        <w:keepLines/>
        <w:spacing w:before="0"/>
        <w:jc w:val="both"/>
        <w:rPr>
          <w:sz w:val="18"/>
          <w:szCs w:val="18"/>
          <w:lang w:val="es-ES_tradnl"/>
        </w:rPr>
      </w:pPr>
      <w:r w:rsidRPr="007078A2">
        <w:rPr>
          <w:sz w:val="18"/>
          <w:szCs w:val="18"/>
          <w:lang w:val="es-ES_tradnl"/>
        </w:rPr>
        <w:t>Media regional</w:t>
      </w:r>
    </w:p>
    <w:p w:rsidR="000A39FD" w:rsidRPr="007078A2" w:rsidRDefault="000A39FD" w:rsidP="009A30C4">
      <w:pPr>
        <w:rPr>
          <w:lang w:val="es-ES_tradnl"/>
        </w:rPr>
      </w:pPr>
      <w:r w:rsidRPr="007078A2">
        <w:rPr>
          <w:lang w:val="es-ES_tradnl"/>
        </w:rPr>
        <w:t>Como en años anteriores, el valor medio regional más elevado del IDT es de 7,35 en Europa, donde un solo país, Albania, está apenas debajo de la media mundial de 4,94. El valor medio regional de la CEI es de 5,74, significativamente más elevado que la media mundial (aunque debe señalarse que dos países de bajos ingresos de la región no figuran en el Índice). La media de las Américas, a saber 5,</w:t>
      </w:r>
      <w:r w:rsidR="003C0647">
        <w:rPr>
          <w:lang w:val="es-ES_tradnl"/>
        </w:rPr>
        <w:t>1</w:t>
      </w:r>
      <w:r w:rsidRPr="007078A2">
        <w:rPr>
          <w:lang w:val="es-ES_tradnl"/>
        </w:rPr>
        <w:t>3, es ligeramente superior a la media mundial, mientras que los valores medios en los Estados Árabes y Asia-Pacífico, de respectivamente 4,81 y 4,58, son ligeramente inferiores. Como en años anteriores, la región de África registra con diferencia el valor medio más bajo del IDT, a saber 2,48, poco más que la mitad de la siguiente región con el índice más bajo.</w:t>
      </w:r>
    </w:p>
    <w:p w:rsidR="000A39FD" w:rsidRPr="007078A2" w:rsidRDefault="000A39FD" w:rsidP="009A30C4">
      <w:pPr>
        <w:rPr>
          <w:lang w:val="es-ES_tradnl"/>
        </w:rPr>
      </w:pPr>
      <w:r w:rsidRPr="007078A2">
        <w:rPr>
          <w:lang w:val="es-ES_tradnl"/>
        </w:rPr>
        <w:t>Se observan variaciones mucho mayores en algunas regiones que en otras. La región de la CEI tiene la diferencia más pequeña entre sus valores más elevado</w:t>
      </w:r>
      <w:r w:rsidR="000D2A07">
        <w:rPr>
          <w:lang w:val="es-ES_tradnl"/>
        </w:rPr>
        <w:t>s</w:t>
      </w:r>
      <w:r w:rsidRPr="007078A2">
        <w:rPr>
          <w:lang w:val="es-ES_tradnl"/>
        </w:rPr>
        <w:t xml:space="preserve"> y más bajo</w:t>
      </w:r>
      <w:r w:rsidR="00D60C43">
        <w:rPr>
          <w:lang w:val="es-ES_tradnl"/>
        </w:rPr>
        <w:t>s</w:t>
      </w:r>
      <w:r w:rsidRPr="007078A2">
        <w:rPr>
          <w:lang w:val="es-ES_tradnl"/>
        </w:rPr>
        <w:t>, 3,27 puntos, que reflejan su homogeneidad económica relativa. Europa también tiene una diferencia relativamente reducida de 3,91 entre sus valores de IDT, una cifra que baja a 3,14 si se excluyen los dos países de la región con el rango más bajo (Albania y Bosnia y Herzegovina).</w:t>
      </w:r>
    </w:p>
    <w:p w:rsidR="000A39FD" w:rsidRPr="007078A2" w:rsidRDefault="000A39FD" w:rsidP="009A30C4">
      <w:pPr>
        <w:rPr>
          <w:lang w:val="es-ES_tradnl"/>
        </w:rPr>
      </w:pPr>
      <w:r w:rsidRPr="007078A2">
        <w:rPr>
          <w:lang w:val="es-ES_tradnl"/>
        </w:rPr>
        <w:t>La distribución del IDT la región de África es más variable, pero con niveles mucho más bajos, que corresponden al desarrollo económico de la región. En este caso también, la distribución se ve afectada por valores extremos que, en este caso, corresponden a tres países con resultados relativamente elevados (Mauricio, la</w:t>
      </w:r>
      <w:r w:rsidR="003C0647">
        <w:rPr>
          <w:lang w:val="es-ES_tradnl"/>
        </w:rPr>
        <w:t>s</w:t>
      </w:r>
      <w:r w:rsidRPr="007078A2">
        <w:rPr>
          <w:lang w:val="es-ES_tradnl"/>
        </w:rPr>
        <w:t xml:space="preserve"> Seychelles y Sudáfrica). Sin ellos, el IDT medio africano descendería de 2,48 a 2,26 y la diferencia entre sus valores más elevado y más bajo descendería de 4,47 a 3,53</w:t>
      </w:r>
      <w:r w:rsidRPr="007078A2">
        <w:rPr>
          <w:color w:val="000000" w:themeColor="text1"/>
          <w:lang w:val="es-ES_tradnl"/>
        </w:rPr>
        <w:t>.</w:t>
      </w:r>
    </w:p>
    <w:p w:rsidR="000A39FD" w:rsidRPr="007078A2" w:rsidRDefault="000A39FD" w:rsidP="009A30C4">
      <w:pPr>
        <w:rPr>
          <w:lang w:val="es-ES_tradnl"/>
        </w:rPr>
      </w:pPr>
      <w:r w:rsidRPr="007078A2">
        <w:rPr>
          <w:lang w:val="es-ES_tradnl"/>
        </w:rPr>
        <w:t xml:space="preserve">La diferencia entre los valores más bajo y más elevado del IDT es mayor en las Américas, los Estados Árabes y, particularmente, Asia y el Pacífico, síntoma de la heterogeneidad económica de </w:t>
      </w:r>
      <w:r w:rsidRPr="007078A2">
        <w:rPr>
          <w:lang w:val="es-ES_tradnl"/>
        </w:rPr>
        <w:lastRenderedPageBreak/>
        <w:t>esas regiones. La región de las Américas tiene países de altos ingresos en Norteamérica y países en desarrollo en el sur. En los Estados Árabes hay países ricos productores de petróleo que pertenecen al Consejo de Cooperación del Golfo, y también varios Países Menos Adelantados (PMA). En la región Asia-Pacífico, varios países ocupan un rango elevado en el Índice, tales como la República de Corea, Singapur y Hong Kong (China), mientras que otros del sur de Asia son Países Menos Conectados (LCC).</w:t>
      </w:r>
    </w:p>
    <w:p w:rsidR="000A39FD" w:rsidRPr="007078A2" w:rsidRDefault="000A39FD" w:rsidP="009A30C4">
      <w:pPr>
        <w:rPr>
          <w:lang w:val="es-ES_tradnl"/>
        </w:rPr>
      </w:pPr>
      <w:r w:rsidRPr="007078A2">
        <w:rPr>
          <w:lang w:val="es-ES_tradnl"/>
        </w:rPr>
        <w:t>Entre el IDT 2015 y el IDT 2016 se han observado mejoras relativamente coherentes del nivel medio del IDT en todas las regiones, y las mayores mejoras se han producido en las regiones de las Américas y de Asia-Pacífico. La diferencia entre los valores más elevado y más bajo del IDT sólo han cambiado marginalmente en la mayoría de las regiones entre el IDT 2015 y el IDT 2016, y las variaciones más grandes se han observado en las regiones de Europa y África. En Europa, la reducción de 0,24 de la diferencia se debe a una tasa de mejora más elevada del país peor clasificado, Albania, en comparación con los países que encabezan la distribución, que se aproximan al valor máximo del Índice. En África, el aumento de 0,20 de la diferencia se debe a mejoras más rápidas en el país con la clasificación más elevada, Mauricio, en comparación con los que ocupan los últimos rangos de la distribución.</w:t>
      </w:r>
    </w:p>
    <w:p w:rsidR="000A39FD" w:rsidRPr="007078A2" w:rsidRDefault="003C0647" w:rsidP="009A30C4">
      <w:pPr>
        <w:rPr>
          <w:lang w:val="es-ES_tradnl"/>
        </w:rPr>
      </w:pPr>
      <w:r>
        <w:rPr>
          <w:lang w:val="es-ES_tradnl"/>
        </w:rPr>
        <w:t>En el Cuadro 3.2 se indican</w:t>
      </w:r>
      <w:r w:rsidR="000A39FD" w:rsidRPr="007078A2">
        <w:rPr>
          <w:lang w:val="es-ES_tradnl"/>
        </w:rPr>
        <w:t xml:space="preserve"> los cinco países mejor clasificados y los cinco peor clasificados de cada región en el IDT 2016, a fin de ilustrar con más precisión las diferencias entre los niveles de desarrollo de las TIC.</w:t>
      </w:r>
    </w:p>
    <w:p w:rsidR="000A39FD" w:rsidRPr="007078A2" w:rsidRDefault="000A39FD" w:rsidP="009A30C4">
      <w:pPr>
        <w:rPr>
          <w:lang w:val="es-ES_tradnl"/>
        </w:rPr>
      </w:pPr>
      <w:r w:rsidRPr="007078A2">
        <w:rPr>
          <w:lang w:val="es-ES_tradnl"/>
        </w:rPr>
        <w:t>Las similitudes y diferencias entre las regiones se pueden estudiar con más precisión comparando gráficos de Kiviat de las puntuaciones medias obtenidas en las distintas regiones con respecto a cada uno de los 11 indicadores que constituyen el Índice. Están representadas en el Gráfico 3.2, junto con un gráfico mundial que permite comparar valores medios regionales y mundiales. Al examinar esos gráficos conviene recordar que no reflejan las diferencias entre los valores mínimo y máximo de cada región que, como se ha indicado, son mayores en algunas regiones que en otras.</w:t>
      </w:r>
    </w:p>
    <w:p w:rsidR="000A39FD" w:rsidRPr="007078A2" w:rsidRDefault="000A39FD" w:rsidP="003C0647">
      <w:pPr>
        <w:pStyle w:val="FigureNotitle"/>
        <w:spacing w:before="120" w:after="40"/>
      </w:pPr>
      <w:r w:rsidRPr="007078A2">
        <w:t>Cuadro 3.2: Países mejor y peor clasificados, por región, IDT 2016</w:t>
      </w:r>
    </w:p>
    <w:tbl>
      <w:tblPr>
        <w:tblStyle w:val="TableGrid"/>
        <w:tblW w:w="9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1587"/>
        <w:gridCol w:w="571"/>
        <w:gridCol w:w="1235"/>
        <w:gridCol w:w="236"/>
        <w:gridCol w:w="1456"/>
        <w:gridCol w:w="1587"/>
        <w:gridCol w:w="571"/>
        <w:gridCol w:w="1235"/>
      </w:tblGrid>
      <w:tr w:rsidR="003C2FE4" w:rsidRPr="00A32FCB" w:rsidTr="003C2FE4">
        <w:trPr>
          <w:tblHeader/>
        </w:trPr>
        <w:tc>
          <w:tcPr>
            <w:tcW w:w="1458" w:type="dxa"/>
            <w:shd w:val="clear" w:color="auto" w:fill="2E74B5" w:themeFill="accent1" w:themeFillShade="BF"/>
            <w:vAlign w:val="center"/>
          </w:tcPr>
          <w:p w:rsidR="003C2FE4" w:rsidRPr="003C0647" w:rsidRDefault="003C2FE4" w:rsidP="004C1B41">
            <w:pPr>
              <w:pStyle w:val="enumlev1"/>
              <w:spacing w:before="20" w:after="20"/>
              <w:ind w:left="0" w:firstLine="0"/>
              <w:jc w:val="center"/>
              <w:rPr>
                <w:b/>
                <w:bCs/>
                <w:color w:val="FFFFFF" w:themeColor="background1"/>
                <w:sz w:val="18"/>
                <w:szCs w:val="18"/>
              </w:rPr>
            </w:pPr>
            <w:r w:rsidRPr="003C0647">
              <w:rPr>
                <w:b/>
                <w:bCs/>
                <w:color w:val="FFFFFF" w:themeColor="background1"/>
                <w:sz w:val="18"/>
                <w:szCs w:val="18"/>
              </w:rPr>
              <w:t>Rango en el IDT regional</w:t>
            </w:r>
          </w:p>
        </w:tc>
        <w:tc>
          <w:tcPr>
            <w:tcW w:w="1587" w:type="dxa"/>
            <w:shd w:val="clear" w:color="auto" w:fill="2E74B5" w:themeFill="accent1" w:themeFillShade="BF"/>
            <w:vAlign w:val="center"/>
          </w:tcPr>
          <w:p w:rsidR="003C2FE4" w:rsidRPr="003C0647" w:rsidRDefault="003C2FE4" w:rsidP="004C1B41">
            <w:pPr>
              <w:pStyle w:val="enumlev1"/>
              <w:spacing w:before="20" w:after="20"/>
              <w:ind w:left="0" w:firstLine="0"/>
              <w:jc w:val="center"/>
              <w:rPr>
                <w:b/>
                <w:bCs/>
                <w:color w:val="FFFFFF" w:themeColor="background1"/>
                <w:sz w:val="18"/>
                <w:szCs w:val="18"/>
              </w:rPr>
            </w:pPr>
            <w:r w:rsidRPr="003C0647">
              <w:rPr>
                <w:b/>
                <w:bCs/>
                <w:color w:val="FFFFFF" w:themeColor="background1"/>
                <w:sz w:val="18"/>
                <w:szCs w:val="18"/>
              </w:rPr>
              <w:t>País</w:t>
            </w:r>
          </w:p>
        </w:tc>
        <w:tc>
          <w:tcPr>
            <w:tcW w:w="571" w:type="dxa"/>
            <w:shd w:val="clear" w:color="auto" w:fill="2E74B5" w:themeFill="accent1" w:themeFillShade="BF"/>
            <w:vAlign w:val="center"/>
          </w:tcPr>
          <w:p w:rsidR="003C2FE4" w:rsidRPr="003C0647" w:rsidRDefault="003C2FE4" w:rsidP="004C1B41">
            <w:pPr>
              <w:pStyle w:val="enumlev1"/>
              <w:spacing w:before="20" w:after="20"/>
              <w:ind w:left="0" w:firstLine="0"/>
              <w:jc w:val="center"/>
              <w:rPr>
                <w:b/>
                <w:bCs/>
                <w:color w:val="FFFFFF" w:themeColor="background1"/>
                <w:sz w:val="18"/>
                <w:szCs w:val="18"/>
              </w:rPr>
            </w:pPr>
            <w:r w:rsidRPr="003C0647">
              <w:rPr>
                <w:b/>
                <w:bCs/>
                <w:color w:val="FFFFFF" w:themeColor="background1"/>
                <w:sz w:val="18"/>
                <w:szCs w:val="18"/>
              </w:rPr>
              <w:t>IDT</w:t>
            </w:r>
          </w:p>
        </w:tc>
        <w:tc>
          <w:tcPr>
            <w:tcW w:w="1235" w:type="dxa"/>
            <w:shd w:val="clear" w:color="auto" w:fill="2E74B5" w:themeFill="accent1" w:themeFillShade="BF"/>
            <w:vAlign w:val="center"/>
          </w:tcPr>
          <w:p w:rsidR="003C2FE4" w:rsidRPr="003C0647" w:rsidRDefault="003C2FE4" w:rsidP="004C1B41">
            <w:pPr>
              <w:pStyle w:val="enumlev1"/>
              <w:spacing w:before="20" w:after="20"/>
              <w:ind w:left="0" w:firstLine="0"/>
              <w:jc w:val="center"/>
              <w:rPr>
                <w:b/>
                <w:bCs/>
                <w:color w:val="FFFFFF" w:themeColor="background1"/>
                <w:sz w:val="18"/>
                <w:szCs w:val="18"/>
              </w:rPr>
            </w:pPr>
            <w:r w:rsidRPr="003C0647">
              <w:rPr>
                <w:b/>
                <w:bCs/>
                <w:color w:val="FFFFFF" w:themeColor="background1"/>
                <w:sz w:val="18"/>
                <w:szCs w:val="18"/>
              </w:rPr>
              <w:t>Rango en el IDT mundial</w:t>
            </w:r>
          </w:p>
        </w:tc>
        <w:tc>
          <w:tcPr>
            <w:tcW w:w="0" w:type="auto"/>
            <w:shd w:val="clear" w:color="auto" w:fill="FFFFFF" w:themeFill="background1"/>
            <w:vAlign w:val="center"/>
          </w:tcPr>
          <w:p w:rsidR="003C2FE4" w:rsidRPr="003C0647" w:rsidRDefault="003C2FE4" w:rsidP="004C1B41">
            <w:pPr>
              <w:pStyle w:val="enumlev1"/>
              <w:spacing w:before="20" w:after="20"/>
              <w:ind w:left="0" w:firstLine="0"/>
              <w:jc w:val="center"/>
              <w:rPr>
                <w:b/>
                <w:bCs/>
                <w:color w:val="FFFFFF" w:themeColor="background1"/>
                <w:sz w:val="18"/>
                <w:szCs w:val="18"/>
              </w:rPr>
            </w:pPr>
          </w:p>
        </w:tc>
        <w:tc>
          <w:tcPr>
            <w:tcW w:w="1456" w:type="dxa"/>
            <w:shd w:val="clear" w:color="auto" w:fill="2E74B5" w:themeFill="accent1" w:themeFillShade="BF"/>
            <w:vAlign w:val="center"/>
          </w:tcPr>
          <w:p w:rsidR="003C2FE4" w:rsidRPr="003C0647" w:rsidRDefault="003C2FE4" w:rsidP="004C1B41">
            <w:pPr>
              <w:pStyle w:val="enumlev1"/>
              <w:spacing w:before="20" w:after="20"/>
              <w:ind w:left="0" w:firstLine="0"/>
              <w:jc w:val="center"/>
              <w:rPr>
                <w:b/>
                <w:bCs/>
                <w:color w:val="FFFFFF" w:themeColor="background1"/>
                <w:sz w:val="18"/>
                <w:szCs w:val="18"/>
              </w:rPr>
            </w:pPr>
            <w:r w:rsidRPr="003C0647">
              <w:rPr>
                <w:b/>
                <w:bCs/>
                <w:color w:val="FFFFFF" w:themeColor="background1"/>
                <w:sz w:val="18"/>
                <w:szCs w:val="18"/>
              </w:rPr>
              <w:t>Rango en el IDT regional</w:t>
            </w:r>
          </w:p>
        </w:tc>
        <w:tc>
          <w:tcPr>
            <w:tcW w:w="1587" w:type="dxa"/>
            <w:shd w:val="clear" w:color="auto" w:fill="2E74B5" w:themeFill="accent1" w:themeFillShade="BF"/>
            <w:vAlign w:val="center"/>
          </w:tcPr>
          <w:p w:rsidR="003C2FE4" w:rsidRPr="003C0647" w:rsidRDefault="003C2FE4" w:rsidP="004C1B41">
            <w:pPr>
              <w:pStyle w:val="enumlev1"/>
              <w:spacing w:before="20" w:after="20"/>
              <w:ind w:left="0" w:firstLine="0"/>
              <w:jc w:val="center"/>
              <w:rPr>
                <w:b/>
                <w:bCs/>
                <w:color w:val="FFFFFF" w:themeColor="background1"/>
                <w:sz w:val="18"/>
                <w:szCs w:val="18"/>
              </w:rPr>
            </w:pPr>
            <w:r w:rsidRPr="003C0647">
              <w:rPr>
                <w:b/>
                <w:bCs/>
                <w:color w:val="FFFFFF" w:themeColor="background1"/>
                <w:sz w:val="18"/>
                <w:szCs w:val="18"/>
              </w:rPr>
              <w:t>País</w:t>
            </w:r>
          </w:p>
        </w:tc>
        <w:tc>
          <w:tcPr>
            <w:tcW w:w="571" w:type="dxa"/>
            <w:shd w:val="clear" w:color="auto" w:fill="2E74B5" w:themeFill="accent1" w:themeFillShade="BF"/>
            <w:vAlign w:val="center"/>
          </w:tcPr>
          <w:p w:rsidR="003C2FE4" w:rsidRPr="003C0647" w:rsidRDefault="003C2FE4" w:rsidP="004C1B41">
            <w:pPr>
              <w:pStyle w:val="enumlev1"/>
              <w:spacing w:before="20" w:after="20"/>
              <w:ind w:left="0" w:firstLine="0"/>
              <w:jc w:val="center"/>
              <w:rPr>
                <w:b/>
                <w:bCs/>
                <w:color w:val="FFFFFF" w:themeColor="background1"/>
                <w:sz w:val="18"/>
                <w:szCs w:val="18"/>
              </w:rPr>
            </w:pPr>
            <w:r w:rsidRPr="003C0647">
              <w:rPr>
                <w:b/>
                <w:bCs/>
                <w:color w:val="FFFFFF" w:themeColor="background1"/>
                <w:sz w:val="18"/>
                <w:szCs w:val="18"/>
              </w:rPr>
              <w:t>IDT</w:t>
            </w:r>
          </w:p>
        </w:tc>
        <w:tc>
          <w:tcPr>
            <w:tcW w:w="1235" w:type="dxa"/>
            <w:shd w:val="clear" w:color="auto" w:fill="2E74B5" w:themeFill="accent1" w:themeFillShade="BF"/>
            <w:vAlign w:val="center"/>
          </w:tcPr>
          <w:p w:rsidR="003C2FE4" w:rsidRPr="003C0647" w:rsidRDefault="003C2FE4" w:rsidP="004C1B41">
            <w:pPr>
              <w:pStyle w:val="enumlev1"/>
              <w:spacing w:before="20" w:after="20"/>
              <w:ind w:left="0" w:firstLine="0"/>
              <w:jc w:val="center"/>
              <w:rPr>
                <w:b/>
                <w:bCs/>
                <w:color w:val="FFFFFF" w:themeColor="background1"/>
                <w:sz w:val="18"/>
                <w:szCs w:val="18"/>
              </w:rPr>
            </w:pPr>
            <w:r w:rsidRPr="003C0647">
              <w:rPr>
                <w:b/>
                <w:bCs/>
                <w:color w:val="FFFFFF" w:themeColor="background1"/>
                <w:sz w:val="18"/>
                <w:szCs w:val="18"/>
              </w:rPr>
              <w:t>Rango en el IDT mundial</w:t>
            </w:r>
          </w:p>
        </w:tc>
      </w:tr>
      <w:tr w:rsidR="003C2FE4" w:rsidRPr="003C0647" w:rsidTr="004C1B41">
        <w:tc>
          <w:tcPr>
            <w:tcW w:w="1458" w:type="dxa"/>
          </w:tcPr>
          <w:p w:rsidR="003C2FE4" w:rsidRPr="003C0647" w:rsidRDefault="003C2FE4" w:rsidP="004C1B41">
            <w:pPr>
              <w:pStyle w:val="enumlev1"/>
              <w:spacing w:before="20" w:after="20"/>
              <w:ind w:left="0" w:firstLine="0"/>
              <w:rPr>
                <w:sz w:val="18"/>
                <w:szCs w:val="18"/>
              </w:rPr>
            </w:pPr>
            <w:r w:rsidRPr="003C0647">
              <w:rPr>
                <w:sz w:val="18"/>
                <w:szCs w:val="18"/>
              </w:rPr>
              <w:t>Europa</w:t>
            </w:r>
          </w:p>
        </w:tc>
        <w:tc>
          <w:tcPr>
            <w:tcW w:w="1587" w:type="dxa"/>
          </w:tcPr>
          <w:p w:rsidR="003C2FE4" w:rsidRPr="003C0647" w:rsidRDefault="003C2FE4" w:rsidP="004C1B41">
            <w:pPr>
              <w:pStyle w:val="enumlev1"/>
              <w:spacing w:before="20" w:after="20"/>
              <w:ind w:left="0" w:firstLine="0"/>
              <w:jc w:val="center"/>
              <w:rPr>
                <w:sz w:val="18"/>
                <w:szCs w:val="18"/>
              </w:rPr>
            </w:pPr>
          </w:p>
        </w:tc>
        <w:tc>
          <w:tcPr>
            <w:tcW w:w="571" w:type="dxa"/>
          </w:tcPr>
          <w:p w:rsidR="003C2FE4" w:rsidRPr="003C0647" w:rsidRDefault="003C2FE4" w:rsidP="004C1B41">
            <w:pPr>
              <w:pStyle w:val="enumlev1"/>
              <w:spacing w:before="20" w:after="20"/>
              <w:ind w:left="0" w:firstLine="0"/>
              <w:rPr>
                <w:sz w:val="18"/>
                <w:szCs w:val="18"/>
              </w:rPr>
            </w:pPr>
          </w:p>
        </w:tc>
        <w:tc>
          <w:tcPr>
            <w:tcW w:w="1235" w:type="dxa"/>
          </w:tcPr>
          <w:p w:rsidR="003C2FE4" w:rsidRPr="003C0647" w:rsidRDefault="003C2FE4" w:rsidP="004C1B41">
            <w:pPr>
              <w:pStyle w:val="enumlev1"/>
              <w:spacing w:before="20" w:after="20"/>
              <w:ind w:left="0" w:firstLine="0"/>
              <w:rPr>
                <w:sz w:val="18"/>
                <w:szCs w:val="18"/>
              </w:rPr>
            </w:pP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rPr>
                <w:sz w:val="18"/>
                <w:szCs w:val="18"/>
              </w:rPr>
            </w:pPr>
            <w:r w:rsidRPr="003C0647">
              <w:rPr>
                <w:sz w:val="18"/>
                <w:szCs w:val="18"/>
              </w:rPr>
              <w:t>Estados Árabes</w:t>
            </w:r>
          </w:p>
        </w:tc>
        <w:tc>
          <w:tcPr>
            <w:tcW w:w="1587" w:type="dxa"/>
          </w:tcPr>
          <w:p w:rsidR="003C2FE4" w:rsidRPr="003C0647" w:rsidRDefault="003C2FE4" w:rsidP="004C1B41">
            <w:pPr>
              <w:pStyle w:val="enumlev1"/>
              <w:spacing w:before="20" w:after="20"/>
              <w:ind w:left="0" w:firstLine="0"/>
              <w:jc w:val="center"/>
              <w:rPr>
                <w:sz w:val="18"/>
                <w:szCs w:val="18"/>
              </w:rPr>
            </w:pPr>
          </w:p>
        </w:tc>
        <w:tc>
          <w:tcPr>
            <w:tcW w:w="571" w:type="dxa"/>
          </w:tcPr>
          <w:p w:rsidR="003C2FE4" w:rsidRPr="003C0647" w:rsidRDefault="003C2FE4" w:rsidP="004C1B41">
            <w:pPr>
              <w:pStyle w:val="enumlev1"/>
              <w:spacing w:before="20" w:after="20"/>
              <w:ind w:left="0" w:firstLine="0"/>
              <w:rPr>
                <w:sz w:val="18"/>
                <w:szCs w:val="18"/>
              </w:rPr>
            </w:pPr>
          </w:p>
        </w:tc>
        <w:tc>
          <w:tcPr>
            <w:tcW w:w="1235" w:type="dxa"/>
          </w:tcPr>
          <w:p w:rsidR="003C2FE4" w:rsidRPr="003C0647" w:rsidRDefault="003C2FE4" w:rsidP="004C1B41">
            <w:pPr>
              <w:pStyle w:val="enumlev1"/>
              <w:spacing w:before="20" w:after="20"/>
              <w:ind w:left="0" w:firstLine="0"/>
              <w:rPr>
                <w:sz w:val="18"/>
                <w:szCs w:val="18"/>
              </w:rPr>
            </w:pP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Islandia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8,83</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2</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Bahrein</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7,46</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29</w:t>
            </w:r>
          </w:p>
        </w:tc>
      </w:tr>
      <w:tr w:rsidR="003C2FE4" w:rsidRPr="003C0647" w:rsidTr="004C1B41">
        <w:tc>
          <w:tcPr>
            <w:tcW w:w="1458" w:type="dxa"/>
          </w:tcPr>
          <w:p w:rsidR="003C2FE4" w:rsidRPr="003C0647" w:rsidRDefault="003C2FE4" w:rsidP="004C1B41">
            <w:pPr>
              <w:pStyle w:val="enumlev1"/>
              <w:spacing w:before="20" w:after="20"/>
              <w:ind w:left="0" w:firstLine="0"/>
              <w:jc w:val="center"/>
              <w:rPr>
                <w:sz w:val="18"/>
                <w:szCs w:val="18"/>
              </w:rPr>
            </w:pPr>
            <w:r w:rsidRPr="003C0647">
              <w:rPr>
                <w:sz w:val="18"/>
                <w:szCs w:val="18"/>
              </w:rPr>
              <w:t>2</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Dinamarca</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8,74</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3</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jc w:val="center"/>
              <w:rPr>
                <w:sz w:val="18"/>
                <w:szCs w:val="18"/>
              </w:rPr>
            </w:pPr>
            <w:r w:rsidRPr="003C0647">
              <w:rPr>
                <w:sz w:val="18"/>
                <w:szCs w:val="18"/>
              </w:rPr>
              <w:t>2</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Emiratos Árabes Unidos</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7,11</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38</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Suiza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8,68</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4</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Arabia Saudita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6,90</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45</w:t>
            </w:r>
          </w:p>
        </w:tc>
      </w:tr>
      <w:tr w:rsidR="003C2FE4" w:rsidRPr="003C0647" w:rsidTr="004C1B41">
        <w:tc>
          <w:tcPr>
            <w:tcW w:w="1458" w:type="dxa"/>
          </w:tcPr>
          <w:p w:rsidR="003C2FE4" w:rsidRPr="003C0647" w:rsidRDefault="003C2FE4" w:rsidP="004C1B41">
            <w:pPr>
              <w:pStyle w:val="enumlev1"/>
              <w:spacing w:before="20" w:after="20"/>
              <w:ind w:left="0" w:firstLine="0"/>
              <w:jc w:val="center"/>
              <w:rPr>
                <w:sz w:val="18"/>
                <w:szCs w:val="18"/>
              </w:rPr>
            </w:pPr>
            <w:r w:rsidRPr="003C0647">
              <w:rPr>
                <w:sz w:val="18"/>
                <w:szCs w:val="18"/>
              </w:rPr>
              <w:t>4</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Reino Unido</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8,57</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5</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jc w:val="center"/>
              <w:rPr>
                <w:sz w:val="18"/>
                <w:szCs w:val="18"/>
              </w:rPr>
            </w:pPr>
            <w:r w:rsidRPr="003C0647">
              <w:rPr>
                <w:sz w:val="18"/>
                <w:szCs w:val="18"/>
              </w:rPr>
              <w:t>4</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Qatar</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6,90</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46</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5</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Suecia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8,45</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7</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5</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Kuwait</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6,54</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53</w:t>
            </w:r>
          </w:p>
        </w:tc>
      </w:tr>
      <w:tr w:rsidR="003C2FE4" w:rsidRPr="003C0647" w:rsidTr="004C1B41">
        <w:tc>
          <w:tcPr>
            <w:tcW w:w="1458" w:type="dxa"/>
          </w:tcPr>
          <w:p w:rsidR="003C2FE4" w:rsidRPr="003C0647" w:rsidRDefault="003C2FE4" w:rsidP="004C1B41">
            <w:pPr>
              <w:pStyle w:val="enumlev1"/>
              <w:spacing w:before="20" w:after="20"/>
              <w:ind w:left="0" w:firstLine="0"/>
              <w:jc w:val="center"/>
              <w:rPr>
                <w:sz w:val="18"/>
                <w:szCs w:val="18"/>
              </w:rPr>
            </w:pPr>
          </w:p>
        </w:tc>
        <w:tc>
          <w:tcPr>
            <w:tcW w:w="1587" w:type="dxa"/>
          </w:tcPr>
          <w:p w:rsidR="003C2FE4" w:rsidRPr="003C0647" w:rsidRDefault="003C2FE4" w:rsidP="004C1B41">
            <w:pPr>
              <w:pStyle w:val="enumlev1"/>
              <w:spacing w:before="20" w:after="20"/>
              <w:ind w:left="0" w:firstLine="0"/>
              <w:jc w:val="center"/>
              <w:rPr>
                <w:sz w:val="18"/>
                <w:szCs w:val="18"/>
              </w:rPr>
            </w:pPr>
          </w:p>
        </w:tc>
        <w:tc>
          <w:tcPr>
            <w:tcW w:w="571" w:type="dxa"/>
          </w:tcPr>
          <w:p w:rsidR="003C2FE4" w:rsidRPr="003C0647" w:rsidRDefault="003C2FE4" w:rsidP="004C1B41">
            <w:pPr>
              <w:pStyle w:val="enumlev1"/>
              <w:spacing w:before="20" w:after="20"/>
              <w:ind w:left="0" w:firstLine="0"/>
              <w:jc w:val="center"/>
              <w:rPr>
                <w:sz w:val="18"/>
                <w:szCs w:val="18"/>
              </w:rPr>
            </w:pPr>
          </w:p>
        </w:tc>
        <w:tc>
          <w:tcPr>
            <w:tcW w:w="1235" w:type="dxa"/>
          </w:tcPr>
          <w:p w:rsidR="003C2FE4" w:rsidRPr="003C0647" w:rsidRDefault="003C2FE4" w:rsidP="004C1B41">
            <w:pPr>
              <w:pStyle w:val="enumlev1"/>
              <w:spacing w:before="20" w:after="20"/>
              <w:ind w:left="0" w:firstLine="0"/>
              <w:jc w:val="center"/>
              <w:rPr>
                <w:sz w:val="18"/>
                <w:szCs w:val="18"/>
              </w:rPr>
            </w:pP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jc w:val="center"/>
              <w:rPr>
                <w:sz w:val="18"/>
                <w:szCs w:val="18"/>
              </w:rPr>
            </w:pPr>
          </w:p>
        </w:tc>
        <w:tc>
          <w:tcPr>
            <w:tcW w:w="1587" w:type="dxa"/>
          </w:tcPr>
          <w:p w:rsidR="003C2FE4" w:rsidRPr="003C0647" w:rsidRDefault="003C2FE4" w:rsidP="004C1B41">
            <w:pPr>
              <w:pStyle w:val="enumlev1"/>
              <w:spacing w:before="20" w:after="20"/>
              <w:ind w:left="0" w:firstLine="0"/>
              <w:jc w:val="center"/>
              <w:rPr>
                <w:sz w:val="18"/>
                <w:szCs w:val="18"/>
              </w:rPr>
            </w:pPr>
          </w:p>
        </w:tc>
        <w:tc>
          <w:tcPr>
            <w:tcW w:w="571" w:type="dxa"/>
          </w:tcPr>
          <w:p w:rsidR="003C2FE4" w:rsidRPr="003C0647" w:rsidRDefault="003C2FE4" w:rsidP="004C1B41">
            <w:pPr>
              <w:pStyle w:val="enumlev1"/>
              <w:spacing w:before="20" w:after="20"/>
              <w:ind w:left="0" w:firstLine="0"/>
              <w:jc w:val="center"/>
              <w:rPr>
                <w:sz w:val="18"/>
                <w:szCs w:val="18"/>
              </w:rPr>
            </w:pPr>
          </w:p>
        </w:tc>
        <w:tc>
          <w:tcPr>
            <w:tcW w:w="1235" w:type="dxa"/>
          </w:tcPr>
          <w:p w:rsidR="003C2FE4" w:rsidRPr="003C0647" w:rsidRDefault="003C2FE4" w:rsidP="004C1B41">
            <w:pPr>
              <w:pStyle w:val="enumlev1"/>
              <w:spacing w:before="20" w:after="20"/>
              <w:ind w:left="0" w:firstLine="0"/>
              <w:jc w:val="center"/>
              <w:rPr>
                <w:sz w:val="18"/>
                <w:szCs w:val="18"/>
              </w:rPr>
            </w:pP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36</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Montenegro</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6,05</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62</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14</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República Árabe Siria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3,32</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122</w:t>
            </w:r>
          </w:p>
        </w:tc>
      </w:tr>
      <w:tr w:rsidR="003C2FE4" w:rsidRPr="003C0647" w:rsidTr="004C1B41">
        <w:tc>
          <w:tcPr>
            <w:tcW w:w="1458" w:type="dxa"/>
          </w:tcPr>
          <w:p w:rsidR="003C2FE4" w:rsidRPr="003C0647" w:rsidRDefault="003C2FE4" w:rsidP="004C1B41">
            <w:pPr>
              <w:pStyle w:val="enumlev1"/>
              <w:spacing w:before="20" w:after="20"/>
              <w:ind w:left="0" w:firstLine="0"/>
              <w:jc w:val="center"/>
              <w:rPr>
                <w:sz w:val="18"/>
                <w:szCs w:val="18"/>
              </w:rPr>
            </w:pPr>
            <w:r w:rsidRPr="003C0647">
              <w:rPr>
                <w:sz w:val="18"/>
                <w:szCs w:val="18"/>
              </w:rPr>
              <w:t>37</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La ex Rep. Yugoslava de Macedonia</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5,97</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65</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jc w:val="center"/>
              <w:rPr>
                <w:sz w:val="18"/>
                <w:szCs w:val="18"/>
              </w:rPr>
            </w:pPr>
            <w:r w:rsidRPr="003C0647">
              <w:rPr>
                <w:sz w:val="18"/>
                <w:szCs w:val="18"/>
              </w:rPr>
              <w:t>15</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Sudán</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2,60</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139</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38</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Turquía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5,69</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70</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16</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Mauritania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2,12</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151</w:t>
            </w:r>
          </w:p>
        </w:tc>
      </w:tr>
      <w:tr w:rsidR="003C2FE4" w:rsidRPr="003C0647" w:rsidTr="004C1B41">
        <w:tc>
          <w:tcPr>
            <w:tcW w:w="1458" w:type="dxa"/>
          </w:tcPr>
          <w:p w:rsidR="003C2FE4" w:rsidRPr="003C0647" w:rsidRDefault="003C2FE4" w:rsidP="004C1B41">
            <w:pPr>
              <w:pStyle w:val="enumlev1"/>
              <w:spacing w:before="20" w:after="20"/>
              <w:ind w:left="0" w:firstLine="0"/>
              <w:jc w:val="center"/>
              <w:rPr>
                <w:sz w:val="18"/>
                <w:szCs w:val="18"/>
              </w:rPr>
            </w:pPr>
            <w:r w:rsidRPr="003C0647">
              <w:rPr>
                <w:sz w:val="18"/>
                <w:szCs w:val="18"/>
              </w:rPr>
              <w:t>39</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Bosnia y Herzegovina</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5,25</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80</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jc w:val="center"/>
              <w:rPr>
                <w:sz w:val="18"/>
                <w:szCs w:val="18"/>
              </w:rPr>
            </w:pPr>
            <w:r w:rsidRPr="003C0647">
              <w:rPr>
                <w:sz w:val="18"/>
                <w:szCs w:val="18"/>
              </w:rPr>
              <w:t>17</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Yemen</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2,02</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155</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40</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Albania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4,92</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91</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18</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Djibouti</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1,82</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161</w:t>
            </w:r>
          </w:p>
        </w:tc>
      </w:tr>
      <w:tr w:rsidR="003C2FE4" w:rsidRPr="003C0647" w:rsidTr="004C1B41">
        <w:trPr>
          <w:trHeight w:val="170"/>
        </w:trPr>
        <w:tc>
          <w:tcPr>
            <w:tcW w:w="1458" w:type="dxa"/>
          </w:tcPr>
          <w:p w:rsidR="003C2FE4" w:rsidRPr="003C0647" w:rsidRDefault="003C2FE4" w:rsidP="004C1B41">
            <w:pPr>
              <w:pStyle w:val="enumlev1"/>
              <w:spacing w:before="20" w:after="20"/>
              <w:ind w:left="0" w:firstLine="0"/>
              <w:rPr>
                <w:sz w:val="18"/>
                <w:szCs w:val="18"/>
              </w:rPr>
            </w:pPr>
          </w:p>
        </w:tc>
        <w:tc>
          <w:tcPr>
            <w:tcW w:w="1587" w:type="dxa"/>
          </w:tcPr>
          <w:p w:rsidR="003C2FE4" w:rsidRPr="003C0647" w:rsidRDefault="003C2FE4" w:rsidP="004C1B41">
            <w:pPr>
              <w:pStyle w:val="enumlev1"/>
              <w:spacing w:before="20" w:after="20"/>
              <w:ind w:left="0" w:firstLine="0"/>
              <w:jc w:val="center"/>
              <w:rPr>
                <w:sz w:val="18"/>
                <w:szCs w:val="18"/>
              </w:rPr>
            </w:pPr>
          </w:p>
        </w:tc>
        <w:tc>
          <w:tcPr>
            <w:tcW w:w="571" w:type="dxa"/>
          </w:tcPr>
          <w:p w:rsidR="003C2FE4" w:rsidRPr="003C0647" w:rsidRDefault="003C2FE4" w:rsidP="004C1B41">
            <w:pPr>
              <w:pStyle w:val="enumlev1"/>
              <w:spacing w:before="20" w:after="20"/>
              <w:ind w:left="0" w:firstLine="0"/>
              <w:jc w:val="center"/>
              <w:rPr>
                <w:sz w:val="18"/>
                <w:szCs w:val="18"/>
              </w:rPr>
            </w:pPr>
          </w:p>
        </w:tc>
        <w:tc>
          <w:tcPr>
            <w:tcW w:w="1235" w:type="dxa"/>
          </w:tcPr>
          <w:p w:rsidR="003C2FE4" w:rsidRPr="003C0647" w:rsidRDefault="003C2FE4" w:rsidP="004C1B41">
            <w:pPr>
              <w:pStyle w:val="enumlev1"/>
              <w:spacing w:before="20" w:after="20"/>
              <w:ind w:left="0" w:firstLine="0"/>
              <w:jc w:val="center"/>
              <w:rPr>
                <w:sz w:val="18"/>
                <w:szCs w:val="18"/>
              </w:rPr>
            </w:pP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jc w:val="center"/>
              <w:rPr>
                <w:sz w:val="18"/>
                <w:szCs w:val="18"/>
              </w:rPr>
            </w:pPr>
          </w:p>
        </w:tc>
        <w:tc>
          <w:tcPr>
            <w:tcW w:w="1587" w:type="dxa"/>
          </w:tcPr>
          <w:p w:rsidR="003C2FE4" w:rsidRPr="003C0647" w:rsidRDefault="003C2FE4" w:rsidP="004C1B41">
            <w:pPr>
              <w:pStyle w:val="enumlev1"/>
              <w:spacing w:before="20" w:after="20"/>
              <w:ind w:left="0" w:firstLine="0"/>
              <w:jc w:val="center"/>
              <w:rPr>
                <w:sz w:val="18"/>
                <w:szCs w:val="18"/>
              </w:rPr>
            </w:pPr>
          </w:p>
        </w:tc>
        <w:tc>
          <w:tcPr>
            <w:tcW w:w="571" w:type="dxa"/>
          </w:tcPr>
          <w:p w:rsidR="003C2FE4" w:rsidRPr="003C0647" w:rsidRDefault="003C2FE4" w:rsidP="004C1B41">
            <w:pPr>
              <w:pStyle w:val="enumlev1"/>
              <w:spacing w:before="20" w:after="20"/>
              <w:ind w:left="0" w:firstLine="0"/>
              <w:jc w:val="center"/>
              <w:rPr>
                <w:sz w:val="18"/>
                <w:szCs w:val="18"/>
              </w:rPr>
            </w:pPr>
          </w:p>
        </w:tc>
        <w:tc>
          <w:tcPr>
            <w:tcW w:w="1235" w:type="dxa"/>
          </w:tcPr>
          <w:p w:rsidR="003C2FE4" w:rsidRPr="003C0647" w:rsidRDefault="003C2FE4" w:rsidP="004C1B41">
            <w:pPr>
              <w:pStyle w:val="enumlev1"/>
              <w:spacing w:before="20" w:after="20"/>
              <w:ind w:left="0" w:firstLine="0"/>
              <w:jc w:val="center"/>
              <w:rPr>
                <w:sz w:val="18"/>
                <w:szCs w:val="18"/>
              </w:rPr>
            </w:pP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rPr>
                <w:sz w:val="18"/>
                <w:szCs w:val="18"/>
              </w:rPr>
            </w:pPr>
            <w:r w:rsidRPr="003C0647">
              <w:rPr>
                <w:sz w:val="18"/>
                <w:szCs w:val="18"/>
              </w:rPr>
              <w:t>Asia-Pacífico</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rPr>
                <w:sz w:val="18"/>
                <w:szCs w:val="18"/>
              </w:rPr>
            </w:pPr>
            <w:r w:rsidRPr="003C0647">
              <w:rPr>
                <w:sz w:val="18"/>
                <w:szCs w:val="18"/>
              </w:rPr>
              <w:t>CEI</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r>
      <w:tr w:rsidR="003C2FE4" w:rsidRPr="003C0647" w:rsidTr="004C1B41">
        <w:tc>
          <w:tcPr>
            <w:tcW w:w="1458" w:type="dxa"/>
          </w:tcPr>
          <w:p w:rsidR="003C2FE4" w:rsidRPr="003C0647" w:rsidRDefault="003C2FE4" w:rsidP="004C1B41">
            <w:pPr>
              <w:pStyle w:val="enumlev1"/>
              <w:spacing w:before="20" w:after="20"/>
              <w:ind w:left="0" w:firstLine="0"/>
              <w:jc w:val="center"/>
              <w:rPr>
                <w:sz w:val="18"/>
                <w:szCs w:val="18"/>
              </w:rPr>
            </w:pPr>
            <w:r w:rsidRPr="003C0647">
              <w:rPr>
                <w:sz w:val="18"/>
                <w:szCs w:val="18"/>
              </w:rPr>
              <w:t>1</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Corea (Rep. de)</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8,84</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1</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jc w:val="center"/>
              <w:rPr>
                <w:sz w:val="18"/>
                <w:szCs w:val="18"/>
              </w:rPr>
            </w:pPr>
            <w:r w:rsidRPr="003C0647">
              <w:rPr>
                <w:sz w:val="18"/>
                <w:szCs w:val="18"/>
              </w:rPr>
              <w:t>1</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Belarús</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7,26</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31</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2</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Hong Kong, China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8,46</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6</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2</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Federación de Rusia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6,95</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43</w:t>
            </w:r>
          </w:p>
        </w:tc>
      </w:tr>
      <w:tr w:rsidR="003C2FE4" w:rsidRPr="003C0647" w:rsidTr="004C1B41">
        <w:tc>
          <w:tcPr>
            <w:tcW w:w="1458" w:type="dxa"/>
          </w:tcPr>
          <w:p w:rsidR="003C2FE4" w:rsidRPr="003C0647" w:rsidRDefault="003C2FE4" w:rsidP="004C1B41">
            <w:pPr>
              <w:pStyle w:val="enumlev1"/>
              <w:spacing w:before="20" w:after="20"/>
              <w:ind w:left="0" w:firstLine="0"/>
              <w:jc w:val="center"/>
              <w:rPr>
                <w:sz w:val="18"/>
                <w:szCs w:val="18"/>
              </w:rPr>
            </w:pPr>
            <w:r w:rsidRPr="003C0647">
              <w:rPr>
                <w:sz w:val="18"/>
                <w:szCs w:val="18"/>
              </w:rPr>
              <w:lastRenderedPageBreak/>
              <w:t>3</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Japón</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8,37</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10</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jc w:val="center"/>
              <w:rPr>
                <w:sz w:val="18"/>
                <w:szCs w:val="18"/>
              </w:rPr>
            </w:pPr>
            <w:r w:rsidRPr="003C0647">
              <w:rPr>
                <w:sz w:val="18"/>
                <w:szCs w:val="18"/>
              </w:rPr>
              <w:t>3</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Kazajstán</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6,57</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52</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4</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Nueva Zelandia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8,29</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13</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4</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Azerbaiyán</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6,28</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58</w:t>
            </w:r>
          </w:p>
        </w:tc>
      </w:tr>
      <w:tr w:rsidR="003C2FE4" w:rsidRPr="003C0647" w:rsidTr="004C1B41">
        <w:tc>
          <w:tcPr>
            <w:tcW w:w="1458" w:type="dxa"/>
          </w:tcPr>
          <w:p w:rsidR="003C2FE4" w:rsidRPr="003C0647" w:rsidRDefault="003C2FE4" w:rsidP="004C1B41">
            <w:pPr>
              <w:pStyle w:val="enumlev1"/>
              <w:spacing w:before="20" w:after="20"/>
              <w:ind w:left="0" w:firstLine="0"/>
              <w:jc w:val="center"/>
              <w:rPr>
                <w:sz w:val="18"/>
                <w:szCs w:val="18"/>
              </w:rPr>
            </w:pPr>
            <w:r w:rsidRPr="003C0647">
              <w:rPr>
                <w:sz w:val="18"/>
                <w:szCs w:val="18"/>
              </w:rPr>
              <w:t>5</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Australia</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8,19</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14</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jc w:val="center"/>
              <w:rPr>
                <w:sz w:val="18"/>
                <w:szCs w:val="18"/>
              </w:rPr>
            </w:pPr>
            <w:r w:rsidRPr="003C0647">
              <w:rPr>
                <w:sz w:val="18"/>
                <w:szCs w:val="18"/>
              </w:rPr>
              <w:t>5</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Moldova</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5,75</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68</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r>
      <w:tr w:rsidR="003C2FE4" w:rsidRPr="003C0647" w:rsidTr="004C1B41">
        <w:tc>
          <w:tcPr>
            <w:tcW w:w="1458" w:type="dxa"/>
          </w:tcPr>
          <w:p w:rsidR="003C2FE4" w:rsidRPr="003C0647" w:rsidRDefault="003C2FE4" w:rsidP="004C1B41">
            <w:pPr>
              <w:pStyle w:val="enumlev1"/>
              <w:spacing w:before="20" w:after="20"/>
              <w:ind w:left="0" w:firstLine="0"/>
              <w:jc w:val="center"/>
              <w:rPr>
                <w:sz w:val="18"/>
                <w:szCs w:val="18"/>
              </w:rPr>
            </w:pPr>
            <w:r w:rsidRPr="003C0647">
              <w:rPr>
                <w:sz w:val="18"/>
                <w:szCs w:val="18"/>
              </w:rPr>
              <w:t>30</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Bangladesh</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2,35</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145</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jc w:val="center"/>
              <w:rPr>
                <w:sz w:val="18"/>
                <w:szCs w:val="18"/>
              </w:rPr>
            </w:pPr>
            <w:r w:rsidRPr="003C0647">
              <w:rPr>
                <w:sz w:val="18"/>
                <w:szCs w:val="18"/>
              </w:rPr>
              <w:t>6</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Armenia</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5,60</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71</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31</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Pakistán</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2,35</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146</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7</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Georgia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5,59</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72</w:t>
            </w:r>
          </w:p>
        </w:tc>
      </w:tr>
      <w:tr w:rsidR="003C2FE4" w:rsidRPr="003C0647" w:rsidTr="004C1B41">
        <w:tc>
          <w:tcPr>
            <w:tcW w:w="1458" w:type="dxa"/>
          </w:tcPr>
          <w:p w:rsidR="003C2FE4" w:rsidRPr="003C0647" w:rsidRDefault="003C2FE4" w:rsidP="004C1B41">
            <w:pPr>
              <w:pStyle w:val="enumlev1"/>
              <w:spacing w:before="20" w:after="20"/>
              <w:ind w:left="0" w:firstLine="0"/>
              <w:jc w:val="center"/>
              <w:rPr>
                <w:sz w:val="18"/>
                <w:szCs w:val="18"/>
              </w:rPr>
            </w:pPr>
            <w:r w:rsidRPr="003C0647">
              <w:rPr>
                <w:sz w:val="18"/>
                <w:szCs w:val="18"/>
              </w:rPr>
              <w:t>32</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Kiribati</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2,06</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152</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jc w:val="center"/>
              <w:rPr>
                <w:sz w:val="18"/>
                <w:szCs w:val="18"/>
              </w:rPr>
            </w:pPr>
            <w:r w:rsidRPr="003C0647">
              <w:rPr>
                <w:sz w:val="18"/>
                <w:szCs w:val="18"/>
              </w:rPr>
              <w:t>8</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Ucrania</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5,33</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76</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33</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Salomón (Islas)</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2,04</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153</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9</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Uzbekistán</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4,05</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110</w:t>
            </w:r>
          </w:p>
        </w:tc>
      </w:tr>
      <w:tr w:rsidR="003C2FE4" w:rsidRPr="003C0647" w:rsidTr="004C1B41">
        <w:tc>
          <w:tcPr>
            <w:tcW w:w="1458" w:type="dxa"/>
          </w:tcPr>
          <w:p w:rsidR="003C2FE4" w:rsidRPr="003C0647" w:rsidRDefault="003C2FE4" w:rsidP="004C1B41">
            <w:pPr>
              <w:pStyle w:val="enumlev1"/>
              <w:spacing w:before="20" w:after="20"/>
              <w:ind w:left="0" w:firstLine="0"/>
              <w:jc w:val="center"/>
              <w:rPr>
                <w:sz w:val="18"/>
                <w:szCs w:val="18"/>
              </w:rPr>
            </w:pPr>
            <w:r w:rsidRPr="003C0647">
              <w:rPr>
                <w:sz w:val="18"/>
                <w:szCs w:val="18"/>
              </w:rPr>
              <w:t>34</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Afganistán</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1,73</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164</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jc w:val="center"/>
              <w:rPr>
                <w:sz w:val="18"/>
                <w:szCs w:val="18"/>
              </w:rPr>
            </w:pPr>
            <w:r w:rsidRPr="003C0647">
              <w:rPr>
                <w:sz w:val="18"/>
                <w:szCs w:val="18"/>
              </w:rPr>
              <w:t>10</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Kirguistán</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3,99</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113</w:t>
            </w:r>
          </w:p>
        </w:tc>
      </w:tr>
      <w:tr w:rsidR="003C2FE4" w:rsidRPr="003C0647" w:rsidTr="004C1B41">
        <w:trPr>
          <w:trHeight w:val="170"/>
        </w:trPr>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r>
      <w:tr w:rsidR="003C2FE4" w:rsidRPr="003C0647" w:rsidTr="004C1B41">
        <w:tc>
          <w:tcPr>
            <w:tcW w:w="1458" w:type="dxa"/>
          </w:tcPr>
          <w:p w:rsidR="003C2FE4" w:rsidRPr="003C0647" w:rsidRDefault="003C2FE4" w:rsidP="003C2FE4">
            <w:pPr>
              <w:pStyle w:val="enumlev1"/>
              <w:keepNext/>
              <w:keepLines/>
              <w:spacing w:before="20" w:after="20"/>
              <w:ind w:left="0" w:firstLine="0"/>
              <w:rPr>
                <w:sz w:val="18"/>
                <w:szCs w:val="18"/>
              </w:rPr>
            </w:pPr>
            <w:r w:rsidRPr="003C0647">
              <w:rPr>
                <w:sz w:val="18"/>
                <w:szCs w:val="18"/>
              </w:rPr>
              <w:t>Américas</w:t>
            </w:r>
          </w:p>
        </w:tc>
        <w:tc>
          <w:tcPr>
            <w:tcW w:w="1587" w:type="dxa"/>
          </w:tcPr>
          <w:p w:rsidR="003C2FE4" w:rsidRPr="003C0647" w:rsidRDefault="003C2FE4" w:rsidP="003C2FE4">
            <w:pPr>
              <w:pStyle w:val="enumlev1"/>
              <w:keepNext/>
              <w:keepLines/>
              <w:spacing w:before="20" w:after="20"/>
              <w:ind w:left="0" w:firstLine="0"/>
              <w:jc w:val="center"/>
              <w:rPr>
                <w:sz w:val="18"/>
                <w:szCs w:val="18"/>
              </w:rPr>
            </w:pPr>
          </w:p>
        </w:tc>
        <w:tc>
          <w:tcPr>
            <w:tcW w:w="571" w:type="dxa"/>
          </w:tcPr>
          <w:p w:rsidR="003C2FE4" w:rsidRPr="003C0647" w:rsidRDefault="003C2FE4" w:rsidP="003C2FE4">
            <w:pPr>
              <w:pStyle w:val="enumlev1"/>
              <w:keepNext/>
              <w:keepLines/>
              <w:spacing w:before="20" w:after="20"/>
              <w:ind w:left="0" w:firstLine="0"/>
              <w:jc w:val="center"/>
              <w:rPr>
                <w:sz w:val="18"/>
                <w:szCs w:val="18"/>
              </w:rPr>
            </w:pPr>
          </w:p>
        </w:tc>
        <w:tc>
          <w:tcPr>
            <w:tcW w:w="1235" w:type="dxa"/>
          </w:tcPr>
          <w:p w:rsidR="003C2FE4" w:rsidRPr="003C0647" w:rsidRDefault="003C2FE4" w:rsidP="003C2FE4">
            <w:pPr>
              <w:pStyle w:val="enumlev1"/>
              <w:keepNext/>
              <w:keepLines/>
              <w:spacing w:before="20" w:after="20"/>
              <w:ind w:left="0" w:firstLine="0"/>
              <w:jc w:val="center"/>
              <w:rPr>
                <w:sz w:val="18"/>
                <w:szCs w:val="18"/>
              </w:rPr>
            </w:pPr>
          </w:p>
        </w:tc>
        <w:tc>
          <w:tcPr>
            <w:tcW w:w="0" w:type="auto"/>
            <w:shd w:val="clear" w:color="auto" w:fill="FFFFFF" w:themeFill="background1"/>
          </w:tcPr>
          <w:p w:rsidR="003C2FE4" w:rsidRPr="003C0647" w:rsidRDefault="003C2FE4" w:rsidP="003C2FE4">
            <w:pPr>
              <w:pStyle w:val="enumlev1"/>
              <w:keepNext/>
              <w:keepLines/>
              <w:spacing w:before="20" w:after="20"/>
              <w:ind w:left="0" w:firstLine="0"/>
              <w:rPr>
                <w:sz w:val="18"/>
                <w:szCs w:val="18"/>
              </w:rPr>
            </w:pPr>
          </w:p>
        </w:tc>
        <w:tc>
          <w:tcPr>
            <w:tcW w:w="1456" w:type="dxa"/>
          </w:tcPr>
          <w:p w:rsidR="003C2FE4" w:rsidRPr="003C0647" w:rsidRDefault="003C2FE4" w:rsidP="003C2FE4">
            <w:pPr>
              <w:pStyle w:val="enumlev1"/>
              <w:keepNext/>
              <w:keepLines/>
              <w:spacing w:before="20" w:after="20"/>
              <w:ind w:left="0" w:firstLine="0"/>
              <w:rPr>
                <w:sz w:val="18"/>
                <w:szCs w:val="18"/>
              </w:rPr>
            </w:pPr>
            <w:r w:rsidRPr="003C0647">
              <w:rPr>
                <w:sz w:val="18"/>
                <w:szCs w:val="18"/>
              </w:rPr>
              <w:t>África</w:t>
            </w:r>
          </w:p>
        </w:tc>
        <w:tc>
          <w:tcPr>
            <w:tcW w:w="1587" w:type="dxa"/>
          </w:tcPr>
          <w:p w:rsidR="003C2FE4" w:rsidRPr="003C0647" w:rsidRDefault="003C2FE4" w:rsidP="003C2FE4">
            <w:pPr>
              <w:pStyle w:val="enumlev1"/>
              <w:keepNext/>
              <w:keepLines/>
              <w:spacing w:before="20" w:after="20"/>
              <w:ind w:left="0" w:firstLine="0"/>
              <w:jc w:val="center"/>
              <w:rPr>
                <w:sz w:val="18"/>
                <w:szCs w:val="18"/>
              </w:rPr>
            </w:pPr>
          </w:p>
        </w:tc>
        <w:tc>
          <w:tcPr>
            <w:tcW w:w="571" w:type="dxa"/>
          </w:tcPr>
          <w:p w:rsidR="003C2FE4" w:rsidRPr="003C0647" w:rsidRDefault="003C2FE4" w:rsidP="003C2FE4">
            <w:pPr>
              <w:pStyle w:val="enumlev1"/>
              <w:keepNext/>
              <w:keepLines/>
              <w:spacing w:before="20" w:after="20"/>
              <w:ind w:left="0" w:firstLine="0"/>
              <w:jc w:val="center"/>
              <w:rPr>
                <w:sz w:val="18"/>
                <w:szCs w:val="18"/>
              </w:rPr>
            </w:pPr>
          </w:p>
        </w:tc>
        <w:tc>
          <w:tcPr>
            <w:tcW w:w="1235" w:type="dxa"/>
          </w:tcPr>
          <w:p w:rsidR="003C2FE4" w:rsidRPr="003C0647" w:rsidRDefault="003C2FE4" w:rsidP="003C2FE4">
            <w:pPr>
              <w:pStyle w:val="enumlev1"/>
              <w:keepNext/>
              <w:keepLines/>
              <w:spacing w:before="20" w:after="20"/>
              <w:ind w:left="0" w:firstLine="0"/>
              <w:jc w:val="center"/>
              <w:rPr>
                <w:sz w:val="18"/>
                <w:szCs w:val="18"/>
              </w:rPr>
            </w:pPr>
          </w:p>
        </w:tc>
      </w:tr>
      <w:tr w:rsidR="003C2FE4" w:rsidRPr="003C0647" w:rsidTr="004C1B41">
        <w:tc>
          <w:tcPr>
            <w:tcW w:w="1458" w:type="dxa"/>
            <w:shd w:val="clear" w:color="auto" w:fill="BDD6EE" w:themeFill="accent1" w:themeFillTint="66"/>
          </w:tcPr>
          <w:p w:rsidR="003C2FE4" w:rsidRPr="003C0647" w:rsidRDefault="003C2FE4" w:rsidP="003C2FE4">
            <w:pPr>
              <w:pStyle w:val="enumlev1"/>
              <w:keepNext/>
              <w:keepLines/>
              <w:spacing w:before="20" w:after="20"/>
              <w:ind w:left="0" w:firstLine="0"/>
              <w:jc w:val="center"/>
              <w:rPr>
                <w:sz w:val="18"/>
                <w:szCs w:val="18"/>
              </w:rPr>
            </w:pPr>
            <w:r w:rsidRPr="003C0647">
              <w:rPr>
                <w:sz w:val="18"/>
                <w:szCs w:val="18"/>
              </w:rPr>
              <w:t>1</w:t>
            </w:r>
          </w:p>
        </w:tc>
        <w:tc>
          <w:tcPr>
            <w:tcW w:w="1587" w:type="dxa"/>
            <w:shd w:val="clear" w:color="auto" w:fill="BDD6EE" w:themeFill="accent1" w:themeFillTint="66"/>
          </w:tcPr>
          <w:p w:rsidR="003C2FE4" w:rsidRPr="003C0647" w:rsidRDefault="003C2FE4" w:rsidP="003C2FE4">
            <w:pPr>
              <w:pStyle w:val="enumlev1"/>
              <w:keepNext/>
              <w:keepLines/>
              <w:spacing w:before="20" w:after="20"/>
              <w:ind w:left="0" w:firstLine="0"/>
              <w:jc w:val="center"/>
              <w:rPr>
                <w:sz w:val="18"/>
                <w:szCs w:val="18"/>
              </w:rPr>
            </w:pPr>
            <w:r w:rsidRPr="003C0647">
              <w:rPr>
                <w:sz w:val="18"/>
                <w:szCs w:val="18"/>
              </w:rPr>
              <w:t>Estados Unidos</w:t>
            </w:r>
          </w:p>
        </w:tc>
        <w:tc>
          <w:tcPr>
            <w:tcW w:w="571" w:type="dxa"/>
            <w:shd w:val="clear" w:color="auto" w:fill="BDD6EE" w:themeFill="accent1" w:themeFillTint="66"/>
          </w:tcPr>
          <w:p w:rsidR="003C2FE4" w:rsidRPr="003C0647" w:rsidRDefault="003C2FE4" w:rsidP="003C2FE4">
            <w:pPr>
              <w:pStyle w:val="enumlev1"/>
              <w:keepNext/>
              <w:keepLines/>
              <w:spacing w:before="20" w:after="20"/>
              <w:ind w:left="0" w:firstLine="0"/>
              <w:jc w:val="center"/>
              <w:rPr>
                <w:sz w:val="18"/>
                <w:szCs w:val="18"/>
              </w:rPr>
            </w:pPr>
            <w:r w:rsidRPr="003C0647">
              <w:rPr>
                <w:sz w:val="18"/>
                <w:szCs w:val="18"/>
              </w:rPr>
              <w:t>8,17</w:t>
            </w:r>
          </w:p>
        </w:tc>
        <w:tc>
          <w:tcPr>
            <w:tcW w:w="1235" w:type="dxa"/>
            <w:shd w:val="clear" w:color="auto" w:fill="BDD6EE" w:themeFill="accent1" w:themeFillTint="66"/>
          </w:tcPr>
          <w:p w:rsidR="003C2FE4" w:rsidRPr="003C0647" w:rsidRDefault="003C2FE4" w:rsidP="003C2FE4">
            <w:pPr>
              <w:pStyle w:val="enumlev1"/>
              <w:keepNext/>
              <w:keepLines/>
              <w:spacing w:before="20" w:after="20"/>
              <w:ind w:left="0" w:firstLine="0"/>
              <w:jc w:val="center"/>
              <w:rPr>
                <w:sz w:val="18"/>
                <w:szCs w:val="18"/>
              </w:rPr>
            </w:pPr>
            <w:r w:rsidRPr="003C0647">
              <w:rPr>
                <w:sz w:val="18"/>
                <w:szCs w:val="18"/>
              </w:rPr>
              <w:t>15</w:t>
            </w:r>
          </w:p>
        </w:tc>
        <w:tc>
          <w:tcPr>
            <w:tcW w:w="0" w:type="auto"/>
            <w:shd w:val="clear" w:color="auto" w:fill="FFFFFF" w:themeFill="background1"/>
          </w:tcPr>
          <w:p w:rsidR="003C2FE4" w:rsidRPr="003C0647" w:rsidRDefault="003C2FE4" w:rsidP="003C2FE4">
            <w:pPr>
              <w:pStyle w:val="enumlev1"/>
              <w:keepNext/>
              <w:keepLines/>
              <w:spacing w:before="20" w:after="20"/>
              <w:ind w:left="0" w:firstLine="0"/>
              <w:rPr>
                <w:sz w:val="18"/>
                <w:szCs w:val="18"/>
              </w:rPr>
            </w:pPr>
          </w:p>
        </w:tc>
        <w:tc>
          <w:tcPr>
            <w:tcW w:w="1456" w:type="dxa"/>
            <w:shd w:val="clear" w:color="auto" w:fill="BDD6EE" w:themeFill="accent1" w:themeFillTint="66"/>
          </w:tcPr>
          <w:p w:rsidR="003C2FE4" w:rsidRPr="003C0647" w:rsidRDefault="003C2FE4" w:rsidP="003C2FE4">
            <w:pPr>
              <w:pStyle w:val="enumlev1"/>
              <w:keepNext/>
              <w:keepLines/>
              <w:spacing w:before="20" w:after="20"/>
              <w:ind w:left="0" w:firstLine="0"/>
              <w:jc w:val="center"/>
              <w:rPr>
                <w:sz w:val="18"/>
                <w:szCs w:val="18"/>
              </w:rPr>
            </w:pPr>
            <w:r w:rsidRPr="003C0647">
              <w:rPr>
                <w:sz w:val="18"/>
                <w:szCs w:val="18"/>
              </w:rPr>
              <w:t>1</w:t>
            </w:r>
          </w:p>
        </w:tc>
        <w:tc>
          <w:tcPr>
            <w:tcW w:w="1587" w:type="dxa"/>
            <w:shd w:val="clear" w:color="auto" w:fill="BDD6EE" w:themeFill="accent1" w:themeFillTint="66"/>
          </w:tcPr>
          <w:p w:rsidR="003C2FE4" w:rsidRPr="003C0647" w:rsidRDefault="003C2FE4" w:rsidP="003C2FE4">
            <w:pPr>
              <w:pStyle w:val="enumlev1"/>
              <w:keepNext/>
              <w:keepLines/>
              <w:spacing w:before="20" w:after="20"/>
              <w:ind w:left="0" w:firstLine="0"/>
              <w:jc w:val="center"/>
              <w:rPr>
                <w:sz w:val="18"/>
                <w:szCs w:val="18"/>
              </w:rPr>
            </w:pPr>
            <w:r w:rsidRPr="003C0647">
              <w:rPr>
                <w:sz w:val="18"/>
                <w:szCs w:val="18"/>
              </w:rPr>
              <w:t>Mauricio</w:t>
            </w:r>
          </w:p>
        </w:tc>
        <w:tc>
          <w:tcPr>
            <w:tcW w:w="571" w:type="dxa"/>
            <w:shd w:val="clear" w:color="auto" w:fill="BDD6EE" w:themeFill="accent1" w:themeFillTint="66"/>
          </w:tcPr>
          <w:p w:rsidR="003C2FE4" w:rsidRPr="003C0647" w:rsidRDefault="003C2FE4" w:rsidP="003C2FE4">
            <w:pPr>
              <w:pStyle w:val="enumlev1"/>
              <w:keepNext/>
              <w:keepLines/>
              <w:spacing w:before="20" w:after="20"/>
              <w:ind w:left="0" w:firstLine="0"/>
              <w:jc w:val="center"/>
              <w:rPr>
                <w:sz w:val="18"/>
                <w:szCs w:val="18"/>
              </w:rPr>
            </w:pPr>
            <w:r w:rsidRPr="003C0647">
              <w:rPr>
                <w:sz w:val="18"/>
                <w:szCs w:val="18"/>
              </w:rPr>
              <w:t>5,55</w:t>
            </w:r>
          </w:p>
        </w:tc>
        <w:tc>
          <w:tcPr>
            <w:tcW w:w="1235" w:type="dxa"/>
            <w:shd w:val="clear" w:color="auto" w:fill="BDD6EE" w:themeFill="accent1" w:themeFillTint="66"/>
          </w:tcPr>
          <w:p w:rsidR="003C2FE4" w:rsidRPr="003C0647" w:rsidRDefault="003C2FE4" w:rsidP="003C2FE4">
            <w:pPr>
              <w:pStyle w:val="enumlev1"/>
              <w:keepNext/>
              <w:keepLines/>
              <w:spacing w:before="20" w:after="20"/>
              <w:ind w:left="0" w:firstLine="0"/>
              <w:jc w:val="center"/>
              <w:rPr>
                <w:sz w:val="18"/>
                <w:szCs w:val="18"/>
              </w:rPr>
            </w:pPr>
            <w:r w:rsidRPr="003C0647">
              <w:rPr>
                <w:sz w:val="18"/>
                <w:szCs w:val="18"/>
              </w:rPr>
              <w:t>73</w:t>
            </w:r>
          </w:p>
        </w:tc>
      </w:tr>
      <w:tr w:rsidR="003C2FE4" w:rsidRPr="003C0647" w:rsidTr="004C1B41">
        <w:tc>
          <w:tcPr>
            <w:tcW w:w="1458"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2</w:t>
            </w:r>
          </w:p>
        </w:tc>
        <w:tc>
          <w:tcPr>
            <w:tcW w:w="1587"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Canadá</w:t>
            </w:r>
          </w:p>
        </w:tc>
        <w:tc>
          <w:tcPr>
            <w:tcW w:w="571"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7,62</w:t>
            </w:r>
          </w:p>
        </w:tc>
        <w:tc>
          <w:tcPr>
            <w:tcW w:w="1235"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25</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2</w:t>
            </w:r>
          </w:p>
        </w:tc>
        <w:tc>
          <w:tcPr>
            <w:tcW w:w="1587"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Seychelles</w:t>
            </w:r>
          </w:p>
        </w:tc>
        <w:tc>
          <w:tcPr>
            <w:tcW w:w="571"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5,03</w:t>
            </w:r>
          </w:p>
        </w:tc>
        <w:tc>
          <w:tcPr>
            <w:tcW w:w="1235"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87</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Saint Kitts y Nevis</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7,21</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34</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Sudafricana (Rep.)</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5,03</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88</w:t>
            </w:r>
          </w:p>
        </w:tc>
      </w:tr>
      <w:tr w:rsidR="003C2FE4" w:rsidRPr="003C0647" w:rsidTr="004C1B41">
        <w:tc>
          <w:tcPr>
            <w:tcW w:w="1458"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4</w:t>
            </w:r>
          </w:p>
        </w:tc>
        <w:tc>
          <w:tcPr>
            <w:tcW w:w="1587"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Barbados</w:t>
            </w:r>
          </w:p>
        </w:tc>
        <w:tc>
          <w:tcPr>
            <w:tcW w:w="571"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7,18</w:t>
            </w:r>
          </w:p>
        </w:tc>
        <w:tc>
          <w:tcPr>
            <w:tcW w:w="1235"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35</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4</w:t>
            </w:r>
          </w:p>
        </w:tc>
        <w:tc>
          <w:tcPr>
            <w:tcW w:w="1587"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Cabo Verde</w:t>
            </w:r>
          </w:p>
        </w:tc>
        <w:tc>
          <w:tcPr>
            <w:tcW w:w="571"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4,60</w:t>
            </w:r>
          </w:p>
        </w:tc>
        <w:tc>
          <w:tcPr>
            <w:tcW w:w="1235"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97</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5</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Uruguay</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6,79</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47</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5</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Botswana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4,17</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108</w:t>
            </w:r>
          </w:p>
        </w:tc>
      </w:tr>
      <w:tr w:rsidR="003C2FE4" w:rsidRPr="003C0647" w:rsidTr="004C1B41">
        <w:tc>
          <w:tcPr>
            <w:tcW w:w="1458"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p>
        </w:tc>
        <w:tc>
          <w:tcPr>
            <w:tcW w:w="1587"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p>
        </w:tc>
        <w:tc>
          <w:tcPr>
            <w:tcW w:w="571"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p>
        </w:tc>
        <w:tc>
          <w:tcPr>
            <w:tcW w:w="1235"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p>
        </w:tc>
        <w:tc>
          <w:tcPr>
            <w:tcW w:w="1587"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p>
        </w:tc>
        <w:tc>
          <w:tcPr>
            <w:tcW w:w="571"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p>
        </w:tc>
        <w:tc>
          <w:tcPr>
            <w:tcW w:w="1235"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30</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Guyana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3,52</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121</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35</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Burundi</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1,42</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171</w:t>
            </w:r>
          </w:p>
        </w:tc>
      </w:tr>
      <w:tr w:rsidR="003C2FE4" w:rsidRPr="003C0647" w:rsidTr="004C1B41">
        <w:tc>
          <w:tcPr>
            <w:tcW w:w="1458"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31</w:t>
            </w:r>
          </w:p>
        </w:tc>
        <w:tc>
          <w:tcPr>
            <w:tcW w:w="1587"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Guatemala</w:t>
            </w:r>
          </w:p>
        </w:tc>
        <w:tc>
          <w:tcPr>
            <w:tcW w:w="571"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3,20</w:t>
            </w:r>
          </w:p>
        </w:tc>
        <w:tc>
          <w:tcPr>
            <w:tcW w:w="1235"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123</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36</w:t>
            </w:r>
          </w:p>
        </w:tc>
        <w:tc>
          <w:tcPr>
            <w:tcW w:w="1587"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Sudán del Sur</w:t>
            </w:r>
          </w:p>
        </w:tc>
        <w:tc>
          <w:tcPr>
            <w:tcW w:w="571"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1,42</w:t>
            </w:r>
          </w:p>
        </w:tc>
        <w:tc>
          <w:tcPr>
            <w:tcW w:w="1235"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172</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32</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Honduras</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3,09</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126</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37</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Guinea-Bissau</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1,38</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173</w:t>
            </w:r>
          </w:p>
        </w:tc>
      </w:tr>
      <w:tr w:rsidR="003C2FE4" w:rsidRPr="003C0647" w:rsidTr="004C1B41">
        <w:tc>
          <w:tcPr>
            <w:tcW w:w="1458"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33</w:t>
            </w:r>
          </w:p>
        </w:tc>
        <w:tc>
          <w:tcPr>
            <w:tcW w:w="1587"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Nicaragua</w:t>
            </w:r>
          </w:p>
        </w:tc>
        <w:tc>
          <w:tcPr>
            <w:tcW w:w="571"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2,88</w:t>
            </w:r>
          </w:p>
        </w:tc>
        <w:tc>
          <w:tcPr>
            <w:tcW w:w="1235"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131</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38</w:t>
            </w:r>
          </w:p>
        </w:tc>
        <w:tc>
          <w:tcPr>
            <w:tcW w:w="1587"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Chad</w:t>
            </w:r>
          </w:p>
        </w:tc>
        <w:tc>
          <w:tcPr>
            <w:tcW w:w="571"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1,09</w:t>
            </w:r>
          </w:p>
        </w:tc>
        <w:tc>
          <w:tcPr>
            <w:tcW w:w="1235"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174</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34</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Cuba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2,73</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135</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39</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Níger</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1,07</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175</w:t>
            </w:r>
          </w:p>
        </w:tc>
      </w:tr>
    </w:tbl>
    <w:p w:rsidR="000A39FD" w:rsidRPr="007078A2" w:rsidRDefault="000A39FD" w:rsidP="003C0647">
      <w:pPr>
        <w:spacing w:before="0"/>
        <w:jc w:val="both"/>
        <w:rPr>
          <w:sz w:val="18"/>
          <w:szCs w:val="18"/>
          <w:lang w:val="es-ES_tradnl"/>
        </w:rPr>
      </w:pPr>
      <w:r w:rsidRPr="007078A2">
        <w:rPr>
          <w:sz w:val="18"/>
          <w:szCs w:val="18"/>
          <w:lang w:val="es-ES_tradnl"/>
        </w:rPr>
        <w:t>Origen: UIT</w:t>
      </w:r>
    </w:p>
    <w:p w:rsidR="000A39FD" w:rsidRPr="007078A2" w:rsidRDefault="000A39FD" w:rsidP="00FF14BC">
      <w:pPr>
        <w:jc w:val="both"/>
        <w:rPr>
          <w:lang w:val="es-ES_tradnl"/>
        </w:rPr>
      </w:pPr>
      <w:r w:rsidRPr="007078A2">
        <w:rPr>
          <w:lang w:val="es-ES_tradnl"/>
        </w:rPr>
        <w:t>Como puede observarse en los gráficos de Kiviat, en el año transcurrido entre el IDT de 2015 y el IDT de 2016 se observan escasas diferencias entre las clasificaciones medias entre las regiones con respecto a la mayoría de los indicadores del Índice. El mayor cambio observado en la mayoría de las regiones es la proporción de suscripciones activas a la banda ancha móvil, seguida por la proporción de usuarios de Internet y de los hogares con acceso a Internet. El aumento del número de hogares con computadora es más significativo en las regiones que obtienen una clasificación global media más elevada (Europa, la CEI las Américas) que en aquellas que obtienen una clasificación global media inferior (África, Asia y el Pacífico y los Estados Árabes), síntoma de la importancia relativa del crecimiento de las suscripciones móviles celulares en los países de bajos ingresos de estas últimas regiones. La mayoría de las regiones han mostrado aumentos relativamente modestos de las suscripciones a la banda ancha fija y una disminución de la</w:t>
      </w:r>
      <w:r w:rsidR="004F29F5">
        <w:rPr>
          <w:lang w:val="es-ES_tradnl"/>
        </w:rPr>
        <w:t>s</w:t>
      </w:r>
      <w:r w:rsidRPr="007078A2">
        <w:rPr>
          <w:lang w:val="es-ES_tradnl"/>
        </w:rPr>
        <w:t xml:space="preserve"> suscripciones a la telefonía fija.</w:t>
      </w:r>
    </w:p>
    <w:p w:rsidR="000A39FD" w:rsidRPr="007078A2" w:rsidRDefault="000A39FD" w:rsidP="00D8478B">
      <w:pPr>
        <w:pStyle w:val="FigureNotitle"/>
        <w:keepNext/>
      </w:pPr>
      <w:r w:rsidRPr="007078A2">
        <w:lastRenderedPageBreak/>
        <w:t>Gráfico 3.2: Valores medios del IDT para cada indicador, mundo y regiones, 2015-2016</w:t>
      </w:r>
    </w:p>
    <w:p w:rsidR="000A39FD" w:rsidRPr="007078A2" w:rsidRDefault="000A39FD" w:rsidP="00457697">
      <w:pPr>
        <w:keepNext/>
        <w:keepLines/>
        <w:jc w:val="both"/>
        <w:rPr>
          <w:lang w:val="es-ES_tradnl"/>
        </w:rPr>
      </w:pPr>
      <w:r w:rsidRPr="007078A2">
        <w:rPr>
          <w:noProof/>
          <w:lang w:eastAsia="zh-CN"/>
        </w:rPr>
        <w:drawing>
          <wp:anchor distT="0" distB="0" distL="114300" distR="114300" simplePos="0" relativeHeight="251659264" behindDoc="1" locked="0" layoutInCell="1" allowOverlap="1" wp14:anchorId="2D84C57F" wp14:editId="5999742C">
            <wp:simplePos x="0" y="0"/>
            <wp:positionH relativeFrom="margin">
              <wp:align>left</wp:align>
            </wp:positionH>
            <wp:positionV relativeFrom="paragraph">
              <wp:posOffset>5807643</wp:posOffset>
            </wp:positionV>
            <wp:extent cx="5696585" cy="2052955"/>
            <wp:effectExtent l="0" t="0" r="0" b="4445"/>
            <wp:wrapTight wrapText="bothSides">
              <wp:wrapPolygon edited="0">
                <wp:start x="0" y="0"/>
                <wp:lineTo x="0" y="21446"/>
                <wp:lineTo x="21525" y="21446"/>
                <wp:lineTo x="21525" y="0"/>
                <wp:lineTo x="0" y="0"/>
              </wp:wrapPolygon>
            </wp:wrapTight>
            <wp:docPr id="1073741999" name="Picture 107374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a:extLst>
                        <a:ext uri="{28A0092B-C50C-407E-A947-70E740481C1C}">
                          <a14:useLocalDpi xmlns:a14="http://schemas.microsoft.com/office/drawing/2010/main" val="0"/>
                        </a:ext>
                      </a:extLst>
                    </a:blip>
                    <a:srcRect l="11314" t="52666" r="11887" b="17719"/>
                    <a:stretch/>
                  </pic:blipFill>
                  <pic:spPr bwMode="auto">
                    <a:xfrm>
                      <a:off x="0" y="0"/>
                      <a:ext cx="5696585" cy="2052955"/>
                    </a:xfrm>
                    <a:prstGeom prst="rect">
                      <a:avLst/>
                    </a:prstGeom>
                    <a:noFill/>
                    <a:ln>
                      <a:noFill/>
                    </a:ln>
                    <a:extLst>
                      <a:ext uri="{53640926-AAD7-44D8-BBD7-CCE9431645EC}">
                        <a14:shadowObscured xmlns:a14="http://schemas.microsoft.com/office/drawing/2010/main"/>
                      </a:ext>
                    </a:extLst>
                  </pic:spPr>
                </pic:pic>
              </a:graphicData>
            </a:graphic>
          </wp:anchor>
        </w:drawing>
      </w:r>
      <w:r w:rsidRPr="007078A2">
        <w:rPr>
          <w:noProof/>
          <w:lang w:eastAsia="zh-CN"/>
        </w:rPr>
        <mc:AlternateContent>
          <mc:Choice Requires="wps">
            <w:drawing>
              <wp:anchor distT="0" distB="0" distL="114300" distR="114300" simplePos="0" relativeHeight="251663360" behindDoc="0" locked="0" layoutInCell="1" allowOverlap="1" wp14:anchorId="6F0AB06C" wp14:editId="081F036B">
                <wp:simplePos x="0" y="0"/>
                <wp:positionH relativeFrom="column">
                  <wp:posOffset>2729552</wp:posOffset>
                </wp:positionH>
                <wp:positionV relativeFrom="paragraph">
                  <wp:posOffset>5651036</wp:posOffset>
                </wp:positionV>
                <wp:extent cx="3166281" cy="2347415"/>
                <wp:effectExtent l="0" t="0" r="15240" b="15240"/>
                <wp:wrapNone/>
                <wp:docPr id="11" name="Oval 11"/>
                <wp:cNvGraphicFramePr/>
                <a:graphic xmlns:a="http://schemas.openxmlformats.org/drawingml/2006/main">
                  <a:graphicData uri="http://schemas.microsoft.com/office/word/2010/wordprocessingShape">
                    <wps:wsp>
                      <wps:cNvSpPr/>
                      <wps:spPr>
                        <a:xfrm>
                          <a:off x="0" y="0"/>
                          <a:ext cx="3166281" cy="234741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4AD703" id="Oval 11" o:spid="_x0000_s1026" style="position:absolute;margin-left:214.95pt;margin-top:444.95pt;width:249.3pt;height:18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" filled="f" strokecolor="#1f4d78 [1604]" strokeweight="1pt">
                <v:stroke joinstyle="miter"/>
              </v:oval>
            </w:pict>
          </mc:Fallback>
        </mc:AlternateContent>
      </w:r>
      <w:r w:rsidRPr="007078A2">
        <w:rPr>
          <w:noProof/>
          <w:lang w:eastAsia="zh-CN"/>
        </w:rPr>
        <w:drawing>
          <wp:inline distT="0" distB="0" distL="0" distR="0" wp14:anchorId="28D2CDCE" wp14:editId="3A2E1893">
            <wp:extent cx="5718810" cy="3810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8810" cy="3810635"/>
                    </a:xfrm>
                    <a:prstGeom prst="rect">
                      <a:avLst/>
                    </a:prstGeom>
                    <a:noFill/>
                  </pic:spPr>
                </pic:pic>
              </a:graphicData>
            </a:graphic>
          </wp:inline>
        </w:drawing>
      </w:r>
      <w:r w:rsidRPr="007078A2">
        <w:rPr>
          <w:noProof/>
          <w:lang w:eastAsia="zh-CN"/>
        </w:rPr>
        <w:drawing>
          <wp:inline distT="0" distB="0" distL="0" distR="0" wp14:anchorId="157196D9" wp14:editId="41B4B555">
            <wp:extent cx="5696892" cy="1890215"/>
            <wp:effectExtent l="0" t="0" r="0" b="0"/>
            <wp:docPr id="1073741998" name="Picture 107374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a:extLst>
                        <a:ext uri="{28A0092B-C50C-407E-A947-70E740481C1C}">
                          <a14:useLocalDpi xmlns:a14="http://schemas.microsoft.com/office/drawing/2010/main" val="0"/>
                        </a:ext>
                      </a:extLst>
                    </a:blip>
                    <a:srcRect l="11314" t="25602" r="11887" b="47137"/>
                    <a:stretch/>
                  </pic:blipFill>
                  <pic:spPr bwMode="auto">
                    <a:xfrm>
                      <a:off x="0" y="0"/>
                      <a:ext cx="5715580" cy="1896416"/>
                    </a:xfrm>
                    <a:prstGeom prst="rect">
                      <a:avLst/>
                    </a:prstGeom>
                    <a:noFill/>
                    <a:ln>
                      <a:noFill/>
                    </a:ln>
                    <a:extLst>
                      <a:ext uri="{53640926-AAD7-44D8-BBD7-CCE9431645EC}">
                        <a14:shadowObscured xmlns:a14="http://schemas.microsoft.com/office/drawing/2010/main"/>
                      </a:ext>
                    </a:extLst>
                  </pic:spPr>
                </pic:pic>
              </a:graphicData>
            </a:graphic>
          </wp:inline>
        </w:drawing>
      </w:r>
    </w:p>
    <w:p w:rsidR="00457697" w:rsidRPr="007078A2" w:rsidRDefault="00457697" w:rsidP="00DA08B1">
      <w:pPr>
        <w:spacing w:before="0"/>
        <w:rPr>
          <w:b/>
          <w:bCs/>
          <w:sz w:val="18"/>
          <w:szCs w:val="18"/>
          <w:lang w:val="es-ES_tradnl"/>
        </w:rPr>
      </w:pPr>
      <w:r w:rsidRPr="007078A2">
        <w:rPr>
          <w:b/>
          <w:bCs/>
          <w:sz w:val="18"/>
          <w:szCs w:val="18"/>
          <w:lang w:val="es-ES_tradnl"/>
        </w:rPr>
        <w:t>Leyenda del Gráfico 3.2:</w:t>
      </w:r>
    </w:p>
    <w:p w:rsidR="009A30C4" w:rsidRPr="007078A2" w:rsidRDefault="000A39FD" w:rsidP="00DA08B1">
      <w:pPr>
        <w:spacing w:before="0"/>
        <w:jc w:val="both"/>
        <w:rPr>
          <w:sz w:val="18"/>
          <w:szCs w:val="18"/>
          <w:lang w:val="es-ES_tradnl"/>
        </w:rPr>
      </w:pPr>
      <w:r w:rsidRPr="007078A2">
        <w:rPr>
          <w:sz w:val="18"/>
          <w:szCs w:val="18"/>
          <w:lang w:val="es-ES_tradnl"/>
        </w:rPr>
        <w:t>Origen: UIT</w:t>
      </w:r>
    </w:p>
    <w:p w:rsidR="00DA08B1" w:rsidRPr="007078A2" w:rsidRDefault="00DA08B1" w:rsidP="00DA08B1">
      <w:pPr>
        <w:spacing w:before="0"/>
        <w:jc w:val="both"/>
        <w:rPr>
          <w:sz w:val="18"/>
          <w:szCs w:val="18"/>
          <w:lang w:val="es-ES_tradnl"/>
        </w:rPr>
      </w:pPr>
      <w:r w:rsidRPr="007078A2">
        <w:rPr>
          <w:sz w:val="18"/>
          <w:szCs w:val="18"/>
          <w:lang w:val="es-ES_tradnl"/>
        </w:rPr>
        <w:t>Mundo</w:t>
      </w:r>
    </w:p>
    <w:p w:rsidR="000A39FD" w:rsidRPr="007078A2" w:rsidRDefault="000A39FD" w:rsidP="00DA08B1">
      <w:pPr>
        <w:spacing w:before="0"/>
        <w:jc w:val="both"/>
        <w:rPr>
          <w:sz w:val="18"/>
          <w:szCs w:val="18"/>
          <w:lang w:val="es-ES_tradnl"/>
        </w:rPr>
      </w:pPr>
      <w:r w:rsidRPr="007078A2">
        <w:rPr>
          <w:sz w:val="18"/>
          <w:szCs w:val="18"/>
          <w:lang w:val="es-ES_tradnl"/>
        </w:rPr>
        <w:t>África</w:t>
      </w:r>
      <w:r w:rsidR="00DA08B1" w:rsidRPr="007078A2">
        <w:rPr>
          <w:sz w:val="18"/>
          <w:szCs w:val="18"/>
          <w:lang w:val="es-ES_tradnl"/>
        </w:rPr>
        <w:tab/>
        <w:t>Estados Árabes</w:t>
      </w:r>
    </w:p>
    <w:p w:rsidR="000A39FD" w:rsidRPr="007078A2" w:rsidRDefault="000A39FD" w:rsidP="00DA08B1">
      <w:pPr>
        <w:spacing w:before="0"/>
        <w:jc w:val="both"/>
        <w:rPr>
          <w:sz w:val="18"/>
          <w:szCs w:val="18"/>
          <w:lang w:val="es-ES_tradnl"/>
        </w:rPr>
      </w:pPr>
      <w:r w:rsidRPr="007078A2">
        <w:rPr>
          <w:sz w:val="18"/>
          <w:szCs w:val="18"/>
          <w:lang w:val="es-ES_tradnl"/>
        </w:rPr>
        <w:t>Asia-Pacífico</w:t>
      </w:r>
      <w:r w:rsidR="00DA08B1" w:rsidRPr="007078A2">
        <w:rPr>
          <w:sz w:val="18"/>
          <w:szCs w:val="18"/>
          <w:lang w:val="es-ES_tradnl"/>
        </w:rPr>
        <w:tab/>
        <w:t>CEI</w:t>
      </w:r>
    </w:p>
    <w:p w:rsidR="000A39FD" w:rsidRPr="007078A2" w:rsidRDefault="000A39FD" w:rsidP="00DA08B1">
      <w:pPr>
        <w:spacing w:before="0"/>
        <w:jc w:val="both"/>
        <w:rPr>
          <w:sz w:val="18"/>
          <w:szCs w:val="18"/>
          <w:lang w:val="es-ES_tradnl"/>
        </w:rPr>
      </w:pPr>
      <w:r w:rsidRPr="007078A2">
        <w:rPr>
          <w:sz w:val="18"/>
          <w:szCs w:val="18"/>
          <w:lang w:val="es-ES_tradnl"/>
        </w:rPr>
        <w:t>Europa</w:t>
      </w:r>
      <w:r w:rsidR="00DA08B1" w:rsidRPr="007078A2">
        <w:rPr>
          <w:sz w:val="18"/>
          <w:szCs w:val="18"/>
          <w:lang w:val="es-ES_tradnl"/>
        </w:rPr>
        <w:tab/>
        <w:t>Américas</w:t>
      </w:r>
    </w:p>
    <w:p w:rsidR="00DA08B1" w:rsidRPr="007078A2" w:rsidRDefault="00DA08B1" w:rsidP="00DA08B1">
      <w:pPr>
        <w:jc w:val="both"/>
        <w:rPr>
          <w:b/>
          <w:bCs/>
          <w:sz w:val="18"/>
          <w:szCs w:val="18"/>
          <w:lang w:val="es-ES_tradnl"/>
        </w:rPr>
      </w:pPr>
      <w:r w:rsidRPr="007078A2">
        <w:rPr>
          <w:b/>
          <w:bCs/>
          <w:sz w:val="18"/>
          <w:szCs w:val="18"/>
          <w:lang w:val="es-ES_tradnl"/>
        </w:rPr>
        <w:t>En el sentido de las agujas del reloj:</w:t>
      </w:r>
    </w:p>
    <w:p w:rsidR="000A39FD" w:rsidRPr="007078A2" w:rsidRDefault="000A39FD" w:rsidP="00DA08B1">
      <w:pPr>
        <w:spacing w:before="0"/>
        <w:jc w:val="both"/>
        <w:rPr>
          <w:sz w:val="18"/>
          <w:szCs w:val="18"/>
          <w:lang w:val="es-ES_tradnl"/>
        </w:rPr>
      </w:pPr>
      <w:r w:rsidRPr="007078A2">
        <w:rPr>
          <w:sz w:val="18"/>
          <w:szCs w:val="18"/>
          <w:lang w:val="es-ES_tradnl"/>
        </w:rPr>
        <w:t>Suscripciones telefónicas fijas</w:t>
      </w:r>
    </w:p>
    <w:p w:rsidR="00DA08B1" w:rsidRPr="007078A2" w:rsidRDefault="00DA08B1" w:rsidP="00DA08B1">
      <w:pPr>
        <w:spacing w:before="0"/>
        <w:jc w:val="both"/>
        <w:rPr>
          <w:sz w:val="18"/>
          <w:szCs w:val="18"/>
          <w:lang w:val="es-ES_tradnl"/>
        </w:rPr>
      </w:pPr>
      <w:r w:rsidRPr="007078A2">
        <w:rPr>
          <w:sz w:val="18"/>
          <w:szCs w:val="18"/>
          <w:lang w:val="es-ES_tradnl"/>
        </w:rPr>
        <w:t>Suscripciones móviles celulares</w:t>
      </w:r>
    </w:p>
    <w:p w:rsidR="00DA08B1" w:rsidRPr="007078A2" w:rsidRDefault="00DA08B1" w:rsidP="00DA08B1">
      <w:pPr>
        <w:spacing w:before="0"/>
        <w:jc w:val="both"/>
        <w:rPr>
          <w:sz w:val="18"/>
          <w:szCs w:val="18"/>
          <w:lang w:val="es-ES_tradnl"/>
        </w:rPr>
      </w:pPr>
      <w:r w:rsidRPr="007078A2">
        <w:rPr>
          <w:sz w:val="18"/>
          <w:szCs w:val="18"/>
          <w:lang w:val="es-ES_tradnl"/>
        </w:rPr>
        <w:t>Ancho de banda Internet internacional por usuario de Internet</w:t>
      </w:r>
    </w:p>
    <w:p w:rsidR="00DA08B1" w:rsidRPr="007078A2" w:rsidRDefault="00DA08B1" w:rsidP="00DA08B1">
      <w:pPr>
        <w:spacing w:before="0"/>
        <w:jc w:val="both"/>
        <w:rPr>
          <w:sz w:val="18"/>
          <w:szCs w:val="18"/>
          <w:lang w:val="es-ES_tradnl"/>
        </w:rPr>
      </w:pPr>
      <w:r w:rsidRPr="007078A2">
        <w:rPr>
          <w:sz w:val="18"/>
          <w:szCs w:val="18"/>
          <w:lang w:val="es-ES_tradnl"/>
        </w:rPr>
        <w:t>Hogares con computadora</w:t>
      </w:r>
    </w:p>
    <w:p w:rsidR="00DA08B1" w:rsidRPr="007078A2" w:rsidRDefault="00DA08B1" w:rsidP="00DA08B1">
      <w:pPr>
        <w:spacing w:before="0"/>
        <w:jc w:val="both"/>
        <w:rPr>
          <w:sz w:val="18"/>
          <w:szCs w:val="18"/>
          <w:lang w:val="es-ES_tradnl"/>
        </w:rPr>
      </w:pPr>
      <w:r w:rsidRPr="007078A2">
        <w:rPr>
          <w:sz w:val="18"/>
          <w:szCs w:val="18"/>
          <w:lang w:val="es-ES_tradnl"/>
        </w:rPr>
        <w:t>Hogares con Internet</w:t>
      </w:r>
    </w:p>
    <w:p w:rsidR="00DA08B1" w:rsidRPr="007078A2" w:rsidRDefault="00DA08B1" w:rsidP="00DA08B1">
      <w:pPr>
        <w:spacing w:before="0"/>
        <w:jc w:val="both"/>
        <w:rPr>
          <w:sz w:val="18"/>
          <w:szCs w:val="18"/>
          <w:lang w:val="es-ES_tradnl"/>
        </w:rPr>
      </w:pPr>
      <w:r w:rsidRPr="007078A2">
        <w:rPr>
          <w:sz w:val="18"/>
          <w:szCs w:val="18"/>
          <w:lang w:val="es-ES_tradnl"/>
        </w:rPr>
        <w:t xml:space="preserve">Usuarios de Internet </w:t>
      </w:r>
    </w:p>
    <w:p w:rsidR="00DA08B1" w:rsidRPr="007078A2" w:rsidRDefault="00DA08B1" w:rsidP="00DA08B1">
      <w:pPr>
        <w:spacing w:before="0"/>
        <w:jc w:val="both"/>
        <w:rPr>
          <w:sz w:val="18"/>
          <w:szCs w:val="18"/>
          <w:lang w:val="es-ES_tradnl"/>
        </w:rPr>
      </w:pPr>
      <w:r w:rsidRPr="007078A2">
        <w:rPr>
          <w:sz w:val="18"/>
          <w:szCs w:val="18"/>
          <w:lang w:val="es-ES_tradnl"/>
        </w:rPr>
        <w:t xml:space="preserve">Suscripciones a la banda ancha fija </w:t>
      </w:r>
    </w:p>
    <w:p w:rsidR="00DA08B1" w:rsidRPr="007078A2" w:rsidRDefault="00DA08B1" w:rsidP="00DA08B1">
      <w:pPr>
        <w:spacing w:before="0"/>
        <w:jc w:val="both"/>
        <w:rPr>
          <w:sz w:val="18"/>
          <w:szCs w:val="18"/>
          <w:lang w:val="es-ES_tradnl"/>
        </w:rPr>
      </w:pPr>
      <w:r w:rsidRPr="007078A2">
        <w:rPr>
          <w:sz w:val="18"/>
          <w:szCs w:val="18"/>
          <w:lang w:val="es-ES_tradnl"/>
        </w:rPr>
        <w:t xml:space="preserve">Suscripciones activas a la banda ancha móvil </w:t>
      </w:r>
    </w:p>
    <w:p w:rsidR="00DA08B1" w:rsidRPr="007078A2" w:rsidRDefault="00DA08B1" w:rsidP="00DA08B1">
      <w:pPr>
        <w:spacing w:before="0"/>
        <w:jc w:val="both"/>
        <w:rPr>
          <w:sz w:val="18"/>
          <w:szCs w:val="18"/>
          <w:lang w:val="es-ES_tradnl"/>
        </w:rPr>
      </w:pPr>
      <w:r w:rsidRPr="007078A2">
        <w:rPr>
          <w:sz w:val="18"/>
          <w:szCs w:val="18"/>
          <w:lang w:val="es-ES_tradnl"/>
        </w:rPr>
        <w:t xml:space="preserve">Matriculaciones en la enseñanza secundaria </w:t>
      </w:r>
    </w:p>
    <w:p w:rsidR="00DA08B1" w:rsidRPr="007078A2" w:rsidRDefault="00DA08B1" w:rsidP="00DA08B1">
      <w:pPr>
        <w:spacing w:before="0"/>
        <w:jc w:val="both"/>
        <w:rPr>
          <w:sz w:val="18"/>
          <w:szCs w:val="18"/>
          <w:lang w:val="es-ES_tradnl"/>
        </w:rPr>
      </w:pPr>
      <w:r w:rsidRPr="007078A2">
        <w:rPr>
          <w:sz w:val="18"/>
          <w:szCs w:val="18"/>
          <w:lang w:val="es-ES_tradnl"/>
        </w:rPr>
        <w:t>Matriculaciones en la enseñanza terciaria</w:t>
      </w:r>
    </w:p>
    <w:p w:rsidR="000A39FD" w:rsidRPr="007078A2" w:rsidRDefault="000A39FD" w:rsidP="00DA08B1">
      <w:pPr>
        <w:spacing w:before="0"/>
        <w:jc w:val="both"/>
        <w:rPr>
          <w:sz w:val="18"/>
          <w:szCs w:val="18"/>
          <w:lang w:val="es-ES_tradnl"/>
        </w:rPr>
      </w:pPr>
      <w:r w:rsidRPr="007078A2">
        <w:rPr>
          <w:sz w:val="18"/>
          <w:szCs w:val="18"/>
          <w:lang w:val="es-ES_tradnl"/>
        </w:rPr>
        <w:t>Escolarización media en años</w:t>
      </w:r>
    </w:p>
    <w:p w:rsidR="000A39FD" w:rsidRPr="007078A2" w:rsidRDefault="000A39FD" w:rsidP="00457697">
      <w:pPr>
        <w:rPr>
          <w:lang w:val="es-ES_tradnl"/>
        </w:rPr>
      </w:pPr>
      <w:r w:rsidRPr="007078A2">
        <w:rPr>
          <w:lang w:val="es-ES_tradnl"/>
        </w:rPr>
        <w:lastRenderedPageBreak/>
        <w:t>La distribución más homogénea de los resultados entre los distintos indicadores, con valores relativamente elevados de todos ellos, se observa en la región de Europa. La distribución de los resultados pierde homogeneidad a medida que disminuye la clasificación global en el IDT, y este fenómeno es más notable en las diferencias entre las regiones con respecto a las suscripciones a la telefonía fija y la banda ancha fija. Los gráficos de Kiviat de la CEI y las Américas muestran resultados más elevados que los de los Estados Árabes y Asia-Pacífico, pero su forma global es generalmente similar, lo que refleja la distribución de los valores de los indicadores.</w:t>
      </w:r>
    </w:p>
    <w:p w:rsidR="000A39FD" w:rsidRPr="007078A2" w:rsidRDefault="000A39FD" w:rsidP="00457697">
      <w:pPr>
        <w:rPr>
          <w:lang w:val="es-ES_tradnl"/>
        </w:rPr>
      </w:pPr>
      <w:r w:rsidRPr="007078A2">
        <w:rPr>
          <w:lang w:val="es-ES_tradnl"/>
        </w:rPr>
        <w:t>El gráfico de Kiviat de la región de África es mucho menos homogéneo que los de las demás regiones. Esto refleja en particular valores bajos de los indicadores de las suscripciones telefónicas fijas y a la banda ancha fija en África, del acceso a Internet y a las computadoras en los hogares, así como de las matriculaciones en la enseñanza terciaria. La región de África obtiene los resultados más elevados en las suscripciones móviles celulares y el ancho de banda Internet internacional. Esas variaciones entre indicadores se deben a la preponderancia de la infraestructura terrenal móvil con respecto a la fija en África, al coste relativamente elevado de las conexiones de banda ancha fijas en el continente, y al número creciente de cables submarinos que ofrecen conectividad internacional.</w:t>
      </w:r>
    </w:p>
    <w:p w:rsidR="000A39FD" w:rsidRPr="007078A2" w:rsidRDefault="000A39FD" w:rsidP="0082703E">
      <w:pPr>
        <w:pStyle w:val="Headingb"/>
        <w:rPr>
          <w:rFonts w:asciiTheme="minorHAnsi" w:hAnsiTheme="minorHAnsi"/>
          <w:lang w:val="es-ES_tradnl"/>
        </w:rPr>
      </w:pPr>
      <w:bookmarkStart w:id="46" w:name="_Toc455476229"/>
      <w:bookmarkStart w:id="47" w:name="_Toc474413196"/>
      <w:r w:rsidRPr="007078A2">
        <w:rPr>
          <w:rFonts w:asciiTheme="minorHAnsi" w:hAnsiTheme="minorHAnsi"/>
          <w:lang w:val="es-ES_tradnl"/>
        </w:rPr>
        <w:t>El IDI 2016 en la región de las Américas</w:t>
      </w:r>
      <w:bookmarkEnd w:id="46"/>
      <w:bookmarkEnd w:id="47"/>
    </w:p>
    <w:p w:rsidR="000A39FD" w:rsidRPr="007078A2" w:rsidRDefault="000A39FD" w:rsidP="00457697">
      <w:pPr>
        <w:rPr>
          <w:lang w:val="es-ES_tradnl"/>
        </w:rPr>
      </w:pPr>
      <w:r w:rsidRPr="007078A2">
        <w:rPr>
          <w:rFonts w:eastAsia="Calibri Light"/>
          <w:lang w:val="es-ES_tradnl"/>
        </w:rPr>
        <w:t>Los valores del IDT y las clasificaciones de la región de las Américas se indican en el Gráfico 3.3 y el Cuadro 3.3, en los que se comparan con la media mundial y con las medias de los países desarrollados y en desarrollo</w:t>
      </w:r>
      <w:r w:rsidRPr="007078A2">
        <w:rPr>
          <w:lang w:val="es-ES_tradnl"/>
        </w:rPr>
        <w:t>.</w:t>
      </w:r>
    </w:p>
    <w:p w:rsidR="000A39FD" w:rsidRPr="007078A2" w:rsidRDefault="000A39FD" w:rsidP="00B52F47">
      <w:pPr>
        <w:rPr>
          <w:lang w:val="es-ES_tradnl"/>
        </w:rPr>
      </w:pPr>
      <w:r w:rsidRPr="007078A2">
        <w:rPr>
          <w:lang w:val="es-ES_tradnl"/>
        </w:rPr>
        <w:t xml:space="preserve">La región de las Américas, como la de Asia-Pacífico, es muy variopinta, en particular con dos países desarrollados de altos ingresos en Norteamérica, grandes países en desarrollo de ingresos medios en Sudamérica, y países en desarrollo más pequeños y Pequeños Estados Insulares en Centroamérica y el Caribe. Dos grandes países desarrollados, Estados Unidos y Canadá, encabezan la clasificación de la región y están entre los 25 países mejor clasificados del mundo. Como varios países desarrollados de Europa y de la región Asia-Pacífico, la mejora de su rango en el IDT durante el año fue inferior a la media mundial. Dos de los pequeños países insulares de la región, </w:t>
      </w:r>
      <w:r w:rsidR="00442022">
        <w:rPr>
          <w:lang w:val="es-ES_tradnl"/>
        </w:rPr>
        <w:t>Saint Kitts y Nevis</w:t>
      </w:r>
      <w:r w:rsidRPr="007078A2">
        <w:rPr>
          <w:lang w:val="es-ES_tradnl"/>
        </w:rPr>
        <w:t xml:space="preserve"> y Barbados, están también en el primer cuartil de las clasificaciones, y un solo país de la región, Cuba, se encuentra en el último cuartil (LCC). Haití, el único PMA de la región, no facilita datos al IDT</w:t>
      </w:r>
      <w:r w:rsidR="00B52F47" w:rsidRPr="007078A2">
        <w:rPr>
          <w:lang w:val="es-ES_tradnl"/>
        </w:rPr>
        <w:t>.</w:t>
      </w:r>
    </w:p>
    <w:p w:rsidR="000A39FD" w:rsidRPr="007078A2" w:rsidRDefault="000A39FD" w:rsidP="00B52F47">
      <w:pPr>
        <w:pStyle w:val="FigureNotitle"/>
      </w:pPr>
      <w:r w:rsidRPr="007078A2">
        <w:t>Gráfico 3.3: Valores del IDT, región de las Américas, 2016</w:t>
      </w:r>
    </w:p>
    <w:p w:rsidR="000A39FD" w:rsidRPr="007078A2" w:rsidRDefault="000A39FD" w:rsidP="00FF14BC">
      <w:pPr>
        <w:jc w:val="both"/>
        <w:rPr>
          <w:b/>
          <w:bCs/>
          <w:lang w:val="es-ES_tradnl"/>
        </w:rPr>
      </w:pPr>
      <w:r w:rsidRPr="007078A2">
        <w:rPr>
          <w:b/>
          <w:bCs/>
          <w:noProof/>
          <w:lang w:eastAsia="zh-CN"/>
        </w:rPr>
        <w:lastRenderedPageBreak/>
        <w:drawing>
          <wp:inline distT="0" distB="0" distL="0" distR="0" wp14:anchorId="4C9D680D" wp14:editId="4DADA352">
            <wp:extent cx="6023863" cy="24429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56655" cy="2456248"/>
                    </a:xfrm>
                    <a:prstGeom prst="rect">
                      <a:avLst/>
                    </a:prstGeom>
                    <a:noFill/>
                  </pic:spPr>
                </pic:pic>
              </a:graphicData>
            </a:graphic>
          </wp:inline>
        </w:drawing>
      </w:r>
    </w:p>
    <w:p w:rsidR="00457697" w:rsidRPr="007078A2" w:rsidRDefault="00457697" w:rsidP="00055FA5">
      <w:pPr>
        <w:keepNext/>
        <w:keepLines/>
        <w:spacing w:before="0"/>
        <w:jc w:val="both"/>
        <w:rPr>
          <w:b/>
          <w:bCs/>
          <w:sz w:val="18"/>
          <w:szCs w:val="18"/>
          <w:lang w:val="es-ES_tradnl"/>
        </w:rPr>
      </w:pPr>
      <w:r w:rsidRPr="007078A2">
        <w:rPr>
          <w:b/>
          <w:bCs/>
          <w:sz w:val="18"/>
          <w:szCs w:val="18"/>
          <w:lang w:val="es-ES_tradnl"/>
        </w:rPr>
        <w:t>Leyenda del Gráfico 3.3:</w:t>
      </w:r>
    </w:p>
    <w:p w:rsidR="000A39FD" w:rsidRPr="007078A2" w:rsidRDefault="000A39FD" w:rsidP="00055FA5">
      <w:pPr>
        <w:spacing w:before="0"/>
        <w:jc w:val="both"/>
        <w:rPr>
          <w:sz w:val="18"/>
          <w:szCs w:val="18"/>
          <w:lang w:val="es-ES_tradnl"/>
        </w:rPr>
      </w:pPr>
      <w:r w:rsidRPr="007078A2">
        <w:rPr>
          <w:sz w:val="18"/>
          <w:szCs w:val="18"/>
          <w:lang w:val="es-ES_tradnl"/>
        </w:rPr>
        <w:t>Origen: UIT</w:t>
      </w:r>
    </w:p>
    <w:p w:rsidR="000A39FD" w:rsidRPr="007078A2" w:rsidRDefault="000A39FD" w:rsidP="00055FA5">
      <w:pPr>
        <w:spacing w:before="0"/>
        <w:jc w:val="both"/>
        <w:rPr>
          <w:sz w:val="18"/>
          <w:szCs w:val="18"/>
          <w:lang w:val="es-ES_tradnl"/>
        </w:rPr>
      </w:pPr>
      <w:r w:rsidRPr="007078A2">
        <w:rPr>
          <w:sz w:val="18"/>
          <w:szCs w:val="18"/>
          <w:lang w:val="es-ES_tradnl"/>
        </w:rPr>
        <w:t>IDT 2016</w:t>
      </w:r>
    </w:p>
    <w:p w:rsidR="000A39FD" w:rsidRPr="007078A2" w:rsidRDefault="000A39FD" w:rsidP="00055FA5">
      <w:pPr>
        <w:spacing w:before="0"/>
        <w:jc w:val="both"/>
        <w:rPr>
          <w:sz w:val="18"/>
          <w:szCs w:val="18"/>
          <w:lang w:val="es-ES_tradnl"/>
        </w:rPr>
      </w:pPr>
      <w:r w:rsidRPr="007078A2">
        <w:rPr>
          <w:sz w:val="18"/>
          <w:szCs w:val="18"/>
          <w:lang w:val="es-ES_tradnl"/>
        </w:rPr>
        <w:t>Desarrollados</w:t>
      </w:r>
    </w:p>
    <w:p w:rsidR="000A39FD" w:rsidRPr="007078A2" w:rsidRDefault="000A39FD" w:rsidP="00055FA5">
      <w:pPr>
        <w:spacing w:before="0"/>
        <w:jc w:val="both"/>
        <w:rPr>
          <w:sz w:val="18"/>
          <w:szCs w:val="18"/>
          <w:lang w:val="es-ES_tradnl"/>
        </w:rPr>
      </w:pPr>
      <w:r w:rsidRPr="007078A2">
        <w:rPr>
          <w:sz w:val="18"/>
          <w:szCs w:val="18"/>
          <w:lang w:val="es-ES_tradnl"/>
        </w:rPr>
        <w:t>Américas</w:t>
      </w:r>
    </w:p>
    <w:p w:rsidR="000A39FD" w:rsidRPr="007078A2" w:rsidRDefault="000A39FD" w:rsidP="00055FA5">
      <w:pPr>
        <w:spacing w:before="0"/>
        <w:jc w:val="both"/>
        <w:rPr>
          <w:sz w:val="18"/>
          <w:szCs w:val="18"/>
          <w:lang w:val="es-ES_tradnl"/>
        </w:rPr>
      </w:pPr>
      <w:r w:rsidRPr="007078A2">
        <w:rPr>
          <w:sz w:val="18"/>
          <w:szCs w:val="18"/>
          <w:lang w:val="es-ES_tradnl"/>
        </w:rPr>
        <w:t>Mundo</w:t>
      </w:r>
    </w:p>
    <w:p w:rsidR="000A39FD" w:rsidRPr="007078A2" w:rsidRDefault="000A39FD" w:rsidP="00055FA5">
      <w:pPr>
        <w:spacing w:before="0"/>
        <w:jc w:val="both"/>
        <w:rPr>
          <w:sz w:val="18"/>
          <w:szCs w:val="18"/>
          <w:lang w:val="es-ES_tradnl"/>
        </w:rPr>
      </w:pPr>
      <w:r w:rsidRPr="007078A2">
        <w:rPr>
          <w:sz w:val="18"/>
          <w:szCs w:val="18"/>
          <w:lang w:val="es-ES_tradnl"/>
        </w:rPr>
        <w:t>En desarrollo</w:t>
      </w:r>
    </w:p>
    <w:p w:rsidR="00457697" w:rsidRPr="007078A2" w:rsidRDefault="00055FA5" w:rsidP="00055FA5">
      <w:pPr>
        <w:spacing w:before="0"/>
        <w:jc w:val="both"/>
        <w:rPr>
          <w:sz w:val="18"/>
          <w:szCs w:val="18"/>
          <w:lang w:val="es-ES_tradnl"/>
        </w:rPr>
      </w:pPr>
      <w:r w:rsidRPr="007078A2">
        <w:rPr>
          <w:sz w:val="18"/>
          <w:szCs w:val="18"/>
          <w:lang w:val="es-ES_tradnl"/>
        </w:rPr>
        <w:t>Estados Unidos, Canadá, Saint Kitts y Nevis, Barbados, Uruguay, Argentina, Chile, Costa Rica, Brasil, Bahamas, Trinidad y Tabago, Dominica, Granada, Antigua y Barbuda, San Vicente y las Granadinas, Venezuela, Colombia, Suriname, México, Panamá, Santa Lucía, Ecuador, Jamaica, Perú, Dominicana (Rep.), Paraguay, Bolivia (Estado Plurinacional de), El Salvador, Belice, Guyana, Guatemala, Honduras, Nicaragua, Cuba.</w:t>
      </w:r>
    </w:p>
    <w:p w:rsidR="000A39FD" w:rsidRPr="007078A2" w:rsidRDefault="000A39FD">
      <w:pPr>
        <w:rPr>
          <w:b/>
          <w:bCs/>
          <w:highlight w:val="cyan"/>
          <w:lang w:val="es-ES_tradnl"/>
        </w:rPr>
      </w:pPr>
      <w:r w:rsidRPr="007078A2">
        <w:rPr>
          <w:b/>
          <w:bCs/>
          <w:highlight w:val="cyan"/>
          <w:lang w:val="es-ES_tradnl"/>
        </w:rPr>
        <w:br w:type="page"/>
      </w:r>
    </w:p>
    <w:p w:rsidR="000A39FD" w:rsidRPr="007078A2" w:rsidRDefault="000A39FD" w:rsidP="00B52F47">
      <w:pPr>
        <w:pStyle w:val="FigureNotitle"/>
      </w:pPr>
      <w:r w:rsidRPr="007078A2">
        <w:lastRenderedPageBreak/>
        <w:t>Cuadro 3.3: Clasificaciones en el IDT, región de las Américas, 2016 y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1324"/>
        <w:gridCol w:w="1325"/>
        <w:gridCol w:w="1096"/>
        <w:gridCol w:w="1325"/>
        <w:gridCol w:w="1096"/>
        <w:gridCol w:w="1534"/>
      </w:tblGrid>
      <w:tr w:rsidR="00887EA7" w:rsidRPr="00A32FCB" w:rsidTr="004C1B41">
        <w:tc>
          <w:tcPr>
            <w:tcW w:w="1701" w:type="dxa"/>
            <w:shd w:val="clear" w:color="auto" w:fill="2E74B5" w:themeFill="accent1" w:themeFillShade="BF"/>
            <w:vAlign w:val="center"/>
          </w:tcPr>
          <w:p w:rsidR="00887EA7" w:rsidRPr="007078A2" w:rsidRDefault="00887EA7" w:rsidP="004C1B41">
            <w:pPr>
              <w:spacing w:before="40" w:after="40"/>
              <w:jc w:val="center"/>
              <w:rPr>
                <w:color w:val="FFFFFF" w:themeColor="background1"/>
                <w:sz w:val="20"/>
                <w:lang w:val="es-ES_tradnl"/>
              </w:rPr>
            </w:pPr>
            <w:r w:rsidRPr="007078A2">
              <w:rPr>
                <w:color w:val="FFFFFF" w:themeColor="background1"/>
                <w:sz w:val="20"/>
                <w:lang w:val="es-ES_tradnl"/>
              </w:rPr>
              <w:t>Economía</w:t>
            </w:r>
          </w:p>
        </w:tc>
        <w:tc>
          <w:tcPr>
            <w:tcW w:w="1361" w:type="dxa"/>
            <w:shd w:val="clear" w:color="auto" w:fill="2E74B5" w:themeFill="accent1" w:themeFillShade="BF"/>
            <w:vAlign w:val="center"/>
          </w:tcPr>
          <w:p w:rsidR="00887EA7" w:rsidRPr="007078A2" w:rsidRDefault="00887EA7" w:rsidP="004C1B41">
            <w:pPr>
              <w:spacing w:before="40" w:after="40"/>
              <w:jc w:val="center"/>
              <w:rPr>
                <w:color w:val="FFFFFF" w:themeColor="background1"/>
                <w:sz w:val="20"/>
                <w:lang w:val="es-ES_tradnl"/>
              </w:rPr>
            </w:pPr>
            <w:r w:rsidRPr="007078A2">
              <w:rPr>
                <w:color w:val="FFFFFF" w:themeColor="background1"/>
                <w:sz w:val="20"/>
                <w:lang w:val="es-ES_tradnl"/>
              </w:rPr>
              <w:t>Rango regional 2016</w:t>
            </w:r>
          </w:p>
        </w:tc>
        <w:tc>
          <w:tcPr>
            <w:tcW w:w="1361" w:type="dxa"/>
            <w:shd w:val="clear" w:color="auto" w:fill="2E74B5" w:themeFill="accent1" w:themeFillShade="BF"/>
            <w:vAlign w:val="center"/>
          </w:tcPr>
          <w:p w:rsidR="00887EA7" w:rsidRPr="007078A2" w:rsidRDefault="00887EA7" w:rsidP="004C1B41">
            <w:pPr>
              <w:spacing w:before="40" w:after="40"/>
              <w:jc w:val="center"/>
              <w:rPr>
                <w:color w:val="FFFFFF" w:themeColor="background1"/>
                <w:sz w:val="20"/>
                <w:lang w:val="es-ES_tradnl"/>
              </w:rPr>
            </w:pPr>
            <w:r w:rsidRPr="007078A2">
              <w:rPr>
                <w:color w:val="FFFFFF" w:themeColor="background1"/>
                <w:sz w:val="20"/>
                <w:lang w:val="es-ES_tradnl"/>
              </w:rPr>
              <w:t>Rango mundial 2016</w:t>
            </w:r>
          </w:p>
        </w:tc>
        <w:tc>
          <w:tcPr>
            <w:tcW w:w="1134" w:type="dxa"/>
            <w:shd w:val="clear" w:color="auto" w:fill="2E74B5" w:themeFill="accent1" w:themeFillShade="BF"/>
            <w:vAlign w:val="center"/>
          </w:tcPr>
          <w:p w:rsidR="00887EA7" w:rsidRPr="007078A2" w:rsidRDefault="00887EA7" w:rsidP="004C1B41">
            <w:pPr>
              <w:spacing w:before="40" w:after="40"/>
              <w:jc w:val="center"/>
              <w:rPr>
                <w:color w:val="FFFFFF" w:themeColor="background1"/>
                <w:sz w:val="20"/>
                <w:lang w:val="es-ES_tradnl"/>
              </w:rPr>
            </w:pPr>
            <w:r w:rsidRPr="007078A2">
              <w:rPr>
                <w:color w:val="FFFFFF" w:themeColor="background1"/>
                <w:sz w:val="20"/>
                <w:lang w:val="es-ES_tradnl"/>
              </w:rPr>
              <w:t>IDT 2016</w:t>
            </w:r>
          </w:p>
        </w:tc>
        <w:tc>
          <w:tcPr>
            <w:tcW w:w="1361" w:type="dxa"/>
            <w:shd w:val="clear" w:color="auto" w:fill="2E74B5" w:themeFill="accent1" w:themeFillShade="BF"/>
            <w:vAlign w:val="center"/>
          </w:tcPr>
          <w:p w:rsidR="00887EA7" w:rsidRPr="007078A2" w:rsidRDefault="00887EA7" w:rsidP="004C1B41">
            <w:pPr>
              <w:spacing w:before="40" w:after="40"/>
              <w:jc w:val="center"/>
              <w:rPr>
                <w:color w:val="FFFFFF" w:themeColor="background1"/>
                <w:sz w:val="20"/>
                <w:lang w:val="es-ES_tradnl"/>
              </w:rPr>
            </w:pPr>
            <w:r w:rsidRPr="007078A2">
              <w:rPr>
                <w:color w:val="FFFFFF" w:themeColor="background1"/>
                <w:sz w:val="20"/>
                <w:lang w:val="es-ES_tradnl"/>
              </w:rPr>
              <w:t>Rango mundial 2015</w:t>
            </w:r>
          </w:p>
        </w:tc>
        <w:tc>
          <w:tcPr>
            <w:tcW w:w="1134" w:type="dxa"/>
            <w:shd w:val="clear" w:color="auto" w:fill="2E74B5" w:themeFill="accent1" w:themeFillShade="BF"/>
            <w:vAlign w:val="center"/>
          </w:tcPr>
          <w:p w:rsidR="00887EA7" w:rsidRPr="007078A2" w:rsidRDefault="00887EA7" w:rsidP="004C1B41">
            <w:pPr>
              <w:spacing w:before="40" w:after="40"/>
              <w:jc w:val="center"/>
              <w:rPr>
                <w:color w:val="FFFFFF" w:themeColor="background1"/>
                <w:sz w:val="20"/>
                <w:lang w:val="es-ES_tradnl"/>
              </w:rPr>
            </w:pPr>
            <w:r w:rsidRPr="007078A2">
              <w:rPr>
                <w:color w:val="FFFFFF" w:themeColor="background1"/>
                <w:sz w:val="20"/>
                <w:lang w:val="es-ES_tradnl"/>
              </w:rPr>
              <w:t>IDT 2015</w:t>
            </w:r>
          </w:p>
        </w:tc>
        <w:tc>
          <w:tcPr>
            <w:tcW w:w="1587" w:type="dxa"/>
            <w:shd w:val="clear" w:color="auto" w:fill="2E74B5" w:themeFill="accent1" w:themeFillShade="BF"/>
            <w:vAlign w:val="center"/>
          </w:tcPr>
          <w:p w:rsidR="00887EA7" w:rsidRPr="007078A2" w:rsidRDefault="00887EA7" w:rsidP="004C1B41">
            <w:pPr>
              <w:spacing w:before="40" w:after="40"/>
              <w:jc w:val="center"/>
              <w:rPr>
                <w:color w:val="FFFFFF" w:themeColor="background1"/>
                <w:sz w:val="20"/>
                <w:lang w:val="es-ES_tradnl"/>
              </w:rPr>
            </w:pPr>
            <w:r w:rsidRPr="007078A2">
              <w:rPr>
                <w:color w:val="FFFFFF" w:themeColor="background1"/>
                <w:sz w:val="20"/>
                <w:lang w:val="es-ES_tradnl"/>
              </w:rPr>
              <w:t>Cambio en el rango mundial 2016-2015</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Estados Unidos</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15</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8,17</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15</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8,06</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0</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Canadá</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25</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7,62</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23</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7,55</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Saint Kitts y Nevis</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3</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34</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7,21</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54</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6,23</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20</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Barbados</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4</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35</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7,18</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39</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6,87</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4</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Uruguay</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5</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47</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6,79</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49</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6,44</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2</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Argentina</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6</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55</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6,52</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56</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6,21</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Chile</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7</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56</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6,35</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57</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6,11</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1</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Costa Rica</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8</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57</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6,30</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59</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6,03</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Brasil</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9</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63</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5,99</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65</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5,72</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2</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Bahamas</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10</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64</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5,98</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63</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5,80</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Trinidad y Tabago</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11</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67</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5,76</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68</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5,48</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1</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Dominica</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12</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69</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5,71</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77</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5,14</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8</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Granada</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13</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74</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5,43</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82</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4,97</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8</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Antigua y Barbuda</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14</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75</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5,38</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70</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5,41</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San Vicente y las Granadinas</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15</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78</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5,32</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78</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5,07</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0</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Venezuela</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16</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79</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5,27</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75</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5,22</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-4</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Colombia</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17</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83</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5,16</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81</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4,98</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-2</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Suriname</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18</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84</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5,09</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83</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4,89</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México</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19</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92</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4,87</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96</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4,45</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4</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Panamá</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20</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93</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4,87</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91</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4,63</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Santa Lucía</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21</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94</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4,85</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87</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4,68</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-7</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Ecuador</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22</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98</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4,56</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94</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4,54</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-4</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Jamaica</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23</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99</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4,52</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101</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4,20</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2</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Perú</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24</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101</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4,42</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100</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4,23</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Dominicana (Rep.)</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25</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104</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4,30</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105</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4,02</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1</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Paraguay</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26</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109</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4,08</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107</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3,88</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Bolivia (Estado Plurinacional de)</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27</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111</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4,02</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117</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3,49</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6</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El Salvador</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28</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118</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3,73</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113</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3,64</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Belice</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29</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119</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3,66</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119</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3,32</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0</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Guyana</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30</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121</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3,52</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118</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3,44</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Guatemala</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31</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123</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3,20</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123</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3,09</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0</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Honduras</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32</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126</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3,09</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124</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3,00</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Nicaragua</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33</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131</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2,88</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130</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2,74</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-1</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Cuba</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34</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135</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2,73</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133</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2,64</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w:t>
            </w:r>
          </w:p>
        </w:tc>
      </w:tr>
      <w:tr w:rsidR="00887EA7" w:rsidRPr="007078A2" w:rsidTr="004C1B41">
        <w:tc>
          <w:tcPr>
            <w:tcW w:w="1701" w:type="dxa"/>
          </w:tcPr>
          <w:p w:rsidR="00887EA7" w:rsidRPr="007078A2" w:rsidRDefault="00887EA7" w:rsidP="004C1B41">
            <w:pPr>
              <w:spacing w:before="40" w:after="40"/>
              <w:rPr>
                <w:b/>
                <w:bCs/>
                <w:sz w:val="20"/>
                <w:lang w:val="es-ES_tradnl"/>
              </w:rPr>
            </w:pPr>
            <w:r w:rsidRPr="007078A2">
              <w:rPr>
                <w:b/>
                <w:bCs/>
                <w:sz w:val="20"/>
                <w:lang w:val="es-ES_tradnl"/>
              </w:rPr>
              <w:t>Media</w:t>
            </w:r>
          </w:p>
        </w:tc>
        <w:tc>
          <w:tcPr>
            <w:tcW w:w="1361" w:type="dxa"/>
          </w:tcPr>
          <w:p w:rsidR="00887EA7" w:rsidRPr="007078A2" w:rsidRDefault="00887EA7" w:rsidP="004C1B41">
            <w:pPr>
              <w:spacing w:before="40" w:after="40"/>
              <w:jc w:val="center"/>
              <w:rPr>
                <w:sz w:val="18"/>
                <w:szCs w:val="18"/>
                <w:lang w:val="es-ES_tradnl"/>
              </w:rPr>
            </w:pPr>
          </w:p>
        </w:tc>
        <w:tc>
          <w:tcPr>
            <w:tcW w:w="1361" w:type="dxa"/>
          </w:tcPr>
          <w:p w:rsidR="00887EA7" w:rsidRPr="007078A2" w:rsidRDefault="00887EA7" w:rsidP="004C1B41">
            <w:pPr>
              <w:spacing w:before="40" w:after="40"/>
              <w:jc w:val="center"/>
              <w:rPr>
                <w:sz w:val="18"/>
                <w:szCs w:val="18"/>
                <w:lang w:val="es-ES_tradnl"/>
              </w:rPr>
            </w:pPr>
          </w:p>
        </w:tc>
        <w:tc>
          <w:tcPr>
            <w:tcW w:w="1134" w:type="dxa"/>
          </w:tcPr>
          <w:p w:rsidR="00887EA7" w:rsidRPr="007078A2" w:rsidRDefault="00887EA7" w:rsidP="004C1B41">
            <w:pPr>
              <w:spacing w:before="40" w:after="40"/>
              <w:jc w:val="center"/>
              <w:rPr>
                <w:b/>
                <w:bCs/>
                <w:sz w:val="18"/>
                <w:szCs w:val="18"/>
                <w:lang w:val="es-ES_tradnl"/>
              </w:rPr>
            </w:pPr>
            <w:r w:rsidRPr="007078A2">
              <w:rPr>
                <w:b/>
                <w:bCs/>
                <w:sz w:val="18"/>
                <w:szCs w:val="18"/>
                <w:lang w:val="es-ES_tradnl"/>
              </w:rPr>
              <w:t>5,13</w:t>
            </w:r>
          </w:p>
        </w:tc>
        <w:tc>
          <w:tcPr>
            <w:tcW w:w="1361" w:type="dxa"/>
          </w:tcPr>
          <w:p w:rsidR="00887EA7" w:rsidRPr="007078A2" w:rsidRDefault="00887EA7" w:rsidP="004C1B41">
            <w:pPr>
              <w:spacing w:before="40" w:after="40"/>
              <w:jc w:val="center"/>
              <w:rPr>
                <w:b/>
                <w:bCs/>
                <w:sz w:val="18"/>
                <w:szCs w:val="18"/>
                <w:lang w:val="es-ES_tradnl"/>
              </w:rPr>
            </w:pPr>
          </w:p>
        </w:tc>
        <w:tc>
          <w:tcPr>
            <w:tcW w:w="1134" w:type="dxa"/>
          </w:tcPr>
          <w:p w:rsidR="00887EA7" w:rsidRPr="007078A2" w:rsidRDefault="00887EA7" w:rsidP="004C1B41">
            <w:pPr>
              <w:spacing w:before="40" w:after="40"/>
              <w:jc w:val="center"/>
              <w:rPr>
                <w:b/>
                <w:bCs/>
                <w:sz w:val="18"/>
                <w:szCs w:val="18"/>
                <w:lang w:val="es-ES_tradnl"/>
              </w:rPr>
            </w:pPr>
            <w:r w:rsidRPr="007078A2">
              <w:rPr>
                <w:b/>
                <w:bCs/>
                <w:sz w:val="18"/>
                <w:szCs w:val="18"/>
                <w:lang w:val="es-ES_tradnl"/>
              </w:rPr>
              <w:t>4,89</w:t>
            </w:r>
          </w:p>
        </w:tc>
        <w:tc>
          <w:tcPr>
            <w:tcW w:w="1587" w:type="dxa"/>
          </w:tcPr>
          <w:p w:rsidR="00887EA7" w:rsidRPr="007078A2" w:rsidRDefault="00887EA7" w:rsidP="004C1B41">
            <w:pPr>
              <w:spacing w:before="40" w:after="40"/>
              <w:jc w:val="center"/>
              <w:rPr>
                <w:sz w:val="18"/>
                <w:szCs w:val="18"/>
                <w:lang w:val="es-ES_tradnl"/>
              </w:rPr>
            </w:pPr>
          </w:p>
        </w:tc>
      </w:tr>
    </w:tbl>
    <w:p w:rsidR="000A39FD" w:rsidRPr="007078A2" w:rsidRDefault="000A39FD" w:rsidP="00887EA7">
      <w:pPr>
        <w:jc w:val="both"/>
        <w:rPr>
          <w:lang w:val="es-ES_tradnl"/>
        </w:rPr>
      </w:pPr>
      <w:r w:rsidRPr="007078A2">
        <w:rPr>
          <w:sz w:val="18"/>
          <w:szCs w:val="18"/>
          <w:lang w:val="es-ES_tradnl"/>
        </w:rPr>
        <w:t>Origen: UIT</w:t>
      </w:r>
    </w:p>
    <w:bookmarkStart w:id="48" w:name="_Toc455476230"/>
    <w:bookmarkStart w:id="49" w:name="_Toc474413197"/>
    <w:p w:rsidR="000A39FD" w:rsidRPr="007078A2" w:rsidRDefault="000A39FD" w:rsidP="0082703E">
      <w:pPr>
        <w:pStyle w:val="Headingb"/>
        <w:rPr>
          <w:rFonts w:asciiTheme="minorHAnsi" w:hAnsiTheme="minorHAnsi"/>
          <w:lang w:val="es-ES_tradnl"/>
        </w:rPr>
      </w:pPr>
      <w:r w:rsidRPr="007078A2">
        <w:rPr>
          <w:rFonts w:asciiTheme="minorHAnsi" w:hAnsiTheme="minorHAnsi"/>
          <w:noProof/>
          <w:lang w:eastAsia="zh-CN"/>
        </w:rPr>
        <mc:AlternateContent>
          <mc:Choice Requires="wpg">
            <w:drawing>
              <wp:anchor distT="0" distB="0" distL="114300" distR="114300" simplePos="0" relativeHeight="251665408" behindDoc="1" locked="0" layoutInCell="1" allowOverlap="1" wp14:anchorId="195F7083" wp14:editId="7D6BFE65">
                <wp:simplePos x="0" y="0"/>
                <wp:positionH relativeFrom="margin">
                  <wp:posOffset>353060</wp:posOffset>
                </wp:positionH>
                <wp:positionV relativeFrom="margin">
                  <wp:posOffset>-4117340</wp:posOffset>
                </wp:positionV>
                <wp:extent cx="5724525" cy="5738495"/>
                <wp:effectExtent l="0" t="0" r="0" b="0"/>
                <wp:wrapNone/>
                <wp:docPr id="1073741992" name="Group 107374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5738495"/>
                          <a:chOff x="1414" y="-13229"/>
                          <a:chExt cx="9014" cy="9885"/>
                        </a:xfrm>
                        <a:noFill/>
                      </wpg:grpSpPr>
                      <wps:wsp>
                        <wps:cNvPr id="1073741993" name="Freeform 3"/>
                        <wps:cNvSpPr>
                          <a:spLocks/>
                        </wps:cNvSpPr>
                        <wps:spPr bwMode="auto">
                          <a:xfrm>
                            <a:off x="1414" y="-13229"/>
                            <a:ext cx="9014" cy="9885"/>
                          </a:xfrm>
                          <a:custGeom>
                            <a:avLst/>
                            <a:gdLst>
                              <a:gd name="T0" fmla="+- 0 1446 1446"/>
                              <a:gd name="T1" fmla="*/ T0 w 9014"/>
                              <a:gd name="T2" fmla="+- 0 11585 1701"/>
                              <a:gd name="T3" fmla="*/ 11585 h 9885"/>
                              <a:gd name="T4" fmla="+- 0 10460 1446"/>
                              <a:gd name="T5" fmla="*/ T4 w 9014"/>
                              <a:gd name="T6" fmla="+- 0 11585 1701"/>
                              <a:gd name="T7" fmla="*/ 11585 h 9885"/>
                              <a:gd name="T8" fmla="+- 0 10460 1446"/>
                              <a:gd name="T9" fmla="*/ T8 w 9014"/>
                              <a:gd name="T10" fmla="+- 0 1701 1701"/>
                              <a:gd name="T11" fmla="*/ 1701 h 9885"/>
                              <a:gd name="T12" fmla="+- 0 1446 1446"/>
                              <a:gd name="T13" fmla="*/ T12 w 9014"/>
                              <a:gd name="T14" fmla="+- 0 1701 1701"/>
                              <a:gd name="T15" fmla="*/ 1701 h 9885"/>
                              <a:gd name="T16" fmla="+- 0 1446 1446"/>
                              <a:gd name="T17" fmla="*/ T16 w 9014"/>
                              <a:gd name="T18" fmla="+- 0 11585 1701"/>
                              <a:gd name="T19" fmla="*/ 11585 h 9885"/>
                            </a:gdLst>
                            <a:ahLst/>
                            <a:cxnLst>
                              <a:cxn ang="0">
                                <a:pos x="T1" y="T3"/>
                              </a:cxn>
                              <a:cxn ang="0">
                                <a:pos x="T5" y="T7"/>
                              </a:cxn>
                              <a:cxn ang="0">
                                <a:pos x="T9" y="T11"/>
                              </a:cxn>
                              <a:cxn ang="0">
                                <a:pos x="T13" y="T15"/>
                              </a:cxn>
                              <a:cxn ang="0">
                                <a:pos x="T17" y="T19"/>
                              </a:cxn>
                            </a:cxnLst>
                            <a:rect l="0" t="0" r="r" b="b"/>
                            <a:pathLst>
                              <a:path w="9014" h="9885">
                                <a:moveTo>
                                  <a:pt x="0" y="9884"/>
                                </a:moveTo>
                                <a:lnTo>
                                  <a:pt x="9014" y="9884"/>
                                </a:lnTo>
                                <a:lnTo>
                                  <a:pt x="9014" y="0"/>
                                </a:lnTo>
                                <a:lnTo>
                                  <a:pt x="0" y="0"/>
                                </a:lnTo>
                                <a:lnTo>
                                  <a:pt x="0" y="9884"/>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6A483" id="Group 1073741992" o:spid="_x0000_s1026" style="position:absolute;margin-left:27.8pt;margin-top:-324.2pt;width:450.75pt;height:451.85pt;z-index:-251651072;mso-position-horizontal-relative:margin;mso-position-vertical-relative:margin" coordorigin="1414,-13229" coordsize="9014,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">
                <v:shape id="Freeform 3" o:spid="_x0000_s1027" style="position:absolute;left:1414;top:-13229;width:9014;height:9885;visibility:visible;mso-wrap-style:square;v-text-anchor:top" coordsize="9014,9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9NcgA&#10;AADjAAAADwAAAGRycy9kb3ducmV2LnhtbERPX2vCMBB/F/Ydwgl709Q61tkZZYhjE9lgbrA9Hs3Z&#10;FJtLSaJ2394Igz3e7//Nl71txYl8aBwrmIwzEMSV0w3XCr4+n0cPIEJE1tg6JgW/FGC5uBnMsdTu&#10;zB902sVapBAOJSowMXallKEyZDGMXUecuL3zFmM6fS21x3MKt63Ms+xeWmw4NRjsaGWoOuyOVoGN&#10;h2P+/vK2Md/hZ93VdptvfaHU7bB/egQRqY//4j/3q07zs2Ja3E1msylcf0oA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Jv01yAAAAOMAAAAPAAAAAAAAAAAAAAAAAJgCAABk&#10;cnMvZG93bnJldi54bWxQSwUGAAAAAAQABAD1AAAAjQMAAAAA&#10;" path="m,9884r9014,l9014,,,,,9884e" filled="f" stroked="f">
                  <v:path arrowok="t" o:connecttype="custom" o:connectlocs="0,11585;9014,11585;9014,1701;0,1701;0,11585" o:connectangles="0,0,0,0,0"/>
                </v:shape>
                <w10:wrap anchorx="margin" anchory="margin"/>
              </v:group>
            </w:pict>
          </mc:Fallback>
        </mc:AlternateContent>
      </w:r>
      <w:r w:rsidRPr="007078A2">
        <w:rPr>
          <w:rFonts w:asciiTheme="minorHAnsi" w:hAnsiTheme="minorHAnsi"/>
          <w:lang w:val="es-ES_tradnl"/>
        </w:rPr>
        <w:t>Las Américas: países más dinámicos en el IDT</w:t>
      </w:r>
      <w:bookmarkEnd w:id="48"/>
      <w:bookmarkEnd w:id="49"/>
    </w:p>
    <w:p w:rsidR="000A39FD" w:rsidRPr="007078A2" w:rsidRDefault="000A39FD" w:rsidP="002E567D">
      <w:pPr>
        <w:rPr>
          <w:lang w:val="es-ES_tradnl"/>
        </w:rPr>
      </w:pPr>
      <w:r w:rsidRPr="007078A2">
        <w:rPr>
          <w:lang w:val="es-ES_tradnl"/>
        </w:rPr>
        <w:t>Las mejoras más elevadas se observaron en varios países en de</w:t>
      </w:r>
      <w:r w:rsidR="002E567D" w:rsidRPr="007078A2">
        <w:rPr>
          <w:lang w:val="es-ES_tradnl"/>
        </w:rPr>
        <w:t>sarrollo de Sudamérica y países </w:t>
      </w:r>
      <w:r w:rsidRPr="007078A2">
        <w:rPr>
          <w:lang w:val="es-ES_tradnl"/>
        </w:rPr>
        <w:t>del Caribe. En Sudamérica, varios países con una clasificación relativamente elevada progresaron significativamente, a saber, Uruguay (+0,35), Argentina (+0,31), y Costa Rica y Brasil (+0,27), así como varios países relativamente peor clasifi</w:t>
      </w:r>
      <w:r w:rsidR="002E567D" w:rsidRPr="007078A2">
        <w:rPr>
          <w:lang w:val="es-ES_tradnl"/>
        </w:rPr>
        <w:t>cados, México (+0,42) y Bolivia </w:t>
      </w:r>
      <w:r w:rsidRPr="007078A2">
        <w:rPr>
          <w:lang w:val="es-ES_tradnl"/>
        </w:rPr>
        <w:t>(+0,53). Algunos países, en cambio, sólo progresaron ma</w:t>
      </w:r>
      <w:r w:rsidR="002E567D" w:rsidRPr="007078A2">
        <w:rPr>
          <w:lang w:val="es-ES_tradnl"/>
        </w:rPr>
        <w:t>rginalmente con respecto al año </w:t>
      </w:r>
      <w:r w:rsidRPr="007078A2">
        <w:rPr>
          <w:lang w:val="es-ES_tradnl"/>
        </w:rPr>
        <w:t>anterior.</w:t>
      </w:r>
    </w:p>
    <w:p w:rsidR="000A39FD" w:rsidRPr="007078A2" w:rsidRDefault="00442022" w:rsidP="00442022">
      <w:pPr>
        <w:spacing w:after="120"/>
        <w:rPr>
          <w:color w:val="000000" w:themeColor="text1"/>
          <w:lang w:val="es-ES_tradnl"/>
        </w:rPr>
      </w:pPr>
      <w:r>
        <w:rPr>
          <w:color w:val="000000" w:themeColor="text1"/>
          <w:lang w:val="es-ES_tradnl"/>
        </w:rPr>
        <w:t>El país que más progresó</w:t>
      </w:r>
      <w:r w:rsidR="000A39FD" w:rsidRPr="007078A2">
        <w:rPr>
          <w:color w:val="000000" w:themeColor="text1"/>
          <w:lang w:val="es-ES_tradnl"/>
        </w:rPr>
        <w:t xml:space="preserve"> en la región fue el estado insular carib</w:t>
      </w:r>
      <w:r w:rsidR="002E567D" w:rsidRPr="007078A2">
        <w:rPr>
          <w:color w:val="000000" w:themeColor="text1"/>
          <w:lang w:val="es-ES_tradnl"/>
        </w:rPr>
        <w:t xml:space="preserve">eño de </w:t>
      </w:r>
      <w:r>
        <w:rPr>
          <w:color w:val="000000" w:themeColor="text1"/>
          <w:lang w:val="es-ES_tradnl"/>
        </w:rPr>
        <w:t>Saint Kitts y Nevis</w:t>
      </w:r>
      <w:r w:rsidR="002E567D" w:rsidRPr="007078A2">
        <w:rPr>
          <w:color w:val="000000" w:themeColor="text1"/>
          <w:lang w:val="es-ES_tradnl"/>
        </w:rPr>
        <w:t>, que </w:t>
      </w:r>
      <w:r w:rsidR="000A39FD" w:rsidRPr="007078A2">
        <w:rPr>
          <w:color w:val="000000" w:themeColor="text1"/>
          <w:lang w:val="es-ES_tradnl"/>
        </w:rPr>
        <w:t>subió 20 rangos en la clasificación mundial, gracias a un au</w:t>
      </w:r>
      <w:r w:rsidR="002E567D" w:rsidRPr="007078A2">
        <w:rPr>
          <w:color w:val="000000" w:themeColor="text1"/>
          <w:lang w:val="es-ES_tradnl"/>
        </w:rPr>
        <w:t>mento de 0,98 de su IDT. Parece </w:t>
      </w:r>
      <w:r w:rsidR="000A39FD" w:rsidRPr="007078A2">
        <w:rPr>
          <w:color w:val="000000" w:themeColor="text1"/>
          <w:lang w:val="es-ES_tradnl"/>
        </w:rPr>
        <w:t>que esta mejora del IDT se debe a mejoras de las infraestructuras y a iniciativas comerciales de los operadores de comunicaciones (véase el Recuadro 3.9). Otros cinco países caribeños también obtuvieron mejoras sustanciales del valor de su IDT: Dominica (</w:t>
      </w:r>
      <w:r w:rsidR="002E567D" w:rsidRPr="007078A2">
        <w:rPr>
          <w:color w:val="000000" w:themeColor="text1"/>
          <w:lang w:val="es-ES_tradnl"/>
        </w:rPr>
        <w:t xml:space="preserve">+0,57), Granada (+0,46), </w:t>
      </w:r>
      <w:r w:rsidR="00474503" w:rsidRPr="007078A2">
        <w:rPr>
          <w:color w:val="000000" w:themeColor="text1"/>
          <w:lang w:val="es-ES_tradnl"/>
        </w:rPr>
        <w:t>Belice</w:t>
      </w:r>
      <w:r w:rsidR="002E567D" w:rsidRPr="007078A2">
        <w:rPr>
          <w:color w:val="000000" w:themeColor="text1"/>
          <w:lang w:val="es-ES_tradnl"/>
        </w:rPr>
        <w:t> </w:t>
      </w:r>
      <w:r w:rsidR="000A39FD" w:rsidRPr="007078A2">
        <w:rPr>
          <w:color w:val="000000" w:themeColor="text1"/>
          <w:lang w:val="es-ES_tradnl"/>
        </w:rPr>
        <w:t>(+0,33), Barbados (+0,31) y la República Dominicana (+0,28).</w:t>
      </w:r>
    </w:p>
    <w:tbl>
      <w:tblPr>
        <w:tblStyle w:val="TableGrid"/>
        <w:tblW w:w="0" w:type="auto"/>
        <w:shd w:val="clear" w:color="auto" w:fill="DEEAF6" w:themeFill="accent1" w:themeFillTint="33"/>
        <w:tblLook w:val="04A0" w:firstRow="1" w:lastRow="0" w:firstColumn="1" w:lastColumn="0" w:noHBand="0" w:noVBand="1"/>
      </w:tblPr>
      <w:tblGrid>
        <w:gridCol w:w="9350"/>
      </w:tblGrid>
      <w:tr w:rsidR="004C1B41" w:rsidRPr="00A32FCB" w:rsidTr="00124F94">
        <w:tc>
          <w:tcPr>
            <w:tcW w:w="9350" w:type="dxa"/>
            <w:tcBorders>
              <w:top w:val="nil"/>
              <w:left w:val="nil"/>
              <w:bottom w:val="nil"/>
              <w:right w:val="nil"/>
            </w:tcBorders>
            <w:shd w:val="clear" w:color="auto" w:fill="DEEAF6" w:themeFill="accent1" w:themeFillTint="33"/>
          </w:tcPr>
          <w:p w:rsidR="004C1B41" w:rsidRPr="00124F94" w:rsidRDefault="004C1B41" w:rsidP="00124F94">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b/>
                <w:bCs/>
                <w:sz w:val="20"/>
                <w:szCs w:val="20"/>
                <w:lang w:val="es-ES_tradnl"/>
              </w:rPr>
            </w:pPr>
            <w:r w:rsidRPr="00124F94">
              <w:rPr>
                <w:b/>
                <w:bCs/>
                <w:sz w:val="20"/>
                <w:szCs w:val="20"/>
                <w:lang w:val="es-ES_tradnl"/>
              </w:rPr>
              <w:t xml:space="preserve">Recuadro 3.9: Desarrollo de las TIC y evolución del IDT en </w:t>
            </w:r>
            <w:r w:rsidR="00442022">
              <w:rPr>
                <w:b/>
                <w:bCs/>
                <w:sz w:val="20"/>
                <w:szCs w:val="20"/>
                <w:lang w:val="es-ES_tradnl"/>
              </w:rPr>
              <w:t>Saint Kitts y Nevis</w:t>
            </w:r>
            <w:r w:rsidRPr="00124F94">
              <w:rPr>
                <w:b/>
                <w:bCs/>
                <w:sz w:val="20"/>
                <w:szCs w:val="20"/>
                <w:lang w:val="es-ES_tradnl"/>
              </w:rPr>
              <w:t xml:space="preserve"> y otros países del Este caribeño</w:t>
            </w:r>
          </w:p>
          <w:p w:rsidR="004C1B41" w:rsidRPr="00124F94" w:rsidRDefault="004C1B41" w:rsidP="00124F94">
            <w:pPr>
              <w:rPr>
                <w:rStyle w:val="st1"/>
                <w:sz w:val="20"/>
                <w:lang w:val="es-ES_tradnl"/>
              </w:rPr>
            </w:pPr>
            <w:r w:rsidRPr="00124F94">
              <w:rPr>
                <w:rStyle w:val="st1"/>
                <w:sz w:val="20"/>
                <w:lang w:val="es-ES_tradnl"/>
              </w:rPr>
              <w:lastRenderedPageBreak/>
              <w:t xml:space="preserve">El país más dinámico en el IDT 2016 fue </w:t>
            </w:r>
            <w:r w:rsidR="00442022">
              <w:rPr>
                <w:rStyle w:val="st1"/>
                <w:sz w:val="20"/>
                <w:lang w:val="es-ES_tradnl"/>
              </w:rPr>
              <w:t>Saint Kitts y Nevis</w:t>
            </w:r>
            <w:r w:rsidRPr="00124F94">
              <w:rPr>
                <w:rStyle w:val="st1"/>
                <w:sz w:val="20"/>
                <w:lang w:val="es-ES_tradnl"/>
              </w:rPr>
              <w:t>, que avanzó 20 rangos</w:t>
            </w:r>
            <w:r w:rsidR="00F074DE">
              <w:rPr>
                <w:rStyle w:val="st1"/>
                <w:sz w:val="20"/>
                <w:lang w:val="es-ES_tradnl"/>
              </w:rPr>
              <w:t xml:space="preserve"> y ocupa ahora el 34º puesto en </w:t>
            </w:r>
            <w:r w:rsidRPr="00124F94">
              <w:rPr>
                <w:rStyle w:val="st1"/>
                <w:sz w:val="20"/>
                <w:lang w:val="es-ES_tradnl"/>
              </w:rPr>
              <w:t>el índice de este año. Dos de sus vecinos del Este caribeño también progresa</w:t>
            </w:r>
            <w:r w:rsidR="00F074DE">
              <w:rPr>
                <w:rStyle w:val="st1"/>
                <w:sz w:val="20"/>
                <w:lang w:val="es-ES_tradnl"/>
              </w:rPr>
              <w:t>ron sustancialmente, Dominica y </w:t>
            </w:r>
            <w:r w:rsidRPr="00124F94">
              <w:rPr>
                <w:rStyle w:val="st1"/>
                <w:sz w:val="20"/>
                <w:lang w:val="es-ES_tradnl"/>
              </w:rPr>
              <w:t>Granada. Los países han mejorado la mayoría de los indicadores que constitu</w:t>
            </w:r>
            <w:r w:rsidR="00F074DE">
              <w:rPr>
                <w:rStyle w:val="st1"/>
                <w:sz w:val="20"/>
                <w:lang w:val="es-ES_tradnl"/>
              </w:rPr>
              <w:t>yen el IDT, aunque con distinto </w:t>
            </w:r>
            <w:r w:rsidRPr="00124F94">
              <w:rPr>
                <w:rStyle w:val="st1"/>
                <w:sz w:val="20"/>
                <w:lang w:val="es-ES_tradnl"/>
              </w:rPr>
              <w:t>éxito.</w:t>
            </w:r>
          </w:p>
          <w:p w:rsidR="004C1B41" w:rsidRPr="00124F94" w:rsidRDefault="00442022" w:rsidP="00442022">
            <w:pPr>
              <w:rPr>
                <w:rStyle w:val="st1"/>
                <w:sz w:val="20"/>
                <w:lang w:val="es-ES_tradnl"/>
              </w:rPr>
            </w:pPr>
            <w:r>
              <w:rPr>
                <w:rStyle w:val="st1"/>
                <w:sz w:val="20"/>
                <w:lang w:val="es-ES_tradnl"/>
              </w:rPr>
              <w:t>Saint Kitts y Nevis</w:t>
            </w:r>
            <w:r w:rsidR="004C1B41" w:rsidRPr="00124F94">
              <w:rPr>
                <w:rStyle w:val="st1"/>
                <w:sz w:val="20"/>
                <w:lang w:val="es-ES_tradnl"/>
              </w:rPr>
              <w:t xml:space="preserve"> experimentó un aumento muy significativo y rápido de la</w:t>
            </w:r>
            <w:r w:rsidR="004F29F5">
              <w:rPr>
                <w:rStyle w:val="st1"/>
                <w:sz w:val="20"/>
                <w:lang w:val="es-ES_tradnl"/>
              </w:rPr>
              <w:t>s</w:t>
            </w:r>
            <w:r w:rsidR="004C1B41" w:rsidRPr="00124F94">
              <w:rPr>
                <w:rStyle w:val="st1"/>
                <w:sz w:val="20"/>
                <w:lang w:val="es-ES_tradnl"/>
              </w:rPr>
              <w:t xml:space="preserve"> suscripciones activas a la banda ancha móvil, gracias a una fuerte progresión de la</w:t>
            </w:r>
            <w:r w:rsidR="004F29F5">
              <w:rPr>
                <w:rStyle w:val="st1"/>
                <w:sz w:val="20"/>
                <w:lang w:val="es-ES_tradnl"/>
              </w:rPr>
              <w:t>s</w:t>
            </w:r>
            <w:r w:rsidR="004C1B41" w:rsidRPr="00124F94">
              <w:rPr>
                <w:rStyle w:val="st1"/>
                <w:sz w:val="20"/>
                <w:lang w:val="es-ES_tradnl"/>
              </w:rPr>
              <w:t xml:space="preserve"> suscripciones móviles celulares. La tasa de penetración</w:t>
            </w:r>
            <w:r>
              <w:rPr>
                <w:rStyle w:val="st1"/>
                <w:sz w:val="20"/>
                <w:lang w:val="es-ES_tradnl"/>
              </w:rPr>
              <w:t xml:space="preserve"> de la banda ancha móvil aumentó</w:t>
            </w:r>
            <w:r w:rsidR="004C1B41" w:rsidRPr="00124F94">
              <w:rPr>
                <w:rStyle w:val="st1"/>
                <w:sz w:val="20"/>
                <w:lang w:val="es-ES_tradnl"/>
              </w:rPr>
              <w:t xml:space="preserve"> de apenas 18,6 por 100 habitantes en 2014 a 71,0 en 2015.</w:t>
            </w:r>
            <w:r>
              <w:rPr>
                <w:rStyle w:val="st1"/>
                <w:sz w:val="20"/>
                <w:lang w:val="es-ES_tradnl"/>
              </w:rPr>
              <w:t xml:space="preserve"> Una</w:t>
            </w:r>
            <w:r w:rsidR="004C1B41" w:rsidRPr="00124F94">
              <w:rPr>
                <w:rStyle w:val="st1"/>
                <w:sz w:val="20"/>
                <w:lang w:val="es-ES_tradnl"/>
              </w:rPr>
              <w:t xml:space="preserve"> tendencia similar se pudo observar en Granada, donde la penetración de la banda ancha móvil pasó de apenas 2</w:t>
            </w:r>
            <w:r>
              <w:rPr>
                <w:rStyle w:val="st1"/>
                <w:sz w:val="20"/>
                <w:lang w:val="es-ES_tradnl"/>
              </w:rPr>
              <w:t>,6 por 100 </w:t>
            </w:r>
            <w:r w:rsidR="004C1B41" w:rsidRPr="00124F94">
              <w:rPr>
                <w:rStyle w:val="st1"/>
                <w:sz w:val="20"/>
                <w:lang w:val="es-ES_tradnl"/>
              </w:rPr>
              <w:t>habitantes en 2014 a 28,8 en 2015. Dominica experimentó un aumento de 29,3 a 42,2 suscripciones activas a la banda ancha móvil por 100 habitantes durante el año pasado, así como mejoras sustanciales de la penetración de la banda ancha fija, la proporción de usuarios de Internet, y los hogares con acceso a Internet.</w:t>
            </w:r>
          </w:p>
          <w:p w:rsidR="004C1B41" w:rsidRPr="00124F94" w:rsidRDefault="004C1B41" w:rsidP="00124F94">
            <w:pPr>
              <w:rPr>
                <w:rStyle w:val="st1"/>
                <w:sz w:val="20"/>
                <w:lang w:val="es-ES_tradnl"/>
              </w:rPr>
            </w:pPr>
            <w:r w:rsidRPr="00124F94">
              <w:rPr>
                <w:rStyle w:val="st1"/>
                <w:sz w:val="20"/>
                <w:lang w:val="es-ES_tradnl"/>
              </w:rPr>
              <w:t xml:space="preserve">Parece que varios factores han contribuido a esta tendencia. En </w:t>
            </w:r>
            <w:r w:rsidR="00442022">
              <w:rPr>
                <w:rStyle w:val="st1"/>
                <w:sz w:val="20"/>
                <w:lang w:val="es-ES_tradnl"/>
              </w:rPr>
              <w:t>Saint Kitts y Nevis</w:t>
            </w:r>
            <w:r w:rsidRPr="00124F94">
              <w:rPr>
                <w:rStyle w:val="st1"/>
                <w:sz w:val="20"/>
                <w:lang w:val="es-ES_tradnl"/>
              </w:rPr>
              <w:t>, el coste de la banda ancha móvil de pago previo disminuyó de 51,9 USD en 2014 a 13,7 USD en 2015. También se empezaron a ofrecer varias promociones y opciones gratuitas, que pueden haber tenido un impacto. Digicel ofreció promociones ocasionales de crédito gratuito en 2014. A finales de 2014 y durante todo 2015, Digicel ofreció gratuitamente Wikipedia, medios sociales (Facebook, Twitter, Instagram y más adelante WhatsApp), y promociones de triple crédito varias veces al mes.</w:t>
            </w:r>
          </w:p>
          <w:p w:rsidR="004C1B41" w:rsidRPr="00124F94" w:rsidRDefault="004C1B41" w:rsidP="00124F94">
            <w:pPr>
              <w:spacing w:after="120"/>
              <w:rPr>
                <w:rStyle w:val="st1"/>
                <w:sz w:val="20"/>
                <w:lang w:val="es-ES_tradnl"/>
              </w:rPr>
            </w:pPr>
            <w:r w:rsidRPr="00124F94">
              <w:rPr>
                <w:rStyle w:val="st1"/>
                <w:sz w:val="20"/>
                <w:lang w:val="es-ES_tradnl"/>
              </w:rPr>
              <w:t xml:space="preserve">Los dos principales operadores de la región, Digicel y Cable &amp; Wireless Communications (C&amp;W), han realizado grandes inversiones en infraestructuras, que permiten obtener estos valores del </w:t>
            </w:r>
            <w:r w:rsidR="00F074DE">
              <w:rPr>
                <w:rStyle w:val="st1"/>
                <w:sz w:val="20"/>
                <w:lang w:val="es-ES_tradnl"/>
              </w:rPr>
              <w:t>IDT local. C&amp;W lanzó en 2014 el </w:t>
            </w:r>
            <w:r w:rsidRPr="00124F94">
              <w:rPr>
                <w:rStyle w:val="st1"/>
                <w:sz w:val="20"/>
                <w:lang w:val="es-ES_tradnl"/>
              </w:rPr>
              <w:t>proyecto Marlin, en el que invirtió 250 millones USD destinados a mejorar y poner al día su red en toda la región</w:t>
            </w:r>
            <w:r w:rsidRPr="00F074DE">
              <w:rPr>
                <w:rStyle w:val="st1"/>
                <w:sz w:val="20"/>
                <w:vertAlign w:val="superscript"/>
                <w:lang w:val="es-ES_tradnl"/>
              </w:rPr>
              <w:endnoteReference w:id="29"/>
            </w:r>
            <w:r w:rsidRPr="00124F94">
              <w:rPr>
                <w:rStyle w:val="st1"/>
                <w:sz w:val="20"/>
                <w:lang w:val="es-ES_tradnl"/>
              </w:rPr>
              <w:t>. Según C&amp;W, ha podido mejorar significativamente la resistencia y velocidad de su red, y transmite ahora 104% más tráfico en redes móviles y 42% más tráfico en redes fijas en 2016 que en años anteriores. Digicel también ha invertido considerablemente en la región durante los tres años transcurridos hasta el 31 de marzo de 2015 (Digicel, 2015).</w:t>
            </w:r>
          </w:p>
        </w:tc>
      </w:tr>
    </w:tbl>
    <w:p w:rsidR="000A39FD" w:rsidRPr="007078A2" w:rsidRDefault="000A39FD" w:rsidP="002E567D">
      <w:pPr>
        <w:rPr>
          <w:lang w:val="es-ES_tradnl"/>
        </w:rPr>
      </w:pPr>
      <w:r w:rsidRPr="007078A2">
        <w:rPr>
          <w:lang w:val="es-ES_tradnl"/>
        </w:rPr>
        <w:lastRenderedPageBreak/>
        <w:t xml:space="preserve">En el Cuadro 3.4 se indican los países más dinámicos de la región de las Américas en las clasificaciones y los valores del IDT. En ambos casos, los más dinámicos son los tres estados insulares del Este caribeño, </w:t>
      </w:r>
      <w:r w:rsidR="00442022">
        <w:rPr>
          <w:lang w:val="es-ES_tradnl"/>
        </w:rPr>
        <w:t>Saint Kitts y Nevis</w:t>
      </w:r>
      <w:r w:rsidRPr="007078A2">
        <w:rPr>
          <w:lang w:val="es-ES_tradnl"/>
        </w:rPr>
        <w:t>, Dominica y Granada, que comparten un organismo común de reglamentación de las comunicaciones. El país más dinámico de América continental es, también en ambos casos, Bolivia.</w:t>
      </w:r>
    </w:p>
    <w:p w:rsidR="000A39FD" w:rsidRPr="007078A2" w:rsidRDefault="000A39FD" w:rsidP="00B52F47">
      <w:pPr>
        <w:pStyle w:val="FigureNotitle"/>
      </w:pPr>
      <w:r w:rsidRPr="007078A2">
        <w:t>Cuadro 3.4: Países más dinámicos en las cla</w:t>
      </w:r>
      <w:r w:rsidR="00B52F47" w:rsidRPr="007078A2">
        <w:t>sificaciones y valores del IDT,</w:t>
      </w:r>
      <w:r w:rsidR="00B52F47" w:rsidRPr="007078A2">
        <w:br/>
      </w:r>
      <w:r w:rsidRPr="007078A2">
        <w:t>re</w:t>
      </w:r>
      <w:r w:rsidR="00B52F47" w:rsidRPr="007078A2">
        <w:t>gión de las Américas</w:t>
      </w:r>
      <w:r w:rsidRPr="007078A2">
        <w:t>, 2015-2016</w:t>
      </w:r>
    </w:p>
    <w:tbl>
      <w:tblPr>
        <w:tblStyle w:val="TableGrid"/>
        <w:tblW w:w="9582" w:type="dxa"/>
        <w:tblCellMar>
          <w:left w:w="0" w:type="dxa"/>
          <w:right w:w="0" w:type="dxa"/>
        </w:tblCellMar>
        <w:tblLook w:val="04A0" w:firstRow="1" w:lastRow="0" w:firstColumn="1" w:lastColumn="0" w:noHBand="0" w:noVBand="1"/>
      </w:tblPr>
      <w:tblGrid>
        <w:gridCol w:w="1205"/>
        <w:gridCol w:w="907"/>
        <w:gridCol w:w="1474"/>
        <w:gridCol w:w="1205"/>
        <w:gridCol w:w="1205"/>
        <w:gridCol w:w="907"/>
        <w:gridCol w:w="1474"/>
        <w:gridCol w:w="1205"/>
      </w:tblGrid>
      <w:tr w:rsidR="004C1B41" w:rsidRPr="00A32FCB" w:rsidTr="004C1B41">
        <w:tc>
          <w:tcPr>
            <w:tcW w:w="4791" w:type="dxa"/>
            <w:gridSpan w:val="4"/>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2E74B5" w:themeFill="accent1" w:themeFillShade="BF"/>
            <w:vAlign w:val="center"/>
          </w:tcPr>
          <w:p w:rsidR="004C1B41" w:rsidRPr="007078A2" w:rsidRDefault="004C1B41" w:rsidP="004C1B41">
            <w:pPr>
              <w:spacing w:before="40" w:after="40"/>
              <w:jc w:val="center"/>
              <w:rPr>
                <w:b/>
                <w:bCs/>
                <w:color w:val="FFFFFF" w:themeColor="background1"/>
                <w:sz w:val="20"/>
                <w:lang w:val="es-ES_tradnl"/>
              </w:rPr>
            </w:pPr>
            <w:r w:rsidRPr="007078A2">
              <w:rPr>
                <w:b/>
                <w:bCs/>
                <w:color w:val="FFFFFF" w:themeColor="background1"/>
                <w:sz w:val="20"/>
                <w:lang w:val="es-ES_tradnl"/>
              </w:rPr>
              <w:t>Cambio de clasificación en el IDT</w:t>
            </w:r>
          </w:p>
        </w:tc>
        <w:tc>
          <w:tcPr>
            <w:tcW w:w="4791" w:type="dxa"/>
            <w:gridSpan w:val="4"/>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4C1B41" w:rsidRPr="007078A2" w:rsidRDefault="004C1B41" w:rsidP="004C1B41">
            <w:pPr>
              <w:spacing w:before="40" w:after="40"/>
              <w:jc w:val="center"/>
              <w:rPr>
                <w:b/>
                <w:bCs/>
                <w:color w:val="FFFFFF" w:themeColor="background1"/>
                <w:sz w:val="20"/>
                <w:lang w:val="es-ES_tradnl"/>
              </w:rPr>
            </w:pPr>
            <w:r w:rsidRPr="007078A2">
              <w:rPr>
                <w:b/>
                <w:bCs/>
                <w:color w:val="FFFFFF" w:themeColor="background1"/>
                <w:sz w:val="20"/>
                <w:lang w:val="es-ES_tradnl"/>
              </w:rPr>
              <w:t>Cambio de valor del IDT (absoluto)</w:t>
            </w:r>
          </w:p>
        </w:tc>
      </w:tr>
      <w:tr w:rsidR="004C1B41" w:rsidRPr="00A32FCB" w:rsidTr="004C1B41">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4C1B41" w:rsidRPr="007078A2" w:rsidRDefault="004C1B41" w:rsidP="004C1B41">
            <w:pPr>
              <w:spacing w:before="40" w:after="40"/>
              <w:jc w:val="center"/>
              <w:rPr>
                <w:b/>
                <w:bCs/>
                <w:color w:val="FFFFFF" w:themeColor="background1"/>
                <w:sz w:val="20"/>
                <w:lang w:val="es-ES_tradnl"/>
              </w:rPr>
            </w:pPr>
            <w:r w:rsidRPr="007078A2">
              <w:rPr>
                <w:b/>
                <w:bCs/>
                <w:color w:val="FFFFFF" w:themeColor="background1"/>
                <w:sz w:val="20"/>
                <w:lang w:val="es-ES_tradnl"/>
              </w:rPr>
              <w:t>Rango en el IDT 2016</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4C1B41" w:rsidRPr="007078A2" w:rsidRDefault="004C1B41" w:rsidP="004C1B41">
            <w:pPr>
              <w:spacing w:before="40" w:after="40"/>
              <w:jc w:val="center"/>
              <w:rPr>
                <w:b/>
                <w:bCs/>
                <w:color w:val="FFFFFF" w:themeColor="background1"/>
                <w:sz w:val="20"/>
                <w:lang w:val="es-ES_tradnl"/>
              </w:rPr>
            </w:pPr>
            <w:r w:rsidRPr="007078A2">
              <w:rPr>
                <w:b/>
                <w:bCs/>
                <w:color w:val="FFFFFF" w:themeColor="background1"/>
                <w:sz w:val="20"/>
                <w:lang w:val="es-ES_tradnl"/>
              </w:rPr>
              <w:t>Rango regional</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4C1B41" w:rsidRPr="007078A2" w:rsidRDefault="004C1B41" w:rsidP="004C1B41">
            <w:pPr>
              <w:spacing w:before="40" w:after="40"/>
              <w:jc w:val="center"/>
              <w:rPr>
                <w:b/>
                <w:bCs/>
                <w:color w:val="FFFFFF" w:themeColor="background1"/>
                <w:sz w:val="20"/>
                <w:lang w:val="es-ES_tradnl"/>
              </w:rPr>
            </w:pPr>
            <w:r w:rsidRPr="007078A2">
              <w:rPr>
                <w:b/>
                <w:bCs/>
                <w:color w:val="FFFFFF" w:themeColor="background1"/>
                <w:sz w:val="20"/>
                <w:lang w:val="es-ES_tradnl"/>
              </w:rPr>
              <w:t>País</w:t>
            </w:r>
          </w:p>
        </w:tc>
        <w:tc>
          <w:tcPr>
            <w:tcW w:w="120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2E74B5" w:themeFill="accent1" w:themeFillShade="BF"/>
            <w:vAlign w:val="center"/>
          </w:tcPr>
          <w:p w:rsidR="004C1B41" w:rsidRPr="007078A2" w:rsidRDefault="004C1B41" w:rsidP="004C1B41">
            <w:pPr>
              <w:spacing w:before="40" w:after="40"/>
              <w:jc w:val="center"/>
              <w:rPr>
                <w:b/>
                <w:bCs/>
                <w:color w:val="FFFFFF" w:themeColor="background1"/>
                <w:sz w:val="20"/>
                <w:lang w:val="es-ES_tradnl"/>
              </w:rPr>
            </w:pPr>
            <w:r w:rsidRPr="007078A2">
              <w:rPr>
                <w:b/>
                <w:bCs/>
                <w:color w:val="FFFFFF" w:themeColor="background1"/>
                <w:sz w:val="20"/>
                <w:lang w:val="es-ES_tradnl"/>
              </w:rPr>
              <w:t>Cambio en el rango del IDT</w:t>
            </w:r>
          </w:p>
        </w:tc>
        <w:tc>
          <w:tcPr>
            <w:tcW w:w="1205"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4C1B41" w:rsidRPr="007078A2" w:rsidRDefault="004C1B41" w:rsidP="004C1B41">
            <w:pPr>
              <w:spacing w:before="40" w:after="40"/>
              <w:jc w:val="center"/>
              <w:rPr>
                <w:b/>
                <w:bCs/>
                <w:color w:val="FFFFFF" w:themeColor="background1"/>
                <w:sz w:val="20"/>
                <w:lang w:val="es-ES_tradnl"/>
              </w:rPr>
            </w:pPr>
            <w:r w:rsidRPr="007078A2">
              <w:rPr>
                <w:b/>
                <w:bCs/>
                <w:color w:val="FFFFFF" w:themeColor="background1"/>
                <w:sz w:val="20"/>
                <w:lang w:val="es-ES_tradnl"/>
              </w:rPr>
              <w:t>Rango en el IDT 2016</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4C1B41" w:rsidRPr="007078A2" w:rsidRDefault="004C1B41" w:rsidP="004C1B41">
            <w:pPr>
              <w:spacing w:before="40" w:after="40"/>
              <w:jc w:val="center"/>
              <w:rPr>
                <w:b/>
                <w:bCs/>
                <w:color w:val="FFFFFF" w:themeColor="background1"/>
                <w:sz w:val="20"/>
                <w:lang w:val="es-ES_tradnl"/>
              </w:rPr>
            </w:pPr>
            <w:r w:rsidRPr="007078A2">
              <w:rPr>
                <w:b/>
                <w:bCs/>
                <w:color w:val="FFFFFF" w:themeColor="background1"/>
                <w:sz w:val="20"/>
                <w:lang w:val="es-ES_tradnl"/>
              </w:rPr>
              <w:t>Rango regional</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4C1B41" w:rsidRPr="007078A2" w:rsidRDefault="004C1B41" w:rsidP="004C1B41">
            <w:pPr>
              <w:spacing w:before="40" w:after="40"/>
              <w:jc w:val="center"/>
              <w:rPr>
                <w:b/>
                <w:bCs/>
                <w:color w:val="FFFFFF" w:themeColor="background1"/>
                <w:sz w:val="20"/>
                <w:lang w:val="es-ES_tradnl"/>
              </w:rPr>
            </w:pPr>
            <w:r w:rsidRPr="007078A2">
              <w:rPr>
                <w:b/>
                <w:bCs/>
                <w:color w:val="FFFFFF" w:themeColor="background1"/>
                <w:sz w:val="20"/>
                <w:lang w:val="es-ES_tradnl"/>
              </w:rPr>
              <w:t>País</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4C1B41" w:rsidRPr="007078A2" w:rsidRDefault="004C1B41" w:rsidP="004C1B41">
            <w:pPr>
              <w:spacing w:before="40" w:after="40"/>
              <w:jc w:val="center"/>
              <w:rPr>
                <w:b/>
                <w:bCs/>
                <w:color w:val="FFFFFF" w:themeColor="background1"/>
                <w:sz w:val="20"/>
                <w:lang w:val="es-ES_tradnl"/>
              </w:rPr>
            </w:pPr>
            <w:r w:rsidRPr="007078A2">
              <w:rPr>
                <w:b/>
                <w:bCs/>
                <w:color w:val="FFFFFF" w:themeColor="background1"/>
                <w:sz w:val="20"/>
                <w:lang w:val="es-ES_tradnl"/>
              </w:rPr>
              <w:t>Cambio de valor del IDT</w:t>
            </w:r>
          </w:p>
        </w:tc>
      </w:tr>
      <w:tr w:rsidR="004C1B41" w:rsidRPr="007078A2" w:rsidTr="004C1B41">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34</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3</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spacing w:before="40" w:after="40"/>
              <w:jc w:val="center"/>
              <w:rPr>
                <w:sz w:val="18"/>
                <w:szCs w:val="18"/>
                <w:lang w:val="es-ES_tradnl"/>
              </w:rPr>
            </w:pPr>
            <w:r w:rsidRPr="007078A2">
              <w:rPr>
                <w:sz w:val="18"/>
                <w:szCs w:val="18"/>
                <w:lang w:val="es-ES_tradnl"/>
              </w:rPr>
              <w:t>Saint Kitts y Nevis</w:t>
            </w:r>
          </w:p>
        </w:tc>
        <w:tc>
          <w:tcPr>
            <w:tcW w:w="120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20</w:t>
            </w:r>
          </w:p>
        </w:tc>
        <w:tc>
          <w:tcPr>
            <w:tcW w:w="1205"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34</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3</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18"/>
                <w:szCs w:val="18"/>
                <w:lang w:val="es-ES_tradnl"/>
              </w:rPr>
            </w:pPr>
            <w:r w:rsidRPr="007078A2">
              <w:rPr>
                <w:sz w:val="18"/>
                <w:szCs w:val="18"/>
                <w:lang w:val="es-ES_tradnl"/>
              </w:rPr>
              <w:t>Saint Kitts y Nevis</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0,98</w:t>
            </w:r>
          </w:p>
        </w:tc>
      </w:tr>
      <w:tr w:rsidR="004C1B41" w:rsidRPr="007078A2" w:rsidTr="004C1B41">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69</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12</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18"/>
                <w:szCs w:val="18"/>
                <w:lang w:val="es-ES_tradnl"/>
              </w:rPr>
            </w:pPr>
            <w:r w:rsidRPr="007078A2">
              <w:rPr>
                <w:sz w:val="18"/>
                <w:szCs w:val="18"/>
                <w:lang w:val="es-ES_tradnl"/>
              </w:rPr>
              <w:t>Dominica</w:t>
            </w:r>
          </w:p>
        </w:tc>
        <w:tc>
          <w:tcPr>
            <w:tcW w:w="120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8</w:t>
            </w:r>
          </w:p>
        </w:tc>
        <w:tc>
          <w:tcPr>
            <w:tcW w:w="1205"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69</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12</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18"/>
                <w:szCs w:val="18"/>
                <w:lang w:val="es-ES_tradnl"/>
              </w:rPr>
            </w:pPr>
            <w:r w:rsidRPr="007078A2">
              <w:rPr>
                <w:sz w:val="18"/>
                <w:szCs w:val="18"/>
                <w:lang w:val="es-ES_tradnl"/>
              </w:rPr>
              <w:t>Dominica</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0,57</w:t>
            </w:r>
          </w:p>
        </w:tc>
      </w:tr>
      <w:tr w:rsidR="004C1B41" w:rsidRPr="007078A2" w:rsidTr="004C1B41">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74</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13</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18"/>
                <w:szCs w:val="18"/>
                <w:lang w:val="es-ES_tradnl"/>
              </w:rPr>
            </w:pPr>
            <w:r w:rsidRPr="007078A2">
              <w:rPr>
                <w:sz w:val="18"/>
                <w:szCs w:val="18"/>
                <w:lang w:val="es-ES_tradnl"/>
              </w:rPr>
              <w:t>Granada</w:t>
            </w:r>
          </w:p>
        </w:tc>
        <w:tc>
          <w:tcPr>
            <w:tcW w:w="120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8</w:t>
            </w:r>
          </w:p>
        </w:tc>
        <w:tc>
          <w:tcPr>
            <w:tcW w:w="1205"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111</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27</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spacing w:before="40" w:after="40"/>
              <w:jc w:val="center"/>
              <w:rPr>
                <w:sz w:val="18"/>
                <w:szCs w:val="18"/>
                <w:lang w:val="es-ES_tradnl"/>
              </w:rPr>
            </w:pPr>
            <w:r w:rsidRPr="007078A2">
              <w:rPr>
                <w:sz w:val="18"/>
                <w:szCs w:val="18"/>
                <w:lang w:val="es-ES_tradnl"/>
              </w:rPr>
              <w:t>Bolivia (Estado Plurinacional de)</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0,53</w:t>
            </w:r>
          </w:p>
        </w:tc>
      </w:tr>
      <w:tr w:rsidR="004C1B41" w:rsidRPr="007078A2" w:rsidTr="004C1B41">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111</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27</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spacing w:before="40" w:after="40"/>
              <w:jc w:val="center"/>
              <w:rPr>
                <w:sz w:val="18"/>
                <w:szCs w:val="18"/>
                <w:lang w:val="es-ES_tradnl"/>
              </w:rPr>
            </w:pPr>
            <w:r w:rsidRPr="007078A2">
              <w:rPr>
                <w:sz w:val="18"/>
                <w:szCs w:val="18"/>
                <w:lang w:val="es-ES_tradnl"/>
              </w:rPr>
              <w:t>Bolivia (Estado Plurinacional de)</w:t>
            </w:r>
          </w:p>
        </w:tc>
        <w:tc>
          <w:tcPr>
            <w:tcW w:w="120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6</w:t>
            </w:r>
          </w:p>
        </w:tc>
        <w:tc>
          <w:tcPr>
            <w:tcW w:w="1205"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74</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13</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18"/>
                <w:szCs w:val="18"/>
                <w:lang w:val="es-ES_tradnl"/>
              </w:rPr>
            </w:pPr>
            <w:r w:rsidRPr="007078A2">
              <w:rPr>
                <w:sz w:val="18"/>
                <w:szCs w:val="18"/>
                <w:lang w:val="es-ES_tradnl"/>
              </w:rPr>
              <w:t>Granada</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0,46</w:t>
            </w:r>
          </w:p>
        </w:tc>
      </w:tr>
      <w:tr w:rsidR="004C1B41" w:rsidRPr="007078A2" w:rsidTr="004C1B41">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35</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4</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18"/>
                <w:szCs w:val="18"/>
                <w:lang w:val="es-ES_tradnl"/>
              </w:rPr>
            </w:pPr>
            <w:r w:rsidRPr="007078A2">
              <w:rPr>
                <w:sz w:val="18"/>
                <w:szCs w:val="18"/>
                <w:lang w:val="es-ES_tradnl"/>
              </w:rPr>
              <w:t>Barbados</w:t>
            </w:r>
          </w:p>
        </w:tc>
        <w:tc>
          <w:tcPr>
            <w:tcW w:w="120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4</w:t>
            </w:r>
          </w:p>
        </w:tc>
        <w:tc>
          <w:tcPr>
            <w:tcW w:w="1205"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92</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19</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18"/>
                <w:szCs w:val="18"/>
                <w:lang w:val="es-ES_tradnl"/>
              </w:rPr>
            </w:pP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0,42</w:t>
            </w:r>
          </w:p>
        </w:tc>
      </w:tr>
      <w:tr w:rsidR="004C1B41" w:rsidRPr="007078A2" w:rsidTr="004C1B41">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92</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19</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18"/>
                <w:szCs w:val="18"/>
                <w:lang w:val="es-ES_tradnl"/>
              </w:rPr>
            </w:pPr>
            <w:r w:rsidRPr="007078A2">
              <w:rPr>
                <w:sz w:val="18"/>
                <w:szCs w:val="18"/>
                <w:lang w:val="es-ES_tradnl"/>
              </w:rPr>
              <w:t>México</w:t>
            </w:r>
          </w:p>
        </w:tc>
        <w:tc>
          <w:tcPr>
            <w:tcW w:w="120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4</w:t>
            </w:r>
          </w:p>
        </w:tc>
        <w:tc>
          <w:tcPr>
            <w:tcW w:w="1205"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18"/>
                <w:szCs w:val="18"/>
                <w:lang w:val="es-ES_tradnl"/>
              </w:rPr>
            </w:pP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p>
        </w:tc>
      </w:tr>
    </w:tbl>
    <w:p w:rsidR="000A39FD" w:rsidRPr="007078A2" w:rsidRDefault="000A39FD" w:rsidP="004C1B41">
      <w:pPr>
        <w:jc w:val="both"/>
        <w:rPr>
          <w:sz w:val="18"/>
          <w:szCs w:val="18"/>
          <w:lang w:val="es-ES_tradnl"/>
        </w:rPr>
      </w:pPr>
      <w:r w:rsidRPr="007078A2">
        <w:rPr>
          <w:sz w:val="18"/>
          <w:szCs w:val="18"/>
          <w:lang w:val="es-ES_tradnl"/>
        </w:rPr>
        <w:t>Origen: UIT</w:t>
      </w:r>
    </w:p>
    <w:p w:rsidR="000A39FD" w:rsidRPr="007078A2" w:rsidRDefault="000A39FD" w:rsidP="004C1B41">
      <w:pPr>
        <w:rPr>
          <w:lang w:val="es-ES_tradnl"/>
        </w:rPr>
      </w:pPr>
      <w:r w:rsidRPr="007078A2">
        <w:rPr>
          <w:lang w:val="es-ES_tradnl"/>
        </w:rPr>
        <w:t>La región de las Américas comparte la tendencia general del IDT, a saber que las mejoras más notables se han producido en el indicador de la penetración de la banda ancha móvil. Los aumentos de este indicador se deben a grandes aumentos en varios países caribeños (</w:t>
      </w:r>
      <w:r w:rsidR="00442022">
        <w:rPr>
          <w:lang w:val="es-ES_tradnl"/>
        </w:rPr>
        <w:t>Saint Kitts y Nevis</w:t>
      </w:r>
      <w:r w:rsidRPr="007078A2">
        <w:rPr>
          <w:lang w:val="es-ES_tradnl"/>
        </w:rPr>
        <w:t xml:space="preserve">, Granada, </w:t>
      </w:r>
      <w:r w:rsidR="00474503" w:rsidRPr="007078A2">
        <w:rPr>
          <w:lang w:val="es-ES_tradnl"/>
        </w:rPr>
        <w:t>Belice</w:t>
      </w:r>
      <w:r w:rsidRPr="007078A2">
        <w:rPr>
          <w:lang w:val="es-ES_tradnl"/>
        </w:rPr>
        <w:t xml:space="preserve"> y Jamaica) y cuatro países de Sudamérica continental (Bolivia, Uruguay, Argentina y Brasil). Como en otras regiones, también hubo mejoras significativas de las cifras medias de la proporción de usuarios de Internet y la proporción de hogares con Internet. Ecuador registró una reducción notable del indicador de la penetración móvil celular, debido aparentemente a una nueva ley de telecomunicaciones adoptada en 2015, que imponía un canon a cada línea activa por encima de un determinado umbral e incitó a los operadores móviles a purgar su cartera de abonados con tarjetas SIM inactivas</w:t>
      </w:r>
      <w:r w:rsidRPr="007078A2">
        <w:rPr>
          <w:rStyle w:val="EndnoteReference"/>
          <w:color w:val="000000" w:themeColor="text1"/>
          <w:lang w:val="es-ES_tradnl"/>
        </w:rPr>
        <w:endnoteReference w:id="30"/>
      </w:r>
      <w:r w:rsidRPr="007078A2">
        <w:rPr>
          <w:color w:val="000000" w:themeColor="text1"/>
          <w:lang w:val="es-ES_tradnl"/>
        </w:rPr>
        <w:t>. El Gráfico 3.4 contiene gráficos de Kiviat que indican las características de esos países</w:t>
      </w:r>
      <w:r w:rsidRPr="007078A2">
        <w:rPr>
          <w:lang w:val="es-ES_tradnl"/>
        </w:rPr>
        <w:t>.</w:t>
      </w:r>
    </w:p>
    <w:p w:rsidR="000A39FD" w:rsidRPr="007078A2" w:rsidRDefault="000A39FD" w:rsidP="00B52F47">
      <w:pPr>
        <w:pStyle w:val="FigureNotitle"/>
        <w:keepNext/>
      </w:pPr>
      <w:r w:rsidRPr="007078A2">
        <w:lastRenderedPageBreak/>
        <w:t>Gráfico 3.4: Valores del IDT, varios países, región de las Américas, 2015-2016</w:t>
      </w:r>
    </w:p>
    <w:p w:rsidR="000A39FD" w:rsidRPr="007078A2" w:rsidRDefault="000A39FD" w:rsidP="00FF14BC">
      <w:pPr>
        <w:rPr>
          <w:lang w:val="es-ES_tradnl"/>
        </w:rPr>
      </w:pPr>
      <w:r w:rsidRPr="007078A2">
        <w:rPr>
          <w:noProof/>
          <w:lang w:eastAsia="zh-CN"/>
        </w:rPr>
        <w:drawing>
          <wp:inline distT="0" distB="0" distL="0" distR="0" wp14:anchorId="6636D983" wp14:editId="614352C0">
            <wp:extent cx="5987488" cy="4435523"/>
            <wp:effectExtent l="0" t="0" r="0" b="3175"/>
            <wp:docPr id="1073741984" name="Picture 107374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6924" cy="4449921"/>
                    </a:xfrm>
                    <a:prstGeom prst="rect">
                      <a:avLst/>
                    </a:prstGeom>
                    <a:noFill/>
                  </pic:spPr>
                </pic:pic>
              </a:graphicData>
            </a:graphic>
          </wp:inline>
        </w:drawing>
      </w:r>
    </w:p>
    <w:p w:rsidR="000A39FD" w:rsidRPr="008641AA" w:rsidRDefault="000A39FD" w:rsidP="00B52F47">
      <w:pPr>
        <w:spacing w:before="0"/>
        <w:jc w:val="both"/>
        <w:rPr>
          <w:sz w:val="18"/>
          <w:szCs w:val="18"/>
          <w:lang w:val="en-US"/>
        </w:rPr>
      </w:pPr>
      <w:r w:rsidRPr="008641AA">
        <w:rPr>
          <w:sz w:val="18"/>
          <w:szCs w:val="18"/>
          <w:lang w:val="en-US"/>
        </w:rPr>
        <w:t>Origen: UIT</w:t>
      </w:r>
    </w:p>
    <w:p w:rsidR="00B52F47" w:rsidRPr="008641AA" w:rsidRDefault="00B52F47" w:rsidP="00B52F47">
      <w:pPr>
        <w:spacing w:before="0"/>
        <w:jc w:val="both"/>
        <w:rPr>
          <w:sz w:val="18"/>
          <w:szCs w:val="18"/>
          <w:lang w:val="en-US"/>
        </w:rPr>
      </w:pPr>
      <w:r w:rsidRPr="008641AA">
        <w:rPr>
          <w:sz w:val="18"/>
          <w:szCs w:val="18"/>
          <w:lang w:val="en-US"/>
        </w:rPr>
        <w:t>Saint Kitts y Nevis</w:t>
      </w:r>
    </w:p>
    <w:p w:rsidR="000A39FD" w:rsidRPr="007078A2" w:rsidRDefault="00B52F47" w:rsidP="00B52F47">
      <w:pPr>
        <w:tabs>
          <w:tab w:val="clear" w:pos="794"/>
          <w:tab w:val="left" w:pos="993"/>
        </w:tabs>
        <w:spacing w:before="0"/>
        <w:jc w:val="both"/>
        <w:rPr>
          <w:sz w:val="18"/>
          <w:szCs w:val="18"/>
          <w:lang w:val="es-ES_tradnl"/>
        </w:rPr>
      </w:pPr>
      <w:r w:rsidRPr="007078A2">
        <w:rPr>
          <w:sz w:val="18"/>
          <w:szCs w:val="18"/>
          <w:lang w:val="es-ES_tradnl"/>
        </w:rPr>
        <w:t>Dominica</w:t>
      </w:r>
      <w:r w:rsidRPr="007078A2">
        <w:rPr>
          <w:sz w:val="18"/>
          <w:szCs w:val="18"/>
          <w:lang w:val="es-ES_tradnl"/>
        </w:rPr>
        <w:tab/>
      </w:r>
      <w:r w:rsidR="004C1B41" w:rsidRPr="007078A2">
        <w:rPr>
          <w:sz w:val="18"/>
          <w:szCs w:val="18"/>
          <w:lang w:val="es-ES_tradnl"/>
        </w:rPr>
        <w:t>Bolivia (Estado Plurinacional de)</w:t>
      </w:r>
    </w:p>
    <w:p w:rsidR="00B52F47" w:rsidRPr="007078A2" w:rsidRDefault="00B52F47" w:rsidP="00B52F47">
      <w:pPr>
        <w:jc w:val="both"/>
        <w:rPr>
          <w:b/>
          <w:bCs/>
          <w:sz w:val="18"/>
          <w:szCs w:val="18"/>
          <w:lang w:val="es-ES_tradnl"/>
        </w:rPr>
      </w:pPr>
      <w:r w:rsidRPr="007078A2">
        <w:rPr>
          <w:b/>
          <w:bCs/>
          <w:sz w:val="18"/>
          <w:szCs w:val="18"/>
          <w:lang w:val="es-ES_tradnl"/>
        </w:rPr>
        <w:t>En el sentido de las agujas del reloj:</w:t>
      </w:r>
    </w:p>
    <w:p w:rsidR="00B52F47" w:rsidRPr="007078A2" w:rsidRDefault="00B52F47" w:rsidP="00B52F47">
      <w:pPr>
        <w:spacing w:before="0"/>
        <w:jc w:val="both"/>
        <w:rPr>
          <w:sz w:val="18"/>
          <w:szCs w:val="18"/>
          <w:lang w:val="es-ES_tradnl"/>
        </w:rPr>
      </w:pPr>
      <w:r w:rsidRPr="007078A2">
        <w:rPr>
          <w:sz w:val="18"/>
          <w:szCs w:val="18"/>
          <w:lang w:val="es-ES_tradnl"/>
        </w:rPr>
        <w:t>Suscripciones telefónicas fijas</w:t>
      </w:r>
    </w:p>
    <w:p w:rsidR="00B52F47" w:rsidRPr="007078A2" w:rsidRDefault="00B52F47" w:rsidP="00B52F47">
      <w:pPr>
        <w:spacing w:before="0"/>
        <w:jc w:val="both"/>
        <w:rPr>
          <w:sz w:val="18"/>
          <w:szCs w:val="18"/>
          <w:lang w:val="es-ES_tradnl"/>
        </w:rPr>
      </w:pPr>
      <w:r w:rsidRPr="007078A2">
        <w:rPr>
          <w:sz w:val="18"/>
          <w:szCs w:val="18"/>
          <w:lang w:val="es-ES_tradnl"/>
        </w:rPr>
        <w:t>Suscripciones móviles celulares</w:t>
      </w:r>
    </w:p>
    <w:p w:rsidR="00B52F47" w:rsidRPr="007078A2" w:rsidRDefault="00B52F47" w:rsidP="00B52F47">
      <w:pPr>
        <w:spacing w:before="0"/>
        <w:jc w:val="both"/>
        <w:rPr>
          <w:sz w:val="18"/>
          <w:szCs w:val="18"/>
          <w:lang w:val="es-ES_tradnl"/>
        </w:rPr>
      </w:pPr>
      <w:r w:rsidRPr="007078A2">
        <w:rPr>
          <w:sz w:val="18"/>
          <w:szCs w:val="18"/>
          <w:lang w:val="es-ES_tradnl"/>
        </w:rPr>
        <w:t>Ancho de banda Internet internacional por usuario de Internet</w:t>
      </w:r>
    </w:p>
    <w:p w:rsidR="00B52F47" w:rsidRPr="007078A2" w:rsidRDefault="00B52F47" w:rsidP="00B52F47">
      <w:pPr>
        <w:spacing w:before="0"/>
        <w:jc w:val="both"/>
        <w:rPr>
          <w:sz w:val="18"/>
          <w:szCs w:val="18"/>
          <w:lang w:val="es-ES_tradnl"/>
        </w:rPr>
      </w:pPr>
      <w:r w:rsidRPr="007078A2">
        <w:rPr>
          <w:sz w:val="18"/>
          <w:szCs w:val="18"/>
          <w:lang w:val="es-ES_tradnl"/>
        </w:rPr>
        <w:t>Hogares con computadora</w:t>
      </w:r>
    </w:p>
    <w:p w:rsidR="00B52F47" w:rsidRPr="007078A2" w:rsidRDefault="00B52F47" w:rsidP="00B52F47">
      <w:pPr>
        <w:spacing w:before="0"/>
        <w:jc w:val="both"/>
        <w:rPr>
          <w:sz w:val="18"/>
          <w:szCs w:val="18"/>
          <w:lang w:val="es-ES_tradnl"/>
        </w:rPr>
      </w:pPr>
      <w:r w:rsidRPr="007078A2">
        <w:rPr>
          <w:sz w:val="18"/>
          <w:szCs w:val="18"/>
          <w:lang w:val="es-ES_tradnl"/>
        </w:rPr>
        <w:t>Hogares con Internet</w:t>
      </w:r>
    </w:p>
    <w:p w:rsidR="00B52F47" w:rsidRPr="007078A2" w:rsidRDefault="00B52F47" w:rsidP="00B52F47">
      <w:pPr>
        <w:spacing w:before="0"/>
        <w:jc w:val="both"/>
        <w:rPr>
          <w:sz w:val="18"/>
          <w:szCs w:val="18"/>
          <w:lang w:val="es-ES_tradnl"/>
        </w:rPr>
      </w:pPr>
      <w:r w:rsidRPr="007078A2">
        <w:rPr>
          <w:sz w:val="18"/>
          <w:szCs w:val="18"/>
          <w:lang w:val="es-ES_tradnl"/>
        </w:rPr>
        <w:t xml:space="preserve">Usuarios de Internet </w:t>
      </w:r>
    </w:p>
    <w:p w:rsidR="00B52F47" w:rsidRPr="007078A2" w:rsidRDefault="00B52F47" w:rsidP="00B52F47">
      <w:pPr>
        <w:spacing w:before="0"/>
        <w:jc w:val="both"/>
        <w:rPr>
          <w:sz w:val="18"/>
          <w:szCs w:val="18"/>
          <w:lang w:val="es-ES_tradnl"/>
        </w:rPr>
      </w:pPr>
      <w:r w:rsidRPr="007078A2">
        <w:rPr>
          <w:sz w:val="18"/>
          <w:szCs w:val="18"/>
          <w:lang w:val="es-ES_tradnl"/>
        </w:rPr>
        <w:t xml:space="preserve">Suscripciones a la banda ancha fija </w:t>
      </w:r>
    </w:p>
    <w:p w:rsidR="00B52F47" w:rsidRPr="007078A2" w:rsidRDefault="00B52F47" w:rsidP="00B52F47">
      <w:pPr>
        <w:spacing w:before="0"/>
        <w:jc w:val="both"/>
        <w:rPr>
          <w:sz w:val="18"/>
          <w:szCs w:val="18"/>
          <w:lang w:val="es-ES_tradnl"/>
        </w:rPr>
      </w:pPr>
      <w:r w:rsidRPr="007078A2">
        <w:rPr>
          <w:sz w:val="18"/>
          <w:szCs w:val="18"/>
          <w:lang w:val="es-ES_tradnl"/>
        </w:rPr>
        <w:t xml:space="preserve">Suscripciones activas a la banda ancha móvil </w:t>
      </w:r>
    </w:p>
    <w:p w:rsidR="00B52F47" w:rsidRPr="007078A2" w:rsidRDefault="00B52F47" w:rsidP="00B52F47">
      <w:pPr>
        <w:spacing w:before="0"/>
        <w:jc w:val="both"/>
        <w:rPr>
          <w:sz w:val="18"/>
          <w:szCs w:val="18"/>
          <w:lang w:val="es-ES_tradnl"/>
        </w:rPr>
      </w:pPr>
      <w:r w:rsidRPr="007078A2">
        <w:rPr>
          <w:sz w:val="18"/>
          <w:szCs w:val="18"/>
          <w:lang w:val="es-ES_tradnl"/>
        </w:rPr>
        <w:t xml:space="preserve">Matriculaciones en la enseñanza secundaria </w:t>
      </w:r>
    </w:p>
    <w:p w:rsidR="00B52F47" w:rsidRPr="007078A2" w:rsidRDefault="00B52F47" w:rsidP="00B52F47">
      <w:pPr>
        <w:spacing w:before="0"/>
        <w:jc w:val="both"/>
        <w:rPr>
          <w:sz w:val="18"/>
          <w:szCs w:val="18"/>
          <w:lang w:val="es-ES_tradnl"/>
        </w:rPr>
      </w:pPr>
      <w:r w:rsidRPr="007078A2">
        <w:rPr>
          <w:sz w:val="18"/>
          <w:szCs w:val="18"/>
          <w:lang w:val="es-ES_tradnl"/>
        </w:rPr>
        <w:t>Matriculaciones en la enseñanza terciaria</w:t>
      </w:r>
    </w:p>
    <w:p w:rsidR="00B52F47" w:rsidRPr="007078A2" w:rsidRDefault="00B52F47" w:rsidP="00B52F47">
      <w:pPr>
        <w:spacing w:before="0"/>
        <w:jc w:val="both"/>
        <w:rPr>
          <w:sz w:val="18"/>
          <w:szCs w:val="18"/>
          <w:lang w:val="es-ES_tradnl"/>
        </w:rPr>
      </w:pPr>
      <w:r w:rsidRPr="007078A2">
        <w:rPr>
          <w:sz w:val="18"/>
          <w:szCs w:val="18"/>
          <w:lang w:val="es-ES_tradnl"/>
        </w:rPr>
        <w:t>Escolarización media en años</w:t>
      </w:r>
    </w:p>
    <w:p w:rsidR="000A39FD" w:rsidRPr="007078A2" w:rsidRDefault="000A39FD" w:rsidP="004C1B41">
      <w:pPr>
        <w:rPr>
          <w:lang w:val="es-ES_tradnl"/>
        </w:rPr>
      </w:pPr>
      <w:r w:rsidRPr="007078A2">
        <w:rPr>
          <w:lang w:val="es-ES_tradnl"/>
        </w:rPr>
        <w:t xml:space="preserve">Los gráficos de Kiviat ponen de manifiesto varias semejanzas y diferencias entre países dinámicos de la región. El gráfico correspondiente a </w:t>
      </w:r>
      <w:r w:rsidR="00442022">
        <w:rPr>
          <w:lang w:val="es-ES_tradnl"/>
        </w:rPr>
        <w:t>Saint Kitts y Nevis</w:t>
      </w:r>
      <w:r w:rsidRPr="007078A2">
        <w:rPr>
          <w:lang w:val="es-ES_tradnl"/>
        </w:rPr>
        <w:t xml:space="preserve"> tiene la forma más redondeada, que corresponde a los países de mayores ingresos mejor clasificados en el IDT, con un valor relativamente elevado de las suscripciones a la telefonía fija, y mejores resultados del subíndice de utilización que los países de ingresos inferiores peor clasificados. Los gráficos de Dominica y Bolivia son más representativos de los que corresponden a países en desarrollo con una clasificación media, con bajos niveles (en el caso de Bolivia, muy bajos) de la telefonía fija y la banda ancha fija, valores relativamente sólidos del ancho de banda internacional en Internet internacional por usuario de Internet, y valores moderados de los otros indicadores de acceso.</w:t>
      </w:r>
    </w:p>
    <w:p w:rsidR="000A39FD" w:rsidRPr="007078A2" w:rsidRDefault="000A39FD" w:rsidP="004C1B41">
      <w:pPr>
        <w:rPr>
          <w:lang w:val="es-ES_tradnl"/>
        </w:rPr>
      </w:pPr>
      <w:r w:rsidRPr="007078A2">
        <w:rPr>
          <w:lang w:val="es-ES_tradnl"/>
        </w:rPr>
        <w:t>Las suscripciones a la banda ancha móvil, el número de usuarios de Internet y los hogares con Internet constituyeron las principales progresiones entre el IDT 2015 y el IDT 2016 en todos esos países más dinámicos de las Américas. Estas cifras son coherentes con los datos obtenidos en otros países en desarrollo dinámicos, pero los dos estados insulares del Este caribeño cuya orografía es más propicia al despliegue de redes fijas que las de países grandes con terrenos escarpados tales como Bolivia, también registraron progresiones significativas de la suscripciones a la banda ancha fija.</w:t>
      </w:r>
    </w:p>
    <w:p w:rsidR="000A39FD" w:rsidRPr="007078A2" w:rsidRDefault="000A39FD" w:rsidP="004C1B41">
      <w:pPr>
        <w:rPr>
          <w:lang w:val="es-ES_tradnl"/>
        </w:rPr>
      </w:pPr>
      <w:r w:rsidRPr="007078A2">
        <w:rPr>
          <w:lang w:val="es-ES_tradnl"/>
        </w:rPr>
        <w:lastRenderedPageBreak/>
        <w:t>La mayor progresión de todos los indicadores del IDT 2016 en todos los p</w:t>
      </w:r>
      <w:r w:rsidR="004F29F5">
        <w:rPr>
          <w:lang w:val="es-ES_tradnl"/>
        </w:rPr>
        <w:t>aíses de la región fue observada</w:t>
      </w:r>
      <w:r w:rsidRPr="007078A2">
        <w:rPr>
          <w:lang w:val="es-ES_tradnl"/>
        </w:rPr>
        <w:t xml:space="preserve"> sin embargo en la penetración de banda ancha móvil de </w:t>
      </w:r>
      <w:r w:rsidR="00442022">
        <w:rPr>
          <w:lang w:val="es-ES_tradnl"/>
        </w:rPr>
        <w:t>Saint Kitts y Nevis</w:t>
      </w:r>
      <w:r w:rsidRPr="007078A2">
        <w:rPr>
          <w:lang w:val="es-ES_tradnl"/>
        </w:rPr>
        <w:t>, que pasó de 18,63% a 71,02% durante el año. Los buenos resultados de este indicador también caracterizan la mejora de los valores y el rango en el IDT obtenido por Dominica y Granada. Algunos de los factores que contribuyeron a esta situación se describen en el Recuadro 3.9. En el Recuadro 3.10 se describe el entorno de las TIC y el IDT en Bolivia.</w:t>
      </w:r>
    </w:p>
    <w:tbl>
      <w:tblPr>
        <w:tblStyle w:val="TableGrid"/>
        <w:tblW w:w="0" w:type="auto"/>
        <w:shd w:val="clear" w:color="auto" w:fill="DEEAF6" w:themeFill="accent1" w:themeFillTint="33"/>
        <w:tblLook w:val="04A0" w:firstRow="1" w:lastRow="0" w:firstColumn="1" w:lastColumn="0" w:noHBand="0" w:noVBand="1"/>
      </w:tblPr>
      <w:tblGrid>
        <w:gridCol w:w="9350"/>
      </w:tblGrid>
      <w:tr w:rsidR="004C1B41" w:rsidRPr="00A32FCB" w:rsidTr="00F074DE">
        <w:tc>
          <w:tcPr>
            <w:tcW w:w="9350" w:type="dxa"/>
            <w:tcBorders>
              <w:top w:val="nil"/>
              <w:left w:val="nil"/>
              <w:bottom w:val="nil"/>
              <w:right w:val="nil"/>
            </w:tcBorders>
            <w:shd w:val="clear" w:color="auto" w:fill="DEEAF6" w:themeFill="accent1" w:themeFillTint="33"/>
          </w:tcPr>
          <w:p w:rsidR="004C1B41" w:rsidRPr="00F074DE" w:rsidRDefault="004C1B41" w:rsidP="00F074D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b/>
                <w:bCs/>
                <w:sz w:val="20"/>
                <w:szCs w:val="20"/>
                <w:lang w:val="es-ES_tradnl"/>
              </w:rPr>
            </w:pPr>
            <w:r w:rsidRPr="00F074DE">
              <w:rPr>
                <w:b/>
                <w:bCs/>
                <w:sz w:val="20"/>
                <w:szCs w:val="20"/>
                <w:lang w:val="es-ES_tradnl"/>
              </w:rPr>
              <w:t>Recuadro 3.10: Desarrollos de las TIC y el IDT en Bolivia</w:t>
            </w:r>
          </w:p>
          <w:p w:rsidR="004C1B41" w:rsidRPr="00F074DE" w:rsidRDefault="004C1B41" w:rsidP="00F074DE">
            <w:pPr>
              <w:rPr>
                <w:rStyle w:val="st1"/>
                <w:sz w:val="20"/>
                <w:lang w:val="es-ES_tradnl"/>
              </w:rPr>
            </w:pPr>
            <w:r w:rsidRPr="00F074DE">
              <w:rPr>
                <w:rStyle w:val="st1"/>
                <w:sz w:val="20"/>
                <w:lang w:val="es-ES_tradnl"/>
              </w:rPr>
              <w:t>Bolivia ganó seis puestos en la clasificación del IDT, gracias a un aumento de 0,53 del valor de su IDT, más de dos veces la mejora media mundial de ese indicador. Ese país andino mejoró significativamente sus porcentajes de hogares con computadora y hogares con Internet que, según las estimaciones, alcanzaron respectivamente 33,1% y 23,8% a finales de 2015.</w:t>
            </w:r>
          </w:p>
          <w:p w:rsidR="004C1B41" w:rsidRPr="00F074DE" w:rsidRDefault="004C1B41" w:rsidP="00F074DE">
            <w:pPr>
              <w:rPr>
                <w:rStyle w:val="st1"/>
                <w:sz w:val="20"/>
                <w:lang w:val="es-ES_tradnl"/>
              </w:rPr>
            </w:pPr>
            <w:r w:rsidRPr="00F074DE">
              <w:rPr>
                <w:rStyle w:val="st1"/>
                <w:sz w:val="20"/>
                <w:lang w:val="es-ES_tradnl"/>
              </w:rPr>
              <w:t>El aumento del acceso de los hogares a las TIC fue impulsado por el crecimiento de las suscripciones a la banda ancha móvil, cuyo valor casi triplicó de 12,2 suscripciones por 100 habitantes en 2014 a 33,8 a finales de 2015. Este gran aumento de la suscripciones activas a la banda ancha móvil fue fruto de la migración de los clientes de datos móviles 2G a redes 3G. Este crecimiento del acceso de los hogares a Internet y de la banda ancha móvil también contribuyó a un aumento de la proporción de usuarios de Internet, de 34,6% en 2014 a 45,1% finales de 2015, según estimaciones. El aumento de la utilización de Internet quedó reflejado en un aumento de los datos consumidos: el tráfico móvil de datos Internet se duplicó entre 2014 y 2015 (ATT, 2015), y el tráfico intercambiado en las centrales Internet nacionales también creció significativamente</w:t>
            </w:r>
            <w:r w:rsidRPr="00F074DE">
              <w:rPr>
                <w:rStyle w:val="st1"/>
                <w:sz w:val="20"/>
                <w:vertAlign w:val="superscript"/>
                <w:lang w:val="es-ES_tradnl"/>
              </w:rPr>
              <w:endnoteReference w:id="31"/>
            </w:r>
            <w:r w:rsidRPr="00F074DE">
              <w:rPr>
                <w:rStyle w:val="st1"/>
                <w:sz w:val="20"/>
                <w:lang w:val="es-ES_tradnl"/>
              </w:rPr>
              <w:t>.</w:t>
            </w:r>
          </w:p>
          <w:p w:rsidR="004C1B41" w:rsidRPr="00F074DE" w:rsidRDefault="004C1B41" w:rsidP="00F074DE">
            <w:pPr>
              <w:spacing w:after="120"/>
              <w:rPr>
                <w:rStyle w:val="st1"/>
                <w:sz w:val="20"/>
                <w:lang w:val="es-ES_tradnl"/>
              </w:rPr>
            </w:pPr>
            <w:r w:rsidRPr="00F074DE">
              <w:rPr>
                <w:rStyle w:val="st1"/>
                <w:sz w:val="20"/>
                <w:lang w:val="es-ES_tradnl"/>
              </w:rPr>
              <w:t>A pesar de que más personas se conectan en línea en Bolivia, queda una gran brecha entre zonas urbanas y rurales. La mayoría de los usuarios de Internet y los hogares con acceso a Internet están en zonas urbanas, mientras que menos de 10% de la población de las zonas rurales utiliza Internet (Gráfico del Recuadro 3.1).</w:t>
            </w:r>
            <w:r w:rsidR="00F074DE">
              <w:rPr>
                <w:rStyle w:val="st1"/>
                <w:sz w:val="20"/>
                <w:lang w:val="es-ES_tradnl"/>
              </w:rPr>
              <w:t xml:space="preserve"> </w:t>
            </w:r>
            <w:r w:rsidRPr="00F074DE">
              <w:rPr>
                <w:rStyle w:val="st1"/>
                <w:sz w:val="20"/>
                <w:lang w:val="es-ES_tradnl"/>
              </w:rPr>
              <w:t>Además, la cobertura 3G sigue limitada a 27% de la población, por lo que cabe suponer que la mayoría de las zonas rurales no tienen acceso a redes de banda ancha móviles.</w:t>
            </w:r>
          </w:p>
          <w:p w:rsidR="004C1B41" w:rsidRPr="007078A2" w:rsidRDefault="004C1B41" w:rsidP="00E63F9A">
            <w:pPr>
              <w:pStyle w:val="FigureNotitle"/>
              <w:keepNext/>
            </w:pPr>
            <w:r w:rsidRPr="007078A2">
              <w:t>Gráfico del Recuadro 3.1: Hogares con Internet, 2006-2015</w:t>
            </w:r>
          </w:p>
          <w:p w:rsidR="004C1B41" w:rsidRPr="007078A2" w:rsidRDefault="004C1B41" w:rsidP="004C1B41">
            <w:pPr>
              <w:keepNext/>
              <w:keepLines/>
              <w:ind w:left="720"/>
              <w:jc w:val="both"/>
              <w:rPr>
                <w:rFonts w:ascii="Calibri Light" w:eastAsia="Calibri Light" w:hAnsi="Calibri Light" w:cs="Calibri Light"/>
                <w:sz w:val="18"/>
                <w:szCs w:val="18"/>
                <w:lang w:val="es-ES_tradnl"/>
              </w:rPr>
            </w:pPr>
            <w:r w:rsidRPr="007078A2">
              <w:rPr>
                <w:noProof/>
                <w:lang w:val="es-ES_tradnl"/>
              </w:rPr>
              <w:t xml:space="preserve"> </w:t>
            </w:r>
            <w:r w:rsidRPr="007078A2">
              <w:rPr>
                <w:noProof/>
                <w:lang w:eastAsia="zh-CN"/>
              </w:rPr>
              <w:drawing>
                <wp:inline distT="0" distB="0" distL="0" distR="0" wp14:anchorId="6ECA799F" wp14:editId="68A8BBD9">
                  <wp:extent cx="3179929" cy="2180749"/>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1907" t="51096" r="32540" b="31666"/>
                          <a:stretch/>
                        </pic:blipFill>
                        <pic:spPr bwMode="auto">
                          <a:xfrm>
                            <a:off x="0" y="0"/>
                            <a:ext cx="3211830" cy="2202626"/>
                          </a:xfrm>
                          <a:prstGeom prst="rect">
                            <a:avLst/>
                          </a:prstGeom>
                          <a:ln>
                            <a:noFill/>
                          </a:ln>
                          <a:extLst>
                            <a:ext uri="{53640926-AAD7-44D8-BBD7-CCE9431645EC}">
                              <a14:shadowObscured xmlns:a14="http://schemas.microsoft.com/office/drawing/2010/main"/>
                            </a:ext>
                          </a:extLst>
                        </pic:spPr>
                      </pic:pic>
                    </a:graphicData>
                  </a:graphic>
                </wp:inline>
              </w:drawing>
            </w:r>
          </w:p>
          <w:p w:rsidR="004C1B41" w:rsidRPr="007078A2" w:rsidRDefault="004C1B41" w:rsidP="00E63F9A">
            <w:pPr>
              <w:ind w:left="720"/>
              <w:jc w:val="both"/>
              <w:rPr>
                <w:b/>
                <w:bCs/>
                <w:sz w:val="18"/>
                <w:szCs w:val="18"/>
                <w:lang w:val="es-ES_tradnl"/>
              </w:rPr>
            </w:pPr>
            <w:r w:rsidRPr="007078A2">
              <w:rPr>
                <w:b/>
                <w:bCs/>
                <w:sz w:val="18"/>
                <w:szCs w:val="18"/>
                <w:lang w:val="es-ES_tradnl"/>
              </w:rPr>
              <w:t>Leyenda del Gráfico 3.1:</w:t>
            </w:r>
          </w:p>
          <w:p w:rsidR="004C1B41" w:rsidRPr="007078A2" w:rsidRDefault="004C1B41" w:rsidP="00587094">
            <w:pPr>
              <w:spacing w:before="0"/>
              <w:ind w:left="720"/>
              <w:jc w:val="both"/>
              <w:rPr>
                <w:rFonts w:ascii="Calibri Light" w:eastAsia="Calibri Light" w:hAnsi="Calibri Light" w:cs="Calibri Light"/>
                <w:sz w:val="18"/>
                <w:szCs w:val="18"/>
                <w:lang w:val="es-ES_tradnl"/>
              </w:rPr>
            </w:pPr>
            <w:r w:rsidRPr="007078A2">
              <w:rPr>
                <w:rFonts w:ascii="Calibri Light" w:eastAsia="Calibri Light" w:hAnsi="Calibri Light" w:cs="Calibri Light"/>
                <w:sz w:val="18"/>
                <w:szCs w:val="18"/>
                <w:lang w:val="es-ES_tradnl"/>
              </w:rPr>
              <w:t>Origen: UIT</w:t>
            </w:r>
          </w:p>
          <w:p w:rsidR="004C1B41" w:rsidRPr="007078A2" w:rsidRDefault="004C1B41" w:rsidP="00587094">
            <w:pPr>
              <w:spacing w:before="0"/>
              <w:ind w:left="720"/>
              <w:jc w:val="both"/>
              <w:rPr>
                <w:rFonts w:ascii="Calibri Light" w:eastAsia="Calibri Light" w:hAnsi="Calibri Light" w:cs="Calibri Light"/>
                <w:sz w:val="18"/>
                <w:szCs w:val="18"/>
                <w:lang w:val="es-ES_tradnl"/>
              </w:rPr>
            </w:pPr>
            <w:r w:rsidRPr="007078A2">
              <w:rPr>
                <w:rFonts w:ascii="Calibri Light" w:eastAsia="Calibri Light" w:hAnsi="Calibri Light" w:cs="Calibri Light"/>
                <w:sz w:val="18"/>
                <w:szCs w:val="18"/>
                <w:lang w:val="es-ES_tradnl"/>
              </w:rPr>
              <w:t>Urbano – Rural</w:t>
            </w:r>
          </w:p>
          <w:p w:rsidR="004C1B41" w:rsidRPr="007078A2" w:rsidRDefault="004C1B41" w:rsidP="00587094">
            <w:pPr>
              <w:spacing w:before="0"/>
              <w:ind w:left="720"/>
              <w:jc w:val="both"/>
              <w:rPr>
                <w:rFonts w:ascii="Calibri Light" w:eastAsia="Calibri Light" w:hAnsi="Calibri Light" w:cs="Calibri Light"/>
                <w:sz w:val="18"/>
                <w:szCs w:val="18"/>
                <w:lang w:val="es-ES_tradnl"/>
              </w:rPr>
            </w:pPr>
            <w:r w:rsidRPr="007078A2">
              <w:rPr>
                <w:rFonts w:ascii="Calibri Light" w:eastAsia="Calibri Light" w:hAnsi="Calibri Light" w:cs="Calibri Light"/>
                <w:sz w:val="18"/>
                <w:szCs w:val="18"/>
                <w:lang w:val="es-ES_tradnl"/>
              </w:rPr>
              <w:t>Hogares con computadora – Hogares con Internet – Usuarios de Internet</w:t>
            </w:r>
          </w:p>
          <w:p w:rsidR="004C1B41" w:rsidRPr="007078A2" w:rsidRDefault="004C1B41" w:rsidP="00F074DE">
            <w:pPr>
              <w:rPr>
                <w:rFonts w:ascii="Calibri Light" w:hAnsi="Calibri Light"/>
                <w:sz w:val="21"/>
                <w:szCs w:val="21"/>
                <w:lang w:val="es-ES_tradnl"/>
              </w:rPr>
            </w:pPr>
            <w:r w:rsidRPr="00F074DE">
              <w:rPr>
                <w:rStyle w:val="st1"/>
                <w:sz w:val="20"/>
                <w:lang w:val="es-ES_tradnl"/>
              </w:rPr>
              <w:t>La extensión de redes de banda ancha a zonas rurales y la promoción de la adopción de Internet en comunidades rurales es, por consiguiente, uno de los retos más importantes que debe afrontar el legislador de las TIC en Bolivia. Esta situación ha sido objeto de atención política y varias iniciativas del Programa Nacional de Telecomunicaciones de Inclusión Social han tratado de reducir la brecha, proporcionando por ejemplo acceso a Internet a escuelas rurales o desplegando estaciones de base con capacidad de banda ancha móvil en zonas rurales</w:t>
            </w:r>
            <w:r w:rsidRPr="00F074DE">
              <w:rPr>
                <w:rStyle w:val="st1"/>
                <w:sz w:val="20"/>
                <w:vertAlign w:val="superscript"/>
                <w:lang w:val="es-ES_tradnl"/>
              </w:rPr>
              <w:endnoteReference w:id="32"/>
            </w:r>
            <w:r w:rsidRPr="00F074DE">
              <w:rPr>
                <w:rStyle w:val="st1"/>
                <w:sz w:val="20"/>
                <w:lang w:val="es-ES_tradnl"/>
              </w:rPr>
              <w:t>.</w:t>
            </w:r>
          </w:p>
        </w:tc>
      </w:tr>
    </w:tbl>
    <w:bookmarkStart w:id="50" w:name="_Toc474413198"/>
    <w:p w:rsidR="000A39FD" w:rsidRPr="007078A2" w:rsidRDefault="000A39FD" w:rsidP="004C1B41">
      <w:pPr>
        <w:pStyle w:val="Heading1"/>
        <w:tabs>
          <w:tab w:val="left" w:pos="794"/>
          <w:tab w:val="left" w:pos="1191"/>
          <w:tab w:val="left" w:pos="1588"/>
          <w:tab w:val="left" w:pos="1985"/>
        </w:tabs>
        <w:overflowPunct w:val="0"/>
        <w:autoSpaceDE w:val="0"/>
        <w:autoSpaceDN w:val="0"/>
        <w:adjustRightInd w:val="0"/>
        <w:spacing w:before="360" w:line="240" w:lineRule="auto"/>
        <w:ind w:left="794" w:hanging="794"/>
        <w:textAlignment w:val="baseline"/>
        <w:rPr>
          <w:rFonts w:asciiTheme="minorHAnsi" w:eastAsia="Times New Roman" w:hAnsiTheme="minorHAnsi" w:cs="Times New Roman"/>
          <w:bCs w:val="0"/>
          <w:color w:val="auto"/>
          <w:sz w:val="24"/>
          <w:szCs w:val="20"/>
          <w:lang w:val="es-ES_tradnl" w:bidi="ar-SA"/>
        </w:rPr>
      </w:pPr>
      <w:r w:rsidRPr="007078A2">
        <w:rPr>
          <w:rFonts w:asciiTheme="minorHAnsi" w:eastAsia="Times New Roman" w:hAnsiTheme="minorHAnsi" w:cs="Times New Roman"/>
          <w:bCs w:val="0"/>
          <w:noProof/>
          <w:color w:val="auto"/>
          <w:sz w:val="24"/>
          <w:szCs w:val="20"/>
          <w:lang w:val="en-GB" w:eastAsia="zh-CN" w:bidi="ar-SA"/>
        </w:rPr>
        <mc:AlternateContent>
          <mc:Choice Requires="wpg">
            <w:drawing>
              <wp:anchor distT="0" distB="0" distL="114300" distR="114300" simplePos="0" relativeHeight="251666432" behindDoc="1" locked="0" layoutInCell="1" allowOverlap="1" wp14:anchorId="2C3B7409" wp14:editId="7FDF4EF0">
                <wp:simplePos x="0" y="0"/>
                <wp:positionH relativeFrom="margin">
                  <wp:posOffset>80190</wp:posOffset>
                </wp:positionH>
                <wp:positionV relativeFrom="margin">
                  <wp:align>top</wp:align>
                </wp:positionV>
                <wp:extent cx="5724525" cy="8345606"/>
                <wp:effectExtent l="0" t="0" r="0" b="0"/>
                <wp:wrapNone/>
                <wp:docPr id="1073741994" name="Group 1073741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8345606"/>
                          <a:chOff x="1446" y="1701"/>
                          <a:chExt cx="9014" cy="9885"/>
                        </a:xfrm>
                        <a:noFill/>
                      </wpg:grpSpPr>
                      <wps:wsp>
                        <wps:cNvPr id="1073741995" name="Freeform 3"/>
                        <wps:cNvSpPr>
                          <a:spLocks/>
                        </wps:cNvSpPr>
                        <wps:spPr bwMode="auto">
                          <a:xfrm>
                            <a:off x="1446" y="1701"/>
                            <a:ext cx="9014" cy="9885"/>
                          </a:xfrm>
                          <a:custGeom>
                            <a:avLst/>
                            <a:gdLst>
                              <a:gd name="T0" fmla="+- 0 1446 1446"/>
                              <a:gd name="T1" fmla="*/ T0 w 9014"/>
                              <a:gd name="T2" fmla="+- 0 11585 1701"/>
                              <a:gd name="T3" fmla="*/ 11585 h 9885"/>
                              <a:gd name="T4" fmla="+- 0 10460 1446"/>
                              <a:gd name="T5" fmla="*/ T4 w 9014"/>
                              <a:gd name="T6" fmla="+- 0 11585 1701"/>
                              <a:gd name="T7" fmla="*/ 11585 h 9885"/>
                              <a:gd name="T8" fmla="+- 0 10460 1446"/>
                              <a:gd name="T9" fmla="*/ T8 w 9014"/>
                              <a:gd name="T10" fmla="+- 0 1701 1701"/>
                              <a:gd name="T11" fmla="*/ 1701 h 9885"/>
                              <a:gd name="T12" fmla="+- 0 1446 1446"/>
                              <a:gd name="T13" fmla="*/ T12 w 9014"/>
                              <a:gd name="T14" fmla="+- 0 1701 1701"/>
                              <a:gd name="T15" fmla="*/ 1701 h 9885"/>
                              <a:gd name="T16" fmla="+- 0 1446 1446"/>
                              <a:gd name="T17" fmla="*/ T16 w 9014"/>
                              <a:gd name="T18" fmla="+- 0 11585 1701"/>
                              <a:gd name="T19" fmla="*/ 11585 h 9885"/>
                            </a:gdLst>
                            <a:ahLst/>
                            <a:cxnLst>
                              <a:cxn ang="0">
                                <a:pos x="T1" y="T3"/>
                              </a:cxn>
                              <a:cxn ang="0">
                                <a:pos x="T5" y="T7"/>
                              </a:cxn>
                              <a:cxn ang="0">
                                <a:pos x="T9" y="T11"/>
                              </a:cxn>
                              <a:cxn ang="0">
                                <a:pos x="T13" y="T15"/>
                              </a:cxn>
                              <a:cxn ang="0">
                                <a:pos x="T17" y="T19"/>
                              </a:cxn>
                            </a:cxnLst>
                            <a:rect l="0" t="0" r="r" b="b"/>
                            <a:pathLst>
                              <a:path w="9014" h="9885">
                                <a:moveTo>
                                  <a:pt x="0" y="9884"/>
                                </a:moveTo>
                                <a:lnTo>
                                  <a:pt x="9014" y="9884"/>
                                </a:lnTo>
                                <a:lnTo>
                                  <a:pt x="9014" y="0"/>
                                </a:lnTo>
                                <a:lnTo>
                                  <a:pt x="0" y="0"/>
                                </a:lnTo>
                                <a:lnTo>
                                  <a:pt x="0" y="9884"/>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6A4E2" id="Group 1073741994" o:spid="_x0000_s1026" style="position:absolute;margin-left:6.3pt;margin-top:0;width:450.75pt;height:657.15pt;z-index:-251650048;mso-position-horizontal-relative:margin;mso-position-vertical:top;mso-position-vertical-relative:margin" coordorigin="1446,1701" coordsize="9014,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">
                <v:shape id="Freeform 3" o:spid="_x0000_s1027" style="position:absolute;left:1446;top:1701;width:9014;height:9885;visibility:visible;mso-wrap-style:square;v-text-anchor:top" coordsize="9014,9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A2skA&#10;AADjAAAADwAAAGRycy9kb3ducmV2LnhtbERPX0vDMBB/H/gdwgm+bemqW11dNkQUN4aCU9DHozmb&#10;suZSkmzrvr0ZDHy83/+bL3vbigP50DhWMB5lIIgrpxuuFXx9vgzvQYSIrLF1TApOFGC5uBrMsdTu&#10;yB902MZapBAOJSowMXallKEyZDGMXEecuF/nLcZ0+lpqj8cUbluZZ9lUWmw4NRjs6MlQtdvurQIb&#10;d/v8/fVtbb7Dz3NX202+8YVSN9f94wOISH38F1/cK53mZ8VtcTeezSZw/ikB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YPA2skAAADjAAAADwAAAAAAAAAAAAAAAACYAgAA&#10;ZHJzL2Rvd25yZXYueG1sUEsFBgAAAAAEAAQA9QAAAI4DAAAAAA==&#10;" path="m,9884r9014,l9014,,,,,9884e" filled="f" stroked="f">
                  <v:path arrowok="t" o:connecttype="custom" o:connectlocs="0,11585;9014,11585;9014,1701;0,1701;0,11585" o:connectangles="0,0,0,0,0"/>
                </v:shape>
                <w10:wrap anchorx="margin" anchory="margin"/>
              </v:group>
            </w:pict>
          </mc:Fallback>
        </mc:AlternateContent>
      </w:r>
      <w:bookmarkStart w:id="51" w:name="_Toc455476231"/>
      <w:r w:rsidR="0082703E" w:rsidRPr="007078A2">
        <w:rPr>
          <w:rFonts w:asciiTheme="minorHAnsi" w:eastAsia="Times New Roman" w:hAnsiTheme="minorHAnsi" w:cs="Times New Roman"/>
          <w:bCs w:val="0"/>
          <w:color w:val="auto"/>
          <w:sz w:val="24"/>
          <w:szCs w:val="20"/>
          <w:lang w:val="es-ES_tradnl" w:bidi="ar-SA"/>
        </w:rPr>
        <w:t>5</w:t>
      </w:r>
      <w:r w:rsidR="0082703E" w:rsidRPr="007078A2">
        <w:rPr>
          <w:rFonts w:asciiTheme="minorHAnsi" w:eastAsia="Times New Roman" w:hAnsiTheme="minorHAnsi" w:cs="Times New Roman"/>
          <w:bCs w:val="0"/>
          <w:color w:val="auto"/>
          <w:sz w:val="24"/>
          <w:szCs w:val="20"/>
          <w:lang w:val="es-ES_tradnl" w:bidi="ar-SA"/>
        </w:rPr>
        <w:tab/>
      </w:r>
      <w:r w:rsidRPr="007078A2">
        <w:rPr>
          <w:rFonts w:asciiTheme="minorHAnsi" w:eastAsia="Times New Roman" w:hAnsiTheme="minorHAnsi" w:cs="Times New Roman"/>
          <w:bCs w:val="0"/>
          <w:color w:val="auto"/>
          <w:sz w:val="24"/>
          <w:szCs w:val="20"/>
          <w:lang w:val="es-ES_tradnl" w:bidi="ar-SA"/>
        </w:rPr>
        <w:t>Supervisión del precio y la asequibilidad de las TIC en la región de las Américas</w:t>
      </w:r>
      <w:bookmarkEnd w:id="51"/>
      <w:bookmarkEnd w:id="50"/>
    </w:p>
    <w:p w:rsidR="000A39FD" w:rsidRPr="007078A2" w:rsidRDefault="000A39FD" w:rsidP="00587094">
      <w:pPr>
        <w:rPr>
          <w:lang w:val="es-ES_tradnl"/>
        </w:rPr>
      </w:pPr>
      <w:r w:rsidRPr="007078A2">
        <w:rPr>
          <w:lang w:val="es-ES_tradnl"/>
        </w:rPr>
        <w:t>Muchas personas siguen excluidas de la sociedad mundial de la información, y el coste relativamente elevado de los servicios TIC sigue siendo uno de los principales obstáculos a su adopción. Los datos compilados por la UIT en encuestas realizadas entre oficinas estadísticas nacionales confirman que, además de la disponibilidad del acceso y la pertinencia de los servicios, la asequibilidad es uno de los factores esenciales que siguen determinando si se utilizan o no las TIC. Varios estudios recientes sobre el desarrollo de las TIC también han confirmado esas conclusiones</w:t>
      </w:r>
      <w:r w:rsidRPr="007078A2">
        <w:rPr>
          <w:rStyle w:val="EndnoteReference"/>
          <w:lang w:val="es-ES_tradnl"/>
        </w:rPr>
        <w:endnoteReference w:id="33"/>
      </w:r>
      <w:r w:rsidRPr="007078A2">
        <w:rPr>
          <w:lang w:val="es-ES_tradnl"/>
        </w:rPr>
        <w:t>. La supervisión de los precios es, por consiguiente, un parámetro esencial para mejorar políticas a fin de aumentar la asequibilidad de los servicios TIC.</w:t>
      </w:r>
    </w:p>
    <w:p w:rsidR="000A39FD" w:rsidRPr="007078A2" w:rsidRDefault="000A39FD" w:rsidP="00587094">
      <w:pPr>
        <w:rPr>
          <w:lang w:val="es-ES_tradnl"/>
        </w:rPr>
      </w:pPr>
      <w:r w:rsidRPr="007078A2">
        <w:rPr>
          <w:lang w:val="es-ES_tradnl"/>
        </w:rPr>
        <w:lastRenderedPageBreak/>
        <w:t>Los legisladores nacionales e internacionales reconocen claramente que es necesario proporcionar un acceso asequible a las TIC. En su informe 2015 sobre el desarrollo mundial, el Banco Mundial declara que la compilación y comparación de datos sobre los precios de Internet es el primer paso camino de una mejor reglamentación con miras a una reducción de los precios.</w:t>
      </w:r>
    </w:p>
    <w:p w:rsidR="000A39FD" w:rsidRPr="007078A2" w:rsidRDefault="000A39FD" w:rsidP="00587094">
      <w:pPr>
        <w:rPr>
          <w:lang w:val="es-ES_tradnl"/>
        </w:rPr>
      </w:pPr>
      <w:r w:rsidRPr="007078A2">
        <w:rPr>
          <w:lang w:val="es-ES_tradnl"/>
        </w:rPr>
        <w:t xml:space="preserve">Además, aumentar la asequibilidad y el número de usuarios de los servicios TIC tendrá una importancia fundamental en el contexto de la Agenda 2030 para el Desarrollo Sostenible. En esta nueva agenda mundial para el desarrollo, que fue adoptada por las Naciones Unidas en septiembre 2015, se reconoce el inmenso potencial de las TIC para </w:t>
      </w:r>
      <w:r w:rsidR="00FF14BC" w:rsidRPr="007078A2">
        <w:rPr>
          <w:lang w:val="es-ES_tradnl"/>
        </w:rPr>
        <w:t>"</w:t>
      </w:r>
      <w:r w:rsidRPr="007078A2">
        <w:rPr>
          <w:i/>
          <w:iCs/>
          <w:lang w:val="es-ES_tradnl"/>
        </w:rPr>
        <w:t>acelerar el progreso humano</w:t>
      </w:r>
      <w:r w:rsidR="00FF14BC" w:rsidRPr="007078A2">
        <w:rPr>
          <w:lang w:val="es-ES_tradnl"/>
        </w:rPr>
        <w:t>"</w:t>
      </w:r>
      <w:r w:rsidRPr="007078A2">
        <w:rPr>
          <w:lang w:val="es-ES_tradnl"/>
        </w:rPr>
        <w:t xml:space="preserve">, y se menciona explícitamente la necesidad de </w:t>
      </w:r>
      <w:r w:rsidR="00FF14BC" w:rsidRPr="007078A2">
        <w:rPr>
          <w:lang w:val="es-ES_tradnl"/>
        </w:rPr>
        <w:t>"</w:t>
      </w:r>
      <w:r w:rsidRPr="007078A2">
        <w:rPr>
          <w:i/>
          <w:iCs/>
          <w:lang w:val="es-ES_tradnl"/>
        </w:rPr>
        <w:t>aumentar significativamente el acceso a la tecnología de la información y las comunicaciones y esforzarse por proporcionar acceso universal y asequible a Internet...</w:t>
      </w:r>
      <w:r w:rsidR="00FF14BC" w:rsidRPr="007078A2">
        <w:rPr>
          <w:lang w:val="es-ES_tradnl"/>
        </w:rPr>
        <w:t>"</w:t>
      </w:r>
      <w:r w:rsidRPr="007078A2">
        <w:rPr>
          <w:lang w:val="es-ES_tradnl"/>
        </w:rPr>
        <w:t xml:space="preserve"> (AGNU, 2015a).</w:t>
      </w:r>
    </w:p>
    <w:p w:rsidR="000A39FD" w:rsidRPr="007078A2" w:rsidRDefault="000A39FD" w:rsidP="00587094">
      <w:pPr>
        <w:rPr>
          <w:lang w:val="es-ES_tradnl"/>
        </w:rPr>
      </w:pPr>
      <w:r w:rsidRPr="007078A2">
        <w:rPr>
          <w:lang w:val="es-ES_tradnl"/>
        </w:rPr>
        <w:t>A fin de identificar tendencias y seguir el rastro de la asequibilidad de los servicios TIC, la UIT compila y publica datos sobre los precios de los servicios de telefonía fija, móvil celular y de banda ancha móvil y fija.</w:t>
      </w:r>
    </w:p>
    <w:p w:rsidR="000A39FD" w:rsidRPr="007078A2" w:rsidRDefault="000A39FD" w:rsidP="00587094">
      <w:pPr>
        <w:rPr>
          <w:lang w:val="es-ES_tradnl"/>
        </w:rPr>
      </w:pPr>
      <w:r w:rsidRPr="007078A2">
        <w:rPr>
          <w:lang w:val="es-ES_tradnl"/>
        </w:rPr>
        <w:t>En la sección siguiente, que se basa en precios compilados a finales de 2015, estudiaremos el desarrollo de los precios móviles celulares en la región de las Américas e indicaremos algunas diferencias regionales de asequibilidad de</w:t>
      </w:r>
      <w:r w:rsidR="001B746F">
        <w:rPr>
          <w:lang w:val="es-ES_tradnl"/>
        </w:rPr>
        <w:t xml:space="preserve"> esos precios, sobre la base de</w:t>
      </w:r>
      <w:r w:rsidRPr="007078A2">
        <w:rPr>
          <w:lang w:val="es-ES_tradnl"/>
        </w:rPr>
        <w:t xml:space="preserve"> la cesta de precios móviles celulares. A continuación, efectuaremos un análisis de los precios del mercado de la banda ancha fija y móvil, y algunas tendencias de tarificación en el segmento dinámico de los servicios de banda ancha móvil.</w:t>
      </w:r>
    </w:p>
    <w:p w:rsidR="000A39FD" w:rsidRPr="007078A2" w:rsidRDefault="000A39FD" w:rsidP="0082703E">
      <w:pPr>
        <w:pStyle w:val="Headingb"/>
        <w:rPr>
          <w:rFonts w:asciiTheme="minorHAnsi" w:hAnsiTheme="minorHAnsi"/>
          <w:lang w:val="es-ES_tradnl"/>
        </w:rPr>
      </w:pPr>
      <w:bookmarkStart w:id="52" w:name="_Toc455476232"/>
      <w:bookmarkStart w:id="53" w:name="_Toc474413199"/>
      <w:r w:rsidRPr="007078A2">
        <w:rPr>
          <w:rFonts w:asciiTheme="minorHAnsi" w:hAnsiTheme="minorHAnsi"/>
          <w:lang w:val="es-ES_tradnl"/>
        </w:rPr>
        <w:t>Precios móviles celulares en la región de las Américas</w:t>
      </w:r>
      <w:bookmarkEnd w:id="52"/>
      <w:bookmarkEnd w:id="53"/>
    </w:p>
    <w:tbl>
      <w:tblPr>
        <w:tblStyle w:val="TableGrid"/>
        <w:tblpPr w:leftFromText="180" w:rightFromText="180" w:vertAnchor="text" w:tblpY="164"/>
        <w:tblW w:w="0" w:type="auto"/>
        <w:tblLook w:val="04A0" w:firstRow="1" w:lastRow="0" w:firstColumn="1" w:lastColumn="0" w:noHBand="0" w:noVBand="1"/>
      </w:tblPr>
      <w:tblGrid>
        <w:gridCol w:w="9017"/>
      </w:tblGrid>
      <w:tr w:rsidR="000A39FD" w:rsidRPr="00A32FCB" w:rsidTr="00FF14BC">
        <w:tc>
          <w:tcPr>
            <w:tcW w:w="9017" w:type="dxa"/>
          </w:tcPr>
          <w:p w:rsidR="000A39FD" w:rsidRPr="007078A2" w:rsidRDefault="000A39FD" w:rsidP="00587094">
            <w:pPr>
              <w:rPr>
                <w:lang w:val="es-ES_tradnl"/>
              </w:rPr>
            </w:pPr>
            <w:r w:rsidRPr="007078A2">
              <w:rPr>
                <w:lang w:val="es-ES_tradnl"/>
              </w:rPr>
              <w:t xml:space="preserve">Para supervisar los precios móviles celulares, la UIT utiliza la </w:t>
            </w:r>
            <w:r w:rsidRPr="007078A2">
              <w:rPr>
                <w:b/>
                <w:bCs/>
                <w:lang w:val="es-ES_tradnl"/>
              </w:rPr>
              <w:t>subcesta móvil celular</w:t>
            </w:r>
            <w:r w:rsidRPr="007078A2">
              <w:rPr>
                <w:lang w:val="es-ES_tradnl"/>
              </w:rPr>
              <w:t>, que contiene el precio de una cesta normalizada de 30 llamadas salientes por mes (en red/fuera de red a una línea fija y para horarios de cresta y fuera de cresta, en relaciones predeterminadas), más 100 mensajes SMS. Se calcula en porcentaje de la RNB mensual media por habitante de un país, y también se presenta en USD y PPA$ (USD en condiciones de paridad de poder adquisitivo). Esta subcesta se basa en precios de pago previo, aunque también se utilizan precios de postpago para los países en los cuales las suscripciones de pago previo representan menos de 2% de todas las suscripciones móviles celulares.</w:t>
            </w:r>
          </w:p>
        </w:tc>
      </w:tr>
    </w:tbl>
    <w:p w:rsidR="000A39FD" w:rsidRPr="007078A2" w:rsidRDefault="000A39FD" w:rsidP="00FF14BC">
      <w:pPr>
        <w:rPr>
          <w:b/>
          <w:lang w:val="es-ES_tradnl"/>
        </w:rPr>
      </w:pPr>
      <w:r w:rsidRPr="007078A2">
        <w:rPr>
          <w:lang w:val="es-ES_tradnl"/>
        </w:rPr>
        <w:t>Un análisis de los precios móviles celulares regionales muestra ciertas diferencias entre regiones y dentro de ellas (véase el Gráfico 4.1). Los precios m</w:t>
      </w:r>
      <w:r w:rsidR="00923E6B">
        <w:rPr>
          <w:lang w:val="es-ES_tradnl"/>
        </w:rPr>
        <w:t>óviles celulares van de 4 USD a </w:t>
      </w:r>
      <w:r w:rsidRPr="007078A2">
        <w:rPr>
          <w:lang w:val="es-ES_tradnl"/>
        </w:rPr>
        <w:t>36 USD en la región de las Américas, y la media es la más elevada de todas las regiones, a saber, 18 USD.</w:t>
      </w:r>
    </w:p>
    <w:p w:rsidR="000A39FD" w:rsidRPr="007078A2" w:rsidRDefault="000A39FD" w:rsidP="00FF14BC">
      <w:pPr>
        <w:rPr>
          <w:lang w:val="es-ES_tradnl"/>
        </w:rPr>
      </w:pPr>
      <w:r w:rsidRPr="007078A2">
        <w:rPr>
          <w:lang w:val="es-ES_tradnl"/>
        </w:rPr>
        <w:t xml:space="preserve">Las diferencias de PPA son mayores, y la media sigue siendo la más elevada de todas las regiones, es decir, 27 PPA$. El elevado precio medio en las Américas se explica, por una parte, por los precios de utilización relativamente elevados en países tales como Argentina, </w:t>
      </w:r>
      <w:r w:rsidR="00474503" w:rsidRPr="007078A2">
        <w:rPr>
          <w:lang w:val="es-ES_tradnl"/>
        </w:rPr>
        <w:t>Belice</w:t>
      </w:r>
      <w:r w:rsidRPr="007078A2">
        <w:rPr>
          <w:lang w:val="es-ES_tradnl"/>
        </w:rPr>
        <w:t xml:space="preserve">, Guatemala y Nicaragua, en los que no se ofrecen paquetes de pago previo de servicios agrupados con largos períodos de validez. Por otra parte, en países de altos ingresos como Canadá y Estados Unidos, las ofertas con una buena relación calidad precio suelen ser planes familiares globales (voz, SMS y datos), mientras que los paquetes de pago previo individuales suelen </w:t>
      </w:r>
      <w:r w:rsidRPr="007078A2">
        <w:rPr>
          <w:lang w:val="es-ES_tradnl"/>
        </w:rPr>
        <w:lastRenderedPageBreak/>
        <w:t xml:space="preserve">tener un precio más elevado. En la comparación mundial, Costa Rica es el único país de las Américas que destaca por la asequibilidad de los precios móviles celulares (5,5 PPA$). De hecho, ese servicio en Costa Rica cuesta casi la mitad que en Venezuela y Paraguay, los dos países clasificados respectivamente segundo y tercero con los precios móviles celulares más bajos en condiciones de PPA en las Américas. </w:t>
      </w:r>
    </w:p>
    <w:p w:rsidR="000A39FD" w:rsidRPr="007078A2" w:rsidRDefault="000A39FD" w:rsidP="00923E6B">
      <w:pPr>
        <w:pStyle w:val="FigureNotitle"/>
        <w:keepNext/>
      </w:pPr>
      <w:r w:rsidRPr="007078A2">
        <w:t>Gráfico 4.1: Precios móviles celulares en porcentaje de</w:t>
      </w:r>
      <w:r w:rsidR="00E63F9A" w:rsidRPr="007078A2">
        <w:t xml:space="preserve"> la RNB por habitante (arriba),</w:t>
      </w:r>
      <w:r w:rsidR="00E63F9A" w:rsidRPr="007078A2">
        <w:br/>
      </w:r>
      <w:r w:rsidRPr="007078A2">
        <w:t>en USD (en medio) y PPA$ (abajo) por región, 2015</w:t>
      </w:r>
    </w:p>
    <w:p w:rsidR="000A39FD" w:rsidRPr="007078A2" w:rsidRDefault="000A39FD" w:rsidP="00FF14BC">
      <w:pPr>
        <w:jc w:val="both"/>
        <w:rPr>
          <w:b/>
          <w:bCs/>
          <w:lang w:val="es-ES_tradnl"/>
        </w:rPr>
      </w:pPr>
      <w:r w:rsidRPr="007078A2">
        <w:rPr>
          <w:b/>
          <w:bCs/>
          <w:noProof/>
          <w:lang w:eastAsia="zh-CN"/>
        </w:rPr>
        <w:drawing>
          <wp:inline distT="0" distB="0" distL="0" distR="0" wp14:anchorId="34E44CF1" wp14:editId="356887DA">
            <wp:extent cx="4151630" cy="6285230"/>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51630" cy="6285230"/>
                    </a:xfrm>
                    <a:prstGeom prst="rect">
                      <a:avLst/>
                    </a:prstGeom>
                    <a:noFill/>
                  </pic:spPr>
                </pic:pic>
              </a:graphicData>
            </a:graphic>
          </wp:inline>
        </w:drawing>
      </w:r>
    </w:p>
    <w:p w:rsidR="00587094" w:rsidRPr="007078A2" w:rsidRDefault="00587094" w:rsidP="00587094">
      <w:pPr>
        <w:spacing w:before="0"/>
        <w:jc w:val="both"/>
        <w:rPr>
          <w:b/>
          <w:bCs/>
          <w:sz w:val="18"/>
          <w:szCs w:val="18"/>
          <w:lang w:val="es-ES_tradnl"/>
        </w:rPr>
      </w:pPr>
      <w:r w:rsidRPr="007078A2">
        <w:rPr>
          <w:b/>
          <w:bCs/>
          <w:sz w:val="18"/>
          <w:szCs w:val="18"/>
          <w:lang w:val="es-ES_tradnl"/>
        </w:rPr>
        <w:t>Leyenda del Gráfico 4.1:</w:t>
      </w:r>
    </w:p>
    <w:p w:rsidR="000A39FD" w:rsidRPr="007078A2" w:rsidRDefault="000A39FD" w:rsidP="00587094">
      <w:pPr>
        <w:spacing w:before="0"/>
        <w:jc w:val="both"/>
        <w:rPr>
          <w:sz w:val="18"/>
          <w:szCs w:val="18"/>
          <w:lang w:val="es-ES_tradnl"/>
        </w:rPr>
      </w:pPr>
      <w:r w:rsidRPr="007078A2">
        <w:rPr>
          <w:sz w:val="18"/>
          <w:szCs w:val="18"/>
          <w:lang w:val="es-ES_tradnl"/>
        </w:rPr>
        <w:t>Nota: Cada raya horizontal representa el precio en un país de la región. Las rayas amarillas representan la media regional</w:t>
      </w:r>
    </w:p>
    <w:p w:rsidR="000A39FD" w:rsidRPr="007078A2" w:rsidRDefault="000A39FD" w:rsidP="00587094">
      <w:pPr>
        <w:spacing w:before="0"/>
        <w:jc w:val="both"/>
        <w:rPr>
          <w:sz w:val="18"/>
          <w:szCs w:val="18"/>
          <w:lang w:val="es-ES_tradnl"/>
        </w:rPr>
      </w:pPr>
      <w:r w:rsidRPr="007078A2">
        <w:rPr>
          <w:sz w:val="18"/>
          <w:szCs w:val="18"/>
          <w:lang w:val="es-ES_tradnl"/>
        </w:rPr>
        <w:t>Origen: UIT.</w:t>
      </w:r>
    </w:p>
    <w:p w:rsidR="00587094" w:rsidRPr="007078A2" w:rsidRDefault="00587094" w:rsidP="00587094">
      <w:pPr>
        <w:spacing w:before="0"/>
        <w:jc w:val="both"/>
        <w:rPr>
          <w:sz w:val="18"/>
          <w:szCs w:val="18"/>
          <w:lang w:val="es-ES_tradnl"/>
        </w:rPr>
      </w:pPr>
      <w:r w:rsidRPr="007078A2">
        <w:rPr>
          <w:sz w:val="18"/>
          <w:szCs w:val="18"/>
          <w:lang w:val="es-ES_tradnl"/>
        </w:rPr>
        <w:t>% de la RNB por habitante</w:t>
      </w:r>
    </w:p>
    <w:p w:rsidR="00587094" w:rsidRPr="007078A2" w:rsidRDefault="00587094" w:rsidP="00587094">
      <w:pPr>
        <w:spacing w:before="0"/>
        <w:jc w:val="both"/>
        <w:rPr>
          <w:sz w:val="18"/>
          <w:szCs w:val="18"/>
          <w:lang w:val="es-ES_tradnl"/>
        </w:rPr>
      </w:pPr>
      <w:r w:rsidRPr="007078A2">
        <w:rPr>
          <w:sz w:val="18"/>
          <w:szCs w:val="18"/>
          <w:lang w:val="es-ES_tradnl"/>
        </w:rPr>
        <w:t>PPA$</w:t>
      </w:r>
    </w:p>
    <w:p w:rsidR="00587094" w:rsidRPr="007078A2" w:rsidRDefault="00587094" w:rsidP="00587094">
      <w:pPr>
        <w:spacing w:before="0"/>
        <w:jc w:val="both"/>
        <w:rPr>
          <w:sz w:val="18"/>
          <w:szCs w:val="18"/>
          <w:lang w:val="es-ES_tradnl"/>
        </w:rPr>
      </w:pPr>
      <w:r w:rsidRPr="007078A2">
        <w:rPr>
          <w:sz w:val="18"/>
          <w:szCs w:val="18"/>
          <w:lang w:val="es-ES_tradnl"/>
        </w:rPr>
        <w:t>USD</w:t>
      </w:r>
    </w:p>
    <w:p w:rsidR="000A39FD" w:rsidRPr="007078A2" w:rsidRDefault="000A39FD" w:rsidP="00587094">
      <w:pPr>
        <w:spacing w:before="0"/>
        <w:jc w:val="both"/>
        <w:rPr>
          <w:sz w:val="18"/>
          <w:szCs w:val="18"/>
          <w:lang w:val="es-ES_tradnl"/>
        </w:rPr>
      </w:pPr>
      <w:r w:rsidRPr="007078A2">
        <w:rPr>
          <w:sz w:val="18"/>
          <w:szCs w:val="18"/>
          <w:lang w:val="es-ES_tradnl"/>
        </w:rPr>
        <w:t>África</w:t>
      </w:r>
      <w:r w:rsidR="00587094" w:rsidRPr="007078A2">
        <w:rPr>
          <w:sz w:val="18"/>
          <w:szCs w:val="18"/>
          <w:lang w:val="es-ES_tradnl"/>
        </w:rPr>
        <w:t xml:space="preserve"> – </w:t>
      </w:r>
      <w:r w:rsidRPr="007078A2">
        <w:rPr>
          <w:sz w:val="18"/>
          <w:szCs w:val="18"/>
          <w:lang w:val="es-ES_tradnl"/>
        </w:rPr>
        <w:t>Américas</w:t>
      </w:r>
      <w:r w:rsidR="00587094" w:rsidRPr="007078A2">
        <w:rPr>
          <w:sz w:val="18"/>
          <w:szCs w:val="18"/>
          <w:lang w:val="es-ES_tradnl"/>
        </w:rPr>
        <w:t xml:space="preserve"> – </w:t>
      </w:r>
      <w:r w:rsidRPr="007078A2">
        <w:rPr>
          <w:sz w:val="18"/>
          <w:szCs w:val="18"/>
          <w:lang w:val="es-ES_tradnl"/>
        </w:rPr>
        <w:t>Estados Árabes</w:t>
      </w:r>
      <w:r w:rsidR="00587094" w:rsidRPr="007078A2">
        <w:rPr>
          <w:sz w:val="18"/>
          <w:szCs w:val="18"/>
          <w:lang w:val="es-ES_tradnl"/>
        </w:rPr>
        <w:t xml:space="preserve"> – </w:t>
      </w:r>
      <w:r w:rsidRPr="007078A2">
        <w:rPr>
          <w:sz w:val="18"/>
          <w:szCs w:val="18"/>
          <w:lang w:val="es-ES_tradnl"/>
        </w:rPr>
        <w:t>Asia-Pacífico</w:t>
      </w:r>
      <w:r w:rsidR="00587094" w:rsidRPr="007078A2">
        <w:rPr>
          <w:sz w:val="18"/>
          <w:szCs w:val="18"/>
          <w:lang w:val="es-ES_tradnl"/>
        </w:rPr>
        <w:t xml:space="preserve"> – </w:t>
      </w:r>
      <w:r w:rsidRPr="007078A2">
        <w:rPr>
          <w:sz w:val="18"/>
          <w:szCs w:val="18"/>
          <w:lang w:val="es-ES_tradnl"/>
        </w:rPr>
        <w:t>CEI</w:t>
      </w:r>
      <w:r w:rsidR="00587094" w:rsidRPr="007078A2">
        <w:rPr>
          <w:sz w:val="18"/>
          <w:szCs w:val="18"/>
          <w:lang w:val="es-ES_tradnl"/>
        </w:rPr>
        <w:t xml:space="preserve"> – </w:t>
      </w:r>
      <w:r w:rsidRPr="007078A2">
        <w:rPr>
          <w:sz w:val="18"/>
          <w:szCs w:val="18"/>
          <w:lang w:val="es-ES_tradnl"/>
        </w:rPr>
        <w:t>Europa</w:t>
      </w:r>
    </w:p>
    <w:p w:rsidR="000A39FD" w:rsidRPr="007078A2" w:rsidRDefault="000A39FD" w:rsidP="00587094">
      <w:pPr>
        <w:spacing w:before="0"/>
        <w:jc w:val="both"/>
        <w:rPr>
          <w:sz w:val="18"/>
          <w:szCs w:val="18"/>
          <w:lang w:val="es-ES_tradnl"/>
        </w:rPr>
      </w:pPr>
      <w:r w:rsidRPr="007078A2">
        <w:rPr>
          <w:sz w:val="18"/>
          <w:szCs w:val="18"/>
          <w:lang w:val="es-ES_tradnl"/>
        </w:rPr>
        <w:t>País</w:t>
      </w:r>
      <w:r w:rsidR="00587094" w:rsidRPr="007078A2">
        <w:rPr>
          <w:sz w:val="18"/>
          <w:szCs w:val="18"/>
          <w:lang w:val="es-ES_tradnl"/>
        </w:rPr>
        <w:t xml:space="preserve"> – </w:t>
      </w:r>
      <w:r w:rsidRPr="007078A2">
        <w:rPr>
          <w:sz w:val="18"/>
          <w:szCs w:val="18"/>
          <w:lang w:val="es-ES_tradnl"/>
        </w:rPr>
        <w:t>Media regional</w:t>
      </w:r>
    </w:p>
    <w:p w:rsidR="000A39FD" w:rsidRPr="007078A2" w:rsidRDefault="000A39FD" w:rsidP="00587094">
      <w:pPr>
        <w:rPr>
          <w:rFonts w:eastAsia="Calibri Light" w:cs="Calibri Light"/>
          <w:color w:val="414042"/>
          <w:lang w:val="es-ES_tradnl"/>
        </w:rPr>
      </w:pPr>
      <w:bookmarkStart w:id="54" w:name="_Toc455476233"/>
      <w:r w:rsidRPr="007078A2">
        <w:rPr>
          <w:lang w:val="es-ES_tradnl"/>
        </w:rPr>
        <w:lastRenderedPageBreak/>
        <w:t xml:space="preserve">Las variaciones son menores cuando se considera la RNB por habitante de cada país, y la mayoría de los países de la región tienen precios que representan menos de 5% de la RNB por habitante. De ello se desprende que, si bien queda margen para seguir reduciendo los precios móviles celulares en la mayoría de los países de las Américas, el servicio ya es relativamente asequible en la mayoría de los países de la región. Costa Rica destaca por ser uno de los países con los precios móviles celulares más asequibles del mundo (Cuadro 4.1). Los países en los cuales los precios móviles celulares corresponden a más de 5% de la RNB por habitante siguen siendo los mismos en las Américas desde 2014, a saber Honduras, </w:t>
      </w:r>
      <w:r w:rsidR="00474503" w:rsidRPr="007078A2">
        <w:rPr>
          <w:lang w:val="es-ES_tradnl"/>
        </w:rPr>
        <w:t>Belice</w:t>
      </w:r>
      <w:r w:rsidRPr="007078A2">
        <w:rPr>
          <w:lang w:val="es-ES_tradnl"/>
        </w:rPr>
        <w:t xml:space="preserve">, Guatemala, Haití y Nicaragua. Además de ciertas iniciativas específicas para reducir los precios en esos países, tales como los descuentos dinámicos ofrecidos por el operador Tigo en Guatemala, se necesitarán diversas iniciativas adicionales apoyadas por el sector privado o intervenciones de política y reglamentación para lograr una disminución de los precios móviles celulares en esos países, especialmente </w:t>
      </w:r>
      <w:r w:rsidR="00474503" w:rsidRPr="007078A2">
        <w:rPr>
          <w:lang w:val="es-ES_tradnl"/>
        </w:rPr>
        <w:t>Belice</w:t>
      </w:r>
      <w:r w:rsidRPr="007078A2">
        <w:rPr>
          <w:lang w:val="es-ES_tradnl"/>
        </w:rPr>
        <w:t xml:space="preserve"> y Haití, que tienen la penetración móvil celular más baja de la región, junto con Cuba</w:t>
      </w:r>
      <w:r w:rsidRPr="007078A2">
        <w:rPr>
          <w:rFonts w:eastAsia="Calibri Light" w:cs="Calibri Light"/>
          <w:color w:val="414042"/>
          <w:lang w:val="es-ES_tradnl"/>
        </w:rPr>
        <w:t>.</w:t>
      </w:r>
    </w:p>
    <w:p w:rsidR="000A39FD" w:rsidRPr="007078A2" w:rsidRDefault="000A39FD" w:rsidP="00E63F9A">
      <w:pPr>
        <w:pStyle w:val="FigureNotitle"/>
      </w:pPr>
      <w:r w:rsidRPr="007078A2">
        <w:t>Cuadro 4.1: Cinco países con los servicio</w:t>
      </w:r>
      <w:r w:rsidR="00E63F9A" w:rsidRPr="007078A2">
        <w:t>s móviles celulares</w:t>
      </w:r>
      <w:r w:rsidR="00E63F9A" w:rsidRPr="007078A2">
        <w:br/>
        <w:t xml:space="preserve">más baratos </w:t>
      </w:r>
      <w:r w:rsidRPr="007078A2">
        <w:t>de cada región, en PPA$, 2015</w:t>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0"/>
        <w:gridCol w:w="1068"/>
        <w:gridCol w:w="2324"/>
        <w:gridCol w:w="889"/>
        <w:gridCol w:w="18"/>
        <w:gridCol w:w="2193"/>
        <w:gridCol w:w="1049"/>
        <w:gridCol w:w="18"/>
      </w:tblGrid>
      <w:tr w:rsidR="0060426E" w:rsidRPr="007078A2" w:rsidTr="00617E77">
        <w:trPr>
          <w:gridAfter w:val="1"/>
          <w:wAfter w:w="18" w:type="dxa"/>
        </w:trPr>
        <w:tc>
          <w:tcPr>
            <w:tcW w:w="3168" w:type="dxa"/>
            <w:gridSpan w:val="2"/>
            <w:tcBorders>
              <w:bottom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Europa</w:t>
            </w:r>
          </w:p>
        </w:tc>
        <w:tc>
          <w:tcPr>
            <w:tcW w:w="3213" w:type="dxa"/>
            <w:gridSpan w:val="2"/>
            <w:tcBorders>
              <w:left w:val="single" w:sz="2" w:space="0" w:color="FFFFFF" w:themeColor="background1"/>
              <w:bottom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Asia-Pacífico</w:t>
            </w:r>
          </w:p>
        </w:tc>
        <w:tc>
          <w:tcPr>
            <w:tcW w:w="3260" w:type="dxa"/>
            <w:gridSpan w:val="3"/>
            <w:tcBorders>
              <w:left w:val="single" w:sz="2" w:space="0" w:color="FFFFFF" w:themeColor="background1"/>
              <w:bottom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Américas</w:t>
            </w:r>
          </w:p>
        </w:tc>
      </w:tr>
      <w:tr w:rsidR="0060426E" w:rsidRPr="007078A2" w:rsidTr="00617E77">
        <w:tc>
          <w:tcPr>
            <w:tcW w:w="2100" w:type="dxa"/>
            <w:tcBorders>
              <w:top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País</w:t>
            </w:r>
          </w:p>
        </w:tc>
        <w:tc>
          <w:tcPr>
            <w:tcW w:w="1068" w:type="dxa"/>
            <w:tcBorders>
              <w:top w:val="single" w:sz="2" w:space="0" w:color="FFFFFF" w:themeColor="background1"/>
              <w:left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PPA$</w:t>
            </w:r>
          </w:p>
        </w:tc>
        <w:tc>
          <w:tcPr>
            <w:tcW w:w="2324" w:type="dxa"/>
            <w:tcBorders>
              <w:top w:val="single" w:sz="2" w:space="0" w:color="FFFFFF" w:themeColor="background1"/>
              <w:left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País</w:t>
            </w:r>
          </w:p>
        </w:tc>
        <w:tc>
          <w:tcPr>
            <w:tcW w:w="907" w:type="dxa"/>
            <w:gridSpan w:val="2"/>
            <w:tcBorders>
              <w:top w:val="single" w:sz="2" w:space="0" w:color="FFFFFF" w:themeColor="background1"/>
              <w:left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PPA$</w:t>
            </w:r>
          </w:p>
        </w:tc>
        <w:tc>
          <w:tcPr>
            <w:tcW w:w="2193" w:type="dxa"/>
            <w:tcBorders>
              <w:top w:val="single" w:sz="2" w:space="0" w:color="FFFFFF" w:themeColor="background1"/>
              <w:left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País</w:t>
            </w:r>
          </w:p>
        </w:tc>
        <w:tc>
          <w:tcPr>
            <w:tcW w:w="1067" w:type="dxa"/>
            <w:gridSpan w:val="2"/>
            <w:tcBorders>
              <w:top w:val="single" w:sz="2" w:space="0" w:color="FFFFFF" w:themeColor="background1"/>
              <w:lef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PPA$</w:t>
            </w:r>
          </w:p>
        </w:tc>
      </w:tr>
      <w:tr w:rsidR="0060426E" w:rsidRPr="007078A2" w:rsidTr="00617E77">
        <w:tc>
          <w:tcPr>
            <w:tcW w:w="2100" w:type="dxa"/>
            <w:tcBorders>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Estonia</w:t>
            </w:r>
          </w:p>
        </w:tc>
        <w:tc>
          <w:tcPr>
            <w:tcW w:w="1068" w:type="dxa"/>
            <w:tcBorders>
              <w:left w:val="single" w:sz="2" w:space="0" w:color="FFFFFF" w:themeColor="background1"/>
              <w:righ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4,67</w:t>
            </w:r>
          </w:p>
        </w:tc>
        <w:tc>
          <w:tcPr>
            <w:tcW w:w="2324" w:type="dxa"/>
            <w:tcBorders>
              <w:left w:val="single" w:sz="2" w:space="0" w:color="FFFFFF" w:themeColor="background1"/>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Sri Lanka</w:t>
            </w:r>
          </w:p>
        </w:tc>
        <w:tc>
          <w:tcPr>
            <w:tcW w:w="907" w:type="dxa"/>
            <w:gridSpan w:val="2"/>
            <w:tcBorders>
              <w:left w:val="single" w:sz="2" w:space="0" w:color="FFFFFF" w:themeColor="background1"/>
              <w:righ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2,45</w:t>
            </w:r>
          </w:p>
        </w:tc>
        <w:tc>
          <w:tcPr>
            <w:tcW w:w="2193" w:type="dxa"/>
            <w:tcBorders>
              <w:left w:val="single" w:sz="2" w:space="0" w:color="FFFFFF" w:themeColor="background1"/>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Costa Rica</w:t>
            </w:r>
          </w:p>
        </w:tc>
        <w:tc>
          <w:tcPr>
            <w:tcW w:w="1067" w:type="dxa"/>
            <w:gridSpan w:val="2"/>
            <w:tcBorders>
              <w:lef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5,51</w:t>
            </w:r>
          </w:p>
        </w:tc>
      </w:tr>
      <w:tr w:rsidR="0060426E" w:rsidRPr="007078A2" w:rsidTr="00617E77">
        <w:tc>
          <w:tcPr>
            <w:tcW w:w="2100" w:type="dxa"/>
            <w:tcBorders>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r w:rsidRPr="007078A2">
              <w:rPr>
                <w:sz w:val="18"/>
                <w:szCs w:val="18"/>
                <w:lang w:val="es-ES_tradnl"/>
              </w:rPr>
              <w:t>Lituania</w:t>
            </w:r>
          </w:p>
        </w:tc>
        <w:tc>
          <w:tcPr>
            <w:tcW w:w="1068" w:type="dxa"/>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jc w:val="center"/>
              <w:rPr>
                <w:sz w:val="18"/>
                <w:szCs w:val="18"/>
                <w:lang w:val="es-ES_tradnl"/>
              </w:rPr>
            </w:pPr>
            <w:r w:rsidRPr="007078A2">
              <w:rPr>
                <w:sz w:val="18"/>
                <w:szCs w:val="18"/>
                <w:lang w:val="es-ES_tradnl"/>
              </w:rPr>
              <w:t>5,59</w:t>
            </w:r>
          </w:p>
        </w:tc>
        <w:tc>
          <w:tcPr>
            <w:tcW w:w="2324" w:type="dxa"/>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r w:rsidRPr="007078A2">
              <w:rPr>
                <w:sz w:val="18"/>
                <w:szCs w:val="18"/>
                <w:lang w:val="es-ES_tradnl"/>
              </w:rPr>
              <w:t>Bangladesh</w:t>
            </w:r>
          </w:p>
        </w:tc>
        <w:tc>
          <w:tcPr>
            <w:tcW w:w="907" w:type="dxa"/>
            <w:gridSpan w:val="2"/>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jc w:val="center"/>
              <w:rPr>
                <w:sz w:val="18"/>
                <w:szCs w:val="18"/>
                <w:lang w:val="es-ES_tradnl"/>
              </w:rPr>
            </w:pPr>
            <w:r w:rsidRPr="007078A2">
              <w:rPr>
                <w:sz w:val="18"/>
                <w:szCs w:val="18"/>
                <w:lang w:val="es-ES_tradnl"/>
              </w:rPr>
              <w:t>4,14</w:t>
            </w:r>
          </w:p>
        </w:tc>
        <w:tc>
          <w:tcPr>
            <w:tcW w:w="2193" w:type="dxa"/>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r w:rsidRPr="007078A2">
              <w:rPr>
                <w:sz w:val="18"/>
                <w:szCs w:val="18"/>
                <w:lang w:val="es-ES_tradnl"/>
              </w:rPr>
              <w:t>Venezuela</w:t>
            </w:r>
          </w:p>
        </w:tc>
        <w:tc>
          <w:tcPr>
            <w:tcW w:w="1067" w:type="dxa"/>
            <w:gridSpan w:val="2"/>
            <w:tcBorders>
              <w:left w:val="single" w:sz="2" w:space="0" w:color="FFFFFF" w:themeColor="background1"/>
            </w:tcBorders>
            <w:shd w:val="clear" w:color="auto" w:fill="BDD6EE" w:themeFill="accent1" w:themeFillTint="66"/>
          </w:tcPr>
          <w:p w:rsidR="0060426E" w:rsidRPr="007078A2" w:rsidRDefault="0060426E" w:rsidP="00617E77">
            <w:pPr>
              <w:jc w:val="center"/>
              <w:rPr>
                <w:sz w:val="18"/>
                <w:szCs w:val="18"/>
                <w:lang w:val="es-ES_tradnl"/>
              </w:rPr>
            </w:pPr>
            <w:r w:rsidRPr="007078A2">
              <w:rPr>
                <w:sz w:val="18"/>
                <w:szCs w:val="18"/>
                <w:lang w:val="es-ES_tradnl"/>
              </w:rPr>
              <w:t>10,41</w:t>
            </w:r>
          </w:p>
        </w:tc>
      </w:tr>
      <w:tr w:rsidR="0060426E" w:rsidRPr="007078A2" w:rsidTr="00617E77">
        <w:tc>
          <w:tcPr>
            <w:tcW w:w="2100" w:type="dxa"/>
            <w:tcBorders>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Letonia</w:t>
            </w:r>
          </w:p>
        </w:tc>
        <w:tc>
          <w:tcPr>
            <w:tcW w:w="1068" w:type="dxa"/>
            <w:tcBorders>
              <w:left w:val="single" w:sz="2" w:space="0" w:color="FFFFFF" w:themeColor="background1"/>
              <w:righ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6,84</w:t>
            </w:r>
          </w:p>
        </w:tc>
        <w:tc>
          <w:tcPr>
            <w:tcW w:w="2324" w:type="dxa"/>
            <w:tcBorders>
              <w:left w:val="single" w:sz="2" w:space="0" w:color="FFFFFF" w:themeColor="background1"/>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Irán (República Islámica del)</w:t>
            </w:r>
          </w:p>
        </w:tc>
        <w:tc>
          <w:tcPr>
            <w:tcW w:w="907" w:type="dxa"/>
            <w:gridSpan w:val="2"/>
            <w:tcBorders>
              <w:left w:val="single" w:sz="2" w:space="0" w:color="FFFFFF" w:themeColor="background1"/>
              <w:righ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5,43</w:t>
            </w:r>
          </w:p>
        </w:tc>
        <w:tc>
          <w:tcPr>
            <w:tcW w:w="2193" w:type="dxa"/>
            <w:tcBorders>
              <w:left w:val="single" w:sz="2" w:space="0" w:color="FFFFFF" w:themeColor="background1"/>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Paraguay</w:t>
            </w:r>
          </w:p>
        </w:tc>
        <w:tc>
          <w:tcPr>
            <w:tcW w:w="1067" w:type="dxa"/>
            <w:gridSpan w:val="2"/>
            <w:tcBorders>
              <w:lef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10,45</w:t>
            </w:r>
          </w:p>
        </w:tc>
      </w:tr>
      <w:tr w:rsidR="0060426E" w:rsidRPr="007078A2" w:rsidTr="00617E77">
        <w:tc>
          <w:tcPr>
            <w:tcW w:w="2100" w:type="dxa"/>
            <w:tcBorders>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r w:rsidRPr="007078A2">
              <w:rPr>
                <w:sz w:val="18"/>
                <w:szCs w:val="18"/>
                <w:lang w:val="es-ES_tradnl"/>
              </w:rPr>
              <w:t>Austria</w:t>
            </w:r>
          </w:p>
        </w:tc>
        <w:tc>
          <w:tcPr>
            <w:tcW w:w="1068" w:type="dxa"/>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jc w:val="center"/>
              <w:rPr>
                <w:sz w:val="18"/>
                <w:szCs w:val="18"/>
                <w:lang w:val="es-ES_tradnl"/>
              </w:rPr>
            </w:pPr>
            <w:r w:rsidRPr="007078A2">
              <w:rPr>
                <w:sz w:val="18"/>
                <w:szCs w:val="18"/>
                <w:lang w:val="es-ES_tradnl"/>
              </w:rPr>
              <w:t>6,97</w:t>
            </w:r>
          </w:p>
        </w:tc>
        <w:tc>
          <w:tcPr>
            <w:tcW w:w="2324" w:type="dxa"/>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r w:rsidRPr="007078A2">
              <w:rPr>
                <w:sz w:val="18"/>
                <w:szCs w:val="18"/>
                <w:lang w:val="es-ES_tradnl"/>
              </w:rPr>
              <w:t>China</w:t>
            </w:r>
          </w:p>
        </w:tc>
        <w:tc>
          <w:tcPr>
            <w:tcW w:w="907" w:type="dxa"/>
            <w:gridSpan w:val="2"/>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jc w:val="center"/>
              <w:rPr>
                <w:sz w:val="18"/>
                <w:szCs w:val="18"/>
                <w:lang w:val="es-ES_tradnl"/>
              </w:rPr>
            </w:pPr>
            <w:r w:rsidRPr="007078A2">
              <w:rPr>
                <w:sz w:val="18"/>
                <w:szCs w:val="18"/>
                <w:lang w:val="es-ES_tradnl"/>
              </w:rPr>
              <w:t>6,63</w:t>
            </w:r>
          </w:p>
        </w:tc>
        <w:tc>
          <w:tcPr>
            <w:tcW w:w="2193" w:type="dxa"/>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r w:rsidRPr="007078A2">
              <w:rPr>
                <w:sz w:val="18"/>
                <w:szCs w:val="18"/>
                <w:lang w:val="es-ES_tradnl"/>
              </w:rPr>
              <w:t>Jamaica</w:t>
            </w:r>
          </w:p>
        </w:tc>
        <w:tc>
          <w:tcPr>
            <w:tcW w:w="1067" w:type="dxa"/>
            <w:gridSpan w:val="2"/>
            <w:tcBorders>
              <w:left w:val="single" w:sz="2" w:space="0" w:color="FFFFFF" w:themeColor="background1"/>
            </w:tcBorders>
            <w:shd w:val="clear" w:color="auto" w:fill="BDD6EE" w:themeFill="accent1" w:themeFillTint="66"/>
          </w:tcPr>
          <w:p w:rsidR="0060426E" w:rsidRPr="007078A2" w:rsidRDefault="0060426E" w:rsidP="00617E77">
            <w:pPr>
              <w:jc w:val="center"/>
              <w:rPr>
                <w:sz w:val="18"/>
                <w:szCs w:val="18"/>
                <w:lang w:val="es-ES_tradnl"/>
              </w:rPr>
            </w:pPr>
            <w:r w:rsidRPr="007078A2">
              <w:rPr>
                <w:sz w:val="18"/>
                <w:szCs w:val="18"/>
                <w:lang w:val="es-ES_tradnl"/>
              </w:rPr>
              <w:t>13,10</w:t>
            </w:r>
          </w:p>
        </w:tc>
      </w:tr>
      <w:tr w:rsidR="0060426E" w:rsidRPr="007078A2" w:rsidTr="00617E77">
        <w:tc>
          <w:tcPr>
            <w:tcW w:w="2100" w:type="dxa"/>
            <w:tcBorders>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Chipre</w:t>
            </w:r>
          </w:p>
        </w:tc>
        <w:tc>
          <w:tcPr>
            <w:tcW w:w="1068" w:type="dxa"/>
            <w:tcBorders>
              <w:left w:val="single" w:sz="2" w:space="0" w:color="FFFFFF" w:themeColor="background1"/>
              <w:righ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8,56</w:t>
            </w:r>
          </w:p>
        </w:tc>
        <w:tc>
          <w:tcPr>
            <w:tcW w:w="2324" w:type="dxa"/>
            <w:tcBorders>
              <w:left w:val="single" w:sz="2" w:space="0" w:color="FFFFFF" w:themeColor="background1"/>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Pakistán</w:t>
            </w:r>
          </w:p>
        </w:tc>
        <w:tc>
          <w:tcPr>
            <w:tcW w:w="907" w:type="dxa"/>
            <w:gridSpan w:val="2"/>
            <w:tcBorders>
              <w:left w:val="single" w:sz="2" w:space="0" w:color="FFFFFF" w:themeColor="background1"/>
              <w:righ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7,04</w:t>
            </w:r>
          </w:p>
        </w:tc>
        <w:tc>
          <w:tcPr>
            <w:tcW w:w="2193" w:type="dxa"/>
            <w:tcBorders>
              <w:left w:val="single" w:sz="2" w:space="0" w:color="FFFFFF" w:themeColor="background1"/>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México</w:t>
            </w:r>
          </w:p>
        </w:tc>
        <w:tc>
          <w:tcPr>
            <w:tcW w:w="1067" w:type="dxa"/>
            <w:gridSpan w:val="2"/>
            <w:tcBorders>
              <w:lef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13,90</w:t>
            </w:r>
          </w:p>
        </w:tc>
      </w:tr>
      <w:tr w:rsidR="0060426E" w:rsidRPr="007078A2" w:rsidTr="00617E77">
        <w:tc>
          <w:tcPr>
            <w:tcW w:w="2100" w:type="dxa"/>
            <w:tcBorders>
              <w:bottom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p>
        </w:tc>
        <w:tc>
          <w:tcPr>
            <w:tcW w:w="1068" w:type="dxa"/>
            <w:tcBorders>
              <w:left w:val="single" w:sz="2" w:space="0" w:color="FFFFFF" w:themeColor="background1"/>
              <w:bottom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p>
        </w:tc>
        <w:tc>
          <w:tcPr>
            <w:tcW w:w="2324" w:type="dxa"/>
            <w:tcBorders>
              <w:left w:val="single" w:sz="2" w:space="0" w:color="FFFFFF" w:themeColor="background1"/>
              <w:bottom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p>
        </w:tc>
        <w:tc>
          <w:tcPr>
            <w:tcW w:w="907" w:type="dxa"/>
            <w:gridSpan w:val="2"/>
            <w:tcBorders>
              <w:left w:val="single" w:sz="2" w:space="0" w:color="FFFFFF" w:themeColor="background1"/>
              <w:bottom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p>
        </w:tc>
        <w:tc>
          <w:tcPr>
            <w:tcW w:w="2193" w:type="dxa"/>
            <w:tcBorders>
              <w:left w:val="single" w:sz="2" w:space="0" w:color="FFFFFF" w:themeColor="background1"/>
              <w:bottom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p>
        </w:tc>
        <w:tc>
          <w:tcPr>
            <w:tcW w:w="1067" w:type="dxa"/>
            <w:gridSpan w:val="2"/>
            <w:tcBorders>
              <w:lef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p>
        </w:tc>
      </w:tr>
      <w:tr w:rsidR="0060426E" w:rsidRPr="007078A2" w:rsidTr="00617E77">
        <w:trPr>
          <w:gridAfter w:val="1"/>
          <w:wAfter w:w="18" w:type="dxa"/>
        </w:trPr>
        <w:tc>
          <w:tcPr>
            <w:tcW w:w="316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Estados Árabes</w:t>
            </w:r>
          </w:p>
        </w:tc>
        <w:tc>
          <w:tcPr>
            <w:tcW w:w="3213"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CEI</w:t>
            </w:r>
          </w:p>
        </w:tc>
        <w:tc>
          <w:tcPr>
            <w:tcW w:w="3260" w:type="dxa"/>
            <w:gridSpan w:val="3"/>
            <w:tcBorders>
              <w:top w:val="single" w:sz="2" w:space="0" w:color="FFFFFF" w:themeColor="background1"/>
              <w:left w:val="single" w:sz="2" w:space="0" w:color="FFFFFF" w:themeColor="background1"/>
              <w:bottom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África</w:t>
            </w:r>
          </w:p>
        </w:tc>
      </w:tr>
      <w:tr w:rsidR="0060426E" w:rsidRPr="007078A2" w:rsidTr="00617E77">
        <w:tc>
          <w:tcPr>
            <w:tcW w:w="2100" w:type="dxa"/>
            <w:tcBorders>
              <w:top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País</w:t>
            </w:r>
          </w:p>
        </w:tc>
        <w:tc>
          <w:tcPr>
            <w:tcW w:w="1068" w:type="dxa"/>
            <w:tcBorders>
              <w:top w:val="single" w:sz="2" w:space="0" w:color="FFFFFF" w:themeColor="background1"/>
              <w:left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PPA$</w:t>
            </w:r>
          </w:p>
        </w:tc>
        <w:tc>
          <w:tcPr>
            <w:tcW w:w="2324" w:type="dxa"/>
            <w:tcBorders>
              <w:top w:val="single" w:sz="2" w:space="0" w:color="FFFFFF" w:themeColor="background1"/>
              <w:left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País</w:t>
            </w:r>
          </w:p>
        </w:tc>
        <w:tc>
          <w:tcPr>
            <w:tcW w:w="907" w:type="dxa"/>
            <w:gridSpan w:val="2"/>
            <w:tcBorders>
              <w:top w:val="single" w:sz="2" w:space="0" w:color="FFFFFF" w:themeColor="background1"/>
              <w:left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PPA$</w:t>
            </w:r>
          </w:p>
        </w:tc>
        <w:tc>
          <w:tcPr>
            <w:tcW w:w="2193" w:type="dxa"/>
            <w:tcBorders>
              <w:top w:val="single" w:sz="2" w:space="0" w:color="FFFFFF" w:themeColor="background1"/>
              <w:left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País</w:t>
            </w:r>
          </w:p>
        </w:tc>
        <w:tc>
          <w:tcPr>
            <w:tcW w:w="1067" w:type="dxa"/>
            <w:gridSpan w:val="2"/>
            <w:tcBorders>
              <w:top w:val="single" w:sz="2" w:space="0" w:color="FFFFFF" w:themeColor="background1"/>
              <w:lef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PPA$</w:t>
            </w:r>
          </w:p>
        </w:tc>
      </w:tr>
      <w:tr w:rsidR="0060426E" w:rsidRPr="007078A2" w:rsidTr="00617E77">
        <w:tc>
          <w:tcPr>
            <w:tcW w:w="2100" w:type="dxa"/>
            <w:tcBorders>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Sudán</w:t>
            </w:r>
          </w:p>
        </w:tc>
        <w:tc>
          <w:tcPr>
            <w:tcW w:w="1068" w:type="dxa"/>
            <w:tcBorders>
              <w:left w:val="single" w:sz="2" w:space="0" w:color="FFFFFF" w:themeColor="background1"/>
              <w:righ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5,96</w:t>
            </w:r>
          </w:p>
        </w:tc>
        <w:tc>
          <w:tcPr>
            <w:tcW w:w="2324" w:type="dxa"/>
            <w:tcBorders>
              <w:left w:val="single" w:sz="2" w:space="0" w:color="FFFFFF" w:themeColor="background1"/>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Kirguistán</w:t>
            </w:r>
          </w:p>
        </w:tc>
        <w:tc>
          <w:tcPr>
            <w:tcW w:w="907" w:type="dxa"/>
            <w:gridSpan w:val="2"/>
            <w:tcBorders>
              <w:left w:val="single" w:sz="2" w:space="0" w:color="FFFFFF" w:themeColor="background1"/>
              <w:righ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10,56</w:t>
            </w:r>
          </w:p>
        </w:tc>
        <w:tc>
          <w:tcPr>
            <w:tcW w:w="2193" w:type="dxa"/>
            <w:tcBorders>
              <w:left w:val="single" w:sz="2" w:space="0" w:color="FFFFFF" w:themeColor="background1"/>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Kenya</w:t>
            </w:r>
          </w:p>
        </w:tc>
        <w:tc>
          <w:tcPr>
            <w:tcW w:w="1067" w:type="dxa"/>
            <w:gridSpan w:val="2"/>
            <w:tcBorders>
              <w:lef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7,96</w:t>
            </w:r>
          </w:p>
        </w:tc>
      </w:tr>
      <w:tr w:rsidR="0060426E" w:rsidRPr="007078A2" w:rsidTr="00617E77">
        <w:tc>
          <w:tcPr>
            <w:tcW w:w="2100" w:type="dxa"/>
            <w:tcBorders>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r w:rsidRPr="007078A2">
              <w:rPr>
                <w:sz w:val="18"/>
                <w:szCs w:val="18"/>
                <w:lang w:val="es-ES_tradnl"/>
              </w:rPr>
              <w:t>Túnez</w:t>
            </w:r>
          </w:p>
        </w:tc>
        <w:tc>
          <w:tcPr>
            <w:tcW w:w="1068" w:type="dxa"/>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jc w:val="center"/>
              <w:rPr>
                <w:sz w:val="18"/>
                <w:szCs w:val="18"/>
                <w:lang w:val="es-ES_tradnl"/>
              </w:rPr>
            </w:pPr>
            <w:r w:rsidRPr="007078A2">
              <w:rPr>
                <w:sz w:val="18"/>
                <w:szCs w:val="18"/>
                <w:lang w:val="es-ES_tradnl"/>
              </w:rPr>
              <w:t>8,52</w:t>
            </w:r>
          </w:p>
        </w:tc>
        <w:tc>
          <w:tcPr>
            <w:tcW w:w="2324" w:type="dxa"/>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r w:rsidRPr="007078A2">
              <w:rPr>
                <w:sz w:val="18"/>
                <w:szCs w:val="18"/>
                <w:lang w:val="es-ES_tradnl"/>
              </w:rPr>
              <w:t>Georgia</w:t>
            </w:r>
          </w:p>
        </w:tc>
        <w:tc>
          <w:tcPr>
            <w:tcW w:w="907" w:type="dxa"/>
            <w:gridSpan w:val="2"/>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jc w:val="center"/>
              <w:rPr>
                <w:sz w:val="18"/>
                <w:szCs w:val="18"/>
                <w:lang w:val="es-ES_tradnl"/>
              </w:rPr>
            </w:pPr>
            <w:r w:rsidRPr="007078A2">
              <w:rPr>
                <w:sz w:val="18"/>
                <w:szCs w:val="18"/>
                <w:lang w:val="es-ES_tradnl"/>
              </w:rPr>
              <w:t>12,49</w:t>
            </w:r>
          </w:p>
        </w:tc>
        <w:tc>
          <w:tcPr>
            <w:tcW w:w="2193" w:type="dxa"/>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r w:rsidRPr="007078A2">
              <w:rPr>
                <w:sz w:val="18"/>
                <w:szCs w:val="18"/>
                <w:lang w:val="es-ES_tradnl"/>
              </w:rPr>
              <w:t>Etiopía</w:t>
            </w:r>
          </w:p>
        </w:tc>
        <w:tc>
          <w:tcPr>
            <w:tcW w:w="1067" w:type="dxa"/>
            <w:gridSpan w:val="2"/>
            <w:tcBorders>
              <w:left w:val="single" w:sz="2" w:space="0" w:color="FFFFFF" w:themeColor="background1"/>
            </w:tcBorders>
            <w:shd w:val="clear" w:color="auto" w:fill="BDD6EE" w:themeFill="accent1" w:themeFillTint="66"/>
          </w:tcPr>
          <w:p w:rsidR="0060426E" w:rsidRPr="007078A2" w:rsidRDefault="0060426E" w:rsidP="00617E77">
            <w:pPr>
              <w:jc w:val="center"/>
              <w:rPr>
                <w:sz w:val="18"/>
                <w:szCs w:val="18"/>
                <w:lang w:val="es-ES_tradnl"/>
              </w:rPr>
            </w:pPr>
            <w:r w:rsidRPr="007078A2">
              <w:rPr>
                <w:sz w:val="18"/>
                <w:szCs w:val="18"/>
                <w:lang w:val="es-ES_tradnl"/>
              </w:rPr>
              <w:t>8,70</w:t>
            </w:r>
          </w:p>
        </w:tc>
      </w:tr>
      <w:tr w:rsidR="0060426E" w:rsidRPr="007078A2" w:rsidTr="00617E77">
        <w:tc>
          <w:tcPr>
            <w:tcW w:w="2100" w:type="dxa"/>
            <w:tcBorders>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Emiratos Árabes Unidos</w:t>
            </w:r>
          </w:p>
        </w:tc>
        <w:tc>
          <w:tcPr>
            <w:tcW w:w="1068" w:type="dxa"/>
            <w:tcBorders>
              <w:left w:val="single" w:sz="2" w:space="0" w:color="FFFFFF" w:themeColor="background1"/>
              <w:righ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9,15</w:t>
            </w:r>
          </w:p>
        </w:tc>
        <w:tc>
          <w:tcPr>
            <w:tcW w:w="2324" w:type="dxa"/>
            <w:tcBorders>
              <w:left w:val="single" w:sz="2" w:space="0" w:color="FFFFFF" w:themeColor="background1"/>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Federación de Rusia</w:t>
            </w:r>
          </w:p>
        </w:tc>
        <w:tc>
          <w:tcPr>
            <w:tcW w:w="907" w:type="dxa"/>
            <w:gridSpan w:val="2"/>
            <w:tcBorders>
              <w:left w:val="single" w:sz="2" w:space="0" w:color="FFFFFF" w:themeColor="background1"/>
              <w:righ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13,46</w:t>
            </w:r>
          </w:p>
        </w:tc>
        <w:tc>
          <w:tcPr>
            <w:tcW w:w="2193" w:type="dxa"/>
            <w:tcBorders>
              <w:left w:val="single" w:sz="2" w:space="0" w:color="FFFFFF" w:themeColor="background1"/>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Mauricio</w:t>
            </w:r>
          </w:p>
        </w:tc>
        <w:tc>
          <w:tcPr>
            <w:tcW w:w="1067" w:type="dxa"/>
            <w:gridSpan w:val="2"/>
            <w:tcBorders>
              <w:lef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9,18</w:t>
            </w:r>
          </w:p>
        </w:tc>
      </w:tr>
      <w:tr w:rsidR="0060426E" w:rsidRPr="007078A2" w:rsidTr="00617E77">
        <w:tc>
          <w:tcPr>
            <w:tcW w:w="2100" w:type="dxa"/>
            <w:tcBorders>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r w:rsidRPr="007078A2">
              <w:rPr>
                <w:sz w:val="18"/>
                <w:szCs w:val="18"/>
                <w:lang w:val="es-ES_tradnl"/>
              </w:rPr>
              <w:t>Jordania</w:t>
            </w:r>
          </w:p>
        </w:tc>
        <w:tc>
          <w:tcPr>
            <w:tcW w:w="1068" w:type="dxa"/>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jc w:val="center"/>
              <w:rPr>
                <w:sz w:val="18"/>
                <w:szCs w:val="18"/>
                <w:lang w:val="es-ES_tradnl"/>
              </w:rPr>
            </w:pPr>
            <w:r w:rsidRPr="007078A2">
              <w:rPr>
                <w:sz w:val="18"/>
                <w:szCs w:val="18"/>
                <w:lang w:val="es-ES_tradnl"/>
              </w:rPr>
              <w:t>10,21</w:t>
            </w:r>
          </w:p>
        </w:tc>
        <w:tc>
          <w:tcPr>
            <w:tcW w:w="2324" w:type="dxa"/>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r w:rsidRPr="007078A2">
              <w:rPr>
                <w:sz w:val="18"/>
                <w:szCs w:val="18"/>
                <w:lang w:val="es-ES_tradnl"/>
              </w:rPr>
              <w:t>Kazajstán</w:t>
            </w:r>
          </w:p>
        </w:tc>
        <w:tc>
          <w:tcPr>
            <w:tcW w:w="907" w:type="dxa"/>
            <w:gridSpan w:val="2"/>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jc w:val="center"/>
              <w:rPr>
                <w:sz w:val="18"/>
                <w:szCs w:val="18"/>
                <w:lang w:val="es-ES_tradnl"/>
              </w:rPr>
            </w:pPr>
            <w:r w:rsidRPr="007078A2">
              <w:rPr>
                <w:sz w:val="18"/>
                <w:szCs w:val="18"/>
                <w:lang w:val="es-ES_tradnl"/>
              </w:rPr>
              <w:t>14,02</w:t>
            </w:r>
          </w:p>
        </w:tc>
        <w:tc>
          <w:tcPr>
            <w:tcW w:w="2193" w:type="dxa"/>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r w:rsidRPr="007078A2">
              <w:rPr>
                <w:sz w:val="18"/>
                <w:szCs w:val="18"/>
                <w:lang w:val="es-ES_tradnl"/>
              </w:rPr>
              <w:t>Namibia</w:t>
            </w:r>
          </w:p>
        </w:tc>
        <w:tc>
          <w:tcPr>
            <w:tcW w:w="1067" w:type="dxa"/>
            <w:gridSpan w:val="2"/>
            <w:tcBorders>
              <w:left w:val="single" w:sz="2" w:space="0" w:color="FFFFFF" w:themeColor="background1"/>
            </w:tcBorders>
            <w:shd w:val="clear" w:color="auto" w:fill="BDD6EE" w:themeFill="accent1" w:themeFillTint="66"/>
          </w:tcPr>
          <w:p w:rsidR="0060426E" w:rsidRPr="007078A2" w:rsidRDefault="0060426E" w:rsidP="00617E77">
            <w:pPr>
              <w:jc w:val="center"/>
              <w:rPr>
                <w:sz w:val="18"/>
                <w:szCs w:val="18"/>
                <w:lang w:val="es-ES_tradnl"/>
              </w:rPr>
            </w:pPr>
            <w:r w:rsidRPr="007078A2">
              <w:rPr>
                <w:sz w:val="18"/>
                <w:szCs w:val="18"/>
                <w:lang w:val="es-ES_tradnl"/>
              </w:rPr>
              <w:t>9,54</w:t>
            </w:r>
          </w:p>
        </w:tc>
      </w:tr>
      <w:tr w:rsidR="0060426E" w:rsidRPr="007078A2" w:rsidTr="00617E77">
        <w:tc>
          <w:tcPr>
            <w:tcW w:w="2100" w:type="dxa"/>
            <w:tcBorders>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Egipto</w:t>
            </w:r>
          </w:p>
        </w:tc>
        <w:tc>
          <w:tcPr>
            <w:tcW w:w="1068" w:type="dxa"/>
            <w:tcBorders>
              <w:left w:val="single" w:sz="2" w:space="0" w:color="FFFFFF" w:themeColor="background1"/>
              <w:righ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16,78</w:t>
            </w:r>
          </w:p>
        </w:tc>
        <w:tc>
          <w:tcPr>
            <w:tcW w:w="2324" w:type="dxa"/>
            <w:tcBorders>
              <w:left w:val="single" w:sz="2" w:space="0" w:color="FFFFFF" w:themeColor="background1"/>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Armenia</w:t>
            </w:r>
          </w:p>
        </w:tc>
        <w:tc>
          <w:tcPr>
            <w:tcW w:w="907" w:type="dxa"/>
            <w:gridSpan w:val="2"/>
            <w:tcBorders>
              <w:left w:val="single" w:sz="2" w:space="0" w:color="FFFFFF" w:themeColor="background1"/>
              <w:righ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17,26</w:t>
            </w:r>
          </w:p>
        </w:tc>
        <w:tc>
          <w:tcPr>
            <w:tcW w:w="2193" w:type="dxa"/>
            <w:tcBorders>
              <w:left w:val="single" w:sz="2" w:space="0" w:color="FFFFFF" w:themeColor="background1"/>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Nigeria</w:t>
            </w:r>
          </w:p>
        </w:tc>
        <w:tc>
          <w:tcPr>
            <w:tcW w:w="1067" w:type="dxa"/>
            <w:gridSpan w:val="2"/>
            <w:tcBorders>
              <w:lef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10,17</w:t>
            </w:r>
          </w:p>
        </w:tc>
      </w:tr>
    </w:tbl>
    <w:p w:rsidR="000A39FD" w:rsidRPr="007078A2" w:rsidRDefault="000A39FD" w:rsidP="0060426E">
      <w:pPr>
        <w:spacing w:before="0"/>
        <w:jc w:val="both"/>
        <w:rPr>
          <w:sz w:val="18"/>
          <w:szCs w:val="18"/>
          <w:lang w:val="es-ES_tradnl"/>
        </w:rPr>
      </w:pPr>
      <w:r w:rsidRPr="007078A2">
        <w:rPr>
          <w:sz w:val="18"/>
          <w:szCs w:val="18"/>
          <w:lang w:val="es-ES_tradnl"/>
        </w:rPr>
        <w:t>Nota: Georgia salió de la CEI el 18 de agosto de 2009, pero en la UIT/BDT figura en la región administrativa de los países de la CEI.</w:t>
      </w:r>
    </w:p>
    <w:p w:rsidR="000A39FD" w:rsidRPr="007078A2" w:rsidRDefault="000A39FD" w:rsidP="0060426E">
      <w:pPr>
        <w:spacing w:before="0"/>
        <w:jc w:val="both"/>
        <w:rPr>
          <w:sz w:val="18"/>
          <w:szCs w:val="18"/>
          <w:lang w:val="es-ES_tradnl"/>
        </w:rPr>
      </w:pPr>
      <w:r w:rsidRPr="007078A2">
        <w:rPr>
          <w:sz w:val="18"/>
          <w:szCs w:val="18"/>
          <w:lang w:val="es-ES_tradnl"/>
        </w:rPr>
        <w:t>Origen: UIT</w:t>
      </w:r>
    </w:p>
    <w:p w:rsidR="000A39FD" w:rsidRPr="007078A2" w:rsidRDefault="000A39FD" w:rsidP="00923E6B">
      <w:pPr>
        <w:pStyle w:val="Headingb"/>
        <w:keepLines/>
        <w:spacing w:after="120"/>
        <w:rPr>
          <w:rFonts w:asciiTheme="minorHAnsi" w:hAnsiTheme="minorHAnsi"/>
          <w:lang w:val="es-ES_tradnl"/>
        </w:rPr>
      </w:pPr>
      <w:bookmarkStart w:id="55" w:name="_Toc474413200"/>
      <w:r w:rsidRPr="007078A2">
        <w:rPr>
          <w:rFonts w:asciiTheme="minorHAnsi" w:hAnsiTheme="minorHAnsi"/>
          <w:lang w:val="es-ES_tradnl"/>
        </w:rPr>
        <w:t>Precios de la banda ancha fija en la región de las Américas</w:t>
      </w:r>
      <w:bookmarkEnd w:id="54"/>
      <w:bookmarkEnd w:id="55"/>
    </w:p>
    <w:tbl>
      <w:tblPr>
        <w:tblStyle w:val="TableGrid"/>
        <w:tblW w:w="0" w:type="auto"/>
        <w:tblLook w:val="04A0" w:firstRow="1" w:lastRow="0" w:firstColumn="1" w:lastColumn="0" w:noHBand="0" w:noVBand="1"/>
      </w:tblPr>
      <w:tblGrid>
        <w:gridCol w:w="9017"/>
      </w:tblGrid>
      <w:tr w:rsidR="000A39FD" w:rsidRPr="00A32FCB" w:rsidTr="00FF14BC">
        <w:tc>
          <w:tcPr>
            <w:tcW w:w="9017" w:type="dxa"/>
          </w:tcPr>
          <w:p w:rsidR="000A39FD" w:rsidRPr="007078A2" w:rsidRDefault="000A39FD" w:rsidP="00923E6B">
            <w:pPr>
              <w:keepNext/>
              <w:keepLines/>
              <w:rPr>
                <w:lang w:val="es-ES_tradnl"/>
              </w:rPr>
            </w:pPr>
            <w:r w:rsidRPr="007078A2">
              <w:rPr>
                <w:snapToGrid w:val="0"/>
                <w:lang w:val="es-ES_tradnl"/>
              </w:rPr>
              <w:t xml:space="preserve">Para supervisar los precios de la banda ancha fija, la UIT utiliza la </w:t>
            </w:r>
            <w:r w:rsidRPr="007078A2">
              <w:rPr>
                <w:b/>
                <w:bCs/>
                <w:snapToGrid w:val="0"/>
                <w:lang w:val="es-ES_tradnl"/>
              </w:rPr>
              <w:t>subcesta de banda ancha fija</w:t>
            </w:r>
            <w:r w:rsidRPr="007078A2">
              <w:rPr>
                <w:snapToGrid w:val="0"/>
                <w:lang w:val="es-ES_tradnl"/>
              </w:rPr>
              <w:t>, que contiene el precio de una suscripción mensual a un plan de banda ancha fija básico. Se calcula en porcentaje de la RNB mensual media por habitante de un país, y también se presenta en USD y PPA$ (USD en condiciones de paridad de poder adquisitivo). Para facilitar las comparaciones, la subcesta de banda ancha fija se basa en una utilización de datos mensual de (un mínimo de) 1 gigabyte (Gb). En el caso de los planes que limitan el volumen mensual de datos transferidos con topes del volumen de datos inferiores a 1Gb, el coste de los bytes adicionales se añade a la subcesta. La velocidad mínima de una conexión de banda ancha es de 256 kbit/s.</w:t>
            </w:r>
          </w:p>
        </w:tc>
      </w:tr>
    </w:tbl>
    <w:p w:rsidR="000A39FD" w:rsidRPr="007078A2" w:rsidRDefault="000A39FD" w:rsidP="0060426E">
      <w:pPr>
        <w:rPr>
          <w:lang w:val="es-ES_tradnl"/>
        </w:rPr>
      </w:pPr>
      <w:r w:rsidRPr="007078A2">
        <w:rPr>
          <w:lang w:val="es-ES_tradnl"/>
        </w:rPr>
        <w:t xml:space="preserve">Una comparación regional de los precios, velocidades y topes de datos de la banda ancha fija pone de manifiesto diferencias importantes entre las regiones, y dentro de las mismas. África sigue siendo la región en la que se observan mayores divergencias en precios absolutos y relativos del acceso a Internet, mientras que la región de la CEI tiene precios relativamente bajos y similares. </w:t>
      </w:r>
      <w:r w:rsidRPr="007078A2">
        <w:rPr>
          <w:lang w:val="es-ES_tradnl"/>
        </w:rPr>
        <w:lastRenderedPageBreak/>
        <w:t xml:space="preserve">África, pero también Asia-Pacífico y las Américas, presentan varios valores extremos, con precios que siguen siendo prohibitivos y que influencian las medias de esas regiones (Gráfico 4.2). </w:t>
      </w:r>
    </w:p>
    <w:p w:rsidR="000A39FD" w:rsidRPr="007078A2" w:rsidRDefault="000A39FD" w:rsidP="00AB0974">
      <w:pPr>
        <w:pStyle w:val="FigureNotitle"/>
      </w:pPr>
      <w:r w:rsidRPr="007078A2">
        <w:t>Gráfico 4.2: Precios de la ban</w:t>
      </w:r>
      <w:r w:rsidR="00AB0974" w:rsidRPr="007078A2">
        <w:t>da ancha fija por región, 2015,</w:t>
      </w:r>
      <w:r w:rsidR="00AB0974" w:rsidRPr="007078A2">
        <w:br/>
      </w:r>
      <w:r w:rsidRPr="007078A2">
        <w:t xml:space="preserve">en USD </w:t>
      </w:r>
      <w:r w:rsidR="00AB0974" w:rsidRPr="007078A2">
        <w:t>(izquierda) y en PPA$ (derecha)</w:t>
      </w:r>
    </w:p>
    <w:p w:rsidR="000A39FD" w:rsidRPr="007078A2" w:rsidRDefault="000A39FD" w:rsidP="00FF14BC">
      <w:pPr>
        <w:keepNext/>
        <w:rPr>
          <w:lang w:val="es-ES_tradnl"/>
        </w:rPr>
      </w:pPr>
      <w:r w:rsidRPr="007078A2">
        <w:rPr>
          <w:noProof/>
          <w:lang w:eastAsia="zh-CN"/>
        </w:rPr>
        <w:drawing>
          <wp:inline distT="0" distB="0" distL="0" distR="0" wp14:anchorId="23A9B5A3" wp14:editId="40A9E1D7">
            <wp:extent cx="5710382" cy="2313296"/>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2">
                      <a:extLst>
                        <a:ext uri="{28A0092B-C50C-407E-A947-70E740481C1C}">
                          <a14:useLocalDpi xmlns:a14="http://schemas.microsoft.com/office/drawing/2010/main" val="0"/>
                        </a:ext>
                      </a:extLst>
                    </a:blip>
                    <a:srcRect l="13219" t="56590" r="13306" b="5373"/>
                    <a:stretch/>
                  </pic:blipFill>
                  <pic:spPr bwMode="auto">
                    <a:xfrm>
                      <a:off x="0" y="0"/>
                      <a:ext cx="5727466" cy="2320217"/>
                    </a:xfrm>
                    <a:prstGeom prst="rect">
                      <a:avLst/>
                    </a:prstGeom>
                    <a:noFill/>
                    <a:ln>
                      <a:noFill/>
                    </a:ln>
                    <a:extLst>
                      <a:ext uri="{53640926-AAD7-44D8-BBD7-CCE9431645EC}">
                        <a14:shadowObscured xmlns:a14="http://schemas.microsoft.com/office/drawing/2010/main"/>
                      </a:ext>
                    </a:extLst>
                  </pic:spPr>
                </pic:pic>
              </a:graphicData>
            </a:graphic>
          </wp:inline>
        </w:drawing>
      </w:r>
    </w:p>
    <w:p w:rsidR="000A39FD" w:rsidRPr="007078A2" w:rsidRDefault="000A39FD" w:rsidP="0060426E">
      <w:pPr>
        <w:keepNext/>
        <w:spacing w:before="0"/>
        <w:rPr>
          <w:sz w:val="18"/>
          <w:szCs w:val="18"/>
          <w:lang w:val="es-ES_tradnl"/>
        </w:rPr>
      </w:pPr>
      <w:r w:rsidRPr="007078A2">
        <w:rPr>
          <w:sz w:val="18"/>
          <w:szCs w:val="18"/>
          <w:lang w:val="es-ES_tradnl"/>
        </w:rPr>
        <w:t>Nota: Cada raya horizontal representa el precio en un país de la región. Las rayas amarillas representan la media regional.</w:t>
      </w:r>
      <w:r w:rsidRPr="007078A2">
        <w:rPr>
          <w:sz w:val="18"/>
          <w:szCs w:val="18"/>
          <w:lang w:val="es-ES_tradnl"/>
        </w:rPr>
        <w:br/>
        <w:t>* En África, el precio de una suscripción a la banda ancha fijar era superior a 300 USD (489 USD y 500 USD) en dos países</w:t>
      </w:r>
      <w:r w:rsidRPr="007078A2">
        <w:rPr>
          <w:sz w:val="18"/>
          <w:szCs w:val="18"/>
          <w:lang w:val="es-ES_tradnl"/>
        </w:rPr>
        <w:br/>
        <w:t xml:space="preserve">** En África, el precio de una suscripción a la banda ancha fijar era superior a 300 PPA$ (862 PPA$) en un país. </w:t>
      </w:r>
    </w:p>
    <w:p w:rsidR="000A39FD" w:rsidRPr="007078A2" w:rsidRDefault="000A39FD" w:rsidP="0060426E">
      <w:pPr>
        <w:keepNext/>
        <w:spacing w:before="0"/>
        <w:rPr>
          <w:sz w:val="18"/>
          <w:szCs w:val="18"/>
          <w:lang w:val="es-ES_tradnl"/>
        </w:rPr>
      </w:pPr>
      <w:r w:rsidRPr="007078A2">
        <w:rPr>
          <w:sz w:val="18"/>
          <w:szCs w:val="18"/>
          <w:lang w:val="es-ES_tradnl"/>
        </w:rPr>
        <w:t>Origen: UIT</w:t>
      </w:r>
    </w:p>
    <w:p w:rsidR="0060426E" w:rsidRPr="007078A2" w:rsidRDefault="0060426E" w:rsidP="0060426E">
      <w:pPr>
        <w:keepNext/>
        <w:spacing w:before="0"/>
        <w:rPr>
          <w:b/>
          <w:bCs/>
          <w:sz w:val="18"/>
          <w:szCs w:val="18"/>
          <w:lang w:val="es-ES_tradnl"/>
        </w:rPr>
      </w:pPr>
      <w:r w:rsidRPr="007078A2">
        <w:rPr>
          <w:b/>
          <w:bCs/>
          <w:sz w:val="18"/>
          <w:szCs w:val="18"/>
          <w:lang w:val="es-ES_tradnl"/>
        </w:rPr>
        <w:t>Leyenda del Gráfico 4.2:</w:t>
      </w:r>
    </w:p>
    <w:p w:rsidR="0060426E" w:rsidRPr="007078A2" w:rsidRDefault="0060426E" w:rsidP="0060426E">
      <w:pPr>
        <w:keepNext/>
        <w:spacing w:before="0"/>
        <w:rPr>
          <w:sz w:val="18"/>
          <w:szCs w:val="18"/>
          <w:lang w:val="es-ES_tradnl"/>
        </w:rPr>
      </w:pPr>
      <w:r w:rsidRPr="007078A2">
        <w:rPr>
          <w:sz w:val="18"/>
          <w:szCs w:val="18"/>
          <w:lang w:val="es-ES_tradnl"/>
        </w:rPr>
        <w:t>USD – PPA$</w:t>
      </w:r>
    </w:p>
    <w:p w:rsidR="000A39FD" w:rsidRPr="007078A2" w:rsidRDefault="000A39FD" w:rsidP="0060426E">
      <w:pPr>
        <w:spacing w:before="0"/>
        <w:jc w:val="both"/>
        <w:rPr>
          <w:sz w:val="18"/>
          <w:szCs w:val="18"/>
          <w:lang w:val="es-ES_tradnl"/>
        </w:rPr>
      </w:pPr>
      <w:r w:rsidRPr="007078A2">
        <w:rPr>
          <w:sz w:val="18"/>
          <w:szCs w:val="18"/>
          <w:lang w:val="es-ES_tradnl"/>
        </w:rPr>
        <w:t>África</w:t>
      </w:r>
      <w:r w:rsidR="0060426E" w:rsidRPr="007078A2">
        <w:rPr>
          <w:sz w:val="18"/>
          <w:szCs w:val="18"/>
          <w:lang w:val="es-ES_tradnl"/>
        </w:rPr>
        <w:t xml:space="preserve"> – Estados Árabes – Asia-Pacífico – CEI – Europa – Américas</w:t>
      </w:r>
    </w:p>
    <w:p w:rsidR="000A39FD" w:rsidRPr="007078A2" w:rsidRDefault="000A39FD" w:rsidP="0060426E">
      <w:pPr>
        <w:spacing w:before="0"/>
        <w:jc w:val="both"/>
        <w:rPr>
          <w:sz w:val="18"/>
          <w:szCs w:val="18"/>
          <w:lang w:val="es-ES_tradnl"/>
        </w:rPr>
      </w:pPr>
      <w:r w:rsidRPr="007078A2">
        <w:rPr>
          <w:sz w:val="18"/>
          <w:szCs w:val="18"/>
          <w:lang w:val="es-ES_tradnl"/>
        </w:rPr>
        <w:t>País</w:t>
      </w:r>
      <w:r w:rsidR="0060426E" w:rsidRPr="007078A2">
        <w:rPr>
          <w:sz w:val="18"/>
          <w:szCs w:val="18"/>
          <w:lang w:val="es-ES_tradnl"/>
        </w:rPr>
        <w:t xml:space="preserve"> – </w:t>
      </w:r>
      <w:r w:rsidRPr="007078A2">
        <w:rPr>
          <w:sz w:val="18"/>
          <w:szCs w:val="18"/>
          <w:lang w:val="es-ES_tradnl"/>
        </w:rPr>
        <w:t>Media regional</w:t>
      </w:r>
    </w:p>
    <w:p w:rsidR="000A39FD" w:rsidRPr="007078A2" w:rsidRDefault="000A39FD" w:rsidP="0060426E">
      <w:pPr>
        <w:rPr>
          <w:lang w:val="es-ES_tradnl"/>
        </w:rPr>
      </w:pPr>
      <w:r w:rsidRPr="007078A2">
        <w:rPr>
          <w:lang w:val="es-ES_tradnl"/>
        </w:rPr>
        <w:t>En las Américas, el coste de una conexión de banda ancha fija ha descendido a aproximadamente 30 USD (37 PPA$) y, a finales de 2015, la región se aproximaba a la referencia de 5% de la RNB por habitante en cuanto a asequibilidad del servicio. La banda ancha fija es más asequible en Estados Unidos y Brasil, donde corresponde a apenas 0,4 y 0,9% de la RNB por habitante. En aproximadamente dos de cada tres países de las Américas los servicios de banda ancha fija cuesta menos de 5% de la RNB por habitante, pero en la mayoría de los demás países, incluidos Jamaica y economías de ingresos bajos-medios tales como Bolivia, El Salvador y Guatemala, el servicio se ha vuelto relativamente asequible. Las excepciones son Nicaragua, Honduras y Cuba, donde el servicio sigue siendo el más caro y relativamente inasequible (Gráfico 4.3).</w:t>
      </w:r>
    </w:p>
    <w:p w:rsidR="000A39FD" w:rsidRPr="007078A2" w:rsidRDefault="000A39FD" w:rsidP="00AB0974">
      <w:pPr>
        <w:pStyle w:val="FigureNotitle"/>
      </w:pPr>
      <w:r w:rsidRPr="007078A2">
        <w:t>Gráfico 4.3: Precios de la banda anc</w:t>
      </w:r>
      <w:r w:rsidR="00AB0974" w:rsidRPr="007078A2">
        <w:t>ha fija en porcentaje de la RNB</w:t>
      </w:r>
      <w:r w:rsidR="00AB0974" w:rsidRPr="007078A2">
        <w:br/>
      </w:r>
      <w:r w:rsidRPr="007078A2">
        <w:t>por habitante, velocidades y topes, las Américas, 2015</w:t>
      </w:r>
    </w:p>
    <w:p w:rsidR="000A39FD" w:rsidRPr="007078A2" w:rsidRDefault="000A39FD" w:rsidP="00FF14BC">
      <w:pPr>
        <w:keepNext/>
        <w:jc w:val="both"/>
        <w:rPr>
          <w:lang w:val="es-ES_tradnl"/>
        </w:rPr>
      </w:pPr>
      <w:r w:rsidRPr="007078A2">
        <w:rPr>
          <w:noProof/>
          <w:lang w:eastAsia="zh-CN"/>
        </w:rPr>
        <w:lastRenderedPageBreak/>
        <w:drawing>
          <wp:inline distT="0" distB="0" distL="0" distR="0" wp14:anchorId="5049D4B7" wp14:editId="3B7241A1">
            <wp:extent cx="5647404" cy="3459707"/>
            <wp:effectExtent l="0" t="0" r="0" b="7620"/>
            <wp:docPr id="1073741988" name="Picture 107374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3476" cy="3475679"/>
                    </a:xfrm>
                    <a:prstGeom prst="rect">
                      <a:avLst/>
                    </a:prstGeom>
                    <a:noFill/>
                  </pic:spPr>
                </pic:pic>
              </a:graphicData>
            </a:graphic>
          </wp:inline>
        </w:drawing>
      </w:r>
    </w:p>
    <w:p w:rsidR="000A39FD" w:rsidRPr="007078A2" w:rsidRDefault="000A39FD" w:rsidP="002C28E4">
      <w:pPr>
        <w:spacing w:before="0"/>
        <w:jc w:val="both"/>
        <w:rPr>
          <w:sz w:val="18"/>
          <w:szCs w:val="18"/>
          <w:lang w:val="es-ES_tradnl"/>
        </w:rPr>
      </w:pPr>
      <w:r w:rsidRPr="007078A2">
        <w:rPr>
          <w:sz w:val="18"/>
          <w:szCs w:val="18"/>
          <w:lang w:val="es-ES_tradnl"/>
        </w:rPr>
        <w:t>Nota: Las velocidades de banda ancha y los topes/mes se refieren a las velocidades anunciadas y al volumen de datos incluido en la suscripción de banda ancha fija básica.</w:t>
      </w:r>
    </w:p>
    <w:p w:rsidR="000A39FD" w:rsidRPr="007078A2" w:rsidRDefault="000A39FD" w:rsidP="002C28E4">
      <w:pPr>
        <w:spacing w:before="0"/>
        <w:jc w:val="both"/>
        <w:rPr>
          <w:sz w:val="18"/>
          <w:szCs w:val="18"/>
          <w:lang w:val="es-ES_tradnl"/>
        </w:rPr>
      </w:pPr>
      <w:r w:rsidRPr="007078A2">
        <w:rPr>
          <w:sz w:val="18"/>
          <w:szCs w:val="18"/>
          <w:lang w:val="es-ES_tradnl"/>
        </w:rPr>
        <w:t>Origen: UIT. Valores de la RNB por habitante basados en datos del Banco Mundial</w:t>
      </w:r>
    </w:p>
    <w:p w:rsidR="0060426E" w:rsidRPr="007078A2" w:rsidRDefault="0060426E" w:rsidP="002C28E4">
      <w:pPr>
        <w:keepNext/>
        <w:spacing w:before="0"/>
        <w:rPr>
          <w:b/>
          <w:bCs/>
          <w:sz w:val="18"/>
          <w:szCs w:val="18"/>
          <w:lang w:val="es-ES_tradnl"/>
        </w:rPr>
      </w:pPr>
      <w:r w:rsidRPr="007078A2">
        <w:rPr>
          <w:b/>
          <w:bCs/>
          <w:sz w:val="18"/>
          <w:szCs w:val="18"/>
          <w:lang w:val="es-ES_tradnl"/>
        </w:rPr>
        <w:t>Leyenda del Gráfico 4.3:</w:t>
      </w:r>
    </w:p>
    <w:p w:rsidR="002C28E4" w:rsidRPr="007078A2" w:rsidRDefault="002C28E4" w:rsidP="002C28E4">
      <w:pPr>
        <w:keepNext/>
        <w:spacing w:before="0"/>
        <w:rPr>
          <w:sz w:val="18"/>
          <w:szCs w:val="18"/>
          <w:lang w:val="es-ES_tradnl"/>
        </w:rPr>
      </w:pPr>
      <w:r w:rsidRPr="007078A2">
        <w:rPr>
          <w:sz w:val="18"/>
          <w:szCs w:val="18"/>
          <w:lang w:val="es-ES_tradnl"/>
        </w:rPr>
        <w:t>% de la RNB por habitante</w:t>
      </w:r>
    </w:p>
    <w:p w:rsidR="002C28E4" w:rsidRPr="007078A2" w:rsidRDefault="002C28E4" w:rsidP="002C28E4">
      <w:pPr>
        <w:keepNext/>
        <w:spacing w:before="0"/>
        <w:rPr>
          <w:sz w:val="18"/>
          <w:szCs w:val="18"/>
          <w:lang w:val="es-ES_tradnl"/>
        </w:rPr>
      </w:pPr>
      <w:r w:rsidRPr="007078A2">
        <w:rPr>
          <w:sz w:val="18"/>
          <w:szCs w:val="18"/>
          <w:lang w:val="es-ES_tradnl"/>
        </w:rPr>
        <w:t>No disponible</w:t>
      </w:r>
    </w:p>
    <w:p w:rsidR="002C28E4" w:rsidRPr="007078A2" w:rsidRDefault="002C28E4" w:rsidP="002C28E4">
      <w:pPr>
        <w:keepNext/>
        <w:spacing w:before="0"/>
        <w:rPr>
          <w:sz w:val="18"/>
          <w:szCs w:val="18"/>
          <w:lang w:val="es-ES_tradnl"/>
        </w:rPr>
      </w:pPr>
      <w:r w:rsidRPr="007078A2">
        <w:rPr>
          <w:sz w:val="18"/>
          <w:szCs w:val="18"/>
          <w:lang w:val="es-ES_tradnl"/>
        </w:rPr>
        <w:t>Sin tope – Tope fijo</w:t>
      </w:r>
    </w:p>
    <w:p w:rsidR="000A39FD" w:rsidRPr="007078A2" w:rsidRDefault="0060426E" w:rsidP="002C28E4">
      <w:pPr>
        <w:spacing w:before="0"/>
        <w:jc w:val="both"/>
        <w:rPr>
          <w:sz w:val="18"/>
          <w:szCs w:val="18"/>
          <w:lang w:val="es-ES_tradnl"/>
        </w:rPr>
      </w:pPr>
      <w:r w:rsidRPr="007078A2">
        <w:rPr>
          <w:sz w:val="18"/>
          <w:szCs w:val="18"/>
          <w:lang w:val="es-ES_tradnl"/>
        </w:rPr>
        <w:t xml:space="preserve">Estados Unidos, Brasil, Trinidad y Tabago, Bahamas, Panamá, Colombia, Perú, Costa Rica, Venezuela, Barbados, México, Saint Kitts y Nevis, Belice, Argentina, Ecuador, Dominicana (Rep.), Granada, </w:t>
      </w:r>
      <w:r w:rsidR="002C28E4" w:rsidRPr="007078A2">
        <w:rPr>
          <w:sz w:val="18"/>
          <w:szCs w:val="18"/>
          <w:lang w:val="es-ES_tradnl"/>
        </w:rPr>
        <w:t xml:space="preserve">Suriname, </w:t>
      </w:r>
      <w:r w:rsidRPr="007078A2">
        <w:rPr>
          <w:sz w:val="18"/>
          <w:szCs w:val="18"/>
          <w:lang w:val="es-ES_tradnl"/>
        </w:rPr>
        <w:t>Antigua y Barbuda, Jamaica, Dominica, Santa Lucía,</w:t>
      </w:r>
      <w:r w:rsidR="002C28E4" w:rsidRPr="007078A2">
        <w:rPr>
          <w:sz w:val="18"/>
          <w:szCs w:val="18"/>
          <w:lang w:val="es-ES_tradnl"/>
        </w:rPr>
        <w:t xml:space="preserve"> Bolivia (Estado Plurinacional de), El Salvador, Guatemala, San Vicente y las Granadinas, Guyana, Paraguay, Nicaragua, Honduras, Cuba, </w:t>
      </w:r>
      <w:r w:rsidRPr="007078A2">
        <w:rPr>
          <w:sz w:val="18"/>
          <w:szCs w:val="18"/>
          <w:lang w:val="es-ES_tradnl"/>
        </w:rPr>
        <w:t>Canadá,</w:t>
      </w:r>
      <w:r w:rsidR="002C28E4" w:rsidRPr="007078A2">
        <w:rPr>
          <w:sz w:val="18"/>
          <w:szCs w:val="18"/>
          <w:lang w:val="es-ES_tradnl"/>
        </w:rPr>
        <w:t xml:space="preserve"> </w:t>
      </w:r>
      <w:r w:rsidRPr="007078A2">
        <w:rPr>
          <w:sz w:val="18"/>
          <w:szCs w:val="18"/>
          <w:lang w:val="es-ES_tradnl"/>
        </w:rPr>
        <w:t>Uruguay</w:t>
      </w:r>
      <w:r w:rsidR="002C28E4" w:rsidRPr="007078A2">
        <w:rPr>
          <w:sz w:val="18"/>
          <w:szCs w:val="18"/>
          <w:lang w:val="es-ES_tradnl"/>
        </w:rPr>
        <w:t xml:space="preserve">, </w:t>
      </w:r>
      <w:r w:rsidRPr="007078A2">
        <w:rPr>
          <w:sz w:val="18"/>
          <w:szCs w:val="18"/>
          <w:lang w:val="es-ES_tradnl"/>
        </w:rPr>
        <w:t>Chile</w:t>
      </w:r>
      <w:r w:rsidR="002C28E4" w:rsidRPr="007078A2">
        <w:rPr>
          <w:sz w:val="18"/>
          <w:szCs w:val="18"/>
          <w:lang w:val="es-ES_tradnl"/>
        </w:rPr>
        <w:t>.</w:t>
      </w:r>
    </w:p>
    <w:p w:rsidR="000A39FD" w:rsidRPr="007078A2" w:rsidRDefault="000A39FD" w:rsidP="002C28E4">
      <w:pPr>
        <w:rPr>
          <w:lang w:val="es-ES_tradnl"/>
        </w:rPr>
      </w:pPr>
      <w:r w:rsidRPr="007078A2">
        <w:rPr>
          <w:lang w:val="es-ES_tradnl"/>
        </w:rPr>
        <w:t xml:space="preserve">En la mayoría de los países de las Américas se ofrecen conexiones de banda ancha fija básicas con velocidades de entre 512 kbit/s y 2 Mbit/s. Velocidades más bajas sólo se ofrecen en Bolivia, </w:t>
      </w:r>
      <w:r w:rsidR="00474503" w:rsidRPr="007078A2">
        <w:rPr>
          <w:lang w:val="es-ES_tradnl"/>
        </w:rPr>
        <w:t>Belice</w:t>
      </w:r>
      <w:r w:rsidRPr="007078A2">
        <w:rPr>
          <w:lang w:val="es-ES_tradnl"/>
        </w:rPr>
        <w:t xml:space="preserve">, Cuba, Nicaragua y Perú. Un puñado de países, incluidos Argentina, Chile, Ecuador y México, ofrecen conexiones con velocidades de entre 2 y 10 Mbit/s. En Canadá el plan básico ofrece 15 Mbit/s. </w:t>
      </w:r>
    </w:p>
    <w:p w:rsidR="000A39FD" w:rsidRPr="007078A2" w:rsidRDefault="000A39FD" w:rsidP="002C28E4">
      <w:pPr>
        <w:rPr>
          <w:lang w:val="es-ES_tradnl"/>
        </w:rPr>
      </w:pPr>
      <w:r w:rsidRPr="007078A2">
        <w:rPr>
          <w:lang w:val="es-ES_tradnl"/>
        </w:rPr>
        <w:t>Las Américas es la región con el mayor número de planes de datos ilimitados. Sólo Canadá, Chile y Uruguay limitan el volumen de datos que los abonados pueden telecargar, pero incluso en esos casos los topes son muy elevados, con respectivamente 50, 30 y 50</w:t>
      </w:r>
      <w:r w:rsidR="008B7AF3">
        <w:rPr>
          <w:lang w:val="es-ES_tradnl"/>
        </w:rPr>
        <w:t>0 </w:t>
      </w:r>
      <w:r w:rsidRPr="007078A2">
        <w:rPr>
          <w:lang w:val="es-ES_tradnl"/>
        </w:rPr>
        <w:t>Gb.</w:t>
      </w:r>
    </w:p>
    <w:p w:rsidR="000A39FD" w:rsidRPr="007078A2" w:rsidRDefault="000A39FD" w:rsidP="0082703E">
      <w:pPr>
        <w:pStyle w:val="Headingb"/>
        <w:rPr>
          <w:rFonts w:asciiTheme="minorHAnsi" w:hAnsiTheme="minorHAnsi"/>
          <w:lang w:val="es-ES_tradnl"/>
        </w:rPr>
      </w:pPr>
      <w:bookmarkStart w:id="56" w:name="_Toc455476234"/>
      <w:bookmarkStart w:id="57" w:name="_Toc474413201"/>
      <w:r w:rsidRPr="007078A2">
        <w:rPr>
          <w:rFonts w:asciiTheme="minorHAnsi" w:hAnsiTheme="minorHAnsi"/>
          <w:lang w:val="es-ES_tradnl"/>
        </w:rPr>
        <w:t>Precios de la banda ancha móvil en la región de las Américas</w:t>
      </w:r>
      <w:bookmarkEnd w:id="56"/>
      <w:bookmarkEnd w:id="57"/>
    </w:p>
    <w:tbl>
      <w:tblPr>
        <w:tblStyle w:val="TableGrid"/>
        <w:tblW w:w="0" w:type="auto"/>
        <w:tblLook w:val="04A0" w:firstRow="1" w:lastRow="0" w:firstColumn="1" w:lastColumn="0" w:noHBand="0" w:noVBand="1"/>
      </w:tblPr>
      <w:tblGrid>
        <w:gridCol w:w="9017"/>
      </w:tblGrid>
      <w:tr w:rsidR="000A39FD" w:rsidRPr="00A32FCB" w:rsidTr="00FF14BC">
        <w:tc>
          <w:tcPr>
            <w:tcW w:w="9017" w:type="dxa"/>
          </w:tcPr>
          <w:p w:rsidR="000A39FD" w:rsidRPr="007078A2" w:rsidRDefault="000A39FD" w:rsidP="002C28E4">
            <w:pPr>
              <w:rPr>
                <w:lang w:val="es-ES_tradnl"/>
              </w:rPr>
            </w:pPr>
            <w:r w:rsidRPr="007078A2">
              <w:rPr>
                <w:lang w:val="es-ES_tradnl"/>
              </w:rPr>
              <w:t xml:space="preserve">Para supervisar los </w:t>
            </w:r>
            <w:r w:rsidRPr="007078A2">
              <w:rPr>
                <w:b/>
                <w:bCs/>
                <w:lang w:val="es-ES_tradnl"/>
              </w:rPr>
              <w:t>precios de la banda ancha móvil</w:t>
            </w:r>
            <w:r w:rsidRPr="007078A2">
              <w:rPr>
                <w:lang w:val="es-ES_tradnl"/>
              </w:rPr>
              <w:t>, la UIT compila datos de a) planes de prepago para teléfonos móviles con volúmenes de datos autorizados de 500</w:t>
            </w:r>
            <w:r w:rsidR="008B7AF3">
              <w:rPr>
                <w:lang w:val="es-ES_tradnl"/>
              </w:rPr>
              <w:t xml:space="preserve"> </w:t>
            </w:r>
            <w:r w:rsidRPr="007078A2">
              <w:rPr>
                <w:lang w:val="es-ES_tradnl"/>
              </w:rPr>
              <w:t xml:space="preserve">Mb al mes, y b) planes de banda ancha de postpago para dispositivos informáticos con volúmenes de datos autorizados de 1Gb al mes. El plan seleccionado en cada país para cada servicio no es necesariamente el que ofrece el tope más próximo </w:t>
            </w:r>
            <w:r w:rsidR="008B7AF3">
              <w:rPr>
                <w:lang w:val="es-ES_tradnl"/>
              </w:rPr>
              <w:t xml:space="preserve">a </w:t>
            </w:r>
            <w:r w:rsidRPr="007078A2">
              <w:rPr>
                <w:lang w:val="es-ES_tradnl"/>
              </w:rPr>
              <w:t>500 Mb o 1</w:t>
            </w:r>
            <w:r w:rsidR="008B7AF3">
              <w:rPr>
                <w:lang w:val="es-ES_tradnl"/>
              </w:rPr>
              <w:t xml:space="preserve"> </w:t>
            </w:r>
            <w:r w:rsidRPr="007078A2">
              <w:rPr>
                <w:lang w:val="es-ES_tradnl"/>
              </w:rPr>
              <w:t>Gb, sino el más barato que ofrece el operador dominante y comprende un mínimo de 500</w:t>
            </w:r>
            <w:r w:rsidR="008B7AF3">
              <w:rPr>
                <w:lang w:val="es-ES_tradnl"/>
              </w:rPr>
              <w:t xml:space="preserve"> </w:t>
            </w:r>
            <w:r w:rsidRPr="007078A2">
              <w:rPr>
                <w:lang w:val="es-ES_tradnl"/>
              </w:rPr>
              <w:t>Mb/1</w:t>
            </w:r>
            <w:r w:rsidR="008B7AF3">
              <w:rPr>
                <w:lang w:val="es-ES_tradnl"/>
              </w:rPr>
              <w:t xml:space="preserve"> </w:t>
            </w:r>
            <w:r w:rsidRPr="007078A2">
              <w:rPr>
                <w:lang w:val="es-ES_tradnl"/>
              </w:rPr>
              <w:t>Gb. El periodo de validez considerado para los planes es de 30 días o 4 semanas.</w:t>
            </w:r>
          </w:p>
        </w:tc>
      </w:tr>
    </w:tbl>
    <w:p w:rsidR="000A39FD" w:rsidRPr="007078A2" w:rsidRDefault="000A39FD" w:rsidP="002C28E4">
      <w:pPr>
        <w:rPr>
          <w:lang w:val="es-ES_tradnl"/>
        </w:rPr>
      </w:pPr>
      <w:r w:rsidRPr="007078A2">
        <w:rPr>
          <w:lang w:val="es-ES_tradnl"/>
        </w:rPr>
        <w:t>El análisis global de los precios con respecto a la RNB por habitante muestra que, en promedio, la banda ancha móvil se volvió más asequible en todas las regiones en 2015 (Cuadro 4.2). Todas las medias regionales mostraron disminuciones de dos cifras en 2015, y la mejora más notable se observó en la CEI, donde los precios para dispositivos informáticos en porcentaje de la RNB por habitante disminuyeron más de 50%.</w:t>
      </w:r>
    </w:p>
    <w:p w:rsidR="000A39FD" w:rsidRPr="007078A2" w:rsidRDefault="000A39FD" w:rsidP="00337FCA">
      <w:pPr>
        <w:pStyle w:val="FigureNotitle"/>
        <w:rPr>
          <w:b w:val="0"/>
          <w:bCs/>
        </w:rPr>
      </w:pPr>
      <w:r w:rsidRPr="007078A2">
        <w:t xml:space="preserve">Cuadro 4.2: Precios medios de la banda ancha </w:t>
      </w:r>
      <w:r w:rsidR="00337FCA" w:rsidRPr="007078A2">
        <w:t>móvil y diferencias por región,</w:t>
      </w:r>
      <w:r w:rsidR="00337FCA" w:rsidRPr="007078A2">
        <w:br/>
      </w:r>
      <w:r w:rsidRPr="007078A2">
        <w:t>en porcentaje de la RNB por habitante, 2015</w:t>
      </w:r>
    </w:p>
    <w:tbl>
      <w:tblPr>
        <w:tblStyle w:val="TableGrid"/>
        <w:tblW w:w="9634" w:type="dxa"/>
        <w:tblInd w:w="2" w:type="dxa"/>
        <w:tblLayout w:type="fixed"/>
        <w:tblCellMar>
          <w:left w:w="0" w:type="dxa"/>
          <w:right w:w="0" w:type="dxa"/>
        </w:tblCellMar>
        <w:tblLook w:val="04A0" w:firstRow="1" w:lastRow="0" w:firstColumn="1" w:lastColumn="0" w:noHBand="0" w:noVBand="1"/>
      </w:tblPr>
      <w:tblGrid>
        <w:gridCol w:w="1555"/>
        <w:gridCol w:w="992"/>
        <w:gridCol w:w="917"/>
        <w:gridCol w:w="926"/>
        <w:gridCol w:w="1134"/>
        <w:gridCol w:w="992"/>
        <w:gridCol w:w="897"/>
        <w:gridCol w:w="946"/>
        <w:gridCol w:w="1275"/>
      </w:tblGrid>
      <w:tr w:rsidR="0026702E" w:rsidRPr="00A32FCB" w:rsidTr="00617E77">
        <w:tc>
          <w:tcPr>
            <w:tcW w:w="1555" w:type="dxa"/>
            <w:vMerge w:val="restart"/>
            <w:tcBorders>
              <w:top w:val="single" w:sz="4" w:space="0" w:color="FFFFFF" w:themeColor="background1"/>
              <w:left w:val="single" w:sz="2" w:space="0" w:color="FFFFFF" w:themeColor="background1"/>
              <w:right w:val="single" w:sz="2" w:space="0" w:color="FFFFFF" w:themeColor="background1"/>
            </w:tcBorders>
            <w:shd w:val="clear" w:color="auto" w:fill="2E74B5" w:themeFill="accent1" w:themeFillShade="BF"/>
            <w:tcMar>
              <w:left w:w="113" w:type="dxa"/>
            </w:tcMar>
            <w:vAlign w:val="center"/>
          </w:tcPr>
          <w:p w:rsidR="0026702E" w:rsidRPr="007078A2" w:rsidRDefault="0026702E" w:rsidP="00617E77">
            <w:pPr>
              <w:spacing w:before="40" w:after="40"/>
              <w:rPr>
                <w:b/>
                <w:bCs/>
                <w:color w:val="FFFFFF" w:themeColor="background1"/>
                <w:sz w:val="20"/>
                <w:lang w:val="es-ES_tradnl"/>
              </w:rPr>
            </w:pPr>
            <w:r w:rsidRPr="007078A2">
              <w:rPr>
                <w:b/>
                <w:bCs/>
                <w:color w:val="FFFFFF" w:themeColor="background1"/>
                <w:sz w:val="20"/>
                <w:lang w:val="es-ES_tradnl"/>
              </w:rPr>
              <w:lastRenderedPageBreak/>
              <w:t>Región</w:t>
            </w:r>
          </w:p>
        </w:tc>
        <w:tc>
          <w:tcPr>
            <w:tcW w:w="3969" w:type="dxa"/>
            <w:gridSpan w:val="4"/>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2E74B5" w:themeFill="accent1" w:themeFillShade="BF"/>
            <w:vAlign w:val="center"/>
          </w:tcPr>
          <w:p w:rsidR="0026702E" w:rsidRPr="007078A2" w:rsidRDefault="0026702E" w:rsidP="00617E77">
            <w:pPr>
              <w:spacing w:before="40" w:after="40"/>
              <w:jc w:val="center"/>
              <w:rPr>
                <w:b/>
                <w:bCs/>
                <w:color w:val="FFFFFF" w:themeColor="background1"/>
                <w:sz w:val="20"/>
                <w:lang w:val="es-ES_tradnl"/>
              </w:rPr>
            </w:pPr>
            <w:r w:rsidRPr="007078A2">
              <w:rPr>
                <w:b/>
                <w:bCs/>
                <w:color w:val="FFFFFF" w:themeColor="background1"/>
                <w:sz w:val="20"/>
                <w:lang w:val="es-ES_tradnl"/>
              </w:rPr>
              <w:t>Prepago para teléfonos móviles 500Mb</w:t>
            </w:r>
          </w:p>
        </w:tc>
        <w:tc>
          <w:tcPr>
            <w:tcW w:w="4110" w:type="dxa"/>
            <w:gridSpan w:val="4"/>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6702E" w:rsidRPr="007078A2" w:rsidRDefault="0026702E" w:rsidP="00617E77">
            <w:pPr>
              <w:spacing w:before="40" w:after="40"/>
              <w:jc w:val="center"/>
              <w:rPr>
                <w:b/>
                <w:bCs/>
                <w:color w:val="FFFFFF" w:themeColor="background1"/>
                <w:sz w:val="20"/>
                <w:lang w:val="es-ES_tradnl"/>
              </w:rPr>
            </w:pPr>
            <w:r w:rsidRPr="007078A2">
              <w:rPr>
                <w:b/>
                <w:bCs/>
                <w:color w:val="FFFFFF" w:themeColor="background1"/>
                <w:sz w:val="20"/>
                <w:lang w:val="es-ES_tradnl"/>
              </w:rPr>
              <w:t>Postpago para dispositivos informáticos 1Gb</w:t>
            </w:r>
          </w:p>
        </w:tc>
      </w:tr>
      <w:tr w:rsidR="0026702E" w:rsidRPr="007078A2" w:rsidTr="00617E77">
        <w:tc>
          <w:tcPr>
            <w:tcW w:w="1555" w:type="dxa"/>
            <w:vMerge/>
            <w:tcBorders>
              <w:left w:val="single" w:sz="2" w:space="0" w:color="FFFFFF" w:themeColor="background1"/>
              <w:bottom w:val="single" w:sz="4" w:space="0" w:color="FFFFFF" w:themeColor="background1"/>
              <w:right w:val="single" w:sz="2" w:space="0" w:color="FFFFFF" w:themeColor="background1"/>
            </w:tcBorders>
            <w:shd w:val="clear" w:color="auto" w:fill="2E74B5" w:themeFill="accent1" w:themeFillShade="BF"/>
          </w:tcPr>
          <w:p w:rsidR="0026702E" w:rsidRPr="007078A2" w:rsidRDefault="0026702E" w:rsidP="00617E77">
            <w:pPr>
              <w:spacing w:before="40" w:after="40"/>
              <w:jc w:val="center"/>
              <w:rPr>
                <w:b/>
                <w:bCs/>
                <w:color w:val="FFFFFF" w:themeColor="background1"/>
                <w:sz w:val="20"/>
                <w:lang w:val="es-ES_tradnl"/>
              </w:rPr>
            </w:pP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6702E" w:rsidRPr="007078A2" w:rsidRDefault="0026702E" w:rsidP="00617E77">
            <w:pPr>
              <w:spacing w:before="40" w:after="40"/>
              <w:jc w:val="center"/>
              <w:rPr>
                <w:b/>
                <w:bCs/>
                <w:color w:val="FFFFFF" w:themeColor="background1"/>
                <w:sz w:val="20"/>
                <w:lang w:val="es-ES_tradnl"/>
              </w:rPr>
            </w:pPr>
            <w:r w:rsidRPr="007078A2">
              <w:rPr>
                <w:b/>
                <w:bCs/>
                <w:color w:val="FFFFFF" w:themeColor="background1"/>
                <w:sz w:val="20"/>
                <w:lang w:val="es-ES_tradnl"/>
              </w:rPr>
              <w:t>Mín. 2015</w:t>
            </w:r>
          </w:p>
        </w:tc>
        <w:tc>
          <w:tcPr>
            <w:tcW w:w="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6702E" w:rsidRPr="007078A2" w:rsidRDefault="0026702E" w:rsidP="00617E77">
            <w:pPr>
              <w:spacing w:before="40" w:after="40"/>
              <w:jc w:val="center"/>
              <w:rPr>
                <w:b/>
                <w:bCs/>
                <w:color w:val="FFFFFF" w:themeColor="background1"/>
                <w:sz w:val="20"/>
                <w:lang w:val="es-ES_tradnl"/>
              </w:rPr>
            </w:pPr>
            <w:r w:rsidRPr="007078A2">
              <w:rPr>
                <w:b/>
                <w:bCs/>
                <w:color w:val="FFFFFF" w:themeColor="background1"/>
                <w:sz w:val="20"/>
                <w:lang w:val="es-ES_tradnl"/>
              </w:rPr>
              <w:t>Máx. 2015</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6702E" w:rsidRPr="007078A2" w:rsidRDefault="0026702E" w:rsidP="00617E77">
            <w:pPr>
              <w:spacing w:before="40" w:after="40"/>
              <w:jc w:val="center"/>
              <w:rPr>
                <w:b/>
                <w:bCs/>
                <w:color w:val="FFFFFF" w:themeColor="background1"/>
                <w:sz w:val="20"/>
                <w:lang w:val="es-ES_tradnl"/>
              </w:rPr>
            </w:pPr>
            <w:r w:rsidRPr="007078A2">
              <w:rPr>
                <w:b/>
                <w:bCs/>
                <w:color w:val="FFFFFF" w:themeColor="background1"/>
                <w:sz w:val="20"/>
                <w:lang w:val="es-ES_tradnl"/>
              </w:rPr>
              <w:t>Media 2015*</w:t>
            </w:r>
          </w:p>
        </w:tc>
        <w:tc>
          <w:tcPr>
            <w:tcW w:w="1134"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2E74B5" w:themeFill="accent1" w:themeFillShade="BF"/>
            <w:vAlign w:val="center"/>
          </w:tcPr>
          <w:p w:rsidR="0026702E" w:rsidRPr="007078A2" w:rsidRDefault="0026702E" w:rsidP="00617E77">
            <w:pPr>
              <w:spacing w:before="40" w:after="40"/>
              <w:jc w:val="center"/>
              <w:rPr>
                <w:b/>
                <w:bCs/>
                <w:color w:val="FFFFFF" w:themeColor="background1"/>
                <w:sz w:val="20"/>
                <w:lang w:val="es-ES_tradnl"/>
              </w:rPr>
            </w:pPr>
            <w:r w:rsidRPr="007078A2">
              <w:rPr>
                <w:b/>
                <w:bCs/>
                <w:color w:val="FFFFFF" w:themeColor="background1"/>
                <w:sz w:val="20"/>
                <w:lang w:val="es-ES_tradnl"/>
              </w:rPr>
              <w:t>% cambio medio 2014/15</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6702E" w:rsidRPr="007078A2" w:rsidRDefault="0026702E" w:rsidP="00617E77">
            <w:pPr>
              <w:spacing w:before="40" w:after="40"/>
              <w:jc w:val="center"/>
              <w:rPr>
                <w:b/>
                <w:bCs/>
                <w:color w:val="FFFFFF" w:themeColor="background1"/>
                <w:sz w:val="20"/>
                <w:lang w:val="es-ES_tradnl"/>
              </w:rPr>
            </w:pPr>
            <w:r w:rsidRPr="007078A2">
              <w:rPr>
                <w:b/>
                <w:bCs/>
                <w:color w:val="FFFFFF" w:themeColor="background1"/>
                <w:sz w:val="20"/>
                <w:lang w:val="es-ES_tradnl"/>
              </w:rPr>
              <w:t>Mín. 2015</w:t>
            </w:r>
          </w:p>
        </w:tc>
        <w:tc>
          <w:tcPr>
            <w:tcW w:w="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6702E" w:rsidRPr="007078A2" w:rsidRDefault="0026702E" w:rsidP="00617E77">
            <w:pPr>
              <w:spacing w:before="40" w:after="40"/>
              <w:jc w:val="center"/>
              <w:rPr>
                <w:b/>
                <w:bCs/>
                <w:color w:val="FFFFFF" w:themeColor="background1"/>
                <w:sz w:val="20"/>
                <w:lang w:val="es-ES_tradnl"/>
              </w:rPr>
            </w:pPr>
            <w:r w:rsidRPr="007078A2">
              <w:rPr>
                <w:b/>
                <w:bCs/>
                <w:color w:val="FFFFFF" w:themeColor="background1"/>
                <w:sz w:val="20"/>
                <w:lang w:val="es-ES_tradnl"/>
              </w:rPr>
              <w:t>Máx. 2015</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6702E" w:rsidRPr="007078A2" w:rsidRDefault="0026702E" w:rsidP="00617E77">
            <w:pPr>
              <w:spacing w:before="40" w:after="40"/>
              <w:jc w:val="center"/>
              <w:rPr>
                <w:b/>
                <w:bCs/>
                <w:color w:val="FFFFFF" w:themeColor="background1"/>
                <w:sz w:val="20"/>
                <w:lang w:val="es-ES_tradnl"/>
              </w:rPr>
            </w:pPr>
            <w:r w:rsidRPr="007078A2">
              <w:rPr>
                <w:b/>
                <w:bCs/>
                <w:color w:val="FFFFFF" w:themeColor="background1"/>
                <w:sz w:val="20"/>
                <w:lang w:val="es-ES_tradnl"/>
              </w:rPr>
              <w:t>Media 2015*</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6702E" w:rsidRPr="007078A2" w:rsidRDefault="0026702E" w:rsidP="00617E77">
            <w:pPr>
              <w:spacing w:before="40" w:after="40"/>
              <w:jc w:val="center"/>
              <w:rPr>
                <w:b/>
                <w:bCs/>
                <w:color w:val="FFFFFF" w:themeColor="background1"/>
                <w:sz w:val="20"/>
                <w:lang w:val="es-ES_tradnl"/>
              </w:rPr>
            </w:pPr>
            <w:r w:rsidRPr="007078A2">
              <w:rPr>
                <w:b/>
                <w:bCs/>
                <w:color w:val="FFFFFF" w:themeColor="background1"/>
                <w:sz w:val="20"/>
                <w:lang w:val="es-ES_tradnl"/>
              </w:rPr>
              <w:t>% cambio medio 2014/15</w:t>
            </w:r>
          </w:p>
        </w:tc>
      </w:tr>
      <w:tr w:rsidR="0026702E" w:rsidRPr="007078A2" w:rsidTr="00617E77">
        <w:tc>
          <w:tcPr>
            <w:tcW w:w="1555"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Mar>
              <w:left w:w="113" w:type="dxa"/>
            </w:tcMar>
          </w:tcPr>
          <w:p w:rsidR="0026702E" w:rsidRPr="007078A2" w:rsidRDefault="0026702E" w:rsidP="00617E77">
            <w:pPr>
              <w:rPr>
                <w:sz w:val="20"/>
                <w:lang w:val="es-ES_tradnl"/>
              </w:rPr>
            </w:pPr>
            <w:r w:rsidRPr="007078A2">
              <w:rPr>
                <w:sz w:val="18"/>
                <w:szCs w:val="18"/>
                <w:lang w:val="es-ES_tradnl"/>
              </w:rPr>
              <w:t>Europa</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0,07</w:t>
            </w:r>
          </w:p>
        </w:tc>
        <w:tc>
          <w:tcPr>
            <w:tcW w:w="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2,16</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spacing w:before="40" w:after="40"/>
              <w:jc w:val="center"/>
              <w:rPr>
                <w:sz w:val="18"/>
                <w:szCs w:val="18"/>
                <w:lang w:val="es-ES_tradnl"/>
              </w:rPr>
            </w:pPr>
            <w:r w:rsidRPr="007078A2">
              <w:rPr>
                <w:sz w:val="18"/>
                <w:szCs w:val="18"/>
                <w:lang w:val="es-ES_tradnl"/>
              </w:rPr>
              <w:t>0,59</w:t>
            </w:r>
          </w:p>
        </w:tc>
        <w:tc>
          <w:tcPr>
            <w:tcW w:w="1134"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-26%</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0,14</w:t>
            </w:r>
          </w:p>
        </w:tc>
        <w:tc>
          <w:tcPr>
            <w:tcW w:w="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1,67</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18"/>
                <w:szCs w:val="18"/>
                <w:lang w:val="es-ES_tradnl"/>
              </w:rPr>
            </w:pPr>
            <w:r w:rsidRPr="007078A2">
              <w:rPr>
                <w:sz w:val="18"/>
                <w:szCs w:val="18"/>
                <w:lang w:val="es-ES_tradnl"/>
              </w:rPr>
              <w:t>0,65</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17%</w:t>
            </w:r>
          </w:p>
        </w:tc>
      </w:tr>
      <w:tr w:rsidR="0026702E" w:rsidRPr="007078A2" w:rsidTr="00617E77">
        <w:tc>
          <w:tcPr>
            <w:tcW w:w="1555"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DD6EE" w:themeFill="accent1" w:themeFillTint="66"/>
            <w:tcMar>
              <w:left w:w="113" w:type="dxa"/>
            </w:tcMar>
          </w:tcPr>
          <w:p w:rsidR="0026702E" w:rsidRPr="007078A2" w:rsidRDefault="0026702E" w:rsidP="00617E77">
            <w:pPr>
              <w:rPr>
                <w:sz w:val="20"/>
                <w:lang w:val="es-ES_tradnl"/>
              </w:rPr>
            </w:pPr>
            <w:r w:rsidRPr="007078A2">
              <w:rPr>
                <w:sz w:val="18"/>
                <w:szCs w:val="18"/>
                <w:lang w:val="es-ES_tradnl"/>
              </w:rPr>
              <w:t>CEI</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0,30</w:t>
            </w:r>
          </w:p>
        </w:tc>
        <w:tc>
          <w:tcPr>
            <w:tcW w:w="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12,29</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18"/>
                <w:szCs w:val="18"/>
                <w:lang w:val="es-ES_tradnl"/>
              </w:rPr>
            </w:pPr>
            <w:r w:rsidRPr="007078A2">
              <w:rPr>
                <w:sz w:val="18"/>
                <w:szCs w:val="18"/>
                <w:lang w:val="es-ES_tradnl"/>
              </w:rPr>
              <w:t>2,68</w:t>
            </w:r>
          </w:p>
        </w:tc>
        <w:tc>
          <w:tcPr>
            <w:tcW w:w="1134"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-22%</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0,45</w:t>
            </w:r>
          </w:p>
        </w:tc>
        <w:tc>
          <w:tcPr>
            <w:tcW w:w="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12,29</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18"/>
                <w:szCs w:val="18"/>
                <w:lang w:val="es-ES_tradnl"/>
              </w:rPr>
            </w:pPr>
            <w:r w:rsidRPr="007078A2">
              <w:rPr>
                <w:sz w:val="18"/>
                <w:szCs w:val="18"/>
                <w:lang w:val="es-ES_tradnl"/>
              </w:rPr>
              <w:t>2,82</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-56%</w:t>
            </w:r>
          </w:p>
        </w:tc>
      </w:tr>
      <w:tr w:rsidR="0026702E" w:rsidRPr="007078A2" w:rsidTr="00617E77">
        <w:tc>
          <w:tcPr>
            <w:tcW w:w="1555"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Mar>
              <w:left w:w="113" w:type="dxa"/>
            </w:tcMar>
          </w:tcPr>
          <w:p w:rsidR="0026702E" w:rsidRPr="007078A2" w:rsidRDefault="0026702E" w:rsidP="00617E77">
            <w:pPr>
              <w:rPr>
                <w:sz w:val="20"/>
                <w:lang w:val="es-ES_tradnl"/>
              </w:rPr>
            </w:pPr>
            <w:r w:rsidRPr="007078A2">
              <w:rPr>
                <w:sz w:val="18"/>
                <w:szCs w:val="18"/>
                <w:lang w:val="es-ES_tradnl"/>
              </w:rPr>
              <w:t>Américas</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0,27</w:t>
            </w:r>
          </w:p>
        </w:tc>
        <w:tc>
          <w:tcPr>
            <w:tcW w:w="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12,99</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18"/>
                <w:szCs w:val="18"/>
                <w:lang w:val="es-ES_tradnl"/>
              </w:rPr>
            </w:pPr>
            <w:r w:rsidRPr="007078A2">
              <w:rPr>
                <w:sz w:val="18"/>
                <w:szCs w:val="18"/>
                <w:lang w:val="es-ES_tradnl"/>
              </w:rPr>
              <w:t>3,05</w:t>
            </w:r>
          </w:p>
        </w:tc>
        <w:tc>
          <w:tcPr>
            <w:tcW w:w="1134"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-11%</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0,36</w:t>
            </w:r>
          </w:p>
        </w:tc>
        <w:tc>
          <w:tcPr>
            <w:tcW w:w="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28,86</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spacing w:before="40" w:after="40"/>
              <w:jc w:val="center"/>
              <w:rPr>
                <w:sz w:val="18"/>
                <w:szCs w:val="18"/>
                <w:lang w:val="es-ES_tradnl"/>
              </w:rPr>
            </w:pPr>
            <w:r w:rsidRPr="007078A2">
              <w:rPr>
                <w:sz w:val="18"/>
                <w:szCs w:val="18"/>
                <w:lang w:val="es-ES_tradnl"/>
              </w:rPr>
              <w:t>3,96</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-12%</w:t>
            </w:r>
          </w:p>
        </w:tc>
      </w:tr>
      <w:tr w:rsidR="0026702E" w:rsidRPr="007078A2" w:rsidTr="00617E77">
        <w:tc>
          <w:tcPr>
            <w:tcW w:w="1555"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DD6EE" w:themeFill="accent1" w:themeFillTint="66"/>
            <w:tcMar>
              <w:left w:w="113" w:type="dxa"/>
            </w:tcMar>
          </w:tcPr>
          <w:p w:rsidR="0026702E" w:rsidRPr="007078A2" w:rsidRDefault="0026702E" w:rsidP="00617E77">
            <w:pPr>
              <w:rPr>
                <w:sz w:val="20"/>
                <w:lang w:val="es-ES_tradnl"/>
              </w:rPr>
            </w:pPr>
            <w:r w:rsidRPr="007078A2">
              <w:rPr>
                <w:sz w:val="18"/>
                <w:szCs w:val="18"/>
                <w:lang w:val="es-ES_tradnl"/>
              </w:rPr>
              <w:t>Asia-Pacífico</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0,16</w:t>
            </w:r>
          </w:p>
        </w:tc>
        <w:tc>
          <w:tcPr>
            <w:tcW w:w="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20,71</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spacing w:before="40" w:after="40"/>
              <w:jc w:val="center"/>
              <w:rPr>
                <w:sz w:val="18"/>
                <w:szCs w:val="18"/>
                <w:lang w:val="es-ES_tradnl"/>
              </w:rPr>
            </w:pPr>
            <w:r w:rsidRPr="007078A2">
              <w:rPr>
                <w:sz w:val="18"/>
                <w:szCs w:val="18"/>
                <w:lang w:val="es-ES_tradnl"/>
              </w:rPr>
              <w:t>3,25</w:t>
            </w:r>
          </w:p>
        </w:tc>
        <w:tc>
          <w:tcPr>
            <w:tcW w:w="1134"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-20%</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0,31</w:t>
            </w:r>
          </w:p>
        </w:tc>
        <w:tc>
          <w:tcPr>
            <w:tcW w:w="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47,64</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18"/>
                <w:szCs w:val="18"/>
                <w:lang w:val="es-ES_tradnl"/>
              </w:rPr>
            </w:pPr>
            <w:r w:rsidRPr="007078A2">
              <w:rPr>
                <w:sz w:val="18"/>
                <w:szCs w:val="18"/>
                <w:lang w:val="es-ES_tradnl"/>
              </w:rPr>
              <w:t>5,77</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-20%</w:t>
            </w:r>
          </w:p>
        </w:tc>
      </w:tr>
      <w:tr w:rsidR="0026702E" w:rsidRPr="007078A2" w:rsidTr="00617E77">
        <w:tc>
          <w:tcPr>
            <w:tcW w:w="1555"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Mar>
              <w:left w:w="113" w:type="dxa"/>
            </w:tcMar>
          </w:tcPr>
          <w:p w:rsidR="0026702E" w:rsidRPr="007078A2" w:rsidRDefault="0026702E" w:rsidP="00617E77">
            <w:pPr>
              <w:rPr>
                <w:sz w:val="20"/>
                <w:lang w:val="es-ES_tradnl"/>
              </w:rPr>
            </w:pPr>
            <w:r w:rsidRPr="007078A2">
              <w:rPr>
                <w:sz w:val="18"/>
                <w:szCs w:val="18"/>
                <w:lang w:val="es-ES_tradnl"/>
              </w:rPr>
              <w:t>Estados Árabes</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0,29</w:t>
            </w:r>
          </w:p>
        </w:tc>
        <w:tc>
          <w:tcPr>
            <w:tcW w:w="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29,73</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18"/>
                <w:szCs w:val="18"/>
                <w:lang w:val="es-ES_tradnl"/>
              </w:rPr>
            </w:pPr>
            <w:r w:rsidRPr="007078A2">
              <w:rPr>
                <w:sz w:val="18"/>
                <w:szCs w:val="18"/>
                <w:lang w:val="es-ES_tradnl"/>
              </w:rPr>
              <w:t>4,15</w:t>
            </w:r>
          </w:p>
        </w:tc>
        <w:tc>
          <w:tcPr>
            <w:tcW w:w="1134"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-16%</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0,21</w:t>
            </w:r>
          </w:p>
        </w:tc>
        <w:tc>
          <w:tcPr>
            <w:tcW w:w="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29,73</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18"/>
                <w:szCs w:val="18"/>
                <w:lang w:val="es-ES_tradnl"/>
              </w:rPr>
            </w:pPr>
            <w:r w:rsidRPr="007078A2">
              <w:rPr>
                <w:sz w:val="18"/>
                <w:szCs w:val="18"/>
                <w:lang w:val="es-ES_tradnl"/>
              </w:rPr>
              <w:t>5,24</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-25%</w:t>
            </w:r>
          </w:p>
        </w:tc>
      </w:tr>
      <w:tr w:rsidR="0026702E" w:rsidRPr="007078A2" w:rsidTr="00617E77">
        <w:tc>
          <w:tcPr>
            <w:tcW w:w="1555"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DD6EE" w:themeFill="accent1" w:themeFillTint="66"/>
            <w:tcMar>
              <w:left w:w="113" w:type="dxa"/>
            </w:tcMar>
          </w:tcPr>
          <w:p w:rsidR="0026702E" w:rsidRPr="007078A2" w:rsidRDefault="0026702E" w:rsidP="00617E77">
            <w:pPr>
              <w:rPr>
                <w:sz w:val="20"/>
                <w:lang w:val="es-ES_tradnl"/>
              </w:rPr>
            </w:pPr>
            <w:r w:rsidRPr="007078A2">
              <w:rPr>
                <w:sz w:val="18"/>
                <w:szCs w:val="18"/>
                <w:lang w:val="es-ES_tradnl"/>
              </w:rPr>
              <w:t>África</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0,70</w:t>
            </w:r>
          </w:p>
        </w:tc>
        <w:tc>
          <w:tcPr>
            <w:tcW w:w="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27,89</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18"/>
                <w:szCs w:val="18"/>
                <w:lang w:val="es-ES_tradnl"/>
              </w:rPr>
            </w:pPr>
            <w:r w:rsidRPr="007078A2">
              <w:rPr>
                <w:sz w:val="18"/>
                <w:szCs w:val="18"/>
                <w:lang w:val="es-ES_tradnl"/>
              </w:rPr>
              <w:t>9,47</w:t>
            </w:r>
          </w:p>
        </w:tc>
        <w:tc>
          <w:tcPr>
            <w:tcW w:w="1134"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-27%</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1,06</w:t>
            </w:r>
          </w:p>
        </w:tc>
        <w:tc>
          <w:tcPr>
            <w:tcW w:w="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114,29</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18"/>
                <w:szCs w:val="18"/>
                <w:lang w:val="es-ES_tradnl"/>
              </w:rPr>
            </w:pPr>
            <w:r w:rsidRPr="007078A2">
              <w:rPr>
                <w:sz w:val="18"/>
                <w:szCs w:val="18"/>
                <w:lang w:val="es-ES_tradnl"/>
              </w:rPr>
              <w:t>20,75</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-22%</w:t>
            </w:r>
          </w:p>
        </w:tc>
      </w:tr>
    </w:tbl>
    <w:p w:rsidR="000A39FD" w:rsidRPr="007078A2" w:rsidRDefault="000A39FD" w:rsidP="0026702E">
      <w:pPr>
        <w:spacing w:before="0"/>
        <w:rPr>
          <w:sz w:val="18"/>
          <w:szCs w:val="18"/>
          <w:lang w:val="es-ES_tradnl"/>
        </w:rPr>
      </w:pPr>
      <w:r w:rsidRPr="007078A2">
        <w:rPr>
          <w:sz w:val="18"/>
          <w:szCs w:val="18"/>
          <w:lang w:val="es-ES_tradnl"/>
        </w:rPr>
        <w:t>Nota: * Medias simples de 155 países en 2014 y 2015 para los cuales se disponía de datos de precios de los servicios de banda ancha móviles.</w:t>
      </w:r>
    </w:p>
    <w:p w:rsidR="000A39FD" w:rsidRPr="007078A2" w:rsidRDefault="000A39FD" w:rsidP="0026702E">
      <w:pPr>
        <w:spacing w:before="0"/>
        <w:rPr>
          <w:sz w:val="18"/>
          <w:szCs w:val="18"/>
          <w:lang w:val="es-ES_tradnl"/>
        </w:rPr>
      </w:pPr>
      <w:r w:rsidRPr="007078A2">
        <w:rPr>
          <w:sz w:val="18"/>
          <w:szCs w:val="18"/>
          <w:lang w:val="es-ES_tradnl"/>
        </w:rPr>
        <w:t>Origen: UIT</w:t>
      </w:r>
    </w:p>
    <w:p w:rsidR="000A39FD" w:rsidRPr="007078A2" w:rsidRDefault="000A39FD" w:rsidP="0026702E">
      <w:pPr>
        <w:rPr>
          <w:lang w:val="es-ES_tradnl"/>
        </w:rPr>
      </w:pPr>
      <w:r w:rsidRPr="007078A2">
        <w:rPr>
          <w:b/>
          <w:bCs/>
          <w:lang w:val="es-ES_tradnl"/>
        </w:rPr>
        <w:t>Europa</w:t>
      </w:r>
      <w:r w:rsidRPr="007078A2">
        <w:rPr>
          <w:lang w:val="es-ES_tradnl"/>
        </w:rPr>
        <w:t xml:space="preserve"> sigue siendo la región en la que los servicios de banda ancha móviles son los más asequibles, y en la que las diferencias son menores entre los países con respecto a la RNB por habitante. En la </w:t>
      </w:r>
      <w:r w:rsidRPr="007078A2">
        <w:rPr>
          <w:b/>
          <w:bCs/>
          <w:lang w:val="es-ES_tradnl"/>
        </w:rPr>
        <w:t>CEI</w:t>
      </w:r>
      <w:r w:rsidRPr="007078A2">
        <w:rPr>
          <w:lang w:val="es-ES_tradnl"/>
        </w:rPr>
        <w:t xml:space="preserve"> y las </w:t>
      </w:r>
      <w:r w:rsidRPr="007078A2">
        <w:rPr>
          <w:b/>
          <w:bCs/>
          <w:lang w:val="es-ES_tradnl"/>
        </w:rPr>
        <w:t>Américas</w:t>
      </w:r>
      <w:r w:rsidRPr="007078A2">
        <w:rPr>
          <w:lang w:val="es-ES_tradnl"/>
        </w:rPr>
        <w:t xml:space="preserve"> se observan diferencias similares en la banda ancha móvil para teléfonos móviles, pero la media en la CEI es inferior y disminuye más rápidamente. En lo que respecta al postpago para dispositivos informáticos, las Américas presentan unos precios medios con respecto a la RNB por habitante muy superior a los de la CEI. Además, las Américas experimentaron la reducción más pequeña del precio medio de todas las regiones.</w:t>
      </w:r>
    </w:p>
    <w:p w:rsidR="000A39FD" w:rsidRPr="007078A2" w:rsidRDefault="000A39FD" w:rsidP="0026702E">
      <w:pPr>
        <w:rPr>
          <w:lang w:val="es-ES_tradnl"/>
        </w:rPr>
      </w:pPr>
      <w:r w:rsidRPr="007078A2">
        <w:rPr>
          <w:lang w:val="es-ES_tradnl"/>
        </w:rPr>
        <w:t xml:space="preserve">Los precios en la región </w:t>
      </w:r>
      <w:r w:rsidRPr="008B7AF3">
        <w:rPr>
          <w:b/>
          <w:bCs/>
          <w:lang w:val="es-ES_tradnl"/>
        </w:rPr>
        <w:t>Asia-Pacífico</w:t>
      </w:r>
      <w:r w:rsidRPr="007078A2">
        <w:rPr>
          <w:lang w:val="es-ES_tradnl"/>
        </w:rPr>
        <w:t xml:space="preserve"> son muy dispares, especialmente en lo que respecta a los planes de postpago para dispositivos informáticos, que reflejan las distintas etapas de desarrollo de los mercados de la banda ancha móvil en la región. Además, la media relativamente elevada de los precios de postpago para dispositivos informáticos con respecto a la RNB por habitante da a entender que la prestación de un acceso asequible a Internet con grandes volúmenes de datos sigue siendo un problema en varios países de la región.</w:t>
      </w:r>
    </w:p>
    <w:p w:rsidR="000A39FD" w:rsidRPr="007078A2" w:rsidRDefault="000A39FD" w:rsidP="0026702E">
      <w:pPr>
        <w:rPr>
          <w:lang w:val="es-ES_tradnl"/>
        </w:rPr>
      </w:pPr>
      <w:r w:rsidRPr="007078A2">
        <w:rPr>
          <w:lang w:val="es-ES_tradnl"/>
        </w:rPr>
        <w:t xml:space="preserve">La región de los </w:t>
      </w:r>
      <w:r w:rsidRPr="008B7AF3">
        <w:rPr>
          <w:b/>
          <w:bCs/>
          <w:lang w:val="es-ES_tradnl"/>
        </w:rPr>
        <w:t>Estados Árabes</w:t>
      </w:r>
      <w:r w:rsidRPr="007078A2">
        <w:rPr>
          <w:lang w:val="es-ES_tradnl"/>
        </w:rPr>
        <w:t xml:space="preserve"> presenta la mayor disparidad de precios de banda ancha móvil para teléfonos móviles con respecto a la RNB por habitante de todas las regiones. Esto se debe al contraste entre unos pocos PMA árabes donde el servicio sigue siendo esencialmente inasequible y los países de altos ingresos del Consejo de Cooperación del Golfo en los cuales los precios representan menos de 1% de la RNB por habitante. La diferencia es similar en los servicios de postpago para dispositivos informáticos, aunque son más onerosos que los de banda ancha móvil para teléfonos móviles en la mayoría de los Estados Árabes.</w:t>
      </w:r>
    </w:p>
    <w:p w:rsidR="000A39FD" w:rsidRPr="007078A2" w:rsidRDefault="000A39FD" w:rsidP="0026702E">
      <w:pPr>
        <w:rPr>
          <w:lang w:val="es-ES_tradnl"/>
        </w:rPr>
      </w:pPr>
      <w:r w:rsidRPr="007078A2">
        <w:rPr>
          <w:b/>
          <w:bCs/>
          <w:lang w:val="es-ES_tradnl"/>
        </w:rPr>
        <w:t>África</w:t>
      </w:r>
      <w:r w:rsidRPr="007078A2">
        <w:rPr>
          <w:lang w:val="es-ES_tradnl"/>
        </w:rPr>
        <w:t xml:space="preserve"> es la única región en la cual el precio medio de los planes de banda ancha móvil para teléfonos móviles representan más de 5% de la RNB por habitante. Esto pone de manifiesto que el servicio sigue siendo inasequible para varios estratos de la población en muchos países africanos, aunque en 2015 se observó una reducción considerable de los precios con respecto a la RNB por habitante. Los servicios de postpago para dispositivos informáticos tienen precios mucho más elevados en África, con un precio medio que corresponde a más de 20% de la RNB por habitante de la región. Esta media es cuatro veces más elevada que la de cualquier otra región y, sumada a los elevados precios de la banda ancha fija en África, hace patente que el acceso de banda ancha </w:t>
      </w:r>
      <w:r w:rsidRPr="007078A2">
        <w:rPr>
          <w:lang w:val="es-ES_tradnl"/>
        </w:rPr>
        <w:lastRenderedPageBreak/>
        <w:t>para dispositivos informáticos sigue siendo esencialmente inasequible en la región.</w:t>
      </w:r>
    </w:p>
    <w:p w:rsidR="000A39FD" w:rsidRPr="007078A2" w:rsidRDefault="000A39FD" w:rsidP="0026702E">
      <w:pPr>
        <w:rPr>
          <w:lang w:val="es-ES_tradnl"/>
        </w:rPr>
      </w:pPr>
      <w:r w:rsidRPr="007078A2">
        <w:rPr>
          <w:lang w:val="es-ES_tradnl"/>
        </w:rPr>
        <w:t>Un examen más detallado de los precios de la banda ancha móvil para dispositivos móviles de pago previo en porcentaje de la RNB por habitante de una mejor idea de las diferencias de asequibilidad en cada región</w:t>
      </w:r>
      <w:r w:rsidRPr="007078A2">
        <w:rPr>
          <w:vertAlign w:val="superscript"/>
          <w:lang w:val="es-ES_tradnl"/>
        </w:rPr>
        <w:endnoteReference w:id="34"/>
      </w:r>
      <w:r w:rsidRPr="007078A2">
        <w:rPr>
          <w:lang w:val="es-ES_tradnl"/>
        </w:rPr>
        <w:t xml:space="preserve">. En la mayoría de los países de la región de las Américas se ofrecen planes de banda ancha móvil para dispositivos móviles de pago previo por precios inferiores a 5% de la RNB por habitante. La República Dominicana es ahora uno de esos países, ya que los precios en ese país descendieron por debajo de ese umbral entre 2014 y 2015 (Gráfico 4.4). </w:t>
      </w:r>
    </w:p>
    <w:p w:rsidR="000A39FD" w:rsidRPr="007078A2" w:rsidRDefault="000A39FD" w:rsidP="00337FCA">
      <w:pPr>
        <w:pStyle w:val="FigureNotitle"/>
        <w:keepNext/>
      </w:pPr>
      <w:r w:rsidRPr="007078A2">
        <w:t>Gráfico 4.4: Precios de la banda ancha móvil para disp</w:t>
      </w:r>
      <w:r w:rsidR="00337FCA" w:rsidRPr="007078A2">
        <w:t>ositivos móviles de pago previo</w:t>
      </w:r>
      <w:r w:rsidR="00337FCA" w:rsidRPr="007078A2">
        <w:br/>
      </w:r>
      <w:r w:rsidRPr="007078A2">
        <w:t>(500Mb al mes) en porcentaje de l</w:t>
      </w:r>
      <w:r w:rsidR="00337FCA" w:rsidRPr="007078A2">
        <w:t>a RNB por habitante, volumen de</w:t>
      </w:r>
      <w:r w:rsidR="00337FCA" w:rsidRPr="007078A2">
        <w:br/>
      </w:r>
      <w:r w:rsidRPr="007078A2">
        <w:t>datos (tope) incluido, en la región de las Américas, 2015 y 2014</w:t>
      </w:r>
    </w:p>
    <w:p w:rsidR="000A39FD" w:rsidRPr="007078A2" w:rsidRDefault="000A39FD" w:rsidP="0026702E">
      <w:pPr>
        <w:keepNext/>
        <w:keepLines/>
        <w:rPr>
          <w:lang w:val="es-ES_tradnl"/>
        </w:rPr>
      </w:pPr>
      <w:r w:rsidRPr="007078A2">
        <w:rPr>
          <w:noProof/>
          <w:lang w:eastAsia="zh-CN"/>
        </w:rPr>
        <w:drawing>
          <wp:inline distT="0" distB="0" distL="0" distR="0" wp14:anchorId="091B992C" wp14:editId="02CFE110">
            <wp:extent cx="5631399" cy="3575713"/>
            <wp:effectExtent l="0" t="0" r="7620" b="5715"/>
            <wp:docPr id="1073741990" name="Picture 107374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47656" cy="3586035"/>
                    </a:xfrm>
                    <a:prstGeom prst="rect">
                      <a:avLst/>
                    </a:prstGeom>
                    <a:noFill/>
                  </pic:spPr>
                </pic:pic>
              </a:graphicData>
            </a:graphic>
          </wp:inline>
        </w:drawing>
      </w:r>
    </w:p>
    <w:p w:rsidR="0026702E" w:rsidRPr="007078A2" w:rsidRDefault="0026702E" w:rsidP="0026702E">
      <w:pPr>
        <w:keepNext/>
        <w:keepLines/>
        <w:spacing w:before="0"/>
        <w:jc w:val="both"/>
        <w:rPr>
          <w:b/>
          <w:bCs/>
          <w:sz w:val="18"/>
          <w:szCs w:val="18"/>
          <w:lang w:val="es-ES_tradnl"/>
        </w:rPr>
      </w:pPr>
      <w:r w:rsidRPr="007078A2">
        <w:rPr>
          <w:b/>
          <w:bCs/>
          <w:sz w:val="18"/>
          <w:szCs w:val="18"/>
          <w:lang w:val="es-ES_tradnl"/>
        </w:rPr>
        <w:t>Leyenda del Gráfico 4.4:</w:t>
      </w:r>
    </w:p>
    <w:p w:rsidR="000A39FD" w:rsidRPr="007078A2" w:rsidRDefault="000A39FD" w:rsidP="0026702E">
      <w:pPr>
        <w:keepNext/>
        <w:keepLines/>
        <w:spacing w:before="0"/>
        <w:jc w:val="both"/>
        <w:rPr>
          <w:sz w:val="18"/>
          <w:szCs w:val="18"/>
          <w:lang w:val="es-ES_tradnl"/>
        </w:rPr>
      </w:pPr>
      <w:r w:rsidRPr="007078A2">
        <w:rPr>
          <w:sz w:val="18"/>
          <w:szCs w:val="18"/>
          <w:lang w:val="es-ES_tradnl"/>
        </w:rPr>
        <w:t>Nota: Los topes indicados corresponden a precios de 2015.</w:t>
      </w:r>
    </w:p>
    <w:p w:rsidR="000A39FD" w:rsidRPr="007078A2" w:rsidRDefault="000A39FD" w:rsidP="0026702E">
      <w:pPr>
        <w:spacing w:before="0"/>
        <w:jc w:val="both"/>
        <w:rPr>
          <w:sz w:val="18"/>
          <w:szCs w:val="18"/>
          <w:lang w:val="es-ES_tradnl"/>
        </w:rPr>
      </w:pPr>
      <w:r w:rsidRPr="007078A2">
        <w:rPr>
          <w:sz w:val="18"/>
          <w:szCs w:val="18"/>
          <w:lang w:val="es-ES_tradnl"/>
        </w:rPr>
        <w:t>Origen: UIT. Valores de la RNB por habitante basados en datos del Banco Mundial</w:t>
      </w:r>
    </w:p>
    <w:p w:rsidR="0082703E" w:rsidRPr="007078A2" w:rsidRDefault="000A39FD" w:rsidP="0026702E">
      <w:pPr>
        <w:spacing w:before="0"/>
        <w:jc w:val="both"/>
        <w:rPr>
          <w:sz w:val="18"/>
          <w:szCs w:val="18"/>
          <w:lang w:val="es-ES_tradnl"/>
        </w:rPr>
      </w:pPr>
      <w:r w:rsidRPr="007078A2">
        <w:rPr>
          <w:sz w:val="18"/>
          <w:szCs w:val="18"/>
          <w:lang w:val="es-ES_tradnl"/>
        </w:rPr>
        <w:t>% de la RNB por habitante</w:t>
      </w:r>
      <w:bookmarkStart w:id="58" w:name="_Toc455476235"/>
    </w:p>
    <w:p w:rsidR="0026702E" w:rsidRPr="007078A2" w:rsidRDefault="0026702E" w:rsidP="001F7D41">
      <w:pPr>
        <w:spacing w:before="0"/>
        <w:jc w:val="both"/>
        <w:rPr>
          <w:sz w:val="18"/>
          <w:szCs w:val="18"/>
          <w:lang w:val="es-ES_tradnl"/>
        </w:rPr>
      </w:pPr>
      <w:r w:rsidRPr="007078A2">
        <w:rPr>
          <w:sz w:val="18"/>
          <w:szCs w:val="18"/>
          <w:lang w:val="es-ES_tradnl"/>
        </w:rPr>
        <w:t>Uruguay, Chile, Canadá, Brasil, Estados Unidos, Antigua y Barbuda, Argentina, Costa Rica, Saint Kitts y Nevis, Bahamas, Barbados, Trinidad y Tabago, Panamá, Perú, México, Paraguay, Colombia, Bolivia (Estado Plurinacional de), Santa Lucía, San Vicente y las Granadinas, Suriname, Granada,</w:t>
      </w:r>
      <w:r w:rsidR="001F7D41" w:rsidRPr="007078A2">
        <w:rPr>
          <w:sz w:val="18"/>
          <w:szCs w:val="18"/>
          <w:lang w:val="es-ES_tradnl"/>
        </w:rPr>
        <w:t xml:space="preserve"> Jamaica, Venezuela, Ecuador, Guyana, Belice, El Salvador, Guatemala, Dominicana (Rep.), </w:t>
      </w:r>
      <w:r w:rsidRPr="007078A2">
        <w:rPr>
          <w:sz w:val="18"/>
          <w:szCs w:val="18"/>
          <w:lang w:val="es-ES_tradnl"/>
        </w:rPr>
        <w:t>Dominica</w:t>
      </w:r>
      <w:r w:rsidR="001F7D41" w:rsidRPr="007078A2">
        <w:rPr>
          <w:sz w:val="18"/>
          <w:szCs w:val="18"/>
          <w:lang w:val="es-ES_tradnl"/>
        </w:rPr>
        <w:t>, Nicaragua, Honduras, Haití.</w:t>
      </w:r>
    </w:p>
    <w:p w:rsidR="000A39FD" w:rsidRPr="007078A2" w:rsidRDefault="00017CAF" w:rsidP="0026702E">
      <w:pPr>
        <w:pStyle w:val="Heading1"/>
        <w:tabs>
          <w:tab w:val="left" w:pos="794"/>
          <w:tab w:val="left" w:pos="1191"/>
          <w:tab w:val="left" w:pos="1588"/>
          <w:tab w:val="left" w:pos="1985"/>
        </w:tabs>
        <w:overflowPunct w:val="0"/>
        <w:autoSpaceDE w:val="0"/>
        <w:autoSpaceDN w:val="0"/>
        <w:adjustRightInd w:val="0"/>
        <w:spacing w:before="360" w:line="240" w:lineRule="auto"/>
        <w:ind w:left="794" w:hanging="794"/>
        <w:textAlignment w:val="baseline"/>
        <w:rPr>
          <w:rFonts w:asciiTheme="minorHAnsi" w:eastAsia="Times New Roman" w:hAnsiTheme="minorHAnsi" w:cs="Times New Roman"/>
          <w:bCs w:val="0"/>
          <w:color w:val="auto"/>
          <w:sz w:val="24"/>
          <w:szCs w:val="20"/>
          <w:lang w:val="es-ES_tradnl" w:bidi="ar-SA"/>
        </w:rPr>
      </w:pPr>
      <w:bookmarkStart w:id="59" w:name="_Toc474413202"/>
      <w:r w:rsidRPr="007078A2">
        <w:rPr>
          <w:rFonts w:asciiTheme="minorHAnsi" w:eastAsia="Times New Roman" w:hAnsiTheme="minorHAnsi" w:cs="Times New Roman"/>
          <w:bCs w:val="0"/>
          <w:color w:val="auto"/>
          <w:sz w:val="24"/>
          <w:szCs w:val="20"/>
          <w:lang w:val="es-ES_tradnl" w:bidi="ar-SA"/>
        </w:rPr>
        <w:t>6</w:t>
      </w:r>
      <w:r w:rsidRPr="007078A2">
        <w:rPr>
          <w:rFonts w:asciiTheme="minorHAnsi" w:eastAsia="Times New Roman" w:hAnsiTheme="minorHAnsi" w:cs="Times New Roman"/>
          <w:bCs w:val="0"/>
          <w:color w:val="auto"/>
          <w:sz w:val="24"/>
          <w:szCs w:val="20"/>
          <w:lang w:val="es-ES_tradnl" w:bidi="ar-SA"/>
        </w:rPr>
        <w:tab/>
      </w:r>
      <w:r w:rsidR="000A39FD" w:rsidRPr="007078A2">
        <w:rPr>
          <w:rFonts w:asciiTheme="minorHAnsi" w:eastAsia="Times New Roman" w:hAnsiTheme="minorHAnsi" w:cs="Times New Roman"/>
          <w:bCs w:val="0"/>
          <w:color w:val="auto"/>
          <w:sz w:val="24"/>
          <w:szCs w:val="20"/>
          <w:lang w:val="es-ES_tradnl" w:bidi="ar-SA"/>
        </w:rPr>
        <w:t>Conclusiones</w:t>
      </w:r>
      <w:bookmarkEnd w:id="58"/>
      <w:bookmarkEnd w:id="59"/>
      <w:r w:rsidR="000A39FD" w:rsidRPr="007078A2">
        <w:rPr>
          <w:rFonts w:asciiTheme="minorHAnsi" w:eastAsia="Times New Roman" w:hAnsiTheme="minorHAnsi" w:cs="Times New Roman"/>
          <w:bCs w:val="0"/>
          <w:color w:val="auto"/>
          <w:sz w:val="24"/>
          <w:szCs w:val="20"/>
          <w:lang w:val="es-ES_tradnl" w:bidi="ar-SA"/>
        </w:rPr>
        <w:t xml:space="preserve"> </w:t>
      </w:r>
    </w:p>
    <w:p w:rsidR="000A39FD" w:rsidRPr="007078A2" w:rsidRDefault="000A39FD" w:rsidP="001F7D41">
      <w:pPr>
        <w:rPr>
          <w:lang w:val="es-ES_tradnl"/>
        </w:rPr>
      </w:pPr>
      <w:r w:rsidRPr="007078A2">
        <w:rPr>
          <w:lang w:val="es-ES_tradnl"/>
        </w:rPr>
        <w:t>El acceso a las TIC y su utilización en la región de las Américas han experimentado un crecimiento sólido y sostenido durante los últimos años. En muchos sectores del desarrollo de las TIC, tales como suscripciones móviles celulares, suscripciones de banda ancha móvil, adopción de la banda ancha fija, disponibilidad de ancho de banda Internet internacional, acceso de los hogares a Internet y tasas de penetración individual de Internet, la región de las Américas en general ya obtienen mejores resultados que la media mundial. La región también ha obtenido los resultados más equitativos en materia de género en el desarrollo de las TIC, especialmente con respecto a la utilización de Internet.</w:t>
      </w:r>
    </w:p>
    <w:p w:rsidR="000A39FD" w:rsidRPr="007078A2" w:rsidRDefault="000A39FD" w:rsidP="001F7D41">
      <w:pPr>
        <w:rPr>
          <w:lang w:val="es-ES_tradnl"/>
        </w:rPr>
      </w:pPr>
      <w:r w:rsidRPr="007078A2">
        <w:rPr>
          <w:lang w:val="es-ES_tradnl"/>
        </w:rPr>
        <w:lastRenderedPageBreak/>
        <w:t>A pesar de un mercado que parece estar relativamente saturado, los servicios móviles siguen siendo el sector más dinámico, con una expansión constante de la adopción de servicios móviles celulares y de banda ancha móvil. Las tecnologías móviles también siguen impulsando la difusión del acceso a Internet en la región, habida cuenta especialmente de la expansión significativa de las infraestructuras de banda ancha móvil y del acceso a las mismas.</w:t>
      </w:r>
    </w:p>
    <w:p w:rsidR="000A39FD" w:rsidRPr="007078A2" w:rsidRDefault="000A39FD" w:rsidP="001F7D41">
      <w:pPr>
        <w:rPr>
          <w:rFonts w:cs="Garamond"/>
          <w:lang w:val="es-ES_tradnl"/>
        </w:rPr>
      </w:pPr>
      <w:r w:rsidRPr="007078A2">
        <w:rPr>
          <w:lang w:val="es-ES_tradnl"/>
        </w:rPr>
        <w:t xml:space="preserve">El desarrollo de las TIC en las Américas sigue estando relacionado con los niveles de ingresos nacionales por habitante. Con contadas excepciones, los países de las Américas que obtienen buenos resultados en el acceso a las TIC y su utilización también tienden a ser economías con ingresos por habitante relativamente más elevados (p.ej., Estados Unidos, Canadá y </w:t>
      </w:r>
      <w:r w:rsidR="00442022">
        <w:rPr>
          <w:lang w:val="es-ES_tradnl"/>
        </w:rPr>
        <w:t>Saint Kitts y Nevis</w:t>
      </w:r>
      <w:r w:rsidRPr="007078A2">
        <w:rPr>
          <w:lang w:val="es-ES_tradnl"/>
        </w:rPr>
        <w:t>). México, Bolivia y varios países del Caribe presentan las mejoras más dinámicas del desarrollo de las TIC. Esas mejoras se deben esencialmente al aumento de la adopción de la banda ancha móvil.</w:t>
      </w:r>
    </w:p>
    <w:p w:rsidR="000A39FD" w:rsidRPr="007078A2" w:rsidRDefault="000A39FD" w:rsidP="001F7D41">
      <w:pPr>
        <w:rPr>
          <w:lang w:val="es-ES_tradnl"/>
        </w:rPr>
      </w:pPr>
      <w:r w:rsidRPr="007078A2">
        <w:rPr>
          <w:lang w:val="es-ES_tradnl"/>
        </w:rPr>
        <w:t>Algunos de los principales retos del futuro consisten en aumentar las tasas de penetración de la banda ancha fija y la cobertura en la región en general, para mantener un acceso equitativo a las TIC y, en última instancia, conectar más personas en línea para que puedan participar en la sociedad de la información y beneficiarse de ella. Los países también pueden aprovechar más las redes móviles celulares existentes y sostener el desarrollo de los mercados móviles expandiendo el crecimiento de la banda ancha móvil.</w:t>
      </w:r>
    </w:p>
    <w:p w:rsidR="000A39FD" w:rsidRPr="007078A2" w:rsidRDefault="000A39FD" w:rsidP="001F7D41">
      <w:pPr>
        <w:rPr>
          <w:lang w:val="es-ES_tradnl"/>
        </w:rPr>
      </w:pPr>
      <w:r w:rsidRPr="007078A2">
        <w:rPr>
          <w:lang w:val="es-ES_tradnl"/>
        </w:rPr>
        <w:t>Dado el carácter transectorial de las redes TIC y los servicios en línea, una cooperación y comunicación transparentes y prácticas entre reguladores y legisladores, así como con otros interesados, son esenciales para asegurar que la reglamentación responda a las decisiones de política pública y a las condiciones de los mercados del mundo entero. Esa colaboración puede contribuir a crear una reglamentación de la quinta generación y es uno de los elementos constitutivos esenciales de las sociedades inteligentes en un mundo conectado.</w:t>
      </w:r>
    </w:p>
    <w:p w:rsidR="000A39FD" w:rsidRPr="007078A2" w:rsidRDefault="000A39FD" w:rsidP="001F7D41">
      <w:pPr>
        <w:rPr>
          <w:lang w:val="es-ES_tradnl"/>
        </w:rPr>
      </w:pPr>
      <w:r w:rsidRPr="007078A2">
        <w:rPr>
          <w:lang w:val="es-ES_tradnl"/>
        </w:rPr>
        <w:t>Una armonización transfronteriza de las políticas reglamentarias pertinentes, así como una mejor colaboración entre organismos públicos nacionales y organizaciones regionales y mundiales son esenciales para crear un ecosistema digital mundial y crear protecciones eficaces contra el fraude y prácticas abusivas. Es fundamental el papel que han de desempeñar los reguladores para generar confianza en el consumidor y en la seguridad de los servicios, mediante la protección adecuada de los datos, la privacidad y la ciberseguridad.</w:t>
      </w:r>
    </w:p>
    <w:p w:rsidR="000A39FD" w:rsidRPr="007078A2" w:rsidRDefault="000A39FD" w:rsidP="001F7D41">
      <w:pPr>
        <w:rPr>
          <w:lang w:val="es-ES_tradnl"/>
        </w:rPr>
      </w:pPr>
      <w:r w:rsidRPr="007078A2">
        <w:rPr>
          <w:lang w:val="es-ES_tradnl"/>
        </w:rPr>
        <w:t>La adopción de mecanismos que inciten a los ciudadanos a participar, incluidos los grupos desfavorecidos y vulnerables, es también un elemento esencial de la reglamentación colaborativa. Para ello se necesitan políticas que mejoren los conocimientos digitales y recurren a las TIC para promover el empoderamiento.</w:t>
      </w:r>
    </w:p>
    <w:p w:rsidR="000A39FD" w:rsidRPr="007078A2" w:rsidRDefault="000A39FD" w:rsidP="001F7D41">
      <w:pPr>
        <w:pStyle w:val="Heading1"/>
        <w:tabs>
          <w:tab w:val="left" w:pos="794"/>
          <w:tab w:val="left" w:pos="1191"/>
          <w:tab w:val="left" w:pos="1588"/>
          <w:tab w:val="left" w:pos="1985"/>
        </w:tabs>
        <w:overflowPunct w:val="0"/>
        <w:autoSpaceDE w:val="0"/>
        <w:autoSpaceDN w:val="0"/>
        <w:adjustRightInd w:val="0"/>
        <w:spacing w:before="360" w:line="240" w:lineRule="auto"/>
        <w:ind w:left="794" w:hanging="794"/>
        <w:textAlignment w:val="baseline"/>
        <w:rPr>
          <w:rFonts w:asciiTheme="minorHAnsi" w:eastAsia="Times New Roman" w:hAnsiTheme="minorHAnsi" w:cs="Times New Roman"/>
          <w:bCs w:val="0"/>
          <w:color w:val="auto"/>
          <w:sz w:val="24"/>
          <w:szCs w:val="20"/>
          <w:lang w:val="es-ES_tradnl" w:bidi="ar-SA"/>
        </w:rPr>
      </w:pPr>
      <w:bookmarkStart w:id="60" w:name="_Toc454360934"/>
      <w:bookmarkStart w:id="61" w:name="_Toc454361246"/>
      <w:bookmarkStart w:id="62" w:name="_Toc454361361"/>
      <w:bookmarkStart w:id="63" w:name="_Toc454361476"/>
      <w:bookmarkStart w:id="64" w:name="_Toc454361597"/>
      <w:bookmarkStart w:id="65" w:name="_Toc454361712"/>
      <w:bookmarkStart w:id="66" w:name="_Toc454361839"/>
      <w:bookmarkStart w:id="67" w:name="_Toc454360935"/>
      <w:bookmarkStart w:id="68" w:name="_Toc454361247"/>
      <w:bookmarkStart w:id="69" w:name="_Toc454361362"/>
      <w:bookmarkStart w:id="70" w:name="_Toc454361477"/>
      <w:bookmarkStart w:id="71" w:name="_Toc454361598"/>
      <w:bookmarkStart w:id="72" w:name="_Toc454361713"/>
      <w:bookmarkStart w:id="73" w:name="_Toc454361840"/>
      <w:bookmarkStart w:id="74" w:name="_Toc454360936"/>
      <w:bookmarkStart w:id="75" w:name="_Toc454361248"/>
      <w:bookmarkStart w:id="76" w:name="_Toc454361363"/>
      <w:bookmarkStart w:id="77" w:name="_Toc454361478"/>
      <w:bookmarkStart w:id="78" w:name="_Toc454361599"/>
      <w:bookmarkStart w:id="79" w:name="_Toc454361714"/>
      <w:bookmarkStart w:id="80" w:name="_Toc454361841"/>
      <w:bookmarkStart w:id="81" w:name="_Toc454360937"/>
      <w:bookmarkStart w:id="82" w:name="_Toc454361249"/>
      <w:bookmarkStart w:id="83" w:name="_Toc454361364"/>
      <w:bookmarkStart w:id="84" w:name="_Toc454361479"/>
      <w:bookmarkStart w:id="85" w:name="_Toc454361600"/>
      <w:bookmarkStart w:id="86" w:name="_Toc454361715"/>
      <w:bookmarkStart w:id="87" w:name="_Toc454361842"/>
      <w:bookmarkStart w:id="88" w:name="_Toc454360938"/>
      <w:bookmarkStart w:id="89" w:name="_Toc454361250"/>
      <w:bookmarkStart w:id="90" w:name="_Toc454361365"/>
      <w:bookmarkStart w:id="91" w:name="_Toc454361480"/>
      <w:bookmarkStart w:id="92" w:name="_Toc454361601"/>
      <w:bookmarkStart w:id="93" w:name="_Toc454361716"/>
      <w:bookmarkStart w:id="94" w:name="_Toc454361843"/>
      <w:bookmarkStart w:id="95" w:name="_Toc454360939"/>
      <w:bookmarkStart w:id="96" w:name="_Toc454361251"/>
      <w:bookmarkStart w:id="97" w:name="_Toc454361366"/>
      <w:bookmarkStart w:id="98" w:name="_Toc454361481"/>
      <w:bookmarkStart w:id="99" w:name="_Toc454361602"/>
      <w:bookmarkStart w:id="100" w:name="_Toc454361717"/>
      <w:bookmarkStart w:id="101" w:name="_Toc454361844"/>
      <w:bookmarkStart w:id="102" w:name="_Toc454360940"/>
      <w:bookmarkStart w:id="103" w:name="_Toc454361252"/>
      <w:bookmarkStart w:id="104" w:name="_Toc454361367"/>
      <w:bookmarkStart w:id="105" w:name="_Toc454361482"/>
      <w:bookmarkStart w:id="106" w:name="_Toc454361603"/>
      <w:bookmarkStart w:id="107" w:name="_Toc454361718"/>
      <w:bookmarkStart w:id="108" w:name="_Toc454361845"/>
      <w:bookmarkStart w:id="109" w:name="_Toc454360941"/>
      <w:bookmarkStart w:id="110" w:name="_Toc454361253"/>
      <w:bookmarkStart w:id="111" w:name="_Toc454361368"/>
      <w:bookmarkStart w:id="112" w:name="_Toc454361483"/>
      <w:bookmarkStart w:id="113" w:name="_Toc454361604"/>
      <w:bookmarkStart w:id="114" w:name="_Toc454361719"/>
      <w:bookmarkStart w:id="115" w:name="_Toc454361846"/>
      <w:bookmarkStart w:id="116" w:name="_Toc454360944"/>
      <w:bookmarkStart w:id="117" w:name="_Toc454361256"/>
      <w:bookmarkStart w:id="118" w:name="_Toc454361371"/>
      <w:bookmarkStart w:id="119" w:name="_Toc454361486"/>
      <w:bookmarkStart w:id="120" w:name="_Toc454361607"/>
      <w:bookmarkStart w:id="121" w:name="_Toc454361722"/>
      <w:bookmarkStart w:id="122" w:name="_Toc454361849"/>
      <w:bookmarkStart w:id="123" w:name="_Toc454360945"/>
      <w:bookmarkStart w:id="124" w:name="_Toc454361257"/>
      <w:bookmarkStart w:id="125" w:name="_Toc454361372"/>
      <w:bookmarkStart w:id="126" w:name="_Toc454361487"/>
      <w:bookmarkStart w:id="127" w:name="_Toc454361608"/>
      <w:bookmarkStart w:id="128" w:name="_Toc454361723"/>
      <w:bookmarkStart w:id="129" w:name="_Toc454361850"/>
      <w:bookmarkStart w:id="130" w:name="_Toc454360946"/>
      <w:bookmarkStart w:id="131" w:name="_Toc454361258"/>
      <w:bookmarkStart w:id="132" w:name="_Toc454361373"/>
      <w:bookmarkStart w:id="133" w:name="_Toc454361488"/>
      <w:bookmarkStart w:id="134" w:name="_Toc454361609"/>
      <w:bookmarkStart w:id="135" w:name="_Toc454361724"/>
      <w:bookmarkStart w:id="136" w:name="_Toc454361851"/>
      <w:bookmarkStart w:id="137" w:name="_Toc454360947"/>
      <w:bookmarkStart w:id="138" w:name="_Toc454361259"/>
      <w:bookmarkStart w:id="139" w:name="_Toc454361374"/>
      <w:bookmarkStart w:id="140" w:name="_Toc454361489"/>
      <w:bookmarkStart w:id="141" w:name="_Toc454361610"/>
      <w:bookmarkStart w:id="142" w:name="_Toc454361725"/>
      <w:bookmarkStart w:id="143" w:name="_Toc454361852"/>
      <w:bookmarkStart w:id="144" w:name="_Toc454360948"/>
      <w:bookmarkStart w:id="145" w:name="_Toc454361260"/>
      <w:bookmarkStart w:id="146" w:name="_Toc454361375"/>
      <w:bookmarkStart w:id="147" w:name="_Toc454361490"/>
      <w:bookmarkStart w:id="148" w:name="_Toc454361611"/>
      <w:bookmarkStart w:id="149" w:name="_Toc454361726"/>
      <w:bookmarkStart w:id="150" w:name="_Toc454361853"/>
      <w:bookmarkStart w:id="151" w:name="_Toc454360949"/>
      <w:bookmarkStart w:id="152" w:name="_Toc454361261"/>
      <w:bookmarkStart w:id="153" w:name="_Toc454361376"/>
      <w:bookmarkStart w:id="154" w:name="_Toc454361491"/>
      <w:bookmarkStart w:id="155" w:name="_Toc454361612"/>
      <w:bookmarkStart w:id="156" w:name="_Toc454361727"/>
      <w:bookmarkStart w:id="157" w:name="_Toc454361854"/>
      <w:bookmarkStart w:id="158" w:name="_Toc454360950"/>
      <w:bookmarkStart w:id="159" w:name="_Toc454361262"/>
      <w:bookmarkStart w:id="160" w:name="_Toc454361377"/>
      <w:bookmarkStart w:id="161" w:name="_Toc454361492"/>
      <w:bookmarkStart w:id="162" w:name="_Toc454361613"/>
      <w:bookmarkStart w:id="163" w:name="_Toc454361728"/>
      <w:bookmarkStart w:id="164" w:name="_Toc454361855"/>
      <w:bookmarkStart w:id="165" w:name="_Toc454360951"/>
      <w:bookmarkStart w:id="166" w:name="_Toc454361263"/>
      <w:bookmarkStart w:id="167" w:name="_Toc454361378"/>
      <w:bookmarkStart w:id="168" w:name="_Toc454361493"/>
      <w:bookmarkStart w:id="169" w:name="_Toc454361614"/>
      <w:bookmarkStart w:id="170" w:name="_Toc454361729"/>
      <w:bookmarkStart w:id="171" w:name="_Toc454361856"/>
      <w:bookmarkStart w:id="172" w:name="_Toc454360952"/>
      <w:bookmarkStart w:id="173" w:name="_Toc454361264"/>
      <w:bookmarkStart w:id="174" w:name="_Toc454361379"/>
      <w:bookmarkStart w:id="175" w:name="_Toc454361494"/>
      <w:bookmarkStart w:id="176" w:name="_Toc454361615"/>
      <w:bookmarkStart w:id="177" w:name="_Toc454361730"/>
      <w:bookmarkStart w:id="178" w:name="_Toc454361857"/>
      <w:bookmarkStart w:id="179" w:name="_Toc454360953"/>
      <w:bookmarkStart w:id="180" w:name="_Toc454361265"/>
      <w:bookmarkStart w:id="181" w:name="_Toc454361380"/>
      <w:bookmarkStart w:id="182" w:name="_Toc454361495"/>
      <w:bookmarkStart w:id="183" w:name="_Toc454361616"/>
      <w:bookmarkStart w:id="184" w:name="_Toc454361731"/>
      <w:bookmarkStart w:id="185" w:name="_Toc454361858"/>
      <w:bookmarkStart w:id="186" w:name="_Toc454360954"/>
      <w:bookmarkStart w:id="187" w:name="_Toc454361266"/>
      <w:bookmarkStart w:id="188" w:name="_Toc454361381"/>
      <w:bookmarkStart w:id="189" w:name="_Toc454361496"/>
      <w:bookmarkStart w:id="190" w:name="_Toc454361617"/>
      <w:bookmarkStart w:id="191" w:name="_Toc454361732"/>
      <w:bookmarkStart w:id="192" w:name="_Toc454361859"/>
      <w:bookmarkStart w:id="193" w:name="_Toc454360955"/>
      <w:bookmarkStart w:id="194" w:name="_Toc454361267"/>
      <w:bookmarkStart w:id="195" w:name="_Toc454361382"/>
      <w:bookmarkStart w:id="196" w:name="_Toc454361497"/>
      <w:bookmarkStart w:id="197" w:name="_Toc454361618"/>
      <w:bookmarkStart w:id="198" w:name="_Toc454361733"/>
      <w:bookmarkStart w:id="199" w:name="_Toc454361860"/>
      <w:bookmarkStart w:id="200" w:name="_Toc454360956"/>
      <w:bookmarkStart w:id="201" w:name="_Toc454361268"/>
      <w:bookmarkStart w:id="202" w:name="_Toc454361383"/>
      <w:bookmarkStart w:id="203" w:name="_Toc454361498"/>
      <w:bookmarkStart w:id="204" w:name="_Toc454361619"/>
      <w:bookmarkStart w:id="205" w:name="_Toc454361734"/>
      <w:bookmarkStart w:id="206" w:name="_Toc454361861"/>
      <w:bookmarkStart w:id="207" w:name="_Toc454360957"/>
      <w:bookmarkStart w:id="208" w:name="_Toc454361269"/>
      <w:bookmarkStart w:id="209" w:name="_Toc454361384"/>
      <w:bookmarkStart w:id="210" w:name="_Toc454361499"/>
      <w:bookmarkStart w:id="211" w:name="_Toc454361620"/>
      <w:bookmarkStart w:id="212" w:name="_Toc454361735"/>
      <w:bookmarkStart w:id="213" w:name="_Toc454361862"/>
      <w:bookmarkStart w:id="214" w:name="_Toc454360958"/>
      <w:bookmarkStart w:id="215" w:name="_Toc454361270"/>
      <w:bookmarkStart w:id="216" w:name="_Toc454361385"/>
      <w:bookmarkStart w:id="217" w:name="_Toc454361500"/>
      <w:bookmarkStart w:id="218" w:name="_Toc454361621"/>
      <w:bookmarkStart w:id="219" w:name="_Toc454361736"/>
      <w:bookmarkStart w:id="220" w:name="_Toc454361863"/>
      <w:bookmarkStart w:id="221" w:name="_Toc454360959"/>
      <w:bookmarkStart w:id="222" w:name="_Toc454361271"/>
      <w:bookmarkStart w:id="223" w:name="_Toc454361386"/>
      <w:bookmarkStart w:id="224" w:name="_Toc454361501"/>
      <w:bookmarkStart w:id="225" w:name="_Toc454361622"/>
      <w:bookmarkStart w:id="226" w:name="_Toc454361737"/>
      <w:bookmarkStart w:id="227" w:name="_Toc454361864"/>
      <w:bookmarkStart w:id="228" w:name="_Toc454360960"/>
      <w:bookmarkStart w:id="229" w:name="_Toc454361272"/>
      <w:bookmarkStart w:id="230" w:name="_Toc454361387"/>
      <w:bookmarkStart w:id="231" w:name="_Toc454361502"/>
      <w:bookmarkStart w:id="232" w:name="_Toc454361623"/>
      <w:bookmarkStart w:id="233" w:name="_Toc454361738"/>
      <w:bookmarkStart w:id="234" w:name="_Toc454361865"/>
      <w:bookmarkStart w:id="235" w:name="_Toc454360961"/>
      <w:bookmarkStart w:id="236" w:name="_Toc454361273"/>
      <w:bookmarkStart w:id="237" w:name="_Toc454361388"/>
      <w:bookmarkStart w:id="238" w:name="_Toc454361503"/>
      <w:bookmarkStart w:id="239" w:name="_Toc454361624"/>
      <w:bookmarkStart w:id="240" w:name="_Toc454361739"/>
      <w:bookmarkStart w:id="241" w:name="_Toc454361866"/>
      <w:bookmarkStart w:id="242" w:name="_Toc454360962"/>
      <w:bookmarkStart w:id="243" w:name="_Toc454361274"/>
      <w:bookmarkStart w:id="244" w:name="_Toc454361389"/>
      <w:bookmarkStart w:id="245" w:name="_Toc454361504"/>
      <w:bookmarkStart w:id="246" w:name="_Toc454361625"/>
      <w:bookmarkStart w:id="247" w:name="_Toc454361740"/>
      <w:bookmarkStart w:id="248" w:name="_Toc454361867"/>
      <w:bookmarkStart w:id="249" w:name="_Toc454360963"/>
      <w:bookmarkStart w:id="250" w:name="_Toc454361275"/>
      <w:bookmarkStart w:id="251" w:name="_Toc454361390"/>
      <w:bookmarkStart w:id="252" w:name="_Toc454361505"/>
      <w:bookmarkStart w:id="253" w:name="_Toc454361626"/>
      <w:bookmarkStart w:id="254" w:name="_Toc454361741"/>
      <w:bookmarkStart w:id="255" w:name="_Toc454361868"/>
      <w:bookmarkStart w:id="256" w:name="_Toc454360964"/>
      <w:bookmarkStart w:id="257" w:name="_Toc454361276"/>
      <w:bookmarkStart w:id="258" w:name="_Toc454361391"/>
      <w:bookmarkStart w:id="259" w:name="_Toc454361506"/>
      <w:bookmarkStart w:id="260" w:name="_Toc454361627"/>
      <w:bookmarkStart w:id="261" w:name="_Toc454361742"/>
      <w:bookmarkStart w:id="262" w:name="_Toc454361869"/>
      <w:bookmarkStart w:id="263" w:name="_Toc454360965"/>
      <w:bookmarkStart w:id="264" w:name="_Toc454361277"/>
      <w:bookmarkStart w:id="265" w:name="_Toc454361392"/>
      <w:bookmarkStart w:id="266" w:name="_Toc454361507"/>
      <w:bookmarkStart w:id="267" w:name="_Toc454361628"/>
      <w:bookmarkStart w:id="268" w:name="_Toc454361743"/>
      <w:bookmarkStart w:id="269" w:name="_Toc454361870"/>
      <w:bookmarkStart w:id="270" w:name="_Toc454360966"/>
      <w:bookmarkStart w:id="271" w:name="_Toc454361278"/>
      <w:bookmarkStart w:id="272" w:name="_Toc454361393"/>
      <w:bookmarkStart w:id="273" w:name="_Toc454361508"/>
      <w:bookmarkStart w:id="274" w:name="_Toc454361629"/>
      <w:bookmarkStart w:id="275" w:name="_Toc454361744"/>
      <w:bookmarkStart w:id="276" w:name="_Toc454361871"/>
      <w:bookmarkStart w:id="277" w:name="_Toc454360967"/>
      <w:bookmarkStart w:id="278" w:name="_Toc454361279"/>
      <w:bookmarkStart w:id="279" w:name="_Toc454361394"/>
      <w:bookmarkStart w:id="280" w:name="_Toc454361509"/>
      <w:bookmarkStart w:id="281" w:name="_Toc454361630"/>
      <w:bookmarkStart w:id="282" w:name="_Toc454361745"/>
      <w:bookmarkStart w:id="283" w:name="_Toc454361872"/>
      <w:bookmarkStart w:id="284" w:name="_Toc454360968"/>
      <w:bookmarkStart w:id="285" w:name="_Toc454361280"/>
      <w:bookmarkStart w:id="286" w:name="_Toc454361395"/>
      <w:bookmarkStart w:id="287" w:name="_Toc454361510"/>
      <w:bookmarkStart w:id="288" w:name="_Toc454361631"/>
      <w:bookmarkStart w:id="289" w:name="_Toc454361746"/>
      <w:bookmarkStart w:id="290" w:name="_Toc454361873"/>
      <w:bookmarkStart w:id="291" w:name="_Toc454360969"/>
      <w:bookmarkStart w:id="292" w:name="_Toc454361281"/>
      <w:bookmarkStart w:id="293" w:name="_Toc454361396"/>
      <w:bookmarkStart w:id="294" w:name="_Toc454361511"/>
      <w:bookmarkStart w:id="295" w:name="_Toc454361632"/>
      <w:bookmarkStart w:id="296" w:name="_Toc454361747"/>
      <w:bookmarkStart w:id="297" w:name="_Toc454361874"/>
      <w:bookmarkStart w:id="298" w:name="_Toc454360970"/>
      <w:bookmarkStart w:id="299" w:name="_Toc454361282"/>
      <w:bookmarkStart w:id="300" w:name="_Toc454361397"/>
      <w:bookmarkStart w:id="301" w:name="_Toc454361512"/>
      <w:bookmarkStart w:id="302" w:name="_Toc454361633"/>
      <w:bookmarkStart w:id="303" w:name="_Toc454361748"/>
      <w:bookmarkStart w:id="304" w:name="_Toc454361875"/>
      <w:bookmarkStart w:id="305" w:name="_Toc454360971"/>
      <w:bookmarkStart w:id="306" w:name="_Toc454361283"/>
      <w:bookmarkStart w:id="307" w:name="_Toc454361398"/>
      <w:bookmarkStart w:id="308" w:name="_Toc454361513"/>
      <w:bookmarkStart w:id="309" w:name="_Toc454361634"/>
      <w:bookmarkStart w:id="310" w:name="_Toc454361749"/>
      <w:bookmarkStart w:id="311" w:name="_Toc454361876"/>
      <w:bookmarkStart w:id="312" w:name="_Toc454360972"/>
      <w:bookmarkStart w:id="313" w:name="_Toc454361284"/>
      <w:bookmarkStart w:id="314" w:name="_Toc454361399"/>
      <w:bookmarkStart w:id="315" w:name="_Toc454361514"/>
      <w:bookmarkStart w:id="316" w:name="_Toc454361635"/>
      <w:bookmarkStart w:id="317" w:name="_Toc454361750"/>
      <w:bookmarkStart w:id="318" w:name="_Toc454361877"/>
      <w:bookmarkStart w:id="319" w:name="_Toc454360973"/>
      <w:bookmarkStart w:id="320" w:name="_Toc454361285"/>
      <w:bookmarkStart w:id="321" w:name="_Toc454361400"/>
      <w:bookmarkStart w:id="322" w:name="_Toc454361515"/>
      <w:bookmarkStart w:id="323" w:name="_Toc454361636"/>
      <w:bookmarkStart w:id="324" w:name="_Toc454361751"/>
      <w:bookmarkStart w:id="325" w:name="_Toc454361878"/>
      <w:bookmarkStart w:id="326" w:name="_Toc454360974"/>
      <w:bookmarkStart w:id="327" w:name="_Toc454361286"/>
      <w:bookmarkStart w:id="328" w:name="_Toc454361401"/>
      <w:bookmarkStart w:id="329" w:name="_Toc454361516"/>
      <w:bookmarkStart w:id="330" w:name="_Toc454361637"/>
      <w:bookmarkStart w:id="331" w:name="_Toc454361752"/>
      <w:bookmarkStart w:id="332" w:name="_Toc454361879"/>
      <w:bookmarkStart w:id="333" w:name="_Toc454360975"/>
      <w:bookmarkStart w:id="334" w:name="_Toc454361287"/>
      <w:bookmarkStart w:id="335" w:name="_Toc454361402"/>
      <w:bookmarkStart w:id="336" w:name="_Toc454361517"/>
      <w:bookmarkStart w:id="337" w:name="_Toc454361638"/>
      <w:bookmarkStart w:id="338" w:name="_Toc454361753"/>
      <w:bookmarkStart w:id="339" w:name="_Toc454361880"/>
      <w:bookmarkStart w:id="340" w:name="_Toc454360976"/>
      <w:bookmarkStart w:id="341" w:name="_Toc454361288"/>
      <w:bookmarkStart w:id="342" w:name="_Toc454361403"/>
      <w:bookmarkStart w:id="343" w:name="_Toc454361518"/>
      <w:bookmarkStart w:id="344" w:name="_Toc454361639"/>
      <w:bookmarkStart w:id="345" w:name="_Toc454361754"/>
      <w:bookmarkStart w:id="346" w:name="_Toc454361881"/>
      <w:bookmarkStart w:id="347" w:name="_Toc454360977"/>
      <w:bookmarkStart w:id="348" w:name="_Toc454361289"/>
      <w:bookmarkStart w:id="349" w:name="_Toc454361404"/>
      <w:bookmarkStart w:id="350" w:name="_Toc454361519"/>
      <w:bookmarkStart w:id="351" w:name="_Toc454361640"/>
      <w:bookmarkStart w:id="352" w:name="_Toc454361755"/>
      <w:bookmarkStart w:id="353" w:name="_Toc454361882"/>
      <w:bookmarkStart w:id="354" w:name="_Toc454360978"/>
      <w:bookmarkStart w:id="355" w:name="_Toc454361290"/>
      <w:bookmarkStart w:id="356" w:name="_Toc454361405"/>
      <w:bookmarkStart w:id="357" w:name="_Toc454361520"/>
      <w:bookmarkStart w:id="358" w:name="_Toc454361641"/>
      <w:bookmarkStart w:id="359" w:name="_Toc454361756"/>
      <w:bookmarkStart w:id="360" w:name="_Toc454361883"/>
      <w:bookmarkStart w:id="361" w:name="_Toc454360979"/>
      <w:bookmarkStart w:id="362" w:name="_Toc454361291"/>
      <w:bookmarkStart w:id="363" w:name="_Toc454361406"/>
      <w:bookmarkStart w:id="364" w:name="_Toc454361521"/>
      <w:bookmarkStart w:id="365" w:name="_Toc454361642"/>
      <w:bookmarkStart w:id="366" w:name="_Toc454361757"/>
      <w:bookmarkStart w:id="367" w:name="_Toc454361884"/>
      <w:bookmarkEnd w:id="7"/>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7078A2">
        <w:rPr>
          <w:lang w:val="es-ES_tradnl"/>
        </w:rPr>
        <w:br w:type="page"/>
      </w:r>
      <w:bookmarkStart w:id="368" w:name="_Toc474413203"/>
      <w:r w:rsidR="001F7D41" w:rsidRPr="007078A2">
        <w:rPr>
          <w:rFonts w:asciiTheme="minorHAnsi" w:eastAsia="Times New Roman" w:hAnsiTheme="minorHAnsi" w:cs="Times New Roman"/>
          <w:bCs w:val="0"/>
          <w:color w:val="auto"/>
          <w:sz w:val="24"/>
          <w:szCs w:val="20"/>
          <w:lang w:val="es-ES_tradnl" w:bidi="ar-SA"/>
        </w:rPr>
        <w:lastRenderedPageBreak/>
        <w:t>7</w:t>
      </w:r>
      <w:r w:rsidR="001F7D41" w:rsidRPr="007078A2">
        <w:rPr>
          <w:rFonts w:asciiTheme="minorHAnsi" w:eastAsia="Times New Roman" w:hAnsiTheme="minorHAnsi" w:cs="Times New Roman"/>
          <w:bCs w:val="0"/>
          <w:color w:val="auto"/>
          <w:sz w:val="24"/>
          <w:szCs w:val="20"/>
          <w:lang w:val="es-ES_tradnl" w:bidi="ar-SA"/>
        </w:rPr>
        <w:tab/>
      </w:r>
      <w:r w:rsidRPr="007078A2">
        <w:rPr>
          <w:rFonts w:asciiTheme="minorHAnsi" w:eastAsia="Times New Roman" w:hAnsiTheme="minorHAnsi" w:cs="Times New Roman"/>
          <w:bCs w:val="0"/>
          <w:color w:val="auto"/>
          <w:sz w:val="24"/>
          <w:szCs w:val="20"/>
          <w:lang w:val="es-ES_tradnl" w:bidi="ar-SA"/>
        </w:rPr>
        <w:t>Referencias</w:t>
      </w:r>
      <w:bookmarkEnd w:id="368"/>
    </w:p>
    <w:p w:rsidR="000A39FD" w:rsidRPr="00EA1E71" w:rsidRDefault="000A39FD" w:rsidP="00EA1E71">
      <w:pPr>
        <w:spacing w:before="240"/>
        <w:rPr>
          <w:rFonts w:eastAsia="MyriadPro-Light" w:cstheme="minorHAnsi"/>
          <w:szCs w:val="24"/>
          <w:lang w:val="es-ES_tradnl"/>
        </w:rPr>
      </w:pPr>
      <w:r w:rsidRPr="00EA1E71">
        <w:rPr>
          <w:rFonts w:eastAsia="MyriadPro-Light" w:cstheme="minorHAnsi"/>
          <w:i/>
          <w:iCs/>
          <w:szCs w:val="24"/>
          <w:lang w:val="es-ES_tradnl"/>
        </w:rPr>
        <w:t>East Horizon EECA Cluster (2014) ICT Environment, Innovation Policies &amp; International Cooperation</w:t>
      </w:r>
      <w:r w:rsidRPr="00EA1E71">
        <w:rPr>
          <w:rFonts w:eastAsia="MyriadPro-Light" w:cstheme="minorHAnsi"/>
          <w:szCs w:val="24"/>
          <w:lang w:val="es-ES_tradnl"/>
        </w:rPr>
        <w:t xml:space="preserve">. En: </w:t>
      </w:r>
      <w:hyperlink r:id="rId55" w:history="1">
        <w:r w:rsidRPr="00EA1E71">
          <w:rPr>
            <w:rStyle w:val="Hyperlink"/>
            <w:rFonts w:eastAsia="MyriadPro-Light" w:cstheme="minorHAnsi"/>
            <w:szCs w:val="24"/>
            <w:lang w:val="es-ES_tradnl"/>
          </w:rPr>
          <w:t>http://eeca-ict.eu/images/uploads/pdf/EECA_counires_reports_NEW/ICT-Env_Inno-policies_and_Inter-coop_report_KYRGYZSTAN.pdf</w:t>
        </w:r>
      </w:hyperlink>
      <w:r w:rsidRPr="00EA1E71">
        <w:rPr>
          <w:rFonts w:eastAsia="MyriadPro-Light" w:cstheme="minorHAnsi"/>
          <w:szCs w:val="24"/>
          <w:lang w:val="es-ES_tradnl"/>
        </w:rPr>
        <w:t xml:space="preserve"> </w:t>
      </w:r>
    </w:p>
    <w:p w:rsidR="000A39FD" w:rsidRPr="00EA1E71" w:rsidRDefault="000A39FD" w:rsidP="00EA1E71">
      <w:pPr>
        <w:spacing w:before="240"/>
        <w:rPr>
          <w:rFonts w:eastAsia="MyriadPro-Light" w:cstheme="minorHAnsi"/>
          <w:szCs w:val="24"/>
          <w:lang w:val="es-ES_tradnl"/>
        </w:rPr>
      </w:pPr>
      <w:r w:rsidRPr="00EA1E71">
        <w:rPr>
          <w:rFonts w:eastAsia="MyriadPro-Light" w:cstheme="minorHAnsi"/>
          <w:szCs w:val="24"/>
          <w:lang w:val="es-ES_tradnl"/>
        </w:rPr>
        <w:t xml:space="preserve">UIT (2009) </w:t>
      </w:r>
      <w:r w:rsidRPr="00EA1E71">
        <w:rPr>
          <w:rFonts w:eastAsia="MyriadPro-Light" w:cstheme="minorHAnsi"/>
          <w:i/>
          <w:iCs/>
          <w:szCs w:val="24"/>
          <w:lang w:val="es-ES_tradnl"/>
        </w:rPr>
        <w:t>Informe Medición de la sociedad de la información 2009</w:t>
      </w:r>
      <w:r w:rsidRPr="00EA1E71">
        <w:rPr>
          <w:rFonts w:eastAsia="MyriadPro-Light" w:cstheme="minorHAnsi"/>
          <w:szCs w:val="24"/>
          <w:lang w:val="es-ES_tradnl"/>
        </w:rPr>
        <w:t xml:space="preserve">. En: </w:t>
      </w:r>
      <w:hyperlink r:id="rId56" w:history="1">
        <w:r w:rsidRPr="00EA1E71">
          <w:rPr>
            <w:rStyle w:val="Hyperlink"/>
            <w:rFonts w:eastAsia="MyriadPro-Light" w:cstheme="minorHAnsi"/>
            <w:szCs w:val="24"/>
            <w:lang w:val="es-ES_tradnl"/>
          </w:rPr>
          <w:t>https://www.itu.int/en/ITU-D/Statistics/Pages/publications/mis2009.aspx</w:t>
        </w:r>
      </w:hyperlink>
    </w:p>
    <w:p w:rsidR="000A39FD" w:rsidRPr="00EA1E71" w:rsidRDefault="000A39FD" w:rsidP="00EA1E71">
      <w:pPr>
        <w:spacing w:before="240"/>
        <w:rPr>
          <w:rFonts w:eastAsia="MyriadPro-Light" w:cstheme="minorHAnsi"/>
          <w:szCs w:val="24"/>
          <w:lang w:val="es-ES_tradnl"/>
        </w:rPr>
      </w:pPr>
      <w:r w:rsidRPr="00EA1E71">
        <w:rPr>
          <w:rFonts w:eastAsia="MyriadPro-Light" w:cstheme="minorHAnsi"/>
          <w:szCs w:val="24"/>
          <w:lang w:val="es-ES_tradnl"/>
        </w:rPr>
        <w:t xml:space="preserve">UIT (2014a), Resolución 200 sobre la Agenda Conectar 2020 para el desarrollo mundial de las telecomunicaciones/tecnologías de la información y la comunicación (TIC), Actas Finales de la Conferencia Plenipotenciarios (Busán 2014). En: </w:t>
      </w:r>
      <w:hyperlink r:id="rId57" w:history="1">
        <w:r w:rsidRPr="00EA1E71">
          <w:rPr>
            <w:rStyle w:val="Hyperlink"/>
            <w:rFonts w:eastAsia="MyriadPro-Light" w:cstheme="minorHAnsi"/>
            <w:szCs w:val="24"/>
            <w:lang w:val="es-ES_tradnl"/>
          </w:rPr>
          <w:t>https://www.itu.int/dms_pub/itu-s/opb/conf/S-CONF-ACTF-2014-PDF-E.pdf</w:t>
        </w:r>
      </w:hyperlink>
      <w:r w:rsidRPr="00EA1E71">
        <w:rPr>
          <w:rFonts w:eastAsia="MyriadPro-Light" w:cstheme="minorHAnsi"/>
          <w:szCs w:val="24"/>
          <w:lang w:val="es-ES_tradnl"/>
        </w:rPr>
        <w:t xml:space="preserve"> </w:t>
      </w:r>
    </w:p>
    <w:p w:rsidR="000A39FD" w:rsidRPr="00EA1E71" w:rsidRDefault="000A39FD" w:rsidP="00EA1E71">
      <w:pPr>
        <w:spacing w:before="240"/>
        <w:rPr>
          <w:rFonts w:eastAsia="MyriadPro-Light" w:cstheme="minorHAnsi"/>
          <w:szCs w:val="24"/>
          <w:lang w:val="es-ES_tradnl"/>
        </w:rPr>
      </w:pPr>
      <w:r w:rsidRPr="00EA1E71">
        <w:rPr>
          <w:rFonts w:eastAsia="MyriadPro-Light" w:cstheme="minorHAnsi"/>
          <w:szCs w:val="24"/>
          <w:lang w:val="es-ES_tradnl"/>
        </w:rPr>
        <w:t xml:space="preserve">UIT (2014b) </w:t>
      </w:r>
      <w:r w:rsidRPr="00EA1E71">
        <w:rPr>
          <w:rFonts w:eastAsia="MyriadPro-Light" w:cstheme="minorHAnsi"/>
          <w:i/>
          <w:iCs/>
          <w:szCs w:val="24"/>
          <w:lang w:val="es-ES_tradnl"/>
        </w:rPr>
        <w:t>Medición de la sociedad de la información 2014</w:t>
      </w:r>
      <w:r w:rsidRPr="00EA1E71">
        <w:rPr>
          <w:rFonts w:eastAsia="MyriadPro-Light" w:cstheme="minorHAnsi"/>
          <w:szCs w:val="24"/>
          <w:lang w:val="es-ES_tradnl"/>
        </w:rPr>
        <w:t xml:space="preserve">. En: </w:t>
      </w:r>
      <w:hyperlink r:id="rId58" w:history="1">
        <w:r w:rsidRPr="00EA1E71">
          <w:rPr>
            <w:rStyle w:val="Hyperlink"/>
            <w:rFonts w:eastAsia="MyriadPro-Light" w:cstheme="minorHAnsi"/>
            <w:szCs w:val="24"/>
            <w:lang w:val="es-ES_tradnl"/>
          </w:rPr>
          <w:t>https://www.itu.int/en/ITU-D/Statistics/Pages/publications/mis2014.aspx</w:t>
        </w:r>
      </w:hyperlink>
      <w:r w:rsidRPr="00EA1E71">
        <w:rPr>
          <w:rFonts w:eastAsia="MyriadPro-Light" w:cstheme="minorHAnsi"/>
          <w:szCs w:val="24"/>
          <w:lang w:val="es-ES_tradnl"/>
        </w:rPr>
        <w:t xml:space="preserve"> </w:t>
      </w:r>
    </w:p>
    <w:p w:rsidR="000A39FD" w:rsidRPr="00EA1E71" w:rsidRDefault="000A39FD" w:rsidP="00EA1E71">
      <w:pPr>
        <w:spacing w:before="240"/>
        <w:rPr>
          <w:rFonts w:eastAsia="MyriadPro-Light" w:cstheme="minorHAnsi"/>
          <w:szCs w:val="24"/>
          <w:lang w:val="es-ES_tradnl"/>
        </w:rPr>
      </w:pPr>
      <w:r w:rsidRPr="00EA1E71">
        <w:rPr>
          <w:rFonts w:eastAsia="MyriadPro-Light" w:cstheme="minorHAnsi"/>
          <w:szCs w:val="24"/>
          <w:lang w:val="es-ES_tradnl"/>
        </w:rPr>
        <w:t xml:space="preserve">UIT (2016a), </w:t>
      </w:r>
      <w:r w:rsidRPr="00EA1E71">
        <w:rPr>
          <w:rFonts w:eastAsia="MyriadPro-Light" w:cstheme="minorHAnsi"/>
          <w:i/>
          <w:iCs/>
          <w:szCs w:val="24"/>
          <w:lang w:val="es-ES_tradnl"/>
        </w:rPr>
        <w:t>Medición de la sociedad de la información 2016</w:t>
      </w:r>
      <w:r w:rsidRPr="00EA1E71">
        <w:rPr>
          <w:rFonts w:eastAsia="MyriadPro-Light" w:cstheme="minorHAnsi"/>
          <w:szCs w:val="24"/>
          <w:lang w:val="es-ES_tradnl"/>
        </w:rPr>
        <w:t xml:space="preserve">. En: </w:t>
      </w:r>
      <w:hyperlink r:id="rId59" w:history="1">
        <w:r w:rsidRPr="00EA1E71">
          <w:rPr>
            <w:rStyle w:val="Hyperlink"/>
            <w:szCs w:val="24"/>
            <w:lang w:val="es-ES_tradnl"/>
          </w:rPr>
          <w:t>http://www.itu.int/en/ITU-D/Statistics/Pages/publications/mis2015.aspx</w:t>
        </w:r>
      </w:hyperlink>
      <w:r w:rsidRPr="00EA1E71">
        <w:rPr>
          <w:szCs w:val="24"/>
          <w:lang w:val="es-ES_tradnl"/>
        </w:rPr>
        <w:t xml:space="preserve"> </w:t>
      </w:r>
    </w:p>
    <w:p w:rsidR="000A39FD" w:rsidRPr="00EA1E71" w:rsidRDefault="000A39FD" w:rsidP="00EA1E71">
      <w:pPr>
        <w:spacing w:before="240"/>
        <w:rPr>
          <w:szCs w:val="24"/>
          <w:lang w:val="es-ES_tradnl"/>
        </w:rPr>
      </w:pPr>
      <w:r w:rsidRPr="00EA1E71">
        <w:rPr>
          <w:szCs w:val="24"/>
          <w:lang w:val="es-ES_tradnl"/>
        </w:rPr>
        <w:t xml:space="preserve">UIT </w:t>
      </w:r>
      <w:r w:rsidRPr="00EA1E71">
        <w:rPr>
          <w:rStyle w:val="st1"/>
          <w:szCs w:val="24"/>
          <w:lang w:val="es-ES_tradnl"/>
        </w:rPr>
        <w:t xml:space="preserve">(2015), </w:t>
      </w:r>
      <w:r w:rsidRPr="00EA1E71">
        <w:rPr>
          <w:szCs w:val="24"/>
          <w:lang w:val="es-ES_tradnl"/>
        </w:rPr>
        <w:t>Tendencias en las Reformas de Telecomunicaciones</w:t>
      </w:r>
      <w:r w:rsidRPr="00EA1E71">
        <w:rPr>
          <w:rStyle w:val="st1"/>
          <w:szCs w:val="24"/>
          <w:lang w:val="es-ES_tradnl"/>
        </w:rPr>
        <w:t xml:space="preserve"> 2015: </w:t>
      </w:r>
      <w:r w:rsidRPr="00EA1E71">
        <w:rPr>
          <w:szCs w:val="24"/>
          <w:lang w:val="es-ES_tradnl"/>
        </w:rPr>
        <w:t>Preparándonos para la economía digital</w:t>
      </w:r>
      <w:r w:rsidRPr="00EA1E71">
        <w:rPr>
          <w:rStyle w:val="st1"/>
          <w:szCs w:val="24"/>
          <w:lang w:val="es-ES_tradnl"/>
        </w:rPr>
        <w:t xml:space="preserve">. </w:t>
      </w:r>
      <w:r w:rsidRPr="00EA1E71">
        <w:rPr>
          <w:szCs w:val="24"/>
          <w:lang w:val="es-ES_tradnl"/>
        </w:rPr>
        <w:t xml:space="preserve">En: </w:t>
      </w:r>
      <w:hyperlink r:id="rId60" w:history="1">
        <w:r w:rsidRPr="00EA1E71">
          <w:rPr>
            <w:rStyle w:val="Hyperlink"/>
            <w:szCs w:val="24"/>
            <w:lang w:val="es-ES_tradnl"/>
          </w:rPr>
          <w:t>https://www.itu.int/pub/D-PREF-TTR.16-2015</w:t>
        </w:r>
      </w:hyperlink>
    </w:p>
    <w:p w:rsidR="000A39FD" w:rsidRPr="008641AA" w:rsidRDefault="000A39FD" w:rsidP="00EA1E71">
      <w:pPr>
        <w:spacing w:before="240"/>
        <w:rPr>
          <w:rFonts w:eastAsia="MyriadPro-Light" w:cstheme="minorHAnsi"/>
          <w:szCs w:val="24"/>
          <w:lang w:val="en-US"/>
        </w:rPr>
      </w:pPr>
      <w:r w:rsidRPr="00EA1E71">
        <w:rPr>
          <w:rFonts w:eastAsia="MyriadPro-Light" w:cstheme="minorHAnsi"/>
          <w:szCs w:val="24"/>
          <w:lang w:val="es-ES_tradnl"/>
        </w:rPr>
        <w:t xml:space="preserve">UIT (2016b) </w:t>
      </w:r>
      <w:r w:rsidRPr="00EA1E71">
        <w:rPr>
          <w:rFonts w:eastAsia="MyriadPro-Light" w:cstheme="minorHAnsi"/>
          <w:i/>
          <w:iCs/>
          <w:szCs w:val="24"/>
          <w:lang w:val="es-ES_tradnl"/>
        </w:rPr>
        <w:t>Hechos y cifras de las TIC 2016</w:t>
      </w:r>
      <w:r w:rsidRPr="00EA1E71">
        <w:rPr>
          <w:rFonts w:eastAsia="MyriadPro-Light" w:cstheme="minorHAnsi"/>
          <w:szCs w:val="24"/>
          <w:lang w:val="es-ES_tradnl"/>
        </w:rPr>
        <w:t xml:space="preserve">. </w:t>
      </w:r>
      <w:r w:rsidRPr="008641AA">
        <w:rPr>
          <w:rFonts w:eastAsia="MyriadPro-Light" w:cstheme="minorHAnsi"/>
          <w:szCs w:val="24"/>
          <w:lang w:val="en-US"/>
        </w:rPr>
        <w:t xml:space="preserve">En: </w:t>
      </w:r>
      <w:hyperlink r:id="rId61" w:history="1">
        <w:r w:rsidRPr="008641AA">
          <w:rPr>
            <w:rStyle w:val="Hyperlink"/>
            <w:rFonts w:eastAsia="MyriadPro-Light" w:cstheme="minorHAnsi"/>
            <w:szCs w:val="24"/>
            <w:lang w:val="en-US"/>
          </w:rPr>
          <w:t>https://www.itu.int/en/ITU-D/Statistics/Pages/facts/default.aspx</w:t>
        </w:r>
      </w:hyperlink>
      <w:r w:rsidRPr="008641AA">
        <w:rPr>
          <w:rFonts w:eastAsia="MyriadPro-Light" w:cstheme="minorHAnsi"/>
          <w:szCs w:val="24"/>
          <w:lang w:val="en-US"/>
        </w:rPr>
        <w:t xml:space="preserve"> </w:t>
      </w:r>
    </w:p>
    <w:p w:rsidR="000A39FD" w:rsidRPr="008641AA" w:rsidRDefault="000A39FD" w:rsidP="00EA1E71">
      <w:pPr>
        <w:pStyle w:val="Body"/>
        <w:spacing w:before="240"/>
        <w:rPr>
          <w:sz w:val="24"/>
          <w:szCs w:val="24"/>
        </w:rPr>
      </w:pPr>
      <w:r w:rsidRPr="008641AA">
        <w:rPr>
          <w:sz w:val="24"/>
          <w:szCs w:val="24"/>
        </w:rPr>
        <w:t xml:space="preserve">UIT GSR 2016 Documento de debate, </w:t>
      </w:r>
      <w:r w:rsidRPr="008641AA">
        <w:rPr>
          <w:i/>
          <w:iCs/>
          <w:sz w:val="24"/>
          <w:szCs w:val="24"/>
        </w:rPr>
        <w:t>Building Blocks for Smart Societies in a Connected World: A Regulatory Perspective on Fifth Generation Collaborative Regulation</w:t>
      </w:r>
      <w:r w:rsidRPr="008641AA">
        <w:rPr>
          <w:sz w:val="24"/>
          <w:szCs w:val="24"/>
        </w:rPr>
        <w:t xml:space="preserve">. En: </w:t>
      </w:r>
      <w:hyperlink r:id="rId62" w:history="1">
        <w:r w:rsidRPr="008641AA">
          <w:rPr>
            <w:rStyle w:val="Hyperlink"/>
            <w:sz w:val="24"/>
            <w:szCs w:val="24"/>
          </w:rPr>
          <w:t>https://www.itu.int/en/ITU-D/Conferences/GSR/Pages/GSR2016/Papers.aspx</w:t>
        </w:r>
      </w:hyperlink>
    </w:p>
    <w:p w:rsidR="000A39FD" w:rsidRPr="008641AA" w:rsidRDefault="000A39FD" w:rsidP="00EA1E71">
      <w:pPr>
        <w:pStyle w:val="Body"/>
        <w:spacing w:before="240"/>
        <w:rPr>
          <w:sz w:val="24"/>
          <w:szCs w:val="24"/>
        </w:rPr>
      </w:pPr>
      <w:r w:rsidRPr="008641AA">
        <w:rPr>
          <w:sz w:val="24"/>
          <w:szCs w:val="24"/>
        </w:rPr>
        <w:t xml:space="preserve">UIT GSR 2016 Documento de debate, </w:t>
      </w:r>
      <w:r w:rsidRPr="008641AA">
        <w:rPr>
          <w:i/>
          <w:iCs/>
          <w:sz w:val="24"/>
          <w:szCs w:val="24"/>
        </w:rPr>
        <w:t>Emerging technologies and the global regulatory agenda</w:t>
      </w:r>
      <w:r w:rsidRPr="008641AA">
        <w:rPr>
          <w:sz w:val="24"/>
          <w:szCs w:val="24"/>
        </w:rPr>
        <w:t xml:space="preserve">. En: </w:t>
      </w:r>
      <w:hyperlink r:id="rId63" w:history="1">
        <w:r w:rsidRPr="008641AA">
          <w:rPr>
            <w:rStyle w:val="Hyperlink"/>
            <w:sz w:val="24"/>
            <w:szCs w:val="24"/>
          </w:rPr>
          <w:t>http://www.itu.int/en/ITU-D/Conferences/GSR/Pages/GSR2016/Papers.aspx</w:t>
        </w:r>
      </w:hyperlink>
    </w:p>
    <w:p w:rsidR="000A39FD" w:rsidRPr="008641AA" w:rsidRDefault="000A39FD" w:rsidP="00EA1E71">
      <w:pPr>
        <w:pStyle w:val="Body"/>
        <w:spacing w:before="240"/>
        <w:rPr>
          <w:sz w:val="24"/>
          <w:szCs w:val="24"/>
        </w:rPr>
      </w:pPr>
      <w:r w:rsidRPr="008641AA">
        <w:rPr>
          <w:sz w:val="24"/>
          <w:szCs w:val="24"/>
        </w:rPr>
        <w:t xml:space="preserve">UIT GSR 2016 Documento de debate, </w:t>
      </w:r>
      <w:r w:rsidRPr="008641AA">
        <w:rPr>
          <w:i/>
          <w:iCs/>
          <w:sz w:val="24"/>
          <w:szCs w:val="24"/>
        </w:rPr>
        <w:t>Maintaining trust in a digital connected society</w:t>
      </w:r>
      <w:r w:rsidRPr="008641AA">
        <w:rPr>
          <w:sz w:val="24"/>
          <w:szCs w:val="24"/>
        </w:rPr>
        <w:t xml:space="preserve">. En: </w:t>
      </w:r>
      <w:hyperlink r:id="rId64" w:history="1">
        <w:r w:rsidRPr="008641AA">
          <w:rPr>
            <w:rStyle w:val="Hyperlink"/>
            <w:sz w:val="24"/>
            <w:szCs w:val="24"/>
          </w:rPr>
          <w:t>http://www.itu.int/en/ITU-D/Conferences/GSR/Pages/GSR2016/Papers.aspx</w:t>
        </w:r>
      </w:hyperlink>
    </w:p>
    <w:p w:rsidR="000A39FD" w:rsidRPr="008641AA" w:rsidRDefault="000A39FD" w:rsidP="00EA1E71">
      <w:pPr>
        <w:pStyle w:val="Body"/>
        <w:spacing w:before="240"/>
        <w:rPr>
          <w:sz w:val="24"/>
          <w:szCs w:val="24"/>
        </w:rPr>
      </w:pPr>
      <w:r w:rsidRPr="008641AA">
        <w:rPr>
          <w:sz w:val="24"/>
          <w:szCs w:val="24"/>
        </w:rPr>
        <w:t xml:space="preserve">UIT GSR 2016 Documento de debate, </w:t>
      </w:r>
      <w:r w:rsidRPr="008641AA">
        <w:rPr>
          <w:i/>
          <w:iCs/>
          <w:sz w:val="24"/>
          <w:szCs w:val="24"/>
        </w:rPr>
        <w:t>The race for scale: market power, regulation and the App economy</w:t>
      </w:r>
      <w:r w:rsidRPr="008641AA">
        <w:rPr>
          <w:sz w:val="24"/>
          <w:szCs w:val="24"/>
        </w:rPr>
        <w:t xml:space="preserve">. En: </w:t>
      </w:r>
      <w:hyperlink r:id="rId65" w:history="1">
        <w:r w:rsidRPr="008641AA">
          <w:rPr>
            <w:rStyle w:val="Hyperlink"/>
            <w:sz w:val="24"/>
            <w:szCs w:val="24"/>
          </w:rPr>
          <w:t>http://www.itu.int/en/ITU-D/Conferences/GSR/Pages/GSR2016/Papers.aspx</w:t>
        </w:r>
      </w:hyperlink>
    </w:p>
    <w:p w:rsidR="000A39FD" w:rsidRPr="00EA1E71" w:rsidRDefault="000A39FD" w:rsidP="00EA1E71">
      <w:pPr>
        <w:rPr>
          <w:szCs w:val="24"/>
          <w:lang w:val="es-ES_tradnl"/>
        </w:rPr>
      </w:pPr>
      <w:r w:rsidRPr="008641AA">
        <w:rPr>
          <w:szCs w:val="24"/>
          <w:lang w:val="en-US"/>
        </w:rPr>
        <w:lastRenderedPageBreak/>
        <w:t xml:space="preserve">UNESCAP (2014), </w:t>
      </w:r>
      <w:r w:rsidRPr="008641AA">
        <w:rPr>
          <w:i/>
          <w:iCs/>
          <w:szCs w:val="24"/>
          <w:lang w:val="en-US"/>
        </w:rPr>
        <w:t>An In</w:t>
      </w:r>
      <w:r w:rsidRPr="008641AA">
        <w:rPr>
          <w:rFonts w:ascii="MS Gothic" w:eastAsia="MS Gothic" w:hAnsi="MS Gothic" w:cs="MS Gothic"/>
          <w:i/>
          <w:iCs/>
          <w:szCs w:val="24"/>
          <w:lang w:val="en-US"/>
        </w:rPr>
        <w:t>‑</w:t>
      </w:r>
      <w:r w:rsidRPr="008641AA">
        <w:rPr>
          <w:i/>
          <w:iCs/>
          <w:szCs w:val="24"/>
          <w:lang w:val="en-US"/>
        </w:rPr>
        <w:t>Depth Study of Broadband Infrastructure in North and Central Asia</w:t>
      </w:r>
      <w:r w:rsidRPr="008641AA">
        <w:rPr>
          <w:szCs w:val="24"/>
          <w:lang w:val="en-US"/>
        </w:rPr>
        <w:t xml:space="preserve">. </w:t>
      </w:r>
      <w:r w:rsidRPr="00EA1E71">
        <w:rPr>
          <w:szCs w:val="24"/>
          <w:lang w:val="es-ES_tradnl"/>
        </w:rPr>
        <w:t xml:space="preserve">En: </w:t>
      </w:r>
      <w:hyperlink r:id="rId66" w:history="1">
        <w:r w:rsidRPr="00EA1E71">
          <w:rPr>
            <w:rStyle w:val="Hyperlink"/>
            <w:szCs w:val="24"/>
            <w:lang w:val="es-ES_tradnl"/>
          </w:rPr>
          <w:t>http://www.unescap.org/resources/depth-study-broadband-infrastructure-north-and-central-asia</w:t>
        </w:r>
      </w:hyperlink>
    </w:p>
    <w:p w:rsidR="000A39FD" w:rsidRPr="00EA1E71" w:rsidRDefault="000A39FD" w:rsidP="00EA1E71">
      <w:pPr>
        <w:ind w:left="-426"/>
        <w:rPr>
          <w:szCs w:val="24"/>
          <w:lang w:val="es-ES_tradnl"/>
        </w:rPr>
      </w:pPr>
    </w:p>
    <w:p w:rsidR="007238C3" w:rsidRPr="007078A2" w:rsidRDefault="007238C3">
      <w:pPr>
        <w:ind w:left="-426"/>
        <w:rPr>
          <w:lang w:val="es-ES_tradnl"/>
        </w:rPr>
      </w:pPr>
    </w:p>
    <w:sectPr w:rsidR="007238C3" w:rsidRPr="007078A2" w:rsidSect="008641AA">
      <w:headerReference w:type="default" r:id="rId67"/>
      <w:footerReference w:type="default" r:id="rId68"/>
      <w:footerReference w:type="first" r:id="rId69"/>
      <w:endnotePr>
        <w:numFmt w:val="decimal"/>
      </w:endnotePr>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4A3" w:rsidRDefault="003554A3" w:rsidP="000A39FD">
      <w:pPr>
        <w:spacing w:before="0"/>
      </w:pPr>
      <w:r>
        <w:separator/>
      </w:r>
    </w:p>
  </w:endnote>
  <w:endnote w:type="continuationSeparator" w:id="0">
    <w:p w:rsidR="003554A3" w:rsidRDefault="003554A3" w:rsidP="000A39FD">
      <w:pPr>
        <w:spacing w:before="0"/>
      </w:pPr>
      <w:r>
        <w:continuationSeparator/>
      </w:r>
    </w:p>
  </w:endnote>
  <w:endnote w:id="1">
    <w:p w:rsidR="003554A3" w:rsidRPr="004F29F5" w:rsidRDefault="003554A3" w:rsidP="00FF14BC">
      <w:pPr>
        <w:rPr>
          <w:lang w:val="es-ES_tradnl"/>
        </w:rPr>
      </w:pPr>
      <w:r w:rsidRPr="004F29F5">
        <w:rPr>
          <w:rStyle w:val="st1"/>
          <w:sz w:val="20"/>
          <w:vertAlign w:val="superscript"/>
          <w:lang w:val="es-ES_tradnl"/>
        </w:rPr>
        <w:endnoteRef/>
      </w:r>
      <w:r w:rsidRPr="004F29F5">
        <w:rPr>
          <w:rStyle w:val="st1"/>
          <w:i/>
          <w:iCs/>
          <w:lang w:val="es-ES_tradnl"/>
        </w:rPr>
        <w:t xml:space="preserve"> </w:t>
      </w:r>
      <w:r w:rsidRPr="004F29F5">
        <w:rPr>
          <w:rStyle w:val="st1"/>
          <w:i/>
          <w:iCs/>
          <w:sz w:val="20"/>
          <w:lang w:val="es-ES_tradnl"/>
        </w:rPr>
        <w:t>Conocido oficialmente como transformar nuestro mundo: la Agenda 2030 para el Desarrollo Sostenible, los Objetivos de Desarrollo Sostenible figuran en el punto 54 de la resolución</w:t>
      </w:r>
      <w:r w:rsidRPr="004F29F5">
        <w:rPr>
          <w:i/>
          <w:iCs/>
          <w:sz w:val="20"/>
          <w:lang w:val="es-ES_tradnl"/>
        </w:rPr>
        <w:t xml:space="preserve"> A/RES/70/1</w:t>
      </w:r>
      <w:r w:rsidRPr="004F29F5">
        <w:rPr>
          <w:rStyle w:val="st1"/>
          <w:i/>
          <w:iCs/>
          <w:sz w:val="20"/>
          <w:lang w:val="es-ES_tradnl"/>
        </w:rPr>
        <w:t xml:space="preserve"> de 25 de septiembre de 2015 </w:t>
      </w:r>
      <w:r w:rsidRPr="004F29F5">
        <w:rPr>
          <w:i/>
          <w:iCs/>
          <w:sz w:val="20"/>
          <w:lang w:val="es-ES_tradnl"/>
        </w:rPr>
        <w:t>de las Naciones Unidas</w:t>
      </w:r>
      <w:r w:rsidRPr="004F29F5">
        <w:rPr>
          <w:rStyle w:val="st1"/>
          <w:i/>
          <w:iCs/>
          <w:sz w:val="20"/>
          <w:lang w:val="es-ES_tradnl"/>
        </w:rPr>
        <w:t>.</w:t>
      </w:r>
    </w:p>
  </w:endnote>
  <w:endnote w:id="2">
    <w:p w:rsidR="003554A3" w:rsidRPr="008641AA" w:rsidRDefault="003554A3" w:rsidP="00FF14BC">
      <w:pPr>
        <w:pStyle w:val="EndnoteText"/>
        <w:rPr>
          <w:lang w:val="en-US"/>
        </w:rPr>
      </w:pPr>
      <w:r w:rsidRPr="004F29F5">
        <w:rPr>
          <w:rStyle w:val="EndnoteReference"/>
          <w:lang w:val="es-ES_tradnl"/>
        </w:rPr>
        <w:endnoteRef/>
      </w:r>
      <w:r w:rsidRPr="008641AA">
        <w:rPr>
          <w:lang w:val="en-US"/>
        </w:rPr>
        <w:t xml:space="preserve"> UIT, </w:t>
      </w:r>
      <w:r w:rsidRPr="008641AA">
        <w:rPr>
          <w:i/>
          <w:iCs/>
          <w:lang w:val="en-US"/>
        </w:rPr>
        <w:t>GSR 2016 Documento de debate, Emerging technologies and the global regulatory agenda</w:t>
      </w:r>
      <w:r w:rsidRPr="008641AA">
        <w:rPr>
          <w:lang w:val="en-US"/>
        </w:rPr>
        <w:t xml:space="preserve">, </w:t>
      </w:r>
      <w:hyperlink r:id="rId1" w:history="1">
        <w:r w:rsidRPr="008641AA">
          <w:rPr>
            <w:rStyle w:val="Hyperlink"/>
            <w:lang w:val="en-US"/>
          </w:rPr>
          <w:t>http://www.itu.int/en/ITU-D/Conferences/GSR/Pages/GSR2016/Papers.aspx</w:t>
        </w:r>
      </w:hyperlink>
    </w:p>
  </w:endnote>
  <w:endnote w:id="3">
    <w:p w:rsidR="003554A3" w:rsidRPr="008641AA" w:rsidRDefault="003554A3" w:rsidP="00FF14BC">
      <w:pPr>
        <w:pStyle w:val="EndnoteText"/>
        <w:rPr>
          <w:lang w:val="en-US"/>
        </w:rPr>
      </w:pPr>
      <w:r w:rsidRPr="004F29F5">
        <w:rPr>
          <w:rStyle w:val="EndnoteReference"/>
          <w:lang w:val="es-ES_tradnl"/>
        </w:rPr>
        <w:endnoteRef/>
      </w:r>
      <w:r w:rsidRPr="008641AA">
        <w:rPr>
          <w:lang w:val="en-US"/>
        </w:rPr>
        <w:t xml:space="preserve"> UIT, </w:t>
      </w:r>
      <w:r w:rsidRPr="008641AA">
        <w:rPr>
          <w:i/>
          <w:iCs/>
          <w:lang w:val="en-US"/>
        </w:rPr>
        <w:t>GSR 2016 Documento de debate, Emerging technologies and the global regulatory agenda</w:t>
      </w:r>
      <w:r w:rsidRPr="008641AA">
        <w:rPr>
          <w:lang w:val="en-US"/>
        </w:rPr>
        <w:t xml:space="preserve">, </w:t>
      </w:r>
      <w:hyperlink r:id="rId2" w:history="1">
        <w:r w:rsidRPr="008641AA">
          <w:rPr>
            <w:rStyle w:val="Hyperlink"/>
            <w:lang w:val="en-US"/>
          </w:rPr>
          <w:t>http://www.itu.int/en/ITU-D/Conferences/GSR/Pages/GSR2016/Papers.aspx</w:t>
        </w:r>
      </w:hyperlink>
    </w:p>
  </w:endnote>
  <w:endnote w:id="4">
    <w:p w:rsidR="003554A3" w:rsidRPr="008641AA" w:rsidRDefault="003554A3" w:rsidP="00FF14BC">
      <w:pPr>
        <w:pStyle w:val="EndnoteText"/>
        <w:rPr>
          <w:lang w:val="en-US"/>
        </w:rPr>
      </w:pPr>
      <w:r w:rsidRPr="004F29F5">
        <w:rPr>
          <w:rStyle w:val="EndnoteReference"/>
          <w:lang w:val="es-ES_tradnl"/>
        </w:rPr>
        <w:endnoteRef/>
      </w:r>
      <w:r w:rsidRPr="008641AA">
        <w:rPr>
          <w:lang w:val="en-US"/>
        </w:rPr>
        <w:t xml:space="preserve"> UIT, </w:t>
      </w:r>
      <w:r w:rsidRPr="008641AA">
        <w:rPr>
          <w:i/>
          <w:iCs/>
          <w:lang w:val="en-US"/>
        </w:rPr>
        <w:t>GSR 2016 Documento de debate, Emerging technologies and the global regulatory agenda</w:t>
      </w:r>
      <w:r w:rsidRPr="008641AA">
        <w:rPr>
          <w:lang w:val="en-US"/>
        </w:rPr>
        <w:t xml:space="preserve">, </w:t>
      </w:r>
      <w:hyperlink r:id="rId3" w:history="1">
        <w:r w:rsidRPr="008641AA">
          <w:rPr>
            <w:rStyle w:val="Hyperlink"/>
            <w:lang w:val="en-US"/>
          </w:rPr>
          <w:t>http://www.itu.int/en/ITU-D/Conferences/GSR/Pages/GSR2016/Papers.aspx</w:t>
        </w:r>
      </w:hyperlink>
    </w:p>
  </w:endnote>
  <w:endnote w:id="5">
    <w:p w:rsidR="003554A3" w:rsidRPr="008641AA" w:rsidRDefault="003554A3" w:rsidP="00FF14BC">
      <w:pPr>
        <w:pStyle w:val="EndnoteText"/>
        <w:rPr>
          <w:lang w:val="en-US"/>
        </w:rPr>
      </w:pPr>
      <w:r w:rsidRPr="004F29F5">
        <w:rPr>
          <w:rStyle w:val="EndnoteReference"/>
          <w:lang w:val="es-ES_tradnl"/>
        </w:rPr>
        <w:endnoteRef/>
      </w:r>
      <w:r w:rsidRPr="008641AA">
        <w:rPr>
          <w:lang w:val="en-US"/>
        </w:rPr>
        <w:t xml:space="preserve"> </w:t>
      </w:r>
      <w:r w:rsidRPr="008641AA">
        <w:rPr>
          <w:i/>
          <w:iCs/>
          <w:lang w:val="en-US"/>
        </w:rPr>
        <w:t>GSMA Intelligence, Understanding 5G: perspectives on future technological advancements in mobile</w:t>
      </w:r>
      <w:r w:rsidRPr="008641AA">
        <w:rPr>
          <w:lang w:val="en-US"/>
        </w:rPr>
        <w:t xml:space="preserve">, Dic. 2014, </w:t>
      </w:r>
      <w:hyperlink r:id="rId4" w:history="1">
        <w:r w:rsidRPr="008641AA">
          <w:rPr>
            <w:rStyle w:val="Link"/>
            <w:lang w:val="en-US"/>
          </w:rPr>
          <w:t>https://gsmaintelligence.com/research/?file=141208-5g.pdf&amp;download</w:t>
        </w:r>
      </w:hyperlink>
      <w:r w:rsidRPr="008641AA">
        <w:rPr>
          <w:lang w:val="en-US"/>
        </w:rPr>
        <w:t xml:space="preserve">  </w:t>
      </w:r>
    </w:p>
  </w:endnote>
  <w:endnote w:id="6">
    <w:p w:rsidR="003554A3" w:rsidRPr="008641AA" w:rsidRDefault="003554A3" w:rsidP="00FF14BC">
      <w:pPr>
        <w:pStyle w:val="EndnoteText"/>
        <w:rPr>
          <w:lang w:val="en-US"/>
        </w:rPr>
      </w:pPr>
      <w:r w:rsidRPr="004F29F5">
        <w:rPr>
          <w:rStyle w:val="EndnoteReference"/>
          <w:lang w:val="es-ES_tradnl"/>
        </w:rPr>
        <w:endnoteRef/>
      </w:r>
      <w:r w:rsidRPr="008641AA">
        <w:rPr>
          <w:lang w:val="en-US"/>
        </w:rPr>
        <w:t xml:space="preserve"> </w:t>
      </w:r>
      <w:r w:rsidRPr="008641AA">
        <w:rPr>
          <w:i/>
          <w:iCs/>
          <w:lang w:val="en-US"/>
        </w:rPr>
        <w:t>Cisco Visual Networking Index</w:t>
      </w:r>
      <w:r w:rsidRPr="008641AA">
        <w:rPr>
          <w:lang w:val="en-US"/>
        </w:rPr>
        <w:t xml:space="preserve"> (VNI) 2016.</w:t>
      </w:r>
    </w:p>
  </w:endnote>
  <w:endnote w:id="7">
    <w:p w:rsidR="003554A3" w:rsidRPr="008641AA" w:rsidRDefault="003554A3" w:rsidP="00FF14BC">
      <w:pPr>
        <w:pStyle w:val="EndnoteText"/>
        <w:rPr>
          <w:lang w:val="en-US"/>
        </w:rPr>
      </w:pPr>
      <w:r w:rsidRPr="004F29F5">
        <w:rPr>
          <w:rStyle w:val="EndnoteReference"/>
          <w:lang w:val="es-ES_tradnl"/>
        </w:rPr>
        <w:endnoteRef/>
      </w:r>
      <w:r w:rsidRPr="008641AA">
        <w:rPr>
          <w:lang w:val="en-US"/>
        </w:rPr>
        <w:t xml:space="preserve"> </w:t>
      </w:r>
      <w:hyperlink r:id="rId5" w:history="1">
        <w:r w:rsidRPr="008641AA">
          <w:rPr>
            <w:rStyle w:val="Link"/>
            <w:lang w:val="en-US"/>
          </w:rPr>
          <w:t>www.broadbandcommission.org/documents/reports/bb-annualreport2014.Pdf</w:t>
        </w:r>
      </w:hyperlink>
    </w:p>
  </w:endnote>
  <w:endnote w:id="8">
    <w:p w:rsidR="003554A3" w:rsidRPr="004F29F5" w:rsidRDefault="003554A3" w:rsidP="00FF14BC">
      <w:pPr>
        <w:pStyle w:val="EndnoteText"/>
        <w:rPr>
          <w:lang w:val="en-US"/>
        </w:rPr>
      </w:pPr>
      <w:r w:rsidRPr="004F29F5">
        <w:rPr>
          <w:rStyle w:val="EndnoteReference"/>
          <w:lang w:val="es-ES_tradnl"/>
        </w:rPr>
        <w:endnoteRef/>
      </w:r>
      <w:r w:rsidRPr="004F29F5">
        <w:rPr>
          <w:lang w:val="en-US"/>
        </w:rPr>
        <w:t xml:space="preserve"> </w:t>
      </w:r>
      <w:r w:rsidRPr="004F29F5">
        <w:rPr>
          <w:i/>
          <w:iCs/>
          <w:lang w:val="en-US"/>
        </w:rPr>
        <w:t>Ovum, "Global Fixed Voice and Broadband Outlook: 2014-2019"</w:t>
      </w:r>
      <w:r w:rsidRPr="004F29F5">
        <w:rPr>
          <w:lang w:val="en-US"/>
        </w:rPr>
        <w:t xml:space="preserve">, en </w:t>
      </w:r>
      <w:hyperlink r:id="rId6" w:history="1">
        <w:r w:rsidRPr="004F29F5">
          <w:rPr>
            <w:rStyle w:val="Link"/>
            <w:lang w:val="en-US"/>
          </w:rPr>
          <w:t>http://ovum.com/knowledge-center/</w:t>
        </w:r>
      </w:hyperlink>
    </w:p>
  </w:endnote>
  <w:endnote w:id="9">
    <w:p w:rsidR="003554A3" w:rsidRPr="008641AA" w:rsidRDefault="003554A3" w:rsidP="00FF14BC">
      <w:pPr>
        <w:pStyle w:val="EndnoteText"/>
        <w:rPr>
          <w:lang w:val="en-US"/>
        </w:rPr>
      </w:pPr>
      <w:r w:rsidRPr="004F29F5">
        <w:rPr>
          <w:rStyle w:val="EndnoteReference"/>
          <w:lang w:val="es-ES_tradnl"/>
        </w:rPr>
        <w:endnoteRef/>
      </w:r>
      <w:r w:rsidRPr="008641AA">
        <w:rPr>
          <w:lang w:val="en-US"/>
        </w:rPr>
        <w:t xml:space="preserve"> </w:t>
      </w:r>
      <w:r w:rsidRPr="008641AA">
        <w:rPr>
          <w:i/>
          <w:iCs/>
          <w:lang w:val="en-US"/>
        </w:rPr>
        <w:t>GSMA Intelligence, "Understanding 5G: Perspectives on future technological advancements in mobile"</w:t>
      </w:r>
      <w:r w:rsidRPr="008641AA">
        <w:rPr>
          <w:lang w:val="en-US"/>
        </w:rPr>
        <w:t xml:space="preserve"> (Dic. 2014).</w:t>
      </w:r>
    </w:p>
  </w:endnote>
  <w:endnote w:id="10">
    <w:p w:rsidR="003554A3" w:rsidRPr="008641AA" w:rsidRDefault="003554A3" w:rsidP="00FF14BC">
      <w:pPr>
        <w:pStyle w:val="EndnoteText"/>
        <w:rPr>
          <w:lang w:val="en-US"/>
        </w:rPr>
      </w:pPr>
      <w:r w:rsidRPr="004F29F5">
        <w:rPr>
          <w:rStyle w:val="EndnoteReference"/>
          <w:lang w:val="es-ES_tradnl"/>
        </w:rPr>
        <w:endnoteRef/>
      </w:r>
      <w:r w:rsidRPr="008641AA">
        <w:rPr>
          <w:rStyle w:val="st1"/>
          <w:lang w:val="en-US"/>
        </w:rPr>
        <w:t xml:space="preserve"> </w:t>
      </w:r>
      <w:r w:rsidRPr="008641AA">
        <w:rPr>
          <w:rStyle w:val="st1"/>
          <w:i/>
          <w:iCs/>
          <w:lang w:val="en-US"/>
        </w:rPr>
        <w:t>Global mobile Suppliers Association 2016</w:t>
      </w:r>
      <w:r w:rsidRPr="008641AA">
        <w:rPr>
          <w:rStyle w:val="st1"/>
          <w:lang w:val="en-US"/>
        </w:rPr>
        <w:t xml:space="preserve">, </w:t>
      </w:r>
      <w:hyperlink r:id="rId7" w:history="1">
        <w:r w:rsidRPr="008641AA">
          <w:rPr>
            <w:rStyle w:val="Hyperlink1"/>
            <w:lang w:val="en-US"/>
          </w:rPr>
          <w:t>http://gsacom.com/press-release/gsa-confirms-4416-lte-user-devices-researches-new-bands/</w:t>
        </w:r>
      </w:hyperlink>
      <w:r w:rsidRPr="008641AA">
        <w:rPr>
          <w:rStyle w:val="st1"/>
          <w:lang w:val="en-US"/>
        </w:rPr>
        <w:t xml:space="preserve"> </w:t>
      </w:r>
    </w:p>
  </w:endnote>
  <w:endnote w:id="11">
    <w:p w:rsidR="003554A3" w:rsidRPr="003554A3" w:rsidRDefault="003554A3" w:rsidP="00FF14BC">
      <w:pPr>
        <w:pStyle w:val="EndnoteText"/>
        <w:rPr>
          <w:lang w:val="de-DE"/>
        </w:rPr>
      </w:pPr>
      <w:r w:rsidRPr="004F29F5">
        <w:rPr>
          <w:rStyle w:val="EndnoteReference"/>
          <w:lang w:val="es-ES_tradnl"/>
        </w:rPr>
        <w:endnoteRef/>
      </w:r>
      <w:r w:rsidRPr="003554A3">
        <w:rPr>
          <w:lang w:val="de-DE"/>
        </w:rPr>
        <w:t xml:space="preserve"> </w:t>
      </w:r>
      <w:r w:rsidRPr="003554A3">
        <w:rPr>
          <w:rStyle w:val="st1"/>
          <w:sz w:val="18"/>
          <w:szCs w:val="18"/>
          <w:lang w:val="de-DE"/>
        </w:rPr>
        <w:t xml:space="preserve">Statista, 2016, </w:t>
      </w:r>
      <w:hyperlink r:id="rId8" w:history="1">
        <w:r w:rsidRPr="003554A3">
          <w:rPr>
            <w:rStyle w:val="Hyperlink0"/>
            <w:lang w:val="de-DE"/>
          </w:rPr>
          <w:t>https://www.statista.com/chart/4423/wearable-device-shipments-2015/</w:t>
        </w:r>
      </w:hyperlink>
      <w:r w:rsidRPr="003554A3">
        <w:rPr>
          <w:lang w:val="de-DE"/>
        </w:rPr>
        <w:t xml:space="preserve"> </w:t>
      </w:r>
    </w:p>
  </w:endnote>
  <w:endnote w:id="12">
    <w:p w:rsidR="003554A3" w:rsidRPr="003554A3" w:rsidRDefault="003554A3" w:rsidP="00FF14BC">
      <w:pPr>
        <w:pStyle w:val="EndnoteText"/>
        <w:rPr>
          <w:lang w:val="de-DE"/>
        </w:rPr>
      </w:pPr>
      <w:r w:rsidRPr="004F29F5">
        <w:rPr>
          <w:rStyle w:val="EndnoteReference"/>
          <w:lang w:val="es-ES_tradnl"/>
        </w:rPr>
        <w:endnoteRef/>
      </w:r>
      <w:r w:rsidRPr="003554A3">
        <w:rPr>
          <w:lang w:val="de-DE"/>
        </w:rPr>
        <w:t xml:space="preserve"> Gartner, 2016, </w:t>
      </w:r>
      <w:hyperlink r:id="rId9" w:history="1">
        <w:r w:rsidRPr="003554A3">
          <w:rPr>
            <w:rStyle w:val="Link"/>
            <w:lang w:val="de-DE"/>
          </w:rPr>
          <w:t>www.gartner.com/newsroom/id/2905717</w:t>
        </w:r>
      </w:hyperlink>
      <w:r w:rsidRPr="003554A3">
        <w:rPr>
          <w:lang w:val="de-DE"/>
        </w:rPr>
        <w:t xml:space="preserve">      </w:t>
      </w:r>
    </w:p>
  </w:endnote>
  <w:endnote w:id="13">
    <w:p w:rsidR="003554A3" w:rsidRPr="008641AA" w:rsidRDefault="003554A3" w:rsidP="00FF14BC">
      <w:pPr>
        <w:pStyle w:val="EndnoteText"/>
        <w:rPr>
          <w:lang w:val="en-US"/>
        </w:rPr>
      </w:pPr>
      <w:r w:rsidRPr="004F29F5">
        <w:rPr>
          <w:rStyle w:val="EndnoteReference"/>
          <w:lang w:val="es-ES_tradnl"/>
        </w:rPr>
        <w:endnoteRef/>
      </w:r>
      <w:r w:rsidRPr="008641AA">
        <w:rPr>
          <w:lang w:val="en-US"/>
        </w:rPr>
        <w:t xml:space="preserve"> </w:t>
      </w:r>
      <w:r w:rsidRPr="008641AA">
        <w:rPr>
          <w:i/>
          <w:iCs/>
          <w:lang w:val="en-US"/>
        </w:rPr>
        <w:t>John Greenough, The 'Internet of Things' will be the world's most massive device market and save companies billions of dollars, Business Insider</w:t>
      </w:r>
      <w:r w:rsidRPr="008641AA">
        <w:rPr>
          <w:lang w:val="en-US"/>
        </w:rPr>
        <w:t xml:space="preserve"> (Feb. 18, 2015), </w:t>
      </w:r>
      <w:hyperlink r:id="rId10" w:anchor="ixzz3WBO0CLrW" w:history="1">
        <w:r w:rsidRPr="008641AA">
          <w:rPr>
            <w:rStyle w:val="Link"/>
            <w:lang w:val="en-US"/>
          </w:rPr>
          <w:t>http://www.businessinsider.com/the-internet-of-things-market-growth-and-trends-2015-2#ixzz3WBO0CLrW</w:t>
        </w:r>
      </w:hyperlink>
      <w:r w:rsidRPr="008641AA">
        <w:rPr>
          <w:lang w:val="en-US"/>
        </w:rPr>
        <w:t xml:space="preserve">.  </w:t>
      </w:r>
    </w:p>
  </w:endnote>
  <w:endnote w:id="14">
    <w:p w:rsidR="003554A3" w:rsidRPr="008641AA" w:rsidRDefault="003554A3" w:rsidP="00FF14BC">
      <w:pPr>
        <w:pStyle w:val="EndnoteText"/>
        <w:rPr>
          <w:lang w:val="en-US"/>
        </w:rPr>
      </w:pPr>
      <w:r w:rsidRPr="004F29F5">
        <w:rPr>
          <w:rStyle w:val="EndnoteReference"/>
          <w:lang w:val="es-ES_tradnl"/>
        </w:rPr>
        <w:endnoteRef/>
      </w:r>
      <w:r w:rsidRPr="008641AA">
        <w:rPr>
          <w:lang w:val="en-US"/>
        </w:rPr>
        <w:t xml:space="preserve"> </w:t>
      </w:r>
      <w:r w:rsidRPr="008641AA">
        <w:rPr>
          <w:i/>
          <w:iCs/>
          <w:lang w:val="en-US"/>
        </w:rPr>
        <w:t>IDC World Quarterly Tablet Tracker</w:t>
      </w:r>
    </w:p>
  </w:endnote>
  <w:endnote w:id="15">
    <w:p w:rsidR="003554A3" w:rsidRPr="008641AA" w:rsidRDefault="003554A3" w:rsidP="00FF14BC">
      <w:pPr>
        <w:pStyle w:val="EndnoteText"/>
        <w:rPr>
          <w:lang w:val="en-US"/>
        </w:rPr>
      </w:pPr>
      <w:r w:rsidRPr="004F29F5">
        <w:rPr>
          <w:rStyle w:val="EndnoteReference"/>
          <w:lang w:val="es-ES_tradnl"/>
        </w:rPr>
        <w:endnoteRef/>
      </w:r>
      <w:r w:rsidRPr="008641AA">
        <w:rPr>
          <w:lang w:val="en-US"/>
        </w:rPr>
        <w:t xml:space="preserve"> </w:t>
      </w:r>
      <w:r w:rsidRPr="008641AA">
        <w:rPr>
          <w:i/>
          <w:iCs/>
          <w:lang w:val="en-US"/>
        </w:rPr>
        <w:t>IDC World Quarterly PC Tracker</w:t>
      </w:r>
    </w:p>
  </w:endnote>
  <w:endnote w:id="16">
    <w:p w:rsidR="003554A3" w:rsidRPr="008641AA" w:rsidRDefault="003554A3" w:rsidP="00FF14BC">
      <w:pPr>
        <w:pStyle w:val="EndnoteText"/>
        <w:rPr>
          <w:lang w:val="en-US"/>
        </w:rPr>
      </w:pPr>
      <w:r w:rsidRPr="004F29F5">
        <w:rPr>
          <w:rStyle w:val="EndnoteReference"/>
          <w:lang w:val="es-ES_tradnl"/>
        </w:rPr>
        <w:endnoteRef/>
      </w:r>
      <w:r w:rsidRPr="008641AA">
        <w:rPr>
          <w:lang w:val="en-US"/>
        </w:rPr>
        <w:t xml:space="preserve"> </w:t>
      </w:r>
      <w:hyperlink r:id="rId11" w:history="1">
        <w:r w:rsidRPr="008641AA">
          <w:rPr>
            <w:rStyle w:val="Link"/>
            <w:lang w:val="en-US"/>
          </w:rPr>
          <w:t>http://www.gartner.com/newsroom/id/3215217</w:t>
        </w:r>
      </w:hyperlink>
      <w:r w:rsidRPr="008641AA">
        <w:rPr>
          <w:lang w:val="en-US"/>
        </w:rPr>
        <w:t xml:space="preserve"> </w:t>
      </w:r>
    </w:p>
  </w:endnote>
  <w:endnote w:id="17">
    <w:p w:rsidR="003554A3" w:rsidRPr="008641AA" w:rsidRDefault="003554A3" w:rsidP="00FF14BC">
      <w:pPr>
        <w:pStyle w:val="EndnoteText"/>
        <w:rPr>
          <w:lang w:val="en-US"/>
        </w:rPr>
      </w:pPr>
      <w:r w:rsidRPr="004F29F5">
        <w:rPr>
          <w:rStyle w:val="EndnoteReference"/>
          <w:lang w:val="es-ES_tradnl"/>
        </w:rPr>
        <w:endnoteRef/>
      </w:r>
      <w:r w:rsidRPr="008641AA">
        <w:rPr>
          <w:lang w:val="en-US"/>
        </w:rPr>
        <w:t xml:space="preserve"> </w:t>
      </w:r>
      <w:hyperlink r:id="rId12" w:history="1">
        <w:r w:rsidRPr="008641AA">
          <w:rPr>
            <w:rStyle w:val="Hyperlink"/>
            <w:lang w:val="en-US"/>
          </w:rPr>
          <w:t>www.broadbandcommission.org/documents/reports/bb-annualreport2014.Pdf</w:t>
        </w:r>
      </w:hyperlink>
    </w:p>
  </w:endnote>
  <w:endnote w:id="18">
    <w:p w:rsidR="003554A3" w:rsidRPr="004F29F5" w:rsidRDefault="003554A3" w:rsidP="00FF14BC">
      <w:pPr>
        <w:pStyle w:val="EndnoteText"/>
        <w:rPr>
          <w:lang w:val="en-US"/>
        </w:rPr>
      </w:pPr>
      <w:r w:rsidRPr="004F29F5">
        <w:rPr>
          <w:rStyle w:val="EndnoteReference"/>
          <w:lang w:val="es-ES_tradnl"/>
        </w:rPr>
        <w:endnoteRef/>
      </w:r>
      <w:r w:rsidRPr="004F29F5">
        <w:rPr>
          <w:lang w:val="en-US"/>
        </w:rPr>
        <w:t xml:space="preserve"> </w:t>
      </w:r>
      <w:r w:rsidRPr="004F29F5">
        <w:rPr>
          <w:i/>
          <w:iCs/>
          <w:lang w:val="en-US"/>
        </w:rPr>
        <w:t>"Gartner Identifies the Top 10 Strategic Technology Trends for 2015"</w:t>
      </w:r>
      <w:r w:rsidRPr="004F29F5">
        <w:rPr>
          <w:lang w:val="en-US"/>
        </w:rPr>
        <w:t xml:space="preserve">, en Gartner: </w:t>
      </w:r>
      <w:hyperlink r:id="rId13" w:history="1">
        <w:r w:rsidRPr="004F29F5">
          <w:rPr>
            <w:rStyle w:val="Link"/>
            <w:lang w:val="en-US"/>
          </w:rPr>
          <w:t>www.gartner.com/newsroom/id/2867917</w:t>
        </w:r>
      </w:hyperlink>
    </w:p>
  </w:endnote>
  <w:endnote w:id="19">
    <w:p w:rsidR="003554A3" w:rsidRPr="008641AA" w:rsidRDefault="003554A3" w:rsidP="00FF14BC">
      <w:pPr>
        <w:pStyle w:val="EndnoteText"/>
        <w:rPr>
          <w:lang w:val="en-US"/>
        </w:rPr>
      </w:pPr>
      <w:r w:rsidRPr="004F29F5">
        <w:rPr>
          <w:rStyle w:val="EndnoteReference"/>
          <w:lang w:val="es-ES_tradnl"/>
        </w:rPr>
        <w:endnoteRef/>
      </w:r>
      <w:r w:rsidRPr="008641AA">
        <w:rPr>
          <w:lang w:val="en-US"/>
        </w:rPr>
        <w:t xml:space="preserve"> </w:t>
      </w:r>
      <w:r w:rsidRPr="008641AA">
        <w:rPr>
          <w:i/>
          <w:iCs/>
          <w:lang w:val="en-US"/>
        </w:rPr>
        <w:t>Cisco Virtual Networking Index</w:t>
      </w:r>
      <w:r w:rsidRPr="008641AA">
        <w:rPr>
          <w:lang w:val="en-US"/>
        </w:rPr>
        <w:t>, Feb. 2015.</w:t>
      </w:r>
    </w:p>
  </w:endnote>
  <w:endnote w:id="20">
    <w:p w:rsidR="003554A3" w:rsidRPr="008641AA" w:rsidRDefault="003554A3" w:rsidP="00FF14BC">
      <w:pPr>
        <w:pStyle w:val="EndnoteText"/>
        <w:rPr>
          <w:lang w:val="en-US"/>
        </w:rPr>
      </w:pPr>
      <w:r w:rsidRPr="004F29F5">
        <w:rPr>
          <w:rStyle w:val="EndnoteReference"/>
          <w:lang w:val="es-ES_tradnl"/>
        </w:rPr>
        <w:endnoteRef/>
      </w:r>
      <w:r w:rsidRPr="008641AA">
        <w:rPr>
          <w:lang w:val="en-US"/>
        </w:rPr>
        <w:t xml:space="preserve"> </w:t>
      </w:r>
      <w:r w:rsidRPr="008641AA">
        <w:rPr>
          <w:i/>
          <w:iCs/>
          <w:lang w:val="en-US"/>
        </w:rPr>
        <w:t>We Are Social</w:t>
      </w:r>
      <w:r w:rsidRPr="008641AA">
        <w:rPr>
          <w:lang w:val="en-US"/>
        </w:rPr>
        <w:t xml:space="preserve">, </w:t>
      </w:r>
      <w:hyperlink r:id="rId14" w:history="1">
        <w:r w:rsidRPr="008641AA">
          <w:rPr>
            <w:rStyle w:val="Link"/>
            <w:lang w:val="en-US"/>
          </w:rPr>
          <w:t>http://wearesocial.com/uk/special-reports/digital-in-2016</w:t>
        </w:r>
      </w:hyperlink>
      <w:r w:rsidRPr="008641AA">
        <w:rPr>
          <w:lang w:val="en-US"/>
        </w:rPr>
        <w:t xml:space="preserve">. </w:t>
      </w:r>
    </w:p>
  </w:endnote>
  <w:endnote w:id="21">
    <w:p w:rsidR="003554A3" w:rsidRPr="008641AA" w:rsidRDefault="003554A3" w:rsidP="00FF14BC">
      <w:pPr>
        <w:pStyle w:val="EndnoteText"/>
        <w:rPr>
          <w:lang w:val="en-US"/>
        </w:rPr>
      </w:pPr>
      <w:r w:rsidRPr="004F29F5">
        <w:rPr>
          <w:rStyle w:val="EndnoteReference"/>
          <w:lang w:val="es-ES_tradnl"/>
        </w:rPr>
        <w:endnoteRef/>
      </w:r>
      <w:r w:rsidRPr="008641AA">
        <w:rPr>
          <w:lang w:val="en-US"/>
        </w:rPr>
        <w:t xml:space="preserve"> Id. </w:t>
      </w:r>
    </w:p>
  </w:endnote>
  <w:endnote w:id="22">
    <w:p w:rsidR="003554A3" w:rsidRPr="008641AA" w:rsidRDefault="003554A3" w:rsidP="00FF14BC">
      <w:pPr>
        <w:pStyle w:val="EndnoteText"/>
        <w:rPr>
          <w:lang w:val="en-US"/>
        </w:rPr>
      </w:pPr>
      <w:r w:rsidRPr="004F29F5">
        <w:rPr>
          <w:rStyle w:val="EndnoteReference"/>
          <w:lang w:val="es-ES_tradnl"/>
        </w:rPr>
        <w:endnoteRef/>
      </w:r>
      <w:r w:rsidRPr="008641AA">
        <w:rPr>
          <w:lang w:val="en-US"/>
        </w:rPr>
        <w:t xml:space="preserve"> </w:t>
      </w:r>
      <w:hyperlink r:id="rId15" w:history="1">
        <w:r w:rsidRPr="008641AA">
          <w:rPr>
            <w:rStyle w:val="Link"/>
            <w:lang w:val="en-US"/>
          </w:rPr>
          <w:t>www.itu.int/bestpractices</w:t>
        </w:r>
      </w:hyperlink>
    </w:p>
  </w:endnote>
  <w:endnote w:id="23">
    <w:p w:rsidR="003554A3" w:rsidRPr="008641AA" w:rsidRDefault="003554A3" w:rsidP="00FF14BC">
      <w:pPr>
        <w:pStyle w:val="EndnoteText"/>
        <w:rPr>
          <w:lang w:val="en-US"/>
        </w:rPr>
      </w:pPr>
      <w:r w:rsidRPr="004F29F5">
        <w:rPr>
          <w:rStyle w:val="EndnoteReference"/>
          <w:lang w:val="es-ES_tradnl"/>
        </w:rPr>
        <w:endnoteRef/>
      </w:r>
      <w:r w:rsidRPr="008641AA">
        <w:rPr>
          <w:lang w:val="en-US"/>
        </w:rPr>
        <w:t xml:space="preserve"> </w:t>
      </w:r>
      <w:hyperlink r:id="rId16" w:history="1">
        <w:r w:rsidRPr="008641AA">
          <w:rPr>
            <w:rStyle w:val="Link"/>
            <w:lang w:val="en-US"/>
          </w:rPr>
          <w:t>www.itu.int/bestpractices</w:t>
        </w:r>
      </w:hyperlink>
    </w:p>
  </w:endnote>
  <w:endnote w:id="24">
    <w:p w:rsidR="003554A3" w:rsidRPr="004F29F5" w:rsidRDefault="003554A3" w:rsidP="00FF14BC">
      <w:pPr>
        <w:pStyle w:val="EndnoteText"/>
        <w:rPr>
          <w:lang w:val="es-ES_tradnl"/>
        </w:rPr>
      </w:pPr>
      <w:r w:rsidRPr="004F29F5">
        <w:rPr>
          <w:rStyle w:val="EndnoteReference"/>
          <w:lang w:val="es-ES_tradnl"/>
        </w:rPr>
        <w:endnoteRef/>
      </w:r>
      <w:r w:rsidRPr="004F29F5">
        <w:rPr>
          <w:lang w:val="es-ES_tradnl"/>
        </w:rPr>
        <w:t xml:space="preserve"> UIT, Tendencias en las Reformas de Telecomunicaciones 2015, Cap. 1.</w:t>
      </w:r>
    </w:p>
  </w:endnote>
  <w:endnote w:id="25">
    <w:p w:rsidR="003554A3" w:rsidRPr="008641AA" w:rsidRDefault="003554A3" w:rsidP="00FF14BC">
      <w:pPr>
        <w:pStyle w:val="EndnoteText"/>
        <w:rPr>
          <w:lang w:val="en-US"/>
        </w:rPr>
      </w:pPr>
      <w:r w:rsidRPr="004F29F5">
        <w:rPr>
          <w:rStyle w:val="EndnoteReference"/>
          <w:lang w:val="es-ES_tradnl"/>
        </w:rPr>
        <w:endnoteRef/>
      </w:r>
      <w:r w:rsidRPr="008641AA">
        <w:rPr>
          <w:lang w:val="en-US"/>
        </w:rPr>
        <w:t xml:space="preserve"> Id.</w:t>
      </w:r>
    </w:p>
  </w:endnote>
  <w:endnote w:id="26">
    <w:p w:rsidR="003554A3" w:rsidRPr="008641AA" w:rsidRDefault="003554A3" w:rsidP="00FF14BC">
      <w:pPr>
        <w:pStyle w:val="EndnoteText"/>
        <w:rPr>
          <w:lang w:val="en-US"/>
        </w:rPr>
      </w:pPr>
      <w:r w:rsidRPr="004F29F5">
        <w:rPr>
          <w:rStyle w:val="EndnoteReference"/>
          <w:lang w:val="es-ES_tradnl"/>
        </w:rPr>
        <w:endnoteRef/>
      </w:r>
      <w:r w:rsidRPr="008641AA">
        <w:rPr>
          <w:lang w:val="en-US"/>
        </w:rPr>
        <w:t xml:space="preserve"> Vicente, M.R. y A.J. López (2006), </w:t>
      </w:r>
      <w:r w:rsidRPr="008641AA">
        <w:rPr>
          <w:i/>
          <w:iCs/>
          <w:lang w:val="en-US"/>
        </w:rPr>
        <w:t>A Multivariate Framework for the Analysis of the Digital Divide: Evidence for the European Union</w:t>
      </w:r>
      <w:r w:rsidRPr="008641AA">
        <w:rPr>
          <w:lang w:val="en-US"/>
        </w:rPr>
        <w:t>15.</w:t>
      </w:r>
    </w:p>
  </w:endnote>
  <w:endnote w:id="27">
    <w:p w:rsidR="003554A3" w:rsidRPr="004F29F5" w:rsidRDefault="003554A3" w:rsidP="00FF14BC">
      <w:pPr>
        <w:pStyle w:val="FootnoteText"/>
        <w:jc w:val="both"/>
        <w:rPr>
          <w:lang w:val="es-ES_tradnl"/>
        </w:rPr>
      </w:pPr>
      <w:r w:rsidRPr="004F29F5">
        <w:rPr>
          <w:rStyle w:val="EndnoteReference"/>
          <w:lang w:val="es-ES_tradnl"/>
        </w:rPr>
        <w:endnoteRef/>
      </w:r>
      <w:r w:rsidRPr="004F29F5">
        <w:rPr>
          <w:lang w:val="es-ES_tradnl"/>
        </w:rPr>
        <w:t xml:space="preserve"> Véase más información sobre la metodología en el Capítulo 2 y el Anexo 1 de </w:t>
      </w:r>
      <w:r w:rsidRPr="004F29F5">
        <w:rPr>
          <w:i/>
          <w:iCs/>
          <w:color w:val="000000" w:themeColor="text1"/>
          <w:lang w:val="es-ES_tradnl"/>
        </w:rPr>
        <w:t>Medición de la sociedad de la información 2016</w:t>
      </w:r>
      <w:r w:rsidRPr="004F29F5">
        <w:rPr>
          <w:color w:val="000000" w:themeColor="text1"/>
          <w:lang w:val="es-ES_tradnl"/>
        </w:rPr>
        <w:t xml:space="preserve"> de la UIT.</w:t>
      </w:r>
    </w:p>
  </w:endnote>
  <w:endnote w:id="28">
    <w:p w:rsidR="003554A3" w:rsidRPr="004F29F5" w:rsidRDefault="003554A3" w:rsidP="00FF14BC">
      <w:pPr>
        <w:pStyle w:val="EndnoteText"/>
        <w:rPr>
          <w:lang w:val="es-ES_tradnl"/>
        </w:rPr>
      </w:pPr>
      <w:r w:rsidRPr="004F29F5">
        <w:rPr>
          <w:rStyle w:val="EndnoteReference"/>
          <w:lang w:val="es-ES_tradnl"/>
        </w:rPr>
        <w:endnoteRef/>
      </w:r>
      <w:r w:rsidRPr="004F29F5">
        <w:rPr>
          <w:lang w:val="es-ES_tradnl"/>
        </w:rPr>
        <w:t xml:space="preserve"> Véase la lista de los países que figuran en cada agrupación regional de la Oficina de Desarrollo de las Telecomunicaciones de la UIT en </w:t>
      </w:r>
      <w:hyperlink r:id="rId17" w:history="1">
        <w:r w:rsidRPr="004F29F5">
          <w:rPr>
            <w:rStyle w:val="Hyperlink"/>
            <w:lang w:val="es-ES_tradnl"/>
          </w:rPr>
          <w:t>http://www.itu.int/en/ITU-D/Statistics/Pages/definitions/regions.aspx</w:t>
        </w:r>
      </w:hyperlink>
      <w:r w:rsidRPr="004F29F5">
        <w:rPr>
          <w:lang w:val="es-ES_tradnl"/>
        </w:rPr>
        <w:t xml:space="preserve">. Palestina no es un Estado Miembro de la UIT. El estatuto de Palestina en la UIT es objeto de la Resolución 99 (Rev. Busán, 2014) de la Conferencia de Plenipotenciarios de la UIT. </w:t>
      </w:r>
    </w:p>
  </w:endnote>
  <w:endnote w:id="29">
    <w:p w:rsidR="003554A3" w:rsidRPr="004F29F5" w:rsidRDefault="003554A3" w:rsidP="004C1B41">
      <w:pPr>
        <w:pStyle w:val="EndnoteText"/>
        <w:rPr>
          <w:lang w:val="es-ES_tradnl"/>
        </w:rPr>
      </w:pPr>
      <w:r w:rsidRPr="004F29F5">
        <w:rPr>
          <w:rStyle w:val="EndnoteReference"/>
          <w:lang w:val="es-ES_tradnl"/>
        </w:rPr>
        <w:endnoteRef/>
      </w:r>
      <w:r w:rsidRPr="008641AA">
        <w:rPr>
          <w:lang w:val="en-US"/>
        </w:rPr>
        <w:t xml:space="preserve"> Mance, H., '</w:t>
      </w:r>
      <w:r w:rsidRPr="008641AA">
        <w:rPr>
          <w:i/>
          <w:iCs/>
          <w:lang w:val="en-US"/>
        </w:rPr>
        <w:t>CWC plans to fire up telecoms networks with $250m investment</w:t>
      </w:r>
      <w:r w:rsidRPr="008641AA">
        <w:rPr>
          <w:lang w:val="en-US"/>
        </w:rPr>
        <w:t xml:space="preserve">', 2014, en </w:t>
      </w:r>
      <w:r w:rsidRPr="008641AA">
        <w:rPr>
          <w:i/>
          <w:iCs/>
          <w:lang w:val="en-US"/>
        </w:rPr>
        <w:t>Financial Times</w:t>
      </w:r>
      <w:r w:rsidRPr="008641AA">
        <w:rPr>
          <w:lang w:val="en-US"/>
        </w:rPr>
        <w:t xml:space="preserve">. </w:t>
      </w:r>
      <w:r w:rsidRPr="004F29F5">
        <w:rPr>
          <w:lang w:val="es-ES_tradnl"/>
        </w:rPr>
        <w:t xml:space="preserve">En: </w:t>
      </w:r>
      <w:hyperlink r:id="rId18" w:anchor="axzz4DhgytUZm" w:history="1">
        <w:r w:rsidRPr="004F29F5">
          <w:rPr>
            <w:rStyle w:val="Hyperlink"/>
            <w:lang w:val="es-ES_tradnl"/>
          </w:rPr>
          <w:t>http://www.ft.com/cms/s/0/61fe7820-e0e6-11e3-a934-00144feabdc0.html#axzz4DhgytUZm</w:t>
        </w:r>
      </w:hyperlink>
      <w:r w:rsidRPr="004F29F5">
        <w:rPr>
          <w:lang w:val="es-ES_tradnl"/>
        </w:rPr>
        <w:t>.</w:t>
      </w:r>
    </w:p>
  </w:endnote>
  <w:endnote w:id="30">
    <w:p w:rsidR="003554A3" w:rsidRPr="004F29F5" w:rsidRDefault="003554A3" w:rsidP="00FF14BC">
      <w:pPr>
        <w:pStyle w:val="EndnoteText"/>
        <w:rPr>
          <w:lang w:val="es-ES_tradnl"/>
        </w:rPr>
      </w:pPr>
      <w:r w:rsidRPr="004F29F5">
        <w:rPr>
          <w:rStyle w:val="EndnoteReference"/>
          <w:lang w:val="es-ES_tradnl"/>
        </w:rPr>
        <w:endnoteRef/>
      </w:r>
      <w:r w:rsidRPr="004F29F5">
        <w:rPr>
          <w:lang w:val="es-ES_tradnl"/>
        </w:rPr>
        <w:t xml:space="preserve"> Véase el artículo 34 de la </w:t>
      </w:r>
      <w:r w:rsidRPr="004F29F5">
        <w:rPr>
          <w:i/>
          <w:iCs/>
          <w:lang w:val="es-ES_tradnl"/>
        </w:rPr>
        <w:t>Ley Orgánica de Telecomunicaciones</w:t>
      </w:r>
      <w:r w:rsidRPr="004F29F5">
        <w:rPr>
          <w:lang w:val="es-ES_tradnl"/>
        </w:rPr>
        <w:t xml:space="preserve"> aprobada en febrero de 2015, en: </w:t>
      </w:r>
      <w:hyperlink r:id="rId19" w:history="1">
        <w:r w:rsidRPr="004F29F5">
          <w:rPr>
            <w:rStyle w:val="Hyperlink"/>
            <w:lang w:val="es-ES_tradnl"/>
          </w:rPr>
          <w:t>http://www.telecomunicaciones.gob.ec/wp-content/uploads/downloads/2016/05/Ley-Org%C3%A1nica-de-Telecomunicaciones.pdf</w:t>
        </w:r>
      </w:hyperlink>
      <w:r w:rsidRPr="004F29F5">
        <w:rPr>
          <w:lang w:val="es-ES_tradnl"/>
        </w:rPr>
        <w:t xml:space="preserve">. </w:t>
      </w:r>
    </w:p>
  </w:endnote>
  <w:endnote w:id="31">
    <w:p w:rsidR="003554A3" w:rsidRPr="004F29F5" w:rsidRDefault="003554A3" w:rsidP="004C1B41">
      <w:pPr>
        <w:pStyle w:val="EndnoteText"/>
        <w:rPr>
          <w:lang w:val="es-ES_tradnl"/>
        </w:rPr>
      </w:pPr>
      <w:r w:rsidRPr="004F29F5">
        <w:rPr>
          <w:rStyle w:val="EndnoteReference"/>
          <w:lang w:val="es-ES_tradnl"/>
        </w:rPr>
        <w:endnoteRef/>
      </w:r>
      <w:r w:rsidRPr="004F29F5">
        <w:rPr>
          <w:lang w:val="es-ES_tradnl"/>
        </w:rPr>
        <w:t xml:space="preserve"> Punto de Intercambio de Tráfico Bolivia, </w:t>
      </w:r>
      <w:hyperlink r:id="rId20" w:history="1">
        <w:r w:rsidRPr="004F29F5">
          <w:rPr>
            <w:rStyle w:val="Hyperlink"/>
            <w:lang w:val="es-ES_tradnl"/>
          </w:rPr>
          <w:t>http://www.pit.bo/index.php/en/trafico</w:t>
        </w:r>
      </w:hyperlink>
      <w:r w:rsidRPr="004F29F5">
        <w:rPr>
          <w:rStyle w:val="Hyperlink"/>
          <w:lang w:val="es-ES_tradnl"/>
        </w:rPr>
        <w:t>.</w:t>
      </w:r>
    </w:p>
  </w:endnote>
  <w:endnote w:id="32">
    <w:p w:rsidR="003554A3" w:rsidRPr="004F29F5" w:rsidRDefault="003554A3" w:rsidP="004C1B41">
      <w:pPr>
        <w:pStyle w:val="EndnoteText"/>
        <w:rPr>
          <w:lang w:val="es-ES_tradnl"/>
        </w:rPr>
      </w:pPr>
      <w:r w:rsidRPr="004F29F5">
        <w:rPr>
          <w:rStyle w:val="EndnoteReference"/>
          <w:lang w:val="es-ES_tradnl"/>
        </w:rPr>
        <w:endnoteRef/>
      </w:r>
      <w:r w:rsidRPr="004F29F5">
        <w:rPr>
          <w:lang w:val="es-ES_tradnl"/>
        </w:rPr>
        <w:t xml:space="preserve"> Véase más información sobre las iniciativas emprendidas en el marco del </w:t>
      </w:r>
      <w:r w:rsidRPr="004F29F5">
        <w:rPr>
          <w:i/>
          <w:iCs/>
          <w:lang w:val="es-ES_tradnl"/>
        </w:rPr>
        <w:t>Programa Nacional de Telecomunicaciones de Inclusión Social</w:t>
      </w:r>
      <w:r w:rsidRPr="004F29F5">
        <w:rPr>
          <w:lang w:val="es-ES_tradnl"/>
        </w:rPr>
        <w:t xml:space="preserve"> de Bolivia, en: </w:t>
      </w:r>
      <w:hyperlink r:id="rId21" w:history="1">
        <w:r w:rsidRPr="004F29F5">
          <w:rPr>
            <w:rStyle w:val="Hyperlink"/>
            <w:lang w:val="es-ES_tradnl"/>
          </w:rPr>
          <w:t>https://www.oopp.gob.bo/vmtel/index.php/informacion_institucional/content,1160.html</w:t>
        </w:r>
      </w:hyperlink>
    </w:p>
  </w:endnote>
  <w:endnote w:id="33">
    <w:p w:rsidR="003554A3" w:rsidRPr="004F29F5" w:rsidRDefault="003554A3" w:rsidP="00FF14BC">
      <w:pPr>
        <w:pStyle w:val="EndnoteText"/>
        <w:rPr>
          <w:lang w:val="es-ES_tradnl"/>
        </w:rPr>
      </w:pPr>
      <w:r w:rsidRPr="004F29F5">
        <w:rPr>
          <w:rStyle w:val="EndnoteReference"/>
          <w:lang w:val="es-ES_tradnl"/>
        </w:rPr>
        <w:endnoteRef/>
      </w:r>
      <w:r w:rsidRPr="004F29F5">
        <w:rPr>
          <w:lang w:val="es-ES_tradnl"/>
        </w:rPr>
        <w:t xml:space="preserve"> Véase, por ejemplo, Facebook (2015) e ISOC (2015). En ambos informes se destaca que el acceso/infraestructura, el contenido y la asequibilidad son obstáculos esenciales al acceso a las TIC y su utilización.</w:t>
      </w:r>
    </w:p>
  </w:endnote>
  <w:endnote w:id="34">
    <w:p w:rsidR="003554A3" w:rsidRPr="004F29F5" w:rsidRDefault="003554A3" w:rsidP="00FF14BC">
      <w:pPr>
        <w:pStyle w:val="EndnoteText"/>
        <w:rPr>
          <w:lang w:val="es-ES_tradnl"/>
        </w:rPr>
      </w:pPr>
      <w:r w:rsidRPr="004F29F5">
        <w:rPr>
          <w:rStyle w:val="EndnoteReference"/>
          <w:lang w:val="es-ES_tradnl"/>
        </w:rPr>
        <w:endnoteRef/>
      </w:r>
      <w:r w:rsidRPr="004F29F5">
        <w:rPr>
          <w:lang w:val="es-ES_tradnl"/>
        </w:rPr>
        <w:t xml:space="preserve"> Para el análisis se ha elegido la banda ancha móvil para dispositivos móviles de pago previo porque es el servicio de banda ancha móvil que ofrece el mayor potencial de desarrollo. Efectivamente, las suscripciones para teléfonos móviles están mucho más generalizadas que la</w:t>
      </w:r>
      <w:r>
        <w:rPr>
          <w:lang w:val="es-ES_tradnl"/>
        </w:rPr>
        <w:t>s</w:t>
      </w:r>
      <w:r w:rsidRPr="004F29F5">
        <w:rPr>
          <w:lang w:val="es-ES_tradnl"/>
        </w:rPr>
        <w:t xml:space="preserve"> suscripciones para dispositivos informáticos, y la mayoría de las suscripciones para dispositivos móviles en el mundo son de pago previo. De esto se desprende que la asequibilidad de los servicios de banda ancha móvil para dispositivos móviles de pago previo será un factor favorable esencial de la repetición del </w:t>
      </w:r>
      <w:r>
        <w:rPr>
          <w:lang w:val="es-ES_tradnl"/>
        </w:rPr>
        <w:t>"</w:t>
      </w:r>
      <w:r w:rsidRPr="004F29F5">
        <w:rPr>
          <w:lang w:val="es-ES_tradnl"/>
        </w:rPr>
        <w:t>milagro móvil</w:t>
      </w:r>
      <w:r>
        <w:rPr>
          <w:lang w:val="es-ES_tradnl"/>
        </w:rPr>
        <w:t>"</w:t>
      </w:r>
      <w:r w:rsidRPr="004F29F5">
        <w:rPr>
          <w:lang w:val="es-ES_tradnl"/>
        </w:rPr>
        <w:t>, (es decir, la adopción masiva de servicios móviles celulares normales) en el sector de la banda ancha.</w:t>
      </w:r>
    </w:p>
    <w:p w:rsidR="003554A3" w:rsidRPr="004F29F5" w:rsidRDefault="003554A3" w:rsidP="003554A3">
      <w:pPr>
        <w:pStyle w:val="Reasons"/>
        <w:rPr>
          <w:lang w:val="es-ES_tradnl"/>
        </w:rPr>
      </w:pPr>
    </w:p>
    <w:p w:rsidR="003554A3" w:rsidRPr="004F29F5" w:rsidRDefault="003554A3" w:rsidP="007E0A36">
      <w:pPr>
        <w:jc w:val="center"/>
        <w:rPr>
          <w:lang w:val="es-ES_tradnl"/>
        </w:rPr>
      </w:pPr>
      <w:r w:rsidRPr="004F29F5">
        <w:rPr>
          <w:lang w:val="es-ES_tradnl"/>
        </w:rPr>
        <w:t>______________</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plified Arabic">
    <w:panose1 w:val="02020603050405020304"/>
    <w:charset w:val="00"/>
    <w:family w:val="roman"/>
    <w:pitch w:val="variable"/>
    <w:sig w:usb0="00002003" w:usb1="00000000" w:usb2="00000000" w:usb3="00000000" w:csb0="00000041" w:csb1="00000000"/>
  </w:font>
  <w:font w:name="SimHei">
    <w:altName w:val="黑体"/>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MyriadPro-Light">
    <w:altName w:val="MS Gothic"/>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4A3" w:rsidRPr="008641AA" w:rsidRDefault="003554A3" w:rsidP="008641AA">
    <w:pPr>
      <w:pStyle w:val="Footer"/>
      <w:rPr>
        <w:sz w:val="16"/>
        <w:szCs w:val="16"/>
      </w:rPr>
    </w:pPr>
    <w:r w:rsidRPr="008641AA">
      <w:rPr>
        <w:sz w:val="16"/>
        <w:szCs w:val="16"/>
      </w:rPr>
      <w:fldChar w:fldCharType="begin"/>
    </w:r>
    <w:r w:rsidRPr="008641AA">
      <w:rPr>
        <w:sz w:val="16"/>
        <w:szCs w:val="16"/>
      </w:rPr>
      <w:instrText xml:space="preserve"> FILENAME \p  \* MERGEFORMAT </w:instrText>
    </w:r>
    <w:r w:rsidRPr="008641AA">
      <w:rPr>
        <w:sz w:val="16"/>
        <w:szCs w:val="16"/>
      </w:rPr>
      <w:fldChar w:fldCharType="separate"/>
    </w:r>
    <w:r w:rsidRPr="008641AA">
      <w:rPr>
        <w:noProof/>
        <w:sz w:val="16"/>
        <w:szCs w:val="16"/>
      </w:rPr>
      <w:t>P:\ESP\ITU-D\CONF-D\RPMS\AMS\000\006S.docx</w:t>
    </w:r>
    <w:r w:rsidRPr="008641AA">
      <w:rPr>
        <w:noProof/>
        <w:sz w:val="16"/>
        <w:szCs w:val="16"/>
      </w:rPr>
      <w:fldChar w:fldCharType="end"/>
    </w:r>
    <w:r w:rsidRPr="008641AA">
      <w:rPr>
        <w:noProof/>
        <w:sz w:val="16"/>
        <w:szCs w:val="16"/>
      </w:rPr>
      <w:t xml:space="preserve"> (405369)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5" w:type="dxa"/>
      <w:tblLayout w:type="fixed"/>
      <w:tblLook w:val="04A0" w:firstRow="1" w:lastRow="0" w:firstColumn="1" w:lastColumn="0" w:noHBand="0" w:noVBand="1"/>
    </w:tblPr>
    <w:tblGrid>
      <w:gridCol w:w="1276"/>
      <w:gridCol w:w="2661"/>
      <w:gridCol w:w="5138"/>
    </w:tblGrid>
    <w:tr w:rsidR="003554A3" w:rsidRPr="00A32FCB" w:rsidTr="003554A3">
      <w:tc>
        <w:tcPr>
          <w:tcW w:w="1276" w:type="dxa"/>
          <w:tcBorders>
            <w:top w:val="single" w:sz="4" w:space="0" w:color="auto"/>
          </w:tcBorders>
        </w:tcPr>
        <w:p w:rsidR="003554A3" w:rsidRPr="00E332D0" w:rsidRDefault="003554A3" w:rsidP="003554A3">
          <w:pPr>
            <w:pStyle w:val="FirstFooter"/>
            <w:tabs>
              <w:tab w:val="left" w:pos="1559"/>
              <w:tab w:val="left" w:pos="3828"/>
            </w:tabs>
            <w:spacing w:before="0" w:line="276" w:lineRule="auto"/>
            <w:rPr>
              <w:sz w:val="18"/>
              <w:szCs w:val="18"/>
              <w:lang w:val="en-US"/>
            </w:rPr>
          </w:pPr>
          <w:r w:rsidRPr="00E332D0">
            <w:rPr>
              <w:sz w:val="18"/>
              <w:szCs w:val="18"/>
              <w:lang w:val="en-US"/>
            </w:rPr>
            <w:t>Contact</w:t>
          </w:r>
          <w:r>
            <w:rPr>
              <w:sz w:val="18"/>
              <w:szCs w:val="18"/>
              <w:lang w:val="en-US"/>
            </w:rPr>
            <w:t>o</w:t>
          </w:r>
          <w:r w:rsidRPr="00E332D0">
            <w:rPr>
              <w:sz w:val="18"/>
              <w:szCs w:val="18"/>
              <w:lang w:val="en-US"/>
            </w:rPr>
            <w:t>:</w:t>
          </w:r>
        </w:p>
      </w:tc>
      <w:tc>
        <w:tcPr>
          <w:tcW w:w="2661" w:type="dxa"/>
          <w:tcBorders>
            <w:top w:val="single" w:sz="4" w:space="0" w:color="auto"/>
          </w:tcBorders>
          <w:hideMark/>
        </w:tcPr>
        <w:p w:rsidR="003554A3" w:rsidRPr="00E332D0" w:rsidRDefault="003554A3" w:rsidP="003554A3">
          <w:pPr>
            <w:pStyle w:val="FirstFooter"/>
            <w:tabs>
              <w:tab w:val="left" w:pos="2302"/>
            </w:tabs>
            <w:spacing w:before="0" w:line="276" w:lineRule="auto"/>
            <w:rPr>
              <w:sz w:val="18"/>
              <w:szCs w:val="18"/>
              <w:lang w:val="en-US"/>
            </w:rPr>
          </w:pPr>
          <w:r w:rsidRPr="00AD64FF">
            <w:rPr>
              <w:sz w:val="18"/>
              <w:szCs w:val="18"/>
              <w:lang w:val="en-US"/>
            </w:rPr>
            <w:t>Nombre/organización/entidad:</w:t>
          </w:r>
        </w:p>
      </w:tc>
      <w:tc>
        <w:tcPr>
          <w:tcW w:w="5138" w:type="dxa"/>
          <w:tcBorders>
            <w:top w:val="single" w:sz="4" w:space="0" w:color="auto"/>
          </w:tcBorders>
          <w:hideMark/>
        </w:tcPr>
        <w:p w:rsidR="003554A3" w:rsidRPr="008823B3" w:rsidRDefault="003554A3" w:rsidP="003554A3">
          <w:pPr>
            <w:pStyle w:val="FirstFooter"/>
            <w:tabs>
              <w:tab w:val="left" w:pos="2302"/>
            </w:tabs>
            <w:spacing w:before="0" w:line="276" w:lineRule="auto"/>
            <w:rPr>
              <w:sz w:val="18"/>
              <w:szCs w:val="18"/>
              <w:lang w:val="es-ES_tradnl"/>
            </w:rPr>
          </w:pPr>
          <w:r w:rsidRPr="008823B3">
            <w:rPr>
              <w:sz w:val="18"/>
              <w:szCs w:val="18"/>
              <w:lang w:val="es-ES_tradnl"/>
            </w:rPr>
            <w:t>Sr. Cosmas Zavazava, Jefe del Departamento de Proyectos y Gestión del Conocimiento (PKM), BDT</w:t>
          </w:r>
        </w:p>
      </w:tc>
    </w:tr>
    <w:tr w:rsidR="003554A3" w:rsidTr="003554A3">
      <w:tc>
        <w:tcPr>
          <w:tcW w:w="1276" w:type="dxa"/>
        </w:tcPr>
        <w:p w:rsidR="003554A3" w:rsidRPr="008823B3" w:rsidRDefault="003554A3" w:rsidP="003554A3">
          <w:pPr>
            <w:pStyle w:val="FirstFooter"/>
            <w:tabs>
              <w:tab w:val="left" w:pos="1559"/>
              <w:tab w:val="left" w:pos="3828"/>
            </w:tabs>
            <w:spacing w:before="0" w:line="276" w:lineRule="auto"/>
            <w:rPr>
              <w:sz w:val="18"/>
              <w:szCs w:val="18"/>
              <w:lang w:val="es-ES_tradnl"/>
            </w:rPr>
          </w:pPr>
        </w:p>
      </w:tc>
      <w:tc>
        <w:tcPr>
          <w:tcW w:w="2661" w:type="dxa"/>
          <w:hideMark/>
        </w:tcPr>
        <w:p w:rsidR="003554A3" w:rsidRPr="00E332D0" w:rsidRDefault="003554A3" w:rsidP="003554A3">
          <w:pPr>
            <w:pStyle w:val="FirstFooter"/>
            <w:tabs>
              <w:tab w:val="left" w:pos="2302"/>
            </w:tabs>
            <w:spacing w:before="0" w:line="276" w:lineRule="auto"/>
            <w:rPr>
              <w:sz w:val="18"/>
              <w:szCs w:val="18"/>
              <w:lang w:val="en-US"/>
            </w:rPr>
          </w:pPr>
          <w:r w:rsidRPr="00AD64FF">
            <w:rPr>
              <w:sz w:val="18"/>
              <w:szCs w:val="18"/>
              <w:lang w:val="en-US"/>
            </w:rPr>
            <w:t>Teléfono</w:t>
          </w:r>
          <w:r w:rsidRPr="00E332D0">
            <w:rPr>
              <w:sz w:val="18"/>
              <w:szCs w:val="18"/>
              <w:lang w:val="en-US"/>
            </w:rPr>
            <w:t>:</w:t>
          </w:r>
        </w:p>
      </w:tc>
      <w:tc>
        <w:tcPr>
          <w:tcW w:w="5138" w:type="dxa"/>
          <w:hideMark/>
        </w:tcPr>
        <w:p w:rsidR="003554A3" w:rsidRPr="00E332D0" w:rsidRDefault="003554A3" w:rsidP="003554A3">
          <w:pPr>
            <w:pStyle w:val="FirstFooter"/>
            <w:tabs>
              <w:tab w:val="left" w:pos="2302"/>
            </w:tabs>
            <w:spacing w:before="0" w:line="276" w:lineRule="auto"/>
            <w:rPr>
              <w:sz w:val="18"/>
              <w:szCs w:val="18"/>
            </w:rPr>
          </w:pPr>
          <w:r w:rsidRPr="00E332D0">
            <w:rPr>
              <w:sz w:val="18"/>
              <w:szCs w:val="18"/>
            </w:rPr>
            <w:t>+41 22 7305447</w:t>
          </w:r>
        </w:p>
      </w:tc>
    </w:tr>
    <w:tr w:rsidR="003554A3" w:rsidTr="003554A3">
      <w:tc>
        <w:tcPr>
          <w:tcW w:w="1276" w:type="dxa"/>
        </w:tcPr>
        <w:p w:rsidR="003554A3" w:rsidRPr="00E332D0" w:rsidRDefault="003554A3" w:rsidP="003554A3">
          <w:pPr>
            <w:pStyle w:val="FirstFooter"/>
            <w:tabs>
              <w:tab w:val="left" w:pos="1559"/>
              <w:tab w:val="left" w:pos="3828"/>
            </w:tabs>
            <w:spacing w:before="0" w:line="276" w:lineRule="auto"/>
            <w:rPr>
              <w:sz w:val="18"/>
              <w:szCs w:val="18"/>
              <w:lang w:val="en-US"/>
            </w:rPr>
          </w:pPr>
        </w:p>
      </w:tc>
      <w:tc>
        <w:tcPr>
          <w:tcW w:w="2661" w:type="dxa"/>
          <w:hideMark/>
        </w:tcPr>
        <w:p w:rsidR="003554A3" w:rsidRPr="00E332D0" w:rsidRDefault="003554A3" w:rsidP="003554A3">
          <w:pPr>
            <w:pStyle w:val="FirstFooter"/>
            <w:tabs>
              <w:tab w:val="left" w:pos="2302"/>
            </w:tabs>
            <w:spacing w:before="0" w:line="276" w:lineRule="auto"/>
            <w:rPr>
              <w:sz w:val="18"/>
              <w:szCs w:val="18"/>
              <w:lang w:val="en-US"/>
            </w:rPr>
          </w:pPr>
          <w:r w:rsidRPr="00AD64FF">
            <w:rPr>
              <w:sz w:val="18"/>
              <w:szCs w:val="18"/>
              <w:lang w:val="en-US"/>
            </w:rPr>
            <w:t>Correo-e</w:t>
          </w:r>
          <w:r w:rsidRPr="00E332D0">
            <w:rPr>
              <w:sz w:val="18"/>
              <w:szCs w:val="18"/>
              <w:lang w:val="en-US"/>
            </w:rPr>
            <w:t>:</w:t>
          </w:r>
        </w:p>
      </w:tc>
      <w:tc>
        <w:tcPr>
          <w:tcW w:w="5138" w:type="dxa"/>
          <w:hideMark/>
        </w:tcPr>
        <w:p w:rsidR="003554A3" w:rsidRPr="00E332D0" w:rsidRDefault="00A32FCB" w:rsidP="003554A3">
          <w:pPr>
            <w:pStyle w:val="FirstFooter"/>
            <w:tabs>
              <w:tab w:val="left" w:pos="2302"/>
            </w:tabs>
            <w:spacing w:before="0" w:line="276" w:lineRule="auto"/>
            <w:rPr>
              <w:sz w:val="18"/>
              <w:szCs w:val="18"/>
            </w:rPr>
          </w:pPr>
          <w:hyperlink r:id="rId1" w:history="1">
            <w:r w:rsidR="003554A3" w:rsidRPr="00E332D0">
              <w:rPr>
                <w:rStyle w:val="Hyperlink"/>
                <w:sz w:val="18"/>
                <w:szCs w:val="18"/>
              </w:rPr>
              <w:t>cosmas.zavazava@itu.int</w:t>
            </w:r>
          </w:hyperlink>
          <w:r w:rsidR="003554A3" w:rsidRPr="00E332D0">
            <w:rPr>
              <w:sz w:val="18"/>
              <w:szCs w:val="18"/>
            </w:rPr>
            <w:t xml:space="preserve"> </w:t>
          </w:r>
        </w:p>
      </w:tc>
    </w:tr>
  </w:tbl>
  <w:p w:rsidR="003554A3" w:rsidRPr="00AD64FF" w:rsidRDefault="00A32FCB" w:rsidP="003554A3">
    <w:pPr>
      <w:jc w:val="center"/>
      <w:rPr>
        <w:sz w:val="20"/>
      </w:rPr>
    </w:pPr>
    <w:hyperlink r:id="rId2" w:history="1">
      <w:r w:rsidR="003554A3" w:rsidRPr="00AD64FF">
        <w:rPr>
          <w:rStyle w:val="Hyperlink"/>
          <w:rFonts w:eastAsia="SimSun"/>
          <w:sz w:val="20"/>
        </w:rPr>
        <w:t>http://www.itu.int/go/es/wtdc17rpm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4A3" w:rsidRDefault="003554A3" w:rsidP="000A39FD">
      <w:pPr>
        <w:spacing w:before="0"/>
      </w:pPr>
      <w:r>
        <w:separator/>
      </w:r>
    </w:p>
  </w:footnote>
  <w:footnote w:type="continuationSeparator" w:id="0">
    <w:p w:rsidR="003554A3" w:rsidRDefault="003554A3" w:rsidP="000A39FD">
      <w:pPr>
        <w:spacing w:before="0"/>
      </w:pPr>
      <w:r>
        <w:continuationSeparator/>
      </w:r>
    </w:p>
  </w:footnote>
  <w:footnote w:id="1">
    <w:p w:rsidR="003554A3" w:rsidRPr="00BB0BCF" w:rsidRDefault="003554A3" w:rsidP="00FF14BC">
      <w:pPr>
        <w:pStyle w:val="FootnoteText"/>
        <w:rPr>
          <w:color w:val="000000" w:themeColor="text1"/>
          <w:lang w:val="es-ES_tradnl"/>
        </w:rPr>
      </w:pPr>
      <w:r w:rsidRPr="00BB0BCF">
        <w:rPr>
          <w:rStyle w:val="FootnoteReference"/>
          <w:color w:val="000000" w:themeColor="text1"/>
          <w:lang w:val="es-ES_tradnl"/>
        </w:rPr>
        <w:footnoteRef/>
      </w:r>
      <w:r w:rsidRPr="00BB0BCF">
        <w:rPr>
          <w:color w:val="000000" w:themeColor="text1"/>
          <w:lang w:val="es-ES_tradnl"/>
        </w:rPr>
        <w:t xml:space="preserve"> </w:t>
      </w:r>
      <w:r>
        <w:rPr>
          <w:color w:val="000000" w:themeColor="text1"/>
          <w:lang w:val="es-ES_tradnl"/>
        </w:rPr>
        <w:t>Documento preparado para la Reunión Preparatoria Regional (RPR) de la UIT para las Américas, 22 a 24 de febrero de 2017, Asunción (Paraguay). Se basa en datos y análisis de "</w:t>
      </w:r>
      <w:r w:rsidRPr="0036757E">
        <w:rPr>
          <w:color w:val="000000" w:themeColor="text1"/>
          <w:lang w:val="es-ES_tradnl"/>
        </w:rPr>
        <w:t>Hechos y cifras de las TIC 2016</w:t>
      </w:r>
      <w:r>
        <w:rPr>
          <w:color w:val="000000" w:themeColor="text1"/>
          <w:lang w:val="es-ES_tradnl"/>
        </w:rPr>
        <w:t>"</w:t>
      </w:r>
      <w:r w:rsidRPr="0036757E">
        <w:rPr>
          <w:color w:val="000000" w:themeColor="text1"/>
          <w:lang w:val="es-ES_tradnl"/>
        </w:rPr>
        <w:t xml:space="preserve"> de la UIT (UIT, 2016b), </w:t>
      </w:r>
      <w:r>
        <w:rPr>
          <w:color w:val="000000" w:themeColor="text1"/>
          <w:lang w:val="es-ES_tradnl"/>
        </w:rPr>
        <w:t xml:space="preserve">el </w:t>
      </w:r>
      <w:r w:rsidRPr="0036757E">
        <w:rPr>
          <w:color w:val="000000" w:themeColor="text1"/>
          <w:lang w:val="es-ES_tradnl"/>
        </w:rPr>
        <w:t xml:space="preserve">Informe </w:t>
      </w:r>
      <w:r>
        <w:rPr>
          <w:color w:val="000000" w:themeColor="text1"/>
          <w:lang w:val="es-ES_tradnl"/>
        </w:rPr>
        <w:t>"</w:t>
      </w:r>
      <w:r w:rsidRPr="0036757E">
        <w:rPr>
          <w:color w:val="000000" w:themeColor="text1"/>
          <w:lang w:val="es-ES_tradnl"/>
        </w:rPr>
        <w:t>Medición de la sociedad de la información 2016</w:t>
      </w:r>
      <w:r>
        <w:rPr>
          <w:color w:val="000000" w:themeColor="text1"/>
          <w:lang w:val="es-ES_tradnl"/>
        </w:rPr>
        <w:t>"</w:t>
      </w:r>
      <w:r w:rsidRPr="0036757E">
        <w:rPr>
          <w:color w:val="000000" w:themeColor="text1"/>
          <w:lang w:val="es-ES_tradnl"/>
        </w:rPr>
        <w:t xml:space="preserve"> (UIT, 2016a) y </w:t>
      </w:r>
      <w:r>
        <w:rPr>
          <w:color w:val="000000" w:themeColor="text1"/>
          <w:lang w:val="es-ES_tradnl"/>
        </w:rPr>
        <w:t>"</w:t>
      </w:r>
      <w:r w:rsidRPr="0036757E">
        <w:rPr>
          <w:color w:val="000000" w:themeColor="text1"/>
          <w:lang w:val="es-ES_tradnl"/>
        </w:rPr>
        <w:t>Tendencias en las Reformas de Telecomunicaciones</w:t>
      </w:r>
      <w:r>
        <w:rPr>
          <w:color w:val="000000" w:themeColor="text1"/>
          <w:lang w:val="es-ES_tradnl"/>
        </w:rPr>
        <w:t>"</w:t>
      </w:r>
      <w:r w:rsidRPr="0036757E">
        <w:rPr>
          <w:color w:val="000000" w:themeColor="text1"/>
          <w:lang w:val="es-ES_tradnl"/>
        </w:rPr>
        <w:t xml:space="preserve"> 2015 (UIT, 2015)</w:t>
      </w:r>
      <w:r w:rsidRPr="00BB0BCF">
        <w:rPr>
          <w:color w:val="000000" w:themeColor="text1"/>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4A3" w:rsidRPr="003554A3" w:rsidRDefault="003554A3" w:rsidP="003554A3">
    <w:pPr>
      <w:pStyle w:val="Header"/>
      <w:tabs>
        <w:tab w:val="clear" w:pos="4680"/>
        <w:tab w:val="center" w:pos="4395"/>
        <w:tab w:val="center" w:pos="6804"/>
        <w:tab w:val="right" w:pos="14459"/>
      </w:tabs>
      <w:spacing w:after="120"/>
      <w:rPr>
        <w:rFonts w:eastAsia="SimHei" w:cs="Simplified Arabic"/>
        <w:bCs/>
        <w:smallCaps/>
        <w:spacing w:val="24"/>
        <w:lang w:val="en-GB"/>
      </w:rPr>
    </w:pPr>
    <w:r>
      <w:tab/>
    </w:r>
    <w:r w:rsidRPr="008641AA">
      <w:rPr>
        <w:lang w:val="pt-PT"/>
      </w:rPr>
      <w:t>ITU-D/</w:t>
    </w:r>
    <w:r w:rsidRPr="003554A3">
      <w:rPr>
        <w:rFonts w:eastAsia="SimHei" w:cs="Simplified Arabic"/>
        <w:bCs/>
        <w:smallCaps/>
        <w:spacing w:val="24"/>
        <w:lang w:val="en-GB"/>
      </w:rPr>
      <w:t>RPM-AMS17/6-S</w:t>
    </w:r>
    <w:r w:rsidRPr="003554A3">
      <w:rPr>
        <w:rFonts w:eastAsia="SimHei" w:cs="Simplified Arabic"/>
        <w:bCs/>
        <w:smallCaps/>
        <w:spacing w:val="24"/>
        <w:lang w:val="en-GB"/>
      </w:rPr>
      <w:tab/>
    </w:r>
    <w:r w:rsidRPr="003554A3">
      <w:rPr>
        <w:rFonts w:eastAsia="SimHei" w:cs="Simplified Arabic"/>
        <w:bCs/>
        <w:smallCaps/>
        <w:spacing w:val="24"/>
        <w:lang w:val="en-GB"/>
      </w:rPr>
      <w:tab/>
    </w:r>
    <w:r w:rsidRPr="00AD64FF">
      <w:rPr>
        <w:rFonts w:eastAsia="SimHei" w:cs="Simplified Arabic"/>
        <w:bCs/>
        <w:smallCaps/>
        <w:spacing w:val="24"/>
        <w:lang w:val="en-GB"/>
      </w:rPr>
      <w:t>P</w:t>
    </w:r>
    <w:r>
      <w:rPr>
        <w:rFonts w:eastAsia="SimHei" w:cs="Simplified Arabic"/>
        <w:bCs/>
        <w:smallCaps/>
        <w:spacing w:val="24"/>
        <w:lang w:val="en-GB"/>
      </w:rPr>
      <w:t>ágina</w:t>
    </w:r>
    <w:r w:rsidRPr="00AD64FF">
      <w:rPr>
        <w:rFonts w:eastAsia="SimHei" w:cs="Simplified Arabic"/>
        <w:bCs/>
        <w:smallCaps/>
        <w:spacing w:val="24"/>
        <w:lang w:val="en-GB"/>
      </w:rPr>
      <w:t xml:space="preserve"> </w:t>
    </w:r>
    <w:sdt>
      <w:sdtPr>
        <w:rPr>
          <w:rFonts w:eastAsia="SimHei" w:cs="Simplified Arabic"/>
          <w:bCs/>
          <w:smallCaps/>
          <w:spacing w:val="24"/>
        </w:rPr>
        <w:id w:val="2142842732"/>
        <w:docPartObj>
          <w:docPartGallery w:val="Page Numbers (Top of Page)"/>
          <w:docPartUnique/>
        </w:docPartObj>
      </w:sdtPr>
      <w:sdtEndPr/>
      <w:sdtContent>
        <w:r>
          <w:rPr>
            <w:rFonts w:eastAsia="SimHei" w:cs="Simplified Arabic"/>
            <w:bCs/>
            <w:smallCaps/>
            <w:spacing w:val="24"/>
          </w:rPr>
          <w:fldChar w:fldCharType="begin"/>
        </w:r>
        <w:r w:rsidRPr="003554A3">
          <w:rPr>
            <w:rFonts w:eastAsia="SimHei" w:cs="Simplified Arabic"/>
            <w:bCs/>
            <w:smallCaps/>
            <w:spacing w:val="24"/>
            <w:lang w:val="en-GB"/>
          </w:rPr>
          <w:instrText xml:space="preserve"> PAGE   \* MERGEFORMAT </w:instrText>
        </w:r>
        <w:r>
          <w:rPr>
            <w:rFonts w:eastAsia="SimHei" w:cs="Simplified Arabic"/>
            <w:bCs/>
            <w:smallCaps/>
            <w:spacing w:val="24"/>
          </w:rPr>
          <w:fldChar w:fldCharType="separate"/>
        </w:r>
        <w:r w:rsidR="00A32FCB">
          <w:rPr>
            <w:rFonts w:eastAsia="SimHei" w:cs="Simplified Arabic"/>
            <w:bCs/>
            <w:smallCaps/>
            <w:noProof/>
            <w:spacing w:val="24"/>
            <w:lang w:val="en-GB"/>
          </w:rPr>
          <w:t>6</w:t>
        </w:r>
        <w:r>
          <w:rPr>
            <w:rFonts w:eastAsia="SimHei" w:cs="Simplified Arabic"/>
            <w:bCs/>
            <w:smallCaps/>
            <w:spacing w:val="24"/>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27C1A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72A4A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FB267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EE88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F42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EA74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2E37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64D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20AF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656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C575D8"/>
    <w:multiLevelType w:val="hybridMultilevel"/>
    <w:tmpl w:val="C3EE1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A83197"/>
    <w:multiLevelType w:val="multilevel"/>
    <w:tmpl w:val="0D802680"/>
    <w:numStyleLink w:val="ImportedStyle1"/>
  </w:abstractNum>
  <w:abstractNum w:abstractNumId="12" w15:restartNumberingAfterBreak="0">
    <w:nsid w:val="0A133ACC"/>
    <w:multiLevelType w:val="hybridMultilevel"/>
    <w:tmpl w:val="D70A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342924"/>
    <w:multiLevelType w:val="hybridMultilevel"/>
    <w:tmpl w:val="0D802680"/>
    <w:styleLink w:val="ImportedStyle1"/>
    <w:lvl w:ilvl="0" w:tplc="6428B5D8">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41E5E20">
      <w:start w:val="1"/>
      <w:numFmt w:val="lowerLetter"/>
      <w:lvlText w:val="%2."/>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494A0B9E">
      <w:start w:val="1"/>
      <w:numFmt w:val="lowerRoman"/>
      <w:lvlText w:val="%3."/>
      <w:lvlJc w:val="left"/>
      <w:pPr>
        <w:ind w:left="1800" w:hanging="2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0DE2DE08">
      <w:start w:val="1"/>
      <w:numFmt w:val="decimal"/>
      <w:lvlText w:val="%4."/>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8E247ABE">
      <w:start w:val="1"/>
      <w:numFmt w:val="lowerLetter"/>
      <w:lvlText w:val="%5."/>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7144A33C">
      <w:start w:val="1"/>
      <w:numFmt w:val="lowerRoman"/>
      <w:lvlText w:val="%6."/>
      <w:lvlJc w:val="left"/>
      <w:pPr>
        <w:ind w:left="3960" w:hanging="2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A336D772">
      <w:start w:val="1"/>
      <w:numFmt w:val="decimal"/>
      <w:lvlText w:val="%7."/>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E54AD9C6">
      <w:start w:val="1"/>
      <w:numFmt w:val="lowerLetter"/>
      <w:lvlText w:val="%8."/>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2614481C">
      <w:start w:val="1"/>
      <w:numFmt w:val="lowerRoman"/>
      <w:lvlText w:val="%9."/>
      <w:lvlJc w:val="left"/>
      <w:pPr>
        <w:ind w:left="6120" w:hanging="2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AF04FCA"/>
    <w:multiLevelType w:val="hybridMultilevel"/>
    <w:tmpl w:val="9BF69E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6" w15:restartNumberingAfterBreak="0">
    <w:nsid w:val="15CC654B"/>
    <w:multiLevelType w:val="hybridMultilevel"/>
    <w:tmpl w:val="86D61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8427B0"/>
    <w:multiLevelType w:val="hybridMultilevel"/>
    <w:tmpl w:val="EA487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2F6A69"/>
    <w:multiLevelType w:val="hybridMultilevel"/>
    <w:tmpl w:val="020A7C9E"/>
    <w:lvl w:ilvl="0" w:tplc="46D854B0">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A2C0F9C"/>
    <w:multiLevelType w:val="hybridMultilevel"/>
    <w:tmpl w:val="CCCC42DA"/>
    <w:lvl w:ilvl="0" w:tplc="342242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F657D0A"/>
    <w:multiLevelType w:val="hybridMultilevel"/>
    <w:tmpl w:val="89D40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8C69EB"/>
    <w:multiLevelType w:val="hybridMultilevel"/>
    <w:tmpl w:val="45426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9B1EC3"/>
    <w:multiLevelType w:val="hybridMultilevel"/>
    <w:tmpl w:val="5B3A26A0"/>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C00C5D"/>
    <w:multiLevelType w:val="hybridMultilevel"/>
    <w:tmpl w:val="95AC62BA"/>
    <w:lvl w:ilvl="0" w:tplc="054A316A">
      <w:start w:val="1"/>
      <w:numFmt w:val="decimal"/>
      <w:pStyle w:val="Heading2"/>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E4169C2"/>
    <w:multiLevelType w:val="hybridMultilevel"/>
    <w:tmpl w:val="2E0C1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9F6AD7"/>
    <w:multiLevelType w:val="hybridMultilevel"/>
    <w:tmpl w:val="2D20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F24A4E"/>
    <w:multiLevelType w:val="hybridMultilevel"/>
    <w:tmpl w:val="D1CE8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0026A3"/>
    <w:multiLevelType w:val="hybridMultilevel"/>
    <w:tmpl w:val="04C20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73621C"/>
    <w:multiLevelType w:val="hybridMultilevel"/>
    <w:tmpl w:val="279CE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4D1B3A"/>
    <w:multiLevelType w:val="hybridMultilevel"/>
    <w:tmpl w:val="4DCE5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19"/>
  </w:num>
  <w:num w:numId="4">
    <w:abstractNumId w:val="12"/>
  </w:num>
  <w:num w:numId="5">
    <w:abstractNumId w:val="26"/>
  </w:num>
  <w:num w:numId="6">
    <w:abstractNumId w:val="29"/>
  </w:num>
  <w:num w:numId="7">
    <w:abstractNumId w:val="17"/>
  </w:num>
  <w:num w:numId="8">
    <w:abstractNumId w:val="25"/>
  </w:num>
  <w:num w:numId="9">
    <w:abstractNumId w:val="27"/>
  </w:num>
  <w:num w:numId="10">
    <w:abstractNumId w:val="24"/>
  </w:num>
  <w:num w:numId="11">
    <w:abstractNumId w:val="20"/>
  </w:num>
  <w:num w:numId="12">
    <w:abstractNumId w:val="28"/>
  </w:num>
  <w:num w:numId="13">
    <w:abstractNumId w:val="21"/>
  </w:num>
  <w:num w:numId="14">
    <w:abstractNumId w:val="23"/>
  </w:num>
  <w:num w:numId="15">
    <w:abstractNumId w:val="14"/>
  </w:num>
  <w:num w:numId="16">
    <w:abstractNumId w:val="10"/>
  </w:num>
  <w:num w:numId="17">
    <w:abstractNumId w:val="13"/>
  </w:num>
  <w:num w:numId="18">
    <w:abstractNumId w:val="11"/>
  </w:num>
  <w:num w:numId="19">
    <w:abstractNumId w:val="15"/>
  </w:num>
  <w:num w:numId="20">
    <w:abstractNumId w:val="18"/>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9FD"/>
    <w:rsid w:val="00017CAF"/>
    <w:rsid w:val="00044709"/>
    <w:rsid w:val="00055FA5"/>
    <w:rsid w:val="00077DB4"/>
    <w:rsid w:val="000A39FD"/>
    <w:rsid w:val="000A77EF"/>
    <w:rsid w:val="000C451F"/>
    <w:rsid w:val="000C5DD8"/>
    <w:rsid w:val="000C6BC3"/>
    <w:rsid w:val="000D2A07"/>
    <w:rsid w:val="00124F94"/>
    <w:rsid w:val="001B746F"/>
    <w:rsid w:val="001D0DF1"/>
    <w:rsid w:val="001F7D41"/>
    <w:rsid w:val="00213869"/>
    <w:rsid w:val="00253BA9"/>
    <w:rsid w:val="0026702E"/>
    <w:rsid w:val="00274B03"/>
    <w:rsid w:val="002805FB"/>
    <w:rsid w:val="002C28E4"/>
    <w:rsid w:val="002C693B"/>
    <w:rsid w:val="002D003C"/>
    <w:rsid w:val="002E567D"/>
    <w:rsid w:val="00326AA6"/>
    <w:rsid w:val="00332216"/>
    <w:rsid w:val="00337FCA"/>
    <w:rsid w:val="003554A3"/>
    <w:rsid w:val="00360A8E"/>
    <w:rsid w:val="003C0647"/>
    <w:rsid w:val="003C2FE4"/>
    <w:rsid w:val="00442022"/>
    <w:rsid w:val="00457697"/>
    <w:rsid w:val="00473E01"/>
    <w:rsid w:val="00474503"/>
    <w:rsid w:val="00486665"/>
    <w:rsid w:val="004C1B41"/>
    <w:rsid w:val="004C1C61"/>
    <w:rsid w:val="004C22B2"/>
    <w:rsid w:val="004C365C"/>
    <w:rsid w:val="004F29F5"/>
    <w:rsid w:val="00500757"/>
    <w:rsid w:val="0051426F"/>
    <w:rsid w:val="00523104"/>
    <w:rsid w:val="00531C12"/>
    <w:rsid w:val="005476B5"/>
    <w:rsid w:val="00557256"/>
    <w:rsid w:val="00557DE8"/>
    <w:rsid w:val="00587094"/>
    <w:rsid w:val="005C5C87"/>
    <w:rsid w:val="005E4D6B"/>
    <w:rsid w:val="0060426E"/>
    <w:rsid w:val="00617E77"/>
    <w:rsid w:val="006712E0"/>
    <w:rsid w:val="006751CA"/>
    <w:rsid w:val="006A0C02"/>
    <w:rsid w:val="006D4CB7"/>
    <w:rsid w:val="007078A2"/>
    <w:rsid w:val="007238C3"/>
    <w:rsid w:val="0075560F"/>
    <w:rsid w:val="00770788"/>
    <w:rsid w:val="00793AC1"/>
    <w:rsid w:val="007E0A36"/>
    <w:rsid w:val="007F2082"/>
    <w:rsid w:val="0080021C"/>
    <w:rsid w:val="0082703E"/>
    <w:rsid w:val="00841310"/>
    <w:rsid w:val="00845C7E"/>
    <w:rsid w:val="008641AA"/>
    <w:rsid w:val="00887EA7"/>
    <w:rsid w:val="008B75D5"/>
    <w:rsid w:val="008B7AF3"/>
    <w:rsid w:val="00912282"/>
    <w:rsid w:val="00923E6B"/>
    <w:rsid w:val="009A30C4"/>
    <w:rsid w:val="009C692C"/>
    <w:rsid w:val="009D7998"/>
    <w:rsid w:val="00A10AFD"/>
    <w:rsid w:val="00A32FCB"/>
    <w:rsid w:val="00A55685"/>
    <w:rsid w:val="00AB0974"/>
    <w:rsid w:val="00AC715F"/>
    <w:rsid w:val="00AD008D"/>
    <w:rsid w:val="00AE42AE"/>
    <w:rsid w:val="00B015D8"/>
    <w:rsid w:val="00B52F47"/>
    <w:rsid w:val="00B9022D"/>
    <w:rsid w:val="00C259F8"/>
    <w:rsid w:val="00C34D7C"/>
    <w:rsid w:val="00CE796C"/>
    <w:rsid w:val="00D203CB"/>
    <w:rsid w:val="00D60C43"/>
    <w:rsid w:val="00D80928"/>
    <w:rsid w:val="00D8478B"/>
    <w:rsid w:val="00D96645"/>
    <w:rsid w:val="00DA08B1"/>
    <w:rsid w:val="00DC761B"/>
    <w:rsid w:val="00DD2652"/>
    <w:rsid w:val="00DE2975"/>
    <w:rsid w:val="00DE6F5A"/>
    <w:rsid w:val="00E45B55"/>
    <w:rsid w:val="00E63F9A"/>
    <w:rsid w:val="00EA1E71"/>
    <w:rsid w:val="00EB471B"/>
    <w:rsid w:val="00EB7D0F"/>
    <w:rsid w:val="00ED1352"/>
    <w:rsid w:val="00F022F7"/>
    <w:rsid w:val="00F074DE"/>
    <w:rsid w:val="00F201B4"/>
    <w:rsid w:val="00F20A4A"/>
    <w:rsid w:val="00F2145B"/>
    <w:rsid w:val="00F23789"/>
    <w:rsid w:val="00FA6C21"/>
    <w:rsid w:val="00FC4A10"/>
    <w:rsid w:val="00FD10EE"/>
    <w:rsid w:val="00FD440D"/>
    <w:rsid w:val="00FD4BB2"/>
    <w:rsid w:val="00FF14B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042291-69E5-42CE-82D8-B2B9EBEA7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9FD"/>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Calibri" w:eastAsia="Times New Roman" w:hAnsi="Calibri" w:cs="Times New Roman"/>
      <w:sz w:val="24"/>
      <w:szCs w:val="20"/>
      <w:lang w:val="en-GB" w:eastAsia="en-US"/>
    </w:rPr>
  </w:style>
  <w:style w:type="paragraph" w:styleId="Heading1">
    <w:name w:val="heading 1"/>
    <w:basedOn w:val="Normal"/>
    <w:next w:val="Normal"/>
    <w:link w:val="Heading1Char"/>
    <w:qFormat/>
    <w:rsid w:val="000A39FD"/>
    <w:pPr>
      <w:keepNext/>
      <w:keepLines/>
      <w:tabs>
        <w:tab w:val="clear" w:pos="794"/>
        <w:tab w:val="clear" w:pos="1191"/>
        <w:tab w:val="clear" w:pos="1588"/>
        <w:tab w:val="clear" w:pos="1985"/>
      </w:tabs>
      <w:overflowPunct/>
      <w:autoSpaceDE/>
      <w:autoSpaceDN/>
      <w:adjustRightInd/>
      <w:spacing w:before="480" w:line="276" w:lineRule="auto"/>
      <w:textAlignment w:val="auto"/>
      <w:outlineLvl w:val="0"/>
    </w:pPr>
    <w:rPr>
      <w:rFonts w:asciiTheme="majorHAnsi" w:eastAsiaTheme="majorEastAsia" w:hAnsiTheme="majorHAnsi" w:cstheme="majorBidi"/>
      <w:b/>
      <w:bCs/>
      <w:color w:val="2E74B5" w:themeColor="accent1" w:themeShade="BF"/>
      <w:sz w:val="28"/>
      <w:szCs w:val="28"/>
      <w:lang w:val="en-US" w:bidi="en-US"/>
    </w:rPr>
  </w:style>
  <w:style w:type="paragraph" w:styleId="Heading2">
    <w:name w:val="heading 2"/>
    <w:basedOn w:val="Normal"/>
    <w:next w:val="Normal"/>
    <w:link w:val="Heading2Char"/>
    <w:uiPriority w:val="9"/>
    <w:unhideWhenUsed/>
    <w:qFormat/>
    <w:rsid w:val="000A39FD"/>
    <w:pPr>
      <w:keepNext/>
      <w:keepLines/>
      <w:numPr>
        <w:numId w:val="14"/>
      </w:numPr>
      <w:tabs>
        <w:tab w:val="clear" w:pos="794"/>
        <w:tab w:val="clear" w:pos="1191"/>
        <w:tab w:val="clear" w:pos="1588"/>
        <w:tab w:val="clear" w:pos="1985"/>
      </w:tabs>
      <w:overflowPunct/>
      <w:autoSpaceDE/>
      <w:autoSpaceDN/>
      <w:adjustRightInd/>
      <w:spacing w:before="200" w:line="276" w:lineRule="auto"/>
      <w:textAlignment w:val="auto"/>
      <w:outlineLvl w:val="1"/>
    </w:pPr>
    <w:rPr>
      <w:rFonts w:asciiTheme="minorHAnsi" w:eastAsiaTheme="majorEastAsia" w:hAnsiTheme="minorHAnsi" w:cstheme="majorBidi"/>
      <w:b/>
      <w:bCs/>
      <w:color w:val="5B9BD5" w:themeColor="accent1"/>
      <w:sz w:val="26"/>
      <w:szCs w:val="26"/>
      <w:lang w:val="en-US" w:eastAsia="zh-CN"/>
    </w:rPr>
  </w:style>
  <w:style w:type="paragraph" w:styleId="Heading3">
    <w:name w:val="heading 3"/>
    <w:basedOn w:val="Normal"/>
    <w:next w:val="Normal"/>
    <w:link w:val="Heading3Char"/>
    <w:uiPriority w:val="9"/>
    <w:unhideWhenUsed/>
    <w:qFormat/>
    <w:rsid w:val="000A39FD"/>
    <w:pPr>
      <w:keepNext/>
      <w:keepLines/>
      <w:tabs>
        <w:tab w:val="clear" w:pos="794"/>
        <w:tab w:val="clear" w:pos="1191"/>
        <w:tab w:val="clear" w:pos="1588"/>
        <w:tab w:val="clear" w:pos="1985"/>
      </w:tabs>
      <w:overflowPunct/>
      <w:autoSpaceDE/>
      <w:autoSpaceDN/>
      <w:adjustRightInd/>
      <w:spacing w:before="200" w:line="276" w:lineRule="auto"/>
      <w:textAlignment w:val="auto"/>
      <w:outlineLvl w:val="2"/>
    </w:pPr>
    <w:rPr>
      <w:rFonts w:asciiTheme="majorHAnsi" w:eastAsiaTheme="majorEastAsia" w:hAnsiTheme="majorHAnsi" w:cstheme="majorBidi"/>
      <w:b/>
      <w:bCs/>
      <w:color w:val="5B9BD5" w:themeColor="accent1"/>
      <w:sz w:val="22"/>
      <w:szCs w:val="22"/>
      <w:lang w:val="en-US" w:eastAsia="zh-CN"/>
    </w:rPr>
  </w:style>
  <w:style w:type="paragraph" w:styleId="Heading4">
    <w:name w:val="heading 4"/>
    <w:basedOn w:val="Normal"/>
    <w:next w:val="Normal"/>
    <w:link w:val="Heading4Char"/>
    <w:uiPriority w:val="9"/>
    <w:unhideWhenUsed/>
    <w:qFormat/>
    <w:rsid w:val="000A39FD"/>
    <w:pPr>
      <w:keepNext/>
      <w:keepLines/>
      <w:tabs>
        <w:tab w:val="clear" w:pos="794"/>
        <w:tab w:val="clear" w:pos="1191"/>
        <w:tab w:val="clear" w:pos="1588"/>
        <w:tab w:val="clear" w:pos="1985"/>
      </w:tabs>
      <w:overflowPunct/>
      <w:autoSpaceDE/>
      <w:autoSpaceDN/>
      <w:adjustRightInd/>
      <w:spacing w:before="40" w:line="360" w:lineRule="auto"/>
      <w:textAlignment w:val="auto"/>
      <w:outlineLvl w:val="3"/>
    </w:pPr>
    <w:rPr>
      <w:rFonts w:asciiTheme="majorHAnsi" w:eastAsiaTheme="majorEastAsia" w:hAnsiTheme="majorHAnsi" w:cstheme="majorBidi"/>
      <w:i/>
      <w:iCs/>
      <w:color w:val="2E74B5" w:themeColor="accent1" w:themeShade="BF"/>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aliases w:val="CEO_Hyperlink"/>
    <w:rsid w:val="000A39FD"/>
    <w:rPr>
      <w:color w:val="0000FF"/>
      <w:u w:val="single"/>
    </w:rPr>
  </w:style>
  <w:style w:type="paragraph" w:customStyle="1" w:styleId="Headingb">
    <w:name w:val="Heading_b"/>
    <w:basedOn w:val="Normal"/>
    <w:next w:val="Normal"/>
    <w:rsid w:val="000A39FD"/>
    <w:pPr>
      <w:keepNext/>
      <w:spacing w:before="160"/>
    </w:pPr>
    <w:rPr>
      <w:b/>
    </w:rPr>
  </w:style>
  <w:style w:type="character" w:customStyle="1" w:styleId="Heading1Char">
    <w:name w:val="Heading 1 Char"/>
    <w:basedOn w:val="DefaultParagraphFont"/>
    <w:link w:val="Heading1"/>
    <w:uiPriority w:val="9"/>
    <w:rsid w:val="000A39FD"/>
    <w:rPr>
      <w:rFonts w:asciiTheme="majorHAnsi" w:eastAsiaTheme="majorEastAsia" w:hAnsiTheme="majorHAnsi" w:cstheme="majorBidi"/>
      <w:b/>
      <w:bCs/>
      <w:color w:val="2E74B5" w:themeColor="accent1" w:themeShade="BF"/>
      <w:sz w:val="28"/>
      <w:szCs w:val="28"/>
      <w:lang w:eastAsia="en-US" w:bidi="en-US"/>
    </w:rPr>
  </w:style>
  <w:style w:type="character" w:customStyle="1" w:styleId="Heading2Char">
    <w:name w:val="Heading 2 Char"/>
    <w:basedOn w:val="DefaultParagraphFont"/>
    <w:link w:val="Heading2"/>
    <w:uiPriority w:val="9"/>
    <w:rsid w:val="000A39FD"/>
    <w:rPr>
      <w:rFonts w:eastAsiaTheme="majorEastAsia" w:cstheme="majorBidi"/>
      <w:b/>
      <w:bCs/>
      <w:color w:val="5B9BD5" w:themeColor="accent1"/>
      <w:sz w:val="26"/>
      <w:szCs w:val="26"/>
    </w:rPr>
  </w:style>
  <w:style w:type="character" w:customStyle="1" w:styleId="Heading3Char">
    <w:name w:val="Heading 3 Char"/>
    <w:basedOn w:val="DefaultParagraphFont"/>
    <w:link w:val="Heading3"/>
    <w:uiPriority w:val="9"/>
    <w:rsid w:val="000A39FD"/>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0A39FD"/>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0A39FD"/>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Theme="minorHAnsi" w:eastAsiaTheme="minorEastAsia" w:hAnsiTheme="minorHAnsi" w:cstheme="minorBidi"/>
      <w:sz w:val="22"/>
      <w:szCs w:val="22"/>
      <w:lang w:val="en-US" w:eastAsia="zh-CN"/>
    </w:rPr>
  </w:style>
  <w:style w:type="paragraph" w:styleId="BalloonText">
    <w:name w:val="Balloon Text"/>
    <w:basedOn w:val="Normal"/>
    <w:link w:val="BalloonTextChar"/>
    <w:uiPriority w:val="99"/>
    <w:semiHidden/>
    <w:unhideWhenUsed/>
    <w:rsid w:val="000A39FD"/>
    <w:pPr>
      <w:tabs>
        <w:tab w:val="clear" w:pos="794"/>
        <w:tab w:val="clear" w:pos="1191"/>
        <w:tab w:val="clear" w:pos="1588"/>
        <w:tab w:val="clear" w:pos="1985"/>
      </w:tabs>
      <w:overflowPunct/>
      <w:autoSpaceDE/>
      <w:autoSpaceDN/>
      <w:adjustRightInd/>
      <w:spacing w:before="0"/>
      <w:textAlignment w:val="auto"/>
    </w:pPr>
    <w:rPr>
      <w:rFonts w:ascii="Tahoma" w:eastAsiaTheme="minorEastAsia" w:hAnsi="Tahoma" w:cs="Tahoma"/>
      <w:sz w:val="16"/>
      <w:szCs w:val="16"/>
      <w:lang w:val="en-US" w:eastAsia="zh-CN"/>
    </w:rPr>
  </w:style>
  <w:style w:type="character" w:customStyle="1" w:styleId="BalloonTextChar">
    <w:name w:val="Balloon Text Char"/>
    <w:basedOn w:val="DefaultParagraphFont"/>
    <w:link w:val="BalloonText"/>
    <w:uiPriority w:val="99"/>
    <w:semiHidden/>
    <w:rsid w:val="000A39FD"/>
    <w:rPr>
      <w:rFonts w:ascii="Tahoma" w:hAnsi="Tahoma" w:cs="Tahoma"/>
      <w:sz w:val="16"/>
      <w:szCs w:val="16"/>
    </w:rPr>
  </w:style>
  <w:style w:type="paragraph" w:styleId="FootnoteText">
    <w:name w:val="footnote text"/>
    <w:aliases w:val="ALTS FOOTNOTE,Schriftart: 9 pt,Schriftart: 10 pt,Schriftart: 8 pt,WB-Fuكnotentext,Footnote text,Footnote Text Char Char Char Char,Footnote Text Char Char,Footnote Text Char Char Char Char Char,Char,Fußnotentext Char Char"/>
    <w:basedOn w:val="Normal"/>
    <w:link w:val="FootnoteTextChar"/>
    <w:uiPriority w:val="99"/>
    <w:qFormat/>
    <w:rsid w:val="000A39FD"/>
    <w:pPr>
      <w:tabs>
        <w:tab w:val="clear" w:pos="794"/>
        <w:tab w:val="clear" w:pos="1191"/>
        <w:tab w:val="clear" w:pos="1588"/>
        <w:tab w:val="clear" w:pos="1985"/>
      </w:tabs>
      <w:overflowPunct/>
      <w:autoSpaceDE/>
      <w:autoSpaceDN/>
      <w:adjustRightInd/>
      <w:spacing w:before="0"/>
      <w:textAlignment w:val="auto"/>
    </w:pPr>
    <w:rPr>
      <w:rFonts w:asciiTheme="minorHAnsi" w:eastAsia="SimSun" w:hAnsiTheme="minorHAnsi"/>
      <w:sz w:val="20"/>
      <w:lang w:eastAsia="zh-CN"/>
    </w:r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Char Char,Fußnotentext Char Char Char"/>
    <w:basedOn w:val="DefaultParagraphFont"/>
    <w:link w:val="FootnoteText"/>
    <w:uiPriority w:val="99"/>
    <w:rsid w:val="000A39FD"/>
    <w:rPr>
      <w:rFonts w:eastAsia="SimSun" w:cs="Times New Roman"/>
      <w:sz w:val="20"/>
      <w:szCs w:val="20"/>
      <w:lang w:val="en-GB"/>
    </w:rPr>
  </w:style>
  <w:style w:type="character" w:styleId="FootnoteReference">
    <w:name w:val="footnote reference"/>
    <w:aliases w:val="Footnote,Style 12,(NECG) Footnote Reference,FR,Style 13,Appel note de bas de p,Style 124,o,fr,Style 3,Footnote symbol,Voetnootverwijzing,Times 10 Point,Exposant 3 Point,footnote ref,Fuكnotenzeichen diss neu,Odwołanie przypisu"/>
    <w:basedOn w:val="DefaultParagraphFont"/>
    <w:rsid w:val="000A39FD"/>
    <w:rPr>
      <w:vertAlign w:val="superscript"/>
    </w:rPr>
  </w:style>
  <w:style w:type="paragraph" w:styleId="Title">
    <w:name w:val="Title"/>
    <w:basedOn w:val="Normal"/>
    <w:next w:val="Normal"/>
    <w:link w:val="TitleChar"/>
    <w:qFormat/>
    <w:rsid w:val="000A39FD"/>
    <w:pPr>
      <w:pBdr>
        <w:bottom w:val="single" w:sz="8" w:space="4" w:color="5B9BD5" w:themeColor="accent1"/>
      </w:pBdr>
      <w:tabs>
        <w:tab w:val="clear" w:pos="794"/>
        <w:tab w:val="clear" w:pos="1191"/>
        <w:tab w:val="clear" w:pos="1588"/>
        <w:tab w:val="clear" w:pos="1985"/>
      </w:tabs>
      <w:overflowPunct/>
      <w:autoSpaceDE/>
      <w:autoSpaceDN/>
      <w:adjustRightInd/>
      <w:spacing w:before="0" w:after="300"/>
      <w:contextualSpacing/>
      <w:textAlignment w:val="auto"/>
    </w:pPr>
    <w:rPr>
      <w:rFonts w:asciiTheme="majorHAnsi" w:eastAsiaTheme="majorEastAsia" w:hAnsiTheme="majorHAnsi" w:cstheme="majorBidi"/>
      <w:color w:val="323E4F" w:themeColor="text2" w:themeShade="BF"/>
      <w:spacing w:val="5"/>
      <w:kern w:val="28"/>
      <w:sz w:val="28"/>
      <w:szCs w:val="52"/>
      <w:lang w:eastAsia="zh-CN"/>
    </w:rPr>
  </w:style>
  <w:style w:type="character" w:customStyle="1" w:styleId="TitleChar">
    <w:name w:val="Title Char"/>
    <w:basedOn w:val="DefaultParagraphFont"/>
    <w:link w:val="Title"/>
    <w:rsid w:val="000A39FD"/>
    <w:rPr>
      <w:rFonts w:asciiTheme="majorHAnsi" w:eastAsiaTheme="majorEastAsia" w:hAnsiTheme="majorHAnsi" w:cstheme="majorBidi"/>
      <w:color w:val="323E4F" w:themeColor="text2" w:themeShade="BF"/>
      <w:spacing w:val="5"/>
      <w:kern w:val="28"/>
      <w:sz w:val="28"/>
      <w:szCs w:val="52"/>
      <w:lang w:val="en-GB"/>
    </w:rPr>
  </w:style>
  <w:style w:type="paragraph" w:styleId="Header">
    <w:name w:val="header"/>
    <w:basedOn w:val="Normal"/>
    <w:link w:val="HeaderChar"/>
    <w:uiPriority w:val="99"/>
    <w:unhideWhenUsed/>
    <w:rsid w:val="000A39FD"/>
    <w:pPr>
      <w:tabs>
        <w:tab w:val="clear" w:pos="794"/>
        <w:tab w:val="clear" w:pos="1191"/>
        <w:tab w:val="clear" w:pos="1588"/>
        <w:tab w:val="clear" w:pos="1985"/>
        <w:tab w:val="center" w:pos="4680"/>
        <w:tab w:val="right" w:pos="9360"/>
      </w:tabs>
      <w:overflowPunct/>
      <w:autoSpaceDE/>
      <w:autoSpaceDN/>
      <w:adjustRightInd/>
      <w:spacing w:before="0"/>
      <w:textAlignment w:val="auto"/>
    </w:pPr>
    <w:rPr>
      <w:rFonts w:asciiTheme="minorHAnsi" w:eastAsiaTheme="minorEastAsia" w:hAnsiTheme="minorHAnsi" w:cstheme="minorBidi"/>
      <w:sz w:val="22"/>
      <w:szCs w:val="22"/>
      <w:lang w:val="en-US" w:eastAsia="zh-CN"/>
    </w:rPr>
  </w:style>
  <w:style w:type="character" w:customStyle="1" w:styleId="HeaderChar">
    <w:name w:val="Header Char"/>
    <w:basedOn w:val="DefaultParagraphFont"/>
    <w:link w:val="Header"/>
    <w:uiPriority w:val="99"/>
    <w:rsid w:val="000A39FD"/>
  </w:style>
  <w:style w:type="paragraph" w:styleId="Footer">
    <w:name w:val="footer"/>
    <w:basedOn w:val="Normal"/>
    <w:link w:val="FooterChar"/>
    <w:uiPriority w:val="99"/>
    <w:unhideWhenUsed/>
    <w:rsid w:val="000A39FD"/>
    <w:pPr>
      <w:tabs>
        <w:tab w:val="clear" w:pos="794"/>
        <w:tab w:val="clear" w:pos="1191"/>
        <w:tab w:val="clear" w:pos="1588"/>
        <w:tab w:val="clear" w:pos="1985"/>
        <w:tab w:val="center" w:pos="4680"/>
        <w:tab w:val="right" w:pos="9360"/>
      </w:tabs>
      <w:overflowPunct/>
      <w:autoSpaceDE/>
      <w:autoSpaceDN/>
      <w:adjustRightInd/>
      <w:spacing w:before="0"/>
      <w:textAlignment w:val="auto"/>
    </w:pPr>
    <w:rPr>
      <w:rFonts w:asciiTheme="minorHAnsi" w:eastAsiaTheme="minorEastAsia" w:hAnsiTheme="minorHAnsi" w:cstheme="minorBidi"/>
      <w:sz w:val="22"/>
      <w:szCs w:val="22"/>
      <w:lang w:val="en-US" w:eastAsia="zh-CN"/>
    </w:rPr>
  </w:style>
  <w:style w:type="character" w:customStyle="1" w:styleId="FooterChar">
    <w:name w:val="Footer Char"/>
    <w:basedOn w:val="DefaultParagraphFont"/>
    <w:link w:val="Footer"/>
    <w:uiPriority w:val="99"/>
    <w:rsid w:val="000A39FD"/>
  </w:style>
  <w:style w:type="character" w:styleId="CommentReference">
    <w:name w:val="annotation reference"/>
    <w:basedOn w:val="DefaultParagraphFont"/>
    <w:uiPriority w:val="99"/>
    <w:semiHidden/>
    <w:unhideWhenUsed/>
    <w:rsid w:val="000A39FD"/>
    <w:rPr>
      <w:sz w:val="16"/>
      <w:szCs w:val="16"/>
    </w:rPr>
  </w:style>
  <w:style w:type="paragraph" w:styleId="CommentText">
    <w:name w:val="annotation text"/>
    <w:basedOn w:val="Normal"/>
    <w:link w:val="CommentTextChar"/>
    <w:uiPriority w:val="99"/>
    <w:semiHidden/>
    <w:unhideWhenUsed/>
    <w:rsid w:val="000A39FD"/>
    <w:pPr>
      <w:tabs>
        <w:tab w:val="clear" w:pos="794"/>
        <w:tab w:val="clear" w:pos="1191"/>
        <w:tab w:val="clear" w:pos="1588"/>
        <w:tab w:val="clear" w:pos="1985"/>
      </w:tabs>
      <w:overflowPunct/>
      <w:autoSpaceDE/>
      <w:autoSpaceDN/>
      <w:adjustRightInd/>
      <w:spacing w:before="0" w:after="200"/>
      <w:textAlignment w:val="auto"/>
    </w:pPr>
    <w:rPr>
      <w:rFonts w:asciiTheme="minorHAnsi" w:eastAsiaTheme="minorEastAsia" w:hAnsiTheme="minorHAnsi" w:cstheme="minorBidi"/>
      <w:sz w:val="20"/>
      <w:lang w:val="en-US" w:eastAsia="zh-CN"/>
    </w:rPr>
  </w:style>
  <w:style w:type="character" w:customStyle="1" w:styleId="CommentTextChar">
    <w:name w:val="Comment Text Char"/>
    <w:basedOn w:val="DefaultParagraphFont"/>
    <w:link w:val="CommentText"/>
    <w:uiPriority w:val="99"/>
    <w:semiHidden/>
    <w:rsid w:val="000A39FD"/>
    <w:rPr>
      <w:sz w:val="20"/>
      <w:szCs w:val="20"/>
    </w:rPr>
  </w:style>
  <w:style w:type="paragraph" w:styleId="CommentSubject">
    <w:name w:val="annotation subject"/>
    <w:basedOn w:val="CommentText"/>
    <w:next w:val="CommentText"/>
    <w:link w:val="CommentSubjectChar"/>
    <w:uiPriority w:val="99"/>
    <w:semiHidden/>
    <w:unhideWhenUsed/>
    <w:rsid w:val="000A39FD"/>
    <w:rPr>
      <w:b/>
      <w:bCs/>
    </w:rPr>
  </w:style>
  <w:style w:type="character" w:customStyle="1" w:styleId="CommentSubjectChar">
    <w:name w:val="Comment Subject Char"/>
    <w:basedOn w:val="CommentTextChar"/>
    <w:link w:val="CommentSubject"/>
    <w:uiPriority w:val="99"/>
    <w:semiHidden/>
    <w:rsid w:val="000A39FD"/>
    <w:rPr>
      <w:b/>
      <w:bCs/>
      <w:sz w:val="20"/>
      <w:szCs w:val="20"/>
    </w:rPr>
  </w:style>
  <w:style w:type="paragraph" w:styleId="NormalWeb">
    <w:name w:val="Normal (Web)"/>
    <w:basedOn w:val="Normal"/>
    <w:uiPriority w:val="99"/>
    <w:rsid w:val="000A39FD"/>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Theme="minorEastAsia" w:hAnsi="Verdana"/>
      <w:color w:val="000000"/>
      <w:sz w:val="18"/>
      <w:szCs w:val="18"/>
      <w:lang w:val="en-US" w:bidi="en-US"/>
    </w:rPr>
  </w:style>
  <w:style w:type="paragraph" w:styleId="EndnoteText">
    <w:name w:val="endnote text"/>
    <w:basedOn w:val="Normal"/>
    <w:link w:val="EndnoteTextChar"/>
    <w:uiPriority w:val="99"/>
    <w:rsid w:val="000A39FD"/>
    <w:pPr>
      <w:tabs>
        <w:tab w:val="clear" w:pos="794"/>
        <w:tab w:val="clear" w:pos="1191"/>
        <w:tab w:val="clear" w:pos="1588"/>
        <w:tab w:val="clear" w:pos="1985"/>
      </w:tabs>
      <w:overflowPunct/>
      <w:autoSpaceDE/>
      <w:autoSpaceDN/>
      <w:adjustRightInd/>
      <w:spacing w:before="0"/>
      <w:textAlignment w:val="auto"/>
    </w:pPr>
    <w:rPr>
      <w:rFonts w:asciiTheme="minorHAnsi" w:eastAsia="SimSun" w:hAnsiTheme="minorHAnsi"/>
      <w:sz w:val="20"/>
      <w:lang w:eastAsia="zh-CN"/>
    </w:rPr>
  </w:style>
  <w:style w:type="character" w:customStyle="1" w:styleId="EndnoteTextChar">
    <w:name w:val="Endnote Text Char"/>
    <w:basedOn w:val="DefaultParagraphFont"/>
    <w:link w:val="EndnoteText"/>
    <w:uiPriority w:val="99"/>
    <w:rsid w:val="000A39FD"/>
    <w:rPr>
      <w:rFonts w:eastAsia="SimSun" w:cs="Times New Roman"/>
      <w:sz w:val="20"/>
      <w:szCs w:val="20"/>
      <w:lang w:val="en-GB"/>
    </w:rPr>
  </w:style>
  <w:style w:type="character" w:styleId="EndnoteReference">
    <w:name w:val="endnote reference"/>
    <w:basedOn w:val="DefaultParagraphFont"/>
    <w:rsid w:val="000A39FD"/>
    <w:rPr>
      <w:vertAlign w:val="superscript"/>
    </w:rPr>
  </w:style>
  <w:style w:type="character" w:styleId="FollowedHyperlink">
    <w:name w:val="FollowedHyperlink"/>
    <w:basedOn w:val="DefaultParagraphFont"/>
    <w:uiPriority w:val="99"/>
    <w:semiHidden/>
    <w:unhideWhenUsed/>
    <w:rsid w:val="000A39FD"/>
    <w:rPr>
      <w:color w:val="954F72" w:themeColor="followedHyperlink"/>
      <w:u w:val="single"/>
    </w:rPr>
  </w:style>
  <w:style w:type="paragraph" w:styleId="BodyText">
    <w:name w:val="Body Text"/>
    <w:basedOn w:val="Normal"/>
    <w:link w:val="BodyTextChar"/>
    <w:rsid w:val="000A39FD"/>
    <w:pPr>
      <w:tabs>
        <w:tab w:val="clear" w:pos="794"/>
        <w:tab w:val="clear" w:pos="1191"/>
        <w:tab w:val="clear" w:pos="1588"/>
        <w:tab w:val="clear" w:pos="1985"/>
      </w:tabs>
      <w:suppressAutoHyphens/>
      <w:overflowPunct/>
      <w:autoSpaceDN/>
      <w:adjustRightInd/>
      <w:spacing w:before="0" w:after="120"/>
      <w:textAlignment w:val="auto"/>
    </w:pPr>
    <w:rPr>
      <w:rFonts w:ascii="Times New Roman" w:hAnsi="Times New Roman"/>
      <w:szCs w:val="24"/>
      <w:lang w:val="en-US" w:eastAsia="ar-SA"/>
    </w:rPr>
  </w:style>
  <w:style w:type="character" w:customStyle="1" w:styleId="BodyTextChar">
    <w:name w:val="Body Text Char"/>
    <w:basedOn w:val="DefaultParagraphFont"/>
    <w:link w:val="BodyText"/>
    <w:rsid w:val="000A39FD"/>
    <w:rPr>
      <w:rFonts w:ascii="Times New Roman" w:eastAsia="Times New Roman" w:hAnsi="Times New Roman" w:cs="Times New Roman"/>
      <w:sz w:val="24"/>
      <w:szCs w:val="24"/>
      <w:lang w:eastAsia="ar-SA"/>
    </w:rPr>
  </w:style>
  <w:style w:type="paragraph" w:customStyle="1" w:styleId="BasicParagraph">
    <w:name w:val="[Basic Paragraph]"/>
    <w:basedOn w:val="Normal"/>
    <w:rsid w:val="000A39FD"/>
    <w:pPr>
      <w:tabs>
        <w:tab w:val="clear" w:pos="794"/>
        <w:tab w:val="clear" w:pos="1191"/>
        <w:tab w:val="clear" w:pos="1588"/>
        <w:tab w:val="clear" w:pos="1985"/>
      </w:tabs>
      <w:suppressAutoHyphens/>
      <w:overflowPunct/>
      <w:spacing w:before="0" w:line="288" w:lineRule="auto"/>
      <w:textAlignment w:val="center"/>
    </w:pPr>
    <w:rPr>
      <w:rFonts w:ascii="Arial" w:eastAsia="SimSun" w:hAnsi="Arial" w:cs="Arial"/>
      <w:color w:val="006195"/>
      <w:sz w:val="26"/>
      <w:szCs w:val="26"/>
      <w:lang w:eastAsia="zh-CN"/>
    </w:rPr>
  </w:style>
  <w:style w:type="paragraph" w:styleId="Revision">
    <w:name w:val="Revision"/>
    <w:hidden/>
    <w:uiPriority w:val="99"/>
    <w:semiHidden/>
    <w:rsid w:val="000A39FD"/>
    <w:pPr>
      <w:spacing w:after="0" w:line="240" w:lineRule="auto"/>
    </w:pPr>
  </w:style>
  <w:style w:type="paragraph" w:customStyle="1" w:styleId="CEONormal">
    <w:name w:val="CEO_Normal"/>
    <w:link w:val="CEONormalChar"/>
    <w:rsid w:val="000A39FD"/>
    <w:pPr>
      <w:spacing w:before="120" w:after="120" w:line="240" w:lineRule="auto"/>
    </w:pPr>
    <w:rPr>
      <w:rFonts w:ascii="Calibri" w:eastAsia="SimSun" w:hAnsi="Calibri" w:cs="Simplified Arabic"/>
      <w:szCs w:val="19"/>
      <w:lang w:val="en-GB" w:eastAsia="en-US"/>
    </w:rPr>
  </w:style>
  <w:style w:type="character" w:customStyle="1" w:styleId="CEONormalChar">
    <w:name w:val="CEO_Normal Char"/>
    <w:basedOn w:val="DefaultParagraphFont"/>
    <w:link w:val="CEONormal"/>
    <w:rsid w:val="000A39FD"/>
    <w:rPr>
      <w:rFonts w:ascii="Calibri" w:eastAsia="SimSun" w:hAnsi="Calibri" w:cs="Simplified Arabic"/>
      <w:szCs w:val="19"/>
      <w:lang w:val="en-GB" w:eastAsia="en-US"/>
    </w:rPr>
  </w:style>
  <w:style w:type="paragraph" w:customStyle="1" w:styleId="CEOForAction">
    <w:name w:val="CEO_ForAction"/>
    <w:basedOn w:val="CEONormal"/>
    <w:next w:val="CEOSourceTitle"/>
    <w:rsid w:val="000A39FD"/>
    <w:pPr>
      <w:spacing w:before="160"/>
      <w:ind w:left="1593"/>
    </w:pPr>
    <w:rPr>
      <w:b/>
      <w:bCs/>
      <w:iCs/>
    </w:rPr>
  </w:style>
  <w:style w:type="paragraph" w:customStyle="1" w:styleId="CEOSourceTitle">
    <w:name w:val="CEO_Source_Title"/>
    <w:basedOn w:val="CEONormal"/>
    <w:rsid w:val="000A39FD"/>
    <w:pPr>
      <w:spacing w:before="0"/>
    </w:pPr>
    <w:rPr>
      <w:b/>
      <w:bCs/>
    </w:rPr>
  </w:style>
  <w:style w:type="paragraph" w:customStyle="1" w:styleId="CEODocDates">
    <w:name w:val="CEO_DocDates"/>
    <w:basedOn w:val="CEONormal"/>
    <w:next w:val="CEOOriginalLanguage"/>
    <w:rsid w:val="000A39FD"/>
    <w:pPr>
      <w:spacing w:before="0" w:after="0"/>
    </w:pPr>
    <w:rPr>
      <w:b/>
      <w:bCs/>
    </w:rPr>
  </w:style>
  <w:style w:type="paragraph" w:customStyle="1" w:styleId="CEOOriginalLanguage">
    <w:name w:val="CEO_OriginalLanguage"/>
    <w:basedOn w:val="CEONormal"/>
    <w:next w:val="CEONormal"/>
    <w:rsid w:val="000A39FD"/>
    <w:rPr>
      <w:b/>
      <w:bCs/>
    </w:rPr>
  </w:style>
  <w:style w:type="paragraph" w:customStyle="1" w:styleId="CEODocNo">
    <w:name w:val="CEO_DocNo"/>
    <w:basedOn w:val="CEONormal"/>
    <w:next w:val="CEODocDates"/>
    <w:rsid w:val="000A39FD"/>
    <w:pPr>
      <w:spacing w:before="0" w:after="0"/>
    </w:pPr>
    <w:rPr>
      <w:b/>
      <w:bCs/>
    </w:rPr>
  </w:style>
  <w:style w:type="paragraph" w:customStyle="1" w:styleId="CEOMeetingDates">
    <w:name w:val="CEO_MeetingDates"/>
    <w:basedOn w:val="CEONormal"/>
    <w:rsid w:val="000A39FD"/>
    <w:pPr>
      <w:spacing w:before="0" w:after="40"/>
    </w:pPr>
    <w:rPr>
      <w:b/>
      <w:bCs/>
      <w:sz w:val="24"/>
    </w:rPr>
  </w:style>
  <w:style w:type="paragraph" w:customStyle="1" w:styleId="CEOMeetingName">
    <w:name w:val="CEO_MeetingName"/>
    <w:rsid w:val="000A39FD"/>
    <w:pPr>
      <w:spacing w:after="0" w:line="240" w:lineRule="auto"/>
    </w:pPr>
    <w:rPr>
      <w:rFonts w:ascii="Calibri" w:eastAsia="SimSun" w:hAnsi="Calibri" w:cs="Simplified Arabic"/>
      <w:b/>
      <w:bCs/>
      <w:sz w:val="24"/>
      <w:szCs w:val="19"/>
      <w:lang w:val="en-GB" w:eastAsia="en-US"/>
    </w:rPr>
  </w:style>
  <w:style w:type="paragraph" w:customStyle="1" w:styleId="CEOSectorName">
    <w:name w:val="CEO_SectorName"/>
    <w:rsid w:val="000A39FD"/>
    <w:pPr>
      <w:spacing w:after="0" w:line="240" w:lineRule="auto"/>
    </w:pPr>
    <w:rPr>
      <w:rFonts w:ascii="Calibri" w:eastAsia="SimHei" w:hAnsi="Calibri" w:cs="Simplified Arabic"/>
      <w:b/>
      <w:sz w:val="32"/>
      <w:szCs w:val="28"/>
      <w:lang w:val="en-GB" w:eastAsia="en-US"/>
    </w:rPr>
  </w:style>
  <w:style w:type="paragraph" w:customStyle="1" w:styleId="CEOSourceTitleDetails">
    <w:name w:val="CEO_SourceTitleDetails"/>
    <w:basedOn w:val="CEOSourceTitle"/>
    <w:rsid w:val="000A39FD"/>
    <w:pPr>
      <w:spacing w:before="120"/>
    </w:pPr>
    <w:rPr>
      <w:b w:val="0"/>
      <w:bCs w:val="0"/>
    </w:rPr>
  </w:style>
  <w:style w:type="paragraph" w:customStyle="1" w:styleId="CEOLogo">
    <w:name w:val="CEO_Logo"/>
    <w:basedOn w:val="CEONormal"/>
    <w:rsid w:val="000A39FD"/>
    <w:pPr>
      <w:spacing w:before="0" w:after="0"/>
      <w:jc w:val="right"/>
    </w:pPr>
  </w:style>
  <w:style w:type="paragraph" w:customStyle="1" w:styleId="CEOSpace">
    <w:name w:val="CEO_Space"/>
    <w:rsid w:val="000A39FD"/>
    <w:pPr>
      <w:spacing w:after="0" w:line="240" w:lineRule="auto"/>
    </w:pPr>
    <w:rPr>
      <w:rFonts w:ascii="Verdana" w:eastAsia="SimHei" w:hAnsi="Verdana" w:cs="Simplified Arabic"/>
      <w:sz w:val="19"/>
      <w:szCs w:val="19"/>
      <w:lang w:val="en-GB" w:eastAsia="en-US"/>
    </w:rPr>
  </w:style>
  <w:style w:type="paragraph" w:customStyle="1" w:styleId="CEOFooterContact2-3">
    <w:name w:val="CEO_FooterContact2-3"/>
    <w:basedOn w:val="CEONormal"/>
    <w:rsid w:val="000A39FD"/>
    <w:pPr>
      <w:spacing w:before="0" w:after="0"/>
      <w:ind w:left="1276" w:hanging="1275"/>
    </w:pPr>
    <w:rPr>
      <w:sz w:val="18"/>
      <w:szCs w:val="16"/>
    </w:rPr>
  </w:style>
  <w:style w:type="paragraph" w:customStyle="1" w:styleId="CEOFooterContact1">
    <w:name w:val="CEO_FooterContact1"/>
    <w:basedOn w:val="CEOFooterContact2-3"/>
    <w:next w:val="CEOFooterContact2-3"/>
    <w:rsid w:val="000A39FD"/>
    <w:pPr>
      <w:pBdr>
        <w:top w:val="single" w:sz="4" w:space="1" w:color="auto"/>
      </w:pBdr>
    </w:pPr>
  </w:style>
  <w:style w:type="paragraph" w:styleId="TOCHeading">
    <w:name w:val="TOC Heading"/>
    <w:basedOn w:val="Heading1"/>
    <w:next w:val="Normal"/>
    <w:uiPriority w:val="39"/>
    <w:unhideWhenUsed/>
    <w:qFormat/>
    <w:rsid w:val="000A39FD"/>
    <w:pPr>
      <w:outlineLvl w:val="9"/>
    </w:pPr>
    <w:rPr>
      <w:lang w:bidi="ar-SA"/>
    </w:rPr>
  </w:style>
  <w:style w:type="paragraph" w:styleId="TOC1">
    <w:name w:val="toc 1"/>
    <w:basedOn w:val="Normal"/>
    <w:next w:val="Normal"/>
    <w:autoRedefine/>
    <w:uiPriority w:val="39"/>
    <w:unhideWhenUsed/>
    <w:rsid w:val="000A39FD"/>
    <w:pPr>
      <w:tabs>
        <w:tab w:val="clear" w:pos="794"/>
        <w:tab w:val="clear" w:pos="1191"/>
        <w:tab w:val="clear" w:pos="1588"/>
        <w:tab w:val="clear" w:pos="1985"/>
      </w:tabs>
      <w:overflowPunct/>
      <w:autoSpaceDE/>
      <w:autoSpaceDN/>
      <w:adjustRightInd/>
      <w:spacing w:before="0" w:after="100" w:line="276" w:lineRule="auto"/>
      <w:textAlignment w:val="auto"/>
    </w:pPr>
    <w:rPr>
      <w:rFonts w:asciiTheme="minorHAnsi" w:eastAsiaTheme="minorEastAsia" w:hAnsiTheme="minorHAnsi" w:cstheme="minorBidi"/>
      <w:sz w:val="22"/>
      <w:szCs w:val="22"/>
      <w:lang w:val="en-US" w:eastAsia="zh-CN"/>
    </w:rPr>
  </w:style>
  <w:style w:type="paragraph" w:styleId="TOC2">
    <w:name w:val="toc 2"/>
    <w:basedOn w:val="Normal"/>
    <w:next w:val="Normal"/>
    <w:autoRedefine/>
    <w:uiPriority w:val="39"/>
    <w:unhideWhenUsed/>
    <w:rsid w:val="000A39FD"/>
    <w:pPr>
      <w:tabs>
        <w:tab w:val="clear" w:pos="794"/>
        <w:tab w:val="clear" w:pos="1191"/>
        <w:tab w:val="clear" w:pos="1588"/>
        <w:tab w:val="clear" w:pos="1985"/>
      </w:tabs>
      <w:overflowPunct/>
      <w:autoSpaceDE/>
      <w:autoSpaceDN/>
      <w:adjustRightInd/>
      <w:spacing w:before="0" w:after="100" w:line="276" w:lineRule="auto"/>
      <w:ind w:left="220"/>
      <w:textAlignment w:val="auto"/>
    </w:pPr>
    <w:rPr>
      <w:rFonts w:asciiTheme="minorHAnsi" w:eastAsiaTheme="minorEastAsia" w:hAnsiTheme="minorHAnsi" w:cstheme="minorBidi"/>
      <w:sz w:val="22"/>
      <w:szCs w:val="22"/>
      <w:lang w:val="en-US" w:eastAsia="zh-CN"/>
    </w:rPr>
  </w:style>
  <w:style w:type="character" w:customStyle="1" w:styleId="st1">
    <w:name w:val="st1"/>
    <w:basedOn w:val="DefaultParagraphFont"/>
    <w:rsid w:val="000A39FD"/>
  </w:style>
  <w:style w:type="character" w:customStyle="1" w:styleId="ccmtdefault">
    <w:name w:val="ccmtdefault"/>
    <w:basedOn w:val="DefaultParagraphFont"/>
    <w:rsid w:val="000A39FD"/>
  </w:style>
  <w:style w:type="table" w:styleId="TableGrid">
    <w:name w:val="Table Grid"/>
    <w:basedOn w:val="TableNormal"/>
    <w:rsid w:val="000A3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0A39FD"/>
    <w:pPr>
      <w:tabs>
        <w:tab w:val="clear" w:pos="794"/>
        <w:tab w:val="clear" w:pos="1191"/>
        <w:tab w:val="clear" w:pos="1588"/>
        <w:tab w:val="clear" w:pos="1985"/>
      </w:tabs>
      <w:overflowPunct/>
      <w:autoSpaceDE/>
      <w:autoSpaceDN/>
      <w:adjustRightInd/>
      <w:spacing w:before="0" w:after="100" w:line="276" w:lineRule="auto"/>
      <w:ind w:left="440"/>
      <w:textAlignment w:val="auto"/>
    </w:pPr>
    <w:rPr>
      <w:rFonts w:asciiTheme="minorHAnsi" w:eastAsiaTheme="minorEastAsia" w:hAnsiTheme="minorHAnsi" w:cstheme="minorBidi"/>
      <w:sz w:val="22"/>
      <w:szCs w:val="22"/>
      <w:lang w:val="en-US" w:eastAsia="zh-CN"/>
    </w:rPr>
  </w:style>
  <w:style w:type="paragraph" w:customStyle="1" w:styleId="Pa2">
    <w:name w:val="Pa2"/>
    <w:basedOn w:val="Normal"/>
    <w:next w:val="Normal"/>
    <w:rsid w:val="000A39FD"/>
    <w:pPr>
      <w:tabs>
        <w:tab w:val="clear" w:pos="794"/>
        <w:tab w:val="clear" w:pos="1191"/>
        <w:tab w:val="clear" w:pos="1588"/>
        <w:tab w:val="clear" w:pos="1985"/>
      </w:tabs>
      <w:overflowPunct/>
      <w:spacing w:before="0" w:line="211" w:lineRule="atLeast"/>
      <w:textAlignment w:val="auto"/>
    </w:pPr>
    <w:rPr>
      <w:rFonts w:ascii="Calibri Light" w:eastAsiaTheme="minorEastAsia" w:hAnsi="Calibri Light" w:cstheme="minorBidi"/>
      <w:szCs w:val="24"/>
      <w:lang w:val="en-US" w:eastAsia="zh-CN"/>
    </w:rPr>
  </w:style>
  <w:style w:type="paragraph" w:customStyle="1" w:styleId="Body">
    <w:name w:val="Body"/>
    <w:rsid w:val="000A39FD"/>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paragraph" w:customStyle="1" w:styleId="Heading">
    <w:name w:val="Heading"/>
    <w:next w:val="Body"/>
    <w:rsid w:val="000A39FD"/>
    <w:pPr>
      <w:keepNext/>
      <w:keepLines/>
      <w:pBdr>
        <w:top w:val="nil"/>
        <w:left w:val="nil"/>
        <w:bottom w:val="nil"/>
        <w:right w:val="nil"/>
        <w:between w:val="nil"/>
        <w:bar w:val="nil"/>
      </w:pBdr>
      <w:spacing w:before="480" w:after="0" w:line="276" w:lineRule="auto"/>
      <w:outlineLvl w:val="3"/>
    </w:pPr>
    <w:rPr>
      <w:rFonts w:ascii="Cambria" w:eastAsia="Cambria" w:hAnsi="Cambria" w:cs="Cambria"/>
      <w:b/>
      <w:bCs/>
      <w:color w:val="365F91"/>
      <w:sz w:val="28"/>
      <w:szCs w:val="28"/>
      <w:u w:color="365F91"/>
      <w:bdr w:val="nil"/>
    </w:rPr>
  </w:style>
  <w:style w:type="paragraph" w:customStyle="1" w:styleId="Source">
    <w:name w:val="Source"/>
    <w:rsid w:val="000A39FD"/>
    <w:pPr>
      <w:pBdr>
        <w:top w:val="nil"/>
        <w:left w:val="nil"/>
        <w:bottom w:val="nil"/>
        <w:right w:val="nil"/>
        <w:between w:val="nil"/>
        <w:bar w:val="nil"/>
      </w:pBdr>
      <w:spacing w:before="60" w:after="0" w:line="240" w:lineRule="auto"/>
      <w:outlineLvl w:val="4"/>
    </w:pPr>
    <w:rPr>
      <w:rFonts w:ascii="Calibri" w:eastAsia="Calibri" w:hAnsi="Calibri" w:cs="Calibri"/>
      <w:i/>
      <w:iCs/>
      <w:color w:val="000000"/>
      <w:sz w:val="18"/>
      <w:szCs w:val="18"/>
      <w:u w:color="000000"/>
      <w:bdr w:val="nil"/>
    </w:rPr>
  </w:style>
  <w:style w:type="numbering" w:customStyle="1" w:styleId="ImportedStyle1">
    <w:name w:val="Imported Style 1"/>
    <w:rsid w:val="000A39FD"/>
    <w:pPr>
      <w:numPr>
        <w:numId w:val="17"/>
      </w:numPr>
    </w:pPr>
  </w:style>
  <w:style w:type="character" w:customStyle="1" w:styleId="Link">
    <w:name w:val="Link"/>
    <w:rsid w:val="000A39FD"/>
    <w:rPr>
      <w:color w:val="0000FF"/>
      <w:u w:val="single" w:color="0000FF"/>
    </w:rPr>
  </w:style>
  <w:style w:type="character" w:customStyle="1" w:styleId="Hyperlink0">
    <w:name w:val="Hyperlink.0"/>
    <w:basedOn w:val="Link"/>
    <w:rsid w:val="000A39FD"/>
    <w:rPr>
      <w:color w:val="0000FF"/>
      <w:sz w:val="18"/>
      <w:szCs w:val="18"/>
      <w:u w:val="single" w:color="0000FF"/>
    </w:rPr>
  </w:style>
  <w:style w:type="character" w:customStyle="1" w:styleId="Hyperlink1">
    <w:name w:val="Hyperlink.1"/>
    <w:basedOn w:val="Link"/>
    <w:rsid w:val="000A39FD"/>
    <w:rPr>
      <w:color w:val="0000FF"/>
      <w:u w:val="single" w:color="0000FF"/>
      <w:lang w:val="fr-FR"/>
    </w:rPr>
  </w:style>
  <w:style w:type="character" w:customStyle="1" w:styleId="Hyperlink2">
    <w:name w:val="Hyperlink.2"/>
    <w:basedOn w:val="Link"/>
    <w:rsid w:val="000A39FD"/>
    <w:rPr>
      <w:color w:val="0000FF"/>
      <w:u w:val="single" w:color="0000FF"/>
      <w:lang w:val="en-US"/>
    </w:rPr>
  </w:style>
  <w:style w:type="character" w:customStyle="1" w:styleId="NormalaftertitleChar">
    <w:name w:val="Normal after title Char"/>
    <w:basedOn w:val="DefaultParagraphFont"/>
    <w:link w:val="Normalaftertitle"/>
    <w:locked/>
    <w:rsid w:val="000A39FD"/>
    <w:rPr>
      <w:sz w:val="24"/>
      <w:lang w:val="en-GB" w:eastAsia="en-US"/>
    </w:rPr>
  </w:style>
  <w:style w:type="paragraph" w:customStyle="1" w:styleId="Normalaftertitle">
    <w:name w:val="Normal after title"/>
    <w:basedOn w:val="Normal"/>
    <w:next w:val="Normal"/>
    <w:link w:val="NormalaftertitleChar"/>
    <w:rsid w:val="000A39FD"/>
    <w:pPr>
      <w:tabs>
        <w:tab w:val="clear" w:pos="794"/>
        <w:tab w:val="clear" w:pos="1191"/>
        <w:tab w:val="clear" w:pos="1588"/>
        <w:tab w:val="clear" w:pos="1985"/>
        <w:tab w:val="left" w:pos="1134"/>
        <w:tab w:val="left" w:pos="1871"/>
        <w:tab w:val="left" w:pos="2268"/>
      </w:tabs>
      <w:spacing w:before="280"/>
      <w:textAlignment w:val="auto"/>
    </w:pPr>
    <w:rPr>
      <w:rFonts w:asciiTheme="minorHAnsi" w:eastAsiaTheme="minorEastAsia" w:hAnsiTheme="minorHAnsi" w:cstheme="minorBidi"/>
      <w:szCs w:val="22"/>
    </w:rPr>
  </w:style>
  <w:style w:type="paragraph" w:customStyle="1" w:styleId="Title1">
    <w:name w:val="Title 1"/>
    <w:basedOn w:val="Source"/>
    <w:next w:val="Normal"/>
    <w:rsid w:val="000A39FD"/>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871"/>
        <w:tab w:val="left" w:pos="2268"/>
      </w:tabs>
      <w:overflowPunct w:val="0"/>
      <w:autoSpaceDE w:val="0"/>
      <w:autoSpaceDN w:val="0"/>
      <w:adjustRightInd w:val="0"/>
      <w:spacing w:before="240"/>
      <w:jc w:val="center"/>
      <w:outlineLvl w:val="9"/>
    </w:pPr>
    <w:rPr>
      <w:rFonts w:asciiTheme="minorHAnsi" w:eastAsia="Times New Roman" w:hAnsiTheme="minorHAnsi" w:cs="Times New Roman"/>
      <w:i w:val="0"/>
      <w:iCs w:val="0"/>
      <w:caps/>
      <w:color w:val="auto"/>
      <w:sz w:val="28"/>
      <w:szCs w:val="20"/>
      <w:bdr w:val="none" w:sz="0" w:space="0" w:color="auto"/>
      <w:lang w:val="en-GB" w:eastAsia="en-US"/>
    </w:rPr>
  </w:style>
  <w:style w:type="paragraph" w:customStyle="1" w:styleId="Committee">
    <w:name w:val="Committee"/>
    <w:basedOn w:val="Normal"/>
    <w:qFormat/>
    <w:rsid w:val="000A39F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textAlignment w:val="auto"/>
    </w:pPr>
    <w:rPr>
      <w:rFonts w:asciiTheme="minorHAnsi" w:hAnsiTheme="minorHAnsi" w:cstheme="minorHAnsi"/>
      <w:b/>
      <w:szCs w:val="24"/>
    </w:rPr>
  </w:style>
  <w:style w:type="paragraph" w:customStyle="1" w:styleId="FirstFooter">
    <w:name w:val="FirstFooter"/>
    <w:basedOn w:val="Footer"/>
    <w:rsid w:val="000A39FD"/>
    <w:pPr>
      <w:tabs>
        <w:tab w:val="clear" w:pos="4680"/>
        <w:tab w:val="clear" w:pos="9360"/>
        <w:tab w:val="left" w:pos="1871"/>
      </w:tabs>
      <w:spacing w:before="40"/>
    </w:pPr>
    <w:rPr>
      <w:rFonts w:eastAsia="Times New Roman" w:cs="Times New Roman"/>
      <w:sz w:val="16"/>
      <w:szCs w:val="20"/>
      <w:lang w:val="en-GB" w:eastAsia="en-US"/>
    </w:rPr>
  </w:style>
  <w:style w:type="table" w:styleId="GridTable1Light-Accent1">
    <w:name w:val="Grid Table 1 Light Accent 1"/>
    <w:basedOn w:val="TableNormal"/>
    <w:uiPriority w:val="46"/>
    <w:rsid w:val="000A39F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Default">
    <w:name w:val="Default"/>
    <w:rsid w:val="000A39FD"/>
    <w:pPr>
      <w:autoSpaceDE w:val="0"/>
      <w:autoSpaceDN w:val="0"/>
      <w:adjustRightInd w:val="0"/>
      <w:spacing w:after="0" w:line="240" w:lineRule="auto"/>
    </w:pPr>
    <w:rPr>
      <w:rFonts w:ascii="Calibri Light" w:hAnsi="Calibri Light" w:cs="Calibri Light"/>
      <w:color w:val="000000"/>
      <w:sz w:val="24"/>
      <w:szCs w:val="24"/>
    </w:rPr>
  </w:style>
  <w:style w:type="paragraph" w:customStyle="1" w:styleId="Pa19">
    <w:name w:val="Pa19"/>
    <w:basedOn w:val="Default"/>
    <w:next w:val="Default"/>
    <w:uiPriority w:val="99"/>
    <w:rsid w:val="000A39FD"/>
    <w:pPr>
      <w:spacing w:line="211" w:lineRule="atLeast"/>
    </w:pPr>
    <w:rPr>
      <w:rFonts w:cstheme="minorBidi"/>
      <w:color w:val="auto"/>
    </w:rPr>
  </w:style>
  <w:style w:type="paragraph" w:customStyle="1" w:styleId="Enumlev">
    <w:name w:val="Enumlev"/>
    <w:basedOn w:val="Pa19"/>
    <w:rsid w:val="00253BA9"/>
    <w:pPr>
      <w:spacing w:line="240" w:lineRule="auto"/>
      <w:ind w:left="340" w:hanging="340"/>
    </w:pPr>
    <w:rPr>
      <w:rFonts w:ascii="Calibri" w:hAnsi="Calibri" w:cs="Calibri Light"/>
      <w:i/>
      <w:iCs/>
      <w:color w:val="000000"/>
      <w:sz w:val="22"/>
      <w:szCs w:val="22"/>
      <w:lang w:val="es-ES_tradnl"/>
    </w:rPr>
  </w:style>
  <w:style w:type="paragraph" w:customStyle="1" w:styleId="enumlev1">
    <w:name w:val="enumlev1"/>
    <w:basedOn w:val="Normal"/>
    <w:rsid w:val="00253BA9"/>
    <w:pPr>
      <w:spacing w:before="80"/>
      <w:ind w:left="794" w:hanging="794"/>
    </w:pPr>
    <w:rPr>
      <w:rFonts w:asciiTheme="minorHAnsi" w:hAnsiTheme="minorHAnsi"/>
      <w:lang w:val="es-ES_tradnl"/>
    </w:rPr>
  </w:style>
  <w:style w:type="paragraph" w:customStyle="1" w:styleId="FigureNotitle">
    <w:name w:val="Figure_No &amp; title"/>
    <w:basedOn w:val="Normal"/>
    <w:next w:val="Normal"/>
    <w:rsid w:val="001F7D41"/>
    <w:pPr>
      <w:keepLines/>
      <w:spacing w:before="240" w:after="120"/>
      <w:jc w:val="center"/>
    </w:pPr>
    <w:rPr>
      <w:rFonts w:asciiTheme="minorHAnsi" w:hAnsiTheme="minorHAnsi"/>
      <w:b/>
      <w:lang w:val="es-ES_tradnl"/>
    </w:rPr>
  </w:style>
  <w:style w:type="paragraph" w:customStyle="1" w:styleId="Reasons">
    <w:name w:val="Reasons"/>
    <w:basedOn w:val="Normal"/>
    <w:qFormat/>
    <w:rsid w:val="00EA1E71"/>
    <w:pPr>
      <w:tabs>
        <w:tab w:val="clear" w:pos="794"/>
        <w:tab w:val="clear" w:pos="1191"/>
        <w:tab w:val="clear" w:pos="1588"/>
        <w:tab w:val="clear" w:pos="1985"/>
      </w:tabs>
      <w:overflowPunct/>
      <w:autoSpaceDE/>
      <w:autoSpaceDN/>
      <w:adjustRightInd/>
      <w:spacing w:before="0"/>
      <w:textAlignment w:val="auto"/>
    </w:pPr>
    <w:rPr>
      <w:rFonts w:ascii="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hyperlink" Target="http://www.itu.int/itu-d/tnd-map-public/" TargetMode="External"/><Relationship Id="rId34" Type="http://schemas.openxmlformats.org/officeDocument/2006/relationships/image" Target="media/image25.png"/><Relationship Id="rId42" Type="http://schemas.openxmlformats.org/officeDocument/2006/relationships/chart" Target="charts/chart3.xml"/><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eeca-ict.eu/images/uploads/pdf/EECA_counires_reports_NEW/ICT-Env_Inno-policies_and_Inter-coop_report_KYRGYZSTAN.pdf" TargetMode="External"/><Relationship Id="rId63" Type="http://schemas.openxmlformats.org/officeDocument/2006/relationships/hyperlink" Target="http://www.itu.int/en/ITU-D/Conferences/GSR/Pages/GSR2016/Papers.aspx"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chart" Target="charts/chart2.xml"/><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yperlink" Target="https://www.itu.int/en/ITU-D/Statistics/Pages/publications/mis2014.aspx" TargetMode="External"/><Relationship Id="rId66" Type="http://schemas.openxmlformats.org/officeDocument/2006/relationships/hyperlink" Target="http://www.unescap.org/resources/depth-study-broadband-infrastructure-north-and-central-asi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chart" Target="charts/chart1.xml"/><Relationship Id="rId49" Type="http://schemas.openxmlformats.org/officeDocument/2006/relationships/image" Target="media/image37.png"/><Relationship Id="rId57" Type="http://schemas.openxmlformats.org/officeDocument/2006/relationships/hyperlink" Target="https://www.itu.int/dms_pub/itu-s/opb/conf/S-CONF-ACTF-2014-PDF-E.pdf" TargetMode="External"/><Relationship Id="rId61" Type="http://schemas.openxmlformats.org/officeDocument/2006/relationships/hyperlink" Target="https://www.itu.int/en/ITU-D/Statistics/Pages/facts/default.aspx"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40.emf"/><Relationship Id="rId60" Type="http://schemas.openxmlformats.org/officeDocument/2006/relationships/hyperlink" Target="https://www.itu.int/pub/D-PREF-TTR.16-2015" TargetMode="External"/><Relationship Id="rId65" Type="http://schemas.openxmlformats.org/officeDocument/2006/relationships/hyperlink" Target="http://www.itu.int/en/ITU-D/Conferences/GSR/Pages/GSR2016/Papers.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itu.int/en/ITU-D/Conferences/GSR/Pages/GSR2016/GDDFI.aspx" TargetMode="Externa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hyperlink" Target="https://www.itu.int/en/ITU-D/Statistics/Pages/publications/mis2009.aspx" TargetMode="External"/><Relationship Id="rId64" Type="http://schemas.openxmlformats.org/officeDocument/2006/relationships/hyperlink" Target="http://www.itu.int/en/ITU-D/Conferences/GSR/Pages/GSR2016/Papers.aspx" TargetMode="External"/><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4.emf"/><Relationship Id="rId59" Type="http://schemas.openxmlformats.org/officeDocument/2006/relationships/hyperlink" Target="http://www.itu.int/en/ITU-D/Statistics/Pages/publications/mis2015.aspx" TargetMode="External"/><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hyperlink" Target="https://www.itu.int/en/ITU-D/Conferences/GSR/Pages/GSR2016/Papers.aspx" TargetMode="External"/><Relationship Id="rId70"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statista.com/chart/4423/wearable-device-shipments-2015/" TargetMode="External"/><Relationship Id="rId13" Type="http://schemas.openxmlformats.org/officeDocument/2006/relationships/hyperlink" Target="http://www.gartner.com/newsroom/id/2867917" TargetMode="External"/><Relationship Id="rId18" Type="http://schemas.openxmlformats.org/officeDocument/2006/relationships/hyperlink" Target="http://www.ft.com/cms/s/0/61fe7820-e0e6-11e3-a934-00144feabdc0.html" TargetMode="External"/><Relationship Id="rId3" Type="http://schemas.openxmlformats.org/officeDocument/2006/relationships/hyperlink" Target="http://www.itu.int/en/ITU-D/Conferences/GSR/Pages/GSR2016/Papers.aspx" TargetMode="External"/><Relationship Id="rId21" Type="http://schemas.openxmlformats.org/officeDocument/2006/relationships/hyperlink" Target="https://www.oopp.gob.bo/vmtel/index.php/informacion_institucional/content,1160.html" TargetMode="External"/><Relationship Id="rId7" Type="http://schemas.openxmlformats.org/officeDocument/2006/relationships/hyperlink" Target="http://gsacom.com/press-release/gsa-confirms-4416-lte-user-devices-researches-new-bands/" TargetMode="External"/><Relationship Id="rId12" Type="http://schemas.openxmlformats.org/officeDocument/2006/relationships/hyperlink" Target="http://www.broadbandcommission.org/documents/reports/bb-annualreport2014.Pdf" TargetMode="External"/><Relationship Id="rId17" Type="http://schemas.openxmlformats.org/officeDocument/2006/relationships/hyperlink" Target="http://www.itu.int/en/ITU-D/Statistics/Pages/definitions/regions.aspx" TargetMode="External"/><Relationship Id="rId2" Type="http://schemas.openxmlformats.org/officeDocument/2006/relationships/hyperlink" Target="http://www.itu.int/en/ITU-D/Conferences/GSR/Pages/GSR2016/Papers.aspx" TargetMode="External"/><Relationship Id="rId16" Type="http://schemas.openxmlformats.org/officeDocument/2006/relationships/hyperlink" Target="http://www.itu.int/bestpractices" TargetMode="External"/><Relationship Id="rId20" Type="http://schemas.openxmlformats.org/officeDocument/2006/relationships/hyperlink" Target="http://www.pit.bo/index.php/en/trafico" TargetMode="External"/><Relationship Id="rId1" Type="http://schemas.openxmlformats.org/officeDocument/2006/relationships/hyperlink" Target="http://www.itu.int/en/ITU-D/Conferences/GSR/Pages/GSR2016/Papers.aspx" TargetMode="External"/><Relationship Id="rId6" Type="http://schemas.openxmlformats.org/officeDocument/2006/relationships/hyperlink" Target="http://ovum.com/knowledge-center/" TargetMode="External"/><Relationship Id="rId11" Type="http://schemas.openxmlformats.org/officeDocument/2006/relationships/hyperlink" Target="http://www.gartner.com/newsroom/id/3215217" TargetMode="External"/><Relationship Id="rId5" Type="http://schemas.openxmlformats.org/officeDocument/2006/relationships/hyperlink" Target="http://www.broadbandcommission.org/documents/reports/bb-annualreport2014.Pdf" TargetMode="External"/><Relationship Id="rId15" Type="http://schemas.openxmlformats.org/officeDocument/2006/relationships/hyperlink" Target="http://www.itu.int/bestpractices" TargetMode="External"/><Relationship Id="rId10" Type="http://schemas.openxmlformats.org/officeDocument/2006/relationships/hyperlink" Target="http://www.businessinsider.com/the-internet-of-things-market-growth-and-trends-2015-2" TargetMode="External"/><Relationship Id="rId19" Type="http://schemas.openxmlformats.org/officeDocument/2006/relationships/hyperlink" Target="http://www.telecomunicaciones.gob.ec/wp-content/uploads/downloads/2016/05/Ley-Org%C3%A1nica-de-Telecomunicaciones.pdf" TargetMode="External"/><Relationship Id="rId4" Type="http://schemas.openxmlformats.org/officeDocument/2006/relationships/hyperlink" Target="https://gsmaintelligence.com/research/?file=141208-5g.pdf&amp;download" TargetMode="External"/><Relationship Id="rId9" Type="http://schemas.openxmlformats.org/officeDocument/2006/relationships/hyperlink" Target="http://www.gartner.com/newsroom/id/2905717" TargetMode="External"/><Relationship Id="rId14" Type="http://schemas.openxmlformats.org/officeDocument/2006/relationships/hyperlink" Target="http://wearesocial.com/uk/special-reports/digital-in-2016"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tu.int/go/es/wtdc17rpm" TargetMode="External"/><Relationship Id="rId1" Type="http://schemas.openxmlformats.org/officeDocument/2006/relationships/hyperlink" Target="mailto:cosmas.zavazava@itu.in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okorna\Documents\_Vanessa_PRM%20Reports_20160524\Facts%20and%20Figures%202016%20all%20charts_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okorna\Documents\_Vanessa_PRM%20Reports_20160524\Facts%20and%20Figures%202016%20all%20charts_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file:///\\blue\dfs\bdt\INFS\CIS\2016\CIS_RPM_2016_2016062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4"/>
          <c:order val="0"/>
          <c:tx>
            <c:strRef>
              <c:f>'Page 7 Top Charts'!$B$8</c:f>
              <c:strCache>
                <c:ptCount val="1"/>
                <c:pt idx="0">
                  <c:v>Europe</c:v>
                </c:pt>
              </c:strCache>
            </c:strRef>
          </c:tx>
          <c:spPr>
            <a:solidFill>
              <a:srgbClr val="F814B7"/>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Charts'!$C$8:$J$8</c:f>
              <c:numCache>
                <c:formatCode>General</c:formatCode>
                <c:ptCount val="8"/>
                <c:pt idx="0">
                  <c:v>17070.138671875</c:v>
                </c:pt>
                <c:pt idx="1">
                  <c:v>23494.25</c:v>
                </c:pt>
                <c:pt idx="2">
                  <c:v>32156.4765625</c:v>
                </c:pt>
                <c:pt idx="3">
                  <c:v>38374.984375</c:v>
                </c:pt>
                <c:pt idx="4">
                  <c:v>51848.5517578125</c:v>
                </c:pt>
                <c:pt idx="5">
                  <c:v>62443.5009765625</c:v>
                </c:pt>
                <c:pt idx="6">
                  <c:v>69640.2958984375</c:v>
                </c:pt>
                <c:pt idx="7">
                  <c:v>77160.1923828125</c:v>
                </c:pt>
              </c:numCache>
            </c:numRef>
          </c:val>
        </c:ser>
        <c:ser>
          <c:idx val="5"/>
          <c:order val="1"/>
          <c:tx>
            <c:strRef>
              <c:f>'Page 7 Top Charts'!$B$9</c:f>
              <c:strCache>
                <c:ptCount val="1"/>
                <c:pt idx="0">
                  <c:v>The Americas</c:v>
                </c:pt>
              </c:strCache>
            </c:strRef>
          </c:tx>
          <c:spPr>
            <a:solidFill>
              <a:srgbClr val="6014F8"/>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Charts'!$C$9:$J$9</c:f>
              <c:numCache>
                <c:formatCode>General</c:formatCode>
                <c:ptCount val="8"/>
                <c:pt idx="0">
                  <c:v>6671.9638671875</c:v>
                </c:pt>
                <c:pt idx="1">
                  <c:v>9686.720703125</c:v>
                </c:pt>
                <c:pt idx="2">
                  <c:v>12719.906123046876</c:v>
                </c:pt>
                <c:pt idx="3">
                  <c:v>17631.328125</c:v>
                </c:pt>
                <c:pt idx="4">
                  <c:v>23830.904296875</c:v>
                </c:pt>
                <c:pt idx="5">
                  <c:v>29494.2529296875</c:v>
                </c:pt>
                <c:pt idx="6">
                  <c:v>36038.092705078125</c:v>
                </c:pt>
                <c:pt idx="7">
                  <c:v>42570.0419921875</c:v>
                </c:pt>
              </c:numCache>
            </c:numRef>
          </c:val>
        </c:ser>
        <c:ser>
          <c:idx val="2"/>
          <c:order val="2"/>
          <c:tx>
            <c:strRef>
              <c:f>'Page 7 Top Charts'!$B$6</c:f>
              <c:strCache>
                <c:ptCount val="1"/>
                <c:pt idx="0">
                  <c:v>Asia &amp; Pacific</c:v>
                </c:pt>
              </c:strCache>
            </c:strRef>
          </c:tx>
          <c:spPr>
            <a:solidFill>
              <a:srgbClr val="12CEFA"/>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Charts'!$C$6:$J$6</c:f>
              <c:numCache>
                <c:formatCode>General</c:formatCode>
                <c:ptCount val="8"/>
                <c:pt idx="0">
                  <c:v>4288.1585058593746</c:v>
                </c:pt>
                <c:pt idx="1">
                  <c:v>6537.8765332031253</c:v>
                </c:pt>
                <c:pt idx="2">
                  <c:v>9451.3933789062503</c:v>
                </c:pt>
                <c:pt idx="3">
                  <c:v>12774.238447265625</c:v>
                </c:pt>
                <c:pt idx="4">
                  <c:v>17682.385263671877</c:v>
                </c:pt>
                <c:pt idx="5">
                  <c:v>23889.523603515623</c:v>
                </c:pt>
                <c:pt idx="6">
                  <c:v>38760.684580078123</c:v>
                </c:pt>
                <c:pt idx="7">
                  <c:v>49626.702705078125</c:v>
                </c:pt>
              </c:numCache>
            </c:numRef>
          </c:val>
        </c:ser>
        <c:ser>
          <c:idx val="1"/>
          <c:order val="3"/>
          <c:tx>
            <c:strRef>
              <c:f>'Page 7 Top Charts'!$B$5</c:f>
              <c:strCache>
                <c:ptCount val="1"/>
                <c:pt idx="0">
                  <c:v>Arab States</c:v>
                </c:pt>
              </c:strCache>
            </c:strRef>
          </c:tx>
          <c:spPr>
            <a:solidFill>
              <a:srgbClr val="F9F913"/>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Charts'!$C$5:$J$5</c:f>
              <c:numCache>
                <c:formatCode>General</c:formatCode>
                <c:ptCount val="8"/>
                <c:pt idx="0">
                  <c:v>206.8662109375</c:v>
                </c:pt>
                <c:pt idx="1">
                  <c:v>402.65812499999998</c:v>
                </c:pt>
                <c:pt idx="2">
                  <c:v>641.5849609375</c:v>
                </c:pt>
                <c:pt idx="3">
                  <c:v>847.8291015625</c:v>
                </c:pt>
                <c:pt idx="4">
                  <c:v>1272.58203125</c:v>
                </c:pt>
                <c:pt idx="5">
                  <c:v>1824.73310546875</c:v>
                </c:pt>
                <c:pt idx="6">
                  <c:v>3434.2288574218751</c:v>
                </c:pt>
                <c:pt idx="7">
                  <c:v>4892.6720996093754</c:v>
                </c:pt>
              </c:numCache>
            </c:numRef>
          </c:val>
        </c:ser>
        <c:ser>
          <c:idx val="3"/>
          <c:order val="4"/>
          <c:tx>
            <c:strRef>
              <c:f>'Page 7 Top Charts'!$B$7</c:f>
              <c:strCache>
                <c:ptCount val="1"/>
                <c:pt idx="0">
                  <c:v>CIS</c:v>
                </c:pt>
              </c:strCache>
            </c:strRef>
          </c:tx>
          <c:spPr>
            <a:solidFill>
              <a:srgbClr val="13F913"/>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Charts'!$C$7:$J$7</c:f>
              <c:numCache>
                <c:formatCode>General</c:formatCode>
                <c:ptCount val="8"/>
                <c:pt idx="0">
                  <c:v>577.986328125</c:v>
                </c:pt>
                <c:pt idx="1">
                  <c:v>946.220703125</c:v>
                </c:pt>
                <c:pt idx="2">
                  <c:v>1510.025390625</c:v>
                </c:pt>
                <c:pt idx="3">
                  <c:v>1996.388671875</c:v>
                </c:pt>
                <c:pt idx="4">
                  <c:v>3327.6298828125</c:v>
                </c:pt>
                <c:pt idx="5">
                  <c:v>3997.52734375</c:v>
                </c:pt>
                <c:pt idx="6">
                  <c:v>5240.2509765625</c:v>
                </c:pt>
                <c:pt idx="7">
                  <c:v>6210.4541015625</c:v>
                </c:pt>
              </c:numCache>
            </c:numRef>
          </c:val>
        </c:ser>
        <c:ser>
          <c:idx val="0"/>
          <c:order val="5"/>
          <c:tx>
            <c:strRef>
              <c:f>'Page 7 Top Charts'!$B$4</c:f>
              <c:strCache>
                <c:ptCount val="1"/>
                <c:pt idx="0">
                  <c:v>Africa</c:v>
                </c:pt>
              </c:strCache>
            </c:strRef>
          </c:tx>
          <c:spPr>
            <a:solidFill>
              <a:srgbClr val="C00000"/>
            </a:solidFill>
            <a:ln>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Charts'!$C$4:$J$4</c:f>
              <c:numCache>
                <c:formatCode>General</c:formatCode>
                <c:ptCount val="8"/>
                <c:pt idx="0">
                  <c:v>1544.1511816406251</c:v>
                </c:pt>
                <c:pt idx="1">
                  <c:v>2068.0068359375</c:v>
                </c:pt>
                <c:pt idx="2">
                  <c:v>2585.4795507812501</c:v>
                </c:pt>
                <c:pt idx="3">
                  <c:v>2985.2236328125</c:v>
                </c:pt>
                <c:pt idx="4">
                  <c:v>3723.817666015625</c:v>
                </c:pt>
                <c:pt idx="5">
                  <c:v>4185.9027343750004</c:v>
                </c:pt>
                <c:pt idx="6">
                  <c:v>4766.2337109375003</c:v>
                </c:pt>
                <c:pt idx="7">
                  <c:v>5391.4266699218751</c:v>
                </c:pt>
              </c:numCache>
            </c:numRef>
          </c:val>
        </c:ser>
        <c:dLbls>
          <c:showLegendKey val="0"/>
          <c:showVal val="0"/>
          <c:showCatName val="0"/>
          <c:showSerName val="0"/>
          <c:showPercent val="0"/>
          <c:showBubbleSize val="0"/>
        </c:dLbls>
        <c:axId val="559204144"/>
        <c:axId val="559203752"/>
      </c:areaChart>
      <c:catAx>
        <c:axId val="5592041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203752"/>
        <c:crosses val="autoZero"/>
        <c:auto val="1"/>
        <c:lblAlgn val="ctr"/>
        <c:lblOffset val="100"/>
        <c:noMultiLvlLbl val="0"/>
      </c:catAx>
      <c:valAx>
        <c:axId val="559203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Gbit/s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20414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830630078425819"/>
          <c:y val="5.3648068669527899E-2"/>
          <c:w val="0.54267174312791744"/>
          <c:h val="0.70277195768983813"/>
        </c:manualLayout>
      </c:layout>
      <c:barChart>
        <c:barDir val="bar"/>
        <c:grouping val="clustered"/>
        <c:varyColors val="0"/>
        <c:ser>
          <c:idx val="0"/>
          <c:order val="0"/>
          <c:tx>
            <c:strRef>
              <c:f>'Page 7 Top Charts'!$C$27</c:f>
              <c:strCache>
                <c:ptCount val="1"/>
                <c:pt idx="0">
                  <c:v>2015</c:v>
                </c:pt>
              </c:strCache>
            </c:strRef>
          </c:tx>
          <c:spPr>
            <a:solidFill>
              <a:schemeClr val="bg1">
                <a:lumMod val="75000"/>
              </a:schemeClr>
            </a:solidFill>
            <a:ln>
              <a:noFill/>
            </a:ln>
            <a:effectLst/>
          </c:spPr>
          <c:invertIfNegative val="0"/>
          <c:dPt>
            <c:idx val="0"/>
            <c:invertIfNegative val="0"/>
            <c:bubble3D val="0"/>
            <c:spPr>
              <a:solidFill>
                <a:schemeClr val="accent2">
                  <a:lumMod val="60000"/>
                  <a:lumOff val="40000"/>
                </a:schemeClr>
              </a:solidFill>
              <a:ln w="25400">
                <a:noFill/>
              </a:ln>
              <a:effectLst/>
            </c:spPr>
          </c:dPt>
          <c:dPt>
            <c:idx val="1"/>
            <c:invertIfNegative val="0"/>
            <c:bubble3D val="0"/>
            <c:spPr>
              <a:solidFill>
                <a:schemeClr val="accent6">
                  <a:lumMod val="60000"/>
                  <a:lumOff val="40000"/>
                </a:schemeClr>
              </a:solidFill>
              <a:ln w="25400">
                <a:noFill/>
              </a:ln>
              <a:effectLst/>
            </c:spPr>
          </c:dPt>
          <c:dPt>
            <c:idx val="2"/>
            <c:invertIfNegative val="0"/>
            <c:bubble3D val="0"/>
            <c:spPr>
              <a:solidFill>
                <a:schemeClr val="accent5">
                  <a:lumMod val="40000"/>
                  <a:lumOff val="60000"/>
                </a:schemeClr>
              </a:solidFill>
              <a:ln w="25400">
                <a:noFill/>
              </a:ln>
              <a:effectLst/>
            </c:spPr>
          </c:dPt>
          <c:dPt>
            <c:idx val="3"/>
            <c:invertIfNegative val="0"/>
            <c:bubble3D val="0"/>
            <c:spPr>
              <a:solidFill>
                <a:schemeClr val="bg1">
                  <a:lumMod val="75000"/>
                </a:schemeClr>
              </a:solidFill>
              <a:ln w="25400">
                <a:solidFill>
                  <a:srgbClr val="C00000"/>
                </a:solidFill>
              </a:ln>
              <a:effectLst/>
            </c:spPr>
          </c:dPt>
          <c:dPt>
            <c:idx val="4"/>
            <c:invertIfNegative val="0"/>
            <c:bubble3D val="0"/>
            <c:spPr>
              <a:solidFill>
                <a:schemeClr val="bg1">
                  <a:lumMod val="75000"/>
                </a:schemeClr>
              </a:solidFill>
              <a:ln w="25400">
                <a:solidFill>
                  <a:srgbClr val="DE0000"/>
                </a:solidFill>
              </a:ln>
              <a:effectLst/>
            </c:spPr>
          </c:dPt>
          <c:dPt>
            <c:idx val="5"/>
            <c:invertIfNegative val="0"/>
            <c:bubble3D val="0"/>
            <c:spPr>
              <a:solidFill>
                <a:schemeClr val="bg1">
                  <a:lumMod val="75000"/>
                </a:schemeClr>
              </a:solidFill>
              <a:ln w="25400">
                <a:solidFill>
                  <a:srgbClr val="12CEFA"/>
                </a:solidFill>
              </a:ln>
              <a:effectLst/>
            </c:spPr>
          </c:dPt>
          <c:dPt>
            <c:idx val="6"/>
            <c:invertIfNegative val="0"/>
            <c:bubble3D val="0"/>
            <c:spPr>
              <a:solidFill>
                <a:schemeClr val="bg1">
                  <a:lumMod val="75000"/>
                </a:schemeClr>
              </a:solidFill>
              <a:ln w="25400">
                <a:solidFill>
                  <a:srgbClr val="F9F913"/>
                </a:solidFill>
              </a:ln>
              <a:effectLst/>
            </c:spPr>
          </c:dPt>
          <c:dPt>
            <c:idx val="7"/>
            <c:invertIfNegative val="0"/>
            <c:bubble3D val="0"/>
            <c:spPr>
              <a:solidFill>
                <a:schemeClr val="bg1">
                  <a:lumMod val="75000"/>
                </a:schemeClr>
              </a:solidFill>
              <a:ln w="25400">
                <a:solidFill>
                  <a:srgbClr val="13F913"/>
                </a:solidFill>
              </a:ln>
              <a:effectLst/>
            </c:spPr>
          </c:dPt>
          <c:dPt>
            <c:idx val="8"/>
            <c:invertIfNegative val="0"/>
            <c:bubble3D val="0"/>
            <c:spPr>
              <a:solidFill>
                <a:schemeClr val="bg1">
                  <a:lumMod val="75000"/>
                </a:schemeClr>
              </a:solidFill>
              <a:ln w="25400">
                <a:solidFill>
                  <a:srgbClr val="6014F8"/>
                </a:solidFill>
              </a:ln>
              <a:effectLst/>
            </c:spPr>
          </c:dPt>
          <c:dPt>
            <c:idx val="9"/>
            <c:invertIfNegative val="0"/>
            <c:bubble3D val="0"/>
            <c:spPr>
              <a:solidFill>
                <a:schemeClr val="bg1">
                  <a:lumMod val="75000"/>
                </a:schemeClr>
              </a:solidFill>
              <a:ln w="25400">
                <a:solidFill>
                  <a:srgbClr val="F814B7"/>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 7 Top Charts'!$B$28:$B$37</c:f>
              <c:strCache>
                <c:ptCount val="10"/>
                <c:pt idx="0">
                  <c:v>LDCs</c:v>
                </c:pt>
                <c:pt idx="1">
                  <c:v>Developing</c:v>
                </c:pt>
                <c:pt idx="2">
                  <c:v>Developed</c:v>
                </c:pt>
                <c:pt idx="4">
                  <c:v>Africa</c:v>
                </c:pt>
                <c:pt idx="5">
                  <c:v>Asia &amp; Pacific</c:v>
                </c:pt>
                <c:pt idx="6">
                  <c:v>Arab States</c:v>
                </c:pt>
                <c:pt idx="7">
                  <c:v>CIS</c:v>
                </c:pt>
                <c:pt idx="8">
                  <c:v>The Americas</c:v>
                </c:pt>
                <c:pt idx="9">
                  <c:v>Europe</c:v>
                </c:pt>
              </c:strCache>
            </c:strRef>
          </c:cat>
          <c:val>
            <c:numRef>
              <c:f>'Page 7 Top Charts'!$C$28:$C$37</c:f>
              <c:numCache>
                <c:formatCode>#,##0</c:formatCode>
                <c:ptCount val="10"/>
                <c:pt idx="0">
                  <c:v>0.6169962862391023</c:v>
                </c:pt>
                <c:pt idx="1">
                  <c:v>13.294607719909136</c:v>
                </c:pt>
                <c:pt idx="2">
                  <c:v>93.425501401042823</c:v>
                </c:pt>
                <c:pt idx="4">
                  <c:v>6.1940731179414215</c:v>
                </c:pt>
                <c:pt idx="5">
                  <c:v>12.762578147918971</c:v>
                </c:pt>
                <c:pt idx="6">
                  <c:v>15.168266859109412</c:v>
                </c:pt>
                <c:pt idx="7">
                  <c:v>23.709845914820079</c:v>
                </c:pt>
                <c:pt idx="8">
                  <c:v>45.778803786179516</c:v>
                </c:pt>
                <c:pt idx="9">
                  <c:v>130.58261386395165</c:v>
                </c:pt>
              </c:numCache>
            </c:numRef>
          </c:val>
        </c:ser>
        <c:dLbls>
          <c:showLegendKey val="0"/>
          <c:showVal val="0"/>
          <c:showCatName val="0"/>
          <c:showSerName val="0"/>
          <c:showPercent val="0"/>
          <c:showBubbleSize val="0"/>
        </c:dLbls>
        <c:gapWidth val="50"/>
        <c:axId val="559204928"/>
        <c:axId val="559983576"/>
      </c:barChart>
      <c:catAx>
        <c:axId val="559204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559983576"/>
        <c:crosses val="autoZero"/>
        <c:auto val="1"/>
        <c:lblAlgn val="ctr"/>
        <c:lblOffset val="100"/>
        <c:noMultiLvlLbl val="0"/>
      </c:catAx>
      <c:valAx>
        <c:axId val="5599835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kbit/s per inhabitant, 2015</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204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108723388743069"/>
          <c:y val="2.6501031740463084E-2"/>
          <c:w val="0.79856609069699624"/>
          <c:h val="0.90357296247060026"/>
        </c:manualLayout>
      </c:layout>
      <c:barChart>
        <c:barDir val="bar"/>
        <c:grouping val="clustered"/>
        <c:varyColors val="0"/>
        <c:ser>
          <c:idx val="2"/>
          <c:order val="0"/>
          <c:tx>
            <c:strRef>
              <c:f>'2.9 &amp; 2.10'!$B$54</c:f>
              <c:strCache>
                <c:ptCount val="1"/>
                <c:pt idx="0">
                  <c:v>Female</c:v>
                </c:pt>
              </c:strCache>
            </c:strRef>
          </c:tx>
          <c:spPr>
            <a:solidFill>
              <a:schemeClr val="accent5">
                <a:lumMod val="75000"/>
              </a:schemeClr>
            </a:solidFill>
          </c:spPr>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'2.9 &amp; 2.10'!$A$55:$A$65</c:f>
              <c:strCache>
                <c:ptCount val="11"/>
                <c:pt idx="0">
                  <c:v>Africa</c:v>
                </c:pt>
                <c:pt idx="1">
                  <c:v>Arab States</c:v>
                </c:pt>
                <c:pt idx="2">
                  <c:v>Asia &amp; Pacific</c:v>
                </c:pt>
                <c:pt idx="3">
                  <c:v>The Americas</c:v>
                </c:pt>
                <c:pt idx="4">
                  <c:v>CIS</c:v>
                </c:pt>
                <c:pt idx="5">
                  <c:v>Europe</c:v>
                </c:pt>
                <c:pt idx="7">
                  <c:v>Developed</c:v>
                </c:pt>
                <c:pt idx="8">
                  <c:v>World</c:v>
                </c:pt>
                <c:pt idx="9">
                  <c:v>Developing</c:v>
                </c:pt>
                <c:pt idx="10">
                  <c:v>LDC</c:v>
                </c:pt>
              </c:strCache>
            </c:strRef>
          </c:cat>
          <c:val>
            <c:numRef>
              <c:f>'2.9 &amp; 2.10'!$B$55:$B$65</c:f>
              <c:numCache>
                <c:formatCode>_(* #,##0.0_);_(* \(#,##0.0\);_(* "-"??_);_(@_)</c:formatCode>
                <c:ptCount val="11"/>
                <c:pt idx="0">
                  <c:v>21.868381286801611</c:v>
                </c:pt>
                <c:pt idx="1">
                  <c:v>36.858824954850455</c:v>
                </c:pt>
                <c:pt idx="2">
                  <c:v>39.45915787263678</c:v>
                </c:pt>
                <c:pt idx="3">
                  <c:v>64.395039544163936</c:v>
                </c:pt>
                <c:pt idx="4">
                  <c:v>65.045979159853985</c:v>
                </c:pt>
                <c:pt idx="5">
                  <c:v>76.319556204173097</c:v>
                </c:pt>
                <c:pt idx="7">
                  <c:v>80</c:v>
                </c:pt>
                <c:pt idx="8">
                  <c:v>44.9</c:v>
                </c:pt>
                <c:pt idx="9">
                  <c:v>37.4</c:v>
                </c:pt>
                <c:pt idx="10">
                  <c:v>12.5</c:v>
                </c:pt>
              </c:numCache>
            </c:numRef>
          </c:val>
        </c:ser>
        <c:ser>
          <c:idx val="3"/>
          <c:order val="1"/>
          <c:tx>
            <c:strRef>
              <c:f>'2.9 &amp; 2.10'!$E$24</c:f>
              <c:strCache>
                <c:ptCount val="1"/>
                <c:pt idx="0">
                  <c:v>Male</c:v>
                </c:pt>
              </c:strCache>
            </c:strRef>
          </c:tx>
          <c:spPr>
            <a:solidFill>
              <a:schemeClr val="accent5">
                <a:lumMod val="40000"/>
                <a:lumOff val="60000"/>
              </a:schemeClr>
            </a:solidFill>
          </c:spPr>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'2.9 &amp; 2.10'!$A$55:$A$65</c:f>
              <c:strCache>
                <c:ptCount val="11"/>
                <c:pt idx="0">
                  <c:v>Africa</c:v>
                </c:pt>
                <c:pt idx="1">
                  <c:v>Arab States</c:v>
                </c:pt>
                <c:pt idx="2">
                  <c:v>Asia &amp; Pacific</c:v>
                </c:pt>
                <c:pt idx="3">
                  <c:v>The Americas</c:v>
                </c:pt>
                <c:pt idx="4">
                  <c:v>CIS</c:v>
                </c:pt>
                <c:pt idx="5">
                  <c:v>Europe</c:v>
                </c:pt>
                <c:pt idx="7">
                  <c:v>Developed</c:v>
                </c:pt>
                <c:pt idx="8">
                  <c:v>World</c:v>
                </c:pt>
                <c:pt idx="9">
                  <c:v>Developing</c:v>
                </c:pt>
                <c:pt idx="10">
                  <c:v>LDC</c:v>
                </c:pt>
              </c:strCache>
            </c:strRef>
          </c:cat>
          <c:val>
            <c:numRef>
              <c:f>'2.9 &amp; 2.10'!$C$55:$C$65</c:f>
              <c:numCache>
                <c:formatCode>_(* #,##0.0_);_(* \(#,##0.0\);_(* "-"??_);_(@_)</c:formatCode>
                <c:ptCount val="11"/>
                <c:pt idx="0">
                  <c:v>28.402757370434013</c:v>
                </c:pt>
                <c:pt idx="1">
                  <c:v>46.097760310836073</c:v>
                </c:pt>
                <c:pt idx="2">
                  <c:v>47.47618040999609</c:v>
                </c:pt>
                <c:pt idx="3">
                  <c:v>65.593111221151432</c:v>
                </c:pt>
                <c:pt idx="4">
                  <c:v>68.523508759739727</c:v>
                </c:pt>
                <c:pt idx="5">
                  <c:v>82.007192758371644</c:v>
                </c:pt>
                <c:pt idx="7">
                  <c:v>82.3</c:v>
                </c:pt>
                <c:pt idx="8">
                  <c:v>51.1</c:v>
                </c:pt>
                <c:pt idx="9">
                  <c:v>45</c:v>
                </c:pt>
                <c:pt idx="10">
                  <c:v>18</c:v>
                </c:pt>
              </c:numCache>
            </c:numRef>
          </c:val>
        </c:ser>
        <c:dLbls>
          <c:showLegendKey val="0"/>
          <c:showVal val="0"/>
          <c:showCatName val="0"/>
          <c:showSerName val="0"/>
          <c:showPercent val="0"/>
          <c:showBubbleSize val="0"/>
        </c:dLbls>
        <c:gapWidth val="50"/>
        <c:axId val="559983184"/>
        <c:axId val="559982008"/>
      </c:barChart>
      <c:catAx>
        <c:axId val="559983184"/>
        <c:scaling>
          <c:orientation val="maxMin"/>
        </c:scaling>
        <c:delete val="0"/>
        <c:axPos val="l"/>
        <c:numFmt formatCode="General" sourceLinked="0"/>
        <c:majorTickMark val="out"/>
        <c:minorTickMark val="none"/>
        <c:tickLblPos val="nextTo"/>
        <c:crossAx val="559982008"/>
        <c:crosses val="autoZero"/>
        <c:auto val="1"/>
        <c:lblAlgn val="ctr"/>
        <c:lblOffset val="100"/>
        <c:noMultiLvlLbl val="0"/>
      </c:catAx>
      <c:valAx>
        <c:axId val="559982008"/>
        <c:scaling>
          <c:orientation val="minMax"/>
          <c:max val="100"/>
        </c:scaling>
        <c:delete val="1"/>
        <c:axPos val="t"/>
        <c:numFmt formatCode="#,##0" sourceLinked="0"/>
        <c:majorTickMark val="out"/>
        <c:minorTickMark val="none"/>
        <c:tickLblPos val="nextTo"/>
        <c:crossAx val="55998318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8F103-73DB-4A77-B6B0-8989E78C9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20001</Words>
  <Characters>114007</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133741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Spanish</dc:creator>
  <cp:keywords/>
  <dc:description/>
  <cp:lastModifiedBy>Dion, Brigitte</cp:lastModifiedBy>
  <cp:revision>2</cp:revision>
  <cp:lastPrinted>2017-02-07T11:07:00Z</cp:lastPrinted>
  <dcterms:created xsi:type="dcterms:W3CDTF">2017-02-10T09:00:00Z</dcterms:created>
  <dcterms:modified xsi:type="dcterms:W3CDTF">2017-02-10T09:00:00Z</dcterms:modified>
</cp:coreProperties>
</file>