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15" w:type="pct"/>
        <w:jc w:val="center"/>
        <w:tblLayout w:type="fixed"/>
        <w:tblLook w:val="0000" w:firstRow="0" w:lastRow="0" w:firstColumn="0" w:lastColumn="0" w:noHBand="0" w:noVBand="0"/>
      </w:tblPr>
      <w:tblGrid>
        <w:gridCol w:w="8"/>
        <w:gridCol w:w="6796"/>
        <w:gridCol w:w="3217"/>
        <w:gridCol w:w="12"/>
      </w:tblGrid>
      <w:tr w:rsidR="0070796E" w:rsidRPr="00AE2BCA" w:rsidTr="00E20210">
        <w:trPr>
          <w:gridBefore w:val="1"/>
          <w:wBefore w:w="8" w:type="dxa"/>
          <w:cantSplit/>
          <w:jc w:val="center"/>
        </w:trPr>
        <w:tc>
          <w:tcPr>
            <w:tcW w:w="6796" w:type="dxa"/>
          </w:tcPr>
          <w:p w:rsidR="0070796E" w:rsidRPr="00E20210" w:rsidRDefault="003A6B2D" w:rsidP="00562A87">
            <w:pPr>
              <w:rPr>
                <w:b/>
                <w:bCs/>
                <w:sz w:val="28"/>
                <w:szCs w:val="28"/>
              </w:rPr>
            </w:pPr>
            <w:bookmarkStart w:id="0" w:name="Meeting"/>
            <w:bookmarkEnd w:id="0"/>
            <w:r w:rsidRPr="003A6B2D">
              <w:rPr>
                <w:b/>
                <w:bCs/>
                <w:sz w:val="28"/>
                <w:szCs w:val="28"/>
              </w:rPr>
              <w:t xml:space="preserve">Regional Preparatory Meeting </w:t>
            </w:r>
            <w:r w:rsidR="0032590A">
              <w:rPr>
                <w:b/>
                <w:bCs/>
                <w:sz w:val="28"/>
                <w:szCs w:val="28"/>
              </w:rPr>
              <w:br/>
            </w:r>
            <w:r w:rsidRPr="003A6B2D">
              <w:rPr>
                <w:b/>
                <w:bCs/>
                <w:sz w:val="28"/>
                <w:szCs w:val="28"/>
              </w:rPr>
              <w:t>for WTDC-17 for Asia and the Pacific (RPM-ASP)</w:t>
            </w:r>
            <w:r w:rsidR="00562A87" w:rsidRPr="003A6B2D">
              <w:rPr>
                <w:b/>
                <w:bCs/>
                <w:sz w:val="28"/>
                <w:szCs w:val="28"/>
              </w:rPr>
              <w:t xml:space="preserve"> </w:t>
            </w:r>
          </w:p>
        </w:tc>
        <w:tc>
          <w:tcPr>
            <w:tcW w:w="3229" w:type="dxa"/>
            <w:gridSpan w:val="2"/>
          </w:tcPr>
          <w:p w:rsidR="0070796E" w:rsidRPr="00AE2BCA" w:rsidRDefault="00DF2EBE" w:rsidP="00930F7E">
            <w:pPr>
              <w:spacing w:before="40" w:after="80"/>
              <w:ind w:right="142"/>
              <w:jc w:val="right"/>
            </w:pPr>
            <w:r w:rsidRPr="005B1AA6">
              <w:rPr>
                <w:noProof/>
                <w:lang w:eastAsia="zh-CN"/>
              </w:rPr>
              <w:drawing>
                <wp:inline distT="0" distB="0" distL="0" distR="0">
                  <wp:extent cx="714375"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6D0B95" w:rsidRPr="000824C7" w:rsidTr="00E20210">
        <w:trPr>
          <w:gridAfter w:val="1"/>
          <w:wAfter w:w="12" w:type="dxa"/>
          <w:cantSplit/>
          <w:trHeight w:val="300"/>
          <w:jc w:val="center"/>
        </w:trPr>
        <w:tc>
          <w:tcPr>
            <w:tcW w:w="10021" w:type="dxa"/>
            <w:gridSpan w:val="3"/>
            <w:tcBorders>
              <w:bottom w:val="single" w:sz="12" w:space="0" w:color="auto"/>
            </w:tcBorders>
          </w:tcPr>
          <w:p w:rsidR="006D0B95" w:rsidRPr="00425DDF" w:rsidRDefault="003A6B2D" w:rsidP="00E20210">
            <w:pPr>
              <w:spacing w:before="0"/>
              <w:rPr>
                <w:b/>
                <w:bCs/>
                <w:sz w:val="26"/>
                <w:szCs w:val="26"/>
                <w:lang w:val="en-US"/>
              </w:rPr>
            </w:pPr>
            <w:bookmarkStart w:id="1" w:name="PlaceDate"/>
            <w:bookmarkEnd w:id="1"/>
            <w:r>
              <w:rPr>
                <w:b/>
                <w:bCs/>
                <w:sz w:val="26"/>
                <w:szCs w:val="26"/>
                <w:lang w:val="en-US"/>
              </w:rPr>
              <w:t>Bali, Indonesia, 21-23 March 2017</w:t>
            </w:r>
          </w:p>
        </w:tc>
      </w:tr>
      <w:tr w:rsidR="0070796E" w:rsidRPr="002D0049" w:rsidTr="00E20210">
        <w:trPr>
          <w:gridBefore w:val="1"/>
          <w:wBefore w:w="8" w:type="dxa"/>
          <w:cantSplit/>
          <w:trHeight w:val="238"/>
          <w:jc w:val="center"/>
        </w:trPr>
        <w:tc>
          <w:tcPr>
            <w:tcW w:w="6796" w:type="dxa"/>
            <w:tcBorders>
              <w:top w:val="single" w:sz="12" w:space="0" w:color="auto"/>
            </w:tcBorders>
          </w:tcPr>
          <w:p w:rsidR="0070796E" w:rsidRPr="002D0049" w:rsidRDefault="0070796E" w:rsidP="006D0B95">
            <w:pPr>
              <w:spacing w:before="0"/>
              <w:rPr>
                <w:lang w:val="en-US"/>
              </w:rPr>
            </w:pPr>
          </w:p>
        </w:tc>
        <w:tc>
          <w:tcPr>
            <w:tcW w:w="3229" w:type="dxa"/>
            <w:gridSpan w:val="2"/>
            <w:tcBorders>
              <w:top w:val="single" w:sz="12" w:space="0" w:color="auto"/>
            </w:tcBorders>
          </w:tcPr>
          <w:p w:rsidR="0070796E" w:rsidRPr="002D0049" w:rsidRDefault="0070796E" w:rsidP="006D0B95">
            <w:pPr>
              <w:spacing w:before="0"/>
              <w:rPr>
                <w:lang w:val="en-US"/>
              </w:rPr>
            </w:pPr>
          </w:p>
        </w:tc>
      </w:tr>
      <w:tr w:rsidR="0070796E" w:rsidRPr="00AE2BCA" w:rsidTr="00E20210">
        <w:trPr>
          <w:gridBefore w:val="1"/>
          <w:wBefore w:w="8" w:type="dxa"/>
          <w:cantSplit/>
          <w:trHeight w:val="20"/>
          <w:jc w:val="center"/>
        </w:trPr>
        <w:tc>
          <w:tcPr>
            <w:tcW w:w="6796" w:type="dxa"/>
            <w:vMerge w:val="restart"/>
          </w:tcPr>
          <w:p w:rsidR="0070796E" w:rsidRPr="002D0049" w:rsidRDefault="0070796E">
            <w:pPr>
              <w:rPr>
                <w:lang w:val="en-US"/>
              </w:rPr>
            </w:pPr>
          </w:p>
        </w:tc>
        <w:tc>
          <w:tcPr>
            <w:tcW w:w="3229" w:type="dxa"/>
            <w:gridSpan w:val="2"/>
          </w:tcPr>
          <w:p w:rsidR="0070796E" w:rsidRPr="00930F7E" w:rsidRDefault="0070796E" w:rsidP="00BF1682">
            <w:pPr>
              <w:spacing w:before="0"/>
              <w:rPr>
                <w:b/>
                <w:bCs/>
                <w:szCs w:val="24"/>
                <w:lang w:val="fr-FR"/>
              </w:rPr>
            </w:pPr>
            <w:r w:rsidRPr="00930F7E">
              <w:rPr>
                <w:b/>
                <w:bCs/>
                <w:szCs w:val="24"/>
                <w:lang w:val="fr-FR"/>
              </w:rPr>
              <w:t>Document</w:t>
            </w:r>
            <w:r w:rsidR="006527BD" w:rsidRPr="00930F7E">
              <w:rPr>
                <w:b/>
                <w:bCs/>
                <w:szCs w:val="24"/>
                <w:lang w:val="fr-FR"/>
              </w:rPr>
              <w:t xml:space="preserve"> </w:t>
            </w:r>
            <w:bookmarkStart w:id="2" w:name="DocRef1"/>
            <w:bookmarkEnd w:id="2"/>
            <w:r w:rsidR="0032590A">
              <w:rPr>
                <w:b/>
                <w:bCs/>
                <w:szCs w:val="24"/>
                <w:lang w:val="fr-FR"/>
              </w:rPr>
              <w:t>RPM-ASP17</w:t>
            </w:r>
            <w:r w:rsidR="006527BD" w:rsidRPr="00930F7E">
              <w:rPr>
                <w:b/>
                <w:bCs/>
                <w:szCs w:val="24"/>
                <w:lang w:val="fr-FR"/>
              </w:rPr>
              <w:t>/</w:t>
            </w:r>
            <w:bookmarkStart w:id="3" w:name="DocNo1"/>
            <w:bookmarkEnd w:id="3"/>
            <w:r w:rsidR="003A6B2D">
              <w:rPr>
                <w:b/>
                <w:bCs/>
                <w:szCs w:val="24"/>
                <w:lang w:val="fr-FR"/>
              </w:rPr>
              <w:t>28-E</w:t>
            </w:r>
          </w:p>
        </w:tc>
      </w:tr>
      <w:tr w:rsidR="0070796E" w:rsidRPr="00AE2BCA" w:rsidTr="00E20210">
        <w:trPr>
          <w:gridBefore w:val="1"/>
          <w:wBefore w:w="8" w:type="dxa"/>
          <w:cantSplit/>
          <w:trHeight w:val="23"/>
          <w:jc w:val="center"/>
        </w:trPr>
        <w:tc>
          <w:tcPr>
            <w:tcW w:w="6796" w:type="dxa"/>
            <w:vMerge/>
          </w:tcPr>
          <w:p w:rsidR="0070796E" w:rsidRPr="00AE2BCA" w:rsidRDefault="0070796E">
            <w:pPr>
              <w:tabs>
                <w:tab w:val="left" w:pos="851"/>
              </w:tabs>
              <w:spacing w:line="240" w:lineRule="atLeast"/>
              <w:rPr>
                <w:b/>
              </w:rPr>
            </w:pPr>
          </w:p>
        </w:tc>
        <w:tc>
          <w:tcPr>
            <w:tcW w:w="3229" w:type="dxa"/>
            <w:gridSpan w:val="2"/>
          </w:tcPr>
          <w:p w:rsidR="0070796E" w:rsidRPr="00930F7E" w:rsidRDefault="003A6B2D" w:rsidP="00BF1682">
            <w:pPr>
              <w:spacing w:before="0"/>
              <w:rPr>
                <w:b/>
                <w:bCs/>
                <w:szCs w:val="24"/>
                <w:lang w:val="fr-FR"/>
              </w:rPr>
            </w:pPr>
            <w:bookmarkStart w:id="4" w:name="CreationDate"/>
            <w:bookmarkEnd w:id="4"/>
            <w:r>
              <w:rPr>
                <w:b/>
                <w:bCs/>
                <w:szCs w:val="24"/>
                <w:lang w:val="fr-FR"/>
              </w:rPr>
              <w:t>7 March 2017</w:t>
            </w:r>
          </w:p>
        </w:tc>
      </w:tr>
      <w:tr w:rsidR="0070796E" w:rsidRPr="00AE2BCA" w:rsidTr="00E20210">
        <w:trPr>
          <w:gridBefore w:val="1"/>
          <w:wBefore w:w="8" w:type="dxa"/>
          <w:cantSplit/>
          <w:trHeight w:val="333"/>
          <w:jc w:val="center"/>
        </w:trPr>
        <w:tc>
          <w:tcPr>
            <w:tcW w:w="6796" w:type="dxa"/>
            <w:vMerge/>
          </w:tcPr>
          <w:p w:rsidR="0070796E" w:rsidRPr="00AE2BCA" w:rsidRDefault="0070796E">
            <w:pPr>
              <w:tabs>
                <w:tab w:val="left" w:pos="851"/>
              </w:tabs>
              <w:spacing w:line="240" w:lineRule="atLeast"/>
              <w:rPr>
                <w:b/>
              </w:rPr>
            </w:pPr>
          </w:p>
        </w:tc>
        <w:tc>
          <w:tcPr>
            <w:tcW w:w="3229" w:type="dxa"/>
            <w:gridSpan w:val="2"/>
          </w:tcPr>
          <w:p w:rsidR="0070796E" w:rsidRPr="00930F7E" w:rsidRDefault="0070796E" w:rsidP="00BF1682">
            <w:pPr>
              <w:spacing w:before="0" w:after="120"/>
              <w:rPr>
                <w:b/>
                <w:bCs/>
                <w:szCs w:val="24"/>
                <w:lang w:val="fr-FR"/>
              </w:rPr>
            </w:pPr>
            <w:r w:rsidRPr="00930F7E">
              <w:rPr>
                <w:b/>
                <w:bCs/>
                <w:szCs w:val="24"/>
                <w:lang w:val="fr-FR"/>
              </w:rPr>
              <w:t xml:space="preserve">Original: </w:t>
            </w:r>
            <w:bookmarkStart w:id="5" w:name="Original"/>
            <w:bookmarkEnd w:id="5"/>
            <w:r w:rsidR="003A6B2D">
              <w:rPr>
                <w:b/>
                <w:bCs/>
                <w:szCs w:val="24"/>
                <w:lang w:val="fr-FR"/>
              </w:rPr>
              <w:t>English</w:t>
            </w:r>
          </w:p>
        </w:tc>
      </w:tr>
      <w:tr w:rsidR="0070796E" w:rsidRPr="00AE2BCA" w:rsidTr="00E20210">
        <w:trPr>
          <w:gridAfter w:val="1"/>
          <w:wAfter w:w="12" w:type="dxa"/>
          <w:cantSplit/>
          <w:trHeight w:val="23"/>
          <w:jc w:val="center"/>
        </w:trPr>
        <w:tc>
          <w:tcPr>
            <w:tcW w:w="10021" w:type="dxa"/>
            <w:gridSpan w:val="3"/>
          </w:tcPr>
          <w:p w:rsidR="0070796E" w:rsidRPr="00AE2BCA" w:rsidRDefault="0070796E" w:rsidP="00BF1682">
            <w:pPr>
              <w:tabs>
                <w:tab w:val="left" w:pos="1928"/>
              </w:tabs>
              <w:spacing w:before="0" w:after="120"/>
              <w:ind w:left="1928" w:hanging="1928"/>
            </w:pPr>
          </w:p>
        </w:tc>
      </w:tr>
      <w:tr w:rsidR="00562A87" w:rsidRPr="008D1768" w:rsidTr="00E20210">
        <w:trPr>
          <w:gridAfter w:val="1"/>
          <w:wAfter w:w="12" w:type="dxa"/>
          <w:cantSplit/>
          <w:trHeight w:val="23"/>
          <w:jc w:val="center"/>
        </w:trPr>
        <w:tc>
          <w:tcPr>
            <w:tcW w:w="10021" w:type="dxa"/>
            <w:gridSpan w:val="3"/>
          </w:tcPr>
          <w:p w:rsidR="00562A87" w:rsidRPr="003A6B2D" w:rsidRDefault="003A6B2D" w:rsidP="00E20210">
            <w:pPr>
              <w:spacing w:after="120"/>
              <w:jc w:val="center"/>
              <w:rPr>
                <w:b/>
                <w:bCs/>
                <w:sz w:val="28"/>
                <w:szCs w:val="28"/>
              </w:rPr>
            </w:pPr>
            <w:bookmarkStart w:id="6" w:name="Source"/>
            <w:bookmarkEnd w:id="6"/>
            <w:r w:rsidRPr="003A6B2D">
              <w:rPr>
                <w:b/>
                <w:bCs/>
                <w:sz w:val="28"/>
                <w:szCs w:val="28"/>
              </w:rPr>
              <w:t>Japan</w:t>
            </w:r>
          </w:p>
        </w:tc>
      </w:tr>
      <w:tr w:rsidR="00562A87" w:rsidRPr="00E20210" w:rsidTr="00E20210">
        <w:trPr>
          <w:gridAfter w:val="1"/>
          <w:wAfter w:w="12" w:type="dxa"/>
          <w:cantSplit/>
          <w:trHeight w:val="537"/>
          <w:jc w:val="center"/>
        </w:trPr>
        <w:tc>
          <w:tcPr>
            <w:tcW w:w="10021" w:type="dxa"/>
            <w:gridSpan w:val="3"/>
          </w:tcPr>
          <w:p w:rsidR="00562A87" w:rsidRPr="003A6B2D" w:rsidRDefault="0032590A" w:rsidP="00E20210">
            <w:pPr>
              <w:spacing w:after="120"/>
              <w:jc w:val="center"/>
              <w:rPr>
                <w:sz w:val="28"/>
                <w:szCs w:val="28"/>
              </w:rPr>
            </w:pPr>
            <w:bookmarkStart w:id="7" w:name="Title"/>
            <w:bookmarkEnd w:id="7"/>
            <w:r w:rsidRPr="003A6B2D">
              <w:rPr>
                <w:sz w:val="28"/>
                <w:szCs w:val="28"/>
              </w:rPr>
              <w:t>REVISION OF THE DECLARATION RELATING AGING AND ARTIFICIAL INTELLIGENCE ISSUES</w:t>
            </w:r>
          </w:p>
        </w:tc>
      </w:tr>
    </w:tbl>
    <w:p w:rsidR="00C04537" w:rsidRDefault="00C04537" w:rsidP="00562A87">
      <w:pPr>
        <w:tabs>
          <w:tab w:val="clear" w:pos="794"/>
          <w:tab w:val="clear" w:pos="1191"/>
          <w:tab w:val="clear" w:pos="1588"/>
          <w:tab w:val="clear" w:pos="1985"/>
          <w:tab w:val="left" w:pos="1951"/>
        </w:tabs>
        <w:spacing w:before="240"/>
        <w:rPr>
          <w:b/>
          <w:bCs/>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9"/>
      </w:tblGrid>
      <w:tr w:rsidR="00C04537" w:rsidRPr="005F2DA4" w:rsidTr="005F2DA4">
        <w:tc>
          <w:tcPr>
            <w:tcW w:w="10239" w:type="dxa"/>
            <w:shd w:val="clear" w:color="auto" w:fill="auto"/>
          </w:tcPr>
          <w:p w:rsidR="00C04537" w:rsidRPr="005F2DA4" w:rsidRDefault="00C04537" w:rsidP="005F2DA4">
            <w:pPr>
              <w:tabs>
                <w:tab w:val="clear" w:pos="794"/>
                <w:tab w:val="clear" w:pos="1191"/>
                <w:tab w:val="clear" w:pos="1588"/>
                <w:tab w:val="clear" w:pos="1985"/>
                <w:tab w:val="left" w:pos="1951"/>
              </w:tabs>
              <w:spacing w:before="240"/>
              <w:rPr>
                <w:b/>
                <w:bCs/>
                <w:szCs w:val="24"/>
              </w:rPr>
            </w:pPr>
            <w:r w:rsidRPr="005F2DA4">
              <w:rPr>
                <w:b/>
                <w:bCs/>
                <w:szCs w:val="24"/>
              </w:rPr>
              <w:t>Priority area:</w:t>
            </w:r>
          </w:p>
          <w:p w:rsidR="00C04537" w:rsidRPr="000824C7" w:rsidRDefault="003A6B2D" w:rsidP="005F2DA4">
            <w:pPr>
              <w:tabs>
                <w:tab w:val="clear" w:pos="794"/>
                <w:tab w:val="clear" w:pos="1191"/>
                <w:tab w:val="clear" w:pos="1588"/>
                <w:tab w:val="clear" w:pos="1985"/>
                <w:tab w:val="left" w:pos="1951"/>
              </w:tabs>
              <w:rPr>
                <w:szCs w:val="24"/>
              </w:rPr>
            </w:pPr>
            <w:bookmarkStart w:id="8" w:name="PriorityArea"/>
            <w:bookmarkEnd w:id="8"/>
            <w:r>
              <w:rPr>
                <w:szCs w:val="24"/>
              </w:rPr>
              <w:t>Strategic Plan, Action Plan, Declaration</w:t>
            </w:r>
          </w:p>
          <w:p w:rsidR="00C04537" w:rsidRPr="005F2DA4" w:rsidRDefault="00C04537" w:rsidP="005F2DA4">
            <w:pPr>
              <w:tabs>
                <w:tab w:val="clear" w:pos="794"/>
                <w:tab w:val="clear" w:pos="1191"/>
                <w:tab w:val="clear" w:pos="1588"/>
                <w:tab w:val="clear" w:pos="1985"/>
                <w:tab w:val="left" w:pos="1951"/>
              </w:tabs>
              <w:spacing w:before="240"/>
              <w:rPr>
                <w:b/>
                <w:bCs/>
                <w:szCs w:val="24"/>
              </w:rPr>
            </w:pPr>
            <w:r w:rsidRPr="005F2DA4">
              <w:rPr>
                <w:b/>
                <w:bCs/>
                <w:szCs w:val="24"/>
              </w:rPr>
              <w:t>Summary:</w:t>
            </w:r>
          </w:p>
          <w:p w:rsidR="003A6B2D" w:rsidRDefault="003A6B2D" w:rsidP="005F2DA4">
            <w:pPr>
              <w:tabs>
                <w:tab w:val="clear" w:pos="794"/>
                <w:tab w:val="clear" w:pos="1191"/>
                <w:tab w:val="clear" w:pos="1588"/>
                <w:tab w:val="clear" w:pos="1985"/>
                <w:tab w:val="left" w:pos="1951"/>
              </w:tabs>
              <w:spacing w:before="240"/>
              <w:rPr>
                <w:szCs w:val="24"/>
              </w:rPr>
            </w:pPr>
            <w:bookmarkStart w:id="9" w:name="Summary"/>
            <w:bookmarkEnd w:id="9"/>
            <w:r>
              <w:rPr>
                <w:szCs w:val="24"/>
              </w:rPr>
              <w:t xml:space="preserve">This contribution proposes revision of the Declaration in order to promote the study of aging and artificial intelligence which all countries will face as social issues in near future. </w:t>
            </w:r>
          </w:p>
          <w:p w:rsidR="003A6B2D" w:rsidRDefault="003A6B2D" w:rsidP="005F2DA4">
            <w:pPr>
              <w:tabs>
                <w:tab w:val="clear" w:pos="794"/>
                <w:tab w:val="clear" w:pos="1191"/>
                <w:tab w:val="clear" w:pos="1588"/>
                <w:tab w:val="clear" w:pos="1985"/>
                <w:tab w:val="left" w:pos="1951"/>
              </w:tabs>
              <w:spacing w:before="240"/>
              <w:rPr>
                <w:szCs w:val="24"/>
              </w:rPr>
            </w:pPr>
            <w:r>
              <w:rPr>
                <w:szCs w:val="24"/>
              </w:rPr>
              <w:t>In WG3 of APT second preparatory meeting for WTDC-17, APT member countries were encouraged to consider this contribution in terms of regarding it as APT future common proposal for WTDC-17.</w:t>
            </w:r>
          </w:p>
          <w:p w:rsidR="00C04537" w:rsidRPr="005F2DA4" w:rsidRDefault="00C04537" w:rsidP="005F2DA4">
            <w:pPr>
              <w:tabs>
                <w:tab w:val="clear" w:pos="794"/>
                <w:tab w:val="clear" w:pos="1191"/>
                <w:tab w:val="clear" w:pos="1588"/>
                <w:tab w:val="clear" w:pos="1985"/>
                <w:tab w:val="left" w:pos="1951"/>
              </w:tabs>
              <w:spacing w:before="240"/>
              <w:rPr>
                <w:b/>
                <w:bCs/>
                <w:szCs w:val="24"/>
              </w:rPr>
            </w:pPr>
            <w:r w:rsidRPr="005F2DA4">
              <w:rPr>
                <w:b/>
                <w:bCs/>
                <w:szCs w:val="24"/>
              </w:rPr>
              <w:t>Expected results:</w:t>
            </w:r>
          </w:p>
          <w:p w:rsidR="00C04537" w:rsidRPr="000824C7" w:rsidRDefault="003A6B2D" w:rsidP="005F2DA4">
            <w:pPr>
              <w:tabs>
                <w:tab w:val="clear" w:pos="794"/>
                <w:tab w:val="clear" w:pos="1191"/>
                <w:tab w:val="clear" w:pos="1588"/>
                <w:tab w:val="clear" w:pos="1985"/>
                <w:tab w:val="left" w:pos="1951"/>
              </w:tabs>
              <w:spacing w:before="240"/>
              <w:rPr>
                <w:szCs w:val="24"/>
              </w:rPr>
            </w:pPr>
            <w:bookmarkStart w:id="10" w:name="Results"/>
            <w:bookmarkEnd w:id="10"/>
            <w:r>
              <w:rPr>
                <w:szCs w:val="24"/>
              </w:rPr>
              <w:t>N/A</w:t>
            </w:r>
          </w:p>
          <w:p w:rsidR="00C04537" w:rsidRPr="005F2DA4" w:rsidRDefault="00C04537" w:rsidP="005F2DA4">
            <w:pPr>
              <w:tabs>
                <w:tab w:val="clear" w:pos="794"/>
                <w:tab w:val="clear" w:pos="1191"/>
                <w:tab w:val="clear" w:pos="1588"/>
                <w:tab w:val="clear" w:pos="1985"/>
                <w:tab w:val="left" w:pos="1951"/>
              </w:tabs>
              <w:spacing w:before="240"/>
              <w:rPr>
                <w:b/>
                <w:bCs/>
                <w:szCs w:val="24"/>
              </w:rPr>
            </w:pPr>
            <w:r w:rsidRPr="005F2DA4">
              <w:rPr>
                <w:b/>
                <w:bCs/>
                <w:szCs w:val="24"/>
              </w:rPr>
              <w:t>References:</w:t>
            </w:r>
          </w:p>
          <w:p w:rsidR="003A6B2D" w:rsidRDefault="003A6B2D" w:rsidP="0032590A">
            <w:pPr>
              <w:tabs>
                <w:tab w:val="clear" w:pos="794"/>
                <w:tab w:val="clear" w:pos="1191"/>
                <w:tab w:val="clear" w:pos="1588"/>
                <w:tab w:val="clear" w:pos="1985"/>
                <w:tab w:val="left" w:pos="1951"/>
              </w:tabs>
              <w:spacing w:before="60" w:after="60"/>
              <w:rPr>
                <w:szCs w:val="24"/>
              </w:rPr>
            </w:pPr>
            <w:bookmarkStart w:id="11" w:name="References"/>
            <w:bookmarkEnd w:id="11"/>
            <w:r>
              <w:rPr>
                <w:szCs w:val="24"/>
              </w:rPr>
              <w:t>[1] World Population Ageing 2015</w:t>
            </w:r>
          </w:p>
          <w:p w:rsidR="0032590A" w:rsidRDefault="0032590A" w:rsidP="0032590A">
            <w:pPr>
              <w:tabs>
                <w:tab w:val="clear" w:pos="794"/>
                <w:tab w:val="clear" w:pos="1191"/>
                <w:tab w:val="clear" w:pos="1588"/>
                <w:tab w:val="clear" w:pos="1985"/>
                <w:tab w:val="left" w:pos="1951"/>
              </w:tabs>
              <w:spacing w:before="60" w:after="60"/>
              <w:rPr>
                <w:szCs w:val="24"/>
              </w:rPr>
            </w:pPr>
            <w:hyperlink r:id="rId9" w:history="1">
              <w:r w:rsidRPr="00BC199C">
                <w:rPr>
                  <w:rStyle w:val="Hyperlink"/>
                  <w:szCs w:val="24"/>
                </w:rPr>
                <w:t>http://www.un.org/en/development/desa/population/publications/pdf/ageing/WPA2015_Report.pdf</w:t>
              </w:r>
            </w:hyperlink>
            <w:r>
              <w:rPr>
                <w:szCs w:val="24"/>
              </w:rPr>
              <w:t xml:space="preserve"> </w:t>
            </w:r>
          </w:p>
          <w:p w:rsidR="003A6B2D" w:rsidRDefault="003A6B2D" w:rsidP="0032590A">
            <w:pPr>
              <w:tabs>
                <w:tab w:val="clear" w:pos="794"/>
                <w:tab w:val="clear" w:pos="1191"/>
                <w:tab w:val="clear" w:pos="1588"/>
                <w:tab w:val="clear" w:pos="1985"/>
                <w:tab w:val="left" w:pos="1951"/>
              </w:tabs>
              <w:spacing w:before="60" w:after="60"/>
              <w:rPr>
                <w:szCs w:val="24"/>
              </w:rPr>
            </w:pPr>
            <w:r>
              <w:rPr>
                <w:szCs w:val="24"/>
              </w:rPr>
              <w:t>[2] G7 ICT Ministers' Meeting in Takamatsu, Kagawa in April 2016</w:t>
            </w:r>
          </w:p>
          <w:p w:rsidR="00C04537" w:rsidRPr="000824C7" w:rsidRDefault="0032590A" w:rsidP="0032590A">
            <w:pPr>
              <w:tabs>
                <w:tab w:val="clear" w:pos="794"/>
                <w:tab w:val="clear" w:pos="1191"/>
                <w:tab w:val="clear" w:pos="1588"/>
                <w:tab w:val="clear" w:pos="1985"/>
                <w:tab w:val="left" w:pos="1951"/>
              </w:tabs>
              <w:spacing w:before="60" w:after="60"/>
              <w:rPr>
                <w:szCs w:val="24"/>
              </w:rPr>
            </w:pPr>
            <w:hyperlink r:id="rId10" w:history="1">
              <w:r w:rsidRPr="00BC199C">
                <w:rPr>
                  <w:rStyle w:val="Hyperlink"/>
                  <w:szCs w:val="24"/>
                </w:rPr>
                <w:t>http://www.soumu.go.jp/joho_kokusai/g7ict/english/index.html</w:t>
              </w:r>
            </w:hyperlink>
            <w:r>
              <w:rPr>
                <w:szCs w:val="24"/>
              </w:rPr>
              <w:t xml:space="preserve"> </w:t>
            </w:r>
          </w:p>
        </w:tc>
      </w:tr>
    </w:tbl>
    <w:p w:rsidR="009F7404" w:rsidRPr="00C04537" w:rsidRDefault="001B4B9B" w:rsidP="009F7404">
      <w:pPr>
        <w:tabs>
          <w:tab w:val="clear" w:pos="794"/>
          <w:tab w:val="clear" w:pos="1191"/>
          <w:tab w:val="clear" w:pos="1588"/>
          <w:tab w:val="clear" w:pos="1985"/>
          <w:tab w:val="left" w:pos="1951"/>
        </w:tabs>
        <w:spacing w:before="240"/>
        <w:rPr>
          <w:b/>
          <w:bCs/>
          <w:szCs w:val="24"/>
        </w:rPr>
      </w:pPr>
      <w:r w:rsidRPr="00C04537">
        <w:br w:type="page"/>
      </w:r>
      <w:r w:rsidR="009F7404" w:rsidRPr="00C04537">
        <w:rPr>
          <w:b/>
          <w:bCs/>
          <w:szCs w:val="24"/>
        </w:rPr>
        <w:lastRenderedPageBreak/>
        <w:t>Proposal</w:t>
      </w:r>
    </w:p>
    <w:p w:rsidR="003A6B2D" w:rsidRPr="0032590A" w:rsidRDefault="003A6B2D" w:rsidP="00A140EB">
      <w:pPr>
        <w:rPr>
          <w:b/>
          <w:bCs/>
          <w:szCs w:val="24"/>
        </w:rPr>
      </w:pPr>
      <w:bookmarkStart w:id="12" w:name="Proposal"/>
      <w:bookmarkEnd w:id="12"/>
      <w:r w:rsidRPr="0032590A">
        <w:rPr>
          <w:b/>
          <w:bCs/>
          <w:szCs w:val="24"/>
        </w:rPr>
        <w:t xml:space="preserve">1. </w:t>
      </w:r>
      <w:r w:rsidR="0032590A" w:rsidRPr="0032590A">
        <w:rPr>
          <w:b/>
          <w:bCs/>
          <w:szCs w:val="24"/>
        </w:rPr>
        <w:tab/>
      </w:r>
      <w:r w:rsidRPr="0032590A">
        <w:rPr>
          <w:b/>
          <w:bCs/>
          <w:szCs w:val="24"/>
        </w:rPr>
        <w:t>Promotion to study aging</w:t>
      </w:r>
    </w:p>
    <w:p w:rsidR="003A6B2D" w:rsidRDefault="003A6B2D" w:rsidP="00A140EB">
      <w:pPr>
        <w:rPr>
          <w:szCs w:val="24"/>
        </w:rPr>
      </w:pPr>
      <w:r>
        <w:rPr>
          <w:szCs w:val="24"/>
        </w:rPr>
        <w:t>According to the United Nation’s report “World Population Ageing 2015</w:t>
      </w:r>
      <w:proofErr w:type="gramStart"/>
      <w:r>
        <w:rPr>
          <w:szCs w:val="24"/>
        </w:rPr>
        <w:t>”[</w:t>
      </w:r>
      <w:proofErr w:type="gramEnd"/>
      <w:r>
        <w:rPr>
          <w:szCs w:val="24"/>
        </w:rPr>
        <w:t xml:space="preserve">1], </w:t>
      </w:r>
    </w:p>
    <w:p w:rsidR="003A6B2D" w:rsidRDefault="003A6B2D" w:rsidP="00A140EB">
      <w:pPr>
        <w:rPr>
          <w:szCs w:val="24"/>
        </w:rPr>
      </w:pPr>
      <w:r>
        <w:rPr>
          <w:szCs w:val="24"/>
        </w:rPr>
        <w:t xml:space="preserve">Two thirds of the world’s older persons live in the developing regions and their numbers are growing faster there than in the developed regions. </w:t>
      </w:r>
    </w:p>
    <w:p w:rsidR="003A6B2D" w:rsidRDefault="003A6B2D" w:rsidP="00A140EB">
      <w:pPr>
        <w:rPr>
          <w:szCs w:val="24"/>
        </w:rPr>
      </w:pPr>
      <w:r>
        <w:rPr>
          <w:szCs w:val="24"/>
        </w:rPr>
        <w:t xml:space="preserve">The more developed regions were home to 38 per cent of the world’s older persons in 2000, but that percentage fell to 33 per cent in 2015 and is projected to continue to fall, such that, in 2030, 27 per cent of the world’s population aged 60 years or over will reside in the more developed regions. The growth rate of the older population of the more developed regions is projected to slow in the coming decades. While the number of people aged 60 years or over in developed regions grew by 29 per cent between 2000 and 2015, from 231 million to 299 million, it is projected to grow by 26 per cent over the next 15 years, reaching 375 million in 2030. </w:t>
      </w:r>
    </w:p>
    <w:p w:rsidR="003A6B2D" w:rsidRDefault="003A6B2D" w:rsidP="00A140EB">
      <w:pPr>
        <w:rPr>
          <w:szCs w:val="24"/>
        </w:rPr>
      </w:pPr>
      <w:r>
        <w:rPr>
          <w:szCs w:val="24"/>
        </w:rPr>
        <w:t>In contrast, in the developing regions, the growth of the population aged 60 years or over is accelerating. The number of older persons in the less developed regions grew from 376 million in 2000 to 602 million in 2015—an increase of 60 per cent—and it is projected to grow by 71 per cent between 2015 and 2030, when a projected 1 billion people aged 60 years or over will reside in the less developed regions. Projections indicate that 1.7 billion people aged 60 years or over— nearly 80 per cent of the world’s older population—will live in the less developed regions in 2050.</w:t>
      </w:r>
    </w:p>
    <w:p w:rsidR="003A6B2D" w:rsidRDefault="003A6B2D" w:rsidP="00A140EB">
      <w:pPr>
        <w:rPr>
          <w:szCs w:val="24"/>
        </w:rPr>
      </w:pPr>
      <w:r>
        <w:rPr>
          <w:szCs w:val="24"/>
        </w:rPr>
        <w:t xml:space="preserve">Aging is not only an issue for developed countries. In order to achieve SDGs, we should start sharing knowledge to support older persons through telecommunication/ICT services and applications. Fortunately, accessibility study (Q7/1) may be useful for older persons. </w:t>
      </w:r>
    </w:p>
    <w:p w:rsidR="003A6B2D" w:rsidRDefault="003A6B2D" w:rsidP="00A140EB">
      <w:pPr>
        <w:rPr>
          <w:szCs w:val="24"/>
        </w:rPr>
      </w:pPr>
      <w:r>
        <w:rPr>
          <w:szCs w:val="24"/>
        </w:rPr>
        <w:t>Therefore we would propose to revise the description of g) of the Declaration as follows;</w:t>
      </w:r>
    </w:p>
    <w:p w:rsidR="003A6B2D" w:rsidRDefault="003A6B2D" w:rsidP="00A140EB">
      <w:pPr>
        <w:rPr>
          <w:szCs w:val="24"/>
        </w:rPr>
      </w:pPr>
      <w:r>
        <w:rPr>
          <w:szCs w:val="24"/>
        </w:rPr>
        <w:t>g)</w:t>
      </w:r>
      <w:r>
        <w:rPr>
          <w:szCs w:val="24"/>
        </w:rPr>
        <w:tab/>
        <w:t xml:space="preserve">despite all the progress made during past years, the digital divide still remains, and is compounded by disparities in access, use and skills between and within countries, in particular between urban and rural areas, as well as in the availability of accessible and affordable telecommunications/ICTs, particularly for women, </w:t>
      </w:r>
      <w:proofErr w:type="spellStart"/>
      <w:r>
        <w:rPr>
          <w:szCs w:val="24"/>
        </w:rPr>
        <w:t>eldery</w:t>
      </w:r>
      <w:proofErr w:type="spellEnd"/>
      <w:r>
        <w:rPr>
          <w:szCs w:val="24"/>
        </w:rPr>
        <w:t>, youth, children, indigenous people and persons with disabilities and specific needs;</w:t>
      </w:r>
    </w:p>
    <w:p w:rsidR="003A6B2D" w:rsidRPr="0032590A" w:rsidRDefault="003A6B2D" w:rsidP="0032590A">
      <w:pPr>
        <w:rPr>
          <w:b/>
          <w:bCs/>
          <w:szCs w:val="24"/>
        </w:rPr>
      </w:pPr>
      <w:r w:rsidRPr="0032590A">
        <w:rPr>
          <w:b/>
          <w:bCs/>
          <w:szCs w:val="24"/>
        </w:rPr>
        <w:t>2.</w:t>
      </w:r>
      <w:r w:rsidR="0032590A">
        <w:rPr>
          <w:b/>
          <w:bCs/>
          <w:szCs w:val="24"/>
        </w:rPr>
        <w:tab/>
      </w:r>
      <w:r w:rsidRPr="0032590A">
        <w:rPr>
          <w:b/>
          <w:bCs/>
          <w:szCs w:val="24"/>
        </w:rPr>
        <w:t>Promotion to study artificial intelligence</w:t>
      </w:r>
    </w:p>
    <w:p w:rsidR="003A6B2D" w:rsidRDefault="003A6B2D" w:rsidP="00A140EB">
      <w:pPr>
        <w:rPr>
          <w:szCs w:val="24"/>
        </w:rPr>
      </w:pPr>
      <w:r>
        <w:rPr>
          <w:szCs w:val="24"/>
        </w:rPr>
        <w:t xml:space="preserve">Emerging technologies have been impacting on our society and we should work for maximize their benefit and minimize their disadvantages. For a couple of years, activities for the implementation of artificial intelligence technology have been raised in industrial sectors. In response to that, G7 ICT ministers agreed to start international debates about social and economic issues by artificial intelligence at the G7 ICT Ministers' Meeting in Takamatsu, Kagawa in April 2016[2]. </w:t>
      </w:r>
    </w:p>
    <w:p w:rsidR="003A6B2D" w:rsidRDefault="003A6B2D" w:rsidP="00A140EB">
      <w:pPr>
        <w:rPr>
          <w:szCs w:val="24"/>
        </w:rPr>
      </w:pPr>
      <w:r>
        <w:rPr>
          <w:szCs w:val="24"/>
        </w:rPr>
        <w:t xml:space="preserve">We would like to contribute to the exchange of our challenges to emerging technologies including AI, </w:t>
      </w:r>
      <w:proofErr w:type="spellStart"/>
      <w:r>
        <w:rPr>
          <w:szCs w:val="24"/>
        </w:rPr>
        <w:t>IoT</w:t>
      </w:r>
      <w:proofErr w:type="spellEnd"/>
      <w:r>
        <w:rPr>
          <w:szCs w:val="24"/>
        </w:rPr>
        <w:t xml:space="preserve"> and </w:t>
      </w:r>
      <w:proofErr w:type="spellStart"/>
      <w:r>
        <w:rPr>
          <w:szCs w:val="24"/>
        </w:rPr>
        <w:t>BigData</w:t>
      </w:r>
      <w:proofErr w:type="spellEnd"/>
      <w:r>
        <w:rPr>
          <w:szCs w:val="24"/>
        </w:rPr>
        <w:t>.</w:t>
      </w:r>
    </w:p>
    <w:p w:rsidR="003A6B2D" w:rsidRDefault="003A6B2D" w:rsidP="00A140EB">
      <w:pPr>
        <w:rPr>
          <w:szCs w:val="24"/>
        </w:rPr>
      </w:pPr>
      <w:r>
        <w:rPr>
          <w:szCs w:val="24"/>
        </w:rPr>
        <w:t>Therefore we would propose to revise description of 4 of the Declaration as follows;</w:t>
      </w:r>
    </w:p>
    <w:p w:rsidR="003A6B2D" w:rsidRDefault="003A6B2D" w:rsidP="00A140EB">
      <w:pPr>
        <w:rPr>
          <w:szCs w:val="24"/>
        </w:rPr>
      </w:pPr>
      <w:r>
        <w:rPr>
          <w:szCs w:val="24"/>
        </w:rPr>
        <w:t>4</w:t>
      </w:r>
      <w:r>
        <w:rPr>
          <w:szCs w:val="24"/>
        </w:rPr>
        <w:tab/>
        <w:t>new and emerging technologies such as big data, and the Internet of Things and artificial intelligence, should be harnessed for purposes of supporting global efforts aimed at further development of the information society;</w:t>
      </w:r>
    </w:p>
    <w:p w:rsidR="0070796E" w:rsidRPr="00C04537" w:rsidRDefault="0032590A" w:rsidP="0032590A">
      <w:pPr>
        <w:jc w:val="center"/>
        <w:rPr>
          <w:szCs w:val="24"/>
        </w:rPr>
      </w:pPr>
      <w:r>
        <w:rPr>
          <w:szCs w:val="24"/>
        </w:rPr>
        <w:t>___________________-</w:t>
      </w:r>
    </w:p>
    <w:sectPr w:rsidR="0070796E" w:rsidRPr="00C04537">
      <w:headerReference w:type="even" r:id="rId11"/>
      <w:headerReference w:type="default" r:id="rId12"/>
      <w:footerReference w:type="even" r:id="rId13"/>
      <w:footerReference w:type="default" r:id="rId14"/>
      <w:headerReference w:type="first" r:id="rId15"/>
      <w:footerReference w:type="first" r:id="rId16"/>
      <w:pgSz w:w="11909" w:h="16834" w:code="9"/>
      <w:pgMar w:top="567" w:right="851" w:bottom="1276" w:left="851" w:header="720" w:footer="61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6B2D" w:rsidRDefault="003A6B2D">
      <w:r>
        <w:separator/>
      </w:r>
    </w:p>
  </w:endnote>
  <w:endnote w:type="continuationSeparator" w:id="0">
    <w:p w:rsidR="003A6B2D" w:rsidRDefault="003A6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Times New Roman Bold">
    <w:panose1 w:val="02020803070505020304"/>
    <w:charset w:val="00"/>
    <w:family w:val="auto"/>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90A" w:rsidRDefault="003259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537" w:rsidRPr="0032590A" w:rsidRDefault="00C04537" w:rsidP="0032590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537" w:rsidRDefault="00C04537" w:rsidP="00B055E8"/>
  <w:tbl>
    <w:tblPr>
      <w:tblW w:w="0" w:type="auto"/>
      <w:tblLayout w:type="fixed"/>
      <w:tblLook w:val="04A0" w:firstRow="1" w:lastRow="0" w:firstColumn="1" w:lastColumn="0" w:noHBand="0" w:noVBand="1"/>
    </w:tblPr>
    <w:tblGrid>
      <w:gridCol w:w="1526"/>
      <w:gridCol w:w="2410"/>
      <w:gridCol w:w="5919"/>
    </w:tblGrid>
    <w:tr w:rsidR="00C04537" w:rsidRPr="004D495C" w:rsidTr="004D495C">
      <w:tc>
        <w:tcPr>
          <w:tcW w:w="1526" w:type="dxa"/>
          <w:tcBorders>
            <w:top w:val="single" w:sz="4" w:space="0" w:color="000000"/>
          </w:tcBorders>
          <w:shd w:val="clear" w:color="auto" w:fill="auto"/>
        </w:tcPr>
        <w:p w:rsidR="00C04537" w:rsidRPr="004D495C" w:rsidRDefault="00C04537" w:rsidP="004D495C">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C04537" w:rsidRPr="004D495C" w:rsidRDefault="00C04537" w:rsidP="004D495C">
          <w:pPr>
            <w:pStyle w:val="FirstFooter"/>
            <w:tabs>
              <w:tab w:val="left" w:pos="2302"/>
            </w:tabs>
            <w:ind w:left="2302" w:hanging="2302"/>
            <w:rPr>
              <w:sz w:val="18"/>
              <w:szCs w:val="18"/>
              <w:lang w:val="en-US"/>
            </w:rPr>
          </w:pPr>
          <w:r w:rsidRPr="004D495C">
            <w:rPr>
              <w:sz w:val="18"/>
              <w:szCs w:val="18"/>
              <w:lang w:val="en-US"/>
            </w:rPr>
            <w:t>Name/Organization/Entity:</w:t>
          </w:r>
        </w:p>
      </w:tc>
      <w:tc>
        <w:tcPr>
          <w:tcW w:w="5919" w:type="dxa"/>
          <w:tcBorders>
            <w:top w:val="single" w:sz="4" w:space="0" w:color="000000"/>
          </w:tcBorders>
          <w:shd w:val="clear" w:color="auto" w:fill="auto"/>
        </w:tcPr>
        <w:p w:rsidR="00C04537" w:rsidRPr="00103886" w:rsidRDefault="0032590A" w:rsidP="004D495C">
          <w:pPr>
            <w:pStyle w:val="FirstFooter"/>
            <w:tabs>
              <w:tab w:val="left" w:pos="2302"/>
            </w:tabs>
            <w:ind w:left="2302" w:hanging="2302"/>
            <w:rPr>
              <w:sz w:val="18"/>
              <w:szCs w:val="18"/>
              <w:lang w:val="en-US"/>
            </w:rPr>
          </w:pPr>
          <w:bookmarkStart w:id="16" w:name="OrgName"/>
          <w:bookmarkEnd w:id="16"/>
          <w:proofErr w:type="spellStart"/>
          <w:r>
            <w:rPr>
              <w:sz w:val="18"/>
              <w:szCs w:val="18"/>
              <w:lang w:val="en-US"/>
            </w:rPr>
            <w:t>Mr</w:t>
          </w:r>
          <w:proofErr w:type="spellEnd"/>
          <w:r>
            <w:rPr>
              <w:sz w:val="18"/>
              <w:szCs w:val="18"/>
              <w:lang w:val="en-US"/>
            </w:rPr>
            <w:t xml:space="preserve"> </w:t>
          </w:r>
          <w:r w:rsidR="003A6B2D">
            <w:rPr>
              <w:sz w:val="18"/>
              <w:szCs w:val="18"/>
              <w:lang w:val="en-US"/>
            </w:rPr>
            <w:t>Yoshiaki NAGAYA, Delegation of Japan, Japan</w:t>
          </w:r>
        </w:p>
      </w:tc>
    </w:tr>
    <w:tr w:rsidR="00C04537" w:rsidRPr="004D495C" w:rsidTr="004D495C">
      <w:tc>
        <w:tcPr>
          <w:tcW w:w="1526" w:type="dxa"/>
          <w:shd w:val="clear" w:color="auto" w:fill="auto"/>
        </w:tcPr>
        <w:p w:rsidR="00C04537" w:rsidRPr="004D495C" w:rsidRDefault="00C04537" w:rsidP="004D495C">
          <w:pPr>
            <w:pStyle w:val="FirstFooter"/>
            <w:tabs>
              <w:tab w:val="left" w:pos="1559"/>
              <w:tab w:val="left" w:pos="3828"/>
            </w:tabs>
            <w:rPr>
              <w:sz w:val="20"/>
              <w:lang w:val="en-US"/>
            </w:rPr>
          </w:pPr>
        </w:p>
      </w:tc>
      <w:tc>
        <w:tcPr>
          <w:tcW w:w="2410" w:type="dxa"/>
          <w:shd w:val="clear" w:color="auto" w:fill="auto"/>
        </w:tcPr>
        <w:p w:rsidR="00C04537" w:rsidRPr="004D495C" w:rsidRDefault="00C04537" w:rsidP="004D495C">
          <w:pPr>
            <w:pStyle w:val="FirstFooter"/>
            <w:tabs>
              <w:tab w:val="left" w:pos="2302"/>
            </w:tabs>
            <w:rPr>
              <w:sz w:val="18"/>
              <w:szCs w:val="18"/>
              <w:lang w:val="en-US"/>
            </w:rPr>
          </w:pPr>
          <w:r w:rsidRPr="004D495C">
            <w:rPr>
              <w:sz w:val="18"/>
              <w:szCs w:val="18"/>
              <w:lang w:val="en-US"/>
            </w:rPr>
            <w:t>Phone number:</w:t>
          </w:r>
        </w:p>
      </w:tc>
      <w:tc>
        <w:tcPr>
          <w:tcW w:w="5919" w:type="dxa"/>
          <w:shd w:val="clear" w:color="auto" w:fill="auto"/>
        </w:tcPr>
        <w:p w:rsidR="00C04537" w:rsidRPr="00103886" w:rsidRDefault="003A6B2D" w:rsidP="004D495C">
          <w:pPr>
            <w:pStyle w:val="FirstFooter"/>
            <w:tabs>
              <w:tab w:val="left" w:pos="2302"/>
            </w:tabs>
            <w:rPr>
              <w:sz w:val="18"/>
              <w:szCs w:val="18"/>
              <w:lang w:val="en-US"/>
            </w:rPr>
          </w:pPr>
          <w:bookmarkStart w:id="17" w:name="PhoneNo"/>
          <w:bookmarkEnd w:id="17"/>
          <w:r>
            <w:rPr>
              <w:sz w:val="18"/>
              <w:szCs w:val="18"/>
              <w:lang w:val="en-US"/>
            </w:rPr>
            <w:t>+81</w:t>
          </w:r>
          <w:r w:rsidR="0032590A">
            <w:rPr>
              <w:sz w:val="18"/>
              <w:szCs w:val="18"/>
              <w:lang w:val="en-US"/>
            </w:rPr>
            <w:t xml:space="preserve"> </w:t>
          </w:r>
          <w:r>
            <w:rPr>
              <w:sz w:val="18"/>
              <w:szCs w:val="18"/>
              <w:lang w:val="en-US"/>
            </w:rPr>
            <w:t>35253592</w:t>
          </w:r>
          <w:r w:rsidR="0032590A">
            <w:rPr>
              <w:sz w:val="18"/>
              <w:szCs w:val="18"/>
              <w:lang w:val="en-US"/>
            </w:rPr>
            <w:t xml:space="preserve"> </w:t>
          </w:r>
          <w:r>
            <w:rPr>
              <w:sz w:val="18"/>
              <w:szCs w:val="18"/>
              <w:lang w:val="en-US"/>
            </w:rPr>
            <w:t>2</w:t>
          </w:r>
        </w:p>
      </w:tc>
    </w:tr>
    <w:tr w:rsidR="00C04537" w:rsidRPr="004D495C" w:rsidTr="004D495C">
      <w:tc>
        <w:tcPr>
          <w:tcW w:w="1526" w:type="dxa"/>
          <w:shd w:val="clear" w:color="auto" w:fill="auto"/>
        </w:tcPr>
        <w:p w:rsidR="00C04537" w:rsidRPr="004D495C" w:rsidRDefault="00C04537" w:rsidP="004D495C">
          <w:pPr>
            <w:pStyle w:val="FirstFooter"/>
            <w:tabs>
              <w:tab w:val="left" w:pos="1559"/>
              <w:tab w:val="left" w:pos="3828"/>
            </w:tabs>
            <w:rPr>
              <w:sz w:val="20"/>
              <w:lang w:val="en-US"/>
            </w:rPr>
          </w:pPr>
        </w:p>
      </w:tc>
      <w:tc>
        <w:tcPr>
          <w:tcW w:w="2410" w:type="dxa"/>
          <w:shd w:val="clear" w:color="auto" w:fill="auto"/>
        </w:tcPr>
        <w:p w:rsidR="00C04537" w:rsidRPr="004D495C" w:rsidRDefault="00C04537" w:rsidP="004D495C">
          <w:pPr>
            <w:pStyle w:val="FirstFooter"/>
            <w:tabs>
              <w:tab w:val="left" w:pos="2302"/>
            </w:tabs>
            <w:rPr>
              <w:sz w:val="18"/>
              <w:szCs w:val="18"/>
              <w:lang w:val="en-US"/>
            </w:rPr>
          </w:pPr>
          <w:r w:rsidRPr="004D495C">
            <w:rPr>
              <w:sz w:val="18"/>
              <w:szCs w:val="18"/>
              <w:lang w:val="en-US"/>
            </w:rPr>
            <w:t>E-mail:</w:t>
          </w:r>
        </w:p>
      </w:tc>
      <w:bookmarkStart w:id="18" w:name="Email"/>
      <w:bookmarkEnd w:id="18"/>
      <w:tc>
        <w:tcPr>
          <w:tcW w:w="5919" w:type="dxa"/>
          <w:shd w:val="clear" w:color="auto" w:fill="auto"/>
        </w:tcPr>
        <w:p w:rsidR="00C04537" w:rsidRPr="00103886" w:rsidRDefault="0032590A" w:rsidP="004D495C">
          <w:pPr>
            <w:pStyle w:val="FirstFooter"/>
            <w:tabs>
              <w:tab w:val="left" w:pos="2302"/>
            </w:tabs>
            <w:rPr>
              <w:sz w:val="18"/>
              <w:szCs w:val="18"/>
              <w:lang w:val="en-US"/>
            </w:rPr>
          </w:pPr>
          <w:r>
            <w:rPr>
              <w:sz w:val="18"/>
              <w:szCs w:val="18"/>
              <w:lang w:val="en-US"/>
            </w:rPr>
            <w:fldChar w:fldCharType="begin"/>
          </w:r>
          <w:r>
            <w:rPr>
              <w:sz w:val="18"/>
              <w:szCs w:val="18"/>
              <w:lang w:val="en-US"/>
            </w:rPr>
            <w:instrText xml:space="preserve"> HYPERLINK "mailto:ituline@ml.soumu.go.jp" </w:instrText>
          </w:r>
          <w:r>
            <w:rPr>
              <w:sz w:val="18"/>
              <w:szCs w:val="18"/>
              <w:lang w:val="en-US"/>
            </w:rPr>
            <w:fldChar w:fldCharType="separate"/>
          </w:r>
          <w:r w:rsidRPr="00BC199C">
            <w:rPr>
              <w:rStyle w:val="Hyperlink"/>
              <w:sz w:val="18"/>
              <w:szCs w:val="18"/>
              <w:lang w:val="en-US"/>
            </w:rPr>
            <w:t>ituline@ml.soumu.go.jp</w:t>
          </w:r>
          <w:r>
            <w:rPr>
              <w:sz w:val="18"/>
              <w:szCs w:val="18"/>
              <w:lang w:val="en-US"/>
            </w:rPr>
            <w:fldChar w:fldCharType="end"/>
          </w:r>
          <w:r>
            <w:rPr>
              <w:sz w:val="18"/>
              <w:szCs w:val="18"/>
              <w:lang w:val="en-US"/>
            </w:rPr>
            <w:t xml:space="preserve"> </w:t>
          </w:r>
        </w:p>
      </w:tc>
    </w:tr>
  </w:tbl>
  <w:bookmarkStart w:id="19" w:name="URL"/>
  <w:bookmarkEnd w:id="19"/>
  <w:p w:rsidR="00C04537" w:rsidRPr="0032590A" w:rsidRDefault="0032590A" w:rsidP="0032590A">
    <w:pPr>
      <w:jc w:val="center"/>
      <w:rPr>
        <w:sz w:val="18"/>
        <w:szCs w:val="18"/>
      </w:rPr>
    </w:pPr>
    <w:r>
      <w:fldChar w:fldCharType="begin"/>
    </w:r>
    <w:r>
      <w:instrText xml:space="preserve"> HYPERLINK "http://www.itu.int/go/en/wtdc17rpm" </w:instrText>
    </w:r>
    <w:r>
      <w:fldChar w:fldCharType="separate"/>
    </w:r>
    <w:r w:rsidRPr="004F5EF7">
      <w:rPr>
        <w:rStyle w:val="Hyperlink"/>
        <w:rFonts w:eastAsia="SimSun"/>
        <w:sz w:val="20"/>
      </w:rPr>
      <w:t>http://www.itu.int/go/en/wtdc17rpm</w:t>
    </w:r>
    <w:r>
      <w:rPr>
        <w:rStyle w:val="Hyperlink"/>
        <w:rFonts w:eastAsia="SimSu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6B2D" w:rsidRDefault="003A6B2D">
      <w:r>
        <w:separator/>
      </w:r>
    </w:p>
  </w:footnote>
  <w:footnote w:type="continuationSeparator" w:id="0">
    <w:p w:rsidR="003A6B2D" w:rsidRDefault="003A6B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90A" w:rsidRDefault="003259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537" w:rsidRPr="004D495C" w:rsidRDefault="00C04537" w:rsidP="00045E4A">
    <w:pPr>
      <w:tabs>
        <w:tab w:val="clear" w:pos="794"/>
        <w:tab w:val="clear" w:pos="1191"/>
        <w:tab w:val="clear" w:pos="1588"/>
        <w:tab w:val="clear" w:pos="1985"/>
        <w:tab w:val="center" w:pos="5103"/>
        <w:tab w:val="right" w:pos="10206"/>
      </w:tabs>
      <w:spacing w:before="0" w:after="360"/>
      <w:rPr>
        <w:smallCaps/>
        <w:spacing w:val="24"/>
        <w:sz w:val="22"/>
        <w:szCs w:val="22"/>
        <w:lang w:val="fr-CH"/>
      </w:rPr>
    </w:pPr>
    <w:r w:rsidRPr="004D495C">
      <w:rPr>
        <w:sz w:val="22"/>
        <w:szCs w:val="22"/>
      </w:rPr>
      <w:tab/>
    </w:r>
    <w:r w:rsidRPr="004D495C">
      <w:rPr>
        <w:sz w:val="22"/>
        <w:szCs w:val="22"/>
      </w:rPr>
      <w:t>ITU-D/</w:t>
    </w:r>
    <w:bookmarkStart w:id="13" w:name="DocRef2"/>
    <w:bookmarkEnd w:id="13"/>
    <w:r w:rsidR="0032590A">
      <w:rPr>
        <w:sz w:val="22"/>
        <w:szCs w:val="22"/>
      </w:rPr>
      <w:t>RPM-ASP17</w:t>
    </w:r>
    <w:bookmarkStart w:id="14" w:name="_GoBack"/>
    <w:bookmarkEnd w:id="14"/>
    <w:r w:rsidRPr="004D495C">
      <w:rPr>
        <w:sz w:val="22"/>
        <w:szCs w:val="22"/>
      </w:rPr>
      <w:t>/</w:t>
    </w:r>
    <w:bookmarkStart w:id="15" w:name="DocNo2"/>
    <w:bookmarkEnd w:id="15"/>
    <w:r w:rsidR="003A6B2D">
      <w:rPr>
        <w:sz w:val="22"/>
        <w:szCs w:val="22"/>
      </w:rPr>
      <w:t>28-E</w:t>
    </w:r>
    <w:r w:rsidRPr="004D495C">
      <w:rPr>
        <w:sz w:val="22"/>
        <w:szCs w:val="22"/>
      </w:rPr>
      <w:tab/>
      <w:t xml:space="preserve">Page </w:t>
    </w:r>
    <w:r w:rsidRPr="004D495C">
      <w:rPr>
        <w:sz w:val="22"/>
        <w:szCs w:val="22"/>
      </w:rPr>
      <w:fldChar w:fldCharType="begin"/>
    </w:r>
    <w:r w:rsidRPr="004D495C">
      <w:rPr>
        <w:sz w:val="22"/>
        <w:szCs w:val="22"/>
      </w:rPr>
      <w:instrText xml:space="preserve"> PAGE </w:instrText>
    </w:r>
    <w:r w:rsidRPr="004D495C">
      <w:rPr>
        <w:sz w:val="22"/>
        <w:szCs w:val="22"/>
      </w:rPr>
      <w:fldChar w:fldCharType="separate"/>
    </w:r>
    <w:r w:rsidR="0032590A">
      <w:rPr>
        <w:noProof/>
        <w:sz w:val="22"/>
        <w:szCs w:val="22"/>
      </w:rPr>
      <w:t>2</w:t>
    </w:r>
    <w:r w:rsidRPr="004D495C">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90A" w:rsidRDefault="003259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6"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8"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9"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3"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4"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0"/>
  </w:num>
  <w:num w:numId="13">
    <w:abstractNumId w:val="27"/>
  </w:num>
  <w:num w:numId="14">
    <w:abstractNumId w:val="12"/>
  </w:num>
  <w:num w:numId="15">
    <w:abstractNumId w:val="16"/>
  </w:num>
  <w:num w:numId="16">
    <w:abstractNumId w:val="30"/>
  </w:num>
  <w:num w:numId="17">
    <w:abstractNumId w:val="25"/>
  </w:num>
  <w:num w:numId="18">
    <w:abstractNumId w:val="13"/>
  </w:num>
  <w:num w:numId="19">
    <w:abstractNumId w:val="17"/>
  </w:num>
  <w:num w:numId="20">
    <w:abstractNumId w:val="22"/>
  </w:num>
  <w:num w:numId="21">
    <w:abstractNumId w:val="26"/>
  </w:num>
  <w:num w:numId="22">
    <w:abstractNumId w:val="15"/>
  </w:num>
  <w:num w:numId="23">
    <w:abstractNumId w:val="18"/>
  </w:num>
  <w:num w:numId="24">
    <w:abstractNumId w:val="24"/>
  </w:num>
  <w:num w:numId="25">
    <w:abstractNumId w:val="24"/>
  </w:num>
  <w:num w:numId="26">
    <w:abstractNumId w:val="19"/>
  </w:num>
  <w:num w:numId="27">
    <w:abstractNumId w:val="14"/>
  </w:num>
  <w:num w:numId="28">
    <w:abstractNumId w:val="28"/>
  </w:num>
  <w:num w:numId="29">
    <w:abstractNumId w:val="11"/>
  </w:num>
  <w:num w:numId="30">
    <w:abstractNumId w:val="21"/>
  </w:num>
  <w:num w:numId="31">
    <w:abstractNumId w:val="29"/>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B2D"/>
    <w:rsid w:val="00003125"/>
    <w:rsid w:val="00005245"/>
    <w:rsid w:val="00006684"/>
    <w:rsid w:val="00017BEC"/>
    <w:rsid w:val="00017E7D"/>
    <w:rsid w:val="00017E82"/>
    <w:rsid w:val="00021A72"/>
    <w:rsid w:val="000221F5"/>
    <w:rsid w:val="00022BFD"/>
    <w:rsid w:val="00032DD2"/>
    <w:rsid w:val="000370A8"/>
    <w:rsid w:val="00045E4A"/>
    <w:rsid w:val="0006050B"/>
    <w:rsid w:val="00080665"/>
    <w:rsid w:val="000824C7"/>
    <w:rsid w:val="00085784"/>
    <w:rsid w:val="000A3328"/>
    <w:rsid w:val="000D0403"/>
    <w:rsid w:val="000D61A2"/>
    <w:rsid w:val="000D7961"/>
    <w:rsid w:val="000E397B"/>
    <w:rsid w:val="000F1580"/>
    <w:rsid w:val="00103886"/>
    <w:rsid w:val="001229F6"/>
    <w:rsid w:val="0015200D"/>
    <w:rsid w:val="0015553B"/>
    <w:rsid w:val="00161A5A"/>
    <w:rsid w:val="00170AB9"/>
    <w:rsid w:val="00181928"/>
    <w:rsid w:val="001856D7"/>
    <w:rsid w:val="00187E51"/>
    <w:rsid w:val="00192DBD"/>
    <w:rsid w:val="0019399A"/>
    <w:rsid w:val="001A52E9"/>
    <w:rsid w:val="001B4B9B"/>
    <w:rsid w:val="001B63AC"/>
    <w:rsid w:val="001D3694"/>
    <w:rsid w:val="001E33AB"/>
    <w:rsid w:val="001E3BCF"/>
    <w:rsid w:val="00235915"/>
    <w:rsid w:val="00252877"/>
    <w:rsid w:val="00262B06"/>
    <w:rsid w:val="00270C45"/>
    <w:rsid w:val="002748B0"/>
    <w:rsid w:val="00275198"/>
    <w:rsid w:val="0028054C"/>
    <w:rsid w:val="002869AF"/>
    <w:rsid w:val="00286A28"/>
    <w:rsid w:val="002900F9"/>
    <w:rsid w:val="00295878"/>
    <w:rsid w:val="002A3A4E"/>
    <w:rsid w:val="002B02FE"/>
    <w:rsid w:val="002B1A8F"/>
    <w:rsid w:val="002B2265"/>
    <w:rsid w:val="002C67D8"/>
    <w:rsid w:val="002D0049"/>
    <w:rsid w:val="0030762F"/>
    <w:rsid w:val="00311BD3"/>
    <w:rsid w:val="00312685"/>
    <w:rsid w:val="0032590A"/>
    <w:rsid w:val="00334C18"/>
    <w:rsid w:val="003513DB"/>
    <w:rsid w:val="0036243F"/>
    <w:rsid w:val="00385ABF"/>
    <w:rsid w:val="00392AF3"/>
    <w:rsid w:val="003A6A11"/>
    <w:rsid w:val="003A6B2D"/>
    <w:rsid w:val="003B75F4"/>
    <w:rsid w:val="003C78E4"/>
    <w:rsid w:val="003E20FF"/>
    <w:rsid w:val="004077C9"/>
    <w:rsid w:val="00414E6F"/>
    <w:rsid w:val="00415F06"/>
    <w:rsid w:val="00416D38"/>
    <w:rsid w:val="00425DDF"/>
    <w:rsid w:val="004331DF"/>
    <w:rsid w:val="0043566B"/>
    <w:rsid w:val="004430CE"/>
    <w:rsid w:val="00457453"/>
    <w:rsid w:val="0046327F"/>
    <w:rsid w:val="00472A03"/>
    <w:rsid w:val="00483313"/>
    <w:rsid w:val="00487A55"/>
    <w:rsid w:val="004A0340"/>
    <w:rsid w:val="004A28F0"/>
    <w:rsid w:val="004A34DD"/>
    <w:rsid w:val="004A564F"/>
    <w:rsid w:val="004C4C2E"/>
    <w:rsid w:val="004C4E14"/>
    <w:rsid w:val="004D0AC9"/>
    <w:rsid w:val="004D2D58"/>
    <w:rsid w:val="004D3DC4"/>
    <w:rsid w:val="004D495C"/>
    <w:rsid w:val="004E3824"/>
    <w:rsid w:val="004F09F8"/>
    <w:rsid w:val="00502BFC"/>
    <w:rsid w:val="00511EDF"/>
    <w:rsid w:val="00523237"/>
    <w:rsid w:val="00523E05"/>
    <w:rsid w:val="005302F6"/>
    <w:rsid w:val="00542D84"/>
    <w:rsid w:val="00562A87"/>
    <w:rsid w:val="0058604B"/>
    <w:rsid w:val="005B37AF"/>
    <w:rsid w:val="005B45E9"/>
    <w:rsid w:val="005C0E75"/>
    <w:rsid w:val="005C33BC"/>
    <w:rsid w:val="005D12FD"/>
    <w:rsid w:val="005E07F1"/>
    <w:rsid w:val="005F2DA4"/>
    <w:rsid w:val="00622A8F"/>
    <w:rsid w:val="006354E9"/>
    <w:rsid w:val="0064011F"/>
    <w:rsid w:val="006444D5"/>
    <w:rsid w:val="0065094C"/>
    <w:rsid w:val="006527BD"/>
    <w:rsid w:val="00663234"/>
    <w:rsid w:val="00667E12"/>
    <w:rsid w:val="00676C62"/>
    <w:rsid w:val="00677A58"/>
    <w:rsid w:val="00685848"/>
    <w:rsid w:val="006A6F8F"/>
    <w:rsid w:val="006C0E12"/>
    <w:rsid w:val="006C3164"/>
    <w:rsid w:val="006C7A7B"/>
    <w:rsid w:val="006D0B95"/>
    <w:rsid w:val="006F1CE9"/>
    <w:rsid w:val="006F4EA2"/>
    <w:rsid w:val="0070090A"/>
    <w:rsid w:val="0070796E"/>
    <w:rsid w:val="00735AC3"/>
    <w:rsid w:val="00735B54"/>
    <w:rsid w:val="00755605"/>
    <w:rsid w:val="00762A1E"/>
    <w:rsid w:val="007679D2"/>
    <w:rsid w:val="00770299"/>
    <w:rsid w:val="00781933"/>
    <w:rsid w:val="00794FF3"/>
    <w:rsid w:val="00795647"/>
    <w:rsid w:val="00797056"/>
    <w:rsid w:val="007B145B"/>
    <w:rsid w:val="007B5E61"/>
    <w:rsid w:val="007B7C19"/>
    <w:rsid w:val="00800D40"/>
    <w:rsid w:val="00810A21"/>
    <w:rsid w:val="00811068"/>
    <w:rsid w:val="00813980"/>
    <w:rsid w:val="00817846"/>
    <w:rsid w:val="00833A72"/>
    <w:rsid w:val="00833F2B"/>
    <w:rsid w:val="008340D6"/>
    <w:rsid w:val="0083540C"/>
    <w:rsid w:val="00835BBF"/>
    <w:rsid w:val="00852CC6"/>
    <w:rsid w:val="00870D98"/>
    <w:rsid w:val="008740CF"/>
    <w:rsid w:val="008A357D"/>
    <w:rsid w:val="008D1768"/>
    <w:rsid w:val="008F2196"/>
    <w:rsid w:val="00903414"/>
    <w:rsid w:val="009043C2"/>
    <w:rsid w:val="009074FD"/>
    <w:rsid w:val="00912887"/>
    <w:rsid w:val="00915921"/>
    <w:rsid w:val="00930F7E"/>
    <w:rsid w:val="00941145"/>
    <w:rsid w:val="0094145C"/>
    <w:rsid w:val="00942ED4"/>
    <w:rsid w:val="00951378"/>
    <w:rsid w:val="00953C7D"/>
    <w:rsid w:val="0096235E"/>
    <w:rsid w:val="0097038C"/>
    <w:rsid w:val="009B17EA"/>
    <w:rsid w:val="009B6F98"/>
    <w:rsid w:val="009E3FEB"/>
    <w:rsid w:val="009E50D3"/>
    <w:rsid w:val="009F7404"/>
    <w:rsid w:val="00A13179"/>
    <w:rsid w:val="00A140EB"/>
    <w:rsid w:val="00A65745"/>
    <w:rsid w:val="00A824E0"/>
    <w:rsid w:val="00A825E2"/>
    <w:rsid w:val="00A833EE"/>
    <w:rsid w:val="00A840C6"/>
    <w:rsid w:val="00AA68A1"/>
    <w:rsid w:val="00AB4706"/>
    <w:rsid w:val="00AC3A1D"/>
    <w:rsid w:val="00AC7AC6"/>
    <w:rsid w:val="00AD799C"/>
    <w:rsid w:val="00AE1C97"/>
    <w:rsid w:val="00AE2BCA"/>
    <w:rsid w:val="00AF0A2E"/>
    <w:rsid w:val="00AF4619"/>
    <w:rsid w:val="00B055E8"/>
    <w:rsid w:val="00B13550"/>
    <w:rsid w:val="00B154AD"/>
    <w:rsid w:val="00B2033A"/>
    <w:rsid w:val="00B20B08"/>
    <w:rsid w:val="00B24401"/>
    <w:rsid w:val="00B34B6C"/>
    <w:rsid w:val="00B4143C"/>
    <w:rsid w:val="00B41935"/>
    <w:rsid w:val="00B46EC5"/>
    <w:rsid w:val="00B50E11"/>
    <w:rsid w:val="00B528E2"/>
    <w:rsid w:val="00B532C0"/>
    <w:rsid w:val="00B60B80"/>
    <w:rsid w:val="00B830A9"/>
    <w:rsid w:val="00B8609C"/>
    <w:rsid w:val="00BB67AF"/>
    <w:rsid w:val="00BC1350"/>
    <w:rsid w:val="00BC6A2F"/>
    <w:rsid w:val="00BF1682"/>
    <w:rsid w:val="00BF269F"/>
    <w:rsid w:val="00C04537"/>
    <w:rsid w:val="00C25C02"/>
    <w:rsid w:val="00C26729"/>
    <w:rsid w:val="00C37B27"/>
    <w:rsid w:val="00C53CE6"/>
    <w:rsid w:val="00C551FC"/>
    <w:rsid w:val="00C648E4"/>
    <w:rsid w:val="00C67A0A"/>
    <w:rsid w:val="00C75DBB"/>
    <w:rsid w:val="00C77893"/>
    <w:rsid w:val="00C837F9"/>
    <w:rsid w:val="00C84158"/>
    <w:rsid w:val="00C84E60"/>
    <w:rsid w:val="00CF63E1"/>
    <w:rsid w:val="00D00614"/>
    <w:rsid w:val="00D17DC5"/>
    <w:rsid w:val="00D35307"/>
    <w:rsid w:val="00D4563B"/>
    <w:rsid w:val="00D80072"/>
    <w:rsid w:val="00D92439"/>
    <w:rsid w:val="00DA1664"/>
    <w:rsid w:val="00DA2F6F"/>
    <w:rsid w:val="00DA3130"/>
    <w:rsid w:val="00DB5B1B"/>
    <w:rsid w:val="00DB6C98"/>
    <w:rsid w:val="00DE3F2D"/>
    <w:rsid w:val="00DE460C"/>
    <w:rsid w:val="00DF2EBE"/>
    <w:rsid w:val="00E20210"/>
    <w:rsid w:val="00E207C7"/>
    <w:rsid w:val="00E2379D"/>
    <w:rsid w:val="00E244D1"/>
    <w:rsid w:val="00E7476B"/>
    <w:rsid w:val="00E74841"/>
    <w:rsid w:val="00E831B6"/>
    <w:rsid w:val="00E84413"/>
    <w:rsid w:val="00E97390"/>
    <w:rsid w:val="00E97800"/>
    <w:rsid w:val="00EA6520"/>
    <w:rsid w:val="00EA72D0"/>
    <w:rsid w:val="00EF0656"/>
    <w:rsid w:val="00EF394B"/>
    <w:rsid w:val="00EF62C8"/>
    <w:rsid w:val="00F2422E"/>
    <w:rsid w:val="00F40E2E"/>
    <w:rsid w:val="00F620CA"/>
    <w:rsid w:val="00F74154"/>
    <w:rsid w:val="00F842D3"/>
    <w:rsid w:val="00F87092"/>
    <w:rsid w:val="00FD281F"/>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676FC8D-9081-46A8-85E5-E33D36A63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val="en-GB" w:eastAsia="en-US"/>
    </w:rPr>
  </w:style>
  <w:style w:type="paragraph" w:styleId="Heading1">
    <w:name w:val="heading 1"/>
    <w:basedOn w:val="Normal"/>
    <w:next w:val="Normal"/>
    <w:qFormat/>
    <w:rsid w:val="00930F7E"/>
    <w:pPr>
      <w:keepNext/>
      <w:keepLines/>
      <w:spacing w:before="280"/>
      <w:ind w:left="794" w:hanging="794"/>
      <w:outlineLvl w:val="0"/>
    </w:pPr>
    <w:rPr>
      <w:b/>
    </w:rPr>
  </w:style>
  <w:style w:type="paragraph" w:styleId="Heading2">
    <w:name w:val="heading 2"/>
    <w:basedOn w:val="Heading1"/>
    <w:next w:val="Normal"/>
    <w:qFormat/>
    <w:rsid w:val="00930F7E"/>
    <w:pPr>
      <w:spacing w:before="200"/>
      <w:outlineLvl w:val="1"/>
    </w:pPr>
  </w:style>
  <w:style w:type="paragraph" w:styleId="Heading3">
    <w:name w:val="heading 3"/>
    <w:basedOn w:val="Heading1"/>
    <w:next w:val="Normal"/>
    <w:qFormat/>
    <w:rsid w:val="00930F7E"/>
    <w:pPr>
      <w:spacing w:before="200"/>
      <w:outlineLvl w:val="2"/>
    </w:pPr>
  </w:style>
  <w:style w:type="paragraph" w:styleId="Heading4">
    <w:name w:val="heading 4"/>
    <w:basedOn w:val="Heading3"/>
    <w:next w:val="Normal"/>
    <w:qFormat/>
    <w:rsid w:val="00930F7E"/>
    <w:pPr>
      <w:tabs>
        <w:tab w:val="clear" w:pos="794"/>
        <w:tab w:val="left" w:pos="992"/>
      </w:tabs>
      <w:ind w:left="992" w:hanging="992"/>
      <w:outlineLvl w:val="3"/>
    </w:pPr>
  </w:style>
  <w:style w:type="paragraph" w:styleId="Heading5">
    <w:name w:val="heading 5"/>
    <w:basedOn w:val="Heading4"/>
    <w:next w:val="Normal"/>
    <w:qFormat/>
    <w:rsid w:val="00930F7E"/>
    <w:pPr>
      <w:outlineLvl w:val="4"/>
    </w:pPr>
  </w:style>
  <w:style w:type="paragraph" w:styleId="Heading6">
    <w:name w:val="heading 6"/>
    <w:basedOn w:val="Heading4"/>
    <w:next w:val="Normal"/>
    <w:qFormat/>
    <w:rsid w:val="00930F7E"/>
    <w:pPr>
      <w:tabs>
        <w:tab w:val="clear" w:pos="992"/>
        <w:tab w:val="clear" w:pos="1191"/>
      </w:tabs>
      <w:ind w:left="1588" w:hanging="1588"/>
      <w:outlineLvl w:val="5"/>
    </w:pPr>
  </w:style>
  <w:style w:type="paragraph" w:styleId="Heading7">
    <w:name w:val="heading 7"/>
    <w:basedOn w:val="Heading6"/>
    <w:next w:val="Normal"/>
    <w:qFormat/>
    <w:rsid w:val="00930F7E"/>
    <w:pPr>
      <w:outlineLvl w:val="6"/>
    </w:pPr>
  </w:style>
  <w:style w:type="paragraph" w:styleId="Heading8">
    <w:name w:val="heading 8"/>
    <w:basedOn w:val="Heading6"/>
    <w:next w:val="Normal"/>
    <w:qFormat/>
    <w:rsid w:val="00930F7E"/>
    <w:pPr>
      <w:outlineLvl w:val="7"/>
    </w:pPr>
  </w:style>
  <w:style w:type="paragraph" w:styleId="Heading9">
    <w:name w:val="heading 9"/>
    <w:basedOn w:val="Heading6"/>
    <w:next w:val="Normal"/>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aliases w:val="CEO_Hyperlink"/>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5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rsid w:val="00930F7E"/>
    <w:pPr>
      <w:spacing w:before="80"/>
      <w:ind w:left="794" w:hanging="794"/>
    </w:pPr>
  </w:style>
  <w:style w:type="paragraph" w:customStyle="1" w:styleId="enumlev2">
    <w:name w:val="enumlev2"/>
    <w:basedOn w:val="enumlev1"/>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rsid w:val="00930F7E"/>
    <w:rPr>
      <w:rFonts w:ascii="Calibri" w:hAnsi="Calibri"/>
      <w:position w:val="6"/>
      <w:sz w:val="18"/>
    </w:rPr>
  </w:style>
  <w:style w:type="paragraph" w:styleId="FootnoteText">
    <w:name w:val="footnote text"/>
    <w:basedOn w:val="Normal"/>
    <w:link w:val="FootnoteTextChar"/>
    <w:rsid w:val="00930F7E"/>
    <w:pPr>
      <w:keepLines/>
      <w:tabs>
        <w:tab w:val="left" w:pos="255"/>
      </w:tabs>
      <w:ind w:left="255" w:hanging="255"/>
    </w:pPr>
  </w:style>
  <w:style w:type="character" w:customStyle="1" w:styleId="FootnoteTextChar">
    <w:name w:val="Footnote Text Char"/>
    <w:link w:val="FootnoteText"/>
    <w:rsid w:val="00930F7E"/>
    <w:rPr>
      <w:rFonts w:ascii="Calibri" w:eastAsia="Times New Roman" w:hAnsi="Calibri"/>
      <w:sz w:val="24"/>
      <w:lang w:eastAsia="en-US"/>
    </w:rPr>
  </w:style>
  <w:style w:type="paragraph" w:customStyle="1" w:styleId="Headingb">
    <w:name w:val="Heading_b"/>
    <w:basedOn w:val="Normal"/>
    <w:next w:val="Normal"/>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rsid w:val="00930F7E"/>
  </w:style>
  <w:style w:type="paragraph" w:customStyle="1" w:styleId="Resref">
    <w:name w:val="Res_ref"/>
    <w:basedOn w:val="Recref"/>
    <w:next w:val="Resdate"/>
    <w:rsid w:val="00930F7E"/>
  </w:style>
  <w:style w:type="paragraph" w:customStyle="1" w:styleId="Restitle">
    <w:name w:val="Res_title"/>
    <w:basedOn w:val="Rectitle"/>
    <w:next w:val="Resref"/>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930F7E"/>
    <w:pPr>
      <w:spacing w:before="120"/>
    </w:pPr>
  </w:style>
  <w:style w:type="paragraph" w:styleId="TOC3">
    <w:name w:val="toc 3"/>
    <w:basedOn w:val="TOC2"/>
    <w:rsid w:val="00930F7E"/>
  </w:style>
  <w:style w:type="paragraph" w:styleId="TOC4">
    <w:name w:val="toc 4"/>
    <w:basedOn w:val="TOC3"/>
    <w:rsid w:val="00930F7E"/>
  </w:style>
  <w:style w:type="paragraph" w:styleId="TOC5">
    <w:name w:val="toc 5"/>
    <w:basedOn w:val="TOC4"/>
    <w:rsid w:val="00930F7E"/>
  </w:style>
  <w:style w:type="paragraph" w:styleId="TOC6">
    <w:name w:val="toc 6"/>
    <w:basedOn w:val="TOC4"/>
    <w:rsid w:val="00930F7E"/>
  </w:style>
  <w:style w:type="paragraph" w:styleId="TOC7">
    <w:name w:val="toc 7"/>
    <w:basedOn w:val="TOC4"/>
    <w:rsid w:val="00930F7E"/>
  </w:style>
  <w:style w:type="paragraph" w:styleId="TOC8">
    <w:name w:val="toc 8"/>
    <w:basedOn w:val="TOC4"/>
    <w:rsid w:val="00930F7E"/>
  </w:style>
  <w:style w:type="paragraph" w:styleId="TOC9">
    <w:name w:val="toc 9"/>
    <w:basedOn w:val="TOC3"/>
    <w:next w:val="Normal"/>
    <w:rsid w:val="00930F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soumu.go.jp/joho_kokusai/g7ict/english/index.html" TargetMode="External"/><Relationship Id="rId4" Type="http://schemas.openxmlformats.org/officeDocument/2006/relationships/settings" Target="settings.xml"/><Relationship Id="rId9" Type="http://schemas.openxmlformats.org/officeDocument/2006/relationships/hyperlink" Target="http://www.un.org/en/development/desa/population/publications/pdf/ageing/WPA2015_Report.pdf" TargetMode="Externa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ALLBDT\RPM\RPM-WebContribution-en_V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8C62B-00F0-444A-9FB2-397F01A29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RPM-WebContribution-en_V2.dotm</Template>
  <TotalTime>3</TotalTime>
  <Pages>2</Pages>
  <Words>652</Words>
  <Characters>3779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4423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BDT DocsControl</dc:creator>
  <cp:keywords/>
  <cp:lastModifiedBy>BDT DocsControl</cp:lastModifiedBy>
  <cp:revision>3</cp:revision>
  <cp:lastPrinted>2009-02-13T19:37:00Z</cp:lastPrinted>
  <dcterms:created xsi:type="dcterms:W3CDTF">2017-03-07T13:13:00Z</dcterms:created>
  <dcterms:modified xsi:type="dcterms:W3CDTF">2017-03-07T13:15:00Z</dcterms:modified>
</cp:coreProperties>
</file>