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D83BF5" w:rsidRPr="00572F93">
        <w:trPr>
          <w:cantSplit/>
        </w:trPr>
        <w:tc>
          <w:tcPr>
            <w:tcW w:w="6911" w:type="dxa"/>
          </w:tcPr>
          <w:p w:rsidR="00D83BF5" w:rsidRPr="00572F93" w:rsidRDefault="003439C0" w:rsidP="00CB341F">
            <w:pPr>
              <w:spacing w:before="180"/>
              <w:rPr>
                <w:b/>
                <w:bCs/>
                <w:sz w:val="28"/>
                <w:szCs w:val="28"/>
                <w:lang w:val="fr-CH"/>
              </w:rPr>
            </w:pPr>
            <w:r w:rsidRPr="0002556D">
              <w:rPr>
                <w:b/>
                <w:bCs/>
                <w:sz w:val="28"/>
                <w:szCs w:val="28"/>
                <w:lang w:val="fr-CH"/>
              </w:rPr>
              <w:t>Réunion préparatoire régionale pour l’Europe (RPM-EUR) en vue de la CMDT-17</w:t>
            </w:r>
          </w:p>
        </w:tc>
        <w:tc>
          <w:tcPr>
            <w:tcW w:w="3120" w:type="dxa"/>
          </w:tcPr>
          <w:p w:rsidR="00D83BF5" w:rsidRPr="00572F93" w:rsidRDefault="00D83BF5" w:rsidP="00CB341F">
            <w:pPr>
              <w:spacing w:before="0"/>
              <w:jc w:val="right"/>
              <w:rPr>
                <w:rFonts w:cstheme="minorHAnsi"/>
                <w:lang w:val="fr-CH"/>
              </w:rPr>
            </w:pPr>
            <w:bookmarkStart w:id="0" w:name="ditulogo"/>
            <w:bookmarkEnd w:id="0"/>
            <w:r w:rsidRPr="00572F93">
              <w:rPr>
                <w:noProof/>
                <w:lang w:val="en-US" w:eastAsia="zh-CN"/>
              </w:rPr>
              <w:drawing>
                <wp:inline distT="0" distB="0" distL="0" distR="0" wp14:anchorId="3176E0AE" wp14:editId="389647E1">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D83BF5" w:rsidRPr="00572F93">
        <w:trPr>
          <w:cantSplit/>
        </w:trPr>
        <w:tc>
          <w:tcPr>
            <w:tcW w:w="6911" w:type="dxa"/>
            <w:tcBorders>
              <w:bottom w:val="single" w:sz="12" w:space="0" w:color="auto"/>
            </w:tcBorders>
          </w:tcPr>
          <w:p w:rsidR="00D83BF5" w:rsidRPr="00572F93" w:rsidRDefault="003439C0" w:rsidP="00CB341F">
            <w:pPr>
              <w:spacing w:before="0" w:after="48"/>
              <w:rPr>
                <w:rFonts w:cstheme="minorHAnsi"/>
                <w:b/>
                <w:smallCaps/>
                <w:szCs w:val="24"/>
                <w:lang w:val="fr-CH"/>
              </w:rPr>
            </w:pPr>
            <w:bookmarkStart w:id="1" w:name="dhead"/>
            <w:r>
              <w:rPr>
                <w:b/>
                <w:bCs/>
                <w:sz w:val="26"/>
                <w:szCs w:val="26"/>
              </w:rPr>
              <w:t xml:space="preserve">Vilnius, </w:t>
            </w:r>
            <w:proofErr w:type="spellStart"/>
            <w:r>
              <w:rPr>
                <w:b/>
                <w:bCs/>
                <w:sz w:val="26"/>
                <w:szCs w:val="26"/>
              </w:rPr>
              <w:t>Lithuanie</w:t>
            </w:r>
            <w:proofErr w:type="spellEnd"/>
            <w:r w:rsidRPr="00546F06">
              <w:rPr>
                <w:b/>
                <w:bCs/>
                <w:sz w:val="26"/>
                <w:szCs w:val="26"/>
              </w:rPr>
              <w:t xml:space="preserve">, </w:t>
            </w:r>
            <w:r>
              <w:rPr>
                <w:b/>
                <w:bCs/>
                <w:sz w:val="26"/>
                <w:szCs w:val="26"/>
              </w:rPr>
              <w:t xml:space="preserve">27-28 </w:t>
            </w:r>
            <w:proofErr w:type="spellStart"/>
            <w:r>
              <w:rPr>
                <w:b/>
                <w:bCs/>
                <w:sz w:val="26"/>
                <w:szCs w:val="26"/>
              </w:rPr>
              <w:t>avril</w:t>
            </w:r>
            <w:proofErr w:type="spellEnd"/>
            <w:r>
              <w:rPr>
                <w:b/>
                <w:bCs/>
                <w:sz w:val="26"/>
                <w:szCs w:val="26"/>
              </w:rPr>
              <w:t xml:space="preserve"> 2017</w:t>
            </w:r>
          </w:p>
        </w:tc>
        <w:tc>
          <w:tcPr>
            <w:tcW w:w="3120" w:type="dxa"/>
            <w:tcBorders>
              <w:bottom w:val="single" w:sz="12" w:space="0" w:color="auto"/>
            </w:tcBorders>
          </w:tcPr>
          <w:p w:rsidR="00D83BF5" w:rsidRPr="00572F93" w:rsidRDefault="00D83BF5" w:rsidP="00CB341F">
            <w:pPr>
              <w:spacing w:before="0"/>
              <w:rPr>
                <w:rFonts w:cstheme="minorHAnsi"/>
                <w:szCs w:val="24"/>
                <w:lang w:val="fr-CH"/>
              </w:rPr>
            </w:pPr>
          </w:p>
        </w:tc>
      </w:tr>
      <w:tr w:rsidR="00D83BF5" w:rsidRPr="00572F93">
        <w:trPr>
          <w:cantSplit/>
        </w:trPr>
        <w:tc>
          <w:tcPr>
            <w:tcW w:w="6911" w:type="dxa"/>
            <w:tcBorders>
              <w:top w:val="single" w:sz="12" w:space="0" w:color="auto"/>
            </w:tcBorders>
          </w:tcPr>
          <w:p w:rsidR="00D83BF5" w:rsidRPr="00572F93" w:rsidRDefault="00D83BF5" w:rsidP="00CB341F">
            <w:pPr>
              <w:spacing w:before="0" w:after="48"/>
              <w:rPr>
                <w:rFonts w:cstheme="minorHAnsi"/>
                <w:b/>
                <w:smallCaps/>
                <w:sz w:val="20"/>
                <w:lang w:val="fr-CH"/>
              </w:rPr>
            </w:pPr>
          </w:p>
        </w:tc>
        <w:tc>
          <w:tcPr>
            <w:tcW w:w="3120" w:type="dxa"/>
            <w:tcBorders>
              <w:top w:val="single" w:sz="12" w:space="0" w:color="auto"/>
            </w:tcBorders>
          </w:tcPr>
          <w:p w:rsidR="00D83BF5" w:rsidRPr="00572F93" w:rsidRDefault="00D83BF5" w:rsidP="00CB341F">
            <w:pPr>
              <w:spacing w:before="0"/>
              <w:rPr>
                <w:rFonts w:cstheme="minorHAnsi"/>
                <w:sz w:val="20"/>
                <w:lang w:val="fr-CH"/>
              </w:rPr>
            </w:pPr>
          </w:p>
        </w:tc>
      </w:tr>
      <w:tr w:rsidR="00D83BF5" w:rsidRPr="00572F93">
        <w:trPr>
          <w:cantSplit/>
          <w:trHeight w:val="23"/>
        </w:trPr>
        <w:tc>
          <w:tcPr>
            <w:tcW w:w="6911" w:type="dxa"/>
            <w:shd w:val="clear" w:color="auto" w:fill="auto"/>
          </w:tcPr>
          <w:p w:rsidR="00D83BF5" w:rsidRPr="00572F93" w:rsidRDefault="00D83BF5" w:rsidP="00CB341F">
            <w:pPr>
              <w:pStyle w:val="Committee"/>
              <w:framePr w:hSpace="0" w:wrap="auto" w:hAnchor="text" w:yAlign="inline"/>
              <w:spacing w:line="240" w:lineRule="auto"/>
              <w:rPr>
                <w:lang w:val="fr-CH"/>
              </w:rPr>
            </w:pPr>
            <w:bookmarkStart w:id="2" w:name="dnum" w:colFirst="1" w:colLast="1"/>
            <w:bookmarkStart w:id="3" w:name="dmeeting" w:colFirst="0" w:colLast="0"/>
            <w:bookmarkEnd w:id="1"/>
          </w:p>
        </w:tc>
        <w:tc>
          <w:tcPr>
            <w:tcW w:w="3120" w:type="dxa"/>
          </w:tcPr>
          <w:p w:rsidR="00D83BF5" w:rsidRPr="00572F93" w:rsidRDefault="00D83BF5" w:rsidP="003439C0">
            <w:pPr>
              <w:tabs>
                <w:tab w:val="left" w:pos="851"/>
              </w:tabs>
              <w:spacing w:before="0"/>
              <w:rPr>
                <w:rFonts w:cstheme="minorHAnsi"/>
                <w:szCs w:val="24"/>
                <w:lang w:val="fr-CH"/>
              </w:rPr>
            </w:pPr>
            <w:r w:rsidRPr="00572F93">
              <w:rPr>
                <w:b/>
                <w:bCs/>
                <w:szCs w:val="24"/>
                <w:lang w:val="fr-CH"/>
              </w:rPr>
              <w:t xml:space="preserve">Document </w:t>
            </w:r>
            <w:bookmarkStart w:id="4" w:name="DocRef1"/>
            <w:bookmarkEnd w:id="4"/>
            <w:r w:rsidRPr="00572F93">
              <w:rPr>
                <w:b/>
                <w:bCs/>
                <w:szCs w:val="24"/>
                <w:lang w:val="fr-CH"/>
              </w:rPr>
              <w:t>RPM-</w:t>
            </w:r>
            <w:r w:rsidR="003439C0">
              <w:rPr>
                <w:b/>
                <w:bCs/>
                <w:szCs w:val="24"/>
                <w:lang w:val="fr-CH"/>
              </w:rPr>
              <w:t>EUR</w:t>
            </w:r>
            <w:r w:rsidR="00067B05">
              <w:rPr>
                <w:b/>
                <w:bCs/>
                <w:szCs w:val="24"/>
                <w:lang w:val="fr-CH"/>
              </w:rPr>
              <w:t>17</w:t>
            </w:r>
            <w:r w:rsidRPr="00572F93">
              <w:rPr>
                <w:b/>
                <w:bCs/>
                <w:szCs w:val="24"/>
                <w:lang w:val="fr-CH"/>
              </w:rPr>
              <w:t>/</w:t>
            </w:r>
            <w:r w:rsidR="00CB341F">
              <w:rPr>
                <w:b/>
                <w:bCs/>
                <w:szCs w:val="24"/>
                <w:lang w:val="fr-CH"/>
              </w:rPr>
              <w:t>4</w:t>
            </w:r>
            <w:r w:rsidRPr="00572F93">
              <w:rPr>
                <w:b/>
                <w:bCs/>
                <w:szCs w:val="24"/>
                <w:lang w:val="fr-CH"/>
              </w:rPr>
              <w:t>-</w:t>
            </w:r>
            <w:r w:rsidR="00572F93" w:rsidRPr="00572F93">
              <w:rPr>
                <w:b/>
                <w:bCs/>
                <w:szCs w:val="24"/>
                <w:lang w:val="fr-CH"/>
              </w:rPr>
              <w:t>F</w:t>
            </w:r>
          </w:p>
        </w:tc>
      </w:tr>
      <w:tr w:rsidR="00D83BF5" w:rsidRPr="00572F93">
        <w:trPr>
          <w:cantSplit/>
          <w:trHeight w:val="23"/>
        </w:trPr>
        <w:tc>
          <w:tcPr>
            <w:tcW w:w="6911" w:type="dxa"/>
            <w:shd w:val="clear" w:color="auto" w:fill="auto"/>
          </w:tcPr>
          <w:p w:rsidR="00D83BF5" w:rsidRPr="00572F93" w:rsidRDefault="00D83BF5" w:rsidP="00CB341F">
            <w:pPr>
              <w:tabs>
                <w:tab w:val="left" w:pos="851"/>
              </w:tabs>
              <w:spacing w:before="0"/>
              <w:rPr>
                <w:rFonts w:cstheme="minorHAnsi"/>
                <w:b/>
                <w:szCs w:val="24"/>
                <w:lang w:val="fr-CH"/>
              </w:rPr>
            </w:pPr>
            <w:bookmarkStart w:id="5" w:name="ddate" w:colFirst="1" w:colLast="1"/>
            <w:bookmarkStart w:id="6" w:name="dblank" w:colFirst="0" w:colLast="0"/>
            <w:bookmarkEnd w:id="2"/>
            <w:bookmarkEnd w:id="3"/>
          </w:p>
        </w:tc>
        <w:tc>
          <w:tcPr>
            <w:tcW w:w="3120" w:type="dxa"/>
          </w:tcPr>
          <w:p w:rsidR="00D83BF5" w:rsidRPr="00572F93" w:rsidRDefault="003439C0" w:rsidP="003439C0">
            <w:pPr>
              <w:spacing w:before="0"/>
              <w:rPr>
                <w:rFonts w:cstheme="minorHAnsi"/>
                <w:szCs w:val="24"/>
                <w:lang w:val="fr-CH"/>
              </w:rPr>
            </w:pPr>
            <w:r>
              <w:rPr>
                <w:b/>
                <w:bCs/>
                <w:szCs w:val="24"/>
                <w:lang w:val="fr-CH"/>
              </w:rPr>
              <w:t>24 février</w:t>
            </w:r>
            <w:r w:rsidR="00CB341F">
              <w:rPr>
                <w:b/>
                <w:bCs/>
                <w:szCs w:val="24"/>
                <w:lang w:val="fr-CH"/>
              </w:rPr>
              <w:t xml:space="preserve"> 201</w:t>
            </w:r>
            <w:r>
              <w:rPr>
                <w:b/>
                <w:bCs/>
                <w:szCs w:val="24"/>
                <w:lang w:val="fr-CH"/>
              </w:rPr>
              <w:t>7</w:t>
            </w:r>
          </w:p>
        </w:tc>
      </w:tr>
      <w:tr w:rsidR="00D83BF5" w:rsidRPr="00572F93">
        <w:trPr>
          <w:cantSplit/>
          <w:trHeight w:val="23"/>
        </w:trPr>
        <w:tc>
          <w:tcPr>
            <w:tcW w:w="6911" w:type="dxa"/>
            <w:shd w:val="clear" w:color="auto" w:fill="auto"/>
          </w:tcPr>
          <w:p w:rsidR="00D83BF5" w:rsidRPr="00572F93" w:rsidRDefault="00D83BF5" w:rsidP="00CB341F">
            <w:pPr>
              <w:tabs>
                <w:tab w:val="left" w:pos="851"/>
              </w:tabs>
              <w:spacing w:before="0"/>
              <w:rPr>
                <w:rFonts w:cstheme="minorHAnsi"/>
                <w:szCs w:val="24"/>
                <w:lang w:val="fr-CH"/>
              </w:rPr>
            </w:pPr>
            <w:bookmarkStart w:id="7" w:name="dbluepink" w:colFirst="0" w:colLast="0"/>
            <w:bookmarkStart w:id="8" w:name="dorlang" w:colFirst="1" w:colLast="1"/>
            <w:bookmarkEnd w:id="5"/>
            <w:bookmarkEnd w:id="6"/>
          </w:p>
        </w:tc>
        <w:tc>
          <w:tcPr>
            <w:tcW w:w="3120" w:type="dxa"/>
          </w:tcPr>
          <w:p w:rsidR="00D83BF5" w:rsidRPr="00572F93" w:rsidRDefault="00D83BF5" w:rsidP="00CB341F">
            <w:pPr>
              <w:tabs>
                <w:tab w:val="left" w:pos="993"/>
              </w:tabs>
              <w:spacing w:before="0"/>
              <w:rPr>
                <w:rFonts w:cstheme="minorHAnsi"/>
                <w:b/>
                <w:szCs w:val="24"/>
                <w:lang w:val="fr-CH"/>
              </w:rPr>
            </w:pPr>
            <w:r w:rsidRPr="00572F93">
              <w:rPr>
                <w:b/>
                <w:bCs/>
                <w:szCs w:val="24"/>
                <w:lang w:val="fr-CH"/>
              </w:rPr>
              <w:t xml:space="preserve">Original: </w:t>
            </w:r>
            <w:r w:rsidR="00CB341F">
              <w:rPr>
                <w:b/>
                <w:bCs/>
                <w:szCs w:val="24"/>
                <w:lang w:val="fr-CH"/>
              </w:rPr>
              <w:t>anglais</w:t>
            </w:r>
          </w:p>
        </w:tc>
      </w:tr>
      <w:tr w:rsidR="00D83BF5" w:rsidRPr="003439C0" w:rsidTr="00025864">
        <w:trPr>
          <w:cantSplit/>
          <w:trHeight w:val="23"/>
        </w:trPr>
        <w:tc>
          <w:tcPr>
            <w:tcW w:w="10031" w:type="dxa"/>
            <w:gridSpan w:val="2"/>
            <w:shd w:val="clear" w:color="auto" w:fill="auto"/>
          </w:tcPr>
          <w:p w:rsidR="00D83BF5" w:rsidRPr="00572F93" w:rsidRDefault="00CB341F" w:rsidP="00CB341F">
            <w:pPr>
              <w:pStyle w:val="Source"/>
              <w:rPr>
                <w:lang w:val="fr-CH"/>
              </w:rPr>
            </w:pPr>
            <w:r>
              <w:rPr>
                <w:bCs/>
                <w:szCs w:val="28"/>
                <w:lang w:val="fr-FR"/>
              </w:rPr>
              <w:t>Directeur du</w:t>
            </w:r>
            <w:r w:rsidRPr="006F5957">
              <w:rPr>
                <w:bCs/>
                <w:szCs w:val="28"/>
                <w:lang w:val="fr-FR"/>
              </w:rPr>
              <w:t xml:space="preserve"> Bureau d</w:t>
            </w:r>
            <w:r>
              <w:rPr>
                <w:bCs/>
                <w:szCs w:val="28"/>
                <w:lang w:val="fr-FR"/>
              </w:rPr>
              <w:t>e</w:t>
            </w:r>
            <w:r w:rsidRPr="006F5957">
              <w:rPr>
                <w:bCs/>
                <w:szCs w:val="28"/>
                <w:lang w:val="fr-FR"/>
              </w:rPr>
              <w:t xml:space="preserve"> développement des télécommunications</w:t>
            </w:r>
          </w:p>
        </w:tc>
      </w:tr>
      <w:tr w:rsidR="00D83BF5" w:rsidRPr="003439C0" w:rsidTr="00025864">
        <w:trPr>
          <w:cantSplit/>
          <w:trHeight w:val="23"/>
        </w:trPr>
        <w:tc>
          <w:tcPr>
            <w:tcW w:w="10031" w:type="dxa"/>
            <w:gridSpan w:val="2"/>
            <w:shd w:val="clear" w:color="auto" w:fill="auto"/>
          </w:tcPr>
          <w:p w:rsidR="00D83BF5" w:rsidRPr="00572F93" w:rsidRDefault="00CB341F" w:rsidP="00CB341F">
            <w:pPr>
              <w:pStyle w:val="Title1"/>
              <w:rPr>
                <w:lang w:val="fr-CH"/>
              </w:rPr>
            </w:pPr>
            <w:r>
              <w:rPr>
                <w:szCs w:val="28"/>
                <w:lang w:val="fr-FR"/>
              </w:rPr>
              <w:t>MISE EN oe</w:t>
            </w:r>
            <w:r w:rsidRPr="006F5957">
              <w:rPr>
                <w:szCs w:val="28"/>
                <w:lang w:val="fr-FR"/>
              </w:rPr>
              <w:t>UVRE DES RÉSULTATS DE L</w:t>
            </w:r>
            <w:r w:rsidR="00D3211C">
              <w:rPr>
                <w:szCs w:val="28"/>
                <w:lang w:val="fr-FR"/>
              </w:rPr>
              <w:t>'</w:t>
            </w:r>
            <w:r w:rsidRPr="006F5957">
              <w:rPr>
                <w:szCs w:val="28"/>
                <w:lang w:val="fr-FR"/>
              </w:rPr>
              <w:t>AR-15 ET DE LA CMR-15</w:t>
            </w:r>
          </w:p>
        </w:tc>
      </w:tr>
      <w:tr w:rsidR="00D83BF5" w:rsidRPr="003439C0" w:rsidTr="00025864">
        <w:trPr>
          <w:cantSplit/>
          <w:trHeight w:val="23"/>
        </w:trPr>
        <w:tc>
          <w:tcPr>
            <w:tcW w:w="10031" w:type="dxa"/>
            <w:gridSpan w:val="2"/>
            <w:shd w:val="clear" w:color="auto" w:fill="auto"/>
          </w:tcPr>
          <w:p w:rsidR="00D83BF5" w:rsidRPr="00572F93" w:rsidRDefault="00D83BF5" w:rsidP="00CB341F">
            <w:pPr>
              <w:pStyle w:val="Title1"/>
              <w:rPr>
                <w:szCs w:val="28"/>
                <w:lang w:val="fr-CH"/>
              </w:rPr>
            </w:pPr>
          </w:p>
        </w:tc>
      </w:tr>
    </w:tbl>
    <w:bookmarkEnd w:id="7"/>
    <w:bookmarkEnd w:id="8"/>
    <w:p w:rsidR="00D83BF5" w:rsidRPr="00572F93" w:rsidRDefault="00572F93" w:rsidP="00CB341F">
      <w:pPr>
        <w:pStyle w:val="Normalaftertitle"/>
        <w:pBdr>
          <w:top w:val="single" w:sz="4" w:space="1" w:color="auto"/>
          <w:left w:val="single" w:sz="4" w:space="12" w:color="auto"/>
          <w:bottom w:val="single" w:sz="4" w:space="1" w:color="auto"/>
          <w:right w:val="single" w:sz="4" w:space="19" w:color="auto"/>
        </w:pBdr>
        <w:spacing w:before="120"/>
        <w:ind w:left="284"/>
        <w:rPr>
          <w:b/>
          <w:bCs/>
          <w:lang w:val="fr-CH"/>
        </w:rPr>
      </w:pPr>
      <w:r w:rsidRPr="00572F93">
        <w:rPr>
          <w:b/>
          <w:bCs/>
          <w:lang w:val="fr-CH"/>
        </w:rPr>
        <w:t>Résumé:</w:t>
      </w:r>
    </w:p>
    <w:p w:rsidR="00D83BF5" w:rsidRPr="00572F93" w:rsidRDefault="00CB341F" w:rsidP="00D3211C">
      <w:pPr>
        <w:pStyle w:val="Normalaftertitle"/>
        <w:pBdr>
          <w:top w:val="single" w:sz="4" w:space="1" w:color="auto"/>
          <w:left w:val="single" w:sz="4" w:space="12" w:color="auto"/>
          <w:bottom w:val="single" w:sz="4" w:space="1" w:color="auto"/>
          <w:right w:val="single" w:sz="4" w:space="19" w:color="auto"/>
        </w:pBdr>
        <w:spacing w:before="60"/>
        <w:ind w:left="284"/>
        <w:rPr>
          <w:lang w:val="fr-CH"/>
        </w:rPr>
      </w:pPr>
      <w:bookmarkStart w:id="9" w:name="Abstract"/>
      <w:bookmarkEnd w:id="9"/>
      <w:r w:rsidRPr="006F5957">
        <w:rPr>
          <w:lang w:val="fr-FR"/>
        </w:rPr>
        <w:t>L'Assemblée des radiocommunications de 2015 (AR-15) a eu lieu à Genève (Suisse) du 26 au 30</w:t>
      </w:r>
      <w:r w:rsidR="00D3211C">
        <w:rPr>
          <w:lang w:val="fr-FR"/>
        </w:rPr>
        <w:t> </w:t>
      </w:r>
      <w:r w:rsidRPr="006F5957">
        <w:rPr>
          <w:lang w:val="fr-FR"/>
        </w:rPr>
        <w:t>octobre 2015.</w:t>
      </w:r>
      <w:r w:rsidRPr="00DB36B2">
        <w:rPr>
          <w:lang w:val="fr-FR"/>
        </w:rPr>
        <w:t xml:space="preserve"> </w:t>
      </w:r>
      <w:r w:rsidRPr="00BB7229">
        <w:rPr>
          <w:lang w:val="fr-FR"/>
        </w:rPr>
        <w:t>Elle a été suivie par la Conférence mondiale des radioco</w:t>
      </w:r>
      <w:r>
        <w:rPr>
          <w:lang w:val="fr-FR"/>
        </w:rPr>
        <w:t>mmunications de 2015 (CMR-15), du 2 au 27 novembre 2015,</w:t>
      </w:r>
      <w:r w:rsidRPr="00BB7229">
        <w:rPr>
          <w:lang w:val="fr-FR"/>
        </w:rPr>
        <w:t xml:space="preserve"> et par la Réunion de préparation à la Conféren</w:t>
      </w:r>
      <w:r>
        <w:rPr>
          <w:lang w:val="fr-FR"/>
        </w:rPr>
        <w:t>ce en vue de la CMR-19 (RPC19-1), du 30 novembre au 1er décembre 2015</w:t>
      </w:r>
      <w:r w:rsidRPr="00BB7229">
        <w:rPr>
          <w:lang w:val="fr-FR"/>
        </w:rPr>
        <w:t xml:space="preserve">. </w:t>
      </w:r>
      <w:r w:rsidRPr="006F5957">
        <w:rPr>
          <w:lang w:val="fr-FR"/>
        </w:rPr>
        <w:t>La CMR-15 a examiné plus de 40 sujets concernant l'attribution et le partage de fréquences aux fins de l'utilisation efficace des ressources que sont le spectre et les orbites.</w:t>
      </w:r>
      <w:r w:rsidRPr="00BB7229">
        <w:rPr>
          <w:lang w:val="fr-FR"/>
        </w:rPr>
        <w:t xml:space="preserve"> </w:t>
      </w:r>
      <w:r w:rsidRPr="00B67329">
        <w:rPr>
          <w:lang w:val="fr-FR"/>
        </w:rPr>
        <w:t>Le document</w:t>
      </w:r>
      <w:r>
        <w:rPr>
          <w:lang w:val="fr-FR"/>
        </w:rPr>
        <w:t xml:space="preserve"> joint</w:t>
      </w:r>
      <w:r w:rsidRPr="00B67329">
        <w:rPr>
          <w:lang w:val="fr-FR"/>
        </w:rPr>
        <w:t xml:space="preserve"> présente brièvement les résultats de ces réunions et met en lumière les décisions pertinentes qui présentent une importance particulière pour les pays en développement.</w:t>
      </w:r>
    </w:p>
    <w:p w:rsidR="00D83BF5" w:rsidRPr="00572F93" w:rsidRDefault="00572F93" w:rsidP="00CB341F">
      <w:pPr>
        <w:pStyle w:val="Normalaftertitle"/>
        <w:pBdr>
          <w:top w:val="single" w:sz="4" w:space="1" w:color="auto"/>
          <w:left w:val="single" w:sz="4" w:space="12" w:color="auto"/>
          <w:bottom w:val="single" w:sz="4" w:space="1" w:color="auto"/>
          <w:right w:val="single" w:sz="4" w:space="19" w:color="auto"/>
        </w:pBdr>
        <w:spacing w:before="120"/>
        <w:ind w:left="284"/>
        <w:rPr>
          <w:b/>
          <w:bCs/>
          <w:lang w:val="fr-CH"/>
        </w:rPr>
      </w:pPr>
      <w:r w:rsidRPr="00572F93">
        <w:rPr>
          <w:b/>
          <w:bCs/>
          <w:lang w:val="fr-CH"/>
        </w:rPr>
        <w:t>Résultats attendus:</w:t>
      </w:r>
    </w:p>
    <w:p w:rsidR="00D83BF5" w:rsidRPr="00572F93" w:rsidRDefault="00CB341F" w:rsidP="00CB341F">
      <w:pPr>
        <w:pStyle w:val="Normalaftertitle"/>
        <w:pBdr>
          <w:top w:val="single" w:sz="4" w:space="1" w:color="auto"/>
          <w:left w:val="single" w:sz="4" w:space="12" w:color="auto"/>
          <w:bottom w:val="single" w:sz="4" w:space="1" w:color="auto"/>
          <w:right w:val="single" w:sz="4" w:space="19" w:color="auto"/>
        </w:pBdr>
        <w:spacing w:before="60"/>
        <w:ind w:left="284"/>
        <w:rPr>
          <w:lang w:val="fr-CH"/>
        </w:rPr>
      </w:pPr>
      <w:r w:rsidRPr="00264C71">
        <w:rPr>
          <w:lang w:val="fr-FR"/>
        </w:rPr>
        <w:t>Le présent document vise à informer les pays en déve</w:t>
      </w:r>
      <w:r>
        <w:rPr>
          <w:lang w:val="fr-FR"/>
        </w:rPr>
        <w:t>loppement des activités pertinentes</w:t>
      </w:r>
      <w:r w:rsidRPr="00264C71">
        <w:rPr>
          <w:lang w:val="fr-FR"/>
        </w:rPr>
        <w:t xml:space="preserve"> de l</w:t>
      </w:r>
      <w:r w:rsidR="00D3211C">
        <w:rPr>
          <w:lang w:val="fr-FR"/>
        </w:rPr>
        <w:t>'</w:t>
      </w:r>
      <w:r w:rsidRPr="00264C71">
        <w:rPr>
          <w:lang w:val="fr-FR"/>
        </w:rPr>
        <w:t>UIT-D et de l</w:t>
      </w:r>
      <w:r w:rsidR="00D3211C">
        <w:rPr>
          <w:lang w:val="fr-FR"/>
        </w:rPr>
        <w:t>'</w:t>
      </w:r>
      <w:r w:rsidRPr="00264C71">
        <w:rPr>
          <w:lang w:val="fr-FR"/>
        </w:rPr>
        <w:t xml:space="preserve">assistance fournie aux fins </w:t>
      </w:r>
      <w:r>
        <w:rPr>
          <w:lang w:val="fr-FR"/>
        </w:rPr>
        <w:t>de la participation aux réunions correspondantes</w:t>
      </w:r>
      <w:r w:rsidRPr="00264C71">
        <w:rPr>
          <w:lang w:val="fr-FR"/>
        </w:rPr>
        <w:t>.</w:t>
      </w:r>
    </w:p>
    <w:p w:rsidR="00D83BF5" w:rsidRPr="00572F93" w:rsidRDefault="00572F93" w:rsidP="00CB341F">
      <w:pPr>
        <w:pBdr>
          <w:top w:val="single" w:sz="4" w:space="1" w:color="auto"/>
          <w:left w:val="single" w:sz="4" w:space="12" w:color="auto"/>
          <w:bottom w:val="single" w:sz="4" w:space="1" w:color="auto"/>
          <w:right w:val="single" w:sz="4" w:space="19" w:color="auto"/>
        </w:pBdr>
        <w:spacing w:before="240"/>
        <w:ind w:left="284"/>
        <w:rPr>
          <w:b/>
          <w:bCs/>
          <w:lang w:val="fr-CH"/>
        </w:rPr>
      </w:pPr>
      <w:r w:rsidRPr="00572F93">
        <w:rPr>
          <w:b/>
          <w:bCs/>
          <w:lang w:val="fr-CH"/>
        </w:rPr>
        <w:t>Références:</w:t>
      </w:r>
    </w:p>
    <w:bookmarkStart w:id="10" w:name="References"/>
    <w:bookmarkEnd w:id="10"/>
    <w:p w:rsidR="00D83BF5" w:rsidRPr="00572F93" w:rsidRDefault="00CB341F" w:rsidP="00CB341F">
      <w:pPr>
        <w:pBdr>
          <w:top w:val="single" w:sz="4" w:space="1" w:color="auto"/>
          <w:left w:val="single" w:sz="4" w:space="12" w:color="auto"/>
          <w:bottom w:val="single" w:sz="4" w:space="1" w:color="auto"/>
          <w:right w:val="single" w:sz="4" w:space="19" w:color="auto"/>
        </w:pBdr>
        <w:spacing w:before="60"/>
        <w:ind w:left="284"/>
        <w:rPr>
          <w:lang w:val="fr-CH"/>
        </w:rPr>
      </w:pPr>
      <w:r>
        <w:fldChar w:fldCharType="begin"/>
      </w:r>
      <w:r w:rsidRPr="00CB341F">
        <w:rPr>
          <w:lang w:val="fr-CH"/>
        </w:rPr>
        <w:instrText>HYPERLINK "https://www.itu.int/md/D14-TDAG21-C-0002/"</w:instrText>
      </w:r>
      <w:r>
        <w:fldChar w:fldCharType="separate"/>
      </w:r>
      <w:r w:rsidRPr="00CB341F">
        <w:rPr>
          <w:rStyle w:val="Hyperlink"/>
          <w:lang w:val="fr-CH"/>
        </w:rPr>
        <w:t>TDAG16-21/2</w:t>
      </w:r>
      <w:r>
        <w:fldChar w:fldCharType="end"/>
      </w:r>
    </w:p>
    <w:p w:rsidR="00D3211C" w:rsidRDefault="00D3211C">
      <w:pPr>
        <w:tabs>
          <w:tab w:val="clear" w:pos="1134"/>
          <w:tab w:val="clear" w:pos="1871"/>
          <w:tab w:val="clear" w:pos="2268"/>
        </w:tabs>
        <w:overflowPunct/>
        <w:autoSpaceDE/>
        <w:autoSpaceDN/>
        <w:adjustRightInd/>
        <w:spacing w:before="0"/>
        <w:textAlignment w:val="auto"/>
        <w:rPr>
          <w:lang w:val="fr-CH"/>
        </w:rPr>
      </w:pPr>
      <w:r>
        <w:rPr>
          <w:lang w:val="fr-CH"/>
        </w:rPr>
        <w:br w:type="page"/>
      </w:r>
    </w:p>
    <w:p w:rsidR="00CB341F" w:rsidRPr="00F57898" w:rsidRDefault="00CB341F" w:rsidP="00D3211C">
      <w:pPr>
        <w:rPr>
          <w:lang w:val="fr-FR"/>
        </w:rPr>
      </w:pPr>
      <w:r w:rsidRPr="006F5957">
        <w:rPr>
          <w:lang w:val="fr-FR"/>
        </w:rPr>
        <w:lastRenderedPageBreak/>
        <w:t>L'Assemblée des radiocommunications de 2015 (AR-15) a eu lieu à Genève (Suisse) du 26 au 30</w:t>
      </w:r>
      <w:r w:rsidR="00D3211C">
        <w:rPr>
          <w:lang w:val="fr-FR"/>
        </w:rPr>
        <w:t> </w:t>
      </w:r>
      <w:r w:rsidRPr="006F5957">
        <w:rPr>
          <w:lang w:val="fr-FR"/>
        </w:rPr>
        <w:t>octobre 2015.</w:t>
      </w:r>
      <w:r w:rsidRPr="00F57898">
        <w:rPr>
          <w:lang w:val="fr-FR"/>
        </w:rPr>
        <w:t xml:space="preserve"> </w:t>
      </w:r>
    </w:p>
    <w:p w:rsidR="00CB341F" w:rsidRPr="00BD3C6F" w:rsidRDefault="00CB341F" w:rsidP="00D3211C">
      <w:pPr>
        <w:rPr>
          <w:lang w:val="fr-FR"/>
        </w:rPr>
      </w:pPr>
      <w:r w:rsidRPr="006F5957">
        <w:rPr>
          <w:lang w:val="fr-FR"/>
        </w:rPr>
        <w:t xml:space="preserve">L'AR-15 a approuvé </w:t>
      </w:r>
      <w:r w:rsidRPr="00D3211C">
        <w:rPr>
          <w:b/>
          <w:bCs/>
          <w:lang w:val="fr-FR"/>
        </w:rPr>
        <w:t>6</w:t>
      </w:r>
      <w:r w:rsidRPr="006F5957">
        <w:rPr>
          <w:lang w:val="fr-FR"/>
        </w:rPr>
        <w:t xml:space="preserve"> nouvelles Résolutions, modifié </w:t>
      </w:r>
      <w:r w:rsidRPr="00D3211C">
        <w:rPr>
          <w:b/>
          <w:bCs/>
          <w:lang w:val="fr-FR"/>
        </w:rPr>
        <w:t>30</w:t>
      </w:r>
      <w:r w:rsidRPr="006F5957">
        <w:rPr>
          <w:lang w:val="fr-FR"/>
        </w:rPr>
        <w:t xml:space="preserve"> Résolutions existantes et supprimé </w:t>
      </w:r>
      <w:r w:rsidRPr="00D3211C">
        <w:rPr>
          <w:b/>
          <w:bCs/>
          <w:lang w:val="fr-FR"/>
        </w:rPr>
        <w:t>5</w:t>
      </w:r>
      <w:r w:rsidR="00D3211C">
        <w:rPr>
          <w:lang w:val="fr-FR"/>
        </w:rPr>
        <w:t> </w:t>
      </w:r>
      <w:r w:rsidRPr="006F5957">
        <w:rPr>
          <w:lang w:val="fr-FR"/>
        </w:rPr>
        <w:t>Résolutions existantes.</w:t>
      </w:r>
      <w:r w:rsidRPr="00160151">
        <w:rPr>
          <w:lang w:val="fr-FR"/>
        </w:rPr>
        <w:t xml:space="preserve"> </w:t>
      </w:r>
      <w:r w:rsidRPr="00D3211C">
        <w:rPr>
          <w:b/>
          <w:bCs/>
          <w:lang w:val="fr-FR"/>
        </w:rPr>
        <w:t>Cinq</w:t>
      </w:r>
      <w:r w:rsidRPr="006F5957">
        <w:rPr>
          <w:lang w:val="fr-FR"/>
        </w:rPr>
        <w:t xml:space="preserve"> Résolutions existantes sont restées inchangées.</w:t>
      </w:r>
      <w:r w:rsidRPr="00BD3C6F">
        <w:rPr>
          <w:lang w:val="fr-FR"/>
        </w:rPr>
        <w:t xml:space="preserve"> </w:t>
      </w:r>
    </w:p>
    <w:p w:rsidR="00CB341F" w:rsidRPr="00BD3C6F" w:rsidRDefault="00CB341F" w:rsidP="00CB341F">
      <w:pPr>
        <w:rPr>
          <w:lang w:val="fr-FR"/>
        </w:rPr>
      </w:pPr>
      <w:r w:rsidRPr="006F5957">
        <w:rPr>
          <w:b/>
          <w:bCs/>
          <w:lang w:val="fr-FR"/>
        </w:rPr>
        <w:t>Les Résolutions et Recommandations approuvées pendant l'AR-15, qui se rapportent aux travaux futurs du BDT, peuvent être classées dans les catégories suivantes:</w:t>
      </w:r>
    </w:p>
    <w:p w:rsidR="00CB341F" w:rsidRPr="00BD3C6F" w:rsidRDefault="00CB341F" w:rsidP="00CB341F">
      <w:pPr>
        <w:rPr>
          <w:lang w:val="fr-FR"/>
        </w:rPr>
      </w:pPr>
    </w:p>
    <w:tbl>
      <w:tblPr>
        <w:tblStyle w:val="TableGrid"/>
        <w:tblW w:w="0" w:type="auto"/>
        <w:tblLayout w:type="fixed"/>
        <w:tblLook w:val="04A0" w:firstRow="1" w:lastRow="0" w:firstColumn="1" w:lastColumn="0" w:noHBand="0" w:noVBand="1"/>
      </w:tblPr>
      <w:tblGrid>
        <w:gridCol w:w="2269"/>
        <w:gridCol w:w="2540"/>
        <w:gridCol w:w="2657"/>
        <w:gridCol w:w="42"/>
        <w:gridCol w:w="2689"/>
      </w:tblGrid>
      <w:tr w:rsidR="00CB341F" w:rsidTr="009227BB">
        <w:trPr>
          <w:tblHeader/>
        </w:trPr>
        <w:tc>
          <w:tcPr>
            <w:tcW w:w="2269" w:type="dxa"/>
          </w:tcPr>
          <w:p w:rsidR="00CB341F" w:rsidRPr="00D3211C" w:rsidRDefault="00CB341F" w:rsidP="00D3211C">
            <w:pPr>
              <w:pStyle w:val="Tablehead"/>
            </w:pPr>
            <w:proofErr w:type="spellStart"/>
            <w:r w:rsidRPr="00D3211C">
              <w:t>Sujet</w:t>
            </w:r>
            <w:proofErr w:type="spellEnd"/>
          </w:p>
        </w:tc>
        <w:tc>
          <w:tcPr>
            <w:tcW w:w="2540" w:type="dxa"/>
          </w:tcPr>
          <w:p w:rsidR="00CB341F" w:rsidRPr="000B3177" w:rsidRDefault="00CB341F" w:rsidP="00D3211C">
            <w:pPr>
              <w:pStyle w:val="Tablehead"/>
            </w:pPr>
            <w:proofErr w:type="spellStart"/>
            <w:r>
              <w:t>Résolution</w:t>
            </w:r>
            <w:proofErr w:type="spellEnd"/>
            <w:r>
              <w:t>/Document</w:t>
            </w:r>
          </w:p>
        </w:tc>
        <w:tc>
          <w:tcPr>
            <w:tcW w:w="2657" w:type="dxa"/>
          </w:tcPr>
          <w:p w:rsidR="00CB341F" w:rsidRPr="000B3177" w:rsidRDefault="00CB341F" w:rsidP="00D3211C">
            <w:pPr>
              <w:pStyle w:val="Tablehead"/>
            </w:pPr>
            <w:r w:rsidRPr="006F5957">
              <w:t>Titre</w:t>
            </w:r>
          </w:p>
        </w:tc>
        <w:tc>
          <w:tcPr>
            <w:tcW w:w="2731" w:type="dxa"/>
            <w:gridSpan w:val="2"/>
          </w:tcPr>
          <w:p w:rsidR="00CB341F" w:rsidRPr="000B3177" w:rsidRDefault="00CB341F" w:rsidP="00D3211C">
            <w:pPr>
              <w:pStyle w:val="Tablehead"/>
            </w:pPr>
            <w:r w:rsidRPr="006F5957">
              <w:t>Observations</w:t>
            </w:r>
          </w:p>
        </w:tc>
      </w:tr>
      <w:tr w:rsidR="00CB341F" w:rsidRPr="003439C0" w:rsidTr="00AF5F43">
        <w:tc>
          <w:tcPr>
            <w:tcW w:w="2269" w:type="dxa"/>
          </w:tcPr>
          <w:p w:rsidR="00CB341F" w:rsidRPr="009227BB" w:rsidRDefault="00CB341F" w:rsidP="002D0219">
            <w:pPr>
              <w:pStyle w:val="Tabletext"/>
              <w:rPr>
                <w:b/>
                <w:i/>
                <w:iCs/>
                <w:szCs w:val="24"/>
              </w:rPr>
            </w:pPr>
            <w:r w:rsidRPr="009227BB">
              <w:rPr>
                <w:b/>
                <w:i/>
                <w:iCs/>
              </w:rPr>
              <w:t xml:space="preserve">Collaboration avec </w:t>
            </w:r>
            <w:proofErr w:type="spellStart"/>
            <w:r w:rsidRPr="009227BB">
              <w:rPr>
                <w:b/>
                <w:i/>
                <w:iCs/>
              </w:rPr>
              <w:t>l</w:t>
            </w:r>
            <w:r w:rsidR="00D3211C" w:rsidRPr="009227BB">
              <w:rPr>
                <w:b/>
                <w:i/>
                <w:iCs/>
              </w:rPr>
              <w:t>'</w:t>
            </w:r>
            <w:r w:rsidRPr="009227BB">
              <w:rPr>
                <w:b/>
                <w:i/>
                <w:iCs/>
              </w:rPr>
              <w:t>UIT</w:t>
            </w:r>
            <w:proofErr w:type="spellEnd"/>
            <w:r w:rsidR="002D0219" w:rsidRPr="009227BB">
              <w:rPr>
                <w:b/>
                <w:i/>
                <w:iCs/>
              </w:rPr>
              <w:noBreakHyphen/>
            </w:r>
            <w:r w:rsidRPr="009227BB">
              <w:rPr>
                <w:b/>
                <w:i/>
                <w:iCs/>
              </w:rPr>
              <w:t>R</w:t>
            </w:r>
          </w:p>
        </w:tc>
        <w:tc>
          <w:tcPr>
            <w:tcW w:w="2540" w:type="dxa"/>
          </w:tcPr>
          <w:p w:rsidR="00CB341F" w:rsidRPr="009227BB" w:rsidRDefault="00CB341F" w:rsidP="00D3211C">
            <w:pPr>
              <w:pStyle w:val="Tabletext"/>
              <w:rPr>
                <w:szCs w:val="24"/>
                <w:lang w:val="fr-FR"/>
              </w:rPr>
            </w:pPr>
            <w:r w:rsidRPr="009227BB">
              <w:rPr>
                <w:bCs/>
                <w:lang w:val="fr-FR"/>
              </w:rPr>
              <w:t>Révision de la Résolution UIT-R 7-2</w:t>
            </w:r>
          </w:p>
        </w:tc>
        <w:tc>
          <w:tcPr>
            <w:tcW w:w="2657" w:type="dxa"/>
          </w:tcPr>
          <w:p w:rsidR="00CB341F" w:rsidRPr="008C6BA3" w:rsidRDefault="00CB341F" w:rsidP="00D3211C">
            <w:pPr>
              <w:pStyle w:val="Tabletext"/>
              <w:rPr>
                <w:szCs w:val="24"/>
                <w:lang w:val="fr-FR"/>
              </w:rPr>
            </w:pPr>
            <w:r w:rsidRPr="006F5957">
              <w:rPr>
                <w:lang w:val="fr-FR"/>
              </w:rPr>
              <w:t>Développement des télécommunications y compris la liaison et la collaboration avec le Secteur du développement des télécommunications de l'UIT</w:t>
            </w:r>
          </w:p>
        </w:tc>
        <w:tc>
          <w:tcPr>
            <w:tcW w:w="2731" w:type="dxa"/>
            <w:gridSpan w:val="2"/>
          </w:tcPr>
          <w:p w:rsidR="00CB341F" w:rsidRPr="00904039" w:rsidRDefault="00CB341F" w:rsidP="002D0219">
            <w:pPr>
              <w:pStyle w:val="Tabletext"/>
              <w:rPr>
                <w:szCs w:val="24"/>
                <w:lang w:val="fr-FR"/>
              </w:rPr>
            </w:pPr>
            <w:r w:rsidRPr="00904039">
              <w:rPr>
                <w:i/>
                <w:iCs/>
                <w:szCs w:val="24"/>
                <w:lang w:val="fr-FR"/>
              </w:rPr>
              <w:t>Parmi les domaines présentant un intérêt mutuel pour l'UIT-D et l'UIT-R, on citera la Résolution 9 de la CE 1 de l'UIT</w:t>
            </w:r>
            <w:r w:rsidR="002D0219">
              <w:rPr>
                <w:i/>
                <w:iCs/>
                <w:szCs w:val="24"/>
                <w:lang w:val="fr-FR"/>
              </w:rPr>
              <w:noBreakHyphen/>
            </w:r>
            <w:r w:rsidRPr="00904039">
              <w:rPr>
                <w:i/>
                <w:iCs/>
                <w:szCs w:val="24"/>
                <w:lang w:val="fr-FR"/>
              </w:rPr>
              <w:t>D, les Questions confiées à l'UIT-D (Questions 2/1, 5/1, 8/1, 5/2, 6/2, 7/2) et le Partage des infrastructures de télécommunication et les systèmes de radiocommunication cognitifs (CRS) facilitant l'accès partagé sous licence (LSA) ou l'accès dynamique au spectre (DSA)</w:t>
            </w:r>
            <w:r w:rsidR="000270A9">
              <w:rPr>
                <w:i/>
                <w:iCs/>
                <w:szCs w:val="24"/>
                <w:lang w:val="fr-FR"/>
              </w:rPr>
              <w:t>.</w:t>
            </w:r>
          </w:p>
        </w:tc>
      </w:tr>
      <w:tr w:rsidR="00CB341F" w:rsidRPr="003439C0" w:rsidTr="00AF5F43">
        <w:tc>
          <w:tcPr>
            <w:tcW w:w="2269" w:type="dxa"/>
          </w:tcPr>
          <w:p w:rsidR="00CB341F" w:rsidRPr="00D3211C" w:rsidRDefault="00CB341F" w:rsidP="00D3211C">
            <w:pPr>
              <w:pStyle w:val="Tabletext"/>
              <w:rPr>
                <w:b/>
                <w:lang w:val="fr-FR"/>
              </w:rPr>
            </w:pPr>
            <w:r w:rsidRPr="00D3211C">
              <w:rPr>
                <w:b/>
                <w:i/>
                <w:iCs/>
                <w:szCs w:val="24"/>
                <w:lang w:val="fr-FR"/>
              </w:rPr>
              <w:t>Coopération entre le BR et le BDT ainsi que les bureaux régionaux et les bureaux de zone de l'UIT</w:t>
            </w:r>
          </w:p>
        </w:tc>
        <w:tc>
          <w:tcPr>
            <w:tcW w:w="2540" w:type="dxa"/>
          </w:tcPr>
          <w:p w:rsidR="00CB341F" w:rsidRPr="00D3211C" w:rsidRDefault="00CB341F" w:rsidP="00D3211C">
            <w:pPr>
              <w:pStyle w:val="Tabletext"/>
              <w:rPr>
                <w:bCs/>
                <w:i/>
                <w:iCs/>
                <w:lang w:val="fr-FR"/>
              </w:rPr>
            </w:pPr>
            <w:r w:rsidRPr="00D3211C">
              <w:rPr>
                <w:i/>
                <w:iCs/>
                <w:lang w:val="fr-FR"/>
              </w:rPr>
              <w:t>Rapport du Directeur du BR</w:t>
            </w:r>
          </w:p>
        </w:tc>
        <w:tc>
          <w:tcPr>
            <w:tcW w:w="2657" w:type="dxa"/>
          </w:tcPr>
          <w:p w:rsidR="00CB341F" w:rsidRPr="003679CB" w:rsidRDefault="00CB341F" w:rsidP="00D3211C">
            <w:pPr>
              <w:pStyle w:val="Tabletext"/>
              <w:rPr>
                <w:lang w:val="fr-FR"/>
              </w:rPr>
            </w:pPr>
          </w:p>
        </w:tc>
        <w:tc>
          <w:tcPr>
            <w:tcW w:w="2731" w:type="dxa"/>
            <w:gridSpan w:val="2"/>
          </w:tcPr>
          <w:p w:rsidR="00CB341F" w:rsidRPr="00004200" w:rsidRDefault="00CB341F" w:rsidP="000270A9">
            <w:pPr>
              <w:pStyle w:val="Tabletext"/>
              <w:rPr>
                <w:i/>
                <w:iCs/>
                <w:szCs w:val="24"/>
                <w:lang w:val="fr-FR"/>
              </w:rPr>
            </w:pPr>
            <w:r>
              <w:rPr>
                <w:i/>
                <w:iCs/>
                <w:szCs w:val="24"/>
                <w:lang w:val="fr-FR"/>
              </w:rPr>
              <w:t>L</w:t>
            </w:r>
            <w:r w:rsidR="00D3211C">
              <w:rPr>
                <w:i/>
                <w:iCs/>
                <w:szCs w:val="24"/>
                <w:lang w:val="fr-FR"/>
              </w:rPr>
              <w:t>'</w:t>
            </w:r>
            <w:r>
              <w:rPr>
                <w:i/>
                <w:iCs/>
                <w:szCs w:val="24"/>
                <w:lang w:val="fr-FR"/>
              </w:rPr>
              <w:t>accent a été mis sur les activités suivantes</w:t>
            </w:r>
            <w:r w:rsidRPr="003679CB">
              <w:rPr>
                <w:i/>
                <w:iCs/>
                <w:szCs w:val="24"/>
                <w:lang w:val="fr-FR"/>
              </w:rPr>
              <w:t>: GSR, enquêtes relatives aux TIC, portail "L'</w:t>
            </w:r>
            <w:proofErr w:type="spellStart"/>
            <w:r w:rsidRPr="003679CB">
              <w:rPr>
                <w:i/>
                <w:iCs/>
                <w:szCs w:val="24"/>
                <w:lang w:val="fr-FR"/>
              </w:rPr>
              <w:t>oeil</w:t>
            </w:r>
            <w:proofErr w:type="spellEnd"/>
            <w:r w:rsidRPr="003679CB">
              <w:rPr>
                <w:i/>
                <w:iCs/>
                <w:szCs w:val="24"/>
                <w:lang w:val="fr-FR"/>
              </w:rPr>
              <w:t xml:space="preserve"> sur les TIC"</w:t>
            </w:r>
            <w:r>
              <w:rPr>
                <w:i/>
                <w:iCs/>
                <w:szCs w:val="24"/>
                <w:lang w:val="fr-FR"/>
              </w:rPr>
              <w:t xml:space="preserve"> et SMTP</w:t>
            </w:r>
            <w:r w:rsidRPr="003679CB">
              <w:rPr>
                <w:i/>
                <w:iCs/>
                <w:szCs w:val="24"/>
                <w:lang w:val="fr-FR"/>
              </w:rPr>
              <w:t xml:space="preserve">. </w:t>
            </w:r>
            <w:r>
              <w:rPr>
                <w:i/>
                <w:iCs/>
                <w:szCs w:val="24"/>
                <w:lang w:val="fr-FR"/>
              </w:rPr>
              <w:t>Il a été noté que l</w:t>
            </w:r>
            <w:r w:rsidR="00D3211C">
              <w:rPr>
                <w:i/>
                <w:iCs/>
                <w:szCs w:val="24"/>
                <w:lang w:val="fr-FR"/>
              </w:rPr>
              <w:t>'</w:t>
            </w:r>
            <w:r>
              <w:rPr>
                <w:i/>
                <w:iCs/>
                <w:szCs w:val="24"/>
                <w:lang w:val="fr-FR"/>
              </w:rPr>
              <w:t xml:space="preserve">examen du rôle des </w:t>
            </w:r>
            <w:r w:rsidRPr="00004200">
              <w:rPr>
                <w:i/>
                <w:iCs/>
                <w:szCs w:val="24"/>
                <w:lang w:val="fr-FR"/>
              </w:rPr>
              <w:t>établissements universitaires relevait essentiellement des CE</w:t>
            </w:r>
            <w:r w:rsidR="000270A9">
              <w:rPr>
                <w:i/>
                <w:iCs/>
                <w:szCs w:val="24"/>
                <w:lang w:val="fr-FR"/>
              </w:rPr>
              <w:t> </w:t>
            </w:r>
            <w:r w:rsidRPr="00004200">
              <w:rPr>
                <w:i/>
                <w:iCs/>
                <w:szCs w:val="24"/>
                <w:lang w:val="fr-FR"/>
              </w:rPr>
              <w:t>3 et CE 7 de l</w:t>
            </w:r>
            <w:r w:rsidR="00D3211C">
              <w:rPr>
                <w:i/>
                <w:iCs/>
                <w:szCs w:val="24"/>
                <w:lang w:val="fr-FR"/>
              </w:rPr>
              <w:t>'</w:t>
            </w:r>
            <w:r w:rsidRPr="00004200">
              <w:rPr>
                <w:i/>
                <w:iCs/>
                <w:szCs w:val="24"/>
                <w:lang w:val="fr-FR"/>
              </w:rPr>
              <w:t>UIT-R</w:t>
            </w:r>
            <w:r w:rsidR="009227BB">
              <w:rPr>
                <w:i/>
                <w:iCs/>
                <w:szCs w:val="24"/>
                <w:lang w:val="fr-FR"/>
              </w:rPr>
              <w:t>.</w:t>
            </w:r>
          </w:p>
        </w:tc>
      </w:tr>
      <w:tr w:rsidR="00CB341F" w:rsidRPr="003439C0" w:rsidTr="00AF5F43">
        <w:tc>
          <w:tcPr>
            <w:tcW w:w="2269" w:type="dxa"/>
          </w:tcPr>
          <w:p w:rsidR="00CB341F" w:rsidRPr="00D3211C" w:rsidRDefault="00CB341F" w:rsidP="00D3211C">
            <w:pPr>
              <w:pStyle w:val="Tabletext"/>
              <w:rPr>
                <w:b/>
                <w:i/>
                <w:iCs/>
                <w:szCs w:val="24"/>
                <w:lang w:val="fr-FR"/>
              </w:rPr>
            </w:pPr>
            <w:r w:rsidRPr="00D3211C">
              <w:rPr>
                <w:b/>
                <w:i/>
                <w:iCs/>
                <w:szCs w:val="24"/>
                <w:lang w:val="fr-FR"/>
              </w:rPr>
              <w:t>Réduction de la fracture numérique</w:t>
            </w:r>
          </w:p>
        </w:tc>
        <w:tc>
          <w:tcPr>
            <w:tcW w:w="2540" w:type="dxa"/>
          </w:tcPr>
          <w:p w:rsidR="00CB341F" w:rsidRPr="006877ED" w:rsidRDefault="00CB341F" w:rsidP="009227BB">
            <w:pPr>
              <w:pStyle w:val="Tabletext"/>
              <w:rPr>
                <w:i/>
                <w:iCs/>
                <w:szCs w:val="24"/>
              </w:rPr>
            </w:pPr>
            <w:r w:rsidRPr="006F5957">
              <w:rPr>
                <w:i/>
                <w:iCs/>
                <w:szCs w:val="24"/>
              </w:rPr>
              <w:t xml:space="preserve">Nouvelle </w:t>
            </w:r>
            <w:proofErr w:type="spellStart"/>
            <w:r w:rsidRPr="006F5957">
              <w:rPr>
                <w:i/>
                <w:iCs/>
                <w:szCs w:val="24"/>
              </w:rPr>
              <w:t>Résolution</w:t>
            </w:r>
            <w:proofErr w:type="spellEnd"/>
            <w:r w:rsidRPr="006F5957">
              <w:rPr>
                <w:i/>
                <w:iCs/>
                <w:szCs w:val="24"/>
              </w:rPr>
              <w:t xml:space="preserve"> UIT</w:t>
            </w:r>
            <w:r w:rsidR="009227BB">
              <w:rPr>
                <w:i/>
                <w:iCs/>
                <w:szCs w:val="24"/>
              </w:rPr>
              <w:noBreakHyphen/>
            </w:r>
            <w:r w:rsidRPr="006F5957">
              <w:rPr>
                <w:i/>
                <w:iCs/>
                <w:szCs w:val="24"/>
              </w:rPr>
              <w:t>R</w:t>
            </w:r>
            <w:r w:rsidR="009227BB">
              <w:rPr>
                <w:i/>
                <w:iCs/>
                <w:szCs w:val="24"/>
              </w:rPr>
              <w:t> </w:t>
            </w:r>
            <w:r w:rsidRPr="006F5957">
              <w:rPr>
                <w:i/>
                <w:iCs/>
                <w:szCs w:val="24"/>
              </w:rPr>
              <w:t>69</w:t>
            </w:r>
          </w:p>
        </w:tc>
        <w:tc>
          <w:tcPr>
            <w:tcW w:w="2657" w:type="dxa"/>
          </w:tcPr>
          <w:p w:rsidR="00CB341F" w:rsidRPr="00CE73EE" w:rsidRDefault="00CB341F" w:rsidP="00D3211C">
            <w:pPr>
              <w:pStyle w:val="Tabletext"/>
              <w:rPr>
                <w:szCs w:val="24"/>
                <w:lang w:val="fr-FR"/>
              </w:rPr>
            </w:pPr>
            <w:r w:rsidRPr="006F5957">
              <w:rPr>
                <w:szCs w:val="24"/>
                <w:lang w:val="fr-FR"/>
              </w:rPr>
              <w:t>Développement et déploiement des télécommunications publiques internationales par satellite dans les pays en développement</w:t>
            </w:r>
          </w:p>
        </w:tc>
        <w:tc>
          <w:tcPr>
            <w:tcW w:w="2731" w:type="dxa"/>
            <w:gridSpan w:val="2"/>
          </w:tcPr>
          <w:p w:rsidR="00CB341F" w:rsidRPr="00CE73EE" w:rsidRDefault="00CB341F" w:rsidP="00D3211C">
            <w:pPr>
              <w:pStyle w:val="Tabletext"/>
              <w:rPr>
                <w:i/>
                <w:iCs/>
                <w:szCs w:val="24"/>
                <w:lang w:val="fr-FR"/>
              </w:rPr>
            </w:pPr>
          </w:p>
        </w:tc>
      </w:tr>
      <w:tr w:rsidR="00CB341F" w:rsidRPr="003439C0" w:rsidTr="00AF5F43">
        <w:tc>
          <w:tcPr>
            <w:tcW w:w="2269" w:type="dxa"/>
            <w:vMerge w:val="restart"/>
          </w:tcPr>
          <w:p w:rsidR="00CB341F" w:rsidRPr="00D3211C" w:rsidRDefault="00CB341F" w:rsidP="00D3211C">
            <w:pPr>
              <w:pStyle w:val="Tabletext"/>
              <w:rPr>
                <w:b/>
                <w:i/>
                <w:iCs/>
                <w:szCs w:val="24"/>
              </w:rPr>
            </w:pPr>
            <w:proofErr w:type="spellStart"/>
            <w:r w:rsidRPr="00D3211C">
              <w:rPr>
                <w:b/>
                <w:i/>
                <w:iCs/>
                <w:szCs w:val="24"/>
              </w:rPr>
              <w:t>Gestion</w:t>
            </w:r>
            <w:proofErr w:type="spellEnd"/>
            <w:r w:rsidRPr="00D3211C">
              <w:rPr>
                <w:b/>
                <w:i/>
                <w:iCs/>
                <w:szCs w:val="24"/>
              </w:rPr>
              <w:t xml:space="preserve"> du spectre</w:t>
            </w:r>
          </w:p>
        </w:tc>
        <w:tc>
          <w:tcPr>
            <w:tcW w:w="2540" w:type="dxa"/>
          </w:tcPr>
          <w:p w:rsidR="00CB341F" w:rsidRPr="00D92723" w:rsidRDefault="00CB341F" w:rsidP="00D3211C">
            <w:pPr>
              <w:pStyle w:val="Tabletext"/>
              <w:rPr>
                <w:i/>
                <w:iCs/>
                <w:szCs w:val="24"/>
                <w:lang w:val="fr-FR"/>
              </w:rPr>
            </w:pPr>
            <w:r w:rsidRPr="006F5957">
              <w:rPr>
                <w:i/>
                <w:iCs/>
                <w:szCs w:val="24"/>
                <w:lang w:val="fr-FR"/>
              </w:rPr>
              <w:t>Révision de la Résolution UIT-R 40-3</w:t>
            </w:r>
          </w:p>
        </w:tc>
        <w:tc>
          <w:tcPr>
            <w:tcW w:w="2657" w:type="dxa"/>
          </w:tcPr>
          <w:p w:rsidR="00CB341F" w:rsidRPr="00913945" w:rsidRDefault="00CB341F" w:rsidP="00D3211C">
            <w:pPr>
              <w:pStyle w:val="Tabletext"/>
              <w:rPr>
                <w:szCs w:val="24"/>
                <w:lang w:val="fr-FR"/>
              </w:rPr>
            </w:pPr>
            <w:r w:rsidRPr="006F5957">
              <w:rPr>
                <w:i/>
                <w:iCs/>
                <w:szCs w:val="24"/>
                <w:lang w:val="fr-FR"/>
              </w:rPr>
              <w:t>Bases de données mondiales sur l'altitude du terrain et les caractéristiques de surface</w:t>
            </w:r>
            <w:r w:rsidRPr="00913945">
              <w:rPr>
                <w:i/>
                <w:iCs/>
                <w:szCs w:val="24"/>
                <w:lang w:val="fr-FR"/>
              </w:rPr>
              <w:t> </w:t>
            </w:r>
          </w:p>
        </w:tc>
        <w:tc>
          <w:tcPr>
            <w:tcW w:w="2731" w:type="dxa"/>
            <w:gridSpan w:val="2"/>
          </w:tcPr>
          <w:p w:rsidR="00CB341F" w:rsidRPr="00D3211C" w:rsidRDefault="00D3211C" w:rsidP="00D3211C">
            <w:pPr>
              <w:pStyle w:val="Tabletext"/>
              <w:rPr>
                <w:i/>
                <w:iCs/>
                <w:szCs w:val="24"/>
                <w:lang w:val="fr-CH"/>
              </w:rPr>
            </w:pPr>
            <w:r w:rsidRPr="00D3211C">
              <w:rPr>
                <w:i/>
                <w:iCs/>
                <w:szCs w:val="24"/>
                <w:lang w:val="fr-CH"/>
              </w:rPr>
              <w:t>Inclusion dans le</w:t>
            </w:r>
            <w:r w:rsidR="00CB341F" w:rsidRPr="00D3211C">
              <w:rPr>
                <w:i/>
                <w:iCs/>
                <w:szCs w:val="24"/>
                <w:lang w:val="fr-CH"/>
              </w:rPr>
              <w:t xml:space="preserve"> système SMS4DC</w:t>
            </w:r>
          </w:p>
        </w:tc>
      </w:tr>
      <w:tr w:rsidR="00CB341F" w:rsidRPr="003439C0" w:rsidTr="00AF5F43">
        <w:tc>
          <w:tcPr>
            <w:tcW w:w="2269" w:type="dxa"/>
            <w:vMerge/>
          </w:tcPr>
          <w:p w:rsidR="00CB341F" w:rsidRPr="00D3211C" w:rsidRDefault="00CB341F" w:rsidP="00D3211C">
            <w:pPr>
              <w:pStyle w:val="Tabletext"/>
              <w:rPr>
                <w:b/>
                <w:i/>
                <w:iCs/>
                <w:szCs w:val="24"/>
                <w:lang w:val="fr-CH"/>
              </w:rPr>
            </w:pPr>
          </w:p>
        </w:tc>
        <w:tc>
          <w:tcPr>
            <w:tcW w:w="2540" w:type="dxa"/>
          </w:tcPr>
          <w:p w:rsidR="00CB341F" w:rsidRPr="00592C9C" w:rsidRDefault="00CB341F" w:rsidP="00D3211C">
            <w:pPr>
              <w:pStyle w:val="Tabletext"/>
              <w:rPr>
                <w:i/>
                <w:iCs/>
                <w:szCs w:val="24"/>
                <w:lang w:val="fr-FR"/>
              </w:rPr>
            </w:pPr>
            <w:r w:rsidRPr="006F5957">
              <w:rPr>
                <w:i/>
                <w:iCs/>
                <w:szCs w:val="24"/>
                <w:lang w:val="fr-FR"/>
              </w:rPr>
              <w:t>Révision de la Résolution UIT-R 11-4</w:t>
            </w:r>
          </w:p>
        </w:tc>
        <w:tc>
          <w:tcPr>
            <w:tcW w:w="2657" w:type="dxa"/>
          </w:tcPr>
          <w:p w:rsidR="00CB341F" w:rsidRPr="003A61C2" w:rsidRDefault="00CB341F" w:rsidP="00D3211C">
            <w:pPr>
              <w:pStyle w:val="Tabletext"/>
              <w:rPr>
                <w:i/>
                <w:iCs/>
                <w:szCs w:val="24"/>
                <w:lang w:val="fr-FR"/>
              </w:rPr>
            </w:pPr>
            <w:r w:rsidRPr="006F5957">
              <w:rPr>
                <w:i/>
                <w:iCs/>
                <w:szCs w:val="24"/>
                <w:lang w:val="fr-FR"/>
              </w:rPr>
              <w:t>Perfectionnement du Système de gestion du spectre pour les pays en développement</w:t>
            </w:r>
          </w:p>
        </w:tc>
        <w:tc>
          <w:tcPr>
            <w:tcW w:w="2731" w:type="dxa"/>
            <w:gridSpan w:val="2"/>
          </w:tcPr>
          <w:p w:rsidR="00CB341F" w:rsidRPr="00DA2CE9" w:rsidRDefault="00CB341F" w:rsidP="00D3211C">
            <w:pPr>
              <w:pStyle w:val="Tabletext"/>
              <w:rPr>
                <w:i/>
                <w:iCs/>
                <w:szCs w:val="24"/>
                <w:lang w:val="fr-FR"/>
              </w:rPr>
            </w:pPr>
            <w:r w:rsidRPr="00DA2CE9">
              <w:rPr>
                <w:i/>
                <w:iCs/>
                <w:szCs w:val="24"/>
                <w:lang w:val="fr-FR"/>
              </w:rPr>
              <w:t>Coopération concernant le système SMS4DC</w:t>
            </w:r>
          </w:p>
        </w:tc>
      </w:tr>
      <w:tr w:rsidR="00CB341F" w:rsidRPr="003439C0" w:rsidTr="00AF5F43">
        <w:tc>
          <w:tcPr>
            <w:tcW w:w="2269" w:type="dxa"/>
            <w:vMerge/>
          </w:tcPr>
          <w:p w:rsidR="00CB341F" w:rsidRPr="00D3211C" w:rsidRDefault="00CB341F" w:rsidP="00D3211C">
            <w:pPr>
              <w:pStyle w:val="Tabletext"/>
              <w:rPr>
                <w:b/>
                <w:i/>
                <w:iCs/>
                <w:szCs w:val="24"/>
                <w:lang w:val="fr-FR"/>
              </w:rPr>
            </w:pPr>
          </w:p>
        </w:tc>
        <w:tc>
          <w:tcPr>
            <w:tcW w:w="2540" w:type="dxa"/>
          </w:tcPr>
          <w:p w:rsidR="00CB341F" w:rsidRPr="00FE1D90" w:rsidRDefault="00CB341F" w:rsidP="00D3211C">
            <w:pPr>
              <w:pStyle w:val="Tabletext"/>
              <w:rPr>
                <w:i/>
                <w:iCs/>
                <w:szCs w:val="24"/>
                <w:lang w:val="fr-FR"/>
              </w:rPr>
            </w:pPr>
            <w:r w:rsidRPr="006F5957">
              <w:rPr>
                <w:i/>
                <w:iCs/>
                <w:szCs w:val="24"/>
                <w:lang w:val="fr-FR"/>
              </w:rPr>
              <w:t>Révision de la Résolution</w:t>
            </w:r>
            <w:r w:rsidRPr="00FE1D90">
              <w:rPr>
                <w:i/>
                <w:iCs/>
                <w:szCs w:val="24"/>
                <w:lang w:val="fr-FR"/>
              </w:rPr>
              <w:t xml:space="preserve"> </w:t>
            </w:r>
            <w:r w:rsidRPr="006F5957">
              <w:rPr>
                <w:i/>
                <w:iCs/>
                <w:szCs w:val="24"/>
                <w:lang w:val="fr-FR"/>
              </w:rPr>
              <w:t>UIT-R 22-3</w:t>
            </w:r>
          </w:p>
        </w:tc>
        <w:tc>
          <w:tcPr>
            <w:tcW w:w="2657" w:type="dxa"/>
          </w:tcPr>
          <w:p w:rsidR="00CB341F" w:rsidRPr="00B84FBE" w:rsidRDefault="00CB341F" w:rsidP="00D3211C">
            <w:pPr>
              <w:pStyle w:val="Tabletext"/>
              <w:rPr>
                <w:i/>
                <w:iCs/>
                <w:szCs w:val="24"/>
                <w:lang w:val="fr-FR"/>
              </w:rPr>
            </w:pPr>
            <w:r w:rsidRPr="006F5957">
              <w:rPr>
                <w:i/>
                <w:iCs/>
                <w:szCs w:val="24"/>
                <w:lang w:val="fr-FR"/>
              </w:rPr>
              <w:t>Amélioration des pratiques et des techniques de gestion nationale du spectre radioélectrique</w:t>
            </w:r>
          </w:p>
        </w:tc>
        <w:tc>
          <w:tcPr>
            <w:tcW w:w="2731" w:type="dxa"/>
            <w:gridSpan w:val="2"/>
          </w:tcPr>
          <w:p w:rsidR="00CB341F" w:rsidRPr="006539E1" w:rsidRDefault="00CB341F" w:rsidP="00D3211C">
            <w:pPr>
              <w:pStyle w:val="Tabletext"/>
              <w:rPr>
                <w:i/>
                <w:iCs/>
                <w:szCs w:val="24"/>
                <w:lang w:val="fr-FR"/>
              </w:rPr>
            </w:pPr>
            <w:r w:rsidRPr="006539E1">
              <w:rPr>
                <w:i/>
                <w:iCs/>
                <w:szCs w:val="24"/>
                <w:lang w:val="fr-FR"/>
              </w:rPr>
              <w:t>Le Groupe chargé de la Résolution 9 a contribué à la révision et a exercé un suivi</w:t>
            </w:r>
          </w:p>
        </w:tc>
      </w:tr>
      <w:tr w:rsidR="00CB341F" w:rsidRPr="003439C0" w:rsidTr="00AF5F43">
        <w:tc>
          <w:tcPr>
            <w:tcW w:w="2269" w:type="dxa"/>
          </w:tcPr>
          <w:p w:rsidR="00CB341F" w:rsidRPr="00D3211C" w:rsidRDefault="00CB341F" w:rsidP="00D3211C">
            <w:pPr>
              <w:pStyle w:val="Tabletext"/>
              <w:rPr>
                <w:b/>
                <w:i/>
                <w:iCs/>
                <w:szCs w:val="24"/>
              </w:rPr>
            </w:pPr>
            <w:r w:rsidRPr="00D3211C">
              <w:rPr>
                <w:b/>
                <w:lang w:val="fr-FR"/>
              </w:rPr>
              <w:br w:type="page"/>
            </w:r>
            <w:r w:rsidRPr="00D3211C">
              <w:rPr>
                <w:b/>
                <w:i/>
                <w:iCs/>
                <w:szCs w:val="24"/>
              </w:rPr>
              <w:t xml:space="preserve">Large </w:t>
            </w:r>
            <w:proofErr w:type="spellStart"/>
            <w:r w:rsidRPr="00D3211C">
              <w:rPr>
                <w:b/>
                <w:i/>
                <w:iCs/>
                <w:szCs w:val="24"/>
              </w:rPr>
              <w:t>bande</w:t>
            </w:r>
            <w:proofErr w:type="spellEnd"/>
            <w:r w:rsidRPr="00D3211C">
              <w:rPr>
                <w:b/>
                <w:i/>
                <w:iCs/>
                <w:szCs w:val="24"/>
              </w:rPr>
              <w:t xml:space="preserve"> </w:t>
            </w:r>
            <w:proofErr w:type="spellStart"/>
            <w:r w:rsidRPr="00D3211C">
              <w:rPr>
                <w:b/>
                <w:i/>
                <w:iCs/>
                <w:szCs w:val="24"/>
              </w:rPr>
              <w:t>hertzien</w:t>
            </w:r>
            <w:proofErr w:type="spellEnd"/>
          </w:p>
        </w:tc>
        <w:tc>
          <w:tcPr>
            <w:tcW w:w="2540" w:type="dxa"/>
          </w:tcPr>
          <w:p w:rsidR="00CB341F" w:rsidRPr="00360BB4" w:rsidRDefault="00CB341F" w:rsidP="00D3211C">
            <w:pPr>
              <w:pStyle w:val="Tabletext"/>
              <w:rPr>
                <w:i/>
                <w:iCs/>
                <w:szCs w:val="24"/>
                <w:lang w:val="fr-FR"/>
              </w:rPr>
            </w:pPr>
            <w:r w:rsidRPr="006F5957">
              <w:rPr>
                <w:i/>
                <w:iCs/>
                <w:szCs w:val="24"/>
                <w:lang w:val="fr-FR"/>
              </w:rPr>
              <w:t>Révision de la Résolution</w:t>
            </w:r>
            <w:r w:rsidRPr="00360BB4">
              <w:rPr>
                <w:i/>
                <w:iCs/>
                <w:szCs w:val="24"/>
                <w:lang w:val="fr-FR"/>
              </w:rPr>
              <w:t xml:space="preserve"> </w:t>
            </w:r>
            <w:r w:rsidRPr="006F5957">
              <w:rPr>
                <w:i/>
                <w:iCs/>
                <w:szCs w:val="24"/>
                <w:lang w:val="fr-FR"/>
              </w:rPr>
              <w:t>UIT-R 56-1</w:t>
            </w:r>
          </w:p>
        </w:tc>
        <w:tc>
          <w:tcPr>
            <w:tcW w:w="2657" w:type="dxa"/>
          </w:tcPr>
          <w:p w:rsidR="00CB341F" w:rsidRPr="00441F76" w:rsidRDefault="00CB341F" w:rsidP="00D3211C">
            <w:pPr>
              <w:pStyle w:val="Tabletext"/>
              <w:rPr>
                <w:i/>
                <w:iCs/>
                <w:szCs w:val="24"/>
                <w:lang w:val="fr-FR"/>
              </w:rPr>
            </w:pPr>
            <w:r w:rsidRPr="006F5957">
              <w:rPr>
                <w:i/>
                <w:iCs/>
                <w:szCs w:val="24"/>
                <w:lang w:val="fr-FR"/>
              </w:rPr>
              <w:t>Appellations pour les télécommunications mobiles internationales</w:t>
            </w:r>
          </w:p>
        </w:tc>
        <w:tc>
          <w:tcPr>
            <w:tcW w:w="2731" w:type="dxa"/>
            <w:gridSpan w:val="2"/>
          </w:tcPr>
          <w:p w:rsidR="00CB341F" w:rsidRPr="00EF2F36" w:rsidRDefault="00CB341F" w:rsidP="009227BB">
            <w:pPr>
              <w:pStyle w:val="Tabletext"/>
              <w:rPr>
                <w:i/>
                <w:iCs/>
                <w:szCs w:val="24"/>
                <w:lang w:val="fr-FR"/>
              </w:rPr>
            </w:pPr>
            <w:r>
              <w:rPr>
                <w:i/>
                <w:iCs/>
                <w:szCs w:val="24"/>
                <w:lang w:val="fr-FR"/>
              </w:rPr>
              <w:t xml:space="preserve">Prise en compte dans les Questions relevant des </w:t>
            </w:r>
            <w:r w:rsidR="009227BB">
              <w:rPr>
                <w:i/>
                <w:iCs/>
                <w:szCs w:val="24"/>
                <w:lang w:val="fr-FR"/>
              </w:rPr>
              <w:t>c</w:t>
            </w:r>
            <w:r>
              <w:rPr>
                <w:i/>
                <w:iCs/>
                <w:szCs w:val="24"/>
                <w:lang w:val="fr-FR"/>
              </w:rPr>
              <w:t>ommissions d</w:t>
            </w:r>
            <w:r w:rsidR="00D3211C">
              <w:rPr>
                <w:i/>
                <w:iCs/>
                <w:szCs w:val="24"/>
                <w:lang w:val="fr-FR"/>
              </w:rPr>
              <w:t>'</w:t>
            </w:r>
            <w:r>
              <w:rPr>
                <w:i/>
                <w:iCs/>
                <w:szCs w:val="24"/>
                <w:lang w:val="fr-FR"/>
              </w:rPr>
              <w:t>études de l</w:t>
            </w:r>
            <w:r w:rsidR="00D3211C">
              <w:rPr>
                <w:i/>
                <w:iCs/>
                <w:szCs w:val="24"/>
                <w:lang w:val="fr-FR"/>
              </w:rPr>
              <w:t>'</w:t>
            </w:r>
            <w:r>
              <w:rPr>
                <w:i/>
                <w:iCs/>
                <w:szCs w:val="24"/>
                <w:lang w:val="fr-FR"/>
              </w:rPr>
              <w:t>UIT</w:t>
            </w:r>
            <w:r w:rsidR="000270A9">
              <w:rPr>
                <w:i/>
                <w:iCs/>
                <w:szCs w:val="24"/>
                <w:lang w:val="fr-FR"/>
              </w:rPr>
              <w:noBreakHyphen/>
            </w:r>
            <w:r>
              <w:rPr>
                <w:i/>
                <w:iCs/>
                <w:szCs w:val="24"/>
                <w:lang w:val="fr-FR"/>
              </w:rPr>
              <w:t>D</w:t>
            </w:r>
          </w:p>
        </w:tc>
      </w:tr>
      <w:tr w:rsidR="00CB341F" w:rsidRPr="003439C0" w:rsidTr="00AF5F43">
        <w:tc>
          <w:tcPr>
            <w:tcW w:w="2269" w:type="dxa"/>
          </w:tcPr>
          <w:p w:rsidR="00CB341F" w:rsidRPr="00D3211C" w:rsidRDefault="00CB341F" w:rsidP="00D3211C">
            <w:pPr>
              <w:pStyle w:val="Tabletext"/>
              <w:rPr>
                <w:b/>
                <w:i/>
                <w:iCs/>
                <w:szCs w:val="24"/>
                <w:lang w:val="fr-FR"/>
              </w:rPr>
            </w:pPr>
            <w:r w:rsidRPr="00D3211C">
              <w:rPr>
                <w:b/>
                <w:i/>
                <w:iCs/>
                <w:szCs w:val="24"/>
                <w:lang w:val="fr-FR"/>
              </w:rPr>
              <w:lastRenderedPageBreak/>
              <w:t>Accessibilité pour les personnes handicapées</w:t>
            </w:r>
          </w:p>
        </w:tc>
        <w:tc>
          <w:tcPr>
            <w:tcW w:w="2540" w:type="dxa"/>
          </w:tcPr>
          <w:p w:rsidR="00CB341F" w:rsidRPr="006877ED" w:rsidRDefault="00CB341F" w:rsidP="009227BB">
            <w:pPr>
              <w:pStyle w:val="Tabletext"/>
              <w:rPr>
                <w:i/>
                <w:iCs/>
                <w:szCs w:val="24"/>
              </w:rPr>
            </w:pPr>
            <w:r w:rsidRPr="006F5957">
              <w:rPr>
                <w:i/>
                <w:iCs/>
                <w:szCs w:val="24"/>
              </w:rPr>
              <w:t xml:space="preserve">Nouvelle </w:t>
            </w:r>
            <w:proofErr w:type="spellStart"/>
            <w:r w:rsidRPr="006F5957">
              <w:rPr>
                <w:i/>
                <w:iCs/>
                <w:szCs w:val="24"/>
              </w:rPr>
              <w:t>Résolution</w:t>
            </w:r>
            <w:proofErr w:type="spellEnd"/>
            <w:r w:rsidRPr="006F5957">
              <w:rPr>
                <w:i/>
                <w:iCs/>
                <w:szCs w:val="24"/>
              </w:rPr>
              <w:t xml:space="preserve"> UIT</w:t>
            </w:r>
            <w:r w:rsidR="009227BB">
              <w:rPr>
                <w:i/>
                <w:iCs/>
                <w:szCs w:val="24"/>
              </w:rPr>
              <w:noBreakHyphen/>
            </w:r>
            <w:r w:rsidRPr="006F5957">
              <w:rPr>
                <w:i/>
                <w:iCs/>
                <w:szCs w:val="24"/>
              </w:rPr>
              <w:t>R</w:t>
            </w:r>
            <w:r w:rsidR="009227BB">
              <w:rPr>
                <w:i/>
                <w:iCs/>
                <w:szCs w:val="24"/>
              </w:rPr>
              <w:t> </w:t>
            </w:r>
            <w:r w:rsidRPr="006F5957">
              <w:rPr>
                <w:i/>
                <w:iCs/>
                <w:szCs w:val="24"/>
              </w:rPr>
              <w:t>67</w:t>
            </w:r>
          </w:p>
        </w:tc>
        <w:tc>
          <w:tcPr>
            <w:tcW w:w="2699" w:type="dxa"/>
            <w:gridSpan w:val="2"/>
          </w:tcPr>
          <w:p w:rsidR="00CB341F" w:rsidRPr="006F26AA" w:rsidRDefault="00CB341F" w:rsidP="00D3211C">
            <w:pPr>
              <w:pStyle w:val="Tabletext"/>
              <w:rPr>
                <w:i/>
                <w:iCs/>
                <w:szCs w:val="24"/>
                <w:lang w:val="fr-FR"/>
              </w:rPr>
            </w:pPr>
            <w:r w:rsidRPr="006F5957">
              <w:rPr>
                <w:i/>
                <w:iCs/>
                <w:szCs w:val="24"/>
                <w:lang w:val="fr-FR"/>
              </w:rPr>
              <w:t>Accessibilité des télécommunications/</w:t>
            </w:r>
            <w:proofErr w:type="spellStart"/>
            <w:r w:rsidRPr="006F5957">
              <w:rPr>
                <w:i/>
                <w:iCs/>
                <w:szCs w:val="24"/>
                <w:lang w:val="fr-FR"/>
              </w:rPr>
              <w:t>techno</w:t>
            </w:r>
            <w:r w:rsidR="009227BB">
              <w:rPr>
                <w:i/>
                <w:iCs/>
                <w:szCs w:val="24"/>
                <w:lang w:val="fr-FR"/>
              </w:rPr>
              <w:t>-</w:t>
            </w:r>
            <w:r w:rsidRPr="006F5957">
              <w:rPr>
                <w:i/>
                <w:iCs/>
                <w:szCs w:val="24"/>
                <w:lang w:val="fr-FR"/>
              </w:rPr>
              <w:t>logies</w:t>
            </w:r>
            <w:proofErr w:type="spellEnd"/>
            <w:r w:rsidRPr="006F5957">
              <w:rPr>
                <w:i/>
                <w:iCs/>
                <w:szCs w:val="24"/>
                <w:lang w:val="fr-FR"/>
              </w:rPr>
              <w:t xml:space="preserve"> de l'information et de la communication pour les personnes handicapées et les personnes ayant des besoins particuliers</w:t>
            </w:r>
          </w:p>
        </w:tc>
        <w:tc>
          <w:tcPr>
            <w:tcW w:w="2689" w:type="dxa"/>
          </w:tcPr>
          <w:p w:rsidR="00CB341F" w:rsidRPr="006F26AA" w:rsidRDefault="00CB341F" w:rsidP="00D3211C">
            <w:pPr>
              <w:pStyle w:val="Tabletext"/>
              <w:rPr>
                <w:i/>
                <w:iCs/>
                <w:szCs w:val="24"/>
                <w:lang w:val="fr-FR"/>
              </w:rPr>
            </w:pPr>
            <w:r>
              <w:rPr>
                <w:i/>
                <w:iCs/>
                <w:szCs w:val="24"/>
                <w:lang w:val="fr-FR"/>
              </w:rPr>
              <w:t>Assistance directe aux pays, lignes directrices, matériels didactiques, rapports</w:t>
            </w:r>
          </w:p>
          <w:p w:rsidR="00CB341F" w:rsidRPr="00F92110" w:rsidRDefault="00CB341F" w:rsidP="009227BB">
            <w:pPr>
              <w:pStyle w:val="Tabletext"/>
              <w:rPr>
                <w:i/>
                <w:iCs/>
                <w:szCs w:val="24"/>
                <w:lang w:val="fr-FR"/>
              </w:rPr>
            </w:pPr>
            <w:r w:rsidRPr="006F5957">
              <w:rPr>
                <w:i/>
                <w:iCs/>
                <w:szCs w:val="24"/>
                <w:lang w:val="fr-FR"/>
              </w:rPr>
              <w:t xml:space="preserve">Questions confiées aux </w:t>
            </w:r>
            <w:r w:rsidR="009227BB">
              <w:rPr>
                <w:i/>
                <w:iCs/>
                <w:szCs w:val="24"/>
                <w:lang w:val="fr-FR"/>
              </w:rPr>
              <w:t>c</w:t>
            </w:r>
            <w:r w:rsidRPr="006F5957">
              <w:rPr>
                <w:i/>
                <w:iCs/>
                <w:szCs w:val="24"/>
                <w:lang w:val="fr-FR"/>
              </w:rPr>
              <w:t>ommissions d</w:t>
            </w:r>
            <w:r w:rsidR="00D3211C">
              <w:rPr>
                <w:i/>
                <w:iCs/>
                <w:szCs w:val="24"/>
                <w:lang w:val="fr-FR"/>
              </w:rPr>
              <w:t>'</w:t>
            </w:r>
            <w:r w:rsidRPr="006F5957">
              <w:rPr>
                <w:i/>
                <w:iCs/>
                <w:szCs w:val="24"/>
                <w:lang w:val="fr-FR"/>
              </w:rPr>
              <w:t>études de l</w:t>
            </w:r>
            <w:r w:rsidR="00D3211C">
              <w:rPr>
                <w:i/>
                <w:iCs/>
                <w:szCs w:val="24"/>
                <w:lang w:val="fr-FR"/>
              </w:rPr>
              <w:t>'</w:t>
            </w:r>
            <w:r w:rsidRPr="006F5957">
              <w:rPr>
                <w:i/>
                <w:iCs/>
                <w:szCs w:val="24"/>
                <w:lang w:val="fr-FR"/>
              </w:rPr>
              <w:t>UIT-D</w:t>
            </w:r>
          </w:p>
        </w:tc>
      </w:tr>
      <w:tr w:rsidR="00CB341F" w:rsidRPr="003439C0" w:rsidTr="00AF5F43">
        <w:tc>
          <w:tcPr>
            <w:tcW w:w="2269" w:type="dxa"/>
          </w:tcPr>
          <w:p w:rsidR="00CB341F" w:rsidRPr="00D3211C" w:rsidRDefault="00CB341F" w:rsidP="00D3211C">
            <w:pPr>
              <w:pStyle w:val="Tabletext"/>
              <w:rPr>
                <w:b/>
                <w:i/>
                <w:iCs/>
                <w:szCs w:val="24"/>
                <w:lang w:val="fr-FR"/>
              </w:rPr>
            </w:pPr>
            <w:r w:rsidRPr="00D3211C">
              <w:rPr>
                <w:b/>
                <w:i/>
                <w:iCs/>
                <w:szCs w:val="24"/>
                <w:lang w:val="fr-FR"/>
              </w:rPr>
              <w:t xml:space="preserve">Télécommunications d'urgence, interventions et secours en cas de catastrophe </w:t>
            </w:r>
          </w:p>
        </w:tc>
        <w:tc>
          <w:tcPr>
            <w:tcW w:w="2540" w:type="dxa"/>
          </w:tcPr>
          <w:p w:rsidR="00CB341F" w:rsidRPr="00FF535B" w:rsidRDefault="00CB341F" w:rsidP="00D3211C">
            <w:pPr>
              <w:pStyle w:val="Tabletext"/>
              <w:rPr>
                <w:i/>
                <w:iCs/>
                <w:szCs w:val="24"/>
                <w:lang w:val="fr-FR"/>
              </w:rPr>
            </w:pPr>
            <w:r w:rsidRPr="006F5957">
              <w:rPr>
                <w:i/>
                <w:iCs/>
                <w:szCs w:val="24"/>
                <w:lang w:val="fr-FR"/>
              </w:rPr>
              <w:t>Révision de la Résolution</w:t>
            </w:r>
            <w:r w:rsidRPr="00FF535B">
              <w:rPr>
                <w:i/>
                <w:iCs/>
                <w:szCs w:val="24"/>
                <w:lang w:val="fr-FR"/>
              </w:rPr>
              <w:t> </w:t>
            </w:r>
            <w:r w:rsidRPr="006F5957">
              <w:rPr>
                <w:i/>
                <w:iCs/>
                <w:szCs w:val="24"/>
                <w:lang w:val="fr-FR"/>
              </w:rPr>
              <w:t xml:space="preserve">UIT-R 55-1 </w:t>
            </w:r>
            <w:r>
              <w:rPr>
                <w:i/>
                <w:iCs/>
                <w:szCs w:val="24"/>
                <w:lang w:val="fr-FR"/>
              </w:rPr>
              <w:t>(</w:t>
            </w:r>
            <w:r w:rsidRPr="006F5957">
              <w:rPr>
                <w:i/>
                <w:iCs/>
                <w:szCs w:val="24"/>
                <w:lang w:val="fr-FR"/>
              </w:rPr>
              <w:t>et suppression de la Résolution</w:t>
            </w:r>
            <w:r w:rsidRPr="00FF535B">
              <w:rPr>
                <w:i/>
                <w:iCs/>
                <w:szCs w:val="24"/>
                <w:lang w:val="fr-FR"/>
              </w:rPr>
              <w:t xml:space="preserve"> </w:t>
            </w:r>
            <w:r w:rsidRPr="006F5957">
              <w:rPr>
                <w:i/>
                <w:iCs/>
                <w:szCs w:val="24"/>
                <w:lang w:val="fr-FR"/>
              </w:rPr>
              <w:t>UIT-R 53-1)</w:t>
            </w:r>
          </w:p>
        </w:tc>
        <w:tc>
          <w:tcPr>
            <w:tcW w:w="2699" w:type="dxa"/>
            <w:gridSpan w:val="2"/>
          </w:tcPr>
          <w:p w:rsidR="00CB341F" w:rsidRPr="000857CF" w:rsidRDefault="00CB341F" w:rsidP="00D3211C">
            <w:pPr>
              <w:pStyle w:val="Tabletext"/>
              <w:rPr>
                <w:i/>
                <w:iCs/>
                <w:szCs w:val="24"/>
                <w:lang w:val="fr-FR"/>
              </w:rPr>
            </w:pPr>
            <w:r w:rsidRPr="006F5957">
              <w:rPr>
                <w:i/>
                <w:iCs/>
                <w:szCs w:val="24"/>
                <w:lang w:val="fr-FR"/>
              </w:rPr>
              <w:t>Etudes de l'UIT-R concernant la prévision ou la détection des catastrophes, l'atténuation de leurs effets et les opérations de secours</w:t>
            </w:r>
          </w:p>
        </w:tc>
        <w:tc>
          <w:tcPr>
            <w:tcW w:w="2689" w:type="dxa"/>
          </w:tcPr>
          <w:p w:rsidR="00CB341F" w:rsidRPr="006E684C" w:rsidRDefault="00CB341F" w:rsidP="00D3211C">
            <w:pPr>
              <w:pStyle w:val="Tabletext"/>
              <w:rPr>
                <w:i/>
                <w:iCs/>
                <w:szCs w:val="24"/>
                <w:lang w:val="fr-FR"/>
              </w:rPr>
            </w:pPr>
            <w:r w:rsidRPr="006E684C">
              <w:rPr>
                <w:i/>
                <w:iCs/>
                <w:szCs w:val="24"/>
                <w:lang w:val="fr-FR"/>
              </w:rPr>
              <w:t>Assistance directe aux pays</w:t>
            </w:r>
            <w:r>
              <w:rPr>
                <w:i/>
                <w:iCs/>
                <w:szCs w:val="24"/>
                <w:lang w:val="fr-FR"/>
              </w:rPr>
              <w:t>, lignes directrices, politique</w:t>
            </w:r>
          </w:p>
          <w:p w:rsidR="00CB341F" w:rsidRPr="00AA7038" w:rsidRDefault="00CB341F" w:rsidP="009227BB">
            <w:pPr>
              <w:pStyle w:val="Tabletext"/>
              <w:rPr>
                <w:i/>
                <w:iCs/>
                <w:szCs w:val="24"/>
                <w:lang w:val="fr-FR"/>
              </w:rPr>
            </w:pPr>
            <w:r w:rsidRPr="006F5957">
              <w:rPr>
                <w:i/>
                <w:iCs/>
                <w:szCs w:val="24"/>
                <w:lang w:val="fr-FR"/>
              </w:rPr>
              <w:t xml:space="preserve">Questions confiées aux </w:t>
            </w:r>
            <w:r w:rsidR="009227BB">
              <w:rPr>
                <w:i/>
                <w:iCs/>
                <w:szCs w:val="24"/>
                <w:lang w:val="fr-FR"/>
              </w:rPr>
              <w:t>c</w:t>
            </w:r>
            <w:r w:rsidRPr="006F5957">
              <w:rPr>
                <w:i/>
                <w:iCs/>
                <w:szCs w:val="24"/>
                <w:lang w:val="fr-FR"/>
              </w:rPr>
              <w:t>ommissions d</w:t>
            </w:r>
            <w:r w:rsidR="00D3211C">
              <w:rPr>
                <w:i/>
                <w:iCs/>
                <w:szCs w:val="24"/>
                <w:lang w:val="fr-FR"/>
              </w:rPr>
              <w:t>'</w:t>
            </w:r>
            <w:r w:rsidRPr="006F5957">
              <w:rPr>
                <w:i/>
                <w:iCs/>
                <w:szCs w:val="24"/>
                <w:lang w:val="fr-FR"/>
              </w:rPr>
              <w:t>études de l</w:t>
            </w:r>
            <w:r w:rsidR="00D3211C">
              <w:rPr>
                <w:i/>
                <w:iCs/>
                <w:szCs w:val="24"/>
                <w:lang w:val="fr-FR"/>
              </w:rPr>
              <w:t>'</w:t>
            </w:r>
            <w:r w:rsidRPr="006F5957">
              <w:rPr>
                <w:i/>
                <w:iCs/>
                <w:szCs w:val="24"/>
                <w:lang w:val="fr-FR"/>
              </w:rPr>
              <w:t>UIT-D</w:t>
            </w:r>
          </w:p>
        </w:tc>
      </w:tr>
      <w:tr w:rsidR="00CB341F" w:rsidTr="00AF5F43">
        <w:tc>
          <w:tcPr>
            <w:tcW w:w="2269" w:type="dxa"/>
          </w:tcPr>
          <w:p w:rsidR="00CB341F" w:rsidRPr="00D3211C" w:rsidRDefault="00CB341F" w:rsidP="00D3211C">
            <w:pPr>
              <w:pStyle w:val="Tabletext"/>
              <w:rPr>
                <w:b/>
                <w:i/>
                <w:iCs/>
                <w:szCs w:val="24"/>
                <w:lang w:val="fr-FR"/>
              </w:rPr>
            </w:pPr>
            <w:r w:rsidRPr="00D3211C">
              <w:rPr>
                <w:b/>
                <w:i/>
                <w:iCs/>
                <w:szCs w:val="24"/>
                <w:lang w:val="fr-FR"/>
              </w:rPr>
              <w:t>Changements climatiques et TIC vertes</w:t>
            </w:r>
          </w:p>
        </w:tc>
        <w:tc>
          <w:tcPr>
            <w:tcW w:w="2540" w:type="dxa"/>
          </w:tcPr>
          <w:p w:rsidR="00CB341F" w:rsidRPr="00313A91" w:rsidRDefault="00CB341F" w:rsidP="00D3211C">
            <w:pPr>
              <w:pStyle w:val="Tabletext"/>
              <w:rPr>
                <w:i/>
                <w:iCs/>
                <w:szCs w:val="24"/>
                <w:lang w:val="fr-FR"/>
              </w:rPr>
            </w:pPr>
            <w:r w:rsidRPr="006F5957">
              <w:rPr>
                <w:i/>
                <w:iCs/>
                <w:szCs w:val="24"/>
                <w:lang w:val="fr-FR"/>
              </w:rPr>
              <w:t>Révision de la Résolution UIT-R 60</w:t>
            </w:r>
          </w:p>
        </w:tc>
        <w:tc>
          <w:tcPr>
            <w:tcW w:w="2699" w:type="dxa"/>
            <w:gridSpan w:val="2"/>
          </w:tcPr>
          <w:p w:rsidR="00CB341F" w:rsidRPr="00747FB2" w:rsidRDefault="00CB341F" w:rsidP="00D3211C">
            <w:pPr>
              <w:pStyle w:val="Tabletext"/>
              <w:rPr>
                <w:i/>
                <w:iCs/>
                <w:szCs w:val="24"/>
                <w:lang w:val="fr-FR"/>
              </w:rPr>
            </w:pPr>
            <w:r w:rsidRPr="006F5957">
              <w:rPr>
                <w:i/>
                <w:iCs/>
                <w:szCs w:val="24"/>
                <w:lang w:val="fr-FR"/>
              </w:rPr>
              <w:t>Réduction de la consommation d'énergie pour la protection de l'environnement et l'atténuation des effets des changements climatiques grâce à l'utilisation de technologies et systèmes des radiocommunications/TIC</w:t>
            </w:r>
          </w:p>
        </w:tc>
        <w:tc>
          <w:tcPr>
            <w:tcW w:w="2689" w:type="dxa"/>
          </w:tcPr>
          <w:p w:rsidR="00CB341F" w:rsidRDefault="00CB341F" w:rsidP="00D3211C">
            <w:pPr>
              <w:pStyle w:val="Tabletext"/>
              <w:rPr>
                <w:i/>
                <w:iCs/>
                <w:szCs w:val="24"/>
              </w:rPr>
            </w:pPr>
            <w:proofErr w:type="spellStart"/>
            <w:r w:rsidRPr="006F5957">
              <w:rPr>
                <w:i/>
                <w:iCs/>
                <w:szCs w:val="24"/>
              </w:rPr>
              <w:t>Groupe</w:t>
            </w:r>
            <w:proofErr w:type="spellEnd"/>
            <w:r w:rsidRPr="006F5957">
              <w:rPr>
                <w:i/>
                <w:iCs/>
                <w:szCs w:val="24"/>
              </w:rPr>
              <w:t xml:space="preserve"> de coordination </w:t>
            </w:r>
            <w:proofErr w:type="spellStart"/>
            <w:r w:rsidRPr="006F5957">
              <w:rPr>
                <w:i/>
                <w:iCs/>
                <w:szCs w:val="24"/>
              </w:rPr>
              <w:t>intersectorielle</w:t>
            </w:r>
            <w:proofErr w:type="spellEnd"/>
          </w:p>
        </w:tc>
      </w:tr>
    </w:tbl>
    <w:p w:rsidR="00CB341F" w:rsidRDefault="00CB341F" w:rsidP="00CB341F">
      <w:pPr>
        <w:rPr>
          <w:b/>
          <w:bCs/>
          <w:szCs w:val="24"/>
          <w:lang w:val="en-US"/>
        </w:rPr>
      </w:pPr>
    </w:p>
    <w:p w:rsidR="00CB341F" w:rsidRPr="00585B7C" w:rsidRDefault="00CB341F" w:rsidP="009227BB">
      <w:pPr>
        <w:pStyle w:val="Headingb"/>
      </w:pPr>
      <w:r w:rsidRPr="006F5957">
        <w:t>Autres Résolutions et Recommandations se rapportant aux travaux du BDT, mais n'exigeant pas expressément la participation du BDT</w:t>
      </w:r>
    </w:p>
    <w:p w:rsidR="00CB341F" w:rsidRPr="008B26B3" w:rsidRDefault="00CB341F" w:rsidP="00CB341F">
      <w:pPr>
        <w:rPr>
          <w:szCs w:val="24"/>
          <w:lang w:val="fr-FR"/>
        </w:rPr>
      </w:pPr>
      <w:r w:rsidRPr="006F5957">
        <w:rPr>
          <w:szCs w:val="24"/>
          <w:u w:val="single"/>
          <w:lang w:val="fr-FR"/>
        </w:rPr>
        <w:t>Nouvelle Résolution UIT-R 66</w:t>
      </w:r>
      <w:r w:rsidRPr="009227BB">
        <w:rPr>
          <w:szCs w:val="24"/>
          <w:lang w:val="fr-FR"/>
        </w:rPr>
        <w:t xml:space="preserve">: </w:t>
      </w:r>
      <w:r w:rsidRPr="00B92E92">
        <w:rPr>
          <w:i/>
          <w:iCs/>
          <w:szCs w:val="24"/>
          <w:lang w:val="fr-FR"/>
        </w:rPr>
        <w:t>Etudes relatives aux systèmes et applications sans fil pour le développement de l'Internet des objets (</w:t>
      </w:r>
      <w:proofErr w:type="spellStart"/>
      <w:r w:rsidRPr="00B92E92">
        <w:rPr>
          <w:i/>
          <w:iCs/>
          <w:szCs w:val="24"/>
          <w:lang w:val="fr-FR"/>
        </w:rPr>
        <w:t>IoT</w:t>
      </w:r>
      <w:proofErr w:type="spellEnd"/>
      <w:r w:rsidRPr="00B92E92">
        <w:rPr>
          <w:i/>
          <w:iCs/>
          <w:szCs w:val="24"/>
          <w:lang w:val="fr-FR"/>
        </w:rPr>
        <w:t>).</w:t>
      </w:r>
    </w:p>
    <w:p w:rsidR="00CB341F" w:rsidRPr="0012553C" w:rsidRDefault="00CB341F" w:rsidP="00CB341F">
      <w:pPr>
        <w:rPr>
          <w:szCs w:val="24"/>
          <w:lang w:val="fr-FR"/>
        </w:rPr>
      </w:pPr>
      <w:r w:rsidRPr="006F5957">
        <w:rPr>
          <w:szCs w:val="24"/>
          <w:u w:val="single"/>
          <w:lang w:val="fr-FR"/>
        </w:rPr>
        <w:t>Révision de la Recommandation UIT-R M.1036-4</w:t>
      </w:r>
      <w:r w:rsidRPr="009227BB">
        <w:rPr>
          <w:szCs w:val="24"/>
          <w:lang w:val="fr-FR"/>
        </w:rPr>
        <w:t xml:space="preserve">: </w:t>
      </w:r>
      <w:r w:rsidRPr="00B92E92">
        <w:rPr>
          <w:i/>
          <w:iCs/>
          <w:szCs w:val="24"/>
          <w:lang w:val="fr-FR"/>
        </w:rPr>
        <w:t xml:space="preserve">Dispositions de fréquences applicables à la mise en </w:t>
      </w:r>
      <w:proofErr w:type="spellStart"/>
      <w:r w:rsidRPr="00B92E92">
        <w:rPr>
          <w:i/>
          <w:iCs/>
          <w:szCs w:val="24"/>
          <w:lang w:val="fr-FR"/>
        </w:rPr>
        <w:t>oeuvre</w:t>
      </w:r>
      <w:proofErr w:type="spellEnd"/>
      <w:r w:rsidRPr="00B92E92">
        <w:rPr>
          <w:i/>
          <w:iCs/>
          <w:szCs w:val="24"/>
          <w:lang w:val="fr-FR"/>
        </w:rPr>
        <w:t xml:space="preserve"> de la composante de Terre des Télécommunications mobiles internationales (IMT) dans les bandes identifiées pour les IMT dans le Règlement des radiocommunications (RR).</w:t>
      </w:r>
    </w:p>
    <w:p w:rsidR="00CB341F" w:rsidRPr="0012553C" w:rsidRDefault="00CB341F" w:rsidP="00CB341F">
      <w:pPr>
        <w:rPr>
          <w:szCs w:val="24"/>
          <w:lang w:val="fr-FR"/>
        </w:rPr>
      </w:pPr>
      <w:r w:rsidRPr="006F5957">
        <w:rPr>
          <w:szCs w:val="24"/>
          <w:u w:val="single"/>
          <w:lang w:val="fr-FR"/>
        </w:rPr>
        <w:t>Nouvelle Recommandation UIT-R M.[BSMS700]</w:t>
      </w:r>
      <w:r w:rsidRPr="009227BB">
        <w:rPr>
          <w:szCs w:val="24"/>
          <w:lang w:val="fr-FR"/>
        </w:rPr>
        <w:t xml:space="preserve">: </w:t>
      </w:r>
      <w:r w:rsidRPr="00B92E92">
        <w:rPr>
          <w:i/>
          <w:iCs/>
          <w:szCs w:val="24"/>
          <w:lang w:val="fr-FR"/>
        </w:rPr>
        <w:t>Limites spécifiques des rayonnements non désirés applicables aux stations mobiles IMT exploitées dans la bande de fréquences 694-790 MHz pour faciliter la protection des services existants en Région 1 fonctionnant dans la bande de fréquences 470-694 MHz.</w:t>
      </w:r>
    </w:p>
    <w:p w:rsidR="00CB341F" w:rsidRPr="0076776D" w:rsidRDefault="00CB341F" w:rsidP="00CB341F">
      <w:pPr>
        <w:rPr>
          <w:szCs w:val="24"/>
          <w:lang w:val="fr-FR"/>
        </w:rPr>
      </w:pPr>
      <w:r w:rsidRPr="006F5957">
        <w:rPr>
          <w:szCs w:val="24"/>
          <w:lang w:val="fr-FR"/>
        </w:rPr>
        <w:t>La CMR-15 a examiné plus de 40 sujets concernant l'attribution et le partage de fréquences aux fins de l'utilisation efficace des ressources que sont le spectre et les orbites.</w:t>
      </w:r>
      <w:r w:rsidRPr="0076776D">
        <w:rPr>
          <w:szCs w:val="24"/>
          <w:lang w:val="fr-FR"/>
        </w:rPr>
        <w:t xml:space="preserve"> </w:t>
      </w:r>
    </w:p>
    <w:p w:rsidR="00CB341F" w:rsidRPr="00CB5EF1" w:rsidRDefault="00CB341F" w:rsidP="00CB341F">
      <w:pPr>
        <w:rPr>
          <w:szCs w:val="24"/>
          <w:lang w:val="fr-FR"/>
        </w:rPr>
      </w:pPr>
      <w:r w:rsidRPr="006F5957">
        <w:rPr>
          <w:szCs w:val="24"/>
          <w:lang w:val="fr-FR"/>
        </w:rPr>
        <w:t>Les résultats permettront de fournir des services de radiocommunication d'excellente qualité pour les communications mobiles et les télécommunications par satellite, les transports maritimes et aéronautiques, la sécurité aérienne et la sécurité routière ainsi que pour des fins scientifiques en rapport avec l'environnement, la météorologie et la climatologie, la prévision des catastrophes, l'atténuation de leurs effets et les secours en cas de catastrophe.</w:t>
      </w:r>
    </w:p>
    <w:p w:rsidR="00CB341F" w:rsidRPr="00576D2D" w:rsidRDefault="00CB341F" w:rsidP="009227BB">
      <w:pPr>
        <w:pStyle w:val="Headingb"/>
        <w:keepNext/>
        <w:keepLines/>
      </w:pPr>
      <w:r w:rsidRPr="006F5957">
        <w:lastRenderedPageBreak/>
        <w:t>Résolutions de la CMR-15 par lesquelles le Directeur du BDT ou de l'UIT-D est invité à prendre des mesures</w:t>
      </w:r>
    </w:p>
    <w:tbl>
      <w:tblPr>
        <w:tblStyle w:val="TableGrid"/>
        <w:tblW w:w="0" w:type="auto"/>
        <w:tblLook w:val="04A0" w:firstRow="1" w:lastRow="0" w:firstColumn="1" w:lastColumn="0" w:noHBand="0" w:noVBand="1"/>
      </w:tblPr>
      <w:tblGrid>
        <w:gridCol w:w="1455"/>
        <w:gridCol w:w="1473"/>
        <w:gridCol w:w="2231"/>
        <w:gridCol w:w="2508"/>
        <w:gridCol w:w="1962"/>
      </w:tblGrid>
      <w:tr w:rsidR="00CB341F" w:rsidTr="00AF5F43">
        <w:trPr>
          <w:tblHeader/>
        </w:trPr>
        <w:tc>
          <w:tcPr>
            <w:tcW w:w="1452" w:type="dxa"/>
          </w:tcPr>
          <w:p w:rsidR="00CB341F" w:rsidRPr="00D3211C" w:rsidRDefault="00CB341F" w:rsidP="009227BB">
            <w:pPr>
              <w:pStyle w:val="Tablehead"/>
              <w:keepLines/>
            </w:pPr>
            <w:proofErr w:type="spellStart"/>
            <w:r w:rsidRPr="00D3211C">
              <w:t>Sujet</w:t>
            </w:r>
            <w:proofErr w:type="spellEnd"/>
          </w:p>
        </w:tc>
        <w:tc>
          <w:tcPr>
            <w:tcW w:w="1590" w:type="dxa"/>
          </w:tcPr>
          <w:p w:rsidR="00CB341F" w:rsidRPr="00D3211C" w:rsidRDefault="00CB341F" w:rsidP="009227BB">
            <w:pPr>
              <w:pStyle w:val="Tablehead"/>
              <w:keepLines/>
            </w:pPr>
            <w:proofErr w:type="spellStart"/>
            <w:r w:rsidRPr="00D3211C">
              <w:t>Résolution</w:t>
            </w:r>
            <w:proofErr w:type="spellEnd"/>
          </w:p>
        </w:tc>
        <w:tc>
          <w:tcPr>
            <w:tcW w:w="2293" w:type="dxa"/>
          </w:tcPr>
          <w:p w:rsidR="00CB341F" w:rsidRPr="000B3177" w:rsidRDefault="00CB341F" w:rsidP="009227BB">
            <w:pPr>
              <w:pStyle w:val="Tablehead"/>
              <w:keepLines/>
            </w:pPr>
            <w:r w:rsidRPr="006F5957">
              <w:t>Titre</w:t>
            </w:r>
          </w:p>
        </w:tc>
        <w:tc>
          <w:tcPr>
            <w:tcW w:w="2678" w:type="dxa"/>
          </w:tcPr>
          <w:p w:rsidR="00CB341F" w:rsidRPr="000B3177" w:rsidRDefault="00CB341F" w:rsidP="009227BB">
            <w:pPr>
              <w:pStyle w:val="Tablehead"/>
              <w:keepLines/>
            </w:pPr>
            <w:r w:rsidRPr="006F5957">
              <w:t xml:space="preserve">Action </w:t>
            </w:r>
            <w:proofErr w:type="spellStart"/>
            <w:r w:rsidRPr="006F5957">
              <w:t>requise</w:t>
            </w:r>
            <w:proofErr w:type="spellEnd"/>
          </w:p>
        </w:tc>
        <w:tc>
          <w:tcPr>
            <w:tcW w:w="2184" w:type="dxa"/>
          </w:tcPr>
          <w:p w:rsidR="00CB341F" w:rsidRPr="000B3177" w:rsidRDefault="00CB341F" w:rsidP="009227BB">
            <w:pPr>
              <w:pStyle w:val="Tablehead"/>
              <w:keepLines/>
            </w:pPr>
            <w:proofErr w:type="spellStart"/>
            <w:r w:rsidRPr="006F5957">
              <w:t>Activités</w:t>
            </w:r>
            <w:proofErr w:type="spellEnd"/>
          </w:p>
        </w:tc>
      </w:tr>
      <w:tr w:rsidR="00CB341F" w:rsidTr="00AF5F43">
        <w:trPr>
          <w:cantSplit/>
        </w:trPr>
        <w:tc>
          <w:tcPr>
            <w:tcW w:w="1452" w:type="dxa"/>
          </w:tcPr>
          <w:p w:rsidR="00CB341F" w:rsidRPr="00D3211C" w:rsidRDefault="00CB341F" w:rsidP="009227BB">
            <w:pPr>
              <w:pStyle w:val="Tabletext"/>
              <w:jc w:val="center"/>
              <w:rPr>
                <w:b/>
                <w:lang w:val="fr-FR"/>
              </w:rPr>
            </w:pPr>
            <w:r w:rsidRPr="00D3211C">
              <w:rPr>
                <w:b/>
                <w:lang w:val="fr-FR"/>
              </w:rPr>
              <w:t>Brouillages dans les bandes d</w:t>
            </w:r>
            <w:r w:rsidR="00D3211C" w:rsidRPr="00D3211C">
              <w:rPr>
                <w:b/>
                <w:lang w:val="fr-FR"/>
              </w:rPr>
              <w:t>'</w:t>
            </w:r>
            <w:r w:rsidRPr="00D3211C">
              <w:rPr>
                <w:b/>
                <w:lang w:val="fr-FR"/>
              </w:rPr>
              <w:t>ondes décamétriques</w:t>
            </w:r>
          </w:p>
        </w:tc>
        <w:tc>
          <w:tcPr>
            <w:tcW w:w="1590" w:type="dxa"/>
          </w:tcPr>
          <w:p w:rsidR="00CB341F" w:rsidRPr="00D3211C" w:rsidRDefault="00CB341F" w:rsidP="009227BB">
            <w:pPr>
              <w:pStyle w:val="Tabletext"/>
              <w:jc w:val="center"/>
              <w:rPr>
                <w:b/>
              </w:rPr>
            </w:pPr>
            <w:proofErr w:type="spellStart"/>
            <w:r w:rsidRPr="00D3211C">
              <w:rPr>
                <w:b/>
              </w:rPr>
              <w:t>Résolution</w:t>
            </w:r>
            <w:proofErr w:type="spellEnd"/>
            <w:r w:rsidRPr="00D3211C">
              <w:rPr>
                <w:b/>
              </w:rPr>
              <w:t xml:space="preserve"> 207</w:t>
            </w:r>
          </w:p>
        </w:tc>
        <w:tc>
          <w:tcPr>
            <w:tcW w:w="2293" w:type="dxa"/>
          </w:tcPr>
          <w:p w:rsidR="00CB341F" w:rsidRPr="00ED08DB" w:rsidRDefault="00CB341F" w:rsidP="00D3211C">
            <w:pPr>
              <w:pStyle w:val="Tabletext"/>
              <w:rPr>
                <w:lang w:val="fr-FR"/>
              </w:rPr>
            </w:pPr>
            <w:r w:rsidRPr="006F5957">
              <w:rPr>
                <w:lang w:val="fr-FR"/>
              </w:rPr>
              <w:t>Mesures permettant de traiter l'utilisation non autorisée de fréquences dans les bandes attribuées au service mobile maritime et au service mobile aéronautique (R) et les brouillages causés à ces fréquences</w:t>
            </w:r>
          </w:p>
        </w:tc>
        <w:tc>
          <w:tcPr>
            <w:tcW w:w="2678" w:type="dxa"/>
          </w:tcPr>
          <w:p w:rsidR="00CB341F" w:rsidRDefault="00CB341F" w:rsidP="00D3211C">
            <w:pPr>
              <w:pStyle w:val="Tabletext"/>
              <w:rPr>
                <w:iCs/>
                <w:lang w:val="fr-FR"/>
              </w:rPr>
            </w:pPr>
            <w:r w:rsidRPr="004E7825">
              <w:rPr>
                <w:i/>
                <w:lang w:val="fr-FR"/>
              </w:rPr>
              <w:t>décide d'inviter l'UIT-R et l'UIT-D</w:t>
            </w:r>
            <w:r w:rsidRPr="006F5957">
              <w:rPr>
                <w:iCs/>
                <w:lang w:val="fr-FR"/>
              </w:rPr>
              <w:t xml:space="preserve">, </w:t>
            </w:r>
          </w:p>
          <w:p w:rsidR="00CB341F" w:rsidRPr="00865C83" w:rsidRDefault="00CB341F" w:rsidP="00D3211C">
            <w:pPr>
              <w:pStyle w:val="Tabletext"/>
              <w:rPr>
                <w:lang w:val="fr-FR"/>
              </w:rPr>
            </w:pPr>
            <w:r w:rsidRPr="006F5957">
              <w:rPr>
                <w:iCs/>
                <w:lang w:val="fr-FR"/>
              </w:rPr>
              <w:t xml:space="preserve">dans leur domaine de </w:t>
            </w:r>
            <w:r>
              <w:rPr>
                <w:iCs/>
                <w:lang w:val="fr-FR"/>
              </w:rPr>
              <w:t>c</w:t>
            </w:r>
            <w:r w:rsidRPr="006F5957">
              <w:rPr>
                <w:iCs/>
                <w:lang w:val="fr-FR"/>
              </w:rPr>
              <w:t>ompétence</w:t>
            </w:r>
            <w:r>
              <w:rPr>
                <w:iCs/>
                <w:lang w:val="fr-FR"/>
              </w:rPr>
              <w:t xml:space="preserve">, </w:t>
            </w:r>
            <w:r w:rsidRPr="006F5957">
              <w:rPr>
                <w:lang w:val="fr-FR"/>
              </w:rPr>
              <w:t>à faire mieux connaître, au niveau régional, les méthodes appropriées visant à réduire les brouillages dans les bandes d'ondes décamétriques, en particulier sur les canaux réservés aux communications de détresse et de sécurité</w:t>
            </w:r>
          </w:p>
        </w:tc>
        <w:tc>
          <w:tcPr>
            <w:tcW w:w="2184" w:type="dxa"/>
          </w:tcPr>
          <w:p w:rsidR="00CB341F" w:rsidRPr="007516E0" w:rsidRDefault="00CB341F" w:rsidP="00D3211C">
            <w:pPr>
              <w:pStyle w:val="Tabletext"/>
            </w:pPr>
            <w:r w:rsidRPr="006F5957">
              <w:t>Ateliers</w:t>
            </w:r>
          </w:p>
        </w:tc>
      </w:tr>
      <w:tr w:rsidR="00CB341F" w:rsidTr="00AF5F43">
        <w:trPr>
          <w:cantSplit/>
        </w:trPr>
        <w:tc>
          <w:tcPr>
            <w:tcW w:w="1452" w:type="dxa"/>
          </w:tcPr>
          <w:p w:rsidR="00CB341F" w:rsidRPr="00D3211C" w:rsidRDefault="00CB341F" w:rsidP="009227BB">
            <w:pPr>
              <w:pStyle w:val="Tabletext"/>
              <w:jc w:val="center"/>
              <w:rPr>
                <w:b/>
                <w:lang w:val="fr-FR"/>
              </w:rPr>
            </w:pPr>
            <w:r w:rsidRPr="00D3211C">
              <w:rPr>
                <w:b/>
                <w:lang w:val="fr-FR"/>
              </w:rPr>
              <w:t>IMT au</w:t>
            </w:r>
            <w:r w:rsidR="00D3211C">
              <w:rPr>
                <w:b/>
                <w:lang w:val="fr-FR"/>
              </w:rPr>
              <w:noBreakHyphen/>
            </w:r>
            <w:r w:rsidRPr="00D3211C">
              <w:rPr>
                <w:b/>
                <w:lang w:val="fr-FR"/>
              </w:rPr>
              <w:t>dessous de 1</w:t>
            </w:r>
            <w:r w:rsidR="00D3211C">
              <w:rPr>
                <w:b/>
                <w:lang w:val="fr-FR"/>
              </w:rPr>
              <w:t> </w:t>
            </w:r>
            <w:r w:rsidRPr="00D3211C">
              <w:rPr>
                <w:b/>
                <w:lang w:val="fr-FR"/>
              </w:rPr>
              <w:t>GHz</w:t>
            </w:r>
          </w:p>
        </w:tc>
        <w:tc>
          <w:tcPr>
            <w:tcW w:w="1590" w:type="dxa"/>
          </w:tcPr>
          <w:p w:rsidR="00CB341F" w:rsidRPr="00D3211C" w:rsidRDefault="00CB341F" w:rsidP="009227BB">
            <w:pPr>
              <w:pStyle w:val="Tabletext"/>
              <w:jc w:val="center"/>
              <w:rPr>
                <w:b/>
              </w:rPr>
            </w:pPr>
            <w:proofErr w:type="spellStart"/>
            <w:r w:rsidRPr="00D3211C">
              <w:rPr>
                <w:b/>
              </w:rPr>
              <w:t>Résolution</w:t>
            </w:r>
            <w:proofErr w:type="spellEnd"/>
            <w:r w:rsidRPr="00D3211C">
              <w:rPr>
                <w:b/>
              </w:rPr>
              <w:t xml:space="preserve"> 224</w:t>
            </w:r>
          </w:p>
        </w:tc>
        <w:tc>
          <w:tcPr>
            <w:tcW w:w="2293" w:type="dxa"/>
          </w:tcPr>
          <w:p w:rsidR="00CB341F" w:rsidRPr="003F6B44" w:rsidRDefault="00CB341F" w:rsidP="00D3211C">
            <w:pPr>
              <w:pStyle w:val="Tabletext"/>
              <w:rPr>
                <w:lang w:val="fr-FR"/>
              </w:rPr>
            </w:pPr>
            <w:r w:rsidRPr="006F5957">
              <w:rPr>
                <w:lang w:val="fr-FR"/>
              </w:rPr>
              <w:t>Bandes de fréquences pour la composante de Terre des Télécommunications mobiles internationales au-dessous de 1 GHz</w:t>
            </w:r>
          </w:p>
        </w:tc>
        <w:tc>
          <w:tcPr>
            <w:tcW w:w="2678" w:type="dxa"/>
          </w:tcPr>
          <w:p w:rsidR="00CB341F" w:rsidRDefault="00CB341F" w:rsidP="00D3211C">
            <w:pPr>
              <w:pStyle w:val="Tabletext"/>
              <w:rPr>
                <w:i/>
                <w:lang w:val="fr-FR"/>
              </w:rPr>
            </w:pPr>
            <w:r w:rsidRPr="004E7825">
              <w:rPr>
                <w:i/>
                <w:lang w:val="fr-FR"/>
              </w:rPr>
              <w:t>invite le Directeur du Bureau de développement des télécommunications</w:t>
            </w:r>
          </w:p>
          <w:p w:rsidR="00CB341F" w:rsidRPr="00661595" w:rsidRDefault="00CB341F" w:rsidP="00D3211C">
            <w:pPr>
              <w:pStyle w:val="Tabletext"/>
              <w:rPr>
                <w:i/>
                <w:iCs/>
                <w:lang w:val="fr-FR"/>
              </w:rPr>
            </w:pPr>
            <w:r w:rsidRPr="00661595">
              <w:rPr>
                <w:iCs/>
                <w:lang w:val="fr-FR"/>
              </w:rPr>
              <w:t>à attirer l'attention du Secteur du développement des télécommunications sur la présente Résolution</w:t>
            </w:r>
          </w:p>
        </w:tc>
        <w:tc>
          <w:tcPr>
            <w:tcW w:w="2184" w:type="dxa"/>
          </w:tcPr>
          <w:p w:rsidR="00CB341F" w:rsidRPr="007516E0" w:rsidRDefault="00CB341F" w:rsidP="00D3211C">
            <w:pPr>
              <w:pStyle w:val="Tabletext"/>
            </w:pPr>
            <w:proofErr w:type="spellStart"/>
            <w:r w:rsidRPr="006F5957">
              <w:t>Résolution</w:t>
            </w:r>
            <w:proofErr w:type="spellEnd"/>
            <w:r w:rsidRPr="006F5957">
              <w:t xml:space="preserve"> 9</w:t>
            </w:r>
          </w:p>
          <w:p w:rsidR="00CB341F" w:rsidRPr="007516E0" w:rsidRDefault="000270A9" w:rsidP="00D3211C">
            <w:pPr>
              <w:pStyle w:val="Tabletext"/>
            </w:pPr>
            <w:r>
              <w:t>Ateliers</w:t>
            </w:r>
            <w:r w:rsidR="00CB341F" w:rsidRPr="006F5957">
              <w:t>*</w:t>
            </w:r>
          </w:p>
          <w:p w:rsidR="00CB341F" w:rsidRPr="007516E0" w:rsidRDefault="00CB341F" w:rsidP="00D3211C">
            <w:pPr>
              <w:pStyle w:val="Tabletext"/>
            </w:pPr>
            <w:proofErr w:type="spellStart"/>
            <w:r w:rsidRPr="006F5957">
              <w:t>Séminaires</w:t>
            </w:r>
            <w:proofErr w:type="spellEnd"/>
          </w:p>
        </w:tc>
      </w:tr>
      <w:tr w:rsidR="00CB341F" w:rsidRPr="003439C0" w:rsidTr="00AF5F43">
        <w:trPr>
          <w:cantSplit/>
        </w:trPr>
        <w:tc>
          <w:tcPr>
            <w:tcW w:w="1452" w:type="dxa"/>
          </w:tcPr>
          <w:p w:rsidR="00CB341F" w:rsidRPr="00D3211C" w:rsidRDefault="00CB341F" w:rsidP="009227BB">
            <w:pPr>
              <w:pStyle w:val="Tabletext"/>
              <w:jc w:val="center"/>
              <w:rPr>
                <w:b/>
                <w:lang w:val="fr-FR"/>
              </w:rPr>
            </w:pPr>
            <w:r w:rsidRPr="00D3211C">
              <w:rPr>
                <w:b/>
                <w:lang w:val="fr-FR"/>
              </w:rPr>
              <w:t>Situations d</w:t>
            </w:r>
            <w:r w:rsidR="00D3211C" w:rsidRPr="00D3211C">
              <w:rPr>
                <w:b/>
                <w:lang w:val="fr-FR"/>
              </w:rPr>
              <w:t>'</w:t>
            </w:r>
            <w:r w:rsidRPr="00D3211C">
              <w:rPr>
                <w:b/>
                <w:lang w:val="fr-FR"/>
              </w:rPr>
              <w:t>urgence et de catastrophe</w:t>
            </w:r>
          </w:p>
        </w:tc>
        <w:tc>
          <w:tcPr>
            <w:tcW w:w="1590" w:type="dxa"/>
          </w:tcPr>
          <w:p w:rsidR="00CB341F" w:rsidRPr="00D3211C" w:rsidRDefault="00CB341F" w:rsidP="009227BB">
            <w:pPr>
              <w:pStyle w:val="Tabletext"/>
              <w:jc w:val="center"/>
              <w:rPr>
                <w:b/>
              </w:rPr>
            </w:pPr>
            <w:proofErr w:type="spellStart"/>
            <w:r w:rsidRPr="00D3211C">
              <w:rPr>
                <w:b/>
              </w:rPr>
              <w:t>Résolution</w:t>
            </w:r>
            <w:proofErr w:type="spellEnd"/>
            <w:r w:rsidRPr="00D3211C">
              <w:rPr>
                <w:b/>
              </w:rPr>
              <w:t xml:space="preserve"> 647</w:t>
            </w:r>
          </w:p>
        </w:tc>
        <w:tc>
          <w:tcPr>
            <w:tcW w:w="2293" w:type="dxa"/>
          </w:tcPr>
          <w:p w:rsidR="00CB341F" w:rsidRPr="00837AD1" w:rsidRDefault="00CB341F" w:rsidP="00D3211C">
            <w:pPr>
              <w:pStyle w:val="Tabletext"/>
              <w:rPr>
                <w:lang w:val="fr-FR"/>
              </w:rPr>
            </w:pPr>
            <w:r w:rsidRPr="006F5957">
              <w:rPr>
                <w:lang w:val="fr-FR"/>
              </w:rPr>
              <w:t>Aspects des radiocommunications, y compris les lignes directrices relatives à la gestion du spectre, liés à l'alerte avancée, à la prévision ou à la détection des catastrophes, à l'atténuation de leurs effets et aux opérations de secours en cas d'urgence et de catastrophe</w:t>
            </w:r>
          </w:p>
        </w:tc>
        <w:tc>
          <w:tcPr>
            <w:tcW w:w="2678" w:type="dxa"/>
          </w:tcPr>
          <w:p w:rsidR="00CB341F" w:rsidRDefault="00CB341F" w:rsidP="00D3211C">
            <w:pPr>
              <w:pStyle w:val="Tabletext"/>
              <w:rPr>
                <w:lang w:val="fr-FR"/>
              </w:rPr>
            </w:pPr>
            <w:r w:rsidRPr="00EC320E">
              <w:rPr>
                <w:i/>
                <w:iCs/>
                <w:lang w:val="fr-FR"/>
              </w:rPr>
              <w:t xml:space="preserve">invite le Directeur du Bureau de la normalisation des télécommunications et le Directeur du Bureau de </w:t>
            </w:r>
            <w:r w:rsidRPr="00A12F3D">
              <w:rPr>
                <w:i/>
                <w:iCs/>
                <w:lang w:val="fr-FR"/>
              </w:rPr>
              <w:t>développement des télécommunications</w:t>
            </w:r>
            <w:r w:rsidRPr="000B4CAA">
              <w:rPr>
                <w:lang w:val="fr-FR"/>
              </w:rPr>
              <w:t xml:space="preserve"> </w:t>
            </w:r>
          </w:p>
          <w:p w:rsidR="00CB341F" w:rsidRPr="00EC320E" w:rsidRDefault="00CB341F" w:rsidP="00D3211C">
            <w:pPr>
              <w:pStyle w:val="Tabletext"/>
              <w:rPr>
                <w:i/>
                <w:iCs/>
                <w:lang w:val="fr-FR"/>
              </w:rPr>
            </w:pPr>
            <w:r w:rsidRPr="000B4CAA">
              <w:rPr>
                <w:lang w:val="fr-FR"/>
              </w:rPr>
              <w:t>à collaborer étroitement avec le Directeur du BR, afin de veiller à ce qu'une approche homogène et cohérente soit adoptée lors de l'élaboration de stratégies visant à faire face aux situations d'urgence et de catastrophe</w:t>
            </w:r>
          </w:p>
        </w:tc>
        <w:tc>
          <w:tcPr>
            <w:tcW w:w="2184" w:type="dxa"/>
          </w:tcPr>
          <w:p w:rsidR="00CB341F" w:rsidRPr="005948F9" w:rsidRDefault="00CB341F" w:rsidP="009227BB">
            <w:pPr>
              <w:pStyle w:val="Tabletext"/>
              <w:rPr>
                <w:lang w:val="fr-FR"/>
              </w:rPr>
            </w:pPr>
            <w:r w:rsidRPr="005948F9">
              <w:rPr>
                <w:lang w:val="fr-FR"/>
              </w:rPr>
              <w:t xml:space="preserve">Questions relevant des </w:t>
            </w:r>
            <w:r w:rsidR="009227BB">
              <w:rPr>
                <w:lang w:val="fr-FR"/>
              </w:rPr>
              <w:t>c</w:t>
            </w:r>
            <w:r w:rsidRPr="005948F9">
              <w:rPr>
                <w:lang w:val="fr-FR"/>
              </w:rPr>
              <w:t>o</w:t>
            </w:r>
            <w:r>
              <w:rPr>
                <w:lang w:val="fr-FR"/>
              </w:rPr>
              <w:t>mmissions d</w:t>
            </w:r>
            <w:r w:rsidR="00D3211C">
              <w:rPr>
                <w:lang w:val="fr-FR"/>
              </w:rPr>
              <w:t>'</w:t>
            </w:r>
            <w:r>
              <w:rPr>
                <w:lang w:val="fr-FR"/>
              </w:rPr>
              <w:t>études de l</w:t>
            </w:r>
            <w:r w:rsidR="00D3211C">
              <w:rPr>
                <w:lang w:val="fr-FR"/>
              </w:rPr>
              <w:t>'</w:t>
            </w:r>
            <w:r>
              <w:rPr>
                <w:lang w:val="fr-FR"/>
              </w:rPr>
              <w:t>UIT-D, l</w:t>
            </w:r>
            <w:r w:rsidRPr="005948F9">
              <w:rPr>
                <w:lang w:val="fr-FR"/>
              </w:rPr>
              <w:t>ignes directrices, études de cas</w:t>
            </w:r>
          </w:p>
        </w:tc>
      </w:tr>
      <w:tr w:rsidR="00CB341F" w:rsidRPr="003439C0" w:rsidTr="00AF5F43">
        <w:trPr>
          <w:cantSplit/>
        </w:trPr>
        <w:tc>
          <w:tcPr>
            <w:tcW w:w="1452" w:type="dxa"/>
          </w:tcPr>
          <w:p w:rsidR="00CB341F" w:rsidRPr="00D3211C" w:rsidRDefault="00CB341F" w:rsidP="009227BB">
            <w:pPr>
              <w:pStyle w:val="Tabletext"/>
              <w:jc w:val="center"/>
              <w:rPr>
                <w:b/>
                <w:lang w:val="fr-FR"/>
              </w:rPr>
            </w:pPr>
            <w:r w:rsidRPr="00D3211C">
              <w:rPr>
                <w:b/>
                <w:lang w:val="fr-FR"/>
              </w:rPr>
              <w:lastRenderedPageBreak/>
              <w:t>Bande de fréquences 694-790 MHz dans la Région</w:t>
            </w:r>
            <w:r w:rsidR="00D3211C">
              <w:rPr>
                <w:b/>
                <w:lang w:val="fr-FR"/>
              </w:rPr>
              <w:t xml:space="preserve"> 1 </w:t>
            </w:r>
            <w:r w:rsidR="00D3211C" w:rsidRPr="00D3211C">
              <w:rPr>
                <w:b/>
                <w:lang w:val="fr-FR"/>
              </w:rPr>
              <w:t>–</w:t>
            </w:r>
            <w:r w:rsidRPr="00D3211C">
              <w:rPr>
                <w:b/>
                <w:lang w:val="fr-FR"/>
              </w:rPr>
              <w:t xml:space="preserve"> service mobile</w:t>
            </w:r>
          </w:p>
        </w:tc>
        <w:tc>
          <w:tcPr>
            <w:tcW w:w="1590" w:type="dxa"/>
          </w:tcPr>
          <w:p w:rsidR="00CB341F" w:rsidRPr="00D3211C" w:rsidRDefault="00CB341F" w:rsidP="00D3211C">
            <w:pPr>
              <w:pStyle w:val="Tabletext"/>
              <w:jc w:val="center"/>
              <w:rPr>
                <w:b/>
              </w:rPr>
            </w:pPr>
            <w:proofErr w:type="spellStart"/>
            <w:r w:rsidRPr="00D3211C">
              <w:rPr>
                <w:b/>
              </w:rPr>
              <w:t>Résolution</w:t>
            </w:r>
            <w:proofErr w:type="spellEnd"/>
            <w:r w:rsidRPr="00D3211C">
              <w:rPr>
                <w:b/>
              </w:rPr>
              <w:t xml:space="preserve"> 760</w:t>
            </w:r>
          </w:p>
          <w:p w:rsidR="00CB341F" w:rsidRPr="00D3211C" w:rsidRDefault="00CB341F" w:rsidP="009227BB">
            <w:pPr>
              <w:pStyle w:val="Tabletext"/>
              <w:jc w:val="center"/>
              <w:rPr>
                <w:b/>
              </w:rPr>
            </w:pPr>
            <w:r w:rsidRPr="00D3211C">
              <w:rPr>
                <w:b/>
              </w:rPr>
              <w:t>(COM 4/4)</w:t>
            </w:r>
          </w:p>
        </w:tc>
        <w:tc>
          <w:tcPr>
            <w:tcW w:w="2293" w:type="dxa"/>
          </w:tcPr>
          <w:p w:rsidR="00CB341F" w:rsidRPr="00805BE3" w:rsidRDefault="00CB341F" w:rsidP="000270A9">
            <w:pPr>
              <w:pStyle w:val="Tabletext"/>
              <w:rPr>
                <w:lang w:val="fr-FR"/>
              </w:rPr>
            </w:pPr>
            <w:r w:rsidRPr="006F5957">
              <w:rPr>
                <w:lang w:val="fr-FR"/>
              </w:rPr>
              <w:t>Dispositions relatives à l'utilisation de la bande de fréquences 694-790</w:t>
            </w:r>
            <w:r w:rsidR="000270A9">
              <w:rPr>
                <w:lang w:val="fr-FR"/>
              </w:rPr>
              <w:t> </w:t>
            </w:r>
            <w:r w:rsidRPr="006F5957">
              <w:rPr>
                <w:lang w:val="fr-FR"/>
              </w:rPr>
              <w:t>MHz dans la Région 1 par le service mobile, sauf mobile aéronautique, et par d'autres services</w:t>
            </w:r>
          </w:p>
        </w:tc>
        <w:tc>
          <w:tcPr>
            <w:tcW w:w="2678" w:type="dxa"/>
          </w:tcPr>
          <w:p w:rsidR="00CB341F" w:rsidRDefault="00CB341F" w:rsidP="009227BB">
            <w:pPr>
              <w:pStyle w:val="Tabletext"/>
              <w:rPr>
                <w:i/>
                <w:iCs/>
                <w:lang w:val="fr-FR"/>
              </w:rPr>
            </w:pPr>
            <w:r w:rsidRPr="002F3A17">
              <w:rPr>
                <w:i/>
                <w:iCs/>
                <w:lang w:val="fr-FR"/>
              </w:rPr>
              <w:t>invite le Directeur du Bureau des radiocommunications</w:t>
            </w:r>
          </w:p>
          <w:p w:rsidR="00CB341F" w:rsidRPr="002F3A17" w:rsidRDefault="00CB341F" w:rsidP="00D3211C">
            <w:pPr>
              <w:pStyle w:val="Tabletext"/>
              <w:rPr>
                <w:i/>
                <w:iCs/>
                <w:lang w:val="fr-FR"/>
              </w:rPr>
            </w:pPr>
            <w:r w:rsidRPr="00A12F3D">
              <w:rPr>
                <w:lang w:val="fr-FR"/>
              </w:rPr>
              <w:t xml:space="preserve">à travailler en coopération avec le Directeur du Bureau de développement des télécommunications, en vue de prêter assistance aux pays en développement souhaitant mettre en </w:t>
            </w:r>
            <w:proofErr w:type="spellStart"/>
            <w:r w:rsidRPr="00A12F3D">
              <w:rPr>
                <w:lang w:val="fr-FR"/>
              </w:rPr>
              <w:t>oeuvre</w:t>
            </w:r>
            <w:proofErr w:type="spellEnd"/>
            <w:r w:rsidRPr="00A12F3D">
              <w:rPr>
                <w:lang w:val="fr-FR"/>
              </w:rPr>
              <w:t xml:space="preserve"> la nouvelle attribution au service mobile, afin d'aider ces administrations à déterminer les modifications à apporter aux inscriptions GE06 en fonction de leurs besoins</w:t>
            </w:r>
          </w:p>
        </w:tc>
        <w:tc>
          <w:tcPr>
            <w:tcW w:w="2184" w:type="dxa"/>
          </w:tcPr>
          <w:p w:rsidR="00CB341F" w:rsidRPr="002F3A17" w:rsidRDefault="00CB341F" w:rsidP="000270A9">
            <w:pPr>
              <w:pStyle w:val="Tabletext"/>
              <w:rPr>
                <w:lang w:val="fr-FR"/>
              </w:rPr>
            </w:pPr>
            <w:r w:rsidRPr="002F3A17">
              <w:rPr>
                <w:lang w:val="fr-FR"/>
              </w:rPr>
              <w:t>Assistance aux pays, ateliers*, réunions pour la planification des fréquences</w:t>
            </w:r>
          </w:p>
          <w:p w:rsidR="00CB341F" w:rsidRPr="007516E0" w:rsidRDefault="00CB341F" w:rsidP="009227BB">
            <w:pPr>
              <w:pStyle w:val="Tabletext"/>
              <w:rPr>
                <w:lang w:val="fr-CH"/>
              </w:rPr>
            </w:pPr>
            <w:r w:rsidRPr="006F5957">
              <w:rPr>
                <w:lang w:val="fr-CH"/>
              </w:rPr>
              <w:t xml:space="preserve">Questions relevant des </w:t>
            </w:r>
            <w:r w:rsidR="009227BB">
              <w:rPr>
                <w:lang w:val="fr-CH"/>
              </w:rPr>
              <w:t>c</w:t>
            </w:r>
            <w:r w:rsidRPr="006F5957">
              <w:rPr>
                <w:lang w:val="fr-CH"/>
              </w:rPr>
              <w:t>ommissions d</w:t>
            </w:r>
            <w:r w:rsidR="00D3211C">
              <w:rPr>
                <w:lang w:val="fr-CH"/>
              </w:rPr>
              <w:t>'</w:t>
            </w:r>
            <w:r w:rsidRPr="006F5957">
              <w:rPr>
                <w:lang w:val="fr-CH"/>
              </w:rPr>
              <w:t>études de l</w:t>
            </w:r>
            <w:r w:rsidR="00D3211C">
              <w:rPr>
                <w:lang w:val="fr-CH"/>
              </w:rPr>
              <w:t>'</w:t>
            </w:r>
            <w:r w:rsidRPr="006F5957">
              <w:rPr>
                <w:lang w:val="fr-CH"/>
              </w:rPr>
              <w:t>UIT-D (Résolution 9, Question 8/1)</w:t>
            </w:r>
          </w:p>
        </w:tc>
      </w:tr>
      <w:tr w:rsidR="00CB341F" w:rsidTr="00AF5F43">
        <w:trPr>
          <w:cantSplit/>
        </w:trPr>
        <w:tc>
          <w:tcPr>
            <w:tcW w:w="1452" w:type="dxa"/>
          </w:tcPr>
          <w:p w:rsidR="00CB341F" w:rsidRPr="00D3211C" w:rsidRDefault="00CB341F" w:rsidP="009227BB">
            <w:pPr>
              <w:pStyle w:val="Tabletext"/>
              <w:jc w:val="center"/>
              <w:rPr>
                <w:b/>
                <w:lang w:val="fr-FR"/>
              </w:rPr>
            </w:pPr>
            <w:r w:rsidRPr="00D3211C">
              <w:rPr>
                <w:b/>
                <w:lang w:val="fr-FR"/>
              </w:rPr>
              <w:t>Utilisation du spectre dans la bande 470-960 MHz</w:t>
            </w:r>
          </w:p>
        </w:tc>
        <w:tc>
          <w:tcPr>
            <w:tcW w:w="1590" w:type="dxa"/>
          </w:tcPr>
          <w:p w:rsidR="00CB341F" w:rsidRPr="00D3211C" w:rsidRDefault="00CB341F" w:rsidP="00D3211C">
            <w:pPr>
              <w:pStyle w:val="Tabletext"/>
              <w:jc w:val="center"/>
              <w:rPr>
                <w:b/>
              </w:rPr>
            </w:pPr>
            <w:proofErr w:type="spellStart"/>
            <w:r w:rsidRPr="00D3211C">
              <w:rPr>
                <w:b/>
              </w:rPr>
              <w:t>Résolution</w:t>
            </w:r>
            <w:proofErr w:type="spellEnd"/>
            <w:r w:rsidRPr="00D3211C">
              <w:rPr>
                <w:b/>
              </w:rPr>
              <w:t xml:space="preserve"> 235</w:t>
            </w:r>
          </w:p>
          <w:p w:rsidR="00CB341F" w:rsidRPr="00D3211C" w:rsidRDefault="00CB341F" w:rsidP="009227BB">
            <w:pPr>
              <w:pStyle w:val="Tabletext"/>
              <w:jc w:val="center"/>
              <w:rPr>
                <w:b/>
              </w:rPr>
            </w:pPr>
            <w:r w:rsidRPr="00D3211C">
              <w:rPr>
                <w:b/>
              </w:rPr>
              <w:t>(COM 4/6)</w:t>
            </w:r>
          </w:p>
        </w:tc>
        <w:tc>
          <w:tcPr>
            <w:tcW w:w="2293" w:type="dxa"/>
          </w:tcPr>
          <w:p w:rsidR="00CB341F" w:rsidRPr="0088185D" w:rsidRDefault="00CB341F" w:rsidP="000270A9">
            <w:pPr>
              <w:pStyle w:val="Tabletext"/>
              <w:rPr>
                <w:lang w:val="fr-FR"/>
              </w:rPr>
            </w:pPr>
            <w:r w:rsidRPr="006F5957">
              <w:rPr>
                <w:lang w:val="fr-FR"/>
              </w:rPr>
              <w:t>Examen de l</w:t>
            </w:r>
            <w:r w:rsidR="00D3211C">
              <w:rPr>
                <w:lang w:val="fr-FR"/>
              </w:rPr>
              <w:t>'</w:t>
            </w:r>
            <w:r w:rsidRPr="006F5957">
              <w:rPr>
                <w:lang w:val="fr-FR"/>
              </w:rPr>
              <w:t>utilisation du spectre dans la bande de fréquences 470-960 MHz en Région</w:t>
            </w:r>
            <w:r w:rsidR="000270A9">
              <w:rPr>
                <w:lang w:val="fr-FR"/>
              </w:rPr>
              <w:t> </w:t>
            </w:r>
            <w:r w:rsidRPr="006F5957">
              <w:rPr>
                <w:lang w:val="fr-FR"/>
              </w:rPr>
              <w:t>1</w:t>
            </w:r>
          </w:p>
        </w:tc>
        <w:tc>
          <w:tcPr>
            <w:tcW w:w="2678" w:type="dxa"/>
          </w:tcPr>
          <w:p w:rsidR="00CB341F" w:rsidRDefault="00CB341F" w:rsidP="00D3211C">
            <w:pPr>
              <w:pStyle w:val="Tabletext"/>
              <w:rPr>
                <w:i/>
                <w:iCs/>
                <w:lang w:val="fr-FR"/>
              </w:rPr>
            </w:pPr>
            <w:r w:rsidRPr="006F5957">
              <w:rPr>
                <w:i/>
                <w:iCs/>
                <w:lang w:val="fr-FR"/>
              </w:rPr>
              <w:t>invite en outre l</w:t>
            </w:r>
            <w:r w:rsidR="00D3211C">
              <w:rPr>
                <w:i/>
                <w:iCs/>
                <w:lang w:val="fr-FR"/>
              </w:rPr>
              <w:t>'</w:t>
            </w:r>
            <w:r w:rsidRPr="006F5957">
              <w:rPr>
                <w:i/>
                <w:iCs/>
                <w:lang w:val="fr-FR"/>
              </w:rPr>
              <w:t xml:space="preserve">UIT-R </w:t>
            </w:r>
          </w:p>
          <w:p w:rsidR="00CB341F" w:rsidRPr="00A12F3D" w:rsidRDefault="00CB341F" w:rsidP="00D3211C">
            <w:pPr>
              <w:pStyle w:val="Tabletext"/>
              <w:rPr>
                <w:lang w:val="fr-FR"/>
              </w:rPr>
            </w:pPr>
            <w:r w:rsidRPr="00A12F3D">
              <w:rPr>
                <w:lang w:val="fr-FR"/>
              </w:rPr>
              <w:t>à assurer une collaboration intersectorielle avec le Secteur du développement des télécommunications de l</w:t>
            </w:r>
            <w:r w:rsidR="00D3211C">
              <w:rPr>
                <w:lang w:val="fr-FR"/>
              </w:rPr>
              <w:t>'</w:t>
            </w:r>
            <w:r w:rsidRPr="00A12F3D">
              <w:rPr>
                <w:lang w:val="fr-FR"/>
              </w:rPr>
              <w:t xml:space="preserve">UIT dans la mise en </w:t>
            </w:r>
            <w:proofErr w:type="spellStart"/>
            <w:r w:rsidRPr="00A12F3D">
              <w:rPr>
                <w:lang w:val="fr-FR"/>
              </w:rPr>
              <w:t>oeuvre</w:t>
            </w:r>
            <w:proofErr w:type="spellEnd"/>
            <w:r w:rsidRPr="00A12F3D">
              <w:rPr>
                <w:lang w:val="fr-FR"/>
              </w:rPr>
              <w:t xml:space="preserve"> de la présente Résolution</w:t>
            </w:r>
          </w:p>
        </w:tc>
        <w:tc>
          <w:tcPr>
            <w:tcW w:w="2184" w:type="dxa"/>
          </w:tcPr>
          <w:p w:rsidR="00CB341F" w:rsidRPr="007516E0" w:rsidRDefault="00CB341F" w:rsidP="00D3211C">
            <w:pPr>
              <w:pStyle w:val="Tabletext"/>
            </w:pPr>
            <w:proofErr w:type="spellStart"/>
            <w:r w:rsidRPr="006F5957">
              <w:t>Résolution</w:t>
            </w:r>
            <w:proofErr w:type="spellEnd"/>
            <w:r w:rsidRPr="006F5957">
              <w:t xml:space="preserve"> 9,</w:t>
            </w:r>
            <w:r w:rsidRPr="007516E0">
              <w:t xml:space="preserve"> </w:t>
            </w:r>
          </w:p>
          <w:p w:rsidR="00CB341F" w:rsidRPr="007516E0" w:rsidRDefault="000270A9" w:rsidP="00D3211C">
            <w:pPr>
              <w:pStyle w:val="Tabletext"/>
            </w:pPr>
            <w:r>
              <w:t>Ateliers</w:t>
            </w:r>
            <w:r w:rsidR="00CB341F" w:rsidRPr="006F5957">
              <w:t>*</w:t>
            </w:r>
          </w:p>
          <w:p w:rsidR="00CB341F" w:rsidRPr="007516E0" w:rsidRDefault="00CB341F" w:rsidP="00D3211C">
            <w:pPr>
              <w:pStyle w:val="Tabletext"/>
            </w:pPr>
            <w:proofErr w:type="spellStart"/>
            <w:r w:rsidRPr="006F5957">
              <w:t>Enquêtes</w:t>
            </w:r>
            <w:proofErr w:type="spellEnd"/>
          </w:p>
        </w:tc>
      </w:tr>
      <w:tr w:rsidR="00CB341F" w:rsidRPr="003439C0" w:rsidTr="00AF5F43">
        <w:trPr>
          <w:cantSplit/>
        </w:trPr>
        <w:tc>
          <w:tcPr>
            <w:tcW w:w="1452" w:type="dxa"/>
          </w:tcPr>
          <w:p w:rsidR="00CB341F" w:rsidRPr="00D3211C" w:rsidRDefault="00CB341F" w:rsidP="009227BB">
            <w:pPr>
              <w:pStyle w:val="Tabletext"/>
              <w:jc w:val="center"/>
              <w:rPr>
                <w:b/>
              </w:rPr>
            </w:pPr>
            <w:r w:rsidRPr="00D3211C">
              <w:rPr>
                <w:b/>
              </w:rPr>
              <w:t>Echelle de temps</w:t>
            </w:r>
          </w:p>
        </w:tc>
        <w:tc>
          <w:tcPr>
            <w:tcW w:w="1590" w:type="dxa"/>
          </w:tcPr>
          <w:p w:rsidR="00CB341F" w:rsidRPr="00D3211C" w:rsidRDefault="00CB341F" w:rsidP="00D3211C">
            <w:pPr>
              <w:pStyle w:val="Tabletext"/>
              <w:jc w:val="center"/>
              <w:rPr>
                <w:b/>
              </w:rPr>
            </w:pPr>
            <w:proofErr w:type="spellStart"/>
            <w:r w:rsidRPr="00D3211C">
              <w:rPr>
                <w:b/>
              </w:rPr>
              <w:t>Résolution</w:t>
            </w:r>
            <w:proofErr w:type="spellEnd"/>
            <w:r w:rsidRPr="00D3211C">
              <w:rPr>
                <w:b/>
              </w:rPr>
              <w:t xml:space="preserve"> 655</w:t>
            </w:r>
          </w:p>
          <w:p w:rsidR="00CB341F" w:rsidRPr="00D3211C" w:rsidRDefault="00CB341F" w:rsidP="009227BB">
            <w:pPr>
              <w:pStyle w:val="Tabletext"/>
              <w:jc w:val="center"/>
              <w:rPr>
                <w:b/>
              </w:rPr>
            </w:pPr>
            <w:r w:rsidRPr="00D3211C">
              <w:rPr>
                <w:b/>
              </w:rPr>
              <w:t>(COM 5/1)</w:t>
            </w:r>
          </w:p>
        </w:tc>
        <w:tc>
          <w:tcPr>
            <w:tcW w:w="2293" w:type="dxa"/>
          </w:tcPr>
          <w:p w:rsidR="00CB341F" w:rsidRPr="004D7322" w:rsidRDefault="00CB341F" w:rsidP="00D3211C">
            <w:pPr>
              <w:pStyle w:val="Tabletext"/>
              <w:rPr>
                <w:lang w:val="fr-FR"/>
              </w:rPr>
            </w:pPr>
            <w:r w:rsidRPr="006F5957">
              <w:rPr>
                <w:lang w:val="fr-FR"/>
              </w:rPr>
              <w:t>Définition d'une échelle de temps et diffusion de signaux horaires à l'aide de systèmes de radiocommunication</w:t>
            </w:r>
          </w:p>
        </w:tc>
        <w:tc>
          <w:tcPr>
            <w:tcW w:w="2678" w:type="dxa"/>
          </w:tcPr>
          <w:p w:rsidR="00CB341F" w:rsidRPr="00EE1AB8" w:rsidRDefault="00CB341F" w:rsidP="00D3211C">
            <w:pPr>
              <w:pStyle w:val="Tabletext"/>
              <w:rPr>
                <w:i/>
                <w:iCs/>
                <w:lang w:val="fr-FR"/>
              </w:rPr>
            </w:pPr>
            <w:r w:rsidRPr="006F5957">
              <w:rPr>
                <w:i/>
                <w:iCs/>
                <w:lang w:val="fr-FR"/>
              </w:rPr>
              <w:t>invite le Directeur du Bureau de développement des télécommunications</w:t>
            </w:r>
          </w:p>
          <w:p w:rsidR="00CB341F" w:rsidRPr="00EE1AB8" w:rsidRDefault="00CB341F" w:rsidP="00D3211C">
            <w:pPr>
              <w:pStyle w:val="Tabletext"/>
              <w:rPr>
                <w:i/>
                <w:iCs/>
                <w:lang w:val="fr-FR"/>
              </w:rPr>
            </w:pPr>
            <w:r w:rsidRPr="006F5957">
              <w:rPr>
                <w:lang w:val="fr-FR"/>
              </w:rPr>
              <w:t>à faciliter la participation des pays en développement aux réunions, dans les limites des ressources budgétaires approuvées</w:t>
            </w:r>
          </w:p>
        </w:tc>
        <w:tc>
          <w:tcPr>
            <w:tcW w:w="2184" w:type="dxa"/>
          </w:tcPr>
          <w:p w:rsidR="00CB341F" w:rsidRPr="000001CC" w:rsidRDefault="00CB341F" w:rsidP="00D3211C">
            <w:pPr>
              <w:pStyle w:val="Tabletext"/>
              <w:rPr>
                <w:lang w:val="fr-FR"/>
              </w:rPr>
            </w:pPr>
            <w:r w:rsidRPr="006F5957">
              <w:rPr>
                <w:lang w:val="fr-FR"/>
              </w:rPr>
              <w:t>Bourses</w:t>
            </w:r>
          </w:p>
          <w:p w:rsidR="00CB341F" w:rsidRPr="000001CC" w:rsidRDefault="00CB341F" w:rsidP="00D3211C">
            <w:pPr>
              <w:pStyle w:val="Tabletext"/>
              <w:rPr>
                <w:lang w:val="fr-FR"/>
              </w:rPr>
            </w:pPr>
            <w:r w:rsidRPr="006F5957">
              <w:rPr>
                <w:lang w:val="fr-FR"/>
              </w:rPr>
              <w:t>Participation à distance</w:t>
            </w:r>
          </w:p>
          <w:p w:rsidR="00CB341F" w:rsidRPr="000001CC" w:rsidRDefault="00CB341F" w:rsidP="00D3211C">
            <w:pPr>
              <w:pStyle w:val="Tabletext"/>
              <w:rPr>
                <w:lang w:val="fr-FR"/>
              </w:rPr>
            </w:pPr>
            <w:r w:rsidRPr="006F5957">
              <w:rPr>
                <w:lang w:val="fr-FR"/>
              </w:rPr>
              <w:t>Rapports de réunion</w:t>
            </w:r>
          </w:p>
        </w:tc>
      </w:tr>
      <w:tr w:rsidR="00CB341F" w:rsidTr="00AF5F43">
        <w:trPr>
          <w:cantSplit/>
        </w:trPr>
        <w:tc>
          <w:tcPr>
            <w:tcW w:w="1452" w:type="dxa"/>
          </w:tcPr>
          <w:p w:rsidR="00CB341F" w:rsidRPr="00D3211C" w:rsidRDefault="00CB341F" w:rsidP="00D3211C">
            <w:pPr>
              <w:pStyle w:val="Tabletext"/>
              <w:jc w:val="center"/>
              <w:rPr>
                <w:b/>
              </w:rPr>
            </w:pPr>
            <w:r w:rsidRPr="00D3211C">
              <w:rPr>
                <w:b/>
              </w:rPr>
              <w:lastRenderedPageBreak/>
              <w:t>Palestine</w:t>
            </w:r>
          </w:p>
        </w:tc>
        <w:tc>
          <w:tcPr>
            <w:tcW w:w="1590" w:type="dxa"/>
          </w:tcPr>
          <w:p w:rsidR="00CB341F" w:rsidRPr="00D3211C" w:rsidRDefault="00CB341F" w:rsidP="00D3211C">
            <w:pPr>
              <w:pStyle w:val="Tabletext"/>
              <w:jc w:val="center"/>
              <w:rPr>
                <w:b/>
              </w:rPr>
            </w:pPr>
            <w:proofErr w:type="spellStart"/>
            <w:r w:rsidRPr="00D3211C">
              <w:rPr>
                <w:b/>
              </w:rPr>
              <w:t>Résolution</w:t>
            </w:r>
            <w:proofErr w:type="spellEnd"/>
            <w:r w:rsidRPr="00D3211C">
              <w:rPr>
                <w:b/>
              </w:rPr>
              <w:t xml:space="preserve"> 12</w:t>
            </w:r>
          </w:p>
        </w:tc>
        <w:tc>
          <w:tcPr>
            <w:tcW w:w="2293" w:type="dxa"/>
          </w:tcPr>
          <w:p w:rsidR="00CB341F" w:rsidRPr="008F4C26" w:rsidRDefault="00CB341F" w:rsidP="00D3211C">
            <w:pPr>
              <w:pStyle w:val="Tabletext"/>
              <w:rPr>
                <w:lang w:val="fr-FR"/>
              </w:rPr>
            </w:pPr>
            <w:r w:rsidRPr="006F5957">
              <w:rPr>
                <w:rFonts w:cs="Times New Roman Bold,Bold"/>
                <w:lang w:val="fr-FR"/>
              </w:rPr>
              <w:t>Assistance et appui à la Palestine</w:t>
            </w:r>
          </w:p>
        </w:tc>
        <w:tc>
          <w:tcPr>
            <w:tcW w:w="2678" w:type="dxa"/>
          </w:tcPr>
          <w:p w:rsidR="00CB341F" w:rsidRDefault="00CB341F" w:rsidP="00D3211C">
            <w:pPr>
              <w:pStyle w:val="Tabletext"/>
              <w:rPr>
                <w:i/>
                <w:iCs/>
                <w:lang w:val="fr-FR"/>
              </w:rPr>
            </w:pPr>
            <w:r w:rsidRPr="006F5957">
              <w:rPr>
                <w:i/>
                <w:iCs/>
                <w:lang w:val="fr-FR"/>
              </w:rPr>
              <w:t>charge le Directeur du Bureau des radiocommunications et le Directeur du</w:t>
            </w:r>
            <w:r>
              <w:rPr>
                <w:i/>
                <w:iCs/>
                <w:lang w:val="fr-FR"/>
              </w:rPr>
              <w:t xml:space="preserve"> </w:t>
            </w:r>
            <w:r w:rsidRPr="006F5957">
              <w:rPr>
                <w:i/>
                <w:iCs/>
                <w:lang w:val="fr-FR"/>
              </w:rPr>
              <w:t>Bureau de développement des télécommunications</w:t>
            </w:r>
          </w:p>
          <w:p w:rsidR="00CB341F" w:rsidRDefault="00CB341F" w:rsidP="00D3211C">
            <w:pPr>
              <w:pStyle w:val="Tabletext"/>
              <w:rPr>
                <w:i/>
                <w:iCs/>
                <w:lang w:val="fr-FR"/>
              </w:rPr>
            </w:pPr>
            <w:r w:rsidRPr="00FD4622">
              <w:rPr>
                <w:lang w:val="fr-FR"/>
              </w:rPr>
              <w:t xml:space="preserve">d'encourager toutes les parties concernées à poursuivre les négociations bilatérales et de faciliter la mise en </w:t>
            </w:r>
            <w:proofErr w:type="spellStart"/>
            <w:r w:rsidRPr="00FD4622">
              <w:rPr>
                <w:lang w:val="fr-FR"/>
              </w:rPr>
              <w:t>oeuvre</w:t>
            </w:r>
            <w:proofErr w:type="spellEnd"/>
            <w:r w:rsidRPr="00FD4622">
              <w:rPr>
                <w:lang w:val="fr-FR"/>
              </w:rPr>
              <w:t xml:space="preserve"> des accords et des résolutions pertinentes, afin de prendre les mesures supplémentaires nécessaires au renforcement et au développement des infrastructures de télécommunication hertziennes, des nouvelles technologies et des nouveaux services pour la Palestine</w:t>
            </w:r>
            <w:r>
              <w:rPr>
                <w:lang w:val="fr-FR"/>
              </w:rPr>
              <w:t>,</w:t>
            </w:r>
          </w:p>
          <w:p w:rsidR="00CB341F" w:rsidRDefault="00CB341F" w:rsidP="00D3211C">
            <w:pPr>
              <w:pStyle w:val="Tabletext"/>
              <w:rPr>
                <w:i/>
                <w:iCs/>
                <w:lang w:val="fr-FR"/>
              </w:rPr>
            </w:pPr>
            <w:r w:rsidRPr="006F5957">
              <w:rPr>
                <w:i/>
                <w:iCs/>
                <w:lang w:val="fr-FR"/>
              </w:rPr>
              <w:t>charge en outre le Directeur du Bureau des radiocommunications</w:t>
            </w:r>
          </w:p>
          <w:p w:rsidR="00CB341F" w:rsidRPr="00A44A38" w:rsidRDefault="00CB341F" w:rsidP="00D3211C">
            <w:pPr>
              <w:pStyle w:val="Tabletext"/>
              <w:rPr>
                <w:i/>
                <w:iCs/>
                <w:lang w:val="fr-FR"/>
              </w:rPr>
            </w:pPr>
            <w:r w:rsidRPr="006F5957">
              <w:rPr>
                <w:lang w:val="fr-FR"/>
              </w:rPr>
              <w:t>de continuer de fournir à la Palestine une assistance et un appui spécialisés, en particulier dans le domaine de la gestion et de l'assignation des fréquences radioélectriques, en collaboration avec l'UIT-D, conformément aux résolutions pertinentes de l'UIT</w:t>
            </w:r>
          </w:p>
        </w:tc>
        <w:tc>
          <w:tcPr>
            <w:tcW w:w="2184" w:type="dxa"/>
          </w:tcPr>
          <w:p w:rsidR="00CB341F" w:rsidRPr="007516E0" w:rsidRDefault="00CB341F" w:rsidP="00D3211C">
            <w:pPr>
              <w:pStyle w:val="Tabletext"/>
            </w:pPr>
            <w:r w:rsidRPr="006F5957">
              <w:t xml:space="preserve">Assistance </w:t>
            </w:r>
            <w:proofErr w:type="spellStart"/>
            <w:r w:rsidRPr="006F5957">
              <w:t>directe</w:t>
            </w:r>
            <w:proofErr w:type="spellEnd"/>
            <w:r w:rsidRPr="006F5957">
              <w:t xml:space="preserve"> au</w:t>
            </w:r>
            <w:r>
              <w:t>x</w:t>
            </w:r>
            <w:r w:rsidRPr="006F5957">
              <w:t xml:space="preserve"> pays</w:t>
            </w:r>
          </w:p>
        </w:tc>
      </w:tr>
    </w:tbl>
    <w:p w:rsidR="00CB341F" w:rsidRPr="0004367F" w:rsidRDefault="00CB341F" w:rsidP="009227BB">
      <w:pPr>
        <w:pStyle w:val="Default"/>
        <w:spacing w:before="80"/>
        <w:rPr>
          <w:lang w:val="fr-FR"/>
        </w:rPr>
      </w:pPr>
      <w:r w:rsidRPr="006F5957">
        <w:rPr>
          <w:lang w:val="fr-FR"/>
        </w:rPr>
        <w:t>* Atelier régional de l</w:t>
      </w:r>
      <w:r w:rsidR="00D3211C">
        <w:rPr>
          <w:lang w:val="fr-FR"/>
        </w:rPr>
        <w:t>'</w:t>
      </w:r>
      <w:r w:rsidRPr="006F5957">
        <w:rPr>
          <w:lang w:val="fr-FR"/>
        </w:rPr>
        <w:t>UIT pour la CEI et la Géorgie</w:t>
      </w:r>
    </w:p>
    <w:p w:rsidR="00CB341F" w:rsidRPr="000E4971" w:rsidRDefault="00CB341F" w:rsidP="00CB341F">
      <w:pPr>
        <w:pStyle w:val="Default"/>
        <w:rPr>
          <w:lang w:val="fr-FR"/>
        </w:rPr>
      </w:pPr>
      <w:r w:rsidRPr="006F5957">
        <w:rPr>
          <w:lang w:val="fr-FR"/>
        </w:rPr>
        <w:t>L'évolution des radiocommunications compte tenu des résultats de la CMR-15 et de l'AR-15</w:t>
      </w:r>
    </w:p>
    <w:p w:rsidR="00CB341F" w:rsidRPr="00810CCD" w:rsidRDefault="00D3211C" w:rsidP="00CB341F">
      <w:pPr>
        <w:pStyle w:val="Default"/>
        <w:rPr>
          <w:lang w:val="fr-FR"/>
        </w:rPr>
      </w:pPr>
      <w:r>
        <w:rPr>
          <w:i/>
          <w:iCs/>
          <w:lang w:val="fr-FR"/>
        </w:rPr>
        <w:t>E</w:t>
      </w:r>
      <w:r w:rsidR="00CB341F" w:rsidRPr="006F5957">
        <w:rPr>
          <w:i/>
          <w:iCs/>
          <w:lang w:val="fr-FR"/>
        </w:rPr>
        <w:t>revan (République d'Arménie), 27-19 juin 2016</w:t>
      </w:r>
    </w:p>
    <w:p w:rsidR="00E239F9" w:rsidRDefault="00CB341F" w:rsidP="00E239F9">
      <w:pPr>
        <w:rPr>
          <w:lang w:val="fr-FR"/>
        </w:rPr>
      </w:pPr>
      <w:r>
        <w:rPr>
          <w:lang w:val="fr-FR"/>
        </w:rPr>
        <w:t>Les R</w:t>
      </w:r>
      <w:r w:rsidRPr="00810CCD">
        <w:rPr>
          <w:lang w:val="fr-FR"/>
        </w:rPr>
        <w:t>ésolutions suivantes contiennent l</w:t>
      </w:r>
      <w:r w:rsidR="00D3211C">
        <w:rPr>
          <w:lang w:val="fr-FR"/>
        </w:rPr>
        <w:t>'</w:t>
      </w:r>
      <w:r w:rsidRPr="00810CCD">
        <w:rPr>
          <w:lang w:val="fr-FR"/>
        </w:rPr>
        <w:t>ordre du jour pour la prochaine CMR (CMR-19) et l</w:t>
      </w:r>
      <w:r w:rsidR="00D3211C">
        <w:rPr>
          <w:lang w:val="fr-FR"/>
        </w:rPr>
        <w:t>'</w:t>
      </w:r>
      <w:r w:rsidRPr="00810CCD">
        <w:rPr>
          <w:lang w:val="fr-FR"/>
        </w:rPr>
        <w:t>ordre du jour préliminaire pour la CMR-23:</w:t>
      </w:r>
    </w:p>
    <w:p w:rsidR="00CB341F" w:rsidRPr="00E239F9" w:rsidRDefault="00E239F9" w:rsidP="00E239F9">
      <w:pPr>
        <w:pStyle w:val="enumlev1"/>
        <w:rPr>
          <w:lang w:val="fr-FR"/>
        </w:rPr>
      </w:pPr>
      <w:r w:rsidRPr="00E239F9">
        <w:rPr>
          <w:lang w:val="fr-FR"/>
        </w:rPr>
        <w:t>–</w:t>
      </w:r>
      <w:r>
        <w:rPr>
          <w:lang w:val="fr-FR"/>
        </w:rPr>
        <w:tab/>
      </w:r>
      <w:r w:rsidR="00CB341F" w:rsidRPr="00E239F9">
        <w:rPr>
          <w:lang w:val="fr-CH"/>
        </w:rPr>
        <w:t>Résolution 809 [COM 6/16] (CMR-15)</w:t>
      </w:r>
    </w:p>
    <w:p w:rsidR="00CB341F" w:rsidRPr="000B302E" w:rsidRDefault="00CB341F" w:rsidP="009227BB">
      <w:pPr>
        <w:pStyle w:val="enumlev1"/>
        <w:spacing w:before="40"/>
        <w:rPr>
          <w:lang w:val="fr-FR"/>
        </w:rPr>
      </w:pPr>
      <w:r w:rsidRPr="00CB341F">
        <w:rPr>
          <w:lang w:val="fr-CH"/>
        </w:rPr>
        <w:tab/>
      </w:r>
      <w:r w:rsidRPr="006F5957">
        <w:rPr>
          <w:lang w:val="fr-FR"/>
        </w:rPr>
        <w:t>Ordre du jour de la Conférence mondiale des radiocommunications de 2019</w:t>
      </w:r>
    </w:p>
    <w:p w:rsidR="00CB341F" w:rsidRPr="00E239F9" w:rsidRDefault="00E239F9" w:rsidP="00E239F9">
      <w:pPr>
        <w:pStyle w:val="enumlev1"/>
        <w:rPr>
          <w:lang w:val="fr-FR"/>
        </w:rPr>
      </w:pPr>
      <w:r w:rsidRPr="00E239F9">
        <w:rPr>
          <w:lang w:val="fr-FR"/>
        </w:rPr>
        <w:t>–</w:t>
      </w:r>
      <w:r>
        <w:rPr>
          <w:lang w:val="fr-FR"/>
        </w:rPr>
        <w:tab/>
      </w:r>
      <w:r w:rsidR="00CB341F" w:rsidRPr="00E239F9">
        <w:rPr>
          <w:lang w:val="fr-FR"/>
        </w:rPr>
        <w:t>Résolution 810 [COM 6/2] (CMR-15)</w:t>
      </w:r>
    </w:p>
    <w:p w:rsidR="00CB341F" w:rsidRPr="00E239F9" w:rsidRDefault="00CB341F" w:rsidP="009227BB">
      <w:pPr>
        <w:pStyle w:val="enumlev1"/>
        <w:spacing w:before="40"/>
        <w:rPr>
          <w:lang w:val="fr-FR"/>
        </w:rPr>
      </w:pPr>
      <w:r w:rsidRPr="00E239F9">
        <w:rPr>
          <w:lang w:val="fr-FR"/>
        </w:rPr>
        <w:tab/>
        <w:t>Ordre du jour préliminaire de la Conférence mondiale des radiocommunications de 2023</w:t>
      </w:r>
    </w:p>
    <w:p w:rsidR="00CB341F" w:rsidRPr="009227BB" w:rsidRDefault="00CB341F" w:rsidP="009227BB">
      <w:pPr>
        <w:rPr>
          <w:rFonts w:ascii="Verdana" w:hAnsi="Verdana" w:cs="TimesNewRoman,Bold"/>
          <w:b/>
          <w:bCs/>
          <w:sz w:val="16"/>
          <w:szCs w:val="16"/>
          <w:lang w:val="fr-FR"/>
        </w:rPr>
      </w:pPr>
      <w:r w:rsidRPr="006F5957">
        <w:rPr>
          <w:szCs w:val="24"/>
          <w:lang w:val="fr-FR"/>
        </w:rPr>
        <w:t>On trouvera dans l'Annexe 1 les Résolutions qui présentent un intérêt particulier pour les pays en développement</w:t>
      </w:r>
      <w:r w:rsidRPr="00661FA3">
        <w:rPr>
          <w:rFonts w:ascii="Verdana" w:hAnsi="Verdana" w:cs="TimesNewRoman,Bold"/>
          <w:b/>
          <w:bCs/>
          <w:sz w:val="20"/>
          <w:lang w:val="fr-FR"/>
        </w:rPr>
        <w:br w:type="page"/>
      </w:r>
    </w:p>
    <w:p w:rsidR="00CB341F" w:rsidRPr="00E239F9" w:rsidRDefault="00CB341F" w:rsidP="009227BB">
      <w:pPr>
        <w:pStyle w:val="AnnexNo"/>
        <w:rPr>
          <w:lang w:val="fr-FR"/>
        </w:rPr>
      </w:pPr>
      <w:r w:rsidRPr="007F73D9">
        <w:rPr>
          <w:lang w:val="fr-CH"/>
        </w:rPr>
        <w:lastRenderedPageBreak/>
        <w:t>Annexe</w:t>
      </w:r>
      <w:r w:rsidRPr="00E239F9">
        <w:rPr>
          <w:lang w:val="fr-FR"/>
        </w:rPr>
        <w:t xml:space="preserve"> 1</w:t>
      </w:r>
    </w:p>
    <w:p w:rsidR="00CB341F" w:rsidRPr="00E239F9" w:rsidRDefault="00D3211C" w:rsidP="003439C0">
      <w:pPr>
        <w:pStyle w:val="Annexref"/>
        <w:rPr>
          <w:lang w:val="fr-FR"/>
        </w:rPr>
      </w:pPr>
      <w:r w:rsidRPr="00E239F9">
        <w:rPr>
          <w:lang w:val="fr-FR"/>
        </w:rPr>
        <w:t>d</w:t>
      </w:r>
      <w:r w:rsidR="00CB341F" w:rsidRPr="00E239F9">
        <w:rPr>
          <w:lang w:val="fr-FR"/>
        </w:rPr>
        <w:t>u Document RPM-</w:t>
      </w:r>
      <w:r w:rsidR="003439C0">
        <w:rPr>
          <w:lang w:val="fr-FR"/>
        </w:rPr>
        <w:t>EUR</w:t>
      </w:r>
      <w:bookmarkStart w:id="11" w:name="_GoBack"/>
      <w:bookmarkEnd w:id="11"/>
      <w:r w:rsidR="00CB341F" w:rsidRPr="00E239F9">
        <w:rPr>
          <w:lang w:val="fr-FR"/>
        </w:rPr>
        <w:t>16/4-F</w:t>
      </w:r>
    </w:p>
    <w:p w:rsidR="00CB341F" w:rsidRPr="00020CD7" w:rsidRDefault="00CB341F" w:rsidP="009227BB">
      <w:pPr>
        <w:pStyle w:val="Annextitle"/>
        <w:rPr>
          <w:lang w:val="fr-FR"/>
        </w:rPr>
      </w:pPr>
      <w:r w:rsidRPr="00E239F9">
        <w:rPr>
          <w:lang w:val="fr-FR"/>
        </w:rPr>
        <w:t xml:space="preserve">Recommandations et </w:t>
      </w:r>
      <w:r w:rsidRPr="009227BB">
        <w:rPr>
          <w:lang w:val="fr-CH"/>
        </w:rPr>
        <w:t>Résolutions</w:t>
      </w:r>
      <w:r w:rsidRPr="00E239F9">
        <w:rPr>
          <w:lang w:val="fr-FR"/>
        </w:rPr>
        <w:t xml:space="preserve"> qui présentent un intérêt particulier </w:t>
      </w:r>
      <w:r w:rsidR="009227BB">
        <w:rPr>
          <w:lang w:val="fr-FR"/>
        </w:rPr>
        <w:br/>
      </w:r>
      <w:r w:rsidRPr="00E239F9">
        <w:rPr>
          <w:lang w:val="fr-FR"/>
        </w:rPr>
        <w:t>pour les pays en développement</w:t>
      </w:r>
    </w:p>
    <w:p w:rsidR="00CB341F" w:rsidRPr="001A1E48" w:rsidRDefault="00CB341F" w:rsidP="009227BB">
      <w:pPr>
        <w:rPr>
          <w:lang w:val="fr-FR"/>
        </w:rPr>
      </w:pPr>
      <w:r w:rsidRPr="006F5957">
        <w:rPr>
          <w:lang w:val="fr-FR"/>
        </w:rPr>
        <w:t>Recommandation 207 (Rév.CMR-15)</w:t>
      </w:r>
      <w:r w:rsidR="009227BB">
        <w:rPr>
          <w:lang w:val="fr-FR"/>
        </w:rPr>
        <w:br/>
      </w:r>
      <w:r w:rsidRPr="001A1E48">
        <w:rPr>
          <w:lang w:val="fr-FR"/>
        </w:rPr>
        <w:t>Systèmes IMT futurs</w:t>
      </w:r>
    </w:p>
    <w:p w:rsidR="00CB341F" w:rsidRPr="00393324" w:rsidRDefault="00CB341F" w:rsidP="009227BB">
      <w:pPr>
        <w:rPr>
          <w:lang w:val="fr-FR"/>
        </w:rPr>
      </w:pPr>
      <w:r w:rsidRPr="00CB341F">
        <w:rPr>
          <w:lang w:val="fr-CH"/>
        </w:rPr>
        <w:t>Résolution 5 (Rév.CMR-15)</w:t>
      </w:r>
      <w:r w:rsidR="009227BB">
        <w:rPr>
          <w:lang w:val="fr-CH"/>
        </w:rPr>
        <w:br/>
      </w:r>
      <w:r w:rsidRPr="006F5957">
        <w:rPr>
          <w:lang w:val="fr-FR"/>
        </w:rPr>
        <w:t>Coopération technique avec les pays en développement dans le domaine des études de propagation dans les régions tropicales et les régions similaires</w:t>
      </w:r>
      <w:r w:rsidRPr="00393324">
        <w:rPr>
          <w:lang w:val="fr-FR"/>
        </w:rPr>
        <w:t xml:space="preserve"> </w:t>
      </w:r>
    </w:p>
    <w:p w:rsidR="00CB341F" w:rsidRPr="004C71AF" w:rsidRDefault="00CB341F" w:rsidP="009227BB">
      <w:pPr>
        <w:rPr>
          <w:lang w:val="fr-FR"/>
        </w:rPr>
      </w:pPr>
      <w:r w:rsidRPr="00CB341F">
        <w:rPr>
          <w:lang w:val="fr-CH"/>
        </w:rPr>
        <w:t>Résolution 12 (Rév.CMR-15)</w:t>
      </w:r>
      <w:r w:rsidR="009227BB">
        <w:rPr>
          <w:lang w:val="fr-CH"/>
        </w:rPr>
        <w:br/>
      </w:r>
      <w:r w:rsidRPr="006F5957">
        <w:rPr>
          <w:lang w:val="fr-FR"/>
        </w:rPr>
        <w:t>Assistance et appui à la Palestine</w:t>
      </w:r>
    </w:p>
    <w:p w:rsidR="00CB341F" w:rsidRPr="004C71AF" w:rsidRDefault="009227BB" w:rsidP="009227BB">
      <w:pPr>
        <w:rPr>
          <w:lang w:val="fr-FR"/>
        </w:rPr>
      </w:pPr>
      <w:r>
        <w:rPr>
          <w:lang w:val="fr-CH"/>
        </w:rPr>
        <w:t>Résolution 49 (Rév.</w:t>
      </w:r>
      <w:r w:rsidR="00CB341F" w:rsidRPr="00CB341F">
        <w:rPr>
          <w:lang w:val="fr-CH"/>
        </w:rPr>
        <w:t>CMR-15)</w:t>
      </w:r>
      <w:r>
        <w:rPr>
          <w:lang w:val="fr-CH"/>
        </w:rPr>
        <w:br/>
      </w:r>
      <w:r w:rsidR="00CB341F" w:rsidRPr="006F5957">
        <w:rPr>
          <w:lang w:val="fr-FR"/>
        </w:rPr>
        <w:t>Procédure administrative du principe de diligence due applicable à certains services de radiocommunication par satellite</w:t>
      </w:r>
    </w:p>
    <w:p w:rsidR="00CB341F" w:rsidRPr="0026527A" w:rsidRDefault="00CB341F" w:rsidP="009227BB">
      <w:pPr>
        <w:rPr>
          <w:lang w:val="fr-FR"/>
        </w:rPr>
      </w:pPr>
      <w:r w:rsidRPr="00CB341F">
        <w:rPr>
          <w:lang w:val="fr-CH"/>
        </w:rPr>
        <w:t>Résolution 55 (Rév.CMR-15)</w:t>
      </w:r>
      <w:r w:rsidR="009227BB">
        <w:rPr>
          <w:lang w:val="fr-CH"/>
        </w:rPr>
        <w:br/>
      </w:r>
      <w:r w:rsidRPr="006F5957">
        <w:rPr>
          <w:lang w:val="fr-FR"/>
        </w:rPr>
        <w:t>Soumission électronique des fiches de notification pour les réseaux à satellite, les stations terriennes et les stations de radioastronomie</w:t>
      </w:r>
    </w:p>
    <w:p w:rsidR="00CB341F" w:rsidRPr="00CB341F" w:rsidRDefault="00CB341F" w:rsidP="009227BB">
      <w:pPr>
        <w:rPr>
          <w:lang w:val="fr-CH"/>
        </w:rPr>
      </w:pPr>
      <w:r w:rsidRPr="00CB341F">
        <w:rPr>
          <w:lang w:val="fr-CH"/>
        </w:rPr>
        <w:t>Résolution 81 (</w:t>
      </w:r>
      <w:proofErr w:type="spellStart"/>
      <w:r w:rsidRPr="00CB341F">
        <w:rPr>
          <w:lang w:val="fr-CH"/>
        </w:rPr>
        <w:t>Rév</w:t>
      </w:r>
      <w:proofErr w:type="spellEnd"/>
      <w:r w:rsidRPr="00CB341F">
        <w:rPr>
          <w:lang w:val="fr-CH"/>
        </w:rPr>
        <w:t>. CMR-15)</w:t>
      </w:r>
    </w:p>
    <w:p w:rsidR="00CB341F" w:rsidRPr="00485CF9" w:rsidRDefault="00CB341F" w:rsidP="009227BB">
      <w:pPr>
        <w:rPr>
          <w:lang w:val="fr-FR"/>
        </w:rPr>
      </w:pPr>
      <w:r w:rsidRPr="006F5957">
        <w:rPr>
          <w:lang w:val="fr-FR"/>
        </w:rPr>
        <w:t>Evaluation de la procédure administrative du principe de diligence due applicable aux réseaux à satellite</w:t>
      </w:r>
    </w:p>
    <w:p w:rsidR="00CB341F" w:rsidRPr="00416BEB" w:rsidRDefault="00CB341F" w:rsidP="009227BB">
      <w:pPr>
        <w:rPr>
          <w:lang w:val="fr-FR"/>
        </w:rPr>
      </w:pPr>
      <w:r w:rsidRPr="00CB341F">
        <w:rPr>
          <w:lang w:val="fr-CH"/>
        </w:rPr>
        <w:t>Résolution 144 (Rév.CMR-15)</w:t>
      </w:r>
      <w:r w:rsidR="009227BB">
        <w:rPr>
          <w:lang w:val="fr-CH"/>
        </w:rPr>
        <w:br/>
      </w:r>
      <w:r w:rsidRPr="006F5957">
        <w:rPr>
          <w:lang w:val="fr-FR"/>
        </w:rPr>
        <w:t>Besoins spéciaux des pays dont le territoire est petit ou étroit et qui exploitent des stations terriennes du service fixe par satellite dans la bande 13,75-14 GHz</w:t>
      </w:r>
    </w:p>
    <w:p w:rsidR="00CB341F" w:rsidRPr="00CD4268" w:rsidRDefault="00CB341F" w:rsidP="009227BB">
      <w:pPr>
        <w:rPr>
          <w:lang w:val="fr-FR"/>
        </w:rPr>
      </w:pPr>
      <w:r w:rsidRPr="00CB341F">
        <w:rPr>
          <w:lang w:val="fr-CH"/>
        </w:rPr>
        <w:t>Résolution 207 (Rév.CMR-15)</w:t>
      </w:r>
      <w:r w:rsidR="009227BB">
        <w:rPr>
          <w:lang w:val="fr-CH"/>
        </w:rPr>
        <w:br/>
      </w:r>
      <w:r w:rsidRPr="006F5957">
        <w:rPr>
          <w:lang w:val="fr-FR"/>
        </w:rPr>
        <w:t>Mesures permettant de traiter l'utilisation non autorisée de fréquences dans les bandes attribuées au service mobile maritime et au service mobile aéronautique (R) et les brouillages causés à ces fréquences</w:t>
      </w:r>
    </w:p>
    <w:p w:rsidR="00CB341F" w:rsidRPr="00B24481" w:rsidRDefault="009227BB" w:rsidP="00131D96">
      <w:pPr>
        <w:rPr>
          <w:lang w:val="fr-FR"/>
        </w:rPr>
      </w:pPr>
      <w:r>
        <w:rPr>
          <w:lang w:val="fr-CH"/>
        </w:rPr>
        <w:t>Résolution 212 (Rév.</w:t>
      </w:r>
      <w:r w:rsidR="00CB341F" w:rsidRPr="00CB341F">
        <w:rPr>
          <w:lang w:val="fr-CH"/>
        </w:rPr>
        <w:t>CMR-15)</w:t>
      </w:r>
      <w:r>
        <w:rPr>
          <w:lang w:val="fr-CH"/>
        </w:rPr>
        <w:br/>
      </w:r>
      <w:r w:rsidR="00E239F9">
        <w:rPr>
          <w:lang w:val="fr-FR"/>
        </w:rPr>
        <w:t xml:space="preserve">Mise en </w:t>
      </w:r>
      <w:proofErr w:type="spellStart"/>
      <w:r w:rsidR="00E239F9">
        <w:rPr>
          <w:lang w:val="fr-FR"/>
        </w:rPr>
        <w:t>oe</w:t>
      </w:r>
      <w:r w:rsidR="00CB341F" w:rsidRPr="006F5957">
        <w:rPr>
          <w:lang w:val="fr-FR"/>
        </w:rPr>
        <w:t>uvre</w:t>
      </w:r>
      <w:proofErr w:type="spellEnd"/>
      <w:r w:rsidR="00CB341F" w:rsidRPr="006F5957">
        <w:rPr>
          <w:lang w:val="fr-FR"/>
        </w:rPr>
        <w:t xml:space="preserve"> des Télécommunications mobiles internationales dans les bandes de fréquences</w:t>
      </w:r>
      <w:r w:rsidR="00CB341F" w:rsidRPr="00B24481">
        <w:rPr>
          <w:lang w:val="fr-FR"/>
        </w:rPr>
        <w:t xml:space="preserve"> </w:t>
      </w:r>
      <w:r w:rsidR="00CB341F" w:rsidRPr="006F5957">
        <w:rPr>
          <w:lang w:val="fr-FR"/>
        </w:rPr>
        <w:t>1</w:t>
      </w:r>
      <w:r w:rsidR="00131D96">
        <w:rPr>
          <w:lang w:val="fr-FR"/>
        </w:rPr>
        <w:t> </w:t>
      </w:r>
      <w:r w:rsidR="00CB341F" w:rsidRPr="006F5957">
        <w:rPr>
          <w:lang w:val="fr-FR"/>
        </w:rPr>
        <w:t>885-2 025 MHz et 2 110-2 200 MHz</w:t>
      </w:r>
    </w:p>
    <w:p w:rsidR="00CB341F" w:rsidRPr="003750B6" w:rsidRDefault="00131D96" w:rsidP="00131D96">
      <w:pPr>
        <w:rPr>
          <w:lang w:val="fr-FR"/>
        </w:rPr>
      </w:pPr>
      <w:r>
        <w:rPr>
          <w:lang w:val="fr-CH"/>
        </w:rPr>
        <w:t>Résolution 223 (Rév.</w:t>
      </w:r>
      <w:r w:rsidR="00CB341F" w:rsidRPr="00CB341F">
        <w:rPr>
          <w:lang w:val="fr-CH"/>
        </w:rPr>
        <w:t>CMR-15)</w:t>
      </w:r>
      <w:r>
        <w:rPr>
          <w:lang w:val="fr-CH"/>
        </w:rPr>
        <w:br/>
      </w:r>
      <w:r w:rsidR="00CB341F" w:rsidRPr="006F5957">
        <w:rPr>
          <w:lang w:val="fr-FR"/>
        </w:rPr>
        <w:t>Bandes de fréquences additionnelles identifiées pour les Télécommunications mobiles internationales</w:t>
      </w:r>
    </w:p>
    <w:p w:rsidR="00CB341F" w:rsidRPr="00144875" w:rsidRDefault="00131D96" w:rsidP="00131D96">
      <w:pPr>
        <w:rPr>
          <w:lang w:val="fr-FR"/>
        </w:rPr>
      </w:pPr>
      <w:r>
        <w:rPr>
          <w:lang w:val="fr-CH"/>
        </w:rPr>
        <w:t>Résolution 224 (Rév.</w:t>
      </w:r>
      <w:r w:rsidR="00CB341F" w:rsidRPr="00CB341F">
        <w:rPr>
          <w:lang w:val="fr-CH"/>
        </w:rPr>
        <w:t>CMR-15)</w:t>
      </w:r>
      <w:r>
        <w:rPr>
          <w:lang w:val="fr-CH"/>
        </w:rPr>
        <w:br/>
      </w:r>
      <w:r w:rsidR="00CB341F" w:rsidRPr="006F5957">
        <w:rPr>
          <w:lang w:val="fr-FR"/>
        </w:rPr>
        <w:t>Bandes de fréquences pour la composante de Terre des Télécommunications mobiles internationales au-dessous de 1 GHz</w:t>
      </w:r>
    </w:p>
    <w:p w:rsidR="00CB341F" w:rsidRPr="00144875" w:rsidRDefault="00CB341F" w:rsidP="00131D96">
      <w:pPr>
        <w:rPr>
          <w:lang w:val="fr-FR"/>
        </w:rPr>
      </w:pPr>
      <w:r w:rsidRPr="00CB341F">
        <w:rPr>
          <w:lang w:val="fr-CH"/>
        </w:rPr>
        <w:t>Résolution 535 (</w:t>
      </w:r>
      <w:proofErr w:type="spellStart"/>
      <w:r w:rsidRPr="00CB341F">
        <w:rPr>
          <w:lang w:val="fr-CH"/>
        </w:rPr>
        <w:t>Rév</w:t>
      </w:r>
      <w:proofErr w:type="spellEnd"/>
      <w:r w:rsidRPr="00CB341F">
        <w:rPr>
          <w:lang w:val="fr-CH"/>
        </w:rPr>
        <w:t>. CMR-15)</w:t>
      </w:r>
      <w:r w:rsidR="00131D96">
        <w:rPr>
          <w:lang w:val="fr-CH"/>
        </w:rPr>
        <w:br/>
      </w:r>
      <w:r w:rsidRPr="006F5957">
        <w:rPr>
          <w:lang w:val="fr-FR"/>
        </w:rPr>
        <w:t>Informations nécessaires à l'application de l'Article 12 du Règlement des radiocommunications</w:t>
      </w:r>
    </w:p>
    <w:p w:rsidR="00CB341F" w:rsidRPr="00930AE4" w:rsidRDefault="00131D96" w:rsidP="00131D96">
      <w:pPr>
        <w:rPr>
          <w:lang w:val="fr-FR"/>
        </w:rPr>
      </w:pPr>
      <w:r>
        <w:rPr>
          <w:lang w:val="fr-CH"/>
        </w:rPr>
        <w:lastRenderedPageBreak/>
        <w:t>Résolution 552 (Rév.</w:t>
      </w:r>
      <w:r w:rsidR="00CB341F" w:rsidRPr="00CB341F">
        <w:rPr>
          <w:lang w:val="fr-CH"/>
        </w:rPr>
        <w:t>CMR-15)</w:t>
      </w:r>
      <w:r>
        <w:rPr>
          <w:lang w:val="fr-CH"/>
        </w:rPr>
        <w:br/>
      </w:r>
      <w:r w:rsidR="00CB341F" w:rsidRPr="006F5957">
        <w:rPr>
          <w:lang w:val="fr-FR"/>
        </w:rPr>
        <w:t>Accès à long terme à la bande de fréquences 21,4-22 GHz dans les Régions 1 et 3 et développement à long terme dans cette bande de fréquences</w:t>
      </w:r>
    </w:p>
    <w:p w:rsidR="00CB341F" w:rsidRPr="00DF6962" w:rsidRDefault="00131D96" w:rsidP="00131D96">
      <w:pPr>
        <w:rPr>
          <w:lang w:val="fr-FR"/>
        </w:rPr>
      </w:pPr>
      <w:r>
        <w:rPr>
          <w:lang w:val="fr-CH"/>
        </w:rPr>
        <w:t>Résolution 553 (Rév.</w:t>
      </w:r>
      <w:r w:rsidR="00CB341F" w:rsidRPr="00CB341F">
        <w:rPr>
          <w:lang w:val="fr-CH"/>
        </w:rPr>
        <w:t>CMR-15)</w:t>
      </w:r>
      <w:r>
        <w:rPr>
          <w:lang w:val="fr-CH"/>
        </w:rPr>
        <w:br/>
      </w:r>
      <w:r w:rsidR="00CB341F" w:rsidRPr="006F5957">
        <w:rPr>
          <w:lang w:val="fr-FR"/>
        </w:rPr>
        <w:t>Mesures réglementaires additionnelles applicables aux réseaux du service de radiodiffusion par satellite dans la bande de fréquences 21,4-22 GHz en Régions 1 et 3 pour améliorer l'accès équitable à cette bande de fréquences</w:t>
      </w:r>
    </w:p>
    <w:p w:rsidR="00CB341F" w:rsidRPr="00092A0E" w:rsidRDefault="00CB341F" w:rsidP="00131D96">
      <w:pPr>
        <w:rPr>
          <w:lang w:val="fr-FR"/>
        </w:rPr>
      </w:pPr>
      <w:r w:rsidRPr="00CB341F">
        <w:rPr>
          <w:lang w:val="fr-CH"/>
        </w:rPr>
        <w:t>Résolution 555 (Rév.CMR-15)</w:t>
      </w:r>
      <w:r w:rsidR="00131D96">
        <w:rPr>
          <w:lang w:val="fr-CH"/>
        </w:rPr>
        <w:br/>
      </w:r>
      <w:r w:rsidRPr="006F5957">
        <w:rPr>
          <w:lang w:val="fr-FR"/>
        </w:rPr>
        <w:t>Dispositions réglementaires additionnelles applicables aux réseaux du service de radiodiffusion par satellite dans la bande de fréquences 21,4-22 GHz dans les Régions 1 et 3 pour améliorer l'accès équitable à cette bande de fréquences</w:t>
      </w:r>
    </w:p>
    <w:p w:rsidR="00CB341F" w:rsidRPr="00F6707A" w:rsidRDefault="00CB341F" w:rsidP="00131D96">
      <w:pPr>
        <w:rPr>
          <w:lang w:val="fr-FR"/>
        </w:rPr>
      </w:pPr>
      <w:r w:rsidRPr="00CB341F">
        <w:rPr>
          <w:lang w:val="fr-CH"/>
        </w:rPr>
        <w:t>Résolution 646 (</w:t>
      </w:r>
      <w:proofErr w:type="spellStart"/>
      <w:r w:rsidRPr="00CB341F">
        <w:rPr>
          <w:lang w:val="fr-CH"/>
        </w:rPr>
        <w:t>Rév</w:t>
      </w:r>
      <w:proofErr w:type="spellEnd"/>
      <w:r w:rsidRPr="00CB341F">
        <w:rPr>
          <w:lang w:val="fr-CH"/>
        </w:rPr>
        <w:t>. CMR-15)</w:t>
      </w:r>
      <w:r w:rsidR="00131D96">
        <w:rPr>
          <w:lang w:val="fr-CH"/>
        </w:rPr>
        <w:br/>
      </w:r>
      <w:r w:rsidRPr="006F5957">
        <w:rPr>
          <w:lang w:val="fr-FR"/>
        </w:rPr>
        <w:t>Protection du public et secours en cas de catastrophe</w:t>
      </w:r>
    </w:p>
    <w:p w:rsidR="00CB341F" w:rsidRPr="00403B5E" w:rsidRDefault="00CB341F" w:rsidP="00131D96">
      <w:pPr>
        <w:rPr>
          <w:lang w:val="fr-FR"/>
        </w:rPr>
      </w:pPr>
      <w:r w:rsidRPr="00CB341F">
        <w:rPr>
          <w:lang w:val="fr-CH"/>
        </w:rPr>
        <w:t>Résolution 647 (Rév.CMR-15)</w:t>
      </w:r>
      <w:r w:rsidR="00131D96">
        <w:rPr>
          <w:lang w:val="fr-CH"/>
        </w:rPr>
        <w:br/>
      </w:r>
      <w:r w:rsidRPr="006F5957">
        <w:rPr>
          <w:lang w:val="fr-FR"/>
        </w:rPr>
        <w:t>Aspects des radiocommunications, y compris les lignes directrices relatives à la gestion du spectre, liés à l'alerte avancée, à la prévision ou à la détection des catastrophes, à l'atténuation de leurs effets et aux opérations de secours en cas d'urgence et de catastrophe</w:t>
      </w:r>
    </w:p>
    <w:p w:rsidR="00CB341F" w:rsidRPr="00D331E7" w:rsidRDefault="00CB341F" w:rsidP="00131D96">
      <w:pPr>
        <w:rPr>
          <w:lang w:val="fr-FR"/>
        </w:rPr>
      </w:pPr>
      <w:r w:rsidRPr="00CB341F">
        <w:rPr>
          <w:lang w:val="fr-CH"/>
        </w:rPr>
        <w:t>Résolution 906 (Rév.CMR-15)</w:t>
      </w:r>
      <w:r w:rsidR="00131D96">
        <w:rPr>
          <w:lang w:val="fr-CH"/>
        </w:rPr>
        <w:br/>
      </w:r>
      <w:r w:rsidRPr="006F5957">
        <w:rPr>
          <w:lang w:val="fr-FR"/>
        </w:rPr>
        <w:t>Soumission par voie électronique au Bureau des radiocommunications des fiches de notification pour les services de Terre et échange de données entre les administrations</w:t>
      </w:r>
    </w:p>
    <w:p w:rsidR="00CB341F" w:rsidRPr="00D331E7" w:rsidRDefault="00CB341F" w:rsidP="00131D96">
      <w:pPr>
        <w:rPr>
          <w:lang w:val="fr-FR"/>
        </w:rPr>
      </w:pPr>
      <w:r w:rsidRPr="00CB341F">
        <w:rPr>
          <w:lang w:val="fr-CH"/>
        </w:rPr>
        <w:t>Résolution 760 (CMR-15)</w:t>
      </w:r>
      <w:r w:rsidR="00131D96">
        <w:rPr>
          <w:lang w:val="fr-CH"/>
        </w:rPr>
        <w:br/>
      </w:r>
      <w:r w:rsidRPr="006F5957">
        <w:rPr>
          <w:lang w:val="fr-FR"/>
        </w:rPr>
        <w:t>Dispositions relatives à l'utilisation de la bande de fréquences 694-790 MHz dans la Région 1 par le service mobile, sauf mobile aéronautique, et par d'autres services</w:t>
      </w:r>
    </w:p>
    <w:p w:rsidR="00CB341F" w:rsidRPr="00C669C0" w:rsidRDefault="00CB341F" w:rsidP="00131D96">
      <w:pPr>
        <w:rPr>
          <w:lang w:val="fr-FR"/>
        </w:rPr>
      </w:pPr>
      <w:r w:rsidRPr="00CB341F">
        <w:rPr>
          <w:lang w:val="fr-CH"/>
        </w:rPr>
        <w:t>Résolution 235 (CMR-15)</w:t>
      </w:r>
      <w:r w:rsidR="00131D96">
        <w:rPr>
          <w:lang w:val="fr-CH"/>
        </w:rPr>
        <w:br/>
      </w:r>
      <w:r w:rsidRPr="006F5957">
        <w:rPr>
          <w:lang w:val="fr-FR"/>
        </w:rPr>
        <w:t>Examen de l</w:t>
      </w:r>
      <w:r w:rsidR="00D3211C">
        <w:rPr>
          <w:lang w:val="fr-FR"/>
        </w:rPr>
        <w:t>'</w:t>
      </w:r>
      <w:r w:rsidRPr="006F5957">
        <w:rPr>
          <w:lang w:val="fr-FR"/>
        </w:rPr>
        <w:t>utilisation du spectre dans la bande de fréquences 470-960 MHz en Région 1</w:t>
      </w:r>
    </w:p>
    <w:p w:rsidR="00CB341F" w:rsidRPr="00C828D1" w:rsidRDefault="00CB341F" w:rsidP="00131D96">
      <w:pPr>
        <w:rPr>
          <w:lang w:val="fr-FR"/>
        </w:rPr>
      </w:pPr>
      <w:r w:rsidRPr="00CB341F">
        <w:rPr>
          <w:lang w:val="fr-CH"/>
        </w:rPr>
        <w:t>Résolution 655 (CMR-15)</w:t>
      </w:r>
      <w:r w:rsidR="00131D96">
        <w:rPr>
          <w:lang w:val="fr-CH"/>
        </w:rPr>
        <w:br/>
      </w:r>
      <w:r w:rsidRPr="006F5957">
        <w:rPr>
          <w:lang w:val="fr-FR"/>
        </w:rPr>
        <w:t>Définition d'une échelle de temps et diffusion de signaux horaires à l'aide de systèmes de radiocommunication</w:t>
      </w:r>
    </w:p>
    <w:p w:rsidR="00CB341F" w:rsidRPr="00B633BB" w:rsidRDefault="00CB341F" w:rsidP="00131D96">
      <w:pPr>
        <w:rPr>
          <w:lang w:val="fr-FR"/>
        </w:rPr>
      </w:pPr>
      <w:r w:rsidRPr="009227BB">
        <w:rPr>
          <w:lang w:val="fr-CH"/>
        </w:rPr>
        <w:t>Résolution 810 (CMR-15)</w:t>
      </w:r>
      <w:r w:rsidR="00131D96">
        <w:rPr>
          <w:lang w:val="fr-CH"/>
        </w:rPr>
        <w:br/>
      </w:r>
      <w:r w:rsidRPr="006F5957">
        <w:rPr>
          <w:lang w:val="fr-FR"/>
        </w:rPr>
        <w:t>Ordre du jour préliminaire de la Conférence mondiale des radiocommunications de 2023</w:t>
      </w:r>
    </w:p>
    <w:p w:rsidR="00CB341F" w:rsidRPr="00DE50D8" w:rsidRDefault="00CB341F" w:rsidP="00131D96">
      <w:pPr>
        <w:rPr>
          <w:lang w:val="fr-FR"/>
        </w:rPr>
      </w:pPr>
      <w:r w:rsidRPr="00CB341F">
        <w:rPr>
          <w:lang w:val="fr-CH"/>
        </w:rPr>
        <w:t>Résolution 236 (CMR-15)</w:t>
      </w:r>
      <w:r w:rsidR="00131D96">
        <w:rPr>
          <w:lang w:val="fr-CH"/>
        </w:rPr>
        <w:br/>
      </w:r>
      <w:r w:rsidRPr="006F5957">
        <w:rPr>
          <w:lang w:val="fr-FR"/>
        </w:rPr>
        <w:t>Systèmes de radiocommunication ferroviaires train/voie</w:t>
      </w:r>
    </w:p>
    <w:p w:rsidR="00CB341F" w:rsidRPr="00DE50D8" w:rsidRDefault="00CB341F" w:rsidP="00131D96">
      <w:pPr>
        <w:rPr>
          <w:lang w:val="fr-FR"/>
        </w:rPr>
      </w:pPr>
      <w:r w:rsidRPr="00CB341F">
        <w:rPr>
          <w:lang w:val="fr-CH"/>
        </w:rPr>
        <w:t>Résolution 809 (CMR-15)</w:t>
      </w:r>
      <w:r w:rsidR="00131D96">
        <w:rPr>
          <w:lang w:val="fr-CH"/>
        </w:rPr>
        <w:br/>
      </w:r>
      <w:r w:rsidRPr="006F5957">
        <w:rPr>
          <w:lang w:val="fr-FR"/>
        </w:rPr>
        <w:t>Ordre du jour de la Conférence mondiale des radiocommunications de 2019</w:t>
      </w:r>
    </w:p>
    <w:p w:rsidR="00CB341F" w:rsidRPr="003D5056" w:rsidRDefault="00CB341F" w:rsidP="00131D96">
      <w:pPr>
        <w:rPr>
          <w:lang w:val="fr-FR"/>
        </w:rPr>
      </w:pPr>
      <w:r w:rsidRPr="00CB341F">
        <w:rPr>
          <w:lang w:val="fr-CH"/>
        </w:rPr>
        <w:t>Résolution 238 (CMR-15)</w:t>
      </w:r>
      <w:r w:rsidR="00131D96">
        <w:rPr>
          <w:lang w:val="fr-CH"/>
        </w:rPr>
        <w:br/>
      </w:r>
      <w:r w:rsidRPr="006F5957">
        <w:rPr>
          <w:lang w:val="fr-FR"/>
        </w:rPr>
        <w:t>Etudes sur les questions liées aux fréquences en vue de l'identification de bandes de fréquences pour les Télécommunications mobiles internationales (IMT), y compris des attributions additionnelles possibles à titre primaire au service mobile dans une ou plusieurs parties de la gamme de fréquences comprise entre 24,25 et 86 GHz pour le développement futur des IMT à l'horizon 2020 et au-delà</w:t>
      </w:r>
    </w:p>
    <w:p w:rsidR="00CB341F" w:rsidRDefault="00CB341F" w:rsidP="00131D96">
      <w:pPr>
        <w:rPr>
          <w:lang w:val="fr-FR"/>
        </w:rPr>
      </w:pPr>
      <w:r w:rsidRPr="00CB341F">
        <w:rPr>
          <w:lang w:val="fr-CH"/>
        </w:rPr>
        <w:lastRenderedPageBreak/>
        <w:t>Résolution 160 (CMR-15)</w:t>
      </w:r>
      <w:r w:rsidR="00131D96">
        <w:rPr>
          <w:lang w:val="fr-CH"/>
        </w:rPr>
        <w:br/>
      </w:r>
      <w:r w:rsidRPr="006F5957">
        <w:rPr>
          <w:lang w:val="fr-FR"/>
        </w:rPr>
        <w:t>Faciliter l'accès aux applications large bande assurées par les stations placées sur des plates</w:t>
      </w:r>
      <w:r w:rsidR="00E239F9">
        <w:rPr>
          <w:lang w:val="fr-FR"/>
        </w:rPr>
        <w:noBreakHyphen/>
      </w:r>
      <w:r w:rsidRPr="006F5957">
        <w:rPr>
          <w:lang w:val="fr-FR"/>
        </w:rPr>
        <w:t>formes à haute altitude</w:t>
      </w:r>
    </w:p>
    <w:p w:rsidR="00CB341F" w:rsidRPr="002675F1" w:rsidRDefault="00CB341F" w:rsidP="00CB341F">
      <w:pPr>
        <w:jc w:val="center"/>
      </w:pPr>
      <w:r>
        <w:t>______________</w:t>
      </w:r>
    </w:p>
    <w:sectPr w:rsidR="00CB341F" w:rsidRPr="002675F1" w:rsidSect="0039169B">
      <w:headerReference w:type="default" r:id="rId13"/>
      <w:footerReference w:type="even" r:id="rId14"/>
      <w:footerReference w:type="first" r:id="rId15"/>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EEC" w:rsidRDefault="003A1EEC">
      <w:r>
        <w:separator/>
      </w:r>
    </w:p>
  </w:endnote>
  <w:endnote w:type="continuationSeparator" w:id="0">
    <w:p w:rsidR="003A1EEC" w:rsidRDefault="003A1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NewRoman,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0270A9" w:rsidRDefault="00E45D05">
    <w:pPr>
      <w:ind w:right="360"/>
      <w:rPr>
        <w:lang w:val="es-ES_tradnl"/>
      </w:rPr>
    </w:pPr>
    <w:r>
      <w:fldChar w:fldCharType="begin"/>
    </w:r>
    <w:r w:rsidRPr="000270A9">
      <w:rPr>
        <w:lang w:val="es-ES_tradnl"/>
      </w:rPr>
      <w:instrText xml:space="preserve"> FILENAME \p  \* MERGEFORMAT </w:instrText>
    </w:r>
    <w:r>
      <w:fldChar w:fldCharType="separate"/>
    </w:r>
    <w:r w:rsidR="000270A9">
      <w:rPr>
        <w:noProof/>
        <w:lang w:val="es-ES_tradnl"/>
      </w:rPr>
      <w:t>P:\FRA\ITU-D\CONF-D\RPM\AFR\000\004F.docx</w:t>
    </w:r>
    <w:r>
      <w:fldChar w:fldCharType="end"/>
    </w:r>
    <w:r w:rsidRPr="000270A9">
      <w:rPr>
        <w:lang w:val="es-ES_tradnl"/>
      </w:rPr>
      <w:tab/>
    </w:r>
    <w:r>
      <w:fldChar w:fldCharType="begin"/>
    </w:r>
    <w:r>
      <w:instrText xml:space="preserve"> SAVEDATE \@ DD.MM.YY </w:instrText>
    </w:r>
    <w:r>
      <w:fldChar w:fldCharType="separate"/>
    </w:r>
    <w:r w:rsidR="00E065FF">
      <w:rPr>
        <w:noProof/>
      </w:rPr>
      <w:t>16.12.16</w:t>
    </w:r>
    <w:r>
      <w:fldChar w:fldCharType="end"/>
    </w:r>
    <w:r w:rsidRPr="000270A9">
      <w:rPr>
        <w:lang w:val="es-ES_tradnl"/>
      </w:rPr>
      <w:tab/>
    </w:r>
    <w:r>
      <w:fldChar w:fldCharType="begin"/>
    </w:r>
    <w:r>
      <w:instrText xml:space="preserve"> PRINTDATE \@ DD.MM.YY </w:instrText>
    </w:r>
    <w:r>
      <w:fldChar w:fldCharType="separate"/>
    </w:r>
    <w:r w:rsidR="000270A9">
      <w:rPr>
        <w:noProof/>
      </w:rPr>
      <w:t>25.10.16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F93" w:rsidRDefault="00572F93" w:rsidP="00572F93"/>
  <w:tbl>
    <w:tblPr>
      <w:tblW w:w="10348" w:type="dxa"/>
      <w:tblLayout w:type="fixed"/>
      <w:tblLook w:val="04A0" w:firstRow="1" w:lastRow="0" w:firstColumn="1" w:lastColumn="0" w:noHBand="0" w:noVBand="1"/>
    </w:tblPr>
    <w:tblGrid>
      <w:gridCol w:w="1526"/>
      <w:gridCol w:w="2410"/>
      <w:gridCol w:w="6412"/>
    </w:tblGrid>
    <w:tr w:rsidR="00572F93" w:rsidRPr="003439C0" w:rsidTr="00514F93">
      <w:tc>
        <w:tcPr>
          <w:tcW w:w="1526" w:type="dxa"/>
          <w:tcBorders>
            <w:top w:val="single" w:sz="4" w:space="0" w:color="000000"/>
          </w:tcBorders>
          <w:shd w:val="clear" w:color="auto" w:fill="auto"/>
        </w:tcPr>
        <w:p w:rsidR="00572F93" w:rsidRPr="004D495C" w:rsidRDefault="00572F93" w:rsidP="00572F93">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572F93" w:rsidRPr="004D495C" w:rsidRDefault="00572F93" w:rsidP="00572F93">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w:t>
          </w:r>
          <w:r w:rsidRPr="004D495C">
            <w:rPr>
              <w:sz w:val="18"/>
              <w:szCs w:val="18"/>
              <w:lang w:val="en-US"/>
            </w:rPr>
            <w:t>m/</w:t>
          </w:r>
          <w:proofErr w:type="spellStart"/>
          <w:r w:rsidRPr="004D495C">
            <w:rPr>
              <w:sz w:val="18"/>
              <w:szCs w:val="18"/>
              <w:lang w:val="en-US"/>
            </w:rPr>
            <w:t>Organi</w:t>
          </w:r>
          <w:r>
            <w:rPr>
              <w:sz w:val="18"/>
              <w:szCs w:val="18"/>
              <w:lang w:val="en-US"/>
            </w:rPr>
            <w:t>s</w:t>
          </w:r>
          <w:r w:rsidRPr="004D495C">
            <w:rPr>
              <w:sz w:val="18"/>
              <w:szCs w:val="18"/>
              <w:lang w:val="en-US"/>
            </w:rPr>
            <w:t>ation</w:t>
          </w:r>
          <w:proofErr w:type="spellEnd"/>
          <w:r w:rsidRPr="004D495C">
            <w:rPr>
              <w:sz w:val="18"/>
              <w:szCs w:val="18"/>
              <w:lang w:val="en-US"/>
            </w:rPr>
            <w:t>/</w:t>
          </w:r>
          <w:proofErr w:type="spellStart"/>
          <w:r w:rsidRPr="004D495C">
            <w:rPr>
              <w:sz w:val="18"/>
              <w:szCs w:val="18"/>
              <w:lang w:val="en-US"/>
            </w:rPr>
            <w:t>Entit</w:t>
          </w:r>
          <w:r>
            <w:rPr>
              <w:sz w:val="18"/>
              <w:szCs w:val="18"/>
              <w:lang w:val="en-US"/>
            </w:rPr>
            <w:t>é</w:t>
          </w:r>
          <w:proofErr w:type="spellEnd"/>
          <w:r w:rsidRPr="004D495C">
            <w:rPr>
              <w:sz w:val="18"/>
              <w:szCs w:val="18"/>
              <w:lang w:val="en-US"/>
            </w:rPr>
            <w:t>:</w:t>
          </w:r>
        </w:p>
      </w:tc>
      <w:tc>
        <w:tcPr>
          <w:tcW w:w="6412" w:type="dxa"/>
          <w:tcBorders>
            <w:top w:val="single" w:sz="4" w:space="0" w:color="000000"/>
          </w:tcBorders>
          <w:shd w:val="clear" w:color="auto" w:fill="auto"/>
        </w:tcPr>
        <w:p w:rsidR="00572F93" w:rsidRPr="00CB341F" w:rsidRDefault="00CB341F" w:rsidP="00F84951">
          <w:pPr>
            <w:pStyle w:val="FirstFooter"/>
            <w:tabs>
              <w:tab w:val="clear" w:pos="1871"/>
            </w:tabs>
            <w:rPr>
              <w:sz w:val="18"/>
              <w:szCs w:val="18"/>
              <w:lang w:val="fr-CH"/>
            </w:rPr>
          </w:pPr>
          <w:bookmarkStart w:id="14" w:name="OrgName"/>
          <w:bookmarkEnd w:id="14"/>
          <w:r w:rsidRPr="00CB341F">
            <w:rPr>
              <w:sz w:val="18"/>
              <w:szCs w:val="18"/>
              <w:lang w:val="fr-CH"/>
            </w:rPr>
            <w:t>M. K</w:t>
          </w:r>
          <w:r w:rsidR="00F84951">
            <w:rPr>
              <w:sz w:val="18"/>
              <w:szCs w:val="18"/>
              <w:lang w:val="fr-CH"/>
            </w:rPr>
            <w:t>emal</w:t>
          </w:r>
          <w:r w:rsidRPr="00CB341F">
            <w:rPr>
              <w:sz w:val="18"/>
              <w:szCs w:val="18"/>
              <w:lang w:val="fr-CH"/>
            </w:rPr>
            <w:t xml:space="preserve"> </w:t>
          </w:r>
          <w:proofErr w:type="spellStart"/>
          <w:r w:rsidRPr="00CB341F">
            <w:rPr>
              <w:sz w:val="18"/>
              <w:szCs w:val="18"/>
              <w:lang w:val="fr-CH"/>
            </w:rPr>
            <w:t>Huseinovic</w:t>
          </w:r>
          <w:proofErr w:type="spellEnd"/>
          <w:r w:rsidRPr="00CB341F">
            <w:rPr>
              <w:sz w:val="18"/>
              <w:szCs w:val="18"/>
              <w:lang w:val="fr-CH"/>
            </w:rPr>
            <w:t xml:space="preserve">, Chef, Département des infrastructures, de l’environnement propice et des </w:t>
          </w:r>
          <w:proofErr w:type="spellStart"/>
          <w:r w:rsidRPr="00CB341F">
            <w:rPr>
              <w:sz w:val="18"/>
              <w:szCs w:val="18"/>
              <w:lang w:val="fr-CH"/>
            </w:rPr>
            <w:t>cyberapplications</w:t>
          </w:r>
          <w:proofErr w:type="spellEnd"/>
          <w:r w:rsidRPr="00CB341F">
            <w:rPr>
              <w:sz w:val="18"/>
              <w:szCs w:val="18"/>
              <w:lang w:val="fr-CH"/>
            </w:rPr>
            <w:t xml:space="preserve"> (IEE)</w:t>
          </w:r>
          <w:r w:rsidR="00F84951">
            <w:rPr>
              <w:sz w:val="18"/>
              <w:szCs w:val="18"/>
              <w:lang w:val="fr-CH"/>
            </w:rPr>
            <w:t>, BDT</w:t>
          </w:r>
        </w:p>
      </w:tc>
    </w:tr>
    <w:tr w:rsidR="00572F93" w:rsidRPr="002B019A" w:rsidTr="00514F93">
      <w:tc>
        <w:tcPr>
          <w:tcW w:w="1526" w:type="dxa"/>
          <w:shd w:val="clear" w:color="auto" w:fill="auto"/>
        </w:tcPr>
        <w:p w:rsidR="00572F93" w:rsidRPr="00EE0BCA" w:rsidRDefault="00572F93" w:rsidP="00572F93">
          <w:pPr>
            <w:pStyle w:val="FirstFooter"/>
            <w:tabs>
              <w:tab w:val="left" w:pos="1559"/>
              <w:tab w:val="left" w:pos="3828"/>
            </w:tabs>
            <w:rPr>
              <w:sz w:val="20"/>
              <w:lang w:val="fr-CH"/>
            </w:rPr>
          </w:pPr>
        </w:p>
      </w:tc>
      <w:tc>
        <w:tcPr>
          <w:tcW w:w="2410" w:type="dxa"/>
          <w:shd w:val="clear" w:color="auto" w:fill="auto"/>
        </w:tcPr>
        <w:p w:rsidR="00572F93" w:rsidRPr="002B019A" w:rsidRDefault="00572F93" w:rsidP="00572F93">
          <w:pPr>
            <w:pStyle w:val="FirstFooter"/>
            <w:tabs>
              <w:tab w:val="left" w:pos="2302"/>
            </w:tabs>
            <w:rPr>
              <w:sz w:val="18"/>
              <w:szCs w:val="18"/>
              <w:lang w:val="fr-CH"/>
            </w:rPr>
          </w:pPr>
          <w:r w:rsidRPr="00C100BE">
            <w:rPr>
              <w:sz w:val="18"/>
              <w:szCs w:val="18"/>
              <w:lang w:val="fr-CH"/>
            </w:rPr>
            <w:t>Numéro de téléphone</w:t>
          </w:r>
          <w:r>
            <w:rPr>
              <w:sz w:val="18"/>
              <w:szCs w:val="18"/>
              <w:lang w:val="fr-CH"/>
            </w:rPr>
            <w:t>:</w:t>
          </w:r>
        </w:p>
      </w:tc>
      <w:tc>
        <w:tcPr>
          <w:tcW w:w="6412" w:type="dxa"/>
          <w:shd w:val="clear" w:color="auto" w:fill="auto"/>
        </w:tcPr>
        <w:p w:rsidR="00572F93" w:rsidRPr="002B019A" w:rsidRDefault="00CB341F" w:rsidP="00572F93">
          <w:pPr>
            <w:pStyle w:val="FirstFooter"/>
            <w:tabs>
              <w:tab w:val="left" w:pos="2302"/>
            </w:tabs>
            <w:rPr>
              <w:sz w:val="18"/>
              <w:szCs w:val="18"/>
              <w:lang w:val="fr-CH"/>
            </w:rPr>
          </w:pPr>
          <w:bookmarkStart w:id="15" w:name="PhoneNo"/>
          <w:bookmarkEnd w:id="15"/>
          <w:r w:rsidRPr="00784E03">
            <w:rPr>
              <w:sz w:val="18"/>
              <w:szCs w:val="18"/>
              <w:lang w:val="en-US"/>
            </w:rPr>
            <w:t>+41 22 730 5421</w:t>
          </w:r>
        </w:p>
      </w:tc>
    </w:tr>
    <w:tr w:rsidR="00572F93" w:rsidRPr="002B019A" w:rsidTr="00514F93">
      <w:tc>
        <w:tcPr>
          <w:tcW w:w="1526" w:type="dxa"/>
          <w:shd w:val="clear" w:color="auto" w:fill="auto"/>
        </w:tcPr>
        <w:p w:rsidR="00572F93" w:rsidRPr="002B019A" w:rsidRDefault="00572F93" w:rsidP="00572F93">
          <w:pPr>
            <w:pStyle w:val="FirstFooter"/>
            <w:tabs>
              <w:tab w:val="left" w:pos="1559"/>
              <w:tab w:val="left" w:pos="3828"/>
            </w:tabs>
            <w:rPr>
              <w:sz w:val="20"/>
              <w:lang w:val="fr-CH"/>
            </w:rPr>
          </w:pPr>
        </w:p>
      </w:tc>
      <w:tc>
        <w:tcPr>
          <w:tcW w:w="2410" w:type="dxa"/>
          <w:shd w:val="clear" w:color="auto" w:fill="auto"/>
        </w:tcPr>
        <w:p w:rsidR="00572F93" w:rsidRPr="002B019A" w:rsidRDefault="00572F93" w:rsidP="00572F93">
          <w:pPr>
            <w:pStyle w:val="FirstFooter"/>
            <w:tabs>
              <w:tab w:val="left" w:pos="2302"/>
            </w:tabs>
            <w:rPr>
              <w:sz w:val="18"/>
              <w:szCs w:val="18"/>
              <w:lang w:val="fr-CH"/>
            </w:rPr>
          </w:pPr>
          <w:r w:rsidRPr="00C100BE">
            <w:rPr>
              <w:sz w:val="18"/>
              <w:szCs w:val="18"/>
              <w:lang w:val="fr-CH"/>
            </w:rPr>
            <w:t>Courriel</w:t>
          </w:r>
          <w:r w:rsidRPr="00C100BE">
            <w:rPr>
              <w:sz w:val="18"/>
              <w:szCs w:val="18"/>
              <w:lang w:val="en-US"/>
            </w:rPr>
            <w:t>:</w:t>
          </w:r>
        </w:p>
      </w:tc>
      <w:bookmarkStart w:id="16" w:name="Email"/>
      <w:bookmarkEnd w:id="16"/>
      <w:tc>
        <w:tcPr>
          <w:tcW w:w="6412" w:type="dxa"/>
          <w:shd w:val="clear" w:color="auto" w:fill="auto"/>
        </w:tcPr>
        <w:p w:rsidR="00572F93" w:rsidRPr="002B019A" w:rsidRDefault="00CB341F" w:rsidP="00572F93">
          <w:pPr>
            <w:pStyle w:val="FirstFooter"/>
            <w:tabs>
              <w:tab w:val="left" w:pos="2302"/>
            </w:tabs>
            <w:rPr>
              <w:sz w:val="18"/>
              <w:szCs w:val="18"/>
              <w:highlight w:val="yellow"/>
              <w:lang w:val="fr-CH"/>
            </w:rPr>
          </w:pPr>
          <w:r>
            <w:rPr>
              <w:sz w:val="18"/>
              <w:szCs w:val="18"/>
              <w:lang w:val="en-US"/>
            </w:rPr>
            <w:fldChar w:fldCharType="begin"/>
          </w:r>
          <w:r>
            <w:rPr>
              <w:sz w:val="18"/>
              <w:szCs w:val="18"/>
              <w:lang w:val="en-US"/>
            </w:rPr>
            <w:instrText xml:space="preserve"> HYPERLINK "mailto:kemal.huseinovic@itu.int" </w:instrText>
          </w:r>
          <w:r>
            <w:rPr>
              <w:sz w:val="18"/>
              <w:szCs w:val="18"/>
              <w:lang w:val="en-US"/>
            </w:rPr>
            <w:fldChar w:fldCharType="separate"/>
          </w:r>
          <w:r w:rsidRPr="001D5D8D">
            <w:rPr>
              <w:rStyle w:val="Hyperlink"/>
              <w:sz w:val="18"/>
              <w:szCs w:val="18"/>
              <w:lang w:val="en-US"/>
            </w:rPr>
            <w:t>kemal.huseinovic@itu.int</w:t>
          </w:r>
          <w:r>
            <w:rPr>
              <w:sz w:val="18"/>
              <w:szCs w:val="18"/>
              <w:lang w:val="en-US"/>
            </w:rPr>
            <w:fldChar w:fldCharType="end"/>
          </w:r>
        </w:p>
      </w:tc>
    </w:tr>
  </w:tbl>
  <w:p w:rsidR="00572F93" w:rsidRPr="00784E03" w:rsidRDefault="003439C0" w:rsidP="00572F93">
    <w:pPr>
      <w:jc w:val="center"/>
      <w:rPr>
        <w:sz w:val="20"/>
      </w:rPr>
    </w:pPr>
    <w:hyperlink r:id="rId1" w:history="1">
      <w:r w:rsidR="00572F93" w:rsidRPr="00784E03">
        <w:rPr>
          <w:rStyle w:val="Hyperlink"/>
          <w:sz w:val="20"/>
        </w:rPr>
        <w:t>http://www.itu.int/go/en/wtdc17rpm</w:t>
      </w:r>
    </w:hyperlink>
  </w:p>
  <w:p w:rsidR="00572F93" w:rsidRPr="00D83BF5" w:rsidRDefault="00572F93" w:rsidP="00572F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EEC" w:rsidRDefault="003A1EEC">
      <w:r>
        <w:rPr>
          <w:b/>
        </w:rPr>
        <w:t>_______________</w:t>
      </w:r>
    </w:p>
  </w:footnote>
  <w:footnote w:type="continuationSeparator" w:id="0">
    <w:p w:rsidR="003A1EEC" w:rsidRDefault="003A1E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6F1" w:rsidRPr="00572F93" w:rsidRDefault="00D83BF5" w:rsidP="003439C0">
    <w:pPr>
      <w:tabs>
        <w:tab w:val="clear" w:pos="1134"/>
        <w:tab w:val="clear" w:pos="1871"/>
        <w:tab w:val="clear" w:pos="2268"/>
        <w:tab w:val="center" w:pos="5103"/>
        <w:tab w:val="right" w:pos="10206"/>
      </w:tabs>
      <w:ind w:right="1"/>
      <w:rPr>
        <w:smallCaps/>
        <w:spacing w:val="24"/>
        <w:sz w:val="22"/>
        <w:szCs w:val="22"/>
        <w:lang w:val="fr-CH"/>
      </w:rPr>
    </w:pPr>
    <w:r w:rsidRPr="004D495C">
      <w:rPr>
        <w:sz w:val="22"/>
        <w:szCs w:val="22"/>
      </w:rPr>
      <w:tab/>
    </w:r>
    <w:r w:rsidRPr="00572F93">
      <w:rPr>
        <w:sz w:val="22"/>
        <w:szCs w:val="22"/>
        <w:lang w:val="fr-CH"/>
      </w:rPr>
      <w:t>ITU-D/</w:t>
    </w:r>
    <w:bookmarkStart w:id="12" w:name="DocRef2"/>
    <w:bookmarkEnd w:id="12"/>
    <w:r w:rsidRPr="00572F93">
      <w:rPr>
        <w:sz w:val="22"/>
        <w:szCs w:val="22"/>
        <w:lang w:val="fr-CH"/>
      </w:rPr>
      <w:t>RPM-</w:t>
    </w:r>
    <w:r w:rsidR="003439C0">
      <w:rPr>
        <w:sz w:val="22"/>
        <w:szCs w:val="22"/>
        <w:lang w:val="fr-CH"/>
      </w:rPr>
      <w:t>EUR</w:t>
    </w:r>
    <w:r w:rsidR="00067B05">
      <w:rPr>
        <w:sz w:val="22"/>
        <w:szCs w:val="22"/>
        <w:lang w:val="fr-CH"/>
      </w:rPr>
      <w:t>17</w:t>
    </w:r>
    <w:r w:rsidRPr="00572F93">
      <w:rPr>
        <w:sz w:val="22"/>
        <w:szCs w:val="22"/>
        <w:lang w:val="fr-CH"/>
      </w:rPr>
      <w:t>/</w:t>
    </w:r>
    <w:bookmarkStart w:id="13" w:name="DocNo2"/>
    <w:bookmarkEnd w:id="13"/>
    <w:r w:rsidR="00CB341F">
      <w:rPr>
        <w:sz w:val="22"/>
        <w:szCs w:val="22"/>
        <w:lang w:val="fr-CH"/>
      </w:rPr>
      <w:t>4</w:t>
    </w:r>
    <w:r w:rsidRPr="00572F93">
      <w:rPr>
        <w:sz w:val="22"/>
        <w:szCs w:val="22"/>
        <w:lang w:val="fr-CH"/>
      </w:rPr>
      <w:t>-</w:t>
    </w:r>
    <w:r w:rsidR="00572F93" w:rsidRPr="00572F93">
      <w:rPr>
        <w:sz w:val="22"/>
        <w:szCs w:val="22"/>
        <w:lang w:val="fr-CH"/>
      </w:rPr>
      <w:t>F</w:t>
    </w:r>
    <w:r w:rsidRPr="00572F93">
      <w:rPr>
        <w:sz w:val="22"/>
        <w:szCs w:val="22"/>
        <w:lang w:val="fr-CH"/>
      </w:rPr>
      <w:tab/>
      <w:t xml:space="preserve">Page </w:t>
    </w:r>
    <w:r w:rsidRPr="004D495C">
      <w:rPr>
        <w:sz w:val="22"/>
        <w:szCs w:val="22"/>
      </w:rPr>
      <w:fldChar w:fldCharType="begin"/>
    </w:r>
    <w:r w:rsidRPr="00572F93">
      <w:rPr>
        <w:sz w:val="22"/>
        <w:szCs w:val="22"/>
        <w:lang w:val="fr-CH"/>
      </w:rPr>
      <w:instrText xml:space="preserve"> PAGE </w:instrText>
    </w:r>
    <w:r w:rsidRPr="004D495C">
      <w:rPr>
        <w:sz w:val="22"/>
        <w:szCs w:val="22"/>
      </w:rPr>
      <w:fldChar w:fldCharType="separate"/>
    </w:r>
    <w:r w:rsidR="003439C0">
      <w:rPr>
        <w:noProof/>
        <w:sz w:val="22"/>
        <w:szCs w:val="22"/>
        <w:lang w:val="fr-CH"/>
      </w:rPr>
      <w:t>9</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39202D8B"/>
    <w:multiLevelType w:val="hybridMultilevel"/>
    <w:tmpl w:val="0D8E425A"/>
    <w:lvl w:ilvl="0" w:tplc="34588936">
      <w:numFmt w:val="bullet"/>
      <w:lvlText w:val="-"/>
      <w:lvlJc w:val="left"/>
      <w:pPr>
        <w:ind w:left="1155" w:hanging="360"/>
      </w:pPr>
      <w:rPr>
        <w:rFonts w:ascii="Calibri" w:eastAsia="Times New Roman" w:hAnsi="Calibri" w:cs="Times New Roman" w:hint="default"/>
      </w:rPr>
    </w:lvl>
    <w:lvl w:ilvl="1" w:tplc="3BF6A44A" w:tentative="1">
      <w:start w:val="1"/>
      <w:numFmt w:val="bullet"/>
      <w:lvlText w:val="o"/>
      <w:lvlJc w:val="left"/>
      <w:pPr>
        <w:ind w:left="1875" w:hanging="360"/>
      </w:pPr>
      <w:rPr>
        <w:rFonts w:ascii="Courier New" w:hAnsi="Courier New" w:cs="Courier New" w:hint="default"/>
      </w:rPr>
    </w:lvl>
    <w:lvl w:ilvl="2" w:tplc="3CDE7D62" w:tentative="1">
      <w:start w:val="1"/>
      <w:numFmt w:val="bullet"/>
      <w:lvlText w:val=""/>
      <w:lvlJc w:val="left"/>
      <w:pPr>
        <w:ind w:left="2595" w:hanging="360"/>
      </w:pPr>
      <w:rPr>
        <w:rFonts w:ascii="Wingdings" w:hAnsi="Wingdings" w:hint="default"/>
      </w:rPr>
    </w:lvl>
    <w:lvl w:ilvl="3" w:tplc="7B088992" w:tentative="1">
      <w:start w:val="1"/>
      <w:numFmt w:val="bullet"/>
      <w:lvlText w:val=""/>
      <w:lvlJc w:val="left"/>
      <w:pPr>
        <w:ind w:left="3315" w:hanging="360"/>
      </w:pPr>
      <w:rPr>
        <w:rFonts w:ascii="Symbol" w:hAnsi="Symbol" w:hint="default"/>
      </w:rPr>
    </w:lvl>
    <w:lvl w:ilvl="4" w:tplc="3344410A" w:tentative="1">
      <w:start w:val="1"/>
      <w:numFmt w:val="bullet"/>
      <w:lvlText w:val="o"/>
      <w:lvlJc w:val="left"/>
      <w:pPr>
        <w:ind w:left="4035" w:hanging="360"/>
      </w:pPr>
      <w:rPr>
        <w:rFonts w:ascii="Courier New" w:hAnsi="Courier New" w:cs="Courier New" w:hint="default"/>
      </w:rPr>
    </w:lvl>
    <w:lvl w:ilvl="5" w:tplc="7E201E9E" w:tentative="1">
      <w:start w:val="1"/>
      <w:numFmt w:val="bullet"/>
      <w:lvlText w:val=""/>
      <w:lvlJc w:val="left"/>
      <w:pPr>
        <w:ind w:left="4755" w:hanging="360"/>
      </w:pPr>
      <w:rPr>
        <w:rFonts w:ascii="Wingdings" w:hAnsi="Wingdings" w:hint="default"/>
      </w:rPr>
    </w:lvl>
    <w:lvl w:ilvl="6" w:tplc="E4BEF4AA" w:tentative="1">
      <w:start w:val="1"/>
      <w:numFmt w:val="bullet"/>
      <w:lvlText w:val=""/>
      <w:lvlJc w:val="left"/>
      <w:pPr>
        <w:ind w:left="5475" w:hanging="360"/>
      </w:pPr>
      <w:rPr>
        <w:rFonts w:ascii="Symbol" w:hAnsi="Symbol" w:hint="default"/>
      </w:rPr>
    </w:lvl>
    <w:lvl w:ilvl="7" w:tplc="AB28C76C" w:tentative="1">
      <w:start w:val="1"/>
      <w:numFmt w:val="bullet"/>
      <w:lvlText w:val="o"/>
      <w:lvlJc w:val="left"/>
      <w:pPr>
        <w:ind w:left="6195" w:hanging="360"/>
      </w:pPr>
      <w:rPr>
        <w:rFonts w:ascii="Courier New" w:hAnsi="Courier New" w:cs="Courier New" w:hint="default"/>
      </w:rPr>
    </w:lvl>
    <w:lvl w:ilvl="8" w:tplc="FC062970" w:tentative="1">
      <w:start w:val="1"/>
      <w:numFmt w:val="bullet"/>
      <w:lvlText w:val=""/>
      <w:lvlJc w:val="left"/>
      <w:pPr>
        <w:ind w:left="6915"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3A1EEC"/>
    <w:rsid w:val="000041EA"/>
    <w:rsid w:val="00022A29"/>
    <w:rsid w:val="000270A9"/>
    <w:rsid w:val="000355FD"/>
    <w:rsid w:val="00051E39"/>
    <w:rsid w:val="00067B05"/>
    <w:rsid w:val="00077239"/>
    <w:rsid w:val="000822BE"/>
    <w:rsid w:val="00086491"/>
    <w:rsid w:val="00091346"/>
    <w:rsid w:val="000F73FF"/>
    <w:rsid w:val="00114CF7"/>
    <w:rsid w:val="00123B68"/>
    <w:rsid w:val="00126F2E"/>
    <w:rsid w:val="00131D96"/>
    <w:rsid w:val="00146F6F"/>
    <w:rsid w:val="00152957"/>
    <w:rsid w:val="00187BD9"/>
    <w:rsid w:val="00190B55"/>
    <w:rsid w:val="00194CFB"/>
    <w:rsid w:val="001B2ED3"/>
    <w:rsid w:val="001C3B5F"/>
    <w:rsid w:val="001D058F"/>
    <w:rsid w:val="002009EA"/>
    <w:rsid w:val="00202CA0"/>
    <w:rsid w:val="002154A6"/>
    <w:rsid w:val="002255B3"/>
    <w:rsid w:val="00271316"/>
    <w:rsid w:val="002D0219"/>
    <w:rsid w:val="002D58BE"/>
    <w:rsid w:val="003013EE"/>
    <w:rsid w:val="00337957"/>
    <w:rsid w:val="003439C0"/>
    <w:rsid w:val="00377BD3"/>
    <w:rsid w:val="00384088"/>
    <w:rsid w:val="0039169B"/>
    <w:rsid w:val="003A1EEC"/>
    <w:rsid w:val="003A7F8C"/>
    <w:rsid w:val="003B532E"/>
    <w:rsid w:val="003B6F14"/>
    <w:rsid w:val="003D0F8B"/>
    <w:rsid w:val="004131D4"/>
    <w:rsid w:val="0041348E"/>
    <w:rsid w:val="00447308"/>
    <w:rsid w:val="004765FF"/>
    <w:rsid w:val="00492075"/>
    <w:rsid w:val="004969AD"/>
    <w:rsid w:val="004B13CB"/>
    <w:rsid w:val="004B4FDF"/>
    <w:rsid w:val="004D5D5C"/>
    <w:rsid w:val="0050139F"/>
    <w:rsid w:val="00521223"/>
    <w:rsid w:val="0055140B"/>
    <w:rsid w:val="00572F93"/>
    <w:rsid w:val="005964AB"/>
    <w:rsid w:val="005C099A"/>
    <w:rsid w:val="005C31A5"/>
    <w:rsid w:val="005E10C9"/>
    <w:rsid w:val="005E61DD"/>
    <w:rsid w:val="005E6321"/>
    <w:rsid w:val="006023DF"/>
    <w:rsid w:val="00657DE0"/>
    <w:rsid w:val="0067199F"/>
    <w:rsid w:val="00685313"/>
    <w:rsid w:val="006A6E9B"/>
    <w:rsid w:val="006B7C2A"/>
    <w:rsid w:val="006C23DA"/>
    <w:rsid w:val="006E3D45"/>
    <w:rsid w:val="007149F9"/>
    <w:rsid w:val="00733A30"/>
    <w:rsid w:val="00745AEE"/>
    <w:rsid w:val="007479EA"/>
    <w:rsid w:val="00750F10"/>
    <w:rsid w:val="007742CA"/>
    <w:rsid w:val="007D06F0"/>
    <w:rsid w:val="007D45E3"/>
    <w:rsid w:val="007D5320"/>
    <w:rsid w:val="007F73D9"/>
    <w:rsid w:val="00800972"/>
    <w:rsid w:val="00804475"/>
    <w:rsid w:val="00811633"/>
    <w:rsid w:val="00821CEF"/>
    <w:rsid w:val="00832828"/>
    <w:rsid w:val="0083645A"/>
    <w:rsid w:val="00872FC8"/>
    <w:rsid w:val="008801D3"/>
    <w:rsid w:val="008845D0"/>
    <w:rsid w:val="008B43F2"/>
    <w:rsid w:val="008B6CFF"/>
    <w:rsid w:val="00910B26"/>
    <w:rsid w:val="009227BB"/>
    <w:rsid w:val="009274B4"/>
    <w:rsid w:val="00934EA2"/>
    <w:rsid w:val="00944A5C"/>
    <w:rsid w:val="00952A66"/>
    <w:rsid w:val="009C56E5"/>
    <w:rsid w:val="009E4CAC"/>
    <w:rsid w:val="009E5FC8"/>
    <w:rsid w:val="009E687A"/>
    <w:rsid w:val="00A03C5C"/>
    <w:rsid w:val="00A066F1"/>
    <w:rsid w:val="00A141AF"/>
    <w:rsid w:val="00A16D29"/>
    <w:rsid w:val="00A20E5E"/>
    <w:rsid w:val="00A30305"/>
    <w:rsid w:val="00A31D2D"/>
    <w:rsid w:val="00A4600A"/>
    <w:rsid w:val="00A538A6"/>
    <w:rsid w:val="00A54C25"/>
    <w:rsid w:val="00A710E7"/>
    <w:rsid w:val="00A7372E"/>
    <w:rsid w:val="00A93B85"/>
    <w:rsid w:val="00AA0B18"/>
    <w:rsid w:val="00AA666F"/>
    <w:rsid w:val="00B004E5"/>
    <w:rsid w:val="00B639E9"/>
    <w:rsid w:val="00B817CD"/>
    <w:rsid w:val="00BB1D6D"/>
    <w:rsid w:val="00BB29C8"/>
    <w:rsid w:val="00BB3A95"/>
    <w:rsid w:val="00C0018F"/>
    <w:rsid w:val="00C20466"/>
    <w:rsid w:val="00C214ED"/>
    <w:rsid w:val="00C234E6"/>
    <w:rsid w:val="00C324A8"/>
    <w:rsid w:val="00C54517"/>
    <w:rsid w:val="00C64CD8"/>
    <w:rsid w:val="00C97C68"/>
    <w:rsid w:val="00CA1A47"/>
    <w:rsid w:val="00CB341F"/>
    <w:rsid w:val="00CC247A"/>
    <w:rsid w:val="00CE5E47"/>
    <w:rsid w:val="00CF020F"/>
    <w:rsid w:val="00CF2B5B"/>
    <w:rsid w:val="00D14CE0"/>
    <w:rsid w:val="00D3211C"/>
    <w:rsid w:val="00D5651D"/>
    <w:rsid w:val="00D74898"/>
    <w:rsid w:val="00D801ED"/>
    <w:rsid w:val="00D83BF5"/>
    <w:rsid w:val="00D925C2"/>
    <w:rsid w:val="00D936BC"/>
    <w:rsid w:val="00D96530"/>
    <w:rsid w:val="00D96B4B"/>
    <w:rsid w:val="00DA7078"/>
    <w:rsid w:val="00DD08B4"/>
    <w:rsid w:val="00DD44AF"/>
    <w:rsid w:val="00DE2AC3"/>
    <w:rsid w:val="00DE434C"/>
    <w:rsid w:val="00DE5692"/>
    <w:rsid w:val="00DF6F8E"/>
    <w:rsid w:val="00E03C94"/>
    <w:rsid w:val="00E065FF"/>
    <w:rsid w:val="00E07105"/>
    <w:rsid w:val="00E239F9"/>
    <w:rsid w:val="00E26226"/>
    <w:rsid w:val="00E45D05"/>
    <w:rsid w:val="00E55816"/>
    <w:rsid w:val="00E55AEF"/>
    <w:rsid w:val="00E976C1"/>
    <w:rsid w:val="00EA12E5"/>
    <w:rsid w:val="00F02766"/>
    <w:rsid w:val="00F04067"/>
    <w:rsid w:val="00F05BD4"/>
    <w:rsid w:val="00F21A1D"/>
    <w:rsid w:val="00F65C19"/>
    <w:rsid w:val="00F84951"/>
    <w:rsid w:val="00FA795B"/>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0174F92-8AB1-4D57-95C4-C8BF1F267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CB341F"/>
    <w:rPr>
      <w:rFonts w:ascii="CG Times"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B341F"/>
    <w:pPr>
      <w:autoSpaceDE w:val="0"/>
      <w:autoSpaceDN w:val="0"/>
      <w:adjustRightInd w:val="0"/>
    </w:pPr>
    <w:rPr>
      <w:rFonts w:ascii="Calibri" w:eastAsia="SimSu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go/en/wtdc17rp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RPM-A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8A7C67D6-CEFE-4AFE-8EC3-4585BFEF5BAE}">
  <ds:schemaRefs>
    <ds:schemaRef ds:uri="http://schemas.microsoft.com/office/infopath/2007/PartnerControls"/>
    <ds:schemaRef ds:uri="http://purl.org/dc/elements/1.1/"/>
    <ds:schemaRef ds:uri="http://purl.org/dc/terms/"/>
    <ds:schemaRef ds:uri="http://www.w3.org/XML/1998/namespace"/>
    <ds:schemaRef ds:uri="http://purl.org/dc/dcmitype/"/>
    <ds:schemaRef ds:uri="http://schemas.microsoft.com/office/2006/metadata/properties"/>
    <ds:schemaRef ds:uri="996b2e75-67fd-4955-a3b0-5ab9934cb50b"/>
    <ds:schemaRef ds:uri="http://schemas.microsoft.com/office/2006/documentManagement/types"/>
    <ds:schemaRef ds:uri="http://schemas.openxmlformats.org/package/2006/metadata/core-properties"/>
    <ds:schemaRef ds:uri="32a1a8c5-2265-4ebc-b7a0-2071e2c5c9bb"/>
  </ds:schemaRefs>
</ds:datastoreItem>
</file>

<file path=customXml/itemProps4.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4958165-EFC0-4BBE-BED9-12292A076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PF_RPM-AFR.dotx</Template>
  <TotalTime>2</TotalTime>
  <Pages>9</Pages>
  <Words>2248</Words>
  <Characters>13517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15734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Gozel, Elsa</dc:creator>
  <cp:keywords/>
  <dc:description/>
  <cp:lastModifiedBy>Dion, Brigitte</cp:lastModifiedBy>
  <cp:revision>3</cp:revision>
  <cp:lastPrinted>2016-10-25T15:35:00Z</cp:lastPrinted>
  <dcterms:created xsi:type="dcterms:W3CDTF">2017-02-23T19:40:00Z</dcterms:created>
  <dcterms:modified xsi:type="dcterms:W3CDTF">2017-02-23T19:43:00Z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