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7046"/>
        <w:gridCol w:w="3302"/>
      </w:tblGrid>
      <w:tr w:rsidR="0070796E" w:rsidRPr="00AE2BCA" w:rsidTr="00DD05EF">
        <w:trPr>
          <w:cantSplit/>
          <w:jc w:val="center"/>
        </w:trPr>
        <w:tc>
          <w:tcPr>
            <w:tcW w:w="7046" w:type="dxa"/>
          </w:tcPr>
          <w:p w:rsidR="0070796E" w:rsidRPr="00421F93" w:rsidRDefault="001F1569" w:rsidP="00B8577A">
            <w:pPr>
              <w:spacing w:before="180"/>
              <w:rPr>
                <w:b/>
                <w:bCs/>
                <w:sz w:val="28"/>
                <w:szCs w:val="28"/>
              </w:rPr>
            </w:pPr>
            <w:r w:rsidRPr="00421F93">
              <w:rPr>
                <w:b/>
                <w:bCs/>
                <w:sz w:val="28"/>
                <w:szCs w:val="28"/>
              </w:rPr>
              <w:t xml:space="preserve">Regional Preparatory Meeting </w:t>
            </w:r>
            <w:r>
              <w:rPr>
                <w:b/>
                <w:bCs/>
                <w:sz w:val="28"/>
                <w:szCs w:val="28"/>
              </w:rPr>
              <w:br/>
              <w:t xml:space="preserve">for </w:t>
            </w:r>
            <w:r w:rsidRPr="00421F93">
              <w:rPr>
                <w:b/>
                <w:bCs/>
                <w:sz w:val="28"/>
                <w:szCs w:val="28"/>
              </w:rPr>
              <w:t xml:space="preserve">WTDC-17 </w:t>
            </w:r>
            <w:r>
              <w:rPr>
                <w:b/>
                <w:bCs/>
                <w:sz w:val="28"/>
                <w:szCs w:val="28"/>
              </w:rPr>
              <w:t>for Europe (RPM-EUR</w:t>
            </w:r>
            <w:r w:rsidRPr="00421F93">
              <w:rPr>
                <w:b/>
                <w:bCs/>
                <w:sz w:val="28"/>
                <w:szCs w:val="28"/>
              </w:rPr>
              <w:t>)</w:t>
            </w:r>
          </w:p>
        </w:tc>
        <w:tc>
          <w:tcPr>
            <w:tcW w:w="3302" w:type="dxa"/>
          </w:tcPr>
          <w:p w:rsidR="0070796E" w:rsidRPr="00AE2BCA" w:rsidRDefault="009D7B40" w:rsidP="003058DA">
            <w:pPr>
              <w:spacing w:before="0"/>
              <w:ind w:right="142"/>
              <w:jc w:val="right"/>
            </w:pPr>
            <w:r w:rsidRPr="005B1AA6">
              <w:rPr>
                <w:noProof/>
                <w:lang w:eastAsia="zh-CN"/>
              </w:rPr>
              <w:drawing>
                <wp:inline distT="0" distB="0" distL="0" distR="0" wp14:anchorId="45E3828D" wp14:editId="4414313E">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2D0049" w:rsidTr="00DD05EF">
        <w:trPr>
          <w:cantSplit/>
          <w:trHeight w:val="300"/>
          <w:jc w:val="center"/>
        </w:trPr>
        <w:tc>
          <w:tcPr>
            <w:tcW w:w="10348" w:type="dxa"/>
            <w:gridSpan w:val="2"/>
            <w:tcBorders>
              <w:bottom w:val="single" w:sz="12" w:space="0" w:color="auto"/>
            </w:tcBorders>
          </w:tcPr>
          <w:p w:rsidR="006D0B95" w:rsidRPr="00546F06" w:rsidRDefault="001F1569" w:rsidP="00B8577A">
            <w:pPr>
              <w:adjustRightInd/>
              <w:spacing w:before="0" w:after="60"/>
              <w:rPr>
                <w:b/>
                <w:bCs/>
                <w:sz w:val="26"/>
                <w:szCs w:val="26"/>
              </w:rPr>
            </w:pPr>
            <w:bookmarkStart w:id="0" w:name="Meeting"/>
            <w:bookmarkStart w:id="1" w:name="PlaceDate"/>
            <w:bookmarkEnd w:id="0"/>
            <w:bookmarkEnd w:id="1"/>
            <w:r>
              <w:rPr>
                <w:b/>
                <w:bCs/>
                <w:sz w:val="26"/>
                <w:szCs w:val="26"/>
              </w:rPr>
              <w:t>Vilnius, Lithuania, 27-28 April 2017</w:t>
            </w:r>
          </w:p>
        </w:tc>
      </w:tr>
      <w:tr w:rsidR="0070796E" w:rsidRPr="002D0049" w:rsidTr="00DD05EF">
        <w:trPr>
          <w:cantSplit/>
          <w:trHeight w:val="238"/>
          <w:jc w:val="center"/>
        </w:trPr>
        <w:tc>
          <w:tcPr>
            <w:tcW w:w="7046" w:type="dxa"/>
            <w:tcBorders>
              <w:top w:val="single" w:sz="12" w:space="0" w:color="auto"/>
            </w:tcBorders>
          </w:tcPr>
          <w:p w:rsidR="0070796E" w:rsidRPr="002D0049" w:rsidRDefault="0070796E" w:rsidP="006D0B95">
            <w:pPr>
              <w:spacing w:before="0"/>
              <w:rPr>
                <w:lang w:val="en-US"/>
              </w:rPr>
            </w:pPr>
          </w:p>
        </w:tc>
        <w:tc>
          <w:tcPr>
            <w:tcW w:w="3302" w:type="dxa"/>
            <w:tcBorders>
              <w:top w:val="single" w:sz="12" w:space="0" w:color="auto"/>
            </w:tcBorders>
          </w:tcPr>
          <w:p w:rsidR="0070796E" w:rsidRPr="002D0049" w:rsidRDefault="0070796E" w:rsidP="006D0B95">
            <w:pPr>
              <w:spacing w:before="0"/>
              <w:rPr>
                <w:lang w:val="en-US"/>
              </w:rPr>
            </w:pPr>
          </w:p>
        </w:tc>
      </w:tr>
      <w:tr w:rsidR="0070796E" w:rsidRPr="00546F06" w:rsidTr="00DD05EF">
        <w:trPr>
          <w:cantSplit/>
          <w:trHeight w:val="20"/>
          <w:jc w:val="center"/>
        </w:trPr>
        <w:tc>
          <w:tcPr>
            <w:tcW w:w="7046" w:type="dxa"/>
            <w:vMerge w:val="restart"/>
          </w:tcPr>
          <w:p w:rsidR="0070796E" w:rsidRPr="002D0049" w:rsidRDefault="0070796E">
            <w:pPr>
              <w:rPr>
                <w:lang w:val="en-US"/>
              </w:rPr>
            </w:pPr>
          </w:p>
        </w:tc>
        <w:tc>
          <w:tcPr>
            <w:tcW w:w="3302" w:type="dxa"/>
          </w:tcPr>
          <w:p w:rsidR="0070796E" w:rsidRPr="00490CE6" w:rsidRDefault="000D10AD" w:rsidP="001F1569">
            <w:pPr>
              <w:spacing w:before="0"/>
              <w:rPr>
                <w:b/>
                <w:bCs/>
                <w:szCs w:val="24"/>
              </w:rPr>
            </w:pPr>
            <w:r>
              <w:rPr>
                <w:b/>
                <w:bCs/>
                <w:szCs w:val="24"/>
              </w:rPr>
              <w:t xml:space="preserve">Revision 1 to </w:t>
            </w:r>
            <w:r>
              <w:rPr>
                <w:b/>
                <w:bCs/>
                <w:szCs w:val="24"/>
              </w:rPr>
              <w:br/>
            </w:r>
            <w:r w:rsidR="0070796E" w:rsidRPr="00490CE6">
              <w:rPr>
                <w:b/>
                <w:bCs/>
                <w:szCs w:val="24"/>
              </w:rPr>
              <w:t>Document</w:t>
            </w:r>
            <w:r w:rsidR="006527BD" w:rsidRPr="00490CE6">
              <w:rPr>
                <w:b/>
                <w:bCs/>
                <w:szCs w:val="24"/>
              </w:rPr>
              <w:t xml:space="preserve"> </w:t>
            </w:r>
            <w:bookmarkStart w:id="2" w:name="DocRef1"/>
            <w:bookmarkEnd w:id="2"/>
            <w:r w:rsidR="00FF089C" w:rsidRPr="00490CE6">
              <w:rPr>
                <w:b/>
                <w:bCs/>
                <w:szCs w:val="24"/>
              </w:rPr>
              <w:t>RPM-</w:t>
            </w:r>
            <w:r w:rsidR="001F1569">
              <w:rPr>
                <w:b/>
                <w:bCs/>
                <w:szCs w:val="24"/>
              </w:rPr>
              <w:t>EUR</w:t>
            </w:r>
            <w:r w:rsidR="001F69C7" w:rsidRPr="00490CE6">
              <w:rPr>
                <w:b/>
                <w:bCs/>
                <w:szCs w:val="24"/>
              </w:rPr>
              <w:t>17</w:t>
            </w:r>
            <w:r w:rsidR="00FF089C" w:rsidRPr="00490CE6">
              <w:rPr>
                <w:b/>
                <w:bCs/>
                <w:szCs w:val="24"/>
              </w:rPr>
              <w:t>/</w:t>
            </w:r>
            <w:r w:rsidR="00A4713D" w:rsidRPr="00490CE6">
              <w:rPr>
                <w:b/>
                <w:bCs/>
                <w:szCs w:val="24"/>
              </w:rPr>
              <w:t>4</w:t>
            </w:r>
            <w:r w:rsidR="00FF089C" w:rsidRPr="00490CE6">
              <w:rPr>
                <w:b/>
                <w:bCs/>
                <w:szCs w:val="24"/>
              </w:rPr>
              <w:t>-E</w:t>
            </w:r>
            <w:bookmarkStart w:id="3" w:name="DocNo1"/>
            <w:bookmarkEnd w:id="3"/>
          </w:p>
        </w:tc>
      </w:tr>
      <w:tr w:rsidR="0070796E" w:rsidRPr="00AE2BCA" w:rsidTr="00DD05EF">
        <w:trPr>
          <w:cantSplit/>
          <w:trHeight w:val="23"/>
          <w:jc w:val="center"/>
        </w:trPr>
        <w:tc>
          <w:tcPr>
            <w:tcW w:w="7046" w:type="dxa"/>
            <w:vMerge/>
          </w:tcPr>
          <w:p w:rsidR="0070796E" w:rsidRPr="00490CE6" w:rsidRDefault="0070796E">
            <w:pPr>
              <w:tabs>
                <w:tab w:val="left" w:pos="851"/>
              </w:tabs>
              <w:spacing w:line="240" w:lineRule="atLeast"/>
              <w:rPr>
                <w:b/>
              </w:rPr>
            </w:pPr>
          </w:p>
        </w:tc>
        <w:tc>
          <w:tcPr>
            <w:tcW w:w="3302" w:type="dxa"/>
          </w:tcPr>
          <w:p w:rsidR="0070796E" w:rsidRPr="00490CE6" w:rsidRDefault="001F1569" w:rsidP="009E5CBA">
            <w:pPr>
              <w:spacing w:before="0"/>
              <w:rPr>
                <w:b/>
                <w:bCs/>
                <w:szCs w:val="24"/>
              </w:rPr>
            </w:pPr>
            <w:bookmarkStart w:id="4" w:name="CreationDate"/>
            <w:bookmarkEnd w:id="4"/>
            <w:r>
              <w:rPr>
                <w:b/>
                <w:bCs/>
                <w:szCs w:val="24"/>
              </w:rPr>
              <w:t>16</w:t>
            </w:r>
            <w:r w:rsidR="009E5CBA">
              <w:rPr>
                <w:b/>
                <w:bCs/>
                <w:szCs w:val="24"/>
              </w:rPr>
              <w:t xml:space="preserve"> March</w:t>
            </w:r>
            <w:r w:rsidR="00A4713D" w:rsidRPr="00490CE6">
              <w:rPr>
                <w:b/>
                <w:bCs/>
                <w:szCs w:val="24"/>
              </w:rPr>
              <w:t xml:space="preserve"> 201</w:t>
            </w:r>
            <w:r w:rsidR="009E5CBA">
              <w:rPr>
                <w:b/>
                <w:bCs/>
                <w:szCs w:val="24"/>
              </w:rPr>
              <w:t>7</w:t>
            </w:r>
          </w:p>
        </w:tc>
      </w:tr>
      <w:tr w:rsidR="0070796E" w:rsidRPr="00AE2BCA" w:rsidTr="00DD05EF">
        <w:trPr>
          <w:cantSplit/>
          <w:trHeight w:val="333"/>
          <w:jc w:val="center"/>
        </w:trPr>
        <w:tc>
          <w:tcPr>
            <w:tcW w:w="7046" w:type="dxa"/>
            <w:vMerge/>
          </w:tcPr>
          <w:p w:rsidR="0070796E" w:rsidRPr="00AE2BCA" w:rsidRDefault="0070796E">
            <w:pPr>
              <w:tabs>
                <w:tab w:val="left" w:pos="851"/>
              </w:tabs>
              <w:spacing w:line="240" w:lineRule="atLeast"/>
              <w:rPr>
                <w:b/>
              </w:rPr>
            </w:pPr>
          </w:p>
        </w:tc>
        <w:tc>
          <w:tcPr>
            <w:tcW w:w="3302" w:type="dxa"/>
          </w:tcPr>
          <w:p w:rsidR="0070796E" w:rsidRPr="00490CE6" w:rsidRDefault="0070796E" w:rsidP="00BF1682">
            <w:pPr>
              <w:spacing w:before="0" w:after="120"/>
              <w:rPr>
                <w:b/>
                <w:bCs/>
                <w:szCs w:val="24"/>
              </w:rPr>
            </w:pPr>
            <w:r w:rsidRPr="00490CE6">
              <w:rPr>
                <w:b/>
                <w:bCs/>
                <w:szCs w:val="24"/>
              </w:rPr>
              <w:t>Original:</w:t>
            </w:r>
            <w:r w:rsidR="005543B5" w:rsidRPr="00490CE6">
              <w:rPr>
                <w:b/>
                <w:bCs/>
                <w:szCs w:val="24"/>
              </w:rPr>
              <w:t xml:space="preserve"> English</w:t>
            </w:r>
            <w:r w:rsidRPr="00490CE6">
              <w:rPr>
                <w:b/>
                <w:bCs/>
                <w:szCs w:val="24"/>
              </w:rPr>
              <w:t xml:space="preserve"> </w:t>
            </w:r>
            <w:bookmarkStart w:id="5" w:name="Original"/>
            <w:bookmarkEnd w:id="5"/>
          </w:p>
        </w:tc>
      </w:tr>
      <w:tr w:rsidR="0070796E" w:rsidRPr="00AE2BCA" w:rsidTr="00DD05EF">
        <w:trPr>
          <w:cantSplit/>
          <w:trHeight w:val="23"/>
          <w:jc w:val="center"/>
        </w:trPr>
        <w:tc>
          <w:tcPr>
            <w:tcW w:w="10348" w:type="dxa"/>
            <w:gridSpan w:val="2"/>
          </w:tcPr>
          <w:p w:rsidR="0070796E" w:rsidRPr="00421F93" w:rsidRDefault="00A75847" w:rsidP="00A75847">
            <w:pPr>
              <w:tabs>
                <w:tab w:val="left" w:pos="1928"/>
              </w:tabs>
              <w:spacing w:after="120"/>
              <w:ind w:left="1928" w:hanging="1928"/>
              <w:jc w:val="center"/>
              <w:rPr>
                <w:b/>
                <w:bCs/>
                <w:sz w:val="28"/>
                <w:szCs w:val="28"/>
              </w:rPr>
            </w:pPr>
            <w:r>
              <w:rPr>
                <w:b/>
                <w:bCs/>
                <w:sz w:val="28"/>
                <w:szCs w:val="28"/>
              </w:rPr>
              <w:t>Director, Telecommunication Development Bureau</w:t>
            </w:r>
          </w:p>
        </w:tc>
      </w:tr>
      <w:tr w:rsidR="00421F93" w:rsidRPr="00AE2BCA" w:rsidTr="00DD05EF">
        <w:trPr>
          <w:cantSplit/>
          <w:trHeight w:val="23"/>
          <w:jc w:val="center"/>
        </w:trPr>
        <w:tc>
          <w:tcPr>
            <w:tcW w:w="10348" w:type="dxa"/>
            <w:gridSpan w:val="2"/>
          </w:tcPr>
          <w:p w:rsidR="00421F93" w:rsidRPr="00421F93" w:rsidRDefault="00A75847" w:rsidP="00D14B56">
            <w:pPr>
              <w:tabs>
                <w:tab w:val="left" w:pos="1928"/>
              </w:tabs>
              <w:spacing w:after="120"/>
              <w:ind w:left="1928" w:hanging="1928"/>
              <w:jc w:val="center"/>
              <w:rPr>
                <w:sz w:val="28"/>
                <w:szCs w:val="28"/>
              </w:rPr>
            </w:pPr>
            <w:r>
              <w:rPr>
                <w:sz w:val="28"/>
                <w:szCs w:val="28"/>
              </w:rPr>
              <w:t>IMPLEMENTATION OF OUTCOMES OF RA-15 AND WRC-15</w:t>
            </w:r>
          </w:p>
        </w:tc>
      </w:tr>
    </w:tbl>
    <w:p w:rsidR="00421F93" w:rsidRDefault="00421F93" w:rsidP="00421F93">
      <w:pPr>
        <w:spacing w:before="0"/>
      </w:pPr>
      <w:bookmarkStart w:id="6" w:name="Results"/>
      <w:bookmarkEnd w:id="6"/>
    </w:p>
    <w:p w:rsidR="00546F06" w:rsidRPr="00546F06" w:rsidRDefault="00546F06" w:rsidP="00BB269A">
      <w:pPr>
        <w:pStyle w:val="Normalaftertitle"/>
        <w:keepNext/>
        <w:pBdr>
          <w:top w:val="single" w:sz="4" w:space="1" w:color="auto"/>
          <w:left w:val="single" w:sz="4" w:space="12" w:color="auto"/>
          <w:bottom w:val="single" w:sz="4" w:space="1" w:color="auto"/>
          <w:right w:val="single" w:sz="4" w:space="4" w:color="auto"/>
        </w:pBdr>
        <w:spacing w:before="120"/>
        <w:ind w:left="284"/>
        <w:rPr>
          <w:b/>
          <w:bCs/>
        </w:rPr>
      </w:pPr>
      <w:r w:rsidRPr="00546F06">
        <w:rPr>
          <w:b/>
          <w:bCs/>
        </w:rPr>
        <w:t>Priority area:</w:t>
      </w:r>
    </w:p>
    <w:p w:rsidR="00BB269A" w:rsidRPr="002E1C1B" w:rsidRDefault="00BB269A" w:rsidP="00784E03">
      <w:pPr>
        <w:pStyle w:val="Normalaftertitle"/>
        <w:pBdr>
          <w:top w:val="single" w:sz="4" w:space="1" w:color="auto"/>
          <w:left w:val="single" w:sz="4" w:space="12" w:color="auto"/>
          <w:bottom w:val="single" w:sz="4" w:space="1" w:color="auto"/>
          <w:right w:val="single" w:sz="4" w:space="4" w:color="auto"/>
        </w:pBdr>
        <w:spacing w:before="120"/>
        <w:ind w:left="284"/>
        <w:rPr>
          <w:rFonts w:cs="Calibri"/>
          <w:szCs w:val="24"/>
        </w:rPr>
      </w:pPr>
      <w:r w:rsidRPr="002E1C1B">
        <w:rPr>
          <w:rFonts w:cs="Calibri"/>
          <w:szCs w:val="24"/>
        </w:rPr>
        <w:t>Implementation of outcomes of other ITU Conferences, Assemblies</w:t>
      </w:r>
    </w:p>
    <w:p w:rsidR="00BB269A" w:rsidRDefault="00BB269A" w:rsidP="00BB269A">
      <w:pPr>
        <w:pStyle w:val="Normalaftertitle"/>
        <w:keepNext/>
        <w:pBdr>
          <w:top w:val="single" w:sz="4" w:space="1" w:color="auto"/>
          <w:left w:val="single" w:sz="4" w:space="12" w:color="auto"/>
          <w:bottom w:val="single" w:sz="4" w:space="1" w:color="auto"/>
          <w:right w:val="single" w:sz="4" w:space="4" w:color="auto"/>
        </w:pBdr>
        <w:spacing w:before="120"/>
        <w:ind w:left="284"/>
        <w:rPr>
          <w:rFonts w:cs="Calibri"/>
          <w:sz w:val="22"/>
          <w:szCs w:val="22"/>
        </w:rPr>
      </w:pPr>
      <w:r w:rsidRPr="00707CFF">
        <w:rPr>
          <w:b/>
          <w:bCs/>
        </w:rPr>
        <w:t>Summary:</w:t>
      </w:r>
    </w:p>
    <w:p w:rsidR="00BB269A" w:rsidRDefault="00BB269A" w:rsidP="00331450">
      <w:pPr>
        <w:pStyle w:val="Normalaftertitle"/>
        <w:pBdr>
          <w:top w:val="single" w:sz="4" w:space="1" w:color="auto"/>
          <w:left w:val="single" w:sz="4" w:space="12" w:color="auto"/>
          <w:bottom w:val="single" w:sz="4" w:space="1" w:color="auto"/>
          <w:right w:val="single" w:sz="4" w:space="4" w:color="auto"/>
        </w:pBdr>
        <w:spacing w:before="120"/>
        <w:ind w:left="284"/>
        <w:rPr>
          <w:lang w:val="en-US"/>
        </w:rPr>
      </w:pPr>
      <w:r w:rsidRPr="001E0983">
        <w:rPr>
          <w:lang w:val="en-US"/>
        </w:rPr>
        <w:t xml:space="preserve">The </w:t>
      </w:r>
      <w:proofErr w:type="spellStart"/>
      <w:r w:rsidRPr="001E0983">
        <w:rPr>
          <w:lang w:val="en-US"/>
        </w:rPr>
        <w:t>Radiocommunication</w:t>
      </w:r>
      <w:proofErr w:type="spellEnd"/>
      <w:r w:rsidRPr="001E0983">
        <w:rPr>
          <w:lang w:val="en-US"/>
        </w:rPr>
        <w:t xml:space="preserve"> Assembly 2015 (RA-15) took place in Gen</w:t>
      </w:r>
      <w:r w:rsidR="00331450">
        <w:rPr>
          <w:lang w:val="en-US"/>
        </w:rPr>
        <w:t>eva, Switzerland, from 26 to 30 </w:t>
      </w:r>
      <w:r w:rsidRPr="001E0983">
        <w:rPr>
          <w:lang w:val="en-US"/>
        </w:rPr>
        <w:t xml:space="preserve">October 2015. It was followed by the World </w:t>
      </w:r>
      <w:proofErr w:type="spellStart"/>
      <w:r w:rsidRPr="001E0983">
        <w:rPr>
          <w:lang w:val="en-US"/>
        </w:rPr>
        <w:t>Radiocommunication</w:t>
      </w:r>
      <w:proofErr w:type="spellEnd"/>
      <w:r w:rsidRPr="001E0983">
        <w:rPr>
          <w:lang w:val="en-US"/>
        </w:rPr>
        <w:t xml:space="preserve"> Conference 2015 (WRC-15) (</w:t>
      </w:r>
      <w:r>
        <w:rPr>
          <w:lang w:val="en-US"/>
        </w:rPr>
        <w:t xml:space="preserve">from </w:t>
      </w:r>
      <w:r w:rsidRPr="001E0983">
        <w:rPr>
          <w:lang w:val="en-US"/>
        </w:rPr>
        <w:t>2</w:t>
      </w:r>
      <w:r w:rsidR="00331450">
        <w:rPr>
          <w:lang w:val="en-US"/>
        </w:rPr>
        <w:t> </w:t>
      </w:r>
      <w:r w:rsidRPr="001E0983">
        <w:rPr>
          <w:lang w:val="en-US"/>
        </w:rPr>
        <w:t>to 27 November 2015)</w:t>
      </w:r>
      <w:r>
        <w:rPr>
          <w:lang w:val="en-US"/>
        </w:rPr>
        <w:t xml:space="preserve"> </w:t>
      </w:r>
      <w:r w:rsidRPr="001E0983">
        <w:rPr>
          <w:lang w:val="en-US"/>
        </w:rPr>
        <w:t xml:space="preserve">and the Conference Preparatory Meeting for WRC-19 (CPM19-1, </w:t>
      </w:r>
      <w:r>
        <w:rPr>
          <w:lang w:val="en-US"/>
        </w:rPr>
        <w:t xml:space="preserve">from </w:t>
      </w:r>
      <w:r w:rsidRPr="001E0983">
        <w:rPr>
          <w:lang w:val="en-US"/>
        </w:rPr>
        <w:t xml:space="preserve">30 November </w:t>
      </w:r>
      <w:r>
        <w:rPr>
          <w:lang w:val="en-US"/>
        </w:rPr>
        <w:t>to</w:t>
      </w:r>
      <w:r w:rsidRPr="001E0983">
        <w:rPr>
          <w:lang w:val="en-US"/>
        </w:rPr>
        <w:t xml:space="preserve"> 1 December 2015). WRC-15 addressed over 40 topics related to frequency allocation and frequency sharing for the efficient use of spectrum and orbital resources. The attached document summariz</w:t>
      </w:r>
      <w:r w:rsidR="00E51CCE">
        <w:rPr>
          <w:lang w:val="en-US"/>
        </w:rPr>
        <w:t>es</w:t>
      </w:r>
      <w:r w:rsidRPr="001E0983">
        <w:rPr>
          <w:lang w:val="en-US"/>
        </w:rPr>
        <w:t xml:space="preserve"> the results of the meetings and highlights the relevant decisions which are important especially for developing countries.</w:t>
      </w:r>
    </w:p>
    <w:p w:rsidR="00BB269A" w:rsidRDefault="00BB269A" w:rsidP="00BB269A">
      <w:pPr>
        <w:pStyle w:val="Normalaftertitle"/>
        <w:keepNext/>
        <w:pBdr>
          <w:top w:val="single" w:sz="4" w:space="1" w:color="auto"/>
          <w:left w:val="single" w:sz="4" w:space="12" w:color="auto"/>
          <w:bottom w:val="single" w:sz="4" w:space="1" w:color="auto"/>
          <w:right w:val="single" w:sz="4" w:space="4" w:color="auto"/>
        </w:pBdr>
        <w:spacing w:before="120"/>
        <w:ind w:left="284"/>
        <w:rPr>
          <w:lang w:val="en-US"/>
        </w:rPr>
      </w:pPr>
      <w:r>
        <w:rPr>
          <w:b/>
          <w:bCs/>
        </w:rPr>
        <w:t>Expected results:</w:t>
      </w:r>
    </w:p>
    <w:p w:rsidR="00BB269A" w:rsidRDefault="00BB269A" w:rsidP="00331450">
      <w:pPr>
        <w:pStyle w:val="Normalaftertitle"/>
        <w:pBdr>
          <w:top w:val="single" w:sz="4" w:space="1" w:color="auto"/>
          <w:left w:val="single" w:sz="4" w:space="12" w:color="auto"/>
          <w:bottom w:val="single" w:sz="4" w:space="1" w:color="auto"/>
          <w:right w:val="single" w:sz="4" w:space="4" w:color="auto"/>
        </w:pBdr>
        <w:spacing w:before="120"/>
        <w:ind w:left="284"/>
        <w:rPr>
          <w:lang w:val="en-US"/>
        </w:rPr>
      </w:pPr>
      <w:r>
        <w:t>Developing countries are informed about the relevant activities of the ITU-</w:t>
      </w:r>
      <w:r w:rsidR="00331450">
        <w:t>D</w:t>
      </w:r>
      <w:r>
        <w:t xml:space="preserve"> and assistance provided for participation </w:t>
      </w:r>
      <w:r w:rsidR="00654144">
        <w:t>i</w:t>
      </w:r>
      <w:r>
        <w:t>n the relevant me</w:t>
      </w:r>
      <w:r w:rsidR="00E51CCE">
        <w:t>e</w:t>
      </w:r>
      <w:r>
        <w:t>tings.</w:t>
      </w:r>
    </w:p>
    <w:p w:rsidR="00421F93" w:rsidRDefault="00421F93" w:rsidP="00BB269A">
      <w:pPr>
        <w:keepNext/>
        <w:pBdr>
          <w:top w:val="single" w:sz="4" w:space="1" w:color="auto"/>
          <w:left w:val="single" w:sz="4" w:space="12" w:color="auto"/>
          <w:bottom w:val="single" w:sz="4" w:space="1" w:color="auto"/>
          <w:right w:val="single" w:sz="4" w:space="4" w:color="auto"/>
        </w:pBdr>
        <w:ind w:left="284"/>
        <w:rPr>
          <w:b/>
          <w:bCs/>
        </w:rPr>
      </w:pPr>
      <w:bookmarkStart w:id="7" w:name="Abstract"/>
      <w:bookmarkEnd w:id="7"/>
      <w:r>
        <w:rPr>
          <w:b/>
          <w:bCs/>
        </w:rPr>
        <w:t>References:</w:t>
      </w:r>
    </w:p>
    <w:bookmarkStart w:id="8" w:name="References"/>
    <w:bookmarkEnd w:id="8"/>
    <w:p w:rsidR="00421F93" w:rsidRDefault="00784E03" w:rsidP="00227A7C">
      <w:pPr>
        <w:pBdr>
          <w:top w:val="single" w:sz="4" w:space="1" w:color="auto"/>
          <w:left w:val="single" w:sz="4" w:space="12" w:color="auto"/>
          <w:bottom w:val="single" w:sz="4" w:space="1" w:color="auto"/>
          <w:right w:val="single" w:sz="4" w:space="4" w:color="auto"/>
        </w:pBdr>
        <w:spacing w:before="60"/>
        <w:ind w:left="284"/>
      </w:pPr>
      <w:r>
        <w:fldChar w:fldCharType="begin"/>
      </w:r>
      <w:r>
        <w:instrText>HYPERLINK "https://www.itu.int/md/D14-TDAG21-C-0002/"</w:instrText>
      </w:r>
      <w:r>
        <w:fldChar w:fldCharType="separate"/>
      </w:r>
      <w:r w:rsidR="00546F06" w:rsidRPr="00784E03">
        <w:rPr>
          <w:rStyle w:val="Hyperlink"/>
        </w:rPr>
        <w:t>TDAG16-21/</w:t>
      </w:r>
      <w:r w:rsidR="00227A7C" w:rsidRPr="00784E03">
        <w:rPr>
          <w:rStyle w:val="Hyperlink"/>
        </w:rPr>
        <w:t>2</w:t>
      </w:r>
      <w:r>
        <w:fldChar w:fldCharType="end"/>
      </w:r>
    </w:p>
    <w:p w:rsidR="009074FD" w:rsidRDefault="009074FD" w:rsidP="00DE460C">
      <w:pPr>
        <w:rPr>
          <w:szCs w:val="24"/>
        </w:rPr>
      </w:pPr>
    </w:p>
    <w:p w:rsidR="0070796E" w:rsidRDefault="001B4B9B" w:rsidP="00A140EB">
      <w:r w:rsidRPr="0084734D">
        <w:br w:type="page"/>
      </w:r>
    </w:p>
    <w:p w:rsidR="00490CE6" w:rsidRPr="00D97A02" w:rsidRDefault="00490CE6" w:rsidP="00490CE6">
      <w:pPr>
        <w:rPr>
          <w:lang w:val="en-US"/>
        </w:rPr>
      </w:pPr>
      <w:r w:rsidRPr="00D97A02">
        <w:rPr>
          <w:lang w:val="en-US"/>
        </w:rPr>
        <w:lastRenderedPageBreak/>
        <w:t xml:space="preserve">The </w:t>
      </w:r>
      <w:proofErr w:type="spellStart"/>
      <w:r w:rsidRPr="00D97A02">
        <w:rPr>
          <w:lang w:val="en-US"/>
        </w:rPr>
        <w:t>Radiocommunication</w:t>
      </w:r>
      <w:proofErr w:type="spellEnd"/>
      <w:r w:rsidRPr="00D97A02">
        <w:rPr>
          <w:lang w:val="en-US"/>
        </w:rPr>
        <w:t xml:space="preserve"> Assembly 2015 (RA-15) took place in Geneva, Switzerland, from 26 to 30 October 2015. </w:t>
      </w:r>
    </w:p>
    <w:p w:rsidR="00490CE6" w:rsidRDefault="00490CE6" w:rsidP="00490CE6">
      <w:pPr>
        <w:rPr>
          <w:lang w:val="en-US"/>
        </w:rPr>
      </w:pPr>
      <w:r w:rsidRPr="00D97A02">
        <w:rPr>
          <w:lang w:val="en-US"/>
        </w:rPr>
        <w:t xml:space="preserve">RA-15 agreed on </w:t>
      </w:r>
      <w:r w:rsidRPr="00D97A02">
        <w:rPr>
          <w:b/>
          <w:bCs/>
          <w:lang w:val="en-US"/>
        </w:rPr>
        <w:t>6</w:t>
      </w:r>
      <w:r w:rsidRPr="00D97A02">
        <w:rPr>
          <w:lang w:val="en-US"/>
        </w:rPr>
        <w:t xml:space="preserve"> new Resolutions, modified </w:t>
      </w:r>
      <w:r w:rsidRPr="00D97A02">
        <w:rPr>
          <w:b/>
          <w:bCs/>
          <w:lang w:val="en-US"/>
        </w:rPr>
        <w:t>30</w:t>
      </w:r>
      <w:r w:rsidRPr="00D97A02">
        <w:rPr>
          <w:lang w:val="en-US"/>
        </w:rPr>
        <w:t xml:space="preserve"> existing Resolutions, and suppressed </w:t>
      </w:r>
      <w:r w:rsidRPr="00D97A02">
        <w:rPr>
          <w:b/>
          <w:bCs/>
          <w:lang w:val="en-US"/>
        </w:rPr>
        <w:t>5</w:t>
      </w:r>
      <w:r w:rsidRPr="00D97A02">
        <w:rPr>
          <w:lang w:val="en-US"/>
        </w:rPr>
        <w:t xml:space="preserve"> existing Resolutions. No change was made to </w:t>
      </w:r>
      <w:r w:rsidRPr="00D97A02">
        <w:rPr>
          <w:b/>
          <w:bCs/>
          <w:lang w:val="en-US"/>
        </w:rPr>
        <w:t>5</w:t>
      </w:r>
      <w:r w:rsidRPr="00D97A02">
        <w:rPr>
          <w:lang w:val="en-US"/>
        </w:rPr>
        <w:t xml:space="preserve"> existing Resolutions. </w:t>
      </w:r>
    </w:p>
    <w:p w:rsidR="00490CE6" w:rsidRDefault="00490CE6" w:rsidP="00490CE6">
      <w:pPr>
        <w:rPr>
          <w:lang w:val="en-US"/>
        </w:rPr>
      </w:pPr>
      <w:r w:rsidRPr="00707CFF">
        <w:rPr>
          <w:b/>
          <w:bCs/>
          <w:lang w:val="en-US"/>
        </w:rPr>
        <w:t>The Resolutions and Recommendations agreed during the RA-15, which are relevant to the future work of the BDT, may be categorized as follows</w:t>
      </w:r>
      <w:r w:rsidRPr="00D97A02">
        <w:rPr>
          <w:lang w:val="en-US"/>
        </w:rPr>
        <w:t>:</w:t>
      </w:r>
    </w:p>
    <w:p w:rsidR="00490CE6" w:rsidRPr="00D97A02" w:rsidRDefault="00490CE6" w:rsidP="00490CE6">
      <w:pPr>
        <w:rPr>
          <w:lang w:val="en-US"/>
        </w:rPr>
      </w:pPr>
    </w:p>
    <w:tbl>
      <w:tblPr>
        <w:tblStyle w:val="TableGrid"/>
        <w:tblW w:w="0" w:type="auto"/>
        <w:tblLook w:val="04A0" w:firstRow="1" w:lastRow="0" w:firstColumn="1" w:lastColumn="0" w:noHBand="0" w:noVBand="1"/>
      </w:tblPr>
      <w:tblGrid>
        <w:gridCol w:w="2236"/>
        <w:gridCol w:w="2426"/>
        <w:gridCol w:w="2657"/>
        <w:gridCol w:w="2878"/>
      </w:tblGrid>
      <w:tr w:rsidR="00490CE6" w:rsidTr="00E47BA8">
        <w:tc>
          <w:tcPr>
            <w:tcW w:w="2236" w:type="dxa"/>
          </w:tcPr>
          <w:p w:rsidR="00490CE6" w:rsidRPr="000B3177" w:rsidRDefault="00490CE6" w:rsidP="00E47BA8">
            <w:pPr>
              <w:tabs>
                <w:tab w:val="clear" w:pos="1191"/>
                <w:tab w:val="clear" w:pos="1588"/>
                <w:tab w:val="clear" w:pos="1985"/>
              </w:tabs>
              <w:rPr>
                <w:b/>
                <w:bCs/>
                <w:szCs w:val="24"/>
              </w:rPr>
            </w:pPr>
            <w:r w:rsidRPr="000B3177">
              <w:rPr>
                <w:b/>
                <w:bCs/>
                <w:szCs w:val="24"/>
              </w:rPr>
              <w:t>Subject</w:t>
            </w:r>
            <w:r w:rsidRPr="000B3177">
              <w:rPr>
                <w:b/>
                <w:bCs/>
                <w:szCs w:val="24"/>
              </w:rPr>
              <w:tab/>
            </w:r>
          </w:p>
        </w:tc>
        <w:tc>
          <w:tcPr>
            <w:tcW w:w="2368" w:type="dxa"/>
          </w:tcPr>
          <w:p w:rsidR="00490CE6" w:rsidRPr="000B3177" w:rsidRDefault="00490CE6" w:rsidP="00E47BA8">
            <w:pPr>
              <w:rPr>
                <w:b/>
                <w:bCs/>
                <w:szCs w:val="24"/>
              </w:rPr>
            </w:pPr>
            <w:r w:rsidRPr="000B3177">
              <w:rPr>
                <w:b/>
                <w:bCs/>
                <w:szCs w:val="24"/>
              </w:rPr>
              <w:t>Resolution/Document</w:t>
            </w:r>
          </w:p>
        </w:tc>
        <w:tc>
          <w:tcPr>
            <w:tcW w:w="2663" w:type="dxa"/>
          </w:tcPr>
          <w:p w:rsidR="00490CE6" w:rsidRPr="000B3177" w:rsidRDefault="00490CE6" w:rsidP="00E47BA8">
            <w:pPr>
              <w:rPr>
                <w:b/>
                <w:bCs/>
                <w:szCs w:val="24"/>
              </w:rPr>
            </w:pPr>
            <w:r w:rsidRPr="000B3177">
              <w:rPr>
                <w:b/>
                <w:bCs/>
                <w:szCs w:val="24"/>
              </w:rPr>
              <w:t>Title</w:t>
            </w:r>
          </w:p>
        </w:tc>
        <w:tc>
          <w:tcPr>
            <w:tcW w:w="3156" w:type="dxa"/>
          </w:tcPr>
          <w:p w:rsidR="00490CE6" w:rsidRPr="000B3177" w:rsidRDefault="00490CE6" w:rsidP="00E47BA8">
            <w:pPr>
              <w:rPr>
                <w:b/>
                <w:bCs/>
                <w:szCs w:val="24"/>
              </w:rPr>
            </w:pPr>
            <w:r w:rsidRPr="000B3177">
              <w:rPr>
                <w:b/>
                <w:bCs/>
                <w:szCs w:val="24"/>
              </w:rPr>
              <w:t>Remark</w:t>
            </w:r>
          </w:p>
        </w:tc>
      </w:tr>
      <w:tr w:rsidR="00490CE6" w:rsidTr="00E47BA8">
        <w:tc>
          <w:tcPr>
            <w:tcW w:w="2236" w:type="dxa"/>
          </w:tcPr>
          <w:p w:rsidR="00490CE6" w:rsidRDefault="00490CE6" w:rsidP="00E47BA8">
            <w:pPr>
              <w:rPr>
                <w:szCs w:val="24"/>
              </w:rPr>
            </w:pPr>
            <w:r w:rsidRPr="00D97A02">
              <w:rPr>
                <w:b/>
              </w:rPr>
              <w:t xml:space="preserve">Collaboration with </w:t>
            </w:r>
            <w:r>
              <w:rPr>
                <w:b/>
              </w:rPr>
              <w:t>ITU-R</w:t>
            </w:r>
          </w:p>
        </w:tc>
        <w:tc>
          <w:tcPr>
            <w:tcW w:w="2368" w:type="dxa"/>
          </w:tcPr>
          <w:p w:rsidR="00490CE6" w:rsidRPr="006877ED" w:rsidRDefault="00490CE6" w:rsidP="00E47BA8">
            <w:pPr>
              <w:rPr>
                <w:szCs w:val="24"/>
              </w:rPr>
            </w:pPr>
            <w:r w:rsidRPr="006877ED">
              <w:rPr>
                <w:bCs/>
              </w:rPr>
              <w:t>Revision of Resolution ITU-R 7-2</w:t>
            </w:r>
          </w:p>
        </w:tc>
        <w:tc>
          <w:tcPr>
            <w:tcW w:w="2663" w:type="dxa"/>
          </w:tcPr>
          <w:p w:rsidR="00490CE6" w:rsidRDefault="00490CE6" w:rsidP="00E47BA8">
            <w:pPr>
              <w:rPr>
                <w:szCs w:val="24"/>
              </w:rPr>
            </w:pPr>
            <w:bookmarkStart w:id="9" w:name="_Toc180537876"/>
            <w:r w:rsidRPr="00D274E4">
              <w:t>Telecommunication</w:t>
            </w:r>
            <w:r>
              <w:t xml:space="preserve"> </w:t>
            </w:r>
            <w:r w:rsidRPr="00D274E4">
              <w:t>development</w:t>
            </w:r>
            <w:r>
              <w:t xml:space="preserve"> </w:t>
            </w:r>
            <w:r w:rsidRPr="00D274E4">
              <w:t>including</w:t>
            </w:r>
            <w:r>
              <w:t xml:space="preserve"> </w:t>
            </w:r>
            <w:r w:rsidRPr="00D274E4">
              <w:t>liaison</w:t>
            </w:r>
            <w:r>
              <w:t xml:space="preserve"> and </w:t>
            </w:r>
            <w:r w:rsidRPr="00D274E4">
              <w:t>collaboration</w:t>
            </w:r>
            <w:r>
              <w:t xml:space="preserve"> </w:t>
            </w:r>
            <w:r w:rsidRPr="00D274E4">
              <w:t>with</w:t>
            </w:r>
            <w:r>
              <w:t xml:space="preserve"> </w:t>
            </w:r>
            <w:r w:rsidRPr="00D274E4">
              <w:t>the</w:t>
            </w:r>
            <w:r>
              <w:t xml:space="preserve"> </w:t>
            </w:r>
            <w:r w:rsidRPr="00D274E4">
              <w:t>ITU</w:t>
            </w:r>
            <w:r>
              <w:t xml:space="preserve"> </w:t>
            </w:r>
            <w:r w:rsidRPr="00D274E4">
              <w:t>Telecommunication</w:t>
            </w:r>
            <w:r>
              <w:t xml:space="preserve"> </w:t>
            </w:r>
            <w:r w:rsidRPr="00D274E4">
              <w:t>Development</w:t>
            </w:r>
            <w:r>
              <w:t xml:space="preserve"> </w:t>
            </w:r>
            <w:r w:rsidRPr="00D274E4">
              <w:t>Sector</w:t>
            </w:r>
            <w:bookmarkEnd w:id="9"/>
          </w:p>
        </w:tc>
        <w:tc>
          <w:tcPr>
            <w:tcW w:w="3156" w:type="dxa"/>
          </w:tcPr>
          <w:p w:rsidR="00490CE6" w:rsidRDefault="00490CE6" w:rsidP="00E47BA8">
            <w:pPr>
              <w:rPr>
                <w:szCs w:val="24"/>
              </w:rPr>
            </w:pPr>
            <w:r w:rsidRPr="006877ED">
              <w:rPr>
                <w:i/>
                <w:iCs/>
                <w:szCs w:val="24"/>
              </w:rPr>
              <w:t>Mutual areas of interest of BDT and BR include BDT SG1 Res.9, BDT Questions (Q 2/1, Q 5/1, Q 8/1, Q 5/2, Q 6/2, Q 7/2) and Telecom infrastructure sharing and Cognitive Radio Systems (CRS) assisting Licensed Shared Access (LSA) or Dynamic Spectrum Access (DSA)</w:t>
            </w:r>
          </w:p>
        </w:tc>
      </w:tr>
      <w:tr w:rsidR="00490CE6" w:rsidTr="00E47BA8">
        <w:tc>
          <w:tcPr>
            <w:tcW w:w="2236" w:type="dxa"/>
          </w:tcPr>
          <w:p w:rsidR="00490CE6" w:rsidRPr="00D97A02" w:rsidRDefault="00490CE6" w:rsidP="00E47BA8">
            <w:pPr>
              <w:rPr>
                <w:b/>
              </w:rPr>
            </w:pPr>
            <w:r w:rsidRPr="006877ED">
              <w:rPr>
                <w:b/>
                <w:bCs/>
                <w:i/>
                <w:iCs/>
                <w:szCs w:val="24"/>
              </w:rPr>
              <w:t>The cooperation of BR with BDT and the ITU regional and area offices</w:t>
            </w:r>
          </w:p>
        </w:tc>
        <w:tc>
          <w:tcPr>
            <w:tcW w:w="2368" w:type="dxa"/>
          </w:tcPr>
          <w:p w:rsidR="00490CE6" w:rsidRPr="006877ED" w:rsidRDefault="00490CE6" w:rsidP="00E47BA8">
            <w:pPr>
              <w:rPr>
                <w:bCs/>
              </w:rPr>
            </w:pPr>
            <w:r w:rsidRPr="00707CFF">
              <w:t>R</w:t>
            </w:r>
            <w:r w:rsidRPr="00707CFF">
              <w:rPr>
                <w:i/>
                <w:iCs/>
                <w:szCs w:val="24"/>
              </w:rPr>
              <w:t>eport from Director of the BR</w:t>
            </w:r>
          </w:p>
        </w:tc>
        <w:tc>
          <w:tcPr>
            <w:tcW w:w="2663" w:type="dxa"/>
          </w:tcPr>
          <w:p w:rsidR="00490CE6" w:rsidRPr="00D274E4" w:rsidRDefault="00490CE6" w:rsidP="00E47BA8"/>
        </w:tc>
        <w:tc>
          <w:tcPr>
            <w:tcW w:w="3156" w:type="dxa"/>
          </w:tcPr>
          <w:p w:rsidR="00490CE6" w:rsidRPr="006877ED" w:rsidRDefault="00490CE6" w:rsidP="00E47BA8">
            <w:pPr>
              <w:rPr>
                <w:i/>
                <w:iCs/>
                <w:szCs w:val="24"/>
              </w:rPr>
            </w:pPr>
            <w:r>
              <w:rPr>
                <w:i/>
                <w:iCs/>
                <w:szCs w:val="24"/>
              </w:rPr>
              <w:t>Special activities:</w:t>
            </w:r>
            <w:r w:rsidRPr="006877ED">
              <w:rPr>
                <w:i/>
                <w:iCs/>
                <w:szCs w:val="24"/>
              </w:rPr>
              <w:t xml:space="preserve"> GSR, ICT surveys and ICT eye and SMTP. </w:t>
            </w:r>
            <w:r>
              <w:rPr>
                <w:i/>
                <w:iCs/>
                <w:szCs w:val="24"/>
              </w:rPr>
              <w:t>A</w:t>
            </w:r>
            <w:r w:rsidRPr="006877ED">
              <w:rPr>
                <w:i/>
                <w:iCs/>
                <w:szCs w:val="24"/>
              </w:rPr>
              <w:t>cademia has been considered most relevant in SG3 and SG7 of ITU-R</w:t>
            </w:r>
          </w:p>
        </w:tc>
      </w:tr>
      <w:tr w:rsidR="00490CE6" w:rsidTr="00E47BA8">
        <w:tc>
          <w:tcPr>
            <w:tcW w:w="2236" w:type="dxa"/>
          </w:tcPr>
          <w:p w:rsidR="00490CE6" w:rsidRPr="006877ED" w:rsidRDefault="00490CE6" w:rsidP="00E47BA8">
            <w:pPr>
              <w:rPr>
                <w:b/>
                <w:bCs/>
                <w:i/>
                <w:iCs/>
                <w:szCs w:val="24"/>
              </w:rPr>
            </w:pPr>
            <w:r w:rsidRPr="006877ED">
              <w:rPr>
                <w:b/>
                <w:bCs/>
                <w:i/>
                <w:iCs/>
                <w:szCs w:val="24"/>
                <w:lang w:val="en-GB"/>
              </w:rPr>
              <w:t>Bridging Digital Divide</w:t>
            </w:r>
          </w:p>
        </w:tc>
        <w:tc>
          <w:tcPr>
            <w:tcW w:w="2368" w:type="dxa"/>
          </w:tcPr>
          <w:p w:rsidR="00490CE6" w:rsidRPr="006877ED" w:rsidRDefault="00490CE6" w:rsidP="00E47BA8">
            <w:pPr>
              <w:rPr>
                <w:i/>
                <w:iCs/>
                <w:szCs w:val="24"/>
              </w:rPr>
            </w:pPr>
            <w:r w:rsidRPr="006877ED">
              <w:rPr>
                <w:i/>
                <w:iCs/>
                <w:szCs w:val="24"/>
                <w:lang w:val="en-GB"/>
              </w:rPr>
              <w:t>New Resolution ITU-R 69</w:t>
            </w:r>
          </w:p>
        </w:tc>
        <w:tc>
          <w:tcPr>
            <w:tcW w:w="2663" w:type="dxa"/>
          </w:tcPr>
          <w:p w:rsidR="00490CE6" w:rsidRPr="006877ED" w:rsidRDefault="00490CE6" w:rsidP="00E47BA8">
            <w:pPr>
              <w:rPr>
                <w:szCs w:val="24"/>
              </w:rPr>
            </w:pPr>
            <w:r w:rsidRPr="006877ED">
              <w:rPr>
                <w:szCs w:val="24"/>
              </w:rPr>
              <w:t>Development and deployment of international public telecommunications via satellite in developing countries</w:t>
            </w:r>
          </w:p>
        </w:tc>
        <w:tc>
          <w:tcPr>
            <w:tcW w:w="3156" w:type="dxa"/>
          </w:tcPr>
          <w:p w:rsidR="00490CE6" w:rsidRDefault="00490CE6" w:rsidP="00E47BA8">
            <w:pPr>
              <w:rPr>
                <w:i/>
                <w:iCs/>
                <w:szCs w:val="24"/>
              </w:rPr>
            </w:pPr>
          </w:p>
        </w:tc>
      </w:tr>
      <w:tr w:rsidR="00490CE6" w:rsidTr="00E47BA8">
        <w:tc>
          <w:tcPr>
            <w:tcW w:w="2236" w:type="dxa"/>
          </w:tcPr>
          <w:p w:rsidR="00490CE6" w:rsidRPr="006877ED" w:rsidRDefault="00490CE6" w:rsidP="00E47BA8">
            <w:pPr>
              <w:rPr>
                <w:b/>
                <w:bCs/>
                <w:i/>
                <w:iCs/>
                <w:szCs w:val="24"/>
              </w:rPr>
            </w:pPr>
            <w:r>
              <w:rPr>
                <w:b/>
                <w:bCs/>
                <w:i/>
                <w:iCs/>
                <w:szCs w:val="24"/>
              </w:rPr>
              <w:t>Spectrum Management</w:t>
            </w:r>
          </w:p>
        </w:tc>
        <w:tc>
          <w:tcPr>
            <w:tcW w:w="2368" w:type="dxa"/>
          </w:tcPr>
          <w:p w:rsidR="00490CE6" w:rsidRPr="006877ED" w:rsidRDefault="00490CE6" w:rsidP="00E47BA8">
            <w:pPr>
              <w:rPr>
                <w:i/>
                <w:iCs/>
                <w:szCs w:val="24"/>
              </w:rPr>
            </w:pPr>
            <w:r w:rsidRPr="006877ED">
              <w:rPr>
                <w:i/>
                <w:iCs/>
                <w:szCs w:val="24"/>
              </w:rPr>
              <w:t>Revision of Resolution ITU-R 40-3</w:t>
            </w:r>
            <w:r w:rsidRPr="006877ED">
              <w:rPr>
                <w:b/>
                <w:bCs/>
                <w:i/>
                <w:iCs/>
                <w:szCs w:val="24"/>
              </w:rPr>
              <w:t xml:space="preserve"> </w:t>
            </w:r>
          </w:p>
        </w:tc>
        <w:tc>
          <w:tcPr>
            <w:tcW w:w="2663" w:type="dxa"/>
          </w:tcPr>
          <w:p w:rsidR="00490CE6" w:rsidRPr="006877ED" w:rsidRDefault="00490CE6" w:rsidP="00E47BA8">
            <w:pPr>
              <w:rPr>
                <w:szCs w:val="24"/>
              </w:rPr>
            </w:pPr>
            <w:r w:rsidRPr="006877ED">
              <w:rPr>
                <w:i/>
                <w:iCs/>
                <w:szCs w:val="24"/>
              </w:rPr>
              <w:t>Worldwide databases of terrain height and surface features </w:t>
            </w:r>
          </w:p>
        </w:tc>
        <w:tc>
          <w:tcPr>
            <w:tcW w:w="3156" w:type="dxa"/>
          </w:tcPr>
          <w:p w:rsidR="00490CE6" w:rsidRDefault="00490CE6" w:rsidP="00E47BA8">
            <w:pPr>
              <w:rPr>
                <w:i/>
                <w:iCs/>
                <w:szCs w:val="24"/>
              </w:rPr>
            </w:pPr>
            <w:r>
              <w:rPr>
                <w:i/>
                <w:iCs/>
                <w:szCs w:val="24"/>
              </w:rPr>
              <w:t>Included in SMS4DC</w:t>
            </w:r>
          </w:p>
        </w:tc>
      </w:tr>
      <w:tr w:rsidR="00490CE6" w:rsidTr="00E47BA8">
        <w:tc>
          <w:tcPr>
            <w:tcW w:w="2236" w:type="dxa"/>
          </w:tcPr>
          <w:p w:rsidR="00490CE6" w:rsidRDefault="00490CE6" w:rsidP="00E47BA8">
            <w:pPr>
              <w:rPr>
                <w:b/>
                <w:bCs/>
                <w:i/>
                <w:iCs/>
                <w:szCs w:val="24"/>
              </w:rPr>
            </w:pPr>
          </w:p>
        </w:tc>
        <w:tc>
          <w:tcPr>
            <w:tcW w:w="2368" w:type="dxa"/>
          </w:tcPr>
          <w:p w:rsidR="00490CE6" w:rsidRPr="006877ED" w:rsidRDefault="00490CE6" w:rsidP="00E47BA8">
            <w:pPr>
              <w:rPr>
                <w:i/>
                <w:iCs/>
                <w:szCs w:val="24"/>
              </w:rPr>
            </w:pPr>
            <w:r>
              <w:rPr>
                <w:i/>
                <w:iCs/>
                <w:szCs w:val="24"/>
              </w:rPr>
              <w:t>Revision of Res ITU-R 11-4</w:t>
            </w:r>
          </w:p>
        </w:tc>
        <w:tc>
          <w:tcPr>
            <w:tcW w:w="2663" w:type="dxa"/>
          </w:tcPr>
          <w:p w:rsidR="00490CE6" w:rsidRPr="006877ED" w:rsidRDefault="00490CE6" w:rsidP="00E47BA8">
            <w:pPr>
              <w:rPr>
                <w:i/>
                <w:iCs/>
                <w:szCs w:val="24"/>
              </w:rPr>
            </w:pPr>
            <w:r w:rsidRPr="006877ED">
              <w:rPr>
                <w:i/>
                <w:iCs/>
                <w:szCs w:val="24"/>
              </w:rPr>
              <w:t>Further development of the spectrum management system for developing countries</w:t>
            </w:r>
          </w:p>
        </w:tc>
        <w:tc>
          <w:tcPr>
            <w:tcW w:w="3156" w:type="dxa"/>
          </w:tcPr>
          <w:p w:rsidR="00490CE6" w:rsidRDefault="00490CE6" w:rsidP="00E47BA8">
            <w:pPr>
              <w:rPr>
                <w:i/>
                <w:iCs/>
                <w:szCs w:val="24"/>
              </w:rPr>
            </w:pPr>
            <w:r>
              <w:rPr>
                <w:i/>
                <w:iCs/>
                <w:szCs w:val="24"/>
              </w:rPr>
              <w:t>Cooperation in SMS4DC</w:t>
            </w:r>
          </w:p>
        </w:tc>
      </w:tr>
      <w:tr w:rsidR="00490CE6" w:rsidTr="00E47BA8">
        <w:tc>
          <w:tcPr>
            <w:tcW w:w="2236" w:type="dxa"/>
          </w:tcPr>
          <w:p w:rsidR="00490CE6" w:rsidRDefault="00490CE6" w:rsidP="00E47BA8">
            <w:pPr>
              <w:rPr>
                <w:b/>
                <w:bCs/>
                <w:i/>
                <w:iCs/>
                <w:szCs w:val="24"/>
              </w:rPr>
            </w:pPr>
          </w:p>
        </w:tc>
        <w:tc>
          <w:tcPr>
            <w:tcW w:w="2368" w:type="dxa"/>
          </w:tcPr>
          <w:p w:rsidR="00490CE6" w:rsidRDefault="00490CE6" w:rsidP="00E47BA8">
            <w:pPr>
              <w:rPr>
                <w:i/>
                <w:iCs/>
                <w:szCs w:val="24"/>
              </w:rPr>
            </w:pPr>
            <w:r w:rsidRPr="006877ED">
              <w:rPr>
                <w:i/>
                <w:iCs/>
                <w:szCs w:val="24"/>
              </w:rPr>
              <w:t>Revision of Res. ITU-R 22-3</w:t>
            </w:r>
          </w:p>
        </w:tc>
        <w:tc>
          <w:tcPr>
            <w:tcW w:w="2663" w:type="dxa"/>
          </w:tcPr>
          <w:p w:rsidR="00490CE6" w:rsidRPr="006877ED" w:rsidRDefault="00490CE6" w:rsidP="00E47BA8">
            <w:pPr>
              <w:rPr>
                <w:i/>
                <w:iCs/>
                <w:szCs w:val="24"/>
              </w:rPr>
            </w:pPr>
            <w:r w:rsidRPr="006877ED">
              <w:rPr>
                <w:i/>
                <w:iCs/>
                <w:szCs w:val="24"/>
              </w:rPr>
              <w:t>Improvement of national radio spectrum management practices and techniques</w:t>
            </w:r>
          </w:p>
        </w:tc>
        <w:tc>
          <w:tcPr>
            <w:tcW w:w="3156" w:type="dxa"/>
          </w:tcPr>
          <w:p w:rsidR="00490CE6" w:rsidRDefault="00490CE6" w:rsidP="00E47BA8">
            <w:pPr>
              <w:rPr>
                <w:i/>
                <w:iCs/>
                <w:szCs w:val="24"/>
              </w:rPr>
            </w:pPr>
            <w:r>
              <w:rPr>
                <w:i/>
                <w:iCs/>
                <w:szCs w:val="24"/>
              </w:rPr>
              <w:t>Followed and contributed to it by Resolution 9</w:t>
            </w:r>
          </w:p>
        </w:tc>
      </w:tr>
      <w:tr w:rsidR="00490CE6" w:rsidTr="00E47BA8">
        <w:tc>
          <w:tcPr>
            <w:tcW w:w="2236" w:type="dxa"/>
          </w:tcPr>
          <w:p w:rsidR="00490CE6" w:rsidRDefault="00490CE6" w:rsidP="00E47BA8">
            <w:pPr>
              <w:rPr>
                <w:b/>
                <w:bCs/>
                <w:i/>
                <w:iCs/>
                <w:szCs w:val="24"/>
              </w:rPr>
            </w:pPr>
            <w:r w:rsidRPr="006877ED">
              <w:rPr>
                <w:b/>
                <w:bCs/>
                <w:i/>
                <w:iCs/>
                <w:szCs w:val="24"/>
                <w:lang w:val="en-GB"/>
              </w:rPr>
              <w:t>Wireless Broadband</w:t>
            </w:r>
          </w:p>
        </w:tc>
        <w:tc>
          <w:tcPr>
            <w:tcW w:w="2368" w:type="dxa"/>
          </w:tcPr>
          <w:p w:rsidR="00490CE6" w:rsidRPr="006877ED" w:rsidRDefault="00490CE6" w:rsidP="00E47BA8">
            <w:pPr>
              <w:rPr>
                <w:i/>
                <w:iCs/>
                <w:szCs w:val="24"/>
              </w:rPr>
            </w:pPr>
            <w:r>
              <w:rPr>
                <w:i/>
                <w:iCs/>
                <w:szCs w:val="24"/>
              </w:rPr>
              <w:t xml:space="preserve">Revision of </w:t>
            </w:r>
            <w:r w:rsidRPr="006877ED">
              <w:rPr>
                <w:i/>
                <w:iCs/>
                <w:szCs w:val="24"/>
              </w:rPr>
              <w:t>Res. ITU-R 56-1</w:t>
            </w:r>
          </w:p>
        </w:tc>
        <w:tc>
          <w:tcPr>
            <w:tcW w:w="2663" w:type="dxa"/>
          </w:tcPr>
          <w:p w:rsidR="00490CE6" w:rsidRPr="006877ED" w:rsidRDefault="00490CE6" w:rsidP="00E47BA8">
            <w:pPr>
              <w:rPr>
                <w:i/>
                <w:iCs/>
                <w:szCs w:val="24"/>
              </w:rPr>
            </w:pPr>
            <w:r w:rsidRPr="006877ED">
              <w:rPr>
                <w:i/>
                <w:iCs/>
                <w:szCs w:val="24"/>
              </w:rPr>
              <w:t xml:space="preserve">Naming for International Mobile </w:t>
            </w:r>
            <w:r w:rsidRPr="006877ED">
              <w:rPr>
                <w:i/>
                <w:iCs/>
                <w:szCs w:val="24"/>
              </w:rPr>
              <w:lastRenderedPageBreak/>
              <w:t>Telecommunications (IMT)</w:t>
            </w:r>
          </w:p>
        </w:tc>
        <w:tc>
          <w:tcPr>
            <w:tcW w:w="3156" w:type="dxa"/>
          </w:tcPr>
          <w:p w:rsidR="00490CE6" w:rsidRDefault="00490CE6" w:rsidP="00E47BA8">
            <w:pPr>
              <w:rPr>
                <w:i/>
                <w:iCs/>
                <w:szCs w:val="24"/>
              </w:rPr>
            </w:pPr>
            <w:r>
              <w:rPr>
                <w:i/>
                <w:iCs/>
                <w:szCs w:val="24"/>
              </w:rPr>
              <w:lastRenderedPageBreak/>
              <w:t>Taken into account in ITU-D SG Questions</w:t>
            </w:r>
          </w:p>
        </w:tc>
      </w:tr>
      <w:tr w:rsidR="00490CE6" w:rsidTr="00E47BA8">
        <w:tc>
          <w:tcPr>
            <w:tcW w:w="2236" w:type="dxa"/>
          </w:tcPr>
          <w:p w:rsidR="00490CE6" w:rsidRPr="006877ED" w:rsidRDefault="00490CE6" w:rsidP="00E47BA8">
            <w:pPr>
              <w:rPr>
                <w:b/>
                <w:bCs/>
                <w:i/>
                <w:iCs/>
                <w:szCs w:val="24"/>
              </w:rPr>
            </w:pPr>
            <w:r w:rsidRPr="006877ED">
              <w:rPr>
                <w:b/>
                <w:bCs/>
                <w:i/>
                <w:iCs/>
                <w:szCs w:val="24"/>
                <w:lang w:val="en-GB"/>
              </w:rPr>
              <w:t>Accessibility for persons with disabilities</w:t>
            </w:r>
          </w:p>
        </w:tc>
        <w:tc>
          <w:tcPr>
            <w:tcW w:w="2368" w:type="dxa"/>
          </w:tcPr>
          <w:p w:rsidR="00490CE6" w:rsidRPr="006877ED" w:rsidRDefault="00490CE6" w:rsidP="00E47BA8">
            <w:pPr>
              <w:rPr>
                <w:i/>
                <w:iCs/>
                <w:szCs w:val="24"/>
              </w:rPr>
            </w:pPr>
            <w:r w:rsidRPr="006877ED">
              <w:rPr>
                <w:i/>
                <w:iCs/>
                <w:szCs w:val="24"/>
                <w:lang w:val="en-GB"/>
              </w:rPr>
              <w:t>New Resolution ITU-R 67</w:t>
            </w:r>
          </w:p>
        </w:tc>
        <w:tc>
          <w:tcPr>
            <w:tcW w:w="2663" w:type="dxa"/>
          </w:tcPr>
          <w:p w:rsidR="00490CE6" w:rsidRPr="006877ED" w:rsidRDefault="00490CE6" w:rsidP="00E47BA8">
            <w:pPr>
              <w:rPr>
                <w:i/>
                <w:iCs/>
                <w:szCs w:val="24"/>
              </w:rPr>
            </w:pPr>
            <w:r w:rsidRPr="006877ED">
              <w:rPr>
                <w:i/>
                <w:iCs/>
                <w:szCs w:val="24"/>
                <w:lang w:val="en-GB"/>
              </w:rPr>
              <w:t>Telecommunication/ICT accessibility for persons with disabilities and persons with specific needs</w:t>
            </w:r>
          </w:p>
        </w:tc>
        <w:tc>
          <w:tcPr>
            <w:tcW w:w="3156" w:type="dxa"/>
          </w:tcPr>
          <w:p w:rsidR="00490CE6" w:rsidRDefault="00490CE6" w:rsidP="00E47BA8">
            <w:pPr>
              <w:rPr>
                <w:i/>
                <w:iCs/>
                <w:szCs w:val="24"/>
              </w:rPr>
            </w:pPr>
            <w:r>
              <w:rPr>
                <w:i/>
                <w:iCs/>
                <w:szCs w:val="24"/>
              </w:rPr>
              <w:t>Direct country assistance, Guidelines, training materials, reports</w:t>
            </w:r>
          </w:p>
          <w:p w:rsidR="00490CE6" w:rsidRDefault="00490CE6" w:rsidP="00E47BA8">
            <w:pPr>
              <w:rPr>
                <w:i/>
                <w:iCs/>
                <w:szCs w:val="24"/>
              </w:rPr>
            </w:pPr>
            <w:r>
              <w:rPr>
                <w:i/>
                <w:iCs/>
                <w:szCs w:val="24"/>
              </w:rPr>
              <w:t>ITU-D Study Group Questions</w:t>
            </w:r>
          </w:p>
        </w:tc>
      </w:tr>
      <w:tr w:rsidR="00490CE6" w:rsidTr="00E47BA8">
        <w:tc>
          <w:tcPr>
            <w:tcW w:w="2236" w:type="dxa"/>
          </w:tcPr>
          <w:p w:rsidR="00490CE6" w:rsidRPr="006877ED" w:rsidRDefault="00490CE6" w:rsidP="00E47BA8">
            <w:pPr>
              <w:rPr>
                <w:b/>
                <w:bCs/>
                <w:i/>
                <w:iCs/>
                <w:szCs w:val="24"/>
              </w:rPr>
            </w:pPr>
            <w:r w:rsidRPr="006877ED">
              <w:rPr>
                <w:b/>
                <w:bCs/>
                <w:i/>
                <w:iCs/>
                <w:szCs w:val="24"/>
              </w:rPr>
              <w:t xml:space="preserve">Emergency Telecommunication, Disaster response and relief </w:t>
            </w:r>
          </w:p>
        </w:tc>
        <w:tc>
          <w:tcPr>
            <w:tcW w:w="2368" w:type="dxa"/>
          </w:tcPr>
          <w:p w:rsidR="00490CE6" w:rsidRPr="006877ED" w:rsidRDefault="00490CE6" w:rsidP="00E47BA8">
            <w:pPr>
              <w:rPr>
                <w:i/>
                <w:iCs/>
                <w:szCs w:val="24"/>
              </w:rPr>
            </w:pPr>
            <w:r w:rsidRPr="006877ED">
              <w:rPr>
                <w:i/>
                <w:iCs/>
                <w:szCs w:val="24"/>
              </w:rPr>
              <w:t>Revision of Res. ITU-R 55-1 (and  S</w:t>
            </w:r>
            <w:proofErr w:type="spellStart"/>
            <w:r w:rsidRPr="006877ED">
              <w:rPr>
                <w:i/>
                <w:iCs/>
                <w:szCs w:val="24"/>
                <w:lang w:val="en-GB"/>
              </w:rPr>
              <w:t>uppression</w:t>
            </w:r>
            <w:proofErr w:type="spellEnd"/>
            <w:r w:rsidRPr="006877ED">
              <w:rPr>
                <w:i/>
                <w:iCs/>
                <w:szCs w:val="24"/>
                <w:lang w:val="en-GB"/>
              </w:rPr>
              <w:t xml:space="preserve"> of Res. ITU-R 53-1</w:t>
            </w:r>
            <w:r>
              <w:rPr>
                <w:i/>
                <w:iCs/>
                <w:szCs w:val="24"/>
                <w:lang w:val="en-GB"/>
              </w:rPr>
              <w:t>)</w:t>
            </w:r>
          </w:p>
        </w:tc>
        <w:tc>
          <w:tcPr>
            <w:tcW w:w="2663" w:type="dxa"/>
          </w:tcPr>
          <w:p w:rsidR="00490CE6" w:rsidRPr="006877ED" w:rsidRDefault="00490CE6" w:rsidP="00E47BA8">
            <w:pPr>
              <w:rPr>
                <w:i/>
                <w:iCs/>
                <w:szCs w:val="24"/>
              </w:rPr>
            </w:pPr>
            <w:r w:rsidRPr="006877ED">
              <w:rPr>
                <w:i/>
                <w:iCs/>
                <w:szCs w:val="24"/>
              </w:rPr>
              <w:t>ITU studies of disaster prediction, detection, mitigation and relief</w:t>
            </w:r>
          </w:p>
        </w:tc>
        <w:tc>
          <w:tcPr>
            <w:tcW w:w="3156" w:type="dxa"/>
          </w:tcPr>
          <w:p w:rsidR="00490CE6" w:rsidRDefault="00490CE6" w:rsidP="00E47BA8">
            <w:pPr>
              <w:rPr>
                <w:i/>
                <w:iCs/>
                <w:szCs w:val="24"/>
              </w:rPr>
            </w:pPr>
            <w:r>
              <w:rPr>
                <w:i/>
                <w:iCs/>
                <w:szCs w:val="24"/>
              </w:rPr>
              <w:t>Direct country assistance, Guidelines, policy,</w:t>
            </w:r>
          </w:p>
          <w:p w:rsidR="00490CE6" w:rsidRDefault="00490CE6" w:rsidP="00E47BA8">
            <w:pPr>
              <w:rPr>
                <w:i/>
                <w:iCs/>
                <w:szCs w:val="24"/>
              </w:rPr>
            </w:pPr>
            <w:r>
              <w:rPr>
                <w:i/>
                <w:iCs/>
                <w:szCs w:val="24"/>
              </w:rPr>
              <w:t>ITU-D Study Group Questions</w:t>
            </w:r>
          </w:p>
        </w:tc>
      </w:tr>
      <w:tr w:rsidR="00490CE6" w:rsidTr="00E47BA8">
        <w:tc>
          <w:tcPr>
            <w:tcW w:w="2236" w:type="dxa"/>
          </w:tcPr>
          <w:p w:rsidR="00490CE6" w:rsidRPr="006877ED" w:rsidRDefault="00490CE6" w:rsidP="00E47BA8">
            <w:pPr>
              <w:rPr>
                <w:b/>
                <w:bCs/>
                <w:i/>
                <w:iCs/>
                <w:szCs w:val="24"/>
              </w:rPr>
            </w:pPr>
            <w:r w:rsidRPr="00707CFF">
              <w:rPr>
                <w:b/>
                <w:bCs/>
                <w:i/>
                <w:iCs/>
                <w:szCs w:val="24"/>
                <w:lang w:val="en-GB"/>
              </w:rPr>
              <w:t>Climate change and green ICTs</w:t>
            </w:r>
          </w:p>
        </w:tc>
        <w:tc>
          <w:tcPr>
            <w:tcW w:w="2368" w:type="dxa"/>
          </w:tcPr>
          <w:p w:rsidR="00490CE6" w:rsidRPr="00707CFF" w:rsidRDefault="00490CE6" w:rsidP="00E47BA8">
            <w:pPr>
              <w:rPr>
                <w:i/>
                <w:iCs/>
                <w:szCs w:val="24"/>
              </w:rPr>
            </w:pPr>
            <w:r w:rsidRPr="00707CFF">
              <w:rPr>
                <w:i/>
                <w:iCs/>
                <w:szCs w:val="24"/>
                <w:lang w:val="en-GB"/>
              </w:rPr>
              <w:t>Revision to Resolution ITU-R 60</w:t>
            </w:r>
          </w:p>
        </w:tc>
        <w:tc>
          <w:tcPr>
            <w:tcW w:w="2663" w:type="dxa"/>
          </w:tcPr>
          <w:p w:rsidR="00490CE6" w:rsidRPr="006877ED" w:rsidRDefault="00490CE6" w:rsidP="00E47BA8">
            <w:pPr>
              <w:rPr>
                <w:i/>
                <w:iCs/>
                <w:szCs w:val="24"/>
              </w:rPr>
            </w:pPr>
            <w:r w:rsidRPr="00707CFF">
              <w:rPr>
                <w:i/>
                <w:iCs/>
                <w:szCs w:val="24"/>
                <w:lang w:val="en-GB"/>
              </w:rPr>
              <w:t>Reduction of energy consumption for environmental protection and mitigating climate change by use of ICT/</w:t>
            </w:r>
            <w:proofErr w:type="spellStart"/>
            <w:r w:rsidRPr="00707CFF">
              <w:rPr>
                <w:i/>
                <w:iCs/>
                <w:szCs w:val="24"/>
                <w:lang w:val="en-GB"/>
              </w:rPr>
              <w:t>radiocommunication</w:t>
            </w:r>
            <w:proofErr w:type="spellEnd"/>
            <w:r w:rsidRPr="00707CFF">
              <w:rPr>
                <w:i/>
                <w:iCs/>
                <w:szCs w:val="24"/>
                <w:lang w:val="en-GB"/>
              </w:rPr>
              <w:t xml:space="preserve"> technologies and systems</w:t>
            </w:r>
          </w:p>
        </w:tc>
        <w:tc>
          <w:tcPr>
            <w:tcW w:w="3156" w:type="dxa"/>
          </w:tcPr>
          <w:p w:rsidR="00490CE6" w:rsidRDefault="00490CE6" w:rsidP="00E47BA8">
            <w:pPr>
              <w:rPr>
                <w:i/>
                <w:iCs/>
                <w:szCs w:val="24"/>
              </w:rPr>
            </w:pPr>
            <w:proofErr w:type="spellStart"/>
            <w:r>
              <w:rPr>
                <w:i/>
                <w:iCs/>
                <w:szCs w:val="24"/>
              </w:rPr>
              <w:t>Intersectoral</w:t>
            </w:r>
            <w:proofErr w:type="spellEnd"/>
            <w:r>
              <w:rPr>
                <w:i/>
                <w:iCs/>
                <w:szCs w:val="24"/>
              </w:rPr>
              <w:t xml:space="preserve"> coordination group</w:t>
            </w:r>
          </w:p>
        </w:tc>
      </w:tr>
    </w:tbl>
    <w:p w:rsidR="00490CE6" w:rsidRDefault="00490CE6" w:rsidP="00490CE6">
      <w:pPr>
        <w:rPr>
          <w:b/>
          <w:bCs/>
          <w:szCs w:val="24"/>
          <w:lang w:val="en-US"/>
        </w:rPr>
      </w:pPr>
    </w:p>
    <w:p w:rsidR="00490CE6" w:rsidRPr="00707CFF" w:rsidRDefault="00490CE6" w:rsidP="00490CE6">
      <w:pPr>
        <w:rPr>
          <w:szCs w:val="24"/>
          <w:lang w:val="en-US"/>
        </w:rPr>
      </w:pPr>
      <w:r w:rsidRPr="00707CFF">
        <w:rPr>
          <w:b/>
          <w:bCs/>
          <w:szCs w:val="24"/>
          <w:lang w:val="en-US"/>
        </w:rPr>
        <w:t>Other resolutions and recommendations relevant to work of BDT but do not explicitly require involvement of BDT</w:t>
      </w:r>
    </w:p>
    <w:p w:rsidR="00490CE6" w:rsidRPr="00707CFF" w:rsidRDefault="00490CE6" w:rsidP="00490CE6">
      <w:pPr>
        <w:rPr>
          <w:szCs w:val="24"/>
          <w:lang w:val="en-US"/>
        </w:rPr>
      </w:pPr>
      <w:r w:rsidRPr="00707CFF">
        <w:rPr>
          <w:szCs w:val="24"/>
          <w:u w:val="single"/>
          <w:lang w:val="en-US"/>
        </w:rPr>
        <w:t xml:space="preserve">New Resolution ITU-R 66: </w:t>
      </w:r>
      <w:r w:rsidRPr="00707CFF">
        <w:rPr>
          <w:i/>
          <w:iCs/>
          <w:szCs w:val="24"/>
          <w:lang w:val="en-US"/>
        </w:rPr>
        <w:t>Studies related to wireless systems and applications for the development of the Internet of Things (</w:t>
      </w:r>
      <w:proofErr w:type="spellStart"/>
      <w:r w:rsidRPr="00707CFF">
        <w:rPr>
          <w:i/>
          <w:iCs/>
          <w:szCs w:val="24"/>
          <w:lang w:val="en-US"/>
        </w:rPr>
        <w:t>IoT</w:t>
      </w:r>
      <w:proofErr w:type="spellEnd"/>
      <w:r w:rsidRPr="00707CFF">
        <w:rPr>
          <w:i/>
          <w:iCs/>
          <w:szCs w:val="24"/>
          <w:lang w:val="en-US"/>
        </w:rPr>
        <w:t xml:space="preserve">) </w:t>
      </w:r>
    </w:p>
    <w:p w:rsidR="00490CE6" w:rsidRPr="00707CFF" w:rsidRDefault="00490CE6" w:rsidP="00490CE6">
      <w:pPr>
        <w:rPr>
          <w:szCs w:val="24"/>
          <w:lang w:val="en-US"/>
        </w:rPr>
      </w:pPr>
      <w:r w:rsidRPr="00707CFF">
        <w:rPr>
          <w:szCs w:val="24"/>
          <w:u w:val="single"/>
          <w:lang w:val="en-US"/>
        </w:rPr>
        <w:t xml:space="preserve">Revision of Recommendation ITU-R M.1036-4: </w:t>
      </w:r>
      <w:r w:rsidRPr="00707CFF">
        <w:rPr>
          <w:i/>
          <w:iCs/>
          <w:szCs w:val="24"/>
          <w:lang w:val="en-US"/>
        </w:rPr>
        <w:t>Frequency arrangements for implementation of the terrestrial component of International Mobile Telecommunications (IMT) in the bands identified for IMT in the Radio Regulations (RR)</w:t>
      </w:r>
    </w:p>
    <w:p w:rsidR="00490CE6" w:rsidRPr="00707CFF" w:rsidRDefault="00490CE6" w:rsidP="00490CE6">
      <w:pPr>
        <w:rPr>
          <w:szCs w:val="24"/>
          <w:lang w:val="en-US"/>
        </w:rPr>
      </w:pPr>
      <w:r w:rsidRPr="00707CFF">
        <w:rPr>
          <w:szCs w:val="24"/>
          <w:u w:val="single"/>
          <w:lang w:val="en-US"/>
        </w:rPr>
        <w:t xml:space="preserve">New Recommendation ITU-R M.[BSMS700] </w:t>
      </w:r>
      <w:r w:rsidRPr="00707CFF">
        <w:rPr>
          <w:i/>
          <w:iCs/>
          <w:szCs w:val="24"/>
          <w:lang w:val="en-US"/>
        </w:rPr>
        <w:t>- Specific unwanted emission limit of IMT mobile stations operating in the frequency band 694-790 MHz to facilitate protection of existing services in Region 1 in the frequency band 470-694 MHz</w:t>
      </w:r>
    </w:p>
    <w:p w:rsidR="00490CE6" w:rsidRPr="00707CFF" w:rsidRDefault="00490CE6" w:rsidP="00490CE6">
      <w:pPr>
        <w:rPr>
          <w:szCs w:val="24"/>
          <w:lang w:val="en-US"/>
        </w:rPr>
      </w:pPr>
      <w:r w:rsidRPr="00707CFF">
        <w:rPr>
          <w:szCs w:val="24"/>
          <w:lang w:val="en-US"/>
        </w:rPr>
        <w:t xml:space="preserve">WRC-15 addressed over 40 topics related to frequency allocation and frequency sharing for the efficient use of spectrum and orbital resources. </w:t>
      </w:r>
    </w:p>
    <w:p w:rsidR="00490CE6" w:rsidRPr="00707CFF" w:rsidRDefault="00490CE6" w:rsidP="00490CE6">
      <w:pPr>
        <w:rPr>
          <w:szCs w:val="24"/>
          <w:lang w:val="en-US"/>
        </w:rPr>
      </w:pPr>
      <w:r w:rsidRPr="00707CFF">
        <w:rPr>
          <w:szCs w:val="24"/>
          <w:lang w:val="en-US"/>
        </w:rPr>
        <w:t xml:space="preserve">The outcomes ensure high quality </w:t>
      </w:r>
      <w:proofErr w:type="spellStart"/>
      <w:r w:rsidRPr="00707CFF">
        <w:rPr>
          <w:szCs w:val="24"/>
          <w:lang w:val="en-US"/>
        </w:rPr>
        <w:t>radiocommunication</w:t>
      </w:r>
      <w:proofErr w:type="spellEnd"/>
      <w:r w:rsidRPr="00707CFF">
        <w:rPr>
          <w:szCs w:val="24"/>
          <w:lang w:val="en-US"/>
        </w:rPr>
        <w:t xml:space="preserve"> services for mobile and satellite communications, maritime and aeronautical transport, air and road safety as well as for scientific purposes related to the environment, meteorology and climatology, disaster prediction, mitigation and relief.</w:t>
      </w:r>
    </w:p>
    <w:p w:rsidR="00490CE6" w:rsidRDefault="00490CE6" w:rsidP="00490CE6">
      <w:pPr>
        <w:keepNext/>
        <w:spacing w:after="120"/>
        <w:rPr>
          <w:b/>
          <w:bCs/>
          <w:szCs w:val="24"/>
          <w:u w:val="single"/>
          <w:lang w:val="en-US"/>
        </w:rPr>
      </w:pPr>
      <w:r w:rsidRPr="00707CFF">
        <w:rPr>
          <w:b/>
          <w:bCs/>
          <w:szCs w:val="24"/>
          <w:u w:val="single"/>
          <w:lang w:val="en-US"/>
        </w:rPr>
        <w:lastRenderedPageBreak/>
        <w:t>WRC-15 Resolutions which request actions from the Director of BDT or ITU-D</w:t>
      </w:r>
    </w:p>
    <w:tbl>
      <w:tblPr>
        <w:tblStyle w:val="TableGrid"/>
        <w:tblW w:w="0" w:type="auto"/>
        <w:tblLook w:val="04A0" w:firstRow="1" w:lastRow="0" w:firstColumn="1" w:lastColumn="0" w:noHBand="0" w:noVBand="1"/>
      </w:tblPr>
      <w:tblGrid>
        <w:gridCol w:w="1452"/>
        <w:gridCol w:w="1590"/>
        <w:gridCol w:w="2293"/>
        <w:gridCol w:w="2678"/>
        <w:gridCol w:w="2184"/>
      </w:tblGrid>
      <w:tr w:rsidR="00490CE6" w:rsidTr="00E47BA8">
        <w:trPr>
          <w:tblHeader/>
        </w:trPr>
        <w:tc>
          <w:tcPr>
            <w:tcW w:w="1452" w:type="dxa"/>
          </w:tcPr>
          <w:p w:rsidR="00490CE6" w:rsidRPr="000B3177" w:rsidRDefault="00490CE6" w:rsidP="00490CE6">
            <w:pPr>
              <w:keepNext/>
              <w:tabs>
                <w:tab w:val="clear" w:pos="1191"/>
                <w:tab w:val="clear" w:pos="1588"/>
                <w:tab w:val="clear" w:pos="1985"/>
              </w:tabs>
              <w:spacing w:before="0"/>
              <w:rPr>
                <w:b/>
                <w:bCs/>
                <w:szCs w:val="24"/>
              </w:rPr>
            </w:pPr>
            <w:r w:rsidRPr="000B3177">
              <w:rPr>
                <w:b/>
                <w:bCs/>
                <w:szCs w:val="24"/>
              </w:rPr>
              <w:t>Subject</w:t>
            </w:r>
            <w:r w:rsidRPr="000B3177">
              <w:rPr>
                <w:b/>
                <w:bCs/>
                <w:szCs w:val="24"/>
              </w:rPr>
              <w:tab/>
            </w:r>
          </w:p>
        </w:tc>
        <w:tc>
          <w:tcPr>
            <w:tcW w:w="1590" w:type="dxa"/>
          </w:tcPr>
          <w:p w:rsidR="00490CE6" w:rsidRPr="000B3177" w:rsidRDefault="00490CE6" w:rsidP="00490CE6">
            <w:pPr>
              <w:keepNext/>
              <w:spacing w:before="0"/>
              <w:rPr>
                <w:b/>
                <w:bCs/>
                <w:szCs w:val="24"/>
              </w:rPr>
            </w:pPr>
            <w:r w:rsidRPr="000B3177">
              <w:rPr>
                <w:b/>
                <w:bCs/>
                <w:szCs w:val="24"/>
              </w:rPr>
              <w:t>Resolution</w:t>
            </w:r>
          </w:p>
        </w:tc>
        <w:tc>
          <w:tcPr>
            <w:tcW w:w="2293" w:type="dxa"/>
          </w:tcPr>
          <w:p w:rsidR="00490CE6" w:rsidRPr="000B3177" w:rsidRDefault="00490CE6" w:rsidP="00490CE6">
            <w:pPr>
              <w:keepNext/>
              <w:spacing w:before="0"/>
              <w:rPr>
                <w:b/>
                <w:bCs/>
                <w:szCs w:val="24"/>
              </w:rPr>
            </w:pPr>
            <w:r w:rsidRPr="000B3177">
              <w:rPr>
                <w:b/>
                <w:bCs/>
                <w:szCs w:val="24"/>
              </w:rPr>
              <w:t>Title</w:t>
            </w:r>
          </w:p>
        </w:tc>
        <w:tc>
          <w:tcPr>
            <w:tcW w:w="2678" w:type="dxa"/>
          </w:tcPr>
          <w:p w:rsidR="00490CE6" w:rsidRPr="000B3177" w:rsidRDefault="00490CE6" w:rsidP="00490CE6">
            <w:pPr>
              <w:keepNext/>
              <w:spacing w:before="0"/>
              <w:rPr>
                <w:b/>
                <w:bCs/>
                <w:szCs w:val="24"/>
              </w:rPr>
            </w:pPr>
            <w:r>
              <w:rPr>
                <w:b/>
                <w:bCs/>
                <w:szCs w:val="24"/>
              </w:rPr>
              <w:t>Required action</w:t>
            </w:r>
          </w:p>
        </w:tc>
        <w:tc>
          <w:tcPr>
            <w:tcW w:w="2184" w:type="dxa"/>
          </w:tcPr>
          <w:p w:rsidR="00490CE6" w:rsidRPr="000B3177" w:rsidRDefault="00490CE6" w:rsidP="00490CE6">
            <w:pPr>
              <w:keepNext/>
              <w:spacing w:before="0"/>
              <w:rPr>
                <w:b/>
                <w:bCs/>
                <w:szCs w:val="24"/>
              </w:rPr>
            </w:pPr>
            <w:r w:rsidRPr="000B3177">
              <w:rPr>
                <w:b/>
                <w:bCs/>
                <w:szCs w:val="24"/>
              </w:rPr>
              <w:t>Activities</w:t>
            </w:r>
          </w:p>
        </w:tc>
      </w:tr>
      <w:tr w:rsidR="00490CE6" w:rsidRPr="007516E0" w:rsidTr="00E47BA8">
        <w:trPr>
          <w:cantSplit/>
        </w:trPr>
        <w:tc>
          <w:tcPr>
            <w:tcW w:w="1452" w:type="dxa"/>
          </w:tcPr>
          <w:p w:rsidR="00490CE6" w:rsidRPr="007516E0" w:rsidRDefault="00490CE6" w:rsidP="00E47BA8">
            <w:pPr>
              <w:jc w:val="center"/>
              <w:rPr>
                <w:rFonts w:asciiTheme="minorHAnsi" w:hAnsiTheme="minorHAnsi"/>
                <w:b/>
                <w:bCs/>
                <w:szCs w:val="24"/>
              </w:rPr>
            </w:pPr>
            <w:r w:rsidRPr="007516E0">
              <w:rPr>
                <w:rFonts w:asciiTheme="minorHAnsi" w:hAnsiTheme="minorHAnsi"/>
                <w:b/>
                <w:bCs/>
                <w:szCs w:val="24"/>
              </w:rPr>
              <w:t>Interference in HF bands</w:t>
            </w:r>
          </w:p>
          <w:p w:rsidR="00490CE6" w:rsidRPr="007516E0" w:rsidRDefault="00490CE6" w:rsidP="00E47BA8">
            <w:pPr>
              <w:jc w:val="center"/>
              <w:rPr>
                <w:rFonts w:asciiTheme="minorHAnsi" w:hAnsiTheme="minorHAnsi"/>
                <w:b/>
                <w:bCs/>
                <w:szCs w:val="24"/>
              </w:rPr>
            </w:pPr>
          </w:p>
        </w:tc>
        <w:tc>
          <w:tcPr>
            <w:tcW w:w="1590" w:type="dxa"/>
          </w:tcPr>
          <w:p w:rsidR="00490CE6" w:rsidRPr="007516E0" w:rsidRDefault="00490CE6" w:rsidP="00E47BA8">
            <w:pPr>
              <w:rPr>
                <w:rFonts w:asciiTheme="minorHAnsi" w:hAnsiTheme="minorHAnsi"/>
                <w:szCs w:val="24"/>
              </w:rPr>
            </w:pPr>
            <w:r w:rsidRPr="007516E0">
              <w:rPr>
                <w:rFonts w:asciiTheme="minorHAnsi" w:hAnsiTheme="minorHAnsi"/>
                <w:szCs w:val="24"/>
              </w:rPr>
              <w:t>Resolution 207</w:t>
            </w:r>
          </w:p>
          <w:p w:rsidR="00490CE6" w:rsidRPr="007516E0" w:rsidRDefault="00490CE6" w:rsidP="00E47BA8">
            <w:pPr>
              <w:rPr>
                <w:rFonts w:asciiTheme="minorHAnsi" w:hAnsiTheme="minorHAnsi"/>
                <w:szCs w:val="24"/>
              </w:rPr>
            </w:pPr>
          </w:p>
        </w:tc>
        <w:tc>
          <w:tcPr>
            <w:tcW w:w="2293" w:type="dxa"/>
          </w:tcPr>
          <w:p w:rsidR="00490CE6" w:rsidRPr="007516E0" w:rsidRDefault="00490CE6" w:rsidP="00E47BA8">
            <w:pPr>
              <w:rPr>
                <w:rFonts w:asciiTheme="minorHAnsi" w:hAnsiTheme="minorHAnsi"/>
                <w:szCs w:val="24"/>
              </w:rPr>
            </w:pPr>
            <w:r w:rsidRPr="007516E0">
              <w:rPr>
                <w:rFonts w:asciiTheme="minorHAnsi" w:hAnsiTheme="minorHAnsi"/>
                <w:szCs w:val="24"/>
              </w:rPr>
              <w:t>Measures to address unauthorized use of and interference to frequencies in the bands allocated to the maritime mobile service and to the aeronautical mobile (R) service</w:t>
            </w:r>
          </w:p>
        </w:tc>
        <w:tc>
          <w:tcPr>
            <w:tcW w:w="2678" w:type="dxa"/>
          </w:tcPr>
          <w:p w:rsidR="00490CE6" w:rsidRPr="007516E0" w:rsidRDefault="00490CE6" w:rsidP="00E47BA8">
            <w:pPr>
              <w:rPr>
                <w:rFonts w:asciiTheme="minorHAnsi" w:hAnsiTheme="minorHAnsi"/>
                <w:szCs w:val="24"/>
              </w:rPr>
            </w:pPr>
            <w:r w:rsidRPr="007516E0">
              <w:rPr>
                <w:rFonts w:asciiTheme="minorHAnsi" w:hAnsiTheme="minorHAnsi"/>
                <w:i/>
                <w:iCs/>
                <w:szCs w:val="24"/>
              </w:rPr>
              <w:t>resolves to invite ITU-R and ITU-D, as</w:t>
            </w:r>
            <w:r w:rsidRPr="007516E0">
              <w:rPr>
                <w:rFonts w:asciiTheme="minorHAnsi" w:hAnsiTheme="minorHAnsi"/>
                <w:szCs w:val="24"/>
              </w:rPr>
              <w:t xml:space="preserve"> </w:t>
            </w:r>
            <w:r w:rsidRPr="007516E0">
              <w:rPr>
                <w:rFonts w:asciiTheme="minorHAnsi" w:hAnsiTheme="minorHAnsi"/>
                <w:i/>
                <w:iCs/>
                <w:szCs w:val="24"/>
              </w:rPr>
              <w:t>appropriate</w:t>
            </w:r>
            <w:r w:rsidRPr="007516E0">
              <w:rPr>
                <w:rFonts w:asciiTheme="minorHAnsi" w:hAnsiTheme="minorHAnsi"/>
                <w:szCs w:val="24"/>
              </w:rPr>
              <w:t xml:space="preserve"> to increase regional awareness of appropriate practices in order to help mitigate interference in the HF bands, especially on distress and safety channels</w:t>
            </w:r>
          </w:p>
        </w:tc>
        <w:tc>
          <w:tcPr>
            <w:tcW w:w="2184" w:type="dxa"/>
          </w:tcPr>
          <w:p w:rsidR="00490CE6" w:rsidRPr="007516E0" w:rsidRDefault="00490CE6" w:rsidP="00E47BA8">
            <w:pPr>
              <w:rPr>
                <w:rFonts w:asciiTheme="minorHAnsi" w:hAnsiTheme="minorHAnsi"/>
                <w:szCs w:val="24"/>
              </w:rPr>
            </w:pPr>
            <w:r w:rsidRPr="007516E0">
              <w:rPr>
                <w:rFonts w:asciiTheme="minorHAnsi" w:hAnsiTheme="minorHAnsi"/>
                <w:szCs w:val="24"/>
              </w:rPr>
              <w:t>Workshops</w:t>
            </w:r>
          </w:p>
        </w:tc>
      </w:tr>
      <w:tr w:rsidR="00490CE6" w:rsidRPr="007516E0" w:rsidTr="00E47BA8">
        <w:trPr>
          <w:cantSplit/>
        </w:trPr>
        <w:tc>
          <w:tcPr>
            <w:tcW w:w="1452" w:type="dxa"/>
          </w:tcPr>
          <w:p w:rsidR="00490CE6" w:rsidRPr="007516E0" w:rsidRDefault="00490CE6" w:rsidP="00E47BA8">
            <w:pPr>
              <w:jc w:val="center"/>
              <w:rPr>
                <w:rFonts w:asciiTheme="minorHAnsi" w:hAnsiTheme="minorHAnsi"/>
                <w:b/>
                <w:bCs/>
                <w:szCs w:val="24"/>
              </w:rPr>
            </w:pPr>
            <w:r w:rsidRPr="007516E0">
              <w:rPr>
                <w:rFonts w:asciiTheme="minorHAnsi" w:hAnsiTheme="minorHAnsi"/>
                <w:b/>
                <w:bCs/>
                <w:szCs w:val="24"/>
              </w:rPr>
              <w:t>IMT below 1 GHz</w:t>
            </w:r>
          </w:p>
          <w:p w:rsidR="00490CE6" w:rsidRPr="007516E0" w:rsidRDefault="00490CE6" w:rsidP="00E47BA8">
            <w:pPr>
              <w:jc w:val="center"/>
              <w:rPr>
                <w:rFonts w:asciiTheme="minorHAnsi" w:hAnsiTheme="minorHAnsi"/>
                <w:b/>
                <w:bCs/>
                <w:szCs w:val="24"/>
              </w:rPr>
            </w:pPr>
          </w:p>
        </w:tc>
        <w:tc>
          <w:tcPr>
            <w:tcW w:w="1590" w:type="dxa"/>
          </w:tcPr>
          <w:p w:rsidR="00490CE6" w:rsidRPr="007516E0" w:rsidRDefault="00490CE6" w:rsidP="00E47BA8">
            <w:pPr>
              <w:jc w:val="center"/>
              <w:rPr>
                <w:rFonts w:asciiTheme="minorHAnsi" w:hAnsiTheme="minorHAnsi"/>
                <w:szCs w:val="24"/>
              </w:rPr>
            </w:pPr>
            <w:r w:rsidRPr="007516E0">
              <w:rPr>
                <w:rFonts w:asciiTheme="minorHAnsi" w:hAnsiTheme="minorHAnsi"/>
                <w:szCs w:val="24"/>
              </w:rPr>
              <w:t>Resolution 224</w:t>
            </w:r>
          </w:p>
          <w:p w:rsidR="00490CE6" w:rsidRPr="007516E0" w:rsidRDefault="00490CE6" w:rsidP="00E47BA8">
            <w:pPr>
              <w:rPr>
                <w:rFonts w:asciiTheme="minorHAnsi" w:hAnsiTheme="minorHAnsi"/>
                <w:szCs w:val="24"/>
              </w:rPr>
            </w:pPr>
          </w:p>
        </w:tc>
        <w:tc>
          <w:tcPr>
            <w:tcW w:w="2293" w:type="dxa"/>
          </w:tcPr>
          <w:p w:rsidR="00490CE6" w:rsidRPr="007516E0" w:rsidRDefault="00490CE6" w:rsidP="00E47BA8">
            <w:pPr>
              <w:rPr>
                <w:rFonts w:asciiTheme="minorHAnsi" w:hAnsiTheme="minorHAnsi"/>
                <w:szCs w:val="24"/>
              </w:rPr>
            </w:pPr>
            <w:r w:rsidRPr="007516E0">
              <w:rPr>
                <w:rFonts w:asciiTheme="minorHAnsi" w:hAnsiTheme="minorHAnsi"/>
                <w:szCs w:val="24"/>
              </w:rPr>
              <w:t>Frequency bands for the terrestrial component of International Mobile Telecommunications below 1 GHz</w:t>
            </w:r>
          </w:p>
        </w:tc>
        <w:tc>
          <w:tcPr>
            <w:tcW w:w="2678" w:type="dxa"/>
          </w:tcPr>
          <w:p w:rsidR="00490CE6" w:rsidRPr="007516E0" w:rsidRDefault="00490CE6" w:rsidP="00E47BA8">
            <w:pPr>
              <w:rPr>
                <w:rFonts w:asciiTheme="minorHAnsi" w:hAnsiTheme="minorHAnsi"/>
                <w:i/>
                <w:iCs/>
                <w:szCs w:val="24"/>
              </w:rPr>
            </w:pPr>
            <w:r w:rsidRPr="007516E0">
              <w:rPr>
                <w:rFonts w:asciiTheme="minorHAnsi" w:hAnsiTheme="minorHAnsi"/>
                <w:i/>
                <w:iCs/>
                <w:szCs w:val="24"/>
              </w:rPr>
              <w:t xml:space="preserve">invites the Director of the Telecommunication Development Bureau </w:t>
            </w:r>
            <w:r w:rsidRPr="007516E0">
              <w:rPr>
                <w:rFonts w:asciiTheme="minorHAnsi" w:hAnsiTheme="minorHAnsi"/>
                <w:szCs w:val="24"/>
              </w:rPr>
              <w:t>to draw the attention of the ITU Telecommunication Development Sector to this resolution</w:t>
            </w:r>
          </w:p>
        </w:tc>
        <w:tc>
          <w:tcPr>
            <w:tcW w:w="2184" w:type="dxa"/>
          </w:tcPr>
          <w:p w:rsidR="00490CE6" w:rsidRPr="007516E0" w:rsidRDefault="00490CE6" w:rsidP="00E47BA8">
            <w:pPr>
              <w:rPr>
                <w:rFonts w:asciiTheme="minorHAnsi" w:hAnsiTheme="minorHAnsi"/>
                <w:szCs w:val="24"/>
              </w:rPr>
            </w:pPr>
            <w:r w:rsidRPr="007516E0">
              <w:rPr>
                <w:rFonts w:asciiTheme="minorHAnsi" w:hAnsiTheme="minorHAnsi"/>
                <w:szCs w:val="24"/>
              </w:rPr>
              <w:t>Resolution 9</w:t>
            </w:r>
          </w:p>
          <w:p w:rsidR="00490CE6" w:rsidRPr="007516E0" w:rsidRDefault="00490CE6" w:rsidP="00E47BA8">
            <w:pPr>
              <w:rPr>
                <w:rFonts w:asciiTheme="minorHAnsi" w:hAnsiTheme="minorHAnsi"/>
                <w:szCs w:val="24"/>
              </w:rPr>
            </w:pPr>
            <w:r w:rsidRPr="007516E0">
              <w:rPr>
                <w:rFonts w:asciiTheme="minorHAnsi" w:hAnsiTheme="minorHAnsi"/>
                <w:szCs w:val="24"/>
              </w:rPr>
              <w:t>Workshops</w:t>
            </w:r>
          </w:p>
          <w:p w:rsidR="00490CE6" w:rsidRPr="007516E0" w:rsidRDefault="00490CE6" w:rsidP="00E47BA8">
            <w:pPr>
              <w:rPr>
                <w:rFonts w:asciiTheme="minorHAnsi" w:hAnsiTheme="minorHAnsi"/>
                <w:szCs w:val="24"/>
              </w:rPr>
            </w:pPr>
            <w:r w:rsidRPr="007516E0">
              <w:rPr>
                <w:rFonts w:asciiTheme="minorHAnsi" w:hAnsiTheme="minorHAnsi"/>
                <w:szCs w:val="24"/>
              </w:rPr>
              <w:t>Seminars</w:t>
            </w:r>
          </w:p>
        </w:tc>
      </w:tr>
      <w:tr w:rsidR="00490CE6" w:rsidRPr="007516E0" w:rsidTr="00E47BA8">
        <w:trPr>
          <w:cantSplit/>
        </w:trPr>
        <w:tc>
          <w:tcPr>
            <w:tcW w:w="1452" w:type="dxa"/>
          </w:tcPr>
          <w:p w:rsidR="00490CE6" w:rsidRPr="007516E0" w:rsidRDefault="00490CE6" w:rsidP="00E47BA8">
            <w:pPr>
              <w:jc w:val="center"/>
              <w:rPr>
                <w:rFonts w:asciiTheme="minorHAnsi" w:hAnsiTheme="minorHAnsi"/>
                <w:b/>
                <w:bCs/>
                <w:szCs w:val="24"/>
              </w:rPr>
            </w:pPr>
            <w:r w:rsidRPr="007516E0">
              <w:rPr>
                <w:rFonts w:asciiTheme="minorHAnsi" w:hAnsiTheme="minorHAnsi"/>
                <w:b/>
                <w:bCs/>
                <w:szCs w:val="24"/>
              </w:rPr>
              <w:t>Emergency and disaster</w:t>
            </w:r>
          </w:p>
          <w:p w:rsidR="00490CE6" w:rsidRPr="007516E0" w:rsidRDefault="00490CE6" w:rsidP="00E47BA8">
            <w:pPr>
              <w:jc w:val="center"/>
              <w:rPr>
                <w:rFonts w:asciiTheme="minorHAnsi" w:hAnsiTheme="minorHAnsi"/>
                <w:b/>
                <w:bCs/>
                <w:szCs w:val="24"/>
              </w:rPr>
            </w:pPr>
          </w:p>
        </w:tc>
        <w:tc>
          <w:tcPr>
            <w:tcW w:w="1590" w:type="dxa"/>
          </w:tcPr>
          <w:p w:rsidR="00490CE6" w:rsidRPr="007516E0" w:rsidRDefault="00490CE6" w:rsidP="00E47BA8">
            <w:pPr>
              <w:jc w:val="center"/>
              <w:rPr>
                <w:rFonts w:asciiTheme="minorHAnsi" w:hAnsiTheme="minorHAnsi"/>
                <w:szCs w:val="24"/>
              </w:rPr>
            </w:pPr>
            <w:r w:rsidRPr="007516E0">
              <w:rPr>
                <w:rFonts w:asciiTheme="minorHAnsi" w:hAnsiTheme="minorHAnsi"/>
                <w:b/>
                <w:bCs/>
                <w:szCs w:val="24"/>
              </w:rPr>
              <w:t>Resolution 647</w:t>
            </w:r>
            <w:r w:rsidRPr="007516E0">
              <w:rPr>
                <w:rFonts w:asciiTheme="minorHAnsi" w:hAnsiTheme="minorHAnsi"/>
                <w:szCs w:val="24"/>
              </w:rPr>
              <w:t xml:space="preserve">: </w:t>
            </w:r>
          </w:p>
          <w:p w:rsidR="00490CE6" w:rsidRPr="007516E0" w:rsidRDefault="00490CE6" w:rsidP="00E47BA8">
            <w:pPr>
              <w:jc w:val="center"/>
              <w:rPr>
                <w:rFonts w:asciiTheme="minorHAnsi" w:hAnsiTheme="minorHAnsi"/>
                <w:szCs w:val="24"/>
              </w:rPr>
            </w:pPr>
          </w:p>
        </w:tc>
        <w:tc>
          <w:tcPr>
            <w:tcW w:w="2293" w:type="dxa"/>
          </w:tcPr>
          <w:p w:rsidR="00490CE6" w:rsidRPr="007516E0" w:rsidRDefault="00490CE6" w:rsidP="00E47BA8">
            <w:pPr>
              <w:rPr>
                <w:rFonts w:asciiTheme="minorHAnsi" w:hAnsiTheme="minorHAnsi"/>
                <w:szCs w:val="24"/>
              </w:rPr>
            </w:pPr>
            <w:proofErr w:type="spellStart"/>
            <w:r w:rsidRPr="007516E0">
              <w:rPr>
                <w:rFonts w:asciiTheme="minorHAnsi" w:hAnsiTheme="minorHAnsi"/>
                <w:szCs w:val="24"/>
              </w:rPr>
              <w:t>Radiocommunication</w:t>
            </w:r>
            <w:proofErr w:type="spellEnd"/>
            <w:r w:rsidRPr="007516E0">
              <w:rPr>
                <w:rFonts w:asciiTheme="minorHAnsi" w:hAnsiTheme="minorHAnsi"/>
                <w:szCs w:val="24"/>
              </w:rPr>
              <w:t xml:space="preserve"> aspects, including spectrum management guidelines for early warning, disaster prediction, detection, mitigation and relief operations relating to emergencies and disasters</w:t>
            </w:r>
          </w:p>
        </w:tc>
        <w:tc>
          <w:tcPr>
            <w:tcW w:w="2678" w:type="dxa"/>
          </w:tcPr>
          <w:p w:rsidR="00490CE6" w:rsidRPr="007516E0" w:rsidRDefault="00490CE6" w:rsidP="00E47BA8">
            <w:pPr>
              <w:rPr>
                <w:rFonts w:asciiTheme="minorHAnsi" w:hAnsiTheme="minorHAnsi"/>
                <w:i/>
                <w:iCs/>
                <w:szCs w:val="24"/>
              </w:rPr>
            </w:pPr>
            <w:r w:rsidRPr="007516E0">
              <w:rPr>
                <w:rFonts w:asciiTheme="minorHAnsi" w:hAnsiTheme="minorHAnsi"/>
                <w:i/>
                <w:iCs/>
                <w:szCs w:val="24"/>
              </w:rPr>
              <w:t>invites the Director of the Telecommunication Standardization Bureau and the</w:t>
            </w:r>
            <w:r>
              <w:rPr>
                <w:rFonts w:asciiTheme="minorHAnsi" w:hAnsiTheme="minorHAnsi"/>
                <w:i/>
                <w:iCs/>
                <w:szCs w:val="24"/>
              </w:rPr>
              <w:t xml:space="preserve"> </w:t>
            </w:r>
            <w:r w:rsidRPr="007516E0">
              <w:rPr>
                <w:rFonts w:asciiTheme="minorHAnsi" w:hAnsiTheme="minorHAnsi"/>
                <w:i/>
                <w:iCs/>
                <w:szCs w:val="24"/>
              </w:rPr>
              <w:t xml:space="preserve">Director of the Telecommunication Development Bureau </w:t>
            </w:r>
            <w:r w:rsidRPr="007516E0">
              <w:rPr>
                <w:rFonts w:asciiTheme="minorHAnsi" w:hAnsiTheme="minorHAnsi"/>
                <w:szCs w:val="24"/>
              </w:rPr>
              <w:t xml:space="preserve">to collaborate closely with the Director of BR to ensure that a consistent and coherent approach </w:t>
            </w:r>
            <w:r w:rsidRPr="007516E0">
              <w:rPr>
                <w:rFonts w:asciiTheme="minorHAnsi" w:hAnsiTheme="minorHAnsi"/>
                <w:sz w:val="20"/>
              </w:rPr>
              <w:t xml:space="preserve"> </w:t>
            </w:r>
            <w:r w:rsidRPr="00F802CB">
              <w:rPr>
                <w:rFonts w:asciiTheme="minorHAnsi" w:hAnsiTheme="minorHAnsi"/>
                <w:szCs w:val="24"/>
              </w:rPr>
              <w:t>is adopted in the development of strategies in response to emergency and disaster situations</w:t>
            </w:r>
          </w:p>
        </w:tc>
        <w:tc>
          <w:tcPr>
            <w:tcW w:w="2184" w:type="dxa"/>
          </w:tcPr>
          <w:p w:rsidR="00490CE6" w:rsidRPr="007516E0" w:rsidRDefault="00490CE6" w:rsidP="00E47BA8">
            <w:pPr>
              <w:rPr>
                <w:rFonts w:asciiTheme="minorHAnsi" w:hAnsiTheme="minorHAnsi"/>
                <w:szCs w:val="24"/>
              </w:rPr>
            </w:pPr>
            <w:r w:rsidRPr="007516E0">
              <w:rPr>
                <w:rFonts w:asciiTheme="minorHAnsi" w:hAnsiTheme="minorHAnsi"/>
                <w:szCs w:val="24"/>
              </w:rPr>
              <w:t>ITU-D SG Questions, Guidelines, case studies</w:t>
            </w:r>
          </w:p>
        </w:tc>
      </w:tr>
      <w:tr w:rsidR="00490CE6" w:rsidRPr="000D10AD" w:rsidTr="00E47BA8">
        <w:trPr>
          <w:cantSplit/>
        </w:trPr>
        <w:tc>
          <w:tcPr>
            <w:tcW w:w="1452" w:type="dxa"/>
          </w:tcPr>
          <w:p w:rsidR="00490CE6" w:rsidRPr="007516E0" w:rsidRDefault="00490CE6" w:rsidP="00E47BA8">
            <w:pPr>
              <w:jc w:val="center"/>
              <w:rPr>
                <w:rFonts w:asciiTheme="minorHAnsi" w:hAnsiTheme="minorHAnsi"/>
                <w:b/>
                <w:bCs/>
                <w:szCs w:val="24"/>
              </w:rPr>
            </w:pPr>
            <w:r w:rsidRPr="007516E0">
              <w:rPr>
                <w:rFonts w:asciiTheme="minorHAnsi" w:hAnsiTheme="minorHAnsi"/>
                <w:b/>
                <w:bCs/>
                <w:szCs w:val="24"/>
              </w:rPr>
              <w:lastRenderedPageBreak/>
              <w:t>694-790 MHz in Region 1 - mobile</w:t>
            </w:r>
          </w:p>
          <w:p w:rsidR="00490CE6" w:rsidRPr="007516E0" w:rsidRDefault="00490CE6" w:rsidP="00E47BA8">
            <w:pPr>
              <w:jc w:val="center"/>
              <w:rPr>
                <w:rFonts w:asciiTheme="minorHAnsi" w:hAnsiTheme="minorHAnsi"/>
                <w:b/>
                <w:bCs/>
                <w:szCs w:val="24"/>
              </w:rPr>
            </w:pPr>
          </w:p>
        </w:tc>
        <w:tc>
          <w:tcPr>
            <w:tcW w:w="1590" w:type="dxa"/>
          </w:tcPr>
          <w:p w:rsidR="00490CE6" w:rsidRPr="007516E0" w:rsidRDefault="00490CE6" w:rsidP="00E47BA8">
            <w:pPr>
              <w:jc w:val="center"/>
              <w:rPr>
                <w:rFonts w:asciiTheme="minorHAnsi" w:hAnsiTheme="minorHAnsi"/>
                <w:b/>
                <w:bCs/>
                <w:szCs w:val="24"/>
              </w:rPr>
            </w:pPr>
            <w:r w:rsidRPr="007516E0">
              <w:rPr>
                <w:rFonts w:asciiTheme="minorHAnsi" w:hAnsiTheme="minorHAnsi"/>
                <w:b/>
                <w:bCs/>
                <w:szCs w:val="24"/>
              </w:rPr>
              <w:t xml:space="preserve">Resolution 760 </w:t>
            </w:r>
          </w:p>
          <w:p w:rsidR="00490CE6" w:rsidRPr="007516E0" w:rsidRDefault="00490CE6" w:rsidP="00E47BA8">
            <w:pPr>
              <w:jc w:val="center"/>
              <w:rPr>
                <w:rFonts w:asciiTheme="minorHAnsi" w:hAnsiTheme="minorHAnsi"/>
                <w:b/>
                <w:bCs/>
                <w:szCs w:val="24"/>
              </w:rPr>
            </w:pPr>
            <w:r w:rsidRPr="007516E0">
              <w:rPr>
                <w:rFonts w:asciiTheme="minorHAnsi" w:hAnsiTheme="minorHAnsi"/>
                <w:szCs w:val="24"/>
              </w:rPr>
              <w:t>(COM4/4)</w:t>
            </w:r>
          </w:p>
          <w:p w:rsidR="00490CE6" w:rsidRPr="007516E0" w:rsidRDefault="00490CE6" w:rsidP="00E47BA8">
            <w:pPr>
              <w:jc w:val="center"/>
              <w:rPr>
                <w:rFonts w:asciiTheme="minorHAnsi" w:hAnsiTheme="minorHAnsi"/>
                <w:b/>
                <w:bCs/>
                <w:szCs w:val="24"/>
              </w:rPr>
            </w:pPr>
          </w:p>
        </w:tc>
        <w:tc>
          <w:tcPr>
            <w:tcW w:w="2293" w:type="dxa"/>
          </w:tcPr>
          <w:p w:rsidR="00490CE6" w:rsidRPr="007516E0" w:rsidRDefault="00490CE6" w:rsidP="00E47BA8">
            <w:pPr>
              <w:rPr>
                <w:rFonts w:asciiTheme="minorHAnsi" w:hAnsiTheme="minorHAnsi"/>
                <w:szCs w:val="24"/>
              </w:rPr>
            </w:pPr>
            <w:r w:rsidRPr="007516E0">
              <w:rPr>
                <w:rFonts w:asciiTheme="minorHAnsi" w:hAnsiTheme="minorHAnsi"/>
                <w:szCs w:val="24"/>
              </w:rPr>
              <w:t>Provisions relating to the use of the frequency band 694-790 MHz in Region 1 by the mobile, except aeronautical mobile, service and by other services</w:t>
            </w:r>
          </w:p>
        </w:tc>
        <w:tc>
          <w:tcPr>
            <w:tcW w:w="2678" w:type="dxa"/>
          </w:tcPr>
          <w:p w:rsidR="00490CE6" w:rsidRPr="007516E0" w:rsidRDefault="00490CE6" w:rsidP="00E47BA8">
            <w:pPr>
              <w:rPr>
                <w:rFonts w:asciiTheme="minorHAnsi" w:hAnsiTheme="minorHAnsi"/>
                <w:i/>
                <w:iCs/>
                <w:szCs w:val="24"/>
              </w:rPr>
            </w:pPr>
            <w:r w:rsidRPr="007516E0">
              <w:rPr>
                <w:rFonts w:asciiTheme="minorHAnsi" w:hAnsiTheme="minorHAnsi"/>
                <w:i/>
                <w:iCs/>
                <w:szCs w:val="24"/>
                <w:lang w:val="en-GB"/>
              </w:rPr>
              <w:t xml:space="preserve">invites the Director of the </w:t>
            </w:r>
            <w:proofErr w:type="spellStart"/>
            <w:r w:rsidRPr="007516E0">
              <w:rPr>
                <w:rFonts w:asciiTheme="minorHAnsi" w:hAnsiTheme="minorHAnsi"/>
                <w:i/>
                <w:iCs/>
                <w:szCs w:val="24"/>
                <w:lang w:val="en-GB"/>
              </w:rPr>
              <w:t>Radiocommunication</w:t>
            </w:r>
            <w:proofErr w:type="spellEnd"/>
            <w:r w:rsidRPr="007516E0">
              <w:rPr>
                <w:rFonts w:asciiTheme="minorHAnsi" w:hAnsiTheme="minorHAnsi"/>
                <w:i/>
                <w:iCs/>
                <w:szCs w:val="24"/>
                <w:lang w:val="en-GB"/>
              </w:rPr>
              <w:t xml:space="preserve"> Bureau </w:t>
            </w:r>
            <w:r w:rsidRPr="007516E0">
              <w:rPr>
                <w:rFonts w:asciiTheme="minorHAnsi" w:hAnsiTheme="minorHAnsi"/>
                <w:szCs w:val="24"/>
                <w:lang w:val="en-GB"/>
              </w:rPr>
              <w:t>to work, in cooperation with the Director of the Telecommunication Development Bureau, to bring assistance to developing countries wishing to implement the new mobile allocation in order to help  these administrations to determine the modifications of the GE06 entries according to their needs</w:t>
            </w:r>
          </w:p>
        </w:tc>
        <w:tc>
          <w:tcPr>
            <w:tcW w:w="2184" w:type="dxa"/>
          </w:tcPr>
          <w:p w:rsidR="00490CE6" w:rsidRPr="007516E0" w:rsidRDefault="00490CE6" w:rsidP="00490CE6">
            <w:pPr>
              <w:rPr>
                <w:rFonts w:asciiTheme="minorHAnsi" w:hAnsiTheme="minorHAnsi"/>
                <w:szCs w:val="24"/>
              </w:rPr>
            </w:pPr>
            <w:r w:rsidRPr="007516E0">
              <w:rPr>
                <w:rFonts w:asciiTheme="minorHAnsi" w:hAnsiTheme="minorHAnsi"/>
                <w:szCs w:val="24"/>
              </w:rPr>
              <w:t>Country assistance, Workshops, Frequency planning meetings</w:t>
            </w:r>
          </w:p>
          <w:p w:rsidR="00490CE6" w:rsidRPr="007516E0" w:rsidRDefault="00490CE6" w:rsidP="00E47BA8">
            <w:pPr>
              <w:rPr>
                <w:rFonts w:asciiTheme="minorHAnsi" w:hAnsiTheme="minorHAnsi"/>
                <w:szCs w:val="24"/>
                <w:lang w:val="fr-CH"/>
              </w:rPr>
            </w:pPr>
            <w:r w:rsidRPr="007516E0">
              <w:rPr>
                <w:rFonts w:asciiTheme="minorHAnsi" w:hAnsiTheme="minorHAnsi"/>
                <w:szCs w:val="24"/>
                <w:lang w:val="fr-CH"/>
              </w:rPr>
              <w:t>ITU-D SG Questions (</w:t>
            </w:r>
            <w:proofErr w:type="spellStart"/>
            <w:r w:rsidRPr="007516E0">
              <w:rPr>
                <w:rFonts w:asciiTheme="minorHAnsi" w:hAnsiTheme="minorHAnsi"/>
                <w:szCs w:val="24"/>
                <w:lang w:val="fr-CH"/>
              </w:rPr>
              <w:t>Resolution</w:t>
            </w:r>
            <w:proofErr w:type="spellEnd"/>
            <w:r w:rsidRPr="007516E0">
              <w:rPr>
                <w:rFonts w:asciiTheme="minorHAnsi" w:hAnsiTheme="minorHAnsi"/>
                <w:szCs w:val="24"/>
                <w:lang w:val="fr-CH"/>
              </w:rPr>
              <w:t xml:space="preserve"> 9, Q8/1)</w:t>
            </w:r>
          </w:p>
          <w:p w:rsidR="00490CE6" w:rsidRPr="007516E0" w:rsidRDefault="00490CE6" w:rsidP="00E47BA8">
            <w:pPr>
              <w:rPr>
                <w:rFonts w:asciiTheme="minorHAnsi" w:hAnsiTheme="minorHAnsi"/>
                <w:szCs w:val="24"/>
                <w:lang w:val="fr-CH"/>
              </w:rPr>
            </w:pPr>
          </w:p>
        </w:tc>
      </w:tr>
      <w:tr w:rsidR="00490CE6" w:rsidRPr="007516E0" w:rsidTr="00E47BA8">
        <w:trPr>
          <w:cantSplit/>
        </w:trPr>
        <w:tc>
          <w:tcPr>
            <w:tcW w:w="1452" w:type="dxa"/>
          </w:tcPr>
          <w:p w:rsidR="00490CE6" w:rsidRPr="007516E0" w:rsidRDefault="00490CE6" w:rsidP="00E47BA8">
            <w:pPr>
              <w:jc w:val="center"/>
              <w:rPr>
                <w:rFonts w:asciiTheme="minorHAnsi" w:hAnsiTheme="minorHAnsi"/>
                <w:b/>
                <w:bCs/>
                <w:szCs w:val="24"/>
              </w:rPr>
            </w:pPr>
            <w:r w:rsidRPr="007516E0">
              <w:rPr>
                <w:rFonts w:asciiTheme="minorHAnsi" w:hAnsiTheme="minorHAnsi"/>
                <w:b/>
                <w:bCs/>
                <w:szCs w:val="24"/>
              </w:rPr>
              <w:t>Spectrum use in 470-960 MHz</w:t>
            </w:r>
          </w:p>
          <w:p w:rsidR="00490CE6" w:rsidRPr="007516E0" w:rsidRDefault="00490CE6" w:rsidP="00E47BA8">
            <w:pPr>
              <w:jc w:val="center"/>
              <w:rPr>
                <w:rFonts w:asciiTheme="minorHAnsi" w:hAnsiTheme="minorHAnsi"/>
                <w:b/>
                <w:bCs/>
                <w:szCs w:val="24"/>
              </w:rPr>
            </w:pPr>
          </w:p>
        </w:tc>
        <w:tc>
          <w:tcPr>
            <w:tcW w:w="1590" w:type="dxa"/>
          </w:tcPr>
          <w:p w:rsidR="00490CE6" w:rsidRPr="007516E0" w:rsidRDefault="00490CE6" w:rsidP="00E47BA8">
            <w:pPr>
              <w:jc w:val="center"/>
              <w:rPr>
                <w:rFonts w:asciiTheme="minorHAnsi" w:hAnsiTheme="minorHAnsi"/>
                <w:b/>
                <w:bCs/>
                <w:szCs w:val="24"/>
              </w:rPr>
            </w:pPr>
            <w:r w:rsidRPr="007516E0">
              <w:rPr>
                <w:rFonts w:asciiTheme="minorHAnsi" w:hAnsiTheme="minorHAnsi"/>
                <w:b/>
                <w:bCs/>
                <w:szCs w:val="24"/>
              </w:rPr>
              <w:t>Resolution 235</w:t>
            </w:r>
          </w:p>
          <w:p w:rsidR="00490CE6" w:rsidRPr="007516E0" w:rsidRDefault="00490CE6" w:rsidP="00E47BA8">
            <w:pPr>
              <w:jc w:val="center"/>
              <w:rPr>
                <w:rFonts w:asciiTheme="minorHAnsi" w:hAnsiTheme="minorHAnsi"/>
                <w:b/>
                <w:bCs/>
                <w:szCs w:val="24"/>
              </w:rPr>
            </w:pPr>
            <w:r w:rsidRPr="007516E0">
              <w:rPr>
                <w:rFonts w:asciiTheme="minorHAnsi" w:hAnsiTheme="minorHAnsi"/>
                <w:b/>
                <w:bCs/>
                <w:szCs w:val="24"/>
              </w:rPr>
              <w:t xml:space="preserve"> </w:t>
            </w:r>
            <w:r w:rsidRPr="007516E0">
              <w:rPr>
                <w:rFonts w:asciiTheme="minorHAnsi" w:hAnsiTheme="minorHAnsi"/>
                <w:szCs w:val="24"/>
              </w:rPr>
              <w:t>(COM4/6)</w:t>
            </w:r>
          </w:p>
          <w:p w:rsidR="00490CE6" w:rsidRPr="007516E0" w:rsidRDefault="00490CE6" w:rsidP="00E47BA8">
            <w:pPr>
              <w:jc w:val="center"/>
              <w:rPr>
                <w:rFonts w:asciiTheme="minorHAnsi" w:hAnsiTheme="minorHAnsi"/>
                <w:b/>
                <w:bCs/>
                <w:szCs w:val="24"/>
              </w:rPr>
            </w:pPr>
          </w:p>
        </w:tc>
        <w:tc>
          <w:tcPr>
            <w:tcW w:w="2293" w:type="dxa"/>
          </w:tcPr>
          <w:p w:rsidR="00490CE6" w:rsidRPr="007516E0" w:rsidRDefault="00490CE6" w:rsidP="00E47BA8">
            <w:pPr>
              <w:rPr>
                <w:rFonts w:asciiTheme="minorHAnsi" w:hAnsiTheme="minorHAnsi"/>
                <w:szCs w:val="24"/>
              </w:rPr>
            </w:pPr>
            <w:r w:rsidRPr="007516E0">
              <w:rPr>
                <w:rFonts w:asciiTheme="minorHAnsi" w:hAnsiTheme="minorHAnsi"/>
                <w:szCs w:val="24"/>
              </w:rPr>
              <w:t>Review of the spectrum use of the frequency band 470-960 MHz in Region 1</w:t>
            </w:r>
          </w:p>
        </w:tc>
        <w:tc>
          <w:tcPr>
            <w:tcW w:w="2678" w:type="dxa"/>
          </w:tcPr>
          <w:p w:rsidR="00490CE6" w:rsidRPr="007516E0" w:rsidRDefault="00490CE6" w:rsidP="00E47BA8">
            <w:pPr>
              <w:rPr>
                <w:rFonts w:asciiTheme="minorHAnsi" w:hAnsiTheme="minorHAnsi"/>
                <w:szCs w:val="24"/>
              </w:rPr>
            </w:pPr>
            <w:proofErr w:type="gramStart"/>
            <w:r w:rsidRPr="007516E0">
              <w:rPr>
                <w:rFonts w:asciiTheme="minorHAnsi" w:hAnsiTheme="minorHAnsi"/>
                <w:i/>
                <w:iCs/>
                <w:szCs w:val="24"/>
              </w:rPr>
              <w:t>further</w:t>
            </w:r>
            <w:proofErr w:type="gramEnd"/>
            <w:r w:rsidRPr="007516E0">
              <w:rPr>
                <w:rFonts w:asciiTheme="minorHAnsi" w:hAnsiTheme="minorHAnsi"/>
                <w:i/>
                <w:iCs/>
                <w:szCs w:val="24"/>
              </w:rPr>
              <w:t xml:space="preserve"> invites ITU-R </w:t>
            </w:r>
            <w:r w:rsidRPr="007516E0">
              <w:rPr>
                <w:rFonts w:asciiTheme="minorHAnsi" w:hAnsiTheme="minorHAnsi"/>
                <w:szCs w:val="24"/>
              </w:rPr>
              <w:t xml:space="preserve">to ensure </w:t>
            </w:r>
            <w:proofErr w:type="spellStart"/>
            <w:r w:rsidRPr="007516E0">
              <w:rPr>
                <w:rFonts w:asciiTheme="minorHAnsi" w:hAnsiTheme="minorHAnsi"/>
                <w:szCs w:val="24"/>
              </w:rPr>
              <w:t>intersectoral</w:t>
            </w:r>
            <w:proofErr w:type="spellEnd"/>
            <w:r w:rsidRPr="007516E0">
              <w:rPr>
                <w:rFonts w:asciiTheme="minorHAnsi" w:hAnsiTheme="minorHAnsi"/>
                <w:szCs w:val="24"/>
              </w:rPr>
              <w:t xml:space="preserve"> collaboration with the ITU Telecommunication Development Sector (ITU-D) in the implementation of this resolution.</w:t>
            </w:r>
          </w:p>
          <w:p w:rsidR="00490CE6" w:rsidRPr="007516E0" w:rsidRDefault="00490CE6" w:rsidP="00E47BA8">
            <w:pPr>
              <w:rPr>
                <w:rFonts w:asciiTheme="minorHAnsi" w:hAnsiTheme="minorHAnsi"/>
                <w:i/>
                <w:iCs/>
                <w:szCs w:val="24"/>
              </w:rPr>
            </w:pPr>
          </w:p>
        </w:tc>
        <w:tc>
          <w:tcPr>
            <w:tcW w:w="2184" w:type="dxa"/>
          </w:tcPr>
          <w:p w:rsidR="00490CE6" w:rsidRPr="007516E0" w:rsidRDefault="00490CE6" w:rsidP="00E47BA8">
            <w:pPr>
              <w:rPr>
                <w:rFonts w:asciiTheme="minorHAnsi" w:hAnsiTheme="minorHAnsi"/>
                <w:szCs w:val="24"/>
              </w:rPr>
            </w:pPr>
            <w:r w:rsidRPr="007516E0">
              <w:rPr>
                <w:rFonts w:asciiTheme="minorHAnsi" w:hAnsiTheme="minorHAnsi"/>
                <w:szCs w:val="24"/>
              </w:rPr>
              <w:t xml:space="preserve">Resolution 9, </w:t>
            </w:r>
          </w:p>
          <w:p w:rsidR="00490CE6" w:rsidRPr="007516E0" w:rsidRDefault="00490CE6" w:rsidP="00E47BA8">
            <w:pPr>
              <w:rPr>
                <w:rFonts w:asciiTheme="minorHAnsi" w:hAnsiTheme="minorHAnsi"/>
                <w:szCs w:val="24"/>
              </w:rPr>
            </w:pPr>
            <w:r w:rsidRPr="007516E0">
              <w:rPr>
                <w:rFonts w:asciiTheme="minorHAnsi" w:hAnsiTheme="minorHAnsi"/>
                <w:szCs w:val="24"/>
              </w:rPr>
              <w:t>Workshop</w:t>
            </w:r>
            <w:bookmarkStart w:id="10" w:name="_GoBack"/>
            <w:bookmarkEnd w:id="10"/>
            <w:r w:rsidRPr="007516E0">
              <w:rPr>
                <w:rFonts w:asciiTheme="minorHAnsi" w:hAnsiTheme="minorHAnsi"/>
                <w:szCs w:val="24"/>
              </w:rPr>
              <w:t>s,</w:t>
            </w:r>
          </w:p>
          <w:p w:rsidR="00490CE6" w:rsidRPr="007516E0" w:rsidRDefault="00490CE6" w:rsidP="00E47BA8">
            <w:pPr>
              <w:rPr>
                <w:rFonts w:asciiTheme="minorHAnsi" w:hAnsiTheme="minorHAnsi"/>
                <w:szCs w:val="24"/>
              </w:rPr>
            </w:pPr>
            <w:r w:rsidRPr="007516E0">
              <w:rPr>
                <w:rFonts w:asciiTheme="minorHAnsi" w:hAnsiTheme="minorHAnsi"/>
                <w:szCs w:val="24"/>
              </w:rPr>
              <w:t>Surveys</w:t>
            </w:r>
          </w:p>
        </w:tc>
      </w:tr>
      <w:tr w:rsidR="00490CE6" w:rsidRPr="007516E0" w:rsidTr="00E47BA8">
        <w:trPr>
          <w:cantSplit/>
        </w:trPr>
        <w:tc>
          <w:tcPr>
            <w:tcW w:w="1452" w:type="dxa"/>
          </w:tcPr>
          <w:p w:rsidR="00490CE6" w:rsidRPr="007516E0" w:rsidRDefault="00490CE6" w:rsidP="00E47BA8">
            <w:pPr>
              <w:jc w:val="center"/>
              <w:rPr>
                <w:rFonts w:asciiTheme="minorHAnsi" w:hAnsiTheme="minorHAnsi"/>
                <w:b/>
                <w:bCs/>
                <w:szCs w:val="24"/>
              </w:rPr>
            </w:pPr>
            <w:r w:rsidRPr="007516E0">
              <w:rPr>
                <w:rFonts w:asciiTheme="minorHAnsi" w:hAnsiTheme="minorHAnsi"/>
                <w:b/>
                <w:bCs/>
                <w:szCs w:val="24"/>
              </w:rPr>
              <w:t>Time scale</w:t>
            </w:r>
          </w:p>
          <w:p w:rsidR="00490CE6" w:rsidRPr="007516E0" w:rsidRDefault="00490CE6" w:rsidP="00E47BA8">
            <w:pPr>
              <w:jc w:val="center"/>
              <w:rPr>
                <w:rFonts w:asciiTheme="minorHAnsi" w:hAnsiTheme="minorHAnsi"/>
                <w:b/>
                <w:bCs/>
                <w:szCs w:val="24"/>
              </w:rPr>
            </w:pPr>
          </w:p>
        </w:tc>
        <w:tc>
          <w:tcPr>
            <w:tcW w:w="1590" w:type="dxa"/>
          </w:tcPr>
          <w:p w:rsidR="00490CE6" w:rsidRPr="007516E0" w:rsidRDefault="00490CE6" w:rsidP="00E47BA8">
            <w:pPr>
              <w:jc w:val="center"/>
              <w:rPr>
                <w:rFonts w:asciiTheme="minorHAnsi" w:hAnsiTheme="minorHAnsi"/>
                <w:b/>
                <w:bCs/>
                <w:szCs w:val="24"/>
              </w:rPr>
            </w:pPr>
            <w:r w:rsidRPr="007516E0">
              <w:rPr>
                <w:rFonts w:asciiTheme="minorHAnsi" w:hAnsiTheme="minorHAnsi"/>
                <w:b/>
                <w:bCs/>
                <w:szCs w:val="24"/>
              </w:rPr>
              <w:t xml:space="preserve">Resolution 655 </w:t>
            </w:r>
          </w:p>
          <w:p w:rsidR="00490CE6" w:rsidRPr="007516E0" w:rsidRDefault="00490CE6" w:rsidP="00E47BA8">
            <w:pPr>
              <w:jc w:val="center"/>
              <w:rPr>
                <w:rFonts w:asciiTheme="minorHAnsi" w:hAnsiTheme="minorHAnsi"/>
                <w:b/>
                <w:bCs/>
                <w:szCs w:val="24"/>
              </w:rPr>
            </w:pPr>
            <w:r w:rsidRPr="007516E0">
              <w:rPr>
                <w:rFonts w:asciiTheme="minorHAnsi" w:hAnsiTheme="minorHAnsi"/>
                <w:szCs w:val="24"/>
              </w:rPr>
              <w:t>(COM5/1)</w:t>
            </w:r>
            <w:r w:rsidRPr="007516E0">
              <w:rPr>
                <w:rFonts w:asciiTheme="minorHAnsi" w:hAnsiTheme="minorHAnsi"/>
                <w:b/>
                <w:bCs/>
                <w:szCs w:val="24"/>
              </w:rPr>
              <w:t xml:space="preserve"> </w:t>
            </w:r>
          </w:p>
          <w:p w:rsidR="00490CE6" w:rsidRPr="007516E0" w:rsidRDefault="00490CE6" w:rsidP="00E47BA8">
            <w:pPr>
              <w:jc w:val="center"/>
              <w:rPr>
                <w:rFonts w:asciiTheme="minorHAnsi" w:hAnsiTheme="minorHAnsi"/>
                <w:b/>
                <w:bCs/>
                <w:szCs w:val="24"/>
              </w:rPr>
            </w:pPr>
          </w:p>
        </w:tc>
        <w:tc>
          <w:tcPr>
            <w:tcW w:w="2293" w:type="dxa"/>
          </w:tcPr>
          <w:p w:rsidR="00490CE6" w:rsidRPr="007516E0" w:rsidRDefault="00490CE6" w:rsidP="00E47BA8">
            <w:pPr>
              <w:rPr>
                <w:rFonts w:asciiTheme="minorHAnsi" w:hAnsiTheme="minorHAnsi"/>
                <w:szCs w:val="24"/>
              </w:rPr>
            </w:pPr>
            <w:r w:rsidRPr="007516E0">
              <w:rPr>
                <w:rFonts w:asciiTheme="minorHAnsi" w:hAnsiTheme="minorHAnsi"/>
                <w:szCs w:val="24"/>
              </w:rPr>
              <w:t xml:space="preserve">Definition of time scale and dissemination of time signals via </w:t>
            </w:r>
            <w:proofErr w:type="spellStart"/>
            <w:r w:rsidRPr="007516E0">
              <w:rPr>
                <w:rFonts w:asciiTheme="minorHAnsi" w:hAnsiTheme="minorHAnsi"/>
                <w:szCs w:val="24"/>
              </w:rPr>
              <w:t>radiocommunication</w:t>
            </w:r>
            <w:proofErr w:type="spellEnd"/>
            <w:r w:rsidRPr="007516E0">
              <w:rPr>
                <w:rFonts w:asciiTheme="minorHAnsi" w:hAnsiTheme="minorHAnsi"/>
                <w:szCs w:val="24"/>
              </w:rPr>
              <w:t xml:space="preserve"> systems</w:t>
            </w:r>
          </w:p>
        </w:tc>
        <w:tc>
          <w:tcPr>
            <w:tcW w:w="2678" w:type="dxa"/>
          </w:tcPr>
          <w:p w:rsidR="00490CE6" w:rsidRPr="007516E0" w:rsidRDefault="00490CE6" w:rsidP="00E47BA8">
            <w:pPr>
              <w:rPr>
                <w:rFonts w:asciiTheme="minorHAnsi" w:hAnsiTheme="minorHAnsi"/>
                <w:i/>
                <w:iCs/>
                <w:szCs w:val="24"/>
              </w:rPr>
            </w:pPr>
            <w:r w:rsidRPr="007516E0">
              <w:rPr>
                <w:rFonts w:asciiTheme="minorHAnsi" w:hAnsiTheme="minorHAnsi"/>
                <w:i/>
                <w:iCs/>
                <w:szCs w:val="24"/>
              </w:rPr>
              <w:t>invites the Director of the Telecommunication Development Bureau</w:t>
            </w:r>
          </w:p>
          <w:p w:rsidR="00490CE6" w:rsidRPr="007516E0" w:rsidRDefault="00490CE6" w:rsidP="00E47BA8">
            <w:pPr>
              <w:rPr>
                <w:rFonts w:asciiTheme="minorHAnsi" w:hAnsiTheme="minorHAnsi"/>
                <w:i/>
                <w:iCs/>
                <w:szCs w:val="24"/>
              </w:rPr>
            </w:pPr>
            <w:r w:rsidRPr="007516E0">
              <w:rPr>
                <w:rFonts w:asciiTheme="minorHAnsi" w:hAnsiTheme="minorHAnsi"/>
                <w:szCs w:val="24"/>
              </w:rPr>
              <w:t>to assist the participation of developing countries in meetings, within approved budgetary resources</w:t>
            </w:r>
          </w:p>
        </w:tc>
        <w:tc>
          <w:tcPr>
            <w:tcW w:w="2184" w:type="dxa"/>
          </w:tcPr>
          <w:p w:rsidR="00490CE6" w:rsidRPr="007516E0" w:rsidRDefault="00490CE6" w:rsidP="00E47BA8">
            <w:pPr>
              <w:rPr>
                <w:rFonts w:asciiTheme="minorHAnsi" w:hAnsiTheme="minorHAnsi"/>
                <w:szCs w:val="24"/>
              </w:rPr>
            </w:pPr>
            <w:r w:rsidRPr="007516E0">
              <w:rPr>
                <w:rFonts w:asciiTheme="minorHAnsi" w:hAnsiTheme="minorHAnsi"/>
                <w:szCs w:val="24"/>
              </w:rPr>
              <w:t>Fellowship</w:t>
            </w:r>
          </w:p>
          <w:p w:rsidR="00490CE6" w:rsidRPr="007516E0" w:rsidRDefault="00490CE6" w:rsidP="00E47BA8">
            <w:pPr>
              <w:rPr>
                <w:rFonts w:asciiTheme="minorHAnsi" w:hAnsiTheme="minorHAnsi"/>
                <w:szCs w:val="24"/>
              </w:rPr>
            </w:pPr>
            <w:r w:rsidRPr="007516E0">
              <w:rPr>
                <w:rFonts w:asciiTheme="minorHAnsi" w:hAnsiTheme="minorHAnsi"/>
                <w:szCs w:val="24"/>
              </w:rPr>
              <w:t>Remote participation</w:t>
            </w:r>
          </w:p>
          <w:p w:rsidR="00490CE6" w:rsidRPr="007516E0" w:rsidRDefault="00490CE6" w:rsidP="00E47BA8">
            <w:pPr>
              <w:rPr>
                <w:rFonts w:asciiTheme="minorHAnsi" w:hAnsiTheme="minorHAnsi"/>
                <w:szCs w:val="24"/>
              </w:rPr>
            </w:pPr>
            <w:r w:rsidRPr="007516E0">
              <w:rPr>
                <w:rFonts w:asciiTheme="minorHAnsi" w:hAnsiTheme="minorHAnsi"/>
                <w:szCs w:val="24"/>
              </w:rPr>
              <w:t>Meeting reports</w:t>
            </w:r>
          </w:p>
        </w:tc>
      </w:tr>
      <w:tr w:rsidR="00490CE6" w:rsidRPr="007516E0" w:rsidTr="00E47BA8">
        <w:trPr>
          <w:cantSplit/>
        </w:trPr>
        <w:tc>
          <w:tcPr>
            <w:tcW w:w="1452" w:type="dxa"/>
          </w:tcPr>
          <w:p w:rsidR="00490CE6" w:rsidRPr="007516E0" w:rsidRDefault="00490CE6" w:rsidP="00E47BA8">
            <w:pPr>
              <w:jc w:val="center"/>
              <w:rPr>
                <w:rFonts w:asciiTheme="minorHAnsi" w:hAnsiTheme="minorHAnsi"/>
                <w:b/>
                <w:bCs/>
                <w:szCs w:val="24"/>
              </w:rPr>
            </w:pPr>
            <w:r w:rsidRPr="007516E0">
              <w:rPr>
                <w:rFonts w:asciiTheme="minorHAnsi" w:hAnsiTheme="minorHAnsi"/>
                <w:b/>
                <w:bCs/>
                <w:szCs w:val="24"/>
              </w:rPr>
              <w:lastRenderedPageBreak/>
              <w:t>Palestine</w:t>
            </w:r>
          </w:p>
        </w:tc>
        <w:tc>
          <w:tcPr>
            <w:tcW w:w="1590" w:type="dxa"/>
          </w:tcPr>
          <w:p w:rsidR="00490CE6" w:rsidRPr="001B0BB1" w:rsidRDefault="00490CE6" w:rsidP="00E47BA8">
            <w:pPr>
              <w:jc w:val="center"/>
              <w:rPr>
                <w:rFonts w:asciiTheme="minorHAnsi" w:hAnsiTheme="minorHAnsi"/>
                <w:b/>
                <w:bCs/>
                <w:szCs w:val="24"/>
              </w:rPr>
            </w:pPr>
            <w:r w:rsidRPr="00F802CB">
              <w:rPr>
                <w:rFonts w:asciiTheme="minorHAnsi" w:hAnsiTheme="minorHAnsi"/>
                <w:b/>
                <w:bCs/>
                <w:szCs w:val="24"/>
              </w:rPr>
              <w:t>Resolution 12</w:t>
            </w:r>
          </w:p>
        </w:tc>
        <w:tc>
          <w:tcPr>
            <w:tcW w:w="2293" w:type="dxa"/>
          </w:tcPr>
          <w:p w:rsidR="00490CE6" w:rsidRPr="00F802CB" w:rsidRDefault="00490CE6" w:rsidP="00E47BA8">
            <w:pPr>
              <w:tabs>
                <w:tab w:val="clear" w:pos="794"/>
                <w:tab w:val="clear" w:pos="1191"/>
                <w:tab w:val="clear" w:pos="1588"/>
                <w:tab w:val="clear" w:pos="1985"/>
              </w:tabs>
              <w:overflowPunct/>
              <w:autoSpaceDE/>
              <w:autoSpaceDN/>
              <w:adjustRightInd/>
              <w:spacing w:before="0" w:line="276" w:lineRule="auto"/>
              <w:textAlignment w:val="auto"/>
              <w:rPr>
                <w:rFonts w:asciiTheme="minorHAnsi" w:hAnsiTheme="minorHAnsi"/>
                <w:szCs w:val="24"/>
              </w:rPr>
            </w:pPr>
            <w:r w:rsidRPr="00F802CB">
              <w:rPr>
                <w:rFonts w:asciiTheme="minorHAnsi" w:hAnsiTheme="minorHAnsi" w:cs="Times New Roman Bold,Bold"/>
                <w:szCs w:val="24"/>
              </w:rPr>
              <w:t>Assistance and support to Palestine</w:t>
            </w:r>
          </w:p>
          <w:p w:rsidR="00490CE6" w:rsidRPr="007516E0" w:rsidRDefault="00490CE6" w:rsidP="00E47BA8">
            <w:pPr>
              <w:ind w:left="709"/>
              <w:rPr>
                <w:rFonts w:asciiTheme="minorHAnsi" w:hAnsiTheme="minorHAnsi"/>
                <w:b/>
                <w:bCs/>
                <w:szCs w:val="24"/>
              </w:rPr>
            </w:pPr>
          </w:p>
        </w:tc>
        <w:tc>
          <w:tcPr>
            <w:tcW w:w="2678" w:type="dxa"/>
          </w:tcPr>
          <w:p w:rsidR="00490CE6" w:rsidRPr="007516E0" w:rsidRDefault="00490CE6" w:rsidP="00E47BA8">
            <w:pPr>
              <w:tabs>
                <w:tab w:val="clear" w:pos="794"/>
              </w:tabs>
              <w:ind w:left="-84"/>
              <w:rPr>
                <w:rFonts w:asciiTheme="minorHAnsi" w:hAnsiTheme="minorHAnsi"/>
                <w:i/>
                <w:iCs/>
                <w:szCs w:val="24"/>
              </w:rPr>
            </w:pPr>
            <w:r w:rsidRPr="007516E0">
              <w:rPr>
                <w:rFonts w:asciiTheme="minorHAnsi" w:hAnsiTheme="minorHAnsi"/>
                <w:i/>
                <w:iCs/>
                <w:szCs w:val="24"/>
              </w:rPr>
              <w:t xml:space="preserve">instructs the Director of the </w:t>
            </w:r>
            <w:proofErr w:type="spellStart"/>
            <w:r w:rsidRPr="007516E0">
              <w:rPr>
                <w:rFonts w:asciiTheme="minorHAnsi" w:hAnsiTheme="minorHAnsi"/>
                <w:i/>
                <w:iCs/>
                <w:szCs w:val="24"/>
              </w:rPr>
              <w:t>Radiocommunication</w:t>
            </w:r>
            <w:proofErr w:type="spellEnd"/>
            <w:r w:rsidRPr="007516E0">
              <w:rPr>
                <w:rFonts w:asciiTheme="minorHAnsi" w:hAnsiTheme="minorHAnsi"/>
                <w:i/>
                <w:iCs/>
                <w:szCs w:val="24"/>
              </w:rPr>
              <w:t xml:space="preserve"> Bureau and the Director of the</w:t>
            </w:r>
          </w:p>
          <w:p w:rsidR="00490CE6" w:rsidRPr="007516E0" w:rsidRDefault="00490CE6" w:rsidP="00E47BA8">
            <w:pPr>
              <w:tabs>
                <w:tab w:val="clear" w:pos="794"/>
              </w:tabs>
              <w:ind w:left="-84"/>
              <w:rPr>
                <w:rFonts w:asciiTheme="minorHAnsi" w:hAnsiTheme="minorHAnsi"/>
                <w:szCs w:val="24"/>
              </w:rPr>
            </w:pPr>
            <w:r w:rsidRPr="007516E0">
              <w:rPr>
                <w:rFonts w:asciiTheme="minorHAnsi" w:hAnsiTheme="minorHAnsi"/>
                <w:i/>
                <w:iCs/>
                <w:szCs w:val="24"/>
              </w:rPr>
              <w:t xml:space="preserve">Telecommunication Development Bureau </w:t>
            </w:r>
            <w:r w:rsidRPr="007516E0">
              <w:rPr>
                <w:rFonts w:asciiTheme="minorHAnsi" w:hAnsiTheme="minorHAnsi"/>
                <w:szCs w:val="24"/>
              </w:rPr>
              <w:t>to encourage all concerned parties in continuing bilateral negotiations and facilitate implementing the agreements and relevant resolutions, in order to undertake additional measures required for enhancing and developing the wireless telecommunication infrastructures, new technologies and services for Palestine,</w:t>
            </w:r>
          </w:p>
          <w:p w:rsidR="00490CE6" w:rsidRPr="007516E0" w:rsidRDefault="00490CE6" w:rsidP="00E47BA8">
            <w:pPr>
              <w:tabs>
                <w:tab w:val="clear" w:pos="794"/>
              </w:tabs>
              <w:ind w:left="-84"/>
              <w:rPr>
                <w:rFonts w:asciiTheme="minorHAnsi" w:hAnsiTheme="minorHAnsi"/>
                <w:i/>
                <w:iCs/>
                <w:szCs w:val="24"/>
              </w:rPr>
            </w:pPr>
            <w:r w:rsidRPr="007516E0">
              <w:rPr>
                <w:rFonts w:asciiTheme="minorHAnsi" w:hAnsiTheme="minorHAnsi"/>
                <w:i/>
                <w:iCs/>
                <w:szCs w:val="24"/>
              </w:rPr>
              <w:t xml:space="preserve">further instructs the Director of the </w:t>
            </w:r>
            <w:proofErr w:type="spellStart"/>
            <w:r w:rsidRPr="007516E0">
              <w:rPr>
                <w:rFonts w:asciiTheme="minorHAnsi" w:hAnsiTheme="minorHAnsi"/>
                <w:i/>
                <w:iCs/>
                <w:szCs w:val="24"/>
              </w:rPr>
              <w:t>Radiocommunication</w:t>
            </w:r>
            <w:proofErr w:type="spellEnd"/>
            <w:r w:rsidRPr="007516E0">
              <w:rPr>
                <w:rFonts w:asciiTheme="minorHAnsi" w:hAnsiTheme="minorHAnsi"/>
                <w:i/>
                <w:iCs/>
                <w:szCs w:val="24"/>
              </w:rPr>
              <w:t xml:space="preserve"> Bureau</w:t>
            </w:r>
          </w:p>
          <w:p w:rsidR="00490CE6" w:rsidRPr="007516E0" w:rsidRDefault="00490CE6" w:rsidP="00E47BA8">
            <w:pPr>
              <w:tabs>
                <w:tab w:val="clear" w:pos="794"/>
              </w:tabs>
              <w:ind w:left="-84"/>
              <w:rPr>
                <w:rFonts w:asciiTheme="minorHAnsi" w:hAnsiTheme="minorHAnsi"/>
                <w:i/>
                <w:iCs/>
                <w:szCs w:val="24"/>
              </w:rPr>
            </w:pPr>
            <w:r w:rsidRPr="007516E0">
              <w:rPr>
                <w:rFonts w:asciiTheme="minorHAnsi" w:hAnsiTheme="minorHAnsi"/>
                <w:szCs w:val="24"/>
              </w:rPr>
              <w:t xml:space="preserve"> to continue providing specialized assistance and support, in particular in the field of spectrum management and frequency assignment, to Palestine in collaboration with ITU-D, pursuant to the relevant ITU resolutions</w:t>
            </w:r>
          </w:p>
        </w:tc>
        <w:tc>
          <w:tcPr>
            <w:tcW w:w="2184" w:type="dxa"/>
          </w:tcPr>
          <w:p w:rsidR="00490CE6" w:rsidRPr="007516E0" w:rsidRDefault="00490CE6" w:rsidP="00E47BA8">
            <w:pPr>
              <w:rPr>
                <w:rFonts w:asciiTheme="minorHAnsi" w:hAnsiTheme="minorHAnsi"/>
                <w:szCs w:val="24"/>
              </w:rPr>
            </w:pPr>
            <w:r w:rsidRPr="007516E0">
              <w:rPr>
                <w:rFonts w:asciiTheme="minorHAnsi" w:hAnsiTheme="minorHAnsi"/>
                <w:szCs w:val="24"/>
              </w:rPr>
              <w:t>Direct country assistance</w:t>
            </w:r>
          </w:p>
        </w:tc>
      </w:tr>
    </w:tbl>
    <w:p w:rsidR="00490CE6" w:rsidRDefault="00490CE6" w:rsidP="00490CE6">
      <w:pPr>
        <w:rPr>
          <w:szCs w:val="24"/>
          <w:lang w:val="en-US"/>
        </w:rPr>
      </w:pPr>
      <w:r>
        <w:rPr>
          <w:szCs w:val="24"/>
          <w:lang w:val="en-US"/>
        </w:rPr>
        <w:t>The following Resolutions contain the Agenda for the forthcoming WRC (WRC-19) and the Preliminary Agenda for the WRC-23:</w:t>
      </w:r>
    </w:p>
    <w:p w:rsidR="00490CE6" w:rsidRPr="00237316" w:rsidRDefault="00490CE6" w:rsidP="00490CE6">
      <w:pPr>
        <w:pStyle w:val="ListParagraph"/>
        <w:numPr>
          <w:ilvl w:val="0"/>
          <w:numId w:val="35"/>
        </w:numPr>
        <w:tabs>
          <w:tab w:val="clear" w:pos="1191"/>
          <w:tab w:val="left" w:pos="709"/>
        </w:tabs>
        <w:ind w:left="567" w:hanging="567"/>
        <w:rPr>
          <w:szCs w:val="24"/>
          <w:lang w:val="en-US"/>
        </w:rPr>
      </w:pPr>
      <w:r w:rsidRPr="00237316">
        <w:rPr>
          <w:szCs w:val="24"/>
          <w:lang w:val="en-US"/>
        </w:rPr>
        <w:t>RESOLUTION 809 (COM6/16) (WRC 15)</w:t>
      </w:r>
    </w:p>
    <w:p w:rsidR="00490CE6" w:rsidRPr="00237316" w:rsidRDefault="00490CE6" w:rsidP="00490CE6">
      <w:pPr>
        <w:tabs>
          <w:tab w:val="clear" w:pos="1191"/>
          <w:tab w:val="left" w:pos="709"/>
        </w:tabs>
        <w:ind w:left="567" w:hanging="567"/>
        <w:rPr>
          <w:szCs w:val="24"/>
          <w:lang w:val="en-US"/>
        </w:rPr>
      </w:pPr>
      <w:r>
        <w:rPr>
          <w:szCs w:val="24"/>
          <w:lang w:val="en-US"/>
        </w:rPr>
        <w:tab/>
      </w:r>
      <w:r w:rsidRPr="00237316">
        <w:rPr>
          <w:szCs w:val="24"/>
          <w:lang w:val="en-US"/>
        </w:rPr>
        <w:t xml:space="preserve">Agenda for the 2019 World </w:t>
      </w:r>
      <w:proofErr w:type="spellStart"/>
      <w:r w:rsidRPr="00237316">
        <w:rPr>
          <w:szCs w:val="24"/>
          <w:lang w:val="en-US"/>
        </w:rPr>
        <w:t>Radiocommunication</w:t>
      </w:r>
      <w:proofErr w:type="spellEnd"/>
      <w:r w:rsidRPr="00237316">
        <w:rPr>
          <w:szCs w:val="24"/>
          <w:lang w:val="en-US"/>
        </w:rPr>
        <w:t xml:space="preserve"> Conference</w:t>
      </w:r>
    </w:p>
    <w:p w:rsidR="00490CE6" w:rsidRPr="00237316" w:rsidRDefault="00490CE6" w:rsidP="00490CE6">
      <w:pPr>
        <w:pStyle w:val="ListParagraph"/>
        <w:numPr>
          <w:ilvl w:val="0"/>
          <w:numId w:val="35"/>
        </w:numPr>
        <w:tabs>
          <w:tab w:val="clear" w:pos="1191"/>
          <w:tab w:val="left" w:pos="709"/>
        </w:tabs>
        <w:ind w:left="567" w:hanging="567"/>
        <w:rPr>
          <w:szCs w:val="24"/>
          <w:lang w:val="en-US"/>
        </w:rPr>
      </w:pPr>
      <w:r w:rsidRPr="00237316">
        <w:rPr>
          <w:szCs w:val="24"/>
          <w:lang w:val="en-US"/>
        </w:rPr>
        <w:t>RESOLUTION 810 (COM6/2) (WRC 15)</w:t>
      </w:r>
    </w:p>
    <w:p w:rsidR="00490CE6" w:rsidRPr="00237316" w:rsidRDefault="00490CE6" w:rsidP="00490CE6">
      <w:pPr>
        <w:tabs>
          <w:tab w:val="clear" w:pos="1191"/>
          <w:tab w:val="left" w:pos="709"/>
        </w:tabs>
        <w:ind w:left="567" w:hanging="567"/>
        <w:rPr>
          <w:szCs w:val="24"/>
          <w:lang w:val="en-US"/>
        </w:rPr>
      </w:pPr>
      <w:r>
        <w:rPr>
          <w:szCs w:val="24"/>
          <w:lang w:val="en-US"/>
        </w:rPr>
        <w:tab/>
      </w:r>
      <w:r w:rsidRPr="00237316">
        <w:rPr>
          <w:szCs w:val="24"/>
          <w:lang w:val="en-US"/>
        </w:rPr>
        <w:t xml:space="preserve">Preliminary agenda for the 2023 World </w:t>
      </w:r>
      <w:proofErr w:type="spellStart"/>
      <w:r w:rsidRPr="00237316">
        <w:rPr>
          <w:szCs w:val="24"/>
          <w:lang w:val="en-US"/>
        </w:rPr>
        <w:t>Radiocommunication</w:t>
      </w:r>
      <w:proofErr w:type="spellEnd"/>
      <w:r w:rsidRPr="00237316">
        <w:rPr>
          <w:szCs w:val="24"/>
          <w:lang w:val="en-US"/>
        </w:rPr>
        <w:t xml:space="preserve"> Conference</w:t>
      </w:r>
    </w:p>
    <w:p w:rsidR="00490CE6" w:rsidRPr="00707CFF" w:rsidRDefault="00490CE6" w:rsidP="00490CE6">
      <w:pPr>
        <w:rPr>
          <w:szCs w:val="24"/>
          <w:lang w:val="en-US"/>
        </w:rPr>
      </w:pPr>
      <w:r>
        <w:rPr>
          <w:szCs w:val="24"/>
          <w:lang w:val="en-US"/>
        </w:rPr>
        <w:t>Annex 1 contains</w:t>
      </w:r>
      <w:r w:rsidRPr="00707CFF">
        <w:rPr>
          <w:szCs w:val="24"/>
          <w:lang w:val="en-US"/>
        </w:rPr>
        <w:t xml:space="preserve"> Resolutions which can have special interests of the developing countries</w:t>
      </w:r>
      <w:r>
        <w:rPr>
          <w:szCs w:val="24"/>
          <w:lang w:val="en-US"/>
        </w:rPr>
        <w:t>.</w:t>
      </w:r>
    </w:p>
    <w:p w:rsidR="006D7DD7" w:rsidRPr="006E3686" w:rsidRDefault="006D7DD7" w:rsidP="00832CA5">
      <w:pPr>
        <w:spacing w:before="360"/>
        <w:jc w:val="center"/>
        <w:rPr>
          <w:rFonts w:ascii="Verdana" w:hAnsi="Verdana" w:cs="TimesNewRoman,Bold"/>
          <w:b/>
          <w:bCs/>
          <w:sz w:val="20"/>
        </w:rPr>
      </w:pPr>
      <w:r w:rsidRPr="006E3686">
        <w:rPr>
          <w:rFonts w:ascii="Verdana" w:hAnsi="Verdana" w:cs="TimesNewRoman,Bold"/>
          <w:b/>
          <w:bCs/>
          <w:sz w:val="20"/>
        </w:rPr>
        <w:lastRenderedPageBreak/>
        <w:t>Annex 1</w:t>
      </w:r>
      <w:r w:rsidRPr="006E3686">
        <w:rPr>
          <w:rFonts w:ascii="Verdana" w:hAnsi="Verdana" w:cs="TimesNewRoman,Bold"/>
          <w:b/>
          <w:bCs/>
          <w:sz w:val="20"/>
        </w:rPr>
        <w:br/>
        <w:t>to Document RPM-</w:t>
      </w:r>
      <w:r w:rsidR="00832CA5">
        <w:rPr>
          <w:rFonts w:ascii="Verdana" w:hAnsi="Verdana" w:cs="TimesNewRoman,Bold"/>
          <w:b/>
          <w:bCs/>
          <w:sz w:val="20"/>
        </w:rPr>
        <w:t>ASP17</w:t>
      </w:r>
      <w:r w:rsidRPr="006E3686">
        <w:rPr>
          <w:rFonts w:ascii="Verdana" w:hAnsi="Verdana" w:cs="TimesNewRoman,Bold"/>
          <w:b/>
          <w:bCs/>
          <w:sz w:val="20"/>
        </w:rPr>
        <w:t>/4-E</w:t>
      </w:r>
    </w:p>
    <w:p w:rsidR="006D7DD7" w:rsidRPr="00F36E6F" w:rsidRDefault="006D7DD7" w:rsidP="00F9757B">
      <w:pPr>
        <w:jc w:val="center"/>
        <w:rPr>
          <w:rFonts w:ascii="Verdana" w:hAnsi="Verdana" w:cs="TimesNewRoman,Bold"/>
          <w:b/>
          <w:bCs/>
          <w:sz w:val="20"/>
        </w:rPr>
      </w:pPr>
      <w:r w:rsidRPr="00F36E6F">
        <w:rPr>
          <w:rFonts w:ascii="Verdana" w:hAnsi="Verdana" w:cs="TimesNewRoman,Bold"/>
          <w:b/>
          <w:bCs/>
          <w:sz w:val="20"/>
        </w:rPr>
        <w:t xml:space="preserve">Recommendations and Resolutions which can have special interests </w:t>
      </w:r>
      <w:r>
        <w:rPr>
          <w:rFonts w:ascii="Verdana" w:hAnsi="Verdana" w:cs="TimesNewRoman,Bold"/>
          <w:b/>
          <w:bCs/>
          <w:sz w:val="20"/>
        </w:rPr>
        <w:br/>
        <w:t xml:space="preserve">for </w:t>
      </w:r>
      <w:r w:rsidRPr="00F36E6F">
        <w:rPr>
          <w:rFonts w:ascii="Verdana" w:hAnsi="Verdana" w:cs="TimesNewRoman,Bold"/>
          <w:b/>
          <w:bCs/>
          <w:sz w:val="20"/>
        </w:rPr>
        <w:t>the developing countries</w:t>
      </w:r>
    </w:p>
    <w:p w:rsidR="006D7DD7" w:rsidRPr="00D45011" w:rsidRDefault="006D7DD7" w:rsidP="006D7DD7">
      <w:pPr>
        <w:spacing w:before="240"/>
        <w:rPr>
          <w:rFonts w:ascii="Verdana" w:hAnsi="Verdana" w:cs="TimesNewRoman,Bold"/>
          <w:i/>
          <w:iCs/>
          <w:sz w:val="20"/>
        </w:rPr>
      </w:pPr>
      <w:r w:rsidRPr="00D45011">
        <w:rPr>
          <w:rFonts w:ascii="Verdana" w:hAnsi="Verdana" w:cs="TimesNewRoman,Bold"/>
          <w:i/>
          <w:iCs/>
          <w:sz w:val="20"/>
        </w:rPr>
        <w:t>R</w:t>
      </w:r>
      <w:r>
        <w:rPr>
          <w:rFonts w:ascii="Verdana" w:hAnsi="Verdana" w:cs="TimesNewRoman,Bold"/>
          <w:i/>
          <w:iCs/>
          <w:sz w:val="20"/>
        </w:rPr>
        <w:t>ecommendation 207 (Rev.WRC-15)</w:t>
      </w:r>
    </w:p>
    <w:p w:rsidR="006D7DD7" w:rsidRPr="00D45011" w:rsidRDefault="006D7DD7" w:rsidP="006D7DD7">
      <w:pPr>
        <w:spacing w:before="60"/>
        <w:rPr>
          <w:rFonts w:ascii="Verdana" w:hAnsi="Verdana"/>
          <w:i/>
          <w:iCs/>
          <w:sz w:val="20"/>
        </w:rPr>
      </w:pPr>
      <w:r w:rsidRPr="00D45011">
        <w:rPr>
          <w:rFonts w:ascii="Verdana" w:hAnsi="Verdana" w:cs="TimesNewRoman,Bold"/>
          <w:i/>
          <w:iCs/>
          <w:sz w:val="20"/>
        </w:rPr>
        <w:t>Future IMT systems</w:t>
      </w:r>
    </w:p>
    <w:p w:rsidR="006D7DD7" w:rsidRPr="00313799" w:rsidRDefault="006D7DD7" w:rsidP="006D7DD7">
      <w:pPr>
        <w:spacing w:before="240"/>
        <w:rPr>
          <w:rFonts w:ascii="Verdana" w:hAnsi="Verdana"/>
          <w:sz w:val="20"/>
        </w:rPr>
      </w:pPr>
      <w:r w:rsidRPr="00313799">
        <w:rPr>
          <w:rFonts w:ascii="Verdana" w:hAnsi="Verdana"/>
          <w:sz w:val="20"/>
        </w:rPr>
        <w:t>Resolution 5 (Rev.WRC-15)</w:t>
      </w:r>
    </w:p>
    <w:p w:rsidR="006D7DD7" w:rsidRPr="00313799" w:rsidRDefault="006D7DD7" w:rsidP="006D7DD7">
      <w:pPr>
        <w:spacing w:before="60"/>
        <w:rPr>
          <w:rFonts w:ascii="Verdana" w:hAnsi="Verdana"/>
          <w:sz w:val="20"/>
        </w:rPr>
      </w:pPr>
      <w:r w:rsidRPr="00313799">
        <w:rPr>
          <w:rFonts w:ascii="Verdana" w:hAnsi="Verdana"/>
          <w:sz w:val="20"/>
        </w:rPr>
        <w:t>Technical cooperation with the developing countries in the study of propagation in tropical and similar areas</w:t>
      </w:r>
      <w:r>
        <w:rPr>
          <w:rFonts w:ascii="Verdana" w:hAnsi="Verdana"/>
          <w:sz w:val="20"/>
        </w:rPr>
        <w:t xml:space="preserve"> </w:t>
      </w:r>
    </w:p>
    <w:p w:rsidR="006D7DD7" w:rsidRPr="00313799" w:rsidRDefault="006D7DD7" w:rsidP="006D7DD7">
      <w:pPr>
        <w:spacing w:before="240"/>
        <w:rPr>
          <w:rFonts w:ascii="Verdana" w:hAnsi="Verdana"/>
          <w:sz w:val="20"/>
        </w:rPr>
      </w:pPr>
      <w:r w:rsidRPr="00313799">
        <w:rPr>
          <w:rFonts w:ascii="Verdana" w:hAnsi="Verdana"/>
          <w:sz w:val="20"/>
        </w:rPr>
        <w:t>Resolution 12 (Rev.WRC-15)</w:t>
      </w:r>
    </w:p>
    <w:p w:rsidR="006D7DD7" w:rsidRDefault="006D7DD7" w:rsidP="006D7DD7">
      <w:pPr>
        <w:spacing w:before="60"/>
        <w:rPr>
          <w:rFonts w:ascii="Verdana" w:hAnsi="Verdana"/>
          <w:sz w:val="20"/>
        </w:rPr>
      </w:pPr>
      <w:r w:rsidRPr="00313799">
        <w:rPr>
          <w:rFonts w:ascii="Verdana" w:hAnsi="Verdana"/>
          <w:sz w:val="20"/>
        </w:rPr>
        <w:t>Assistance and support to Palestine</w:t>
      </w:r>
    </w:p>
    <w:p w:rsidR="006D7DD7" w:rsidRPr="00313799" w:rsidRDefault="006D7DD7" w:rsidP="006D7DD7">
      <w:pPr>
        <w:spacing w:before="240"/>
        <w:rPr>
          <w:rFonts w:ascii="Verdana" w:hAnsi="Verdana"/>
          <w:sz w:val="20"/>
        </w:rPr>
      </w:pPr>
      <w:r w:rsidRPr="00313799">
        <w:rPr>
          <w:rFonts w:ascii="Verdana" w:hAnsi="Verdana"/>
          <w:sz w:val="20"/>
        </w:rPr>
        <w:t>Resolution 49 (</w:t>
      </w:r>
      <w:proofErr w:type="spellStart"/>
      <w:r w:rsidRPr="00313799">
        <w:rPr>
          <w:rFonts w:ascii="Verdana" w:hAnsi="Verdana"/>
          <w:sz w:val="20"/>
        </w:rPr>
        <w:t>Rev.WRC</w:t>
      </w:r>
      <w:proofErr w:type="spellEnd"/>
      <w:r w:rsidRPr="00313799">
        <w:rPr>
          <w:rFonts w:ascii="Verdana" w:hAnsi="Verdana"/>
          <w:sz w:val="20"/>
        </w:rPr>
        <w:t xml:space="preserve"> 15)</w:t>
      </w:r>
    </w:p>
    <w:p w:rsidR="006D7DD7" w:rsidRDefault="006D7DD7" w:rsidP="006D7DD7">
      <w:pPr>
        <w:spacing w:before="60"/>
        <w:rPr>
          <w:rFonts w:ascii="Verdana" w:hAnsi="Verdana"/>
          <w:sz w:val="20"/>
        </w:rPr>
      </w:pPr>
      <w:r w:rsidRPr="00313799">
        <w:rPr>
          <w:rFonts w:ascii="Verdana" w:hAnsi="Verdana"/>
          <w:sz w:val="20"/>
        </w:rPr>
        <w:t xml:space="preserve">Administrative due diligence applicable to some satellite </w:t>
      </w:r>
      <w:proofErr w:type="spellStart"/>
      <w:r w:rsidRPr="00313799">
        <w:rPr>
          <w:rFonts w:ascii="Verdana" w:hAnsi="Verdana"/>
          <w:sz w:val="20"/>
        </w:rPr>
        <w:t>radiocommunication</w:t>
      </w:r>
      <w:proofErr w:type="spellEnd"/>
      <w:r w:rsidRPr="00313799">
        <w:rPr>
          <w:rFonts w:ascii="Verdana" w:hAnsi="Verdana"/>
          <w:sz w:val="20"/>
        </w:rPr>
        <w:t xml:space="preserve"> services</w:t>
      </w:r>
    </w:p>
    <w:p w:rsidR="006D7DD7" w:rsidRPr="00313799" w:rsidRDefault="006D7DD7" w:rsidP="006D7DD7">
      <w:pPr>
        <w:spacing w:before="240"/>
        <w:rPr>
          <w:rFonts w:ascii="Verdana" w:hAnsi="Verdana"/>
          <w:sz w:val="20"/>
        </w:rPr>
      </w:pPr>
      <w:r w:rsidRPr="00313799">
        <w:rPr>
          <w:rFonts w:ascii="Verdana" w:hAnsi="Verdana"/>
          <w:sz w:val="20"/>
        </w:rPr>
        <w:t>Resolution 55 (</w:t>
      </w:r>
      <w:proofErr w:type="spellStart"/>
      <w:r w:rsidRPr="00313799">
        <w:rPr>
          <w:rFonts w:ascii="Verdana" w:hAnsi="Verdana"/>
          <w:sz w:val="20"/>
        </w:rPr>
        <w:t>Rev.WRC</w:t>
      </w:r>
      <w:proofErr w:type="spellEnd"/>
      <w:r w:rsidRPr="00313799">
        <w:rPr>
          <w:rFonts w:ascii="Verdana" w:hAnsi="Verdana"/>
          <w:sz w:val="20"/>
        </w:rPr>
        <w:t xml:space="preserve"> 15)</w:t>
      </w:r>
    </w:p>
    <w:p w:rsidR="006D7DD7" w:rsidRDefault="006D7DD7" w:rsidP="006D7DD7">
      <w:pPr>
        <w:spacing w:before="60"/>
        <w:rPr>
          <w:rFonts w:ascii="Verdana" w:hAnsi="Verdana"/>
          <w:sz w:val="20"/>
        </w:rPr>
      </w:pPr>
      <w:r w:rsidRPr="00313799">
        <w:rPr>
          <w:rFonts w:ascii="Verdana" w:hAnsi="Verdana"/>
          <w:sz w:val="20"/>
        </w:rPr>
        <w:t>Electronic submission of notice forms for satellite networks, earth stations and radio astronomy stations</w:t>
      </w:r>
    </w:p>
    <w:p w:rsidR="006D7DD7" w:rsidRPr="00313799" w:rsidRDefault="006D7DD7" w:rsidP="006D7DD7">
      <w:pPr>
        <w:spacing w:before="240"/>
        <w:rPr>
          <w:rFonts w:ascii="Verdana" w:hAnsi="Verdana"/>
          <w:sz w:val="20"/>
        </w:rPr>
      </w:pPr>
      <w:r w:rsidRPr="00313799">
        <w:rPr>
          <w:rFonts w:ascii="Verdana" w:hAnsi="Verdana"/>
          <w:sz w:val="20"/>
        </w:rPr>
        <w:t>Resolution 81 (Rev.WRC-15)</w:t>
      </w:r>
    </w:p>
    <w:p w:rsidR="006D7DD7" w:rsidRDefault="006D7DD7" w:rsidP="006D7DD7">
      <w:pPr>
        <w:spacing w:before="60"/>
        <w:rPr>
          <w:rFonts w:ascii="Verdana" w:hAnsi="Verdana"/>
          <w:sz w:val="20"/>
        </w:rPr>
      </w:pPr>
      <w:r w:rsidRPr="00313799">
        <w:rPr>
          <w:rFonts w:ascii="Verdana" w:hAnsi="Verdana"/>
          <w:sz w:val="20"/>
        </w:rPr>
        <w:t>Evaluation of the administrative due diligence procedure for satellite networks</w:t>
      </w:r>
    </w:p>
    <w:p w:rsidR="006D7DD7" w:rsidRPr="00313799" w:rsidRDefault="006D7DD7" w:rsidP="006D7DD7">
      <w:pPr>
        <w:spacing w:before="240"/>
        <w:rPr>
          <w:rFonts w:ascii="Verdana" w:hAnsi="Verdana"/>
          <w:sz w:val="20"/>
        </w:rPr>
      </w:pPr>
      <w:r w:rsidRPr="00313799">
        <w:rPr>
          <w:rFonts w:ascii="Verdana" w:hAnsi="Verdana"/>
          <w:sz w:val="20"/>
        </w:rPr>
        <w:t>Resolution 144 (Rev.WRC-15)</w:t>
      </w:r>
    </w:p>
    <w:p w:rsidR="006D7DD7" w:rsidRDefault="006D7DD7" w:rsidP="006D7DD7">
      <w:pPr>
        <w:spacing w:before="60"/>
        <w:rPr>
          <w:rFonts w:ascii="Verdana" w:hAnsi="Verdana"/>
          <w:sz w:val="20"/>
        </w:rPr>
      </w:pPr>
      <w:r w:rsidRPr="00313799">
        <w:rPr>
          <w:rFonts w:ascii="Verdana" w:hAnsi="Verdana"/>
          <w:sz w:val="20"/>
        </w:rPr>
        <w:t>Special requirements of geographically small or narrow countries operating</w:t>
      </w:r>
      <w:r>
        <w:rPr>
          <w:rFonts w:ascii="Verdana" w:hAnsi="Verdana"/>
          <w:sz w:val="20"/>
        </w:rPr>
        <w:t xml:space="preserve"> </w:t>
      </w:r>
      <w:r w:rsidRPr="00313799">
        <w:rPr>
          <w:rFonts w:ascii="Verdana" w:hAnsi="Verdana"/>
          <w:sz w:val="20"/>
        </w:rPr>
        <w:t>earth stations in the fixed-satellite service in the band 13.75-14 GHz</w:t>
      </w:r>
    </w:p>
    <w:p w:rsidR="006D7DD7" w:rsidRPr="00B04BE2" w:rsidRDefault="006D7DD7" w:rsidP="006D7DD7">
      <w:pPr>
        <w:spacing w:before="240"/>
        <w:rPr>
          <w:rFonts w:ascii="Verdana" w:hAnsi="Verdana" w:cs="TimesNewRoman,Bold"/>
          <w:sz w:val="20"/>
        </w:rPr>
      </w:pPr>
      <w:r w:rsidRPr="00B04BE2">
        <w:rPr>
          <w:rFonts w:ascii="Verdana" w:hAnsi="Verdana" w:cs="TimesNewRoman,Bold"/>
          <w:sz w:val="20"/>
        </w:rPr>
        <w:t>Resolution 207 (Rev.WRC-15)</w:t>
      </w:r>
    </w:p>
    <w:p w:rsidR="006D7DD7" w:rsidRDefault="006D7DD7" w:rsidP="006D7DD7">
      <w:pPr>
        <w:spacing w:before="60"/>
        <w:rPr>
          <w:rFonts w:ascii="Verdana" w:hAnsi="Verdana" w:cs="TimesNewRoman,Bold"/>
          <w:sz w:val="20"/>
        </w:rPr>
      </w:pPr>
      <w:r w:rsidRPr="00B04BE2">
        <w:rPr>
          <w:rFonts w:ascii="Verdana" w:hAnsi="Verdana" w:cs="TimesNewRoman,Bold"/>
          <w:sz w:val="20"/>
        </w:rPr>
        <w:t>Measures to address unauthorized use of and interference to frequencies in</w:t>
      </w:r>
      <w:r>
        <w:rPr>
          <w:rFonts w:ascii="Verdana" w:hAnsi="Verdana" w:cs="TimesNewRoman,Bold"/>
          <w:sz w:val="20"/>
        </w:rPr>
        <w:t xml:space="preserve"> </w:t>
      </w:r>
      <w:r w:rsidRPr="00B04BE2">
        <w:rPr>
          <w:rFonts w:ascii="Verdana" w:hAnsi="Verdana" w:cs="TimesNewRoman,Bold"/>
          <w:sz w:val="20"/>
        </w:rPr>
        <w:t>the bands allocated to the maritime mobile service and to the</w:t>
      </w:r>
      <w:r>
        <w:rPr>
          <w:rFonts w:ascii="Verdana" w:hAnsi="Verdana" w:cs="TimesNewRoman,Bold"/>
          <w:sz w:val="20"/>
        </w:rPr>
        <w:t xml:space="preserve"> </w:t>
      </w:r>
      <w:r w:rsidRPr="00B04BE2">
        <w:rPr>
          <w:rFonts w:ascii="Verdana" w:hAnsi="Verdana" w:cs="TimesNewRoman,Bold"/>
          <w:sz w:val="20"/>
        </w:rPr>
        <w:t>aeronautical mobile (R) service</w:t>
      </w:r>
    </w:p>
    <w:p w:rsidR="006D7DD7" w:rsidRPr="002675F1" w:rsidRDefault="006D7DD7" w:rsidP="006D7DD7">
      <w:pPr>
        <w:spacing w:before="240"/>
        <w:rPr>
          <w:rFonts w:ascii="Verdana" w:hAnsi="Verdana" w:cs="TimesNewRoman,Bold"/>
          <w:sz w:val="20"/>
        </w:rPr>
      </w:pPr>
      <w:r w:rsidRPr="002675F1">
        <w:rPr>
          <w:rFonts w:ascii="Verdana" w:hAnsi="Verdana" w:cs="TimesNewRoman,Bold"/>
          <w:sz w:val="20"/>
        </w:rPr>
        <w:t>Resolution 212 (</w:t>
      </w:r>
      <w:proofErr w:type="spellStart"/>
      <w:r w:rsidRPr="002675F1">
        <w:rPr>
          <w:rFonts w:ascii="Verdana" w:hAnsi="Verdana" w:cs="TimesNewRoman,Bold"/>
          <w:sz w:val="20"/>
        </w:rPr>
        <w:t>Rev.WRC</w:t>
      </w:r>
      <w:proofErr w:type="spellEnd"/>
      <w:r w:rsidRPr="002675F1">
        <w:rPr>
          <w:rFonts w:ascii="Verdana" w:hAnsi="Verdana" w:cs="TimesNewRoman,Bold"/>
          <w:sz w:val="20"/>
        </w:rPr>
        <w:t xml:space="preserve"> 15)</w:t>
      </w:r>
    </w:p>
    <w:p w:rsidR="006D7DD7" w:rsidRPr="00B04BE2" w:rsidRDefault="006D7DD7" w:rsidP="006D7DD7">
      <w:pPr>
        <w:spacing w:before="60"/>
        <w:rPr>
          <w:rFonts w:ascii="Verdana" w:hAnsi="Verdana" w:cs="TimesNewRoman,Bold"/>
          <w:sz w:val="20"/>
        </w:rPr>
      </w:pPr>
      <w:r w:rsidRPr="00B04BE2">
        <w:rPr>
          <w:rFonts w:ascii="Verdana" w:hAnsi="Verdana" w:cs="TimesNewRoman,Bold"/>
          <w:sz w:val="20"/>
        </w:rPr>
        <w:t>Implementation of International Mobile Telecommunications in the frequency bands</w:t>
      </w:r>
      <w:r>
        <w:rPr>
          <w:rFonts w:ascii="Verdana" w:hAnsi="Verdana" w:cs="TimesNewRoman,Bold"/>
          <w:sz w:val="20"/>
        </w:rPr>
        <w:t xml:space="preserve"> </w:t>
      </w:r>
      <w:r>
        <w:rPr>
          <w:rFonts w:ascii="Verdana" w:hAnsi="Verdana" w:cs="TimesNewRoman,Bold"/>
          <w:sz w:val="20"/>
        </w:rPr>
        <w:br/>
      </w:r>
      <w:r w:rsidRPr="00B04BE2">
        <w:rPr>
          <w:rFonts w:ascii="Verdana" w:hAnsi="Verdana" w:cs="TimesNewRoman,Bold"/>
          <w:sz w:val="20"/>
        </w:rPr>
        <w:t>1 885-2 025 MHz and 2 110-2 200 MHz</w:t>
      </w:r>
    </w:p>
    <w:p w:rsidR="006D7DD7" w:rsidRPr="00B04BE2" w:rsidRDefault="006D7DD7" w:rsidP="006D7DD7">
      <w:pPr>
        <w:spacing w:before="240"/>
        <w:rPr>
          <w:rFonts w:ascii="Verdana" w:hAnsi="Verdana" w:cs="TimesNewRoman,Bold"/>
          <w:sz w:val="20"/>
        </w:rPr>
      </w:pPr>
      <w:r w:rsidRPr="00B04BE2">
        <w:rPr>
          <w:rFonts w:ascii="Verdana" w:hAnsi="Verdana" w:cs="TimesNewRoman,Bold"/>
          <w:sz w:val="20"/>
        </w:rPr>
        <w:t>Resolution 223 (</w:t>
      </w:r>
      <w:proofErr w:type="spellStart"/>
      <w:r w:rsidRPr="00B04BE2">
        <w:rPr>
          <w:rFonts w:ascii="Verdana" w:hAnsi="Verdana" w:cs="TimesNewRoman,Bold"/>
          <w:sz w:val="20"/>
        </w:rPr>
        <w:t>Rev.WRC</w:t>
      </w:r>
      <w:proofErr w:type="spellEnd"/>
      <w:r w:rsidRPr="00B04BE2">
        <w:rPr>
          <w:rFonts w:ascii="Verdana" w:hAnsi="Verdana" w:cs="TimesNewRoman,Bold"/>
          <w:sz w:val="20"/>
        </w:rPr>
        <w:t xml:space="preserve"> 15)</w:t>
      </w:r>
    </w:p>
    <w:p w:rsidR="006D7DD7" w:rsidRPr="00B04BE2" w:rsidRDefault="006D7DD7" w:rsidP="006D7DD7">
      <w:pPr>
        <w:spacing w:before="60"/>
        <w:rPr>
          <w:rFonts w:ascii="Verdana" w:hAnsi="Verdana" w:cs="TimesNewRoman,Bold"/>
          <w:sz w:val="20"/>
        </w:rPr>
      </w:pPr>
      <w:r w:rsidRPr="00B04BE2">
        <w:rPr>
          <w:rFonts w:ascii="Verdana" w:hAnsi="Verdana" w:cs="TimesNewRoman,Bold"/>
          <w:sz w:val="20"/>
        </w:rPr>
        <w:t>Additional frequency bands identified for International Mobile Telecommunications</w:t>
      </w:r>
    </w:p>
    <w:p w:rsidR="006D7DD7" w:rsidRPr="00B04BE2" w:rsidRDefault="006D7DD7" w:rsidP="006D7DD7">
      <w:pPr>
        <w:spacing w:before="240"/>
        <w:rPr>
          <w:rFonts w:ascii="Verdana" w:hAnsi="Verdana" w:cs="TimesNewRoman,Bold"/>
          <w:sz w:val="20"/>
        </w:rPr>
      </w:pPr>
      <w:r w:rsidRPr="00B04BE2">
        <w:rPr>
          <w:rFonts w:ascii="Verdana" w:hAnsi="Verdana" w:cs="TimesNewRoman,Bold"/>
          <w:sz w:val="20"/>
        </w:rPr>
        <w:t>Resolution 224 (</w:t>
      </w:r>
      <w:proofErr w:type="spellStart"/>
      <w:r w:rsidRPr="00B04BE2">
        <w:rPr>
          <w:rFonts w:ascii="Verdana" w:hAnsi="Verdana" w:cs="TimesNewRoman,Bold"/>
          <w:sz w:val="20"/>
        </w:rPr>
        <w:t>Rev.WRC</w:t>
      </w:r>
      <w:proofErr w:type="spellEnd"/>
      <w:r w:rsidRPr="00B04BE2">
        <w:rPr>
          <w:rFonts w:ascii="Verdana" w:hAnsi="Verdana" w:cs="TimesNewRoman,Bold"/>
          <w:sz w:val="20"/>
        </w:rPr>
        <w:t xml:space="preserve"> 15)</w:t>
      </w:r>
    </w:p>
    <w:p w:rsidR="006D7DD7" w:rsidRDefault="006D7DD7" w:rsidP="006D7DD7">
      <w:pPr>
        <w:spacing w:before="60"/>
        <w:rPr>
          <w:rFonts w:ascii="Verdana" w:hAnsi="Verdana" w:cs="TimesNewRoman,Bold"/>
          <w:sz w:val="20"/>
        </w:rPr>
      </w:pPr>
      <w:r w:rsidRPr="00B04BE2">
        <w:rPr>
          <w:rFonts w:ascii="Verdana" w:hAnsi="Verdana" w:cs="TimesNewRoman,Bold"/>
          <w:sz w:val="20"/>
        </w:rPr>
        <w:t>Frequency bands for the terrestrial component of International Mobile Telecommunications below 1 GHz</w:t>
      </w:r>
    </w:p>
    <w:p w:rsidR="006D7DD7" w:rsidRPr="00AE1834" w:rsidRDefault="006D7DD7" w:rsidP="006D7DD7">
      <w:pPr>
        <w:spacing w:before="240"/>
        <w:rPr>
          <w:rFonts w:ascii="Verdana" w:hAnsi="Verdana" w:cs="TimesNewRoman,Bold"/>
          <w:sz w:val="20"/>
        </w:rPr>
      </w:pPr>
      <w:r w:rsidRPr="00AE1834">
        <w:rPr>
          <w:rFonts w:ascii="Verdana" w:hAnsi="Verdana" w:cs="TimesNewRoman,Bold"/>
          <w:sz w:val="20"/>
        </w:rPr>
        <w:t>Resolution 535 (Rev.WRC-15)</w:t>
      </w:r>
    </w:p>
    <w:p w:rsidR="006D7DD7" w:rsidRDefault="006D7DD7" w:rsidP="006D7DD7">
      <w:pPr>
        <w:spacing w:before="60"/>
        <w:rPr>
          <w:rFonts w:ascii="Verdana" w:hAnsi="Verdana" w:cs="TimesNewRoman,Bold"/>
          <w:sz w:val="20"/>
        </w:rPr>
      </w:pPr>
      <w:r w:rsidRPr="00AE1834">
        <w:rPr>
          <w:rFonts w:ascii="Verdana" w:hAnsi="Verdana" w:cs="TimesNewRoman,Bold"/>
          <w:sz w:val="20"/>
        </w:rPr>
        <w:t>Information needed for the application of Article 12 of the Radio Regulations</w:t>
      </w:r>
    </w:p>
    <w:p w:rsidR="006D7DD7" w:rsidRPr="00AE1834" w:rsidRDefault="006D7DD7" w:rsidP="006D7DD7">
      <w:pPr>
        <w:spacing w:before="240"/>
        <w:rPr>
          <w:rFonts w:ascii="Verdana" w:hAnsi="Verdana" w:cs="TimesNewRoman,Bold"/>
          <w:sz w:val="20"/>
        </w:rPr>
      </w:pPr>
      <w:r w:rsidRPr="00AE1834">
        <w:rPr>
          <w:rFonts w:ascii="Verdana" w:hAnsi="Verdana" w:cs="TimesNewRoman,Bold"/>
          <w:sz w:val="20"/>
        </w:rPr>
        <w:t>Resolution 552 (</w:t>
      </w:r>
      <w:proofErr w:type="spellStart"/>
      <w:r w:rsidRPr="00AE1834">
        <w:rPr>
          <w:rFonts w:ascii="Verdana" w:hAnsi="Verdana" w:cs="TimesNewRoman,Bold"/>
          <w:sz w:val="20"/>
        </w:rPr>
        <w:t>Rev.WRC</w:t>
      </w:r>
      <w:proofErr w:type="spellEnd"/>
      <w:r w:rsidRPr="00AE1834">
        <w:rPr>
          <w:rFonts w:ascii="Verdana" w:hAnsi="Verdana" w:cs="TimesNewRoman,Bold"/>
          <w:sz w:val="20"/>
        </w:rPr>
        <w:t xml:space="preserve"> 15)</w:t>
      </w:r>
    </w:p>
    <w:p w:rsidR="006D7DD7" w:rsidRDefault="006D7DD7" w:rsidP="006D7DD7">
      <w:pPr>
        <w:spacing w:before="60"/>
        <w:rPr>
          <w:rFonts w:ascii="Verdana" w:hAnsi="Verdana" w:cs="TimesNewRoman,Bold"/>
          <w:sz w:val="20"/>
        </w:rPr>
      </w:pPr>
      <w:r w:rsidRPr="00AE1834">
        <w:rPr>
          <w:rFonts w:ascii="Verdana" w:hAnsi="Verdana" w:cs="TimesNewRoman,Bold"/>
          <w:sz w:val="20"/>
        </w:rPr>
        <w:t>Long-term access to and development in the</w:t>
      </w:r>
      <w:r>
        <w:rPr>
          <w:rFonts w:ascii="Verdana" w:hAnsi="Verdana" w:cs="TimesNewRoman,Bold"/>
          <w:sz w:val="20"/>
        </w:rPr>
        <w:t xml:space="preserve"> </w:t>
      </w:r>
      <w:r w:rsidRPr="00AE1834">
        <w:rPr>
          <w:rFonts w:ascii="Verdana" w:hAnsi="Verdana" w:cs="TimesNewRoman,Bold"/>
          <w:sz w:val="20"/>
        </w:rPr>
        <w:t>frequency ba</w:t>
      </w:r>
      <w:r>
        <w:rPr>
          <w:rFonts w:ascii="Verdana" w:hAnsi="Verdana" w:cs="TimesNewRoman,Bold"/>
          <w:sz w:val="20"/>
        </w:rPr>
        <w:t>nd 21.4-22 GHz in Regions 1 and </w:t>
      </w:r>
      <w:r w:rsidRPr="00AE1834">
        <w:rPr>
          <w:rFonts w:ascii="Verdana" w:hAnsi="Verdana" w:cs="TimesNewRoman,Bold"/>
          <w:sz w:val="20"/>
        </w:rPr>
        <w:t>3</w:t>
      </w:r>
    </w:p>
    <w:p w:rsidR="006D7DD7" w:rsidRPr="00AE1834" w:rsidRDefault="006D7DD7" w:rsidP="006D7DD7">
      <w:pPr>
        <w:keepNext/>
        <w:spacing w:before="240"/>
        <w:rPr>
          <w:rFonts w:ascii="Verdana" w:hAnsi="Verdana" w:cs="TimesNewRoman,Bold"/>
          <w:sz w:val="20"/>
        </w:rPr>
      </w:pPr>
      <w:r w:rsidRPr="00AE1834">
        <w:rPr>
          <w:rFonts w:ascii="Verdana" w:hAnsi="Verdana" w:cs="TimesNewRoman,Bold"/>
          <w:sz w:val="20"/>
        </w:rPr>
        <w:t>Resolution 553 (</w:t>
      </w:r>
      <w:proofErr w:type="spellStart"/>
      <w:r w:rsidRPr="00AE1834">
        <w:rPr>
          <w:rFonts w:ascii="Verdana" w:hAnsi="Verdana" w:cs="TimesNewRoman,Bold"/>
          <w:sz w:val="20"/>
        </w:rPr>
        <w:t>Rev.WRC</w:t>
      </w:r>
      <w:proofErr w:type="spellEnd"/>
      <w:r w:rsidRPr="00AE1834">
        <w:rPr>
          <w:rFonts w:ascii="Verdana" w:hAnsi="Verdana" w:cs="TimesNewRoman,Bold"/>
          <w:sz w:val="20"/>
        </w:rPr>
        <w:t xml:space="preserve"> 15)</w:t>
      </w:r>
    </w:p>
    <w:p w:rsidR="006D7DD7" w:rsidRPr="00AE1834" w:rsidRDefault="006D7DD7" w:rsidP="006D7DD7">
      <w:pPr>
        <w:spacing w:before="60"/>
        <w:rPr>
          <w:rFonts w:ascii="Verdana" w:hAnsi="Verdana" w:cs="TimesNewRoman,Bold"/>
          <w:sz w:val="20"/>
        </w:rPr>
      </w:pPr>
      <w:r w:rsidRPr="00AE1834">
        <w:rPr>
          <w:rFonts w:ascii="Verdana" w:hAnsi="Verdana" w:cs="TimesNewRoman,Bold"/>
          <w:sz w:val="20"/>
        </w:rPr>
        <w:t>Additional regulatory measures for broadcasting-satellite networks in the frequency band and 21.4-22 GHz in Regions 1 and 3 for the enhancement of equitable access to this frequency band</w:t>
      </w:r>
    </w:p>
    <w:p w:rsidR="006D7DD7" w:rsidRPr="00AE1834" w:rsidRDefault="006D7DD7" w:rsidP="006D7DD7">
      <w:pPr>
        <w:spacing w:before="240"/>
        <w:rPr>
          <w:rFonts w:ascii="Verdana" w:hAnsi="Verdana" w:cs="TimesNewRoman,Bold"/>
          <w:sz w:val="20"/>
        </w:rPr>
      </w:pPr>
      <w:r w:rsidRPr="00AE1834">
        <w:rPr>
          <w:rFonts w:ascii="Verdana" w:hAnsi="Verdana" w:cs="TimesNewRoman,Bold"/>
          <w:sz w:val="20"/>
        </w:rPr>
        <w:lastRenderedPageBreak/>
        <w:t>Resolution 555 (</w:t>
      </w:r>
      <w:proofErr w:type="spellStart"/>
      <w:r w:rsidRPr="00AE1834">
        <w:rPr>
          <w:rFonts w:ascii="Verdana" w:hAnsi="Verdana" w:cs="TimesNewRoman,Bold"/>
          <w:sz w:val="20"/>
        </w:rPr>
        <w:t>Rev.WRC</w:t>
      </w:r>
      <w:proofErr w:type="spellEnd"/>
      <w:r w:rsidRPr="00AE1834">
        <w:rPr>
          <w:rFonts w:ascii="Verdana" w:hAnsi="Verdana" w:cs="TimesNewRoman,Bold"/>
          <w:sz w:val="20"/>
        </w:rPr>
        <w:t xml:space="preserve"> 15)</w:t>
      </w:r>
    </w:p>
    <w:p w:rsidR="006D7DD7" w:rsidRDefault="006D7DD7" w:rsidP="006D7DD7">
      <w:pPr>
        <w:spacing w:before="60"/>
        <w:rPr>
          <w:rFonts w:ascii="Verdana" w:hAnsi="Verdana" w:cs="TimesNewRoman,Bold"/>
          <w:sz w:val="20"/>
        </w:rPr>
      </w:pPr>
      <w:r w:rsidRPr="00AE1834">
        <w:rPr>
          <w:rFonts w:ascii="Verdana" w:hAnsi="Verdana" w:cs="TimesNewRoman,Bold"/>
          <w:sz w:val="20"/>
        </w:rPr>
        <w:t>Additional regulatory provisions for broadcasting-satellite service networks in the frequency band 21.4-22 GHz in Regions 1 and 3 for the enhancement of equitable access to this frequency band</w:t>
      </w:r>
    </w:p>
    <w:p w:rsidR="006D7DD7" w:rsidRPr="00AE1834" w:rsidRDefault="006D7DD7" w:rsidP="0022380D">
      <w:pPr>
        <w:spacing w:before="240"/>
        <w:rPr>
          <w:rFonts w:ascii="Verdana" w:hAnsi="Verdana" w:cs="TimesNewRoman,Bold"/>
          <w:sz w:val="20"/>
        </w:rPr>
      </w:pPr>
      <w:r w:rsidRPr="00AE1834">
        <w:rPr>
          <w:rFonts w:ascii="Verdana" w:hAnsi="Verdana" w:cs="TimesNewRoman,Bold"/>
          <w:sz w:val="20"/>
        </w:rPr>
        <w:t>Resolution 646 (</w:t>
      </w:r>
      <w:proofErr w:type="spellStart"/>
      <w:r w:rsidRPr="00AE1834">
        <w:rPr>
          <w:rFonts w:ascii="Verdana" w:hAnsi="Verdana" w:cs="TimesNewRoman,Bold"/>
          <w:sz w:val="20"/>
        </w:rPr>
        <w:t>Rev.WRC</w:t>
      </w:r>
      <w:proofErr w:type="spellEnd"/>
      <w:r w:rsidRPr="00AE1834">
        <w:rPr>
          <w:rFonts w:ascii="Verdana" w:hAnsi="Verdana" w:cs="TimesNewRoman,Bold"/>
          <w:sz w:val="20"/>
        </w:rPr>
        <w:t xml:space="preserve"> 15)</w:t>
      </w:r>
    </w:p>
    <w:p w:rsidR="006D7DD7" w:rsidRPr="00AE1834" w:rsidRDefault="006D7DD7" w:rsidP="0022380D">
      <w:pPr>
        <w:spacing w:before="60"/>
        <w:rPr>
          <w:rFonts w:ascii="Verdana" w:hAnsi="Verdana" w:cs="TimesNewRoman,Bold"/>
          <w:sz w:val="20"/>
        </w:rPr>
      </w:pPr>
      <w:r w:rsidRPr="00AE1834">
        <w:rPr>
          <w:rFonts w:ascii="Verdana" w:hAnsi="Verdana" w:cs="TimesNewRoman,Bold"/>
          <w:sz w:val="20"/>
        </w:rPr>
        <w:t>Public protection and disaster relief</w:t>
      </w:r>
    </w:p>
    <w:p w:rsidR="006D7DD7" w:rsidRPr="00AE1834" w:rsidRDefault="006D7DD7" w:rsidP="0022380D">
      <w:pPr>
        <w:spacing w:before="240"/>
        <w:rPr>
          <w:rFonts w:ascii="Verdana" w:hAnsi="Verdana" w:cs="TimesNewRoman,Bold"/>
          <w:sz w:val="20"/>
        </w:rPr>
      </w:pPr>
      <w:r w:rsidRPr="00AE1834">
        <w:rPr>
          <w:rFonts w:ascii="Verdana" w:hAnsi="Verdana" w:cs="TimesNewRoman,Bold"/>
          <w:sz w:val="20"/>
        </w:rPr>
        <w:t>Resolution 647 (</w:t>
      </w:r>
      <w:proofErr w:type="spellStart"/>
      <w:r w:rsidRPr="00AE1834">
        <w:rPr>
          <w:rFonts w:ascii="Verdana" w:hAnsi="Verdana" w:cs="TimesNewRoman,Bold"/>
          <w:sz w:val="20"/>
        </w:rPr>
        <w:t>Rev.WRC</w:t>
      </w:r>
      <w:proofErr w:type="spellEnd"/>
      <w:r w:rsidRPr="00AE1834">
        <w:rPr>
          <w:rFonts w:ascii="Verdana" w:hAnsi="Verdana" w:cs="TimesNewRoman,Bold"/>
          <w:sz w:val="20"/>
        </w:rPr>
        <w:t xml:space="preserve"> 15)</w:t>
      </w:r>
    </w:p>
    <w:p w:rsidR="006D7DD7" w:rsidRDefault="006D7DD7" w:rsidP="0022380D">
      <w:pPr>
        <w:spacing w:before="60"/>
        <w:rPr>
          <w:rFonts w:ascii="Verdana" w:hAnsi="Verdana" w:cs="TimesNewRoman,Bold"/>
          <w:sz w:val="20"/>
        </w:rPr>
      </w:pPr>
      <w:proofErr w:type="spellStart"/>
      <w:r w:rsidRPr="00AE1834">
        <w:rPr>
          <w:rFonts w:ascii="Verdana" w:hAnsi="Verdana" w:cs="TimesNewRoman,Bold"/>
          <w:sz w:val="20"/>
        </w:rPr>
        <w:t>Radiocommunication</w:t>
      </w:r>
      <w:proofErr w:type="spellEnd"/>
      <w:r w:rsidRPr="00AE1834">
        <w:rPr>
          <w:rFonts w:ascii="Verdana" w:hAnsi="Verdana" w:cs="TimesNewRoman,Bold"/>
          <w:sz w:val="20"/>
        </w:rPr>
        <w:t xml:space="preserve"> aspects, including spectrum management guidelines, for early warning, disaster prediction, detection, mitigation and relief operations relating to emergencies and disasters</w:t>
      </w:r>
    </w:p>
    <w:p w:rsidR="006D7DD7" w:rsidRPr="00727FB0" w:rsidRDefault="006D7DD7" w:rsidP="0022380D">
      <w:pPr>
        <w:spacing w:before="240"/>
        <w:rPr>
          <w:rFonts w:ascii="Verdana" w:hAnsi="Verdana" w:cs="TimesNewRoman,Bold"/>
          <w:sz w:val="20"/>
        </w:rPr>
      </w:pPr>
      <w:r w:rsidRPr="00727FB0">
        <w:rPr>
          <w:rFonts w:ascii="Verdana" w:hAnsi="Verdana" w:cs="TimesNewRoman,Bold"/>
          <w:sz w:val="20"/>
        </w:rPr>
        <w:t>Resolution 906 (Rev.WRC-15)</w:t>
      </w:r>
    </w:p>
    <w:p w:rsidR="006D7DD7" w:rsidRPr="00AE1834" w:rsidRDefault="006D7DD7" w:rsidP="0022380D">
      <w:pPr>
        <w:spacing w:before="60"/>
        <w:rPr>
          <w:rFonts w:ascii="Verdana" w:hAnsi="Verdana" w:cs="TimesNewRoman,Bold"/>
          <w:sz w:val="20"/>
        </w:rPr>
      </w:pPr>
      <w:r w:rsidRPr="00727FB0">
        <w:rPr>
          <w:rFonts w:ascii="Verdana" w:hAnsi="Verdana" w:cs="TimesNewRoman,Bold"/>
          <w:sz w:val="20"/>
        </w:rPr>
        <w:t xml:space="preserve">Electronic submission of notices for terrestrial services to the </w:t>
      </w:r>
      <w:proofErr w:type="spellStart"/>
      <w:r w:rsidRPr="00727FB0">
        <w:rPr>
          <w:rFonts w:ascii="Verdana" w:hAnsi="Verdana" w:cs="TimesNewRoman,Bold"/>
          <w:sz w:val="20"/>
        </w:rPr>
        <w:t>Radiocommunication</w:t>
      </w:r>
      <w:proofErr w:type="spellEnd"/>
      <w:r w:rsidRPr="00727FB0">
        <w:rPr>
          <w:rFonts w:ascii="Verdana" w:hAnsi="Verdana" w:cs="TimesNewRoman,Bold"/>
          <w:sz w:val="20"/>
        </w:rPr>
        <w:t xml:space="preserve"> Bureau and exchange of data between administrations</w:t>
      </w:r>
    </w:p>
    <w:p w:rsidR="006D7DD7" w:rsidRPr="00727FB0" w:rsidRDefault="006D7DD7" w:rsidP="0022380D">
      <w:pPr>
        <w:spacing w:before="240"/>
        <w:rPr>
          <w:rFonts w:ascii="Verdana" w:hAnsi="Verdana" w:cs="TimesNewRoman,Bold"/>
          <w:sz w:val="20"/>
        </w:rPr>
      </w:pPr>
      <w:r w:rsidRPr="00727FB0">
        <w:rPr>
          <w:rFonts w:ascii="Verdana" w:hAnsi="Verdana" w:cs="TimesNewRoman,Bold"/>
          <w:sz w:val="20"/>
        </w:rPr>
        <w:t xml:space="preserve">Resolution </w:t>
      </w:r>
      <w:r>
        <w:rPr>
          <w:rFonts w:ascii="Verdana" w:hAnsi="Verdana" w:cs="TimesNewRoman,Bold"/>
          <w:sz w:val="20"/>
        </w:rPr>
        <w:t>760</w:t>
      </w:r>
      <w:r w:rsidRPr="00727FB0">
        <w:rPr>
          <w:rFonts w:ascii="Verdana" w:hAnsi="Verdana" w:cs="TimesNewRoman,Bold"/>
          <w:sz w:val="20"/>
        </w:rPr>
        <w:t xml:space="preserve"> (WRC 15)</w:t>
      </w:r>
    </w:p>
    <w:p w:rsidR="006D7DD7" w:rsidRDefault="006D7DD7" w:rsidP="0022380D">
      <w:pPr>
        <w:spacing w:before="60"/>
        <w:rPr>
          <w:rFonts w:ascii="Verdana" w:hAnsi="Verdana" w:cs="TimesNewRoman,Bold"/>
          <w:sz w:val="20"/>
        </w:rPr>
      </w:pPr>
      <w:r w:rsidRPr="00727FB0">
        <w:rPr>
          <w:rFonts w:ascii="Verdana" w:hAnsi="Verdana" w:cs="TimesNewRoman,Bold"/>
          <w:sz w:val="20"/>
        </w:rPr>
        <w:t>Provisions relating to the use of the frequency band 694-790 MHz in Region 1 by the mobile, except aeronautical mobile, service and by other services</w:t>
      </w:r>
    </w:p>
    <w:p w:rsidR="006D7DD7" w:rsidRPr="00727FB0" w:rsidRDefault="006D7DD7" w:rsidP="0022380D">
      <w:pPr>
        <w:spacing w:before="240"/>
        <w:rPr>
          <w:rFonts w:ascii="Verdana" w:hAnsi="Verdana" w:cs="TimesNewRoman,Bold"/>
          <w:sz w:val="20"/>
        </w:rPr>
      </w:pPr>
      <w:r w:rsidRPr="00727FB0">
        <w:rPr>
          <w:rFonts w:ascii="Verdana" w:hAnsi="Verdana" w:cs="TimesNewRoman,Bold"/>
          <w:sz w:val="20"/>
        </w:rPr>
        <w:t xml:space="preserve">Resolution </w:t>
      </w:r>
      <w:r>
        <w:rPr>
          <w:rFonts w:ascii="Verdana" w:hAnsi="Verdana" w:cs="TimesNewRoman,Bold"/>
          <w:sz w:val="20"/>
        </w:rPr>
        <w:t>235</w:t>
      </w:r>
      <w:r w:rsidRPr="00727FB0">
        <w:rPr>
          <w:rFonts w:ascii="Verdana" w:hAnsi="Verdana" w:cs="TimesNewRoman,Bold"/>
          <w:sz w:val="20"/>
        </w:rPr>
        <w:t xml:space="preserve"> (WRC-15)</w:t>
      </w:r>
    </w:p>
    <w:p w:rsidR="006D7DD7" w:rsidRDefault="006D7DD7" w:rsidP="0022380D">
      <w:pPr>
        <w:spacing w:before="60"/>
        <w:rPr>
          <w:rFonts w:ascii="Verdana" w:hAnsi="Verdana" w:cs="TimesNewRoman,Bold"/>
          <w:sz w:val="20"/>
        </w:rPr>
      </w:pPr>
      <w:r w:rsidRPr="00727FB0">
        <w:rPr>
          <w:rFonts w:ascii="Verdana" w:hAnsi="Verdana" w:cs="TimesNewRoman,Bold"/>
          <w:sz w:val="20"/>
        </w:rPr>
        <w:t>Review of the spectrum use of the frequency band 470-960 MHz in Region 1</w:t>
      </w:r>
    </w:p>
    <w:p w:rsidR="006D7DD7" w:rsidRPr="00727FB0" w:rsidRDefault="006D7DD7" w:rsidP="0022380D">
      <w:pPr>
        <w:spacing w:before="240"/>
        <w:rPr>
          <w:rFonts w:ascii="Verdana" w:hAnsi="Verdana" w:cs="TimesNewRoman,Bold"/>
          <w:sz w:val="20"/>
        </w:rPr>
      </w:pPr>
      <w:r w:rsidRPr="00727FB0">
        <w:rPr>
          <w:rFonts w:ascii="Verdana" w:hAnsi="Verdana" w:cs="TimesNewRoman,Bold"/>
          <w:sz w:val="20"/>
        </w:rPr>
        <w:t xml:space="preserve">Resolution </w:t>
      </w:r>
      <w:r>
        <w:rPr>
          <w:rFonts w:ascii="Verdana" w:hAnsi="Verdana" w:cs="TimesNewRoman,Bold"/>
          <w:sz w:val="20"/>
        </w:rPr>
        <w:t>655</w:t>
      </w:r>
      <w:r w:rsidRPr="00727FB0">
        <w:rPr>
          <w:rFonts w:ascii="Verdana" w:hAnsi="Verdana" w:cs="TimesNewRoman,Bold"/>
          <w:sz w:val="20"/>
        </w:rPr>
        <w:t xml:space="preserve"> (WRC-15)</w:t>
      </w:r>
    </w:p>
    <w:p w:rsidR="006D7DD7" w:rsidRDefault="006D7DD7" w:rsidP="0022380D">
      <w:pPr>
        <w:spacing w:before="60"/>
        <w:rPr>
          <w:rFonts w:ascii="Verdana" w:hAnsi="Verdana" w:cs="TimesNewRoman,Bold"/>
          <w:sz w:val="20"/>
        </w:rPr>
      </w:pPr>
      <w:r w:rsidRPr="00727FB0">
        <w:rPr>
          <w:rFonts w:ascii="Verdana" w:hAnsi="Verdana" w:cs="TimesNewRoman,Bold"/>
          <w:sz w:val="20"/>
        </w:rPr>
        <w:t xml:space="preserve">Definition of time scale and dissemination of time signals via </w:t>
      </w:r>
      <w:proofErr w:type="spellStart"/>
      <w:r w:rsidRPr="00727FB0">
        <w:rPr>
          <w:rFonts w:ascii="Verdana" w:hAnsi="Verdana" w:cs="TimesNewRoman,Bold"/>
          <w:sz w:val="20"/>
        </w:rPr>
        <w:t>radiocommunication</w:t>
      </w:r>
      <w:proofErr w:type="spellEnd"/>
      <w:r w:rsidRPr="00727FB0">
        <w:rPr>
          <w:rFonts w:ascii="Verdana" w:hAnsi="Verdana" w:cs="TimesNewRoman,Bold"/>
          <w:sz w:val="20"/>
        </w:rPr>
        <w:t xml:space="preserve"> systems</w:t>
      </w:r>
    </w:p>
    <w:p w:rsidR="006D7DD7" w:rsidRPr="00727FB0" w:rsidRDefault="006D7DD7" w:rsidP="0022380D">
      <w:pPr>
        <w:spacing w:before="240"/>
        <w:rPr>
          <w:rFonts w:ascii="Verdana" w:hAnsi="Verdana" w:cs="TimesNewRoman,Bold"/>
          <w:sz w:val="20"/>
        </w:rPr>
      </w:pPr>
      <w:r w:rsidRPr="00727FB0">
        <w:rPr>
          <w:rFonts w:ascii="Verdana" w:hAnsi="Verdana" w:cs="TimesNewRoman,Bold"/>
          <w:sz w:val="20"/>
        </w:rPr>
        <w:t xml:space="preserve">Resolution </w:t>
      </w:r>
      <w:r>
        <w:rPr>
          <w:rFonts w:ascii="Verdana" w:hAnsi="Verdana" w:cs="TimesNewRoman,Bold"/>
          <w:sz w:val="20"/>
        </w:rPr>
        <w:t>810</w:t>
      </w:r>
      <w:r w:rsidRPr="00727FB0">
        <w:rPr>
          <w:rFonts w:ascii="Verdana" w:hAnsi="Verdana" w:cs="TimesNewRoman,Bold"/>
          <w:sz w:val="20"/>
        </w:rPr>
        <w:t xml:space="preserve"> (WRC 15)</w:t>
      </w:r>
    </w:p>
    <w:p w:rsidR="006D7DD7" w:rsidRDefault="006D7DD7" w:rsidP="0022380D">
      <w:pPr>
        <w:spacing w:before="60"/>
        <w:rPr>
          <w:rFonts w:ascii="Verdana" w:hAnsi="Verdana" w:cs="TimesNewRoman,Bold"/>
          <w:sz w:val="20"/>
        </w:rPr>
      </w:pPr>
      <w:r w:rsidRPr="00727FB0">
        <w:rPr>
          <w:rFonts w:ascii="Verdana" w:hAnsi="Verdana" w:cs="TimesNewRoman,Bold"/>
          <w:sz w:val="20"/>
        </w:rPr>
        <w:t xml:space="preserve">Preliminary agenda for the 2023 World </w:t>
      </w:r>
      <w:proofErr w:type="spellStart"/>
      <w:r w:rsidRPr="00727FB0">
        <w:rPr>
          <w:rFonts w:ascii="Verdana" w:hAnsi="Verdana" w:cs="TimesNewRoman,Bold"/>
          <w:sz w:val="20"/>
        </w:rPr>
        <w:t>Radiocommunication</w:t>
      </w:r>
      <w:proofErr w:type="spellEnd"/>
      <w:r w:rsidRPr="00727FB0">
        <w:rPr>
          <w:rFonts w:ascii="Verdana" w:hAnsi="Verdana" w:cs="TimesNewRoman,Bold"/>
          <w:sz w:val="20"/>
        </w:rPr>
        <w:t xml:space="preserve"> Conference</w:t>
      </w:r>
    </w:p>
    <w:p w:rsidR="006D7DD7" w:rsidRPr="00727FB0" w:rsidRDefault="006D7DD7" w:rsidP="0022380D">
      <w:pPr>
        <w:spacing w:before="240"/>
        <w:rPr>
          <w:rFonts w:ascii="Verdana" w:hAnsi="Verdana" w:cs="TimesNewRoman,Bold"/>
          <w:sz w:val="20"/>
        </w:rPr>
      </w:pPr>
      <w:r w:rsidRPr="00727FB0">
        <w:rPr>
          <w:rFonts w:ascii="Verdana" w:hAnsi="Verdana" w:cs="TimesNewRoman,Bold"/>
          <w:sz w:val="20"/>
        </w:rPr>
        <w:t xml:space="preserve">Resolution </w:t>
      </w:r>
      <w:r>
        <w:rPr>
          <w:rFonts w:ascii="Verdana" w:hAnsi="Verdana" w:cs="TimesNewRoman,Bold"/>
          <w:sz w:val="20"/>
        </w:rPr>
        <w:t>236</w:t>
      </w:r>
      <w:r w:rsidRPr="00727FB0">
        <w:rPr>
          <w:rFonts w:ascii="Verdana" w:hAnsi="Verdana" w:cs="TimesNewRoman,Bold"/>
          <w:sz w:val="20"/>
        </w:rPr>
        <w:t xml:space="preserve"> (WRC-15)</w:t>
      </w:r>
    </w:p>
    <w:p w:rsidR="006D7DD7" w:rsidRDefault="006D7DD7" w:rsidP="0022380D">
      <w:pPr>
        <w:spacing w:before="60"/>
        <w:rPr>
          <w:rFonts w:ascii="Verdana" w:hAnsi="Verdana" w:cs="TimesNewRoman,Bold"/>
          <w:sz w:val="20"/>
        </w:rPr>
      </w:pPr>
      <w:r w:rsidRPr="00727FB0">
        <w:rPr>
          <w:rFonts w:ascii="Verdana" w:hAnsi="Verdana" w:cs="TimesNewRoman,Bold"/>
          <w:sz w:val="20"/>
        </w:rPr>
        <w:t xml:space="preserve">Railway </w:t>
      </w:r>
      <w:proofErr w:type="spellStart"/>
      <w:r w:rsidRPr="00727FB0">
        <w:rPr>
          <w:rFonts w:ascii="Verdana" w:hAnsi="Verdana" w:cs="TimesNewRoman,Bold"/>
          <w:sz w:val="20"/>
        </w:rPr>
        <w:t>radiocommunication</w:t>
      </w:r>
      <w:proofErr w:type="spellEnd"/>
      <w:r w:rsidRPr="00727FB0">
        <w:rPr>
          <w:rFonts w:ascii="Verdana" w:hAnsi="Verdana" w:cs="TimesNewRoman,Bold"/>
          <w:sz w:val="20"/>
        </w:rPr>
        <w:t xml:space="preserve"> systems between train and trackside</w:t>
      </w:r>
    </w:p>
    <w:p w:rsidR="006D7DD7" w:rsidRPr="00727FB0" w:rsidRDefault="006D7DD7" w:rsidP="0022380D">
      <w:pPr>
        <w:spacing w:before="240"/>
        <w:rPr>
          <w:rFonts w:ascii="Verdana" w:hAnsi="Verdana" w:cs="TimesNewRoman,Bold"/>
          <w:sz w:val="20"/>
        </w:rPr>
      </w:pPr>
      <w:r w:rsidRPr="00727FB0">
        <w:rPr>
          <w:rFonts w:ascii="Verdana" w:hAnsi="Verdana" w:cs="TimesNewRoman,Bold"/>
          <w:sz w:val="20"/>
        </w:rPr>
        <w:t xml:space="preserve">Resolution </w:t>
      </w:r>
      <w:r>
        <w:rPr>
          <w:rFonts w:ascii="Verdana" w:hAnsi="Verdana" w:cs="TimesNewRoman,Bold"/>
          <w:sz w:val="20"/>
        </w:rPr>
        <w:t>809</w:t>
      </w:r>
      <w:r w:rsidRPr="00727FB0">
        <w:rPr>
          <w:rFonts w:ascii="Verdana" w:hAnsi="Verdana" w:cs="TimesNewRoman,Bold"/>
          <w:sz w:val="20"/>
        </w:rPr>
        <w:t xml:space="preserve"> (WRC 15)</w:t>
      </w:r>
    </w:p>
    <w:p w:rsidR="006D7DD7" w:rsidRDefault="006D7DD7" w:rsidP="0022380D">
      <w:pPr>
        <w:spacing w:before="60"/>
        <w:rPr>
          <w:rFonts w:ascii="Verdana" w:hAnsi="Verdana" w:cs="TimesNewRoman,Bold"/>
          <w:sz w:val="20"/>
        </w:rPr>
      </w:pPr>
      <w:r w:rsidRPr="00727FB0">
        <w:rPr>
          <w:rFonts w:ascii="Verdana" w:hAnsi="Verdana" w:cs="TimesNewRoman,Bold"/>
          <w:sz w:val="20"/>
        </w:rPr>
        <w:t xml:space="preserve">Agenda for the 2019 World </w:t>
      </w:r>
      <w:proofErr w:type="spellStart"/>
      <w:r w:rsidRPr="00727FB0">
        <w:rPr>
          <w:rFonts w:ascii="Verdana" w:hAnsi="Verdana" w:cs="TimesNewRoman,Bold"/>
          <w:sz w:val="20"/>
        </w:rPr>
        <w:t>Radiocommunication</w:t>
      </w:r>
      <w:proofErr w:type="spellEnd"/>
      <w:r w:rsidRPr="00727FB0">
        <w:rPr>
          <w:rFonts w:ascii="Verdana" w:hAnsi="Verdana" w:cs="TimesNewRoman,Bold"/>
          <w:sz w:val="20"/>
        </w:rPr>
        <w:t xml:space="preserve"> Conference</w:t>
      </w:r>
    </w:p>
    <w:p w:rsidR="006D7DD7" w:rsidRPr="00727FB0" w:rsidRDefault="006D7DD7" w:rsidP="0022380D">
      <w:pPr>
        <w:spacing w:before="240"/>
        <w:rPr>
          <w:rFonts w:ascii="Verdana" w:hAnsi="Verdana" w:cs="TimesNewRoman,Bold"/>
          <w:sz w:val="20"/>
        </w:rPr>
      </w:pPr>
      <w:r w:rsidRPr="00727FB0">
        <w:rPr>
          <w:rFonts w:ascii="Verdana" w:hAnsi="Verdana" w:cs="TimesNewRoman,Bold"/>
          <w:sz w:val="20"/>
        </w:rPr>
        <w:t xml:space="preserve">Resolution </w:t>
      </w:r>
      <w:r>
        <w:rPr>
          <w:rFonts w:ascii="Verdana" w:hAnsi="Verdana" w:cs="TimesNewRoman,Bold"/>
          <w:sz w:val="20"/>
        </w:rPr>
        <w:t>238</w:t>
      </w:r>
      <w:r w:rsidRPr="00727FB0">
        <w:rPr>
          <w:rFonts w:ascii="Verdana" w:hAnsi="Verdana" w:cs="TimesNewRoman,Bold"/>
          <w:sz w:val="20"/>
        </w:rPr>
        <w:t xml:space="preserve"> (WRC 15)</w:t>
      </w:r>
    </w:p>
    <w:p w:rsidR="006D7DD7" w:rsidRDefault="006D7DD7" w:rsidP="0022380D">
      <w:pPr>
        <w:spacing w:before="60"/>
        <w:rPr>
          <w:rFonts w:ascii="Verdana" w:hAnsi="Verdana" w:cs="TimesNewRoman,Bold"/>
          <w:sz w:val="20"/>
        </w:rPr>
      </w:pPr>
      <w:r w:rsidRPr="00727FB0">
        <w:rPr>
          <w:rFonts w:ascii="Verdana" w:hAnsi="Verdana" w:cs="TimesNewRoman,Bold"/>
          <w:sz w:val="20"/>
        </w:rPr>
        <w:t>Studies on frequency-related matters for International Mobile Telecommunications identification including possible additional allocations to the mobile services on a primary basis in portion(s) of the frequency range between 24.25 and 86 GHz for the future development of Internat</w:t>
      </w:r>
      <w:r>
        <w:rPr>
          <w:rFonts w:ascii="Verdana" w:hAnsi="Verdana" w:cs="TimesNewRoman,Bold"/>
          <w:sz w:val="20"/>
        </w:rPr>
        <w:t xml:space="preserve">ional Mobile Telecommunications </w:t>
      </w:r>
      <w:r w:rsidRPr="00727FB0">
        <w:rPr>
          <w:rFonts w:ascii="Verdana" w:hAnsi="Verdana" w:cs="TimesNewRoman,Bold"/>
          <w:sz w:val="20"/>
        </w:rPr>
        <w:t>for 2020 and beyond</w:t>
      </w:r>
    </w:p>
    <w:p w:rsidR="006D7DD7" w:rsidRPr="005E2C3B" w:rsidRDefault="006D7DD7" w:rsidP="0022380D">
      <w:pPr>
        <w:spacing w:before="240"/>
        <w:rPr>
          <w:rFonts w:ascii="Verdana" w:hAnsi="Verdana" w:cs="TimesNewRoman,Bold"/>
          <w:sz w:val="20"/>
        </w:rPr>
      </w:pPr>
      <w:r w:rsidRPr="005E2C3B">
        <w:rPr>
          <w:rFonts w:ascii="Verdana" w:hAnsi="Verdana" w:cs="TimesNewRoman,Bold"/>
          <w:sz w:val="20"/>
        </w:rPr>
        <w:t xml:space="preserve">Resolution </w:t>
      </w:r>
      <w:r>
        <w:rPr>
          <w:rFonts w:ascii="Verdana" w:hAnsi="Verdana" w:cs="TimesNewRoman,Bold"/>
          <w:sz w:val="20"/>
        </w:rPr>
        <w:t>160</w:t>
      </w:r>
      <w:r w:rsidRPr="005E2C3B">
        <w:rPr>
          <w:rFonts w:ascii="Verdana" w:hAnsi="Verdana" w:cs="TimesNewRoman,Bold"/>
          <w:sz w:val="20"/>
        </w:rPr>
        <w:t xml:space="preserve"> (WRC 15)</w:t>
      </w:r>
    </w:p>
    <w:p w:rsidR="006D7DD7" w:rsidRDefault="006D7DD7" w:rsidP="0022380D">
      <w:pPr>
        <w:spacing w:before="60"/>
        <w:rPr>
          <w:rFonts w:ascii="Verdana" w:hAnsi="Verdana" w:cs="TimesNewRoman,Bold"/>
          <w:sz w:val="20"/>
        </w:rPr>
      </w:pPr>
      <w:r w:rsidRPr="005E2C3B">
        <w:rPr>
          <w:rFonts w:ascii="Verdana" w:hAnsi="Verdana" w:cs="TimesNewRoman,Bold"/>
          <w:sz w:val="20"/>
        </w:rPr>
        <w:t>Facilitating access to broadband applications delivered by high-altitude platform stations</w:t>
      </w:r>
    </w:p>
    <w:p w:rsidR="006D7DD7" w:rsidRPr="002675F1" w:rsidRDefault="006D7DD7" w:rsidP="00F36E6F">
      <w:pPr>
        <w:jc w:val="center"/>
      </w:pPr>
      <w:r>
        <w:t>______________</w:t>
      </w:r>
    </w:p>
    <w:sectPr w:rsidR="006D7DD7" w:rsidRPr="002675F1" w:rsidSect="006D7DD7">
      <w:headerReference w:type="default" r:id="rId8"/>
      <w:footerReference w:type="first" r:id="rId9"/>
      <w:pgSz w:w="11909" w:h="16834" w:code="9"/>
      <w:pgMar w:top="139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D06" w:rsidRDefault="00034D06">
      <w:r>
        <w:separator/>
      </w:r>
    </w:p>
  </w:endnote>
  <w:endnote w:type="continuationSeparator" w:id="0">
    <w:p w:rsidR="00034D06" w:rsidRDefault="0003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New Roman Bold,Bold">
    <w:panose1 w:val="00000000000000000000"/>
    <w:charset w:val="00"/>
    <w:family w:val="swiss"/>
    <w:notTrueType/>
    <w:pitch w:val="default"/>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Layout w:type="fixed"/>
      <w:tblLook w:val="04A0" w:firstRow="1" w:lastRow="0" w:firstColumn="1" w:lastColumn="0" w:noHBand="0" w:noVBand="1"/>
    </w:tblPr>
    <w:tblGrid>
      <w:gridCol w:w="1526"/>
      <w:gridCol w:w="2410"/>
      <w:gridCol w:w="6412"/>
    </w:tblGrid>
    <w:tr w:rsidR="00831C97" w:rsidRPr="004D495C" w:rsidTr="00831C97">
      <w:tc>
        <w:tcPr>
          <w:tcW w:w="1526" w:type="dxa"/>
          <w:tcBorders>
            <w:top w:val="single" w:sz="4" w:space="0" w:color="000000"/>
          </w:tcBorders>
          <w:shd w:val="clear" w:color="auto" w:fill="auto"/>
        </w:tcPr>
        <w:p w:rsidR="00831C97" w:rsidRPr="004D495C" w:rsidRDefault="001B3F42" w:rsidP="00831C97">
          <w:pPr>
            <w:pStyle w:val="FirstFooter"/>
            <w:tabs>
              <w:tab w:val="left" w:pos="1559"/>
              <w:tab w:val="left" w:pos="3828"/>
            </w:tabs>
            <w:rPr>
              <w:sz w:val="18"/>
              <w:szCs w:val="18"/>
            </w:rPr>
          </w:pPr>
          <w:r>
            <w:rPr>
              <w:sz w:val="18"/>
              <w:szCs w:val="18"/>
              <w:lang w:val="en-US"/>
            </w:rPr>
            <w:t>Contact Point</w:t>
          </w:r>
          <w:r w:rsidR="00831C97" w:rsidRPr="004D495C">
            <w:rPr>
              <w:sz w:val="18"/>
              <w:szCs w:val="18"/>
              <w:lang w:val="en-US"/>
            </w:rPr>
            <w:t>:</w:t>
          </w:r>
        </w:p>
      </w:tc>
      <w:tc>
        <w:tcPr>
          <w:tcW w:w="2410" w:type="dxa"/>
          <w:tcBorders>
            <w:top w:val="single" w:sz="4" w:space="0" w:color="000000"/>
          </w:tcBorders>
          <w:shd w:val="clear" w:color="auto" w:fill="auto"/>
        </w:tcPr>
        <w:p w:rsidR="00831C97" w:rsidRPr="004D495C" w:rsidRDefault="00831C97" w:rsidP="00831C97">
          <w:pPr>
            <w:pStyle w:val="FirstFooter"/>
            <w:tabs>
              <w:tab w:val="left" w:pos="2302"/>
            </w:tabs>
            <w:ind w:left="2302" w:hanging="2302"/>
            <w:rPr>
              <w:sz w:val="18"/>
              <w:szCs w:val="18"/>
              <w:lang w:val="en-US"/>
            </w:rPr>
          </w:pPr>
          <w:r w:rsidRPr="004D495C">
            <w:rPr>
              <w:sz w:val="18"/>
              <w:szCs w:val="18"/>
              <w:lang w:val="en-US"/>
            </w:rPr>
            <w:t>Name/Organization/Entity:</w:t>
          </w:r>
        </w:p>
      </w:tc>
      <w:tc>
        <w:tcPr>
          <w:tcW w:w="6412" w:type="dxa"/>
          <w:tcBorders>
            <w:top w:val="single" w:sz="4" w:space="0" w:color="000000"/>
          </w:tcBorders>
          <w:shd w:val="clear" w:color="auto" w:fill="auto"/>
        </w:tcPr>
        <w:p w:rsidR="00831C97" w:rsidRPr="004D495C" w:rsidRDefault="002E1C1B" w:rsidP="002E1C1B">
          <w:pPr>
            <w:pStyle w:val="FirstFooter"/>
            <w:tabs>
              <w:tab w:val="left" w:pos="2302"/>
            </w:tabs>
            <w:rPr>
              <w:sz w:val="18"/>
              <w:szCs w:val="18"/>
              <w:highlight w:val="yellow"/>
              <w:lang w:val="en-US"/>
            </w:rPr>
          </w:pPr>
          <w:bookmarkStart w:id="13" w:name="OrgName"/>
          <w:bookmarkEnd w:id="13"/>
          <w:proofErr w:type="spellStart"/>
          <w:r w:rsidRPr="002E1C1B">
            <w:rPr>
              <w:sz w:val="18"/>
              <w:szCs w:val="18"/>
              <w:lang w:val="en-US"/>
            </w:rPr>
            <w:t>Mr</w:t>
          </w:r>
          <w:proofErr w:type="spellEnd"/>
          <w:r w:rsidRPr="002E1C1B">
            <w:rPr>
              <w:sz w:val="18"/>
              <w:szCs w:val="18"/>
              <w:lang w:val="en-US"/>
            </w:rPr>
            <w:t xml:space="preserve"> K. Huseinovic, Chief, Infrastructure, Enabling Environment and E-Applications Department (BDT/IEE)</w:t>
          </w:r>
        </w:p>
      </w:tc>
    </w:tr>
    <w:tr w:rsidR="009E2426" w:rsidRPr="004D495C" w:rsidTr="00831C97">
      <w:tc>
        <w:tcPr>
          <w:tcW w:w="1526" w:type="dxa"/>
          <w:shd w:val="clear" w:color="auto" w:fill="auto"/>
        </w:tcPr>
        <w:p w:rsidR="009E2426" w:rsidRPr="004D495C" w:rsidRDefault="009E2426" w:rsidP="009E2426">
          <w:pPr>
            <w:pStyle w:val="FirstFooter"/>
            <w:tabs>
              <w:tab w:val="left" w:pos="1559"/>
              <w:tab w:val="left" w:pos="3828"/>
            </w:tabs>
            <w:rPr>
              <w:sz w:val="20"/>
              <w:lang w:val="en-US"/>
            </w:rPr>
          </w:pPr>
        </w:p>
      </w:tc>
      <w:tc>
        <w:tcPr>
          <w:tcW w:w="2410" w:type="dxa"/>
          <w:shd w:val="clear" w:color="auto" w:fill="auto"/>
        </w:tcPr>
        <w:p w:rsidR="009E2426" w:rsidRPr="004D495C" w:rsidRDefault="009E2426" w:rsidP="009E2426">
          <w:pPr>
            <w:pStyle w:val="FirstFooter"/>
            <w:tabs>
              <w:tab w:val="left" w:pos="2302"/>
            </w:tabs>
            <w:rPr>
              <w:sz w:val="18"/>
              <w:szCs w:val="18"/>
              <w:lang w:val="en-US"/>
            </w:rPr>
          </w:pPr>
          <w:r w:rsidRPr="004D495C">
            <w:rPr>
              <w:sz w:val="18"/>
              <w:szCs w:val="18"/>
              <w:lang w:val="en-US"/>
            </w:rPr>
            <w:t>Phone number:</w:t>
          </w:r>
        </w:p>
      </w:tc>
      <w:tc>
        <w:tcPr>
          <w:tcW w:w="6412" w:type="dxa"/>
          <w:shd w:val="clear" w:color="auto" w:fill="auto"/>
        </w:tcPr>
        <w:p w:rsidR="009E2426" w:rsidRPr="004D495C" w:rsidRDefault="009E2426" w:rsidP="009E2426">
          <w:pPr>
            <w:pStyle w:val="FirstFooter"/>
            <w:tabs>
              <w:tab w:val="left" w:pos="2302"/>
            </w:tabs>
            <w:rPr>
              <w:sz w:val="18"/>
              <w:szCs w:val="18"/>
              <w:highlight w:val="yellow"/>
              <w:lang w:val="en-US"/>
            </w:rPr>
          </w:pPr>
          <w:bookmarkStart w:id="14" w:name="PhoneNo"/>
          <w:bookmarkEnd w:id="14"/>
          <w:r w:rsidRPr="00784E03">
            <w:rPr>
              <w:sz w:val="18"/>
              <w:szCs w:val="18"/>
              <w:lang w:val="en-US"/>
            </w:rPr>
            <w:t>+41 22 730 5421</w:t>
          </w:r>
        </w:p>
      </w:tc>
    </w:tr>
    <w:tr w:rsidR="009E2426" w:rsidRPr="004D495C" w:rsidTr="00831C97">
      <w:tc>
        <w:tcPr>
          <w:tcW w:w="1526" w:type="dxa"/>
          <w:shd w:val="clear" w:color="auto" w:fill="auto"/>
        </w:tcPr>
        <w:p w:rsidR="009E2426" w:rsidRPr="004D495C" w:rsidRDefault="009E2426" w:rsidP="009E2426">
          <w:pPr>
            <w:pStyle w:val="FirstFooter"/>
            <w:tabs>
              <w:tab w:val="left" w:pos="1559"/>
              <w:tab w:val="left" w:pos="3828"/>
            </w:tabs>
            <w:rPr>
              <w:sz w:val="20"/>
              <w:lang w:val="en-US"/>
            </w:rPr>
          </w:pPr>
        </w:p>
      </w:tc>
      <w:tc>
        <w:tcPr>
          <w:tcW w:w="2410" w:type="dxa"/>
          <w:shd w:val="clear" w:color="auto" w:fill="auto"/>
        </w:tcPr>
        <w:p w:rsidR="009E2426" w:rsidRPr="004D495C" w:rsidRDefault="009E2426" w:rsidP="009E2426">
          <w:pPr>
            <w:pStyle w:val="FirstFooter"/>
            <w:tabs>
              <w:tab w:val="left" w:pos="2302"/>
            </w:tabs>
            <w:rPr>
              <w:sz w:val="18"/>
              <w:szCs w:val="18"/>
              <w:lang w:val="en-US"/>
            </w:rPr>
          </w:pPr>
          <w:r w:rsidRPr="004D495C">
            <w:rPr>
              <w:sz w:val="18"/>
              <w:szCs w:val="18"/>
              <w:lang w:val="en-US"/>
            </w:rPr>
            <w:t>E-mail:</w:t>
          </w:r>
        </w:p>
      </w:tc>
      <w:bookmarkStart w:id="15" w:name="Email"/>
      <w:bookmarkEnd w:id="15"/>
      <w:tc>
        <w:tcPr>
          <w:tcW w:w="6412" w:type="dxa"/>
          <w:shd w:val="clear" w:color="auto" w:fill="auto"/>
        </w:tcPr>
        <w:p w:rsidR="009E2426" w:rsidRPr="004D495C" w:rsidRDefault="009E2426" w:rsidP="009E2426">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"mailto:k</w:instrText>
          </w:r>
          <w:r w:rsidRPr="00784E03">
            <w:rPr>
              <w:sz w:val="18"/>
              <w:szCs w:val="18"/>
              <w:lang w:val="en-US"/>
            </w:rPr>
            <w:instrText>emal.huseinovic@itu.int</w:instrText>
          </w:r>
          <w:r>
            <w:rPr>
              <w:sz w:val="18"/>
              <w:szCs w:val="18"/>
              <w:lang w:val="en-US"/>
            </w:rPr>
            <w:instrText xml:space="preserve">" </w:instrText>
          </w:r>
          <w:r>
            <w:rPr>
              <w:sz w:val="18"/>
              <w:szCs w:val="18"/>
              <w:lang w:val="en-US"/>
            </w:rPr>
            <w:fldChar w:fldCharType="separate"/>
          </w:r>
          <w:r w:rsidRPr="001D5D8D">
            <w:rPr>
              <w:rStyle w:val="Hyperlink"/>
              <w:sz w:val="18"/>
              <w:szCs w:val="18"/>
              <w:lang w:val="en-US"/>
            </w:rPr>
            <w:t>kemal.huseinovic@itu.int</w:t>
          </w:r>
          <w:r>
            <w:rPr>
              <w:sz w:val="18"/>
              <w:szCs w:val="18"/>
              <w:lang w:val="en-US"/>
            </w:rPr>
            <w:fldChar w:fldCharType="end"/>
          </w:r>
          <w:r>
            <w:rPr>
              <w:sz w:val="18"/>
              <w:szCs w:val="18"/>
              <w:lang w:val="en-US"/>
            </w:rPr>
            <w:t xml:space="preserve"> </w:t>
          </w:r>
        </w:p>
      </w:tc>
    </w:tr>
  </w:tbl>
  <w:p w:rsidR="00784E03" w:rsidRPr="00784E03" w:rsidRDefault="000D10AD" w:rsidP="00C62651">
    <w:pPr>
      <w:jc w:val="center"/>
      <w:rPr>
        <w:sz w:val="20"/>
      </w:rPr>
    </w:pPr>
    <w:hyperlink r:id="rId1" w:history="1">
      <w:r w:rsidR="00784E03" w:rsidRPr="00784E03">
        <w:rPr>
          <w:rStyle w:val="Hyperlink"/>
          <w:sz w:val="20"/>
        </w:rPr>
        <w:t>http://www.itu.int/go/en/wtdc17rpm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D06" w:rsidRDefault="00034D06">
      <w:r>
        <w:separator/>
      </w:r>
    </w:p>
  </w:footnote>
  <w:footnote w:type="continuationSeparator" w:id="0">
    <w:p w:rsidR="00034D06" w:rsidRDefault="00034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79D" w:rsidRPr="001F1569" w:rsidRDefault="00E2379D" w:rsidP="001F1569">
    <w:pPr>
      <w:tabs>
        <w:tab w:val="clear" w:pos="794"/>
        <w:tab w:val="clear" w:pos="1191"/>
        <w:tab w:val="clear" w:pos="1588"/>
        <w:tab w:val="clear" w:pos="1985"/>
        <w:tab w:val="center" w:pos="5103"/>
        <w:tab w:val="right" w:pos="10206"/>
      </w:tabs>
      <w:ind w:right="1"/>
      <w:rPr>
        <w:smallCaps/>
        <w:spacing w:val="24"/>
        <w:sz w:val="22"/>
        <w:szCs w:val="22"/>
        <w:lang w:val="fr-CH"/>
      </w:rPr>
    </w:pPr>
    <w:r w:rsidRPr="004D495C">
      <w:rPr>
        <w:sz w:val="22"/>
        <w:szCs w:val="22"/>
      </w:rPr>
      <w:tab/>
    </w:r>
    <w:r w:rsidRPr="001F1569">
      <w:rPr>
        <w:sz w:val="22"/>
        <w:szCs w:val="22"/>
        <w:lang w:val="fr-CH"/>
      </w:rPr>
      <w:t>ITU-D/</w:t>
    </w:r>
    <w:bookmarkStart w:id="11" w:name="DocRef2"/>
    <w:bookmarkEnd w:id="11"/>
    <w:r w:rsidR="00FF089C" w:rsidRPr="001F1569">
      <w:rPr>
        <w:sz w:val="22"/>
        <w:szCs w:val="22"/>
        <w:lang w:val="fr-CH"/>
      </w:rPr>
      <w:t>RPM-</w:t>
    </w:r>
    <w:r w:rsidR="001F1569" w:rsidRPr="001F1569">
      <w:rPr>
        <w:sz w:val="22"/>
        <w:szCs w:val="22"/>
        <w:lang w:val="fr-CH"/>
      </w:rPr>
      <w:t>EUR</w:t>
    </w:r>
    <w:r w:rsidR="001F69C7" w:rsidRPr="001F1569">
      <w:rPr>
        <w:sz w:val="22"/>
        <w:szCs w:val="22"/>
        <w:lang w:val="fr-CH"/>
      </w:rPr>
      <w:t>17</w:t>
    </w:r>
    <w:r w:rsidRPr="001F1569">
      <w:rPr>
        <w:sz w:val="22"/>
        <w:szCs w:val="22"/>
        <w:lang w:val="fr-CH"/>
      </w:rPr>
      <w:t>/</w:t>
    </w:r>
    <w:bookmarkStart w:id="12" w:name="DocNo2"/>
    <w:bookmarkEnd w:id="12"/>
    <w:r w:rsidR="00784E03" w:rsidRPr="001F1569">
      <w:rPr>
        <w:sz w:val="22"/>
        <w:szCs w:val="22"/>
        <w:lang w:val="fr-CH"/>
      </w:rPr>
      <w:t>4</w:t>
    </w:r>
    <w:r w:rsidR="000D10AD">
      <w:rPr>
        <w:sz w:val="22"/>
        <w:szCs w:val="22"/>
        <w:lang w:val="fr-CH"/>
      </w:rPr>
      <w:t>(Rev.1)</w:t>
    </w:r>
    <w:r w:rsidR="00FF089C" w:rsidRPr="001F1569">
      <w:rPr>
        <w:sz w:val="22"/>
        <w:szCs w:val="22"/>
        <w:lang w:val="fr-CH"/>
      </w:rPr>
      <w:t>-E</w:t>
    </w:r>
    <w:r w:rsidRPr="001F1569">
      <w:rPr>
        <w:sz w:val="22"/>
        <w:szCs w:val="22"/>
        <w:lang w:val="fr-CH"/>
      </w:rPr>
      <w:tab/>
      <w:t xml:space="preserve">Page </w:t>
    </w:r>
    <w:r w:rsidRPr="004D495C">
      <w:rPr>
        <w:sz w:val="22"/>
        <w:szCs w:val="22"/>
      </w:rPr>
      <w:fldChar w:fldCharType="begin"/>
    </w:r>
    <w:r w:rsidRPr="001F1569">
      <w:rPr>
        <w:sz w:val="22"/>
        <w:szCs w:val="22"/>
        <w:lang w:val="fr-CH"/>
      </w:rPr>
      <w:instrText xml:space="preserve"> PAGE </w:instrText>
    </w:r>
    <w:r w:rsidRPr="004D495C">
      <w:rPr>
        <w:sz w:val="22"/>
        <w:szCs w:val="22"/>
      </w:rPr>
      <w:fldChar w:fldCharType="separate"/>
    </w:r>
    <w:r w:rsidR="000D10AD">
      <w:rPr>
        <w:noProof/>
        <w:sz w:val="22"/>
        <w:szCs w:val="22"/>
        <w:lang w:val="fr-CH"/>
      </w:rPr>
      <w:t>8</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7.5pt;height:7.5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21A1218"/>
    <w:multiLevelType w:val="hybridMultilevel"/>
    <w:tmpl w:val="6456ADE2"/>
    <w:lvl w:ilvl="0" w:tplc="F3BE58D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9202D8B"/>
    <w:multiLevelType w:val="hybridMultilevel"/>
    <w:tmpl w:val="0D8E425A"/>
    <w:lvl w:ilvl="0" w:tplc="AA867C5A">
      <w:numFmt w:val="bullet"/>
      <w:lvlText w:val="-"/>
      <w:lvlJc w:val="left"/>
      <w:pPr>
        <w:ind w:left="1155" w:hanging="360"/>
      </w:pPr>
      <w:rPr>
        <w:rFonts w:ascii="Calibri" w:eastAsia="Times New Roman" w:hAnsi="Calibri"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2"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5"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6"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CC679CF"/>
    <w:multiLevelType w:val="hybridMultilevel"/>
    <w:tmpl w:val="78EA452C"/>
    <w:lvl w:ilvl="0" w:tplc="059CA878">
      <w:start w:val="1"/>
      <w:numFmt w:val="bullet"/>
      <w:lvlText w:val="•"/>
      <w:lvlJc w:val="left"/>
      <w:pPr>
        <w:tabs>
          <w:tab w:val="num" w:pos="720"/>
        </w:tabs>
        <w:ind w:left="720" w:hanging="360"/>
      </w:pPr>
      <w:rPr>
        <w:rFonts w:ascii="Arial" w:hAnsi="Arial" w:hint="default"/>
      </w:rPr>
    </w:lvl>
    <w:lvl w:ilvl="1" w:tplc="A50EB1C2" w:tentative="1">
      <w:start w:val="1"/>
      <w:numFmt w:val="bullet"/>
      <w:lvlText w:val="•"/>
      <w:lvlJc w:val="left"/>
      <w:pPr>
        <w:tabs>
          <w:tab w:val="num" w:pos="1440"/>
        </w:tabs>
        <w:ind w:left="1440" w:hanging="360"/>
      </w:pPr>
      <w:rPr>
        <w:rFonts w:ascii="Arial" w:hAnsi="Arial" w:hint="default"/>
      </w:rPr>
    </w:lvl>
    <w:lvl w:ilvl="2" w:tplc="009EE642" w:tentative="1">
      <w:start w:val="1"/>
      <w:numFmt w:val="bullet"/>
      <w:lvlText w:val="•"/>
      <w:lvlJc w:val="left"/>
      <w:pPr>
        <w:tabs>
          <w:tab w:val="num" w:pos="2160"/>
        </w:tabs>
        <w:ind w:left="2160" w:hanging="360"/>
      </w:pPr>
      <w:rPr>
        <w:rFonts w:ascii="Arial" w:hAnsi="Arial" w:hint="default"/>
      </w:rPr>
    </w:lvl>
    <w:lvl w:ilvl="3" w:tplc="16784134" w:tentative="1">
      <w:start w:val="1"/>
      <w:numFmt w:val="bullet"/>
      <w:lvlText w:val="•"/>
      <w:lvlJc w:val="left"/>
      <w:pPr>
        <w:tabs>
          <w:tab w:val="num" w:pos="2880"/>
        </w:tabs>
        <w:ind w:left="2880" w:hanging="360"/>
      </w:pPr>
      <w:rPr>
        <w:rFonts w:ascii="Arial" w:hAnsi="Arial" w:hint="default"/>
      </w:rPr>
    </w:lvl>
    <w:lvl w:ilvl="4" w:tplc="C15C71CE" w:tentative="1">
      <w:start w:val="1"/>
      <w:numFmt w:val="bullet"/>
      <w:lvlText w:val="•"/>
      <w:lvlJc w:val="left"/>
      <w:pPr>
        <w:tabs>
          <w:tab w:val="num" w:pos="3600"/>
        </w:tabs>
        <w:ind w:left="3600" w:hanging="360"/>
      </w:pPr>
      <w:rPr>
        <w:rFonts w:ascii="Arial" w:hAnsi="Arial" w:hint="default"/>
      </w:rPr>
    </w:lvl>
    <w:lvl w:ilvl="5" w:tplc="6DC6C34A" w:tentative="1">
      <w:start w:val="1"/>
      <w:numFmt w:val="bullet"/>
      <w:lvlText w:val="•"/>
      <w:lvlJc w:val="left"/>
      <w:pPr>
        <w:tabs>
          <w:tab w:val="num" w:pos="4320"/>
        </w:tabs>
        <w:ind w:left="4320" w:hanging="360"/>
      </w:pPr>
      <w:rPr>
        <w:rFonts w:ascii="Arial" w:hAnsi="Arial" w:hint="default"/>
      </w:rPr>
    </w:lvl>
    <w:lvl w:ilvl="6" w:tplc="8D86E448" w:tentative="1">
      <w:start w:val="1"/>
      <w:numFmt w:val="bullet"/>
      <w:lvlText w:val="•"/>
      <w:lvlJc w:val="left"/>
      <w:pPr>
        <w:tabs>
          <w:tab w:val="num" w:pos="5040"/>
        </w:tabs>
        <w:ind w:left="5040" w:hanging="360"/>
      </w:pPr>
      <w:rPr>
        <w:rFonts w:ascii="Arial" w:hAnsi="Arial" w:hint="default"/>
      </w:rPr>
    </w:lvl>
    <w:lvl w:ilvl="7" w:tplc="3B8A69E4" w:tentative="1">
      <w:start w:val="1"/>
      <w:numFmt w:val="bullet"/>
      <w:lvlText w:val="•"/>
      <w:lvlJc w:val="left"/>
      <w:pPr>
        <w:tabs>
          <w:tab w:val="num" w:pos="5760"/>
        </w:tabs>
        <w:ind w:left="5760" w:hanging="360"/>
      </w:pPr>
      <w:rPr>
        <w:rFonts w:ascii="Arial" w:hAnsi="Arial" w:hint="default"/>
      </w:rPr>
    </w:lvl>
    <w:lvl w:ilvl="8" w:tplc="B1A822A6"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2"/>
  </w:num>
  <w:num w:numId="13">
    <w:abstractNumId w:val="29"/>
  </w:num>
  <w:num w:numId="14">
    <w:abstractNumId w:val="12"/>
  </w:num>
  <w:num w:numId="15">
    <w:abstractNumId w:val="17"/>
  </w:num>
  <w:num w:numId="16">
    <w:abstractNumId w:val="32"/>
  </w:num>
  <w:num w:numId="17">
    <w:abstractNumId w:val="27"/>
  </w:num>
  <w:num w:numId="18">
    <w:abstractNumId w:val="13"/>
  </w:num>
  <w:num w:numId="19">
    <w:abstractNumId w:val="18"/>
  </w:num>
  <w:num w:numId="20">
    <w:abstractNumId w:val="24"/>
  </w:num>
  <w:num w:numId="21">
    <w:abstractNumId w:val="28"/>
  </w:num>
  <w:num w:numId="22">
    <w:abstractNumId w:val="16"/>
  </w:num>
  <w:num w:numId="23">
    <w:abstractNumId w:val="19"/>
  </w:num>
  <w:num w:numId="24">
    <w:abstractNumId w:val="26"/>
  </w:num>
  <w:num w:numId="25">
    <w:abstractNumId w:val="26"/>
  </w:num>
  <w:num w:numId="26">
    <w:abstractNumId w:val="20"/>
  </w:num>
  <w:num w:numId="27">
    <w:abstractNumId w:val="15"/>
  </w:num>
  <w:num w:numId="28">
    <w:abstractNumId w:val="30"/>
  </w:num>
  <w:num w:numId="29">
    <w:abstractNumId w:val="11"/>
  </w:num>
  <w:num w:numId="30">
    <w:abstractNumId w:val="23"/>
  </w:num>
  <w:num w:numId="31">
    <w:abstractNumId w:val="31"/>
  </w:num>
  <w:num w:numId="32">
    <w:abstractNumId w:val="25"/>
  </w:num>
  <w:num w:numId="33">
    <w:abstractNumId w:val="33"/>
  </w:num>
  <w:num w:numId="34">
    <w:abstractNumId w:val="14"/>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6E"/>
    <w:rsid w:val="00003125"/>
    <w:rsid w:val="00005245"/>
    <w:rsid w:val="00006684"/>
    <w:rsid w:val="00017BEC"/>
    <w:rsid w:val="00017E7D"/>
    <w:rsid w:val="00017E82"/>
    <w:rsid w:val="00021A72"/>
    <w:rsid w:val="000221F5"/>
    <w:rsid w:val="00022BFD"/>
    <w:rsid w:val="00032DD2"/>
    <w:rsid w:val="00034D06"/>
    <w:rsid w:val="000370A8"/>
    <w:rsid w:val="0006050B"/>
    <w:rsid w:val="00080665"/>
    <w:rsid w:val="00085784"/>
    <w:rsid w:val="0009676A"/>
    <w:rsid w:val="000A0187"/>
    <w:rsid w:val="000A3328"/>
    <w:rsid w:val="000B3177"/>
    <w:rsid w:val="000D0403"/>
    <w:rsid w:val="000D10AD"/>
    <w:rsid w:val="000D61A2"/>
    <w:rsid w:val="000D7961"/>
    <w:rsid w:val="000E397B"/>
    <w:rsid w:val="000F1580"/>
    <w:rsid w:val="001229F6"/>
    <w:rsid w:val="0015200D"/>
    <w:rsid w:val="0015553B"/>
    <w:rsid w:val="00161A5A"/>
    <w:rsid w:val="00162434"/>
    <w:rsid w:val="00170AB9"/>
    <w:rsid w:val="00181928"/>
    <w:rsid w:val="001856D7"/>
    <w:rsid w:val="00187E51"/>
    <w:rsid w:val="00192DBD"/>
    <w:rsid w:val="0019399A"/>
    <w:rsid w:val="001A52E9"/>
    <w:rsid w:val="001B3F42"/>
    <w:rsid w:val="001B4B9B"/>
    <w:rsid w:val="001D3694"/>
    <w:rsid w:val="001E33AB"/>
    <w:rsid w:val="001E3BCF"/>
    <w:rsid w:val="001F1569"/>
    <w:rsid w:val="001F69C7"/>
    <w:rsid w:val="0021427F"/>
    <w:rsid w:val="0022380D"/>
    <w:rsid w:val="00227A7C"/>
    <w:rsid w:val="00235915"/>
    <w:rsid w:val="00237316"/>
    <w:rsid w:val="00252877"/>
    <w:rsid w:val="0025652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2E1C1B"/>
    <w:rsid w:val="002F51BB"/>
    <w:rsid w:val="003058DA"/>
    <w:rsid w:val="0030762F"/>
    <w:rsid w:val="00311BD3"/>
    <w:rsid w:val="00312685"/>
    <w:rsid w:val="00331450"/>
    <w:rsid w:val="00334C18"/>
    <w:rsid w:val="00344654"/>
    <w:rsid w:val="003513DB"/>
    <w:rsid w:val="0036243F"/>
    <w:rsid w:val="00362929"/>
    <w:rsid w:val="00385ABF"/>
    <w:rsid w:val="00392AF3"/>
    <w:rsid w:val="003A6A11"/>
    <w:rsid w:val="003B75F4"/>
    <w:rsid w:val="003C78E4"/>
    <w:rsid w:val="003D516C"/>
    <w:rsid w:val="003E20FF"/>
    <w:rsid w:val="00406F1F"/>
    <w:rsid w:val="004077C9"/>
    <w:rsid w:val="00414E6F"/>
    <w:rsid w:val="00415F06"/>
    <w:rsid w:val="00416D38"/>
    <w:rsid w:val="00421F93"/>
    <w:rsid w:val="004331DF"/>
    <w:rsid w:val="0043566B"/>
    <w:rsid w:val="004430CE"/>
    <w:rsid w:val="00457453"/>
    <w:rsid w:val="0046327F"/>
    <w:rsid w:val="00472A03"/>
    <w:rsid w:val="00475A24"/>
    <w:rsid w:val="00483313"/>
    <w:rsid w:val="00487A55"/>
    <w:rsid w:val="00490CE6"/>
    <w:rsid w:val="00496015"/>
    <w:rsid w:val="004A0340"/>
    <w:rsid w:val="004A28F0"/>
    <w:rsid w:val="004A34DD"/>
    <w:rsid w:val="004A3ABA"/>
    <w:rsid w:val="004A564F"/>
    <w:rsid w:val="004C4C2E"/>
    <w:rsid w:val="004C4E14"/>
    <w:rsid w:val="004D0AC9"/>
    <w:rsid w:val="004D2D58"/>
    <w:rsid w:val="004D3DC4"/>
    <w:rsid w:val="004D495C"/>
    <w:rsid w:val="004E3824"/>
    <w:rsid w:val="004F09F8"/>
    <w:rsid w:val="00502BFC"/>
    <w:rsid w:val="00511EDF"/>
    <w:rsid w:val="00523237"/>
    <w:rsid w:val="00523E05"/>
    <w:rsid w:val="005302F6"/>
    <w:rsid w:val="00542D84"/>
    <w:rsid w:val="00546F06"/>
    <w:rsid w:val="005543B5"/>
    <w:rsid w:val="0058604B"/>
    <w:rsid w:val="005B37AF"/>
    <w:rsid w:val="005B45E9"/>
    <w:rsid w:val="005B5914"/>
    <w:rsid w:val="005C0E75"/>
    <w:rsid w:val="005C33BC"/>
    <w:rsid w:val="005D12FD"/>
    <w:rsid w:val="005E07F1"/>
    <w:rsid w:val="00622A8F"/>
    <w:rsid w:val="006354E9"/>
    <w:rsid w:val="0064011F"/>
    <w:rsid w:val="006444D5"/>
    <w:rsid w:val="0065094C"/>
    <w:rsid w:val="006527BD"/>
    <w:rsid w:val="00654144"/>
    <w:rsid w:val="00663234"/>
    <w:rsid w:val="00667E12"/>
    <w:rsid w:val="00676C62"/>
    <w:rsid w:val="00677A58"/>
    <w:rsid w:val="00683D7B"/>
    <w:rsid w:val="00685848"/>
    <w:rsid w:val="006877ED"/>
    <w:rsid w:val="006A1CC3"/>
    <w:rsid w:val="006A6F8F"/>
    <w:rsid w:val="006C0E12"/>
    <w:rsid w:val="006C7A7B"/>
    <w:rsid w:val="006D0B95"/>
    <w:rsid w:val="006D1217"/>
    <w:rsid w:val="006D7DD7"/>
    <w:rsid w:val="006F1CE9"/>
    <w:rsid w:val="0070090A"/>
    <w:rsid w:val="00703501"/>
    <w:rsid w:val="0070796E"/>
    <w:rsid w:val="00707CFF"/>
    <w:rsid w:val="007274B6"/>
    <w:rsid w:val="007279C0"/>
    <w:rsid w:val="00735AC3"/>
    <w:rsid w:val="00735B54"/>
    <w:rsid w:val="007516E0"/>
    <w:rsid w:val="007527AA"/>
    <w:rsid w:val="00755605"/>
    <w:rsid w:val="00762A1E"/>
    <w:rsid w:val="0076580D"/>
    <w:rsid w:val="007679D2"/>
    <w:rsid w:val="00770299"/>
    <w:rsid w:val="0078184F"/>
    <w:rsid w:val="00781933"/>
    <w:rsid w:val="00784E03"/>
    <w:rsid w:val="00794FF3"/>
    <w:rsid w:val="00795647"/>
    <w:rsid w:val="00797056"/>
    <w:rsid w:val="007A2C78"/>
    <w:rsid w:val="007B145B"/>
    <w:rsid w:val="007B5E61"/>
    <w:rsid w:val="007B7C19"/>
    <w:rsid w:val="00800D40"/>
    <w:rsid w:val="00810A21"/>
    <w:rsid w:val="00811068"/>
    <w:rsid w:val="00813980"/>
    <w:rsid w:val="00817846"/>
    <w:rsid w:val="0082647F"/>
    <w:rsid w:val="0082709F"/>
    <w:rsid w:val="00831C97"/>
    <w:rsid w:val="00832CA5"/>
    <w:rsid w:val="00833A72"/>
    <w:rsid w:val="00833F2B"/>
    <w:rsid w:val="008340D6"/>
    <w:rsid w:val="0083540C"/>
    <w:rsid w:val="00835BBF"/>
    <w:rsid w:val="0084734D"/>
    <w:rsid w:val="00852CC6"/>
    <w:rsid w:val="00870D98"/>
    <w:rsid w:val="008740CF"/>
    <w:rsid w:val="00883EFF"/>
    <w:rsid w:val="00885734"/>
    <w:rsid w:val="00891809"/>
    <w:rsid w:val="008A357D"/>
    <w:rsid w:val="008F2196"/>
    <w:rsid w:val="008F361D"/>
    <w:rsid w:val="009043C2"/>
    <w:rsid w:val="009074FD"/>
    <w:rsid w:val="00912887"/>
    <w:rsid w:val="00914CE5"/>
    <w:rsid w:val="00915921"/>
    <w:rsid w:val="0092342C"/>
    <w:rsid w:val="00930F7E"/>
    <w:rsid w:val="00941145"/>
    <w:rsid w:val="0094145C"/>
    <w:rsid w:val="00942ED4"/>
    <w:rsid w:val="00947092"/>
    <w:rsid w:val="00951378"/>
    <w:rsid w:val="00953C7D"/>
    <w:rsid w:val="0096235E"/>
    <w:rsid w:val="0097038C"/>
    <w:rsid w:val="009B17EA"/>
    <w:rsid w:val="009B6F98"/>
    <w:rsid w:val="009D7B40"/>
    <w:rsid w:val="009E2426"/>
    <w:rsid w:val="009E3FEB"/>
    <w:rsid w:val="009E50D3"/>
    <w:rsid w:val="009E5CBA"/>
    <w:rsid w:val="009F680F"/>
    <w:rsid w:val="00A13179"/>
    <w:rsid w:val="00A140EB"/>
    <w:rsid w:val="00A16064"/>
    <w:rsid w:val="00A4713D"/>
    <w:rsid w:val="00A5216F"/>
    <w:rsid w:val="00A65745"/>
    <w:rsid w:val="00A75847"/>
    <w:rsid w:val="00A824E0"/>
    <w:rsid w:val="00A840C6"/>
    <w:rsid w:val="00AA2BC0"/>
    <w:rsid w:val="00AB4706"/>
    <w:rsid w:val="00AC3A1D"/>
    <w:rsid w:val="00AC7AC6"/>
    <w:rsid w:val="00AD08EA"/>
    <w:rsid w:val="00AD799C"/>
    <w:rsid w:val="00AE1C97"/>
    <w:rsid w:val="00AE2BCA"/>
    <w:rsid w:val="00AF0A2E"/>
    <w:rsid w:val="00AF4619"/>
    <w:rsid w:val="00B055E8"/>
    <w:rsid w:val="00B13550"/>
    <w:rsid w:val="00B154AD"/>
    <w:rsid w:val="00B2033A"/>
    <w:rsid w:val="00B20B08"/>
    <w:rsid w:val="00B24401"/>
    <w:rsid w:val="00B34B6C"/>
    <w:rsid w:val="00B402E3"/>
    <w:rsid w:val="00B4143C"/>
    <w:rsid w:val="00B41935"/>
    <w:rsid w:val="00B41DAD"/>
    <w:rsid w:val="00B46EC5"/>
    <w:rsid w:val="00B50E11"/>
    <w:rsid w:val="00B528E2"/>
    <w:rsid w:val="00B532C0"/>
    <w:rsid w:val="00B53C8D"/>
    <w:rsid w:val="00B60B80"/>
    <w:rsid w:val="00B8234F"/>
    <w:rsid w:val="00B830A9"/>
    <w:rsid w:val="00B8577A"/>
    <w:rsid w:val="00B8609C"/>
    <w:rsid w:val="00BB269A"/>
    <w:rsid w:val="00BB67AF"/>
    <w:rsid w:val="00BC1350"/>
    <w:rsid w:val="00BC6A2F"/>
    <w:rsid w:val="00BE77DE"/>
    <w:rsid w:val="00BF1682"/>
    <w:rsid w:val="00C26729"/>
    <w:rsid w:val="00C37B27"/>
    <w:rsid w:val="00C53CE6"/>
    <w:rsid w:val="00C551FC"/>
    <w:rsid w:val="00C62651"/>
    <w:rsid w:val="00C648E4"/>
    <w:rsid w:val="00C75DBB"/>
    <w:rsid w:val="00C814AD"/>
    <w:rsid w:val="00C837F9"/>
    <w:rsid w:val="00C84158"/>
    <w:rsid w:val="00C84E60"/>
    <w:rsid w:val="00CD2AC9"/>
    <w:rsid w:val="00CF63E1"/>
    <w:rsid w:val="00D00614"/>
    <w:rsid w:val="00D04154"/>
    <w:rsid w:val="00D14B56"/>
    <w:rsid w:val="00D17DC5"/>
    <w:rsid w:val="00D35307"/>
    <w:rsid w:val="00D4563B"/>
    <w:rsid w:val="00D80072"/>
    <w:rsid w:val="00D92439"/>
    <w:rsid w:val="00DA1664"/>
    <w:rsid w:val="00DA2612"/>
    <w:rsid w:val="00DA2F6F"/>
    <w:rsid w:val="00DA3130"/>
    <w:rsid w:val="00DB5B1B"/>
    <w:rsid w:val="00DB6C98"/>
    <w:rsid w:val="00DD05EF"/>
    <w:rsid w:val="00DE3F2D"/>
    <w:rsid w:val="00DE460C"/>
    <w:rsid w:val="00E061C1"/>
    <w:rsid w:val="00E207C7"/>
    <w:rsid w:val="00E2379D"/>
    <w:rsid w:val="00E244D1"/>
    <w:rsid w:val="00E51CCE"/>
    <w:rsid w:val="00E7476B"/>
    <w:rsid w:val="00E74841"/>
    <w:rsid w:val="00E84413"/>
    <w:rsid w:val="00E9064A"/>
    <w:rsid w:val="00E97390"/>
    <w:rsid w:val="00E97800"/>
    <w:rsid w:val="00EA2521"/>
    <w:rsid w:val="00EA2C9E"/>
    <w:rsid w:val="00EA3797"/>
    <w:rsid w:val="00EA6520"/>
    <w:rsid w:val="00EA72D0"/>
    <w:rsid w:val="00EF62C8"/>
    <w:rsid w:val="00F2422E"/>
    <w:rsid w:val="00F40E2E"/>
    <w:rsid w:val="00F620CA"/>
    <w:rsid w:val="00F74154"/>
    <w:rsid w:val="00F75154"/>
    <w:rsid w:val="00F77139"/>
    <w:rsid w:val="00F802CB"/>
    <w:rsid w:val="00F842D3"/>
    <w:rsid w:val="00F87092"/>
    <w:rsid w:val="00FD281F"/>
    <w:rsid w:val="00FE3530"/>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B670781-3B1C-4A63-97C6-9D099CAFC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paragraph" w:customStyle="1" w:styleId="Default">
    <w:name w:val="Default"/>
    <w:rsid w:val="007279C0"/>
    <w:pPr>
      <w:autoSpaceDE w:val="0"/>
      <w:autoSpaceDN w:val="0"/>
      <w:adjustRightInd w:val="0"/>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43183">
      <w:bodyDiv w:val="1"/>
      <w:marLeft w:val="0"/>
      <w:marRight w:val="0"/>
      <w:marTop w:val="0"/>
      <w:marBottom w:val="0"/>
      <w:divBdr>
        <w:top w:val="none" w:sz="0" w:space="0" w:color="auto"/>
        <w:left w:val="none" w:sz="0" w:space="0" w:color="auto"/>
        <w:bottom w:val="none" w:sz="0" w:space="0" w:color="auto"/>
        <w:right w:val="none" w:sz="0" w:space="0" w:color="auto"/>
      </w:divBdr>
    </w:div>
    <w:div w:id="181405228">
      <w:bodyDiv w:val="1"/>
      <w:marLeft w:val="0"/>
      <w:marRight w:val="0"/>
      <w:marTop w:val="0"/>
      <w:marBottom w:val="0"/>
      <w:divBdr>
        <w:top w:val="none" w:sz="0" w:space="0" w:color="auto"/>
        <w:left w:val="none" w:sz="0" w:space="0" w:color="auto"/>
        <w:bottom w:val="none" w:sz="0" w:space="0" w:color="auto"/>
        <w:right w:val="none" w:sz="0" w:space="0" w:color="auto"/>
      </w:divBdr>
    </w:div>
    <w:div w:id="239489649">
      <w:bodyDiv w:val="1"/>
      <w:marLeft w:val="0"/>
      <w:marRight w:val="0"/>
      <w:marTop w:val="0"/>
      <w:marBottom w:val="0"/>
      <w:divBdr>
        <w:top w:val="none" w:sz="0" w:space="0" w:color="auto"/>
        <w:left w:val="none" w:sz="0" w:space="0" w:color="auto"/>
        <w:bottom w:val="none" w:sz="0" w:space="0" w:color="auto"/>
        <w:right w:val="none" w:sz="0" w:space="0" w:color="auto"/>
      </w:divBdr>
    </w:div>
    <w:div w:id="270744658">
      <w:bodyDiv w:val="1"/>
      <w:marLeft w:val="0"/>
      <w:marRight w:val="0"/>
      <w:marTop w:val="0"/>
      <w:marBottom w:val="0"/>
      <w:divBdr>
        <w:top w:val="none" w:sz="0" w:space="0" w:color="auto"/>
        <w:left w:val="none" w:sz="0" w:space="0" w:color="auto"/>
        <w:bottom w:val="none" w:sz="0" w:space="0" w:color="auto"/>
        <w:right w:val="none" w:sz="0" w:space="0" w:color="auto"/>
      </w:divBdr>
    </w:div>
    <w:div w:id="290746978">
      <w:bodyDiv w:val="1"/>
      <w:marLeft w:val="0"/>
      <w:marRight w:val="0"/>
      <w:marTop w:val="0"/>
      <w:marBottom w:val="0"/>
      <w:divBdr>
        <w:top w:val="none" w:sz="0" w:space="0" w:color="auto"/>
        <w:left w:val="none" w:sz="0" w:space="0" w:color="auto"/>
        <w:bottom w:val="none" w:sz="0" w:space="0" w:color="auto"/>
        <w:right w:val="none" w:sz="0" w:space="0" w:color="auto"/>
      </w:divBdr>
    </w:div>
    <w:div w:id="299531602">
      <w:bodyDiv w:val="1"/>
      <w:marLeft w:val="0"/>
      <w:marRight w:val="0"/>
      <w:marTop w:val="0"/>
      <w:marBottom w:val="0"/>
      <w:divBdr>
        <w:top w:val="none" w:sz="0" w:space="0" w:color="auto"/>
        <w:left w:val="none" w:sz="0" w:space="0" w:color="auto"/>
        <w:bottom w:val="none" w:sz="0" w:space="0" w:color="auto"/>
        <w:right w:val="none" w:sz="0" w:space="0" w:color="auto"/>
      </w:divBdr>
    </w:div>
    <w:div w:id="354308001">
      <w:bodyDiv w:val="1"/>
      <w:marLeft w:val="0"/>
      <w:marRight w:val="0"/>
      <w:marTop w:val="0"/>
      <w:marBottom w:val="0"/>
      <w:divBdr>
        <w:top w:val="none" w:sz="0" w:space="0" w:color="auto"/>
        <w:left w:val="none" w:sz="0" w:space="0" w:color="auto"/>
        <w:bottom w:val="none" w:sz="0" w:space="0" w:color="auto"/>
        <w:right w:val="none" w:sz="0" w:space="0" w:color="auto"/>
      </w:divBdr>
    </w:div>
    <w:div w:id="554662324">
      <w:bodyDiv w:val="1"/>
      <w:marLeft w:val="0"/>
      <w:marRight w:val="0"/>
      <w:marTop w:val="0"/>
      <w:marBottom w:val="0"/>
      <w:divBdr>
        <w:top w:val="none" w:sz="0" w:space="0" w:color="auto"/>
        <w:left w:val="none" w:sz="0" w:space="0" w:color="auto"/>
        <w:bottom w:val="none" w:sz="0" w:space="0" w:color="auto"/>
        <w:right w:val="none" w:sz="0" w:space="0" w:color="auto"/>
      </w:divBdr>
    </w:div>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679891678">
      <w:bodyDiv w:val="1"/>
      <w:marLeft w:val="0"/>
      <w:marRight w:val="0"/>
      <w:marTop w:val="0"/>
      <w:marBottom w:val="0"/>
      <w:divBdr>
        <w:top w:val="none" w:sz="0" w:space="0" w:color="auto"/>
        <w:left w:val="none" w:sz="0" w:space="0" w:color="auto"/>
        <w:bottom w:val="none" w:sz="0" w:space="0" w:color="auto"/>
        <w:right w:val="none" w:sz="0" w:space="0" w:color="auto"/>
      </w:divBdr>
    </w:div>
    <w:div w:id="712461538">
      <w:bodyDiv w:val="1"/>
      <w:marLeft w:val="0"/>
      <w:marRight w:val="0"/>
      <w:marTop w:val="0"/>
      <w:marBottom w:val="0"/>
      <w:divBdr>
        <w:top w:val="none" w:sz="0" w:space="0" w:color="auto"/>
        <w:left w:val="none" w:sz="0" w:space="0" w:color="auto"/>
        <w:bottom w:val="none" w:sz="0" w:space="0" w:color="auto"/>
        <w:right w:val="none" w:sz="0" w:space="0" w:color="auto"/>
      </w:divBdr>
    </w:div>
    <w:div w:id="724450256">
      <w:bodyDiv w:val="1"/>
      <w:marLeft w:val="0"/>
      <w:marRight w:val="0"/>
      <w:marTop w:val="0"/>
      <w:marBottom w:val="0"/>
      <w:divBdr>
        <w:top w:val="none" w:sz="0" w:space="0" w:color="auto"/>
        <w:left w:val="none" w:sz="0" w:space="0" w:color="auto"/>
        <w:bottom w:val="none" w:sz="0" w:space="0" w:color="auto"/>
        <w:right w:val="none" w:sz="0" w:space="0" w:color="auto"/>
      </w:divBdr>
    </w:div>
    <w:div w:id="744306542">
      <w:bodyDiv w:val="1"/>
      <w:marLeft w:val="0"/>
      <w:marRight w:val="0"/>
      <w:marTop w:val="0"/>
      <w:marBottom w:val="0"/>
      <w:divBdr>
        <w:top w:val="none" w:sz="0" w:space="0" w:color="auto"/>
        <w:left w:val="none" w:sz="0" w:space="0" w:color="auto"/>
        <w:bottom w:val="none" w:sz="0" w:space="0" w:color="auto"/>
        <w:right w:val="none" w:sz="0" w:space="0" w:color="auto"/>
      </w:divBdr>
    </w:div>
    <w:div w:id="810370074">
      <w:bodyDiv w:val="1"/>
      <w:marLeft w:val="0"/>
      <w:marRight w:val="0"/>
      <w:marTop w:val="0"/>
      <w:marBottom w:val="0"/>
      <w:divBdr>
        <w:top w:val="none" w:sz="0" w:space="0" w:color="auto"/>
        <w:left w:val="none" w:sz="0" w:space="0" w:color="auto"/>
        <w:bottom w:val="none" w:sz="0" w:space="0" w:color="auto"/>
        <w:right w:val="none" w:sz="0" w:space="0" w:color="auto"/>
      </w:divBdr>
    </w:div>
    <w:div w:id="918711644">
      <w:bodyDiv w:val="1"/>
      <w:marLeft w:val="0"/>
      <w:marRight w:val="0"/>
      <w:marTop w:val="0"/>
      <w:marBottom w:val="0"/>
      <w:divBdr>
        <w:top w:val="none" w:sz="0" w:space="0" w:color="auto"/>
        <w:left w:val="none" w:sz="0" w:space="0" w:color="auto"/>
        <w:bottom w:val="none" w:sz="0" w:space="0" w:color="auto"/>
        <w:right w:val="none" w:sz="0" w:space="0" w:color="auto"/>
      </w:divBdr>
    </w:div>
    <w:div w:id="1019114835">
      <w:bodyDiv w:val="1"/>
      <w:marLeft w:val="0"/>
      <w:marRight w:val="0"/>
      <w:marTop w:val="0"/>
      <w:marBottom w:val="0"/>
      <w:divBdr>
        <w:top w:val="none" w:sz="0" w:space="0" w:color="auto"/>
        <w:left w:val="none" w:sz="0" w:space="0" w:color="auto"/>
        <w:bottom w:val="none" w:sz="0" w:space="0" w:color="auto"/>
        <w:right w:val="none" w:sz="0" w:space="0" w:color="auto"/>
      </w:divBdr>
    </w:div>
    <w:div w:id="1041632068">
      <w:bodyDiv w:val="1"/>
      <w:marLeft w:val="0"/>
      <w:marRight w:val="0"/>
      <w:marTop w:val="0"/>
      <w:marBottom w:val="0"/>
      <w:divBdr>
        <w:top w:val="none" w:sz="0" w:space="0" w:color="auto"/>
        <w:left w:val="none" w:sz="0" w:space="0" w:color="auto"/>
        <w:bottom w:val="none" w:sz="0" w:space="0" w:color="auto"/>
        <w:right w:val="none" w:sz="0" w:space="0" w:color="auto"/>
      </w:divBdr>
    </w:div>
    <w:div w:id="1072433164">
      <w:bodyDiv w:val="1"/>
      <w:marLeft w:val="0"/>
      <w:marRight w:val="0"/>
      <w:marTop w:val="0"/>
      <w:marBottom w:val="0"/>
      <w:divBdr>
        <w:top w:val="none" w:sz="0" w:space="0" w:color="auto"/>
        <w:left w:val="none" w:sz="0" w:space="0" w:color="auto"/>
        <w:bottom w:val="none" w:sz="0" w:space="0" w:color="auto"/>
        <w:right w:val="none" w:sz="0" w:space="0" w:color="auto"/>
      </w:divBdr>
    </w:div>
    <w:div w:id="1117874394">
      <w:bodyDiv w:val="1"/>
      <w:marLeft w:val="0"/>
      <w:marRight w:val="0"/>
      <w:marTop w:val="0"/>
      <w:marBottom w:val="0"/>
      <w:divBdr>
        <w:top w:val="none" w:sz="0" w:space="0" w:color="auto"/>
        <w:left w:val="none" w:sz="0" w:space="0" w:color="auto"/>
        <w:bottom w:val="none" w:sz="0" w:space="0" w:color="auto"/>
        <w:right w:val="none" w:sz="0" w:space="0" w:color="auto"/>
      </w:divBdr>
    </w:div>
    <w:div w:id="1328315960">
      <w:bodyDiv w:val="1"/>
      <w:marLeft w:val="0"/>
      <w:marRight w:val="0"/>
      <w:marTop w:val="0"/>
      <w:marBottom w:val="0"/>
      <w:divBdr>
        <w:top w:val="none" w:sz="0" w:space="0" w:color="auto"/>
        <w:left w:val="none" w:sz="0" w:space="0" w:color="auto"/>
        <w:bottom w:val="none" w:sz="0" w:space="0" w:color="auto"/>
        <w:right w:val="none" w:sz="0" w:space="0" w:color="auto"/>
      </w:divBdr>
    </w:div>
    <w:div w:id="1345783638">
      <w:bodyDiv w:val="1"/>
      <w:marLeft w:val="0"/>
      <w:marRight w:val="0"/>
      <w:marTop w:val="0"/>
      <w:marBottom w:val="0"/>
      <w:divBdr>
        <w:top w:val="none" w:sz="0" w:space="0" w:color="auto"/>
        <w:left w:val="none" w:sz="0" w:space="0" w:color="auto"/>
        <w:bottom w:val="none" w:sz="0" w:space="0" w:color="auto"/>
        <w:right w:val="none" w:sz="0" w:space="0" w:color="auto"/>
      </w:divBdr>
      <w:divsChild>
        <w:div w:id="464934858">
          <w:marLeft w:val="446"/>
          <w:marRight w:val="0"/>
          <w:marTop w:val="0"/>
          <w:marBottom w:val="0"/>
          <w:divBdr>
            <w:top w:val="none" w:sz="0" w:space="0" w:color="auto"/>
            <w:left w:val="none" w:sz="0" w:space="0" w:color="auto"/>
            <w:bottom w:val="none" w:sz="0" w:space="0" w:color="auto"/>
            <w:right w:val="none" w:sz="0" w:space="0" w:color="auto"/>
          </w:divBdr>
        </w:div>
        <w:div w:id="1976718648">
          <w:marLeft w:val="446"/>
          <w:marRight w:val="0"/>
          <w:marTop w:val="0"/>
          <w:marBottom w:val="0"/>
          <w:divBdr>
            <w:top w:val="none" w:sz="0" w:space="0" w:color="auto"/>
            <w:left w:val="none" w:sz="0" w:space="0" w:color="auto"/>
            <w:bottom w:val="none" w:sz="0" w:space="0" w:color="auto"/>
            <w:right w:val="none" w:sz="0" w:space="0" w:color="auto"/>
          </w:divBdr>
        </w:div>
        <w:div w:id="17511986">
          <w:marLeft w:val="446"/>
          <w:marRight w:val="0"/>
          <w:marTop w:val="0"/>
          <w:marBottom w:val="0"/>
          <w:divBdr>
            <w:top w:val="none" w:sz="0" w:space="0" w:color="auto"/>
            <w:left w:val="none" w:sz="0" w:space="0" w:color="auto"/>
            <w:bottom w:val="none" w:sz="0" w:space="0" w:color="auto"/>
            <w:right w:val="none" w:sz="0" w:space="0" w:color="auto"/>
          </w:divBdr>
        </w:div>
        <w:div w:id="1175727166">
          <w:marLeft w:val="446"/>
          <w:marRight w:val="0"/>
          <w:marTop w:val="0"/>
          <w:marBottom w:val="0"/>
          <w:divBdr>
            <w:top w:val="none" w:sz="0" w:space="0" w:color="auto"/>
            <w:left w:val="none" w:sz="0" w:space="0" w:color="auto"/>
            <w:bottom w:val="none" w:sz="0" w:space="0" w:color="auto"/>
            <w:right w:val="none" w:sz="0" w:space="0" w:color="auto"/>
          </w:divBdr>
        </w:div>
      </w:divsChild>
    </w:div>
    <w:div w:id="1453791796">
      <w:bodyDiv w:val="1"/>
      <w:marLeft w:val="0"/>
      <w:marRight w:val="0"/>
      <w:marTop w:val="0"/>
      <w:marBottom w:val="0"/>
      <w:divBdr>
        <w:top w:val="none" w:sz="0" w:space="0" w:color="auto"/>
        <w:left w:val="none" w:sz="0" w:space="0" w:color="auto"/>
        <w:bottom w:val="none" w:sz="0" w:space="0" w:color="auto"/>
        <w:right w:val="none" w:sz="0" w:space="0" w:color="auto"/>
      </w:divBdr>
    </w:div>
    <w:div w:id="1508901520">
      <w:bodyDiv w:val="1"/>
      <w:marLeft w:val="0"/>
      <w:marRight w:val="0"/>
      <w:marTop w:val="0"/>
      <w:marBottom w:val="0"/>
      <w:divBdr>
        <w:top w:val="none" w:sz="0" w:space="0" w:color="auto"/>
        <w:left w:val="none" w:sz="0" w:space="0" w:color="auto"/>
        <w:bottom w:val="none" w:sz="0" w:space="0" w:color="auto"/>
        <w:right w:val="none" w:sz="0" w:space="0" w:color="auto"/>
      </w:divBdr>
    </w:div>
    <w:div w:id="1574269527">
      <w:bodyDiv w:val="1"/>
      <w:marLeft w:val="0"/>
      <w:marRight w:val="0"/>
      <w:marTop w:val="0"/>
      <w:marBottom w:val="0"/>
      <w:divBdr>
        <w:top w:val="none" w:sz="0" w:space="0" w:color="auto"/>
        <w:left w:val="none" w:sz="0" w:space="0" w:color="auto"/>
        <w:bottom w:val="none" w:sz="0" w:space="0" w:color="auto"/>
        <w:right w:val="none" w:sz="0" w:space="0" w:color="auto"/>
      </w:divBdr>
    </w:div>
    <w:div w:id="1585643664">
      <w:bodyDiv w:val="1"/>
      <w:marLeft w:val="0"/>
      <w:marRight w:val="0"/>
      <w:marTop w:val="0"/>
      <w:marBottom w:val="0"/>
      <w:divBdr>
        <w:top w:val="none" w:sz="0" w:space="0" w:color="auto"/>
        <w:left w:val="none" w:sz="0" w:space="0" w:color="auto"/>
        <w:bottom w:val="none" w:sz="0" w:space="0" w:color="auto"/>
        <w:right w:val="none" w:sz="0" w:space="0" w:color="auto"/>
      </w:divBdr>
    </w:div>
    <w:div w:id="1776170243">
      <w:bodyDiv w:val="1"/>
      <w:marLeft w:val="0"/>
      <w:marRight w:val="0"/>
      <w:marTop w:val="0"/>
      <w:marBottom w:val="0"/>
      <w:divBdr>
        <w:top w:val="none" w:sz="0" w:space="0" w:color="auto"/>
        <w:left w:val="none" w:sz="0" w:space="0" w:color="auto"/>
        <w:bottom w:val="none" w:sz="0" w:space="0" w:color="auto"/>
        <w:right w:val="none" w:sz="0" w:space="0" w:color="auto"/>
      </w:divBdr>
    </w:div>
    <w:div w:id="1848978578">
      <w:bodyDiv w:val="1"/>
      <w:marLeft w:val="0"/>
      <w:marRight w:val="0"/>
      <w:marTop w:val="0"/>
      <w:marBottom w:val="0"/>
      <w:divBdr>
        <w:top w:val="none" w:sz="0" w:space="0" w:color="auto"/>
        <w:left w:val="none" w:sz="0" w:space="0" w:color="auto"/>
        <w:bottom w:val="none" w:sz="0" w:space="0" w:color="auto"/>
        <w:right w:val="none" w:sz="0" w:space="0" w:color="auto"/>
      </w:divBdr>
    </w:div>
    <w:div w:id="1861435238">
      <w:bodyDiv w:val="1"/>
      <w:marLeft w:val="0"/>
      <w:marRight w:val="0"/>
      <w:marTop w:val="0"/>
      <w:marBottom w:val="0"/>
      <w:divBdr>
        <w:top w:val="none" w:sz="0" w:space="0" w:color="auto"/>
        <w:left w:val="none" w:sz="0" w:space="0" w:color="auto"/>
        <w:bottom w:val="none" w:sz="0" w:space="0" w:color="auto"/>
        <w:right w:val="none" w:sz="0" w:space="0" w:color="auto"/>
      </w:divBdr>
    </w:div>
    <w:div w:id="1930188286">
      <w:bodyDiv w:val="1"/>
      <w:marLeft w:val="0"/>
      <w:marRight w:val="0"/>
      <w:marTop w:val="0"/>
      <w:marBottom w:val="0"/>
      <w:divBdr>
        <w:top w:val="none" w:sz="0" w:space="0" w:color="auto"/>
        <w:left w:val="none" w:sz="0" w:space="0" w:color="auto"/>
        <w:bottom w:val="none" w:sz="0" w:space="0" w:color="auto"/>
        <w:right w:val="none" w:sz="0" w:space="0" w:color="auto"/>
      </w:divBdr>
    </w:div>
    <w:div w:id="193246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go/en/wtdc17rp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1741</Words>
  <Characters>10969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12685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creator>F. Lambert</dc:creator>
  <cp:lastModifiedBy>BDT DocsControl</cp:lastModifiedBy>
  <cp:revision>3</cp:revision>
  <cp:lastPrinted>2016-05-13T07:33:00Z</cp:lastPrinted>
  <dcterms:created xsi:type="dcterms:W3CDTF">2017-03-16T11:32:00Z</dcterms:created>
  <dcterms:modified xsi:type="dcterms:W3CDTF">2017-03-16T11:57:00Z</dcterms:modified>
</cp:coreProperties>
</file>