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6563"/>
        <w:gridCol w:w="3211"/>
      </w:tblGrid>
      <w:tr w:rsidR="001D67DD" w:rsidRPr="00C636BD" w:rsidTr="001D67DD">
        <w:trPr>
          <w:cantSplit/>
          <w:jc w:val="center"/>
        </w:trPr>
        <w:tc>
          <w:tcPr>
            <w:tcW w:w="6712" w:type="dxa"/>
          </w:tcPr>
          <w:p w:rsidR="001D67DD" w:rsidRPr="0069191F" w:rsidRDefault="001D67DD" w:rsidP="007E1EBF">
            <w:pPr>
              <w:adjustRightInd/>
              <w:spacing w:before="0" w:after="60"/>
              <w:rPr>
                <w:b/>
                <w:bCs/>
                <w:sz w:val="28"/>
                <w:szCs w:val="28"/>
                <w:lang w:val="es-ES"/>
              </w:rPr>
            </w:pPr>
            <w:r w:rsidRPr="0069191F">
              <w:rPr>
                <w:b/>
                <w:bCs/>
                <w:sz w:val="28"/>
                <w:szCs w:val="28"/>
                <w:lang w:val="es-ES"/>
              </w:rPr>
              <w:t xml:space="preserve">Reunión Preparatoria Regional de la CMDT-17 </w:t>
            </w:r>
            <w:r w:rsidRPr="0069191F">
              <w:rPr>
                <w:b/>
                <w:bCs/>
                <w:sz w:val="28"/>
                <w:szCs w:val="28"/>
                <w:lang w:val="es-ES"/>
              </w:rPr>
              <w:br/>
              <w:t xml:space="preserve">para </w:t>
            </w:r>
            <w:r>
              <w:rPr>
                <w:b/>
                <w:bCs/>
                <w:sz w:val="28"/>
                <w:szCs w:val="28"/>
                <w:lang w:val="es-ES"/>
              </w:rPr>
              <w:t>Europa</w:t>
            </w:r>
            <w:r w:rsidRPr="0069191F">
              <w:rPr>
                <w:b/>
                <w:bCs/>
                <w:sz w:val="28"/>
                <w:szCs w:val="28"/>
                <w:lang w:val="es-ES"/>
              </w:rPr>
              <w:t xml:space="preserve"> (RPM-</w:t>
            </w:r>
            <w:r>
              <w:rPr>
                <w:b/>
                <w:bCs/>
                <w:sz w:val="28"/>
                <w:szCs w:val="28"/>
                <w:lang w:val="es-ES"/>
              </w:rPr>
              <w:t>EUR</w:t>
            </w:r>
            <w:r w:rsidRPr="0069191F">
              <w:rPr>
                <w:b/>
                <w:bCs/>
                <w:sz w:val="28"/>
                <w:szCs w:val="28"/>
                <w:lang w:val="es-ES"/>
              </w:rPr>
              <w:t>)</w:t>
            </w:r>
          </w:p>
        </w:tc>
        <w:tc>
          <w:tcPr>
            <w:tcW w:w="3281" w:type="dxa"/>
          </w:tcPr>
          <w:p w:rsidR="001D67DD" w:rsidRPr="00C636BD" w:rsidRDefault="001D67DD" w:rsidP="007E1EBF">
            <w:pPr>
              <w:spacing w:before="0"/>
              <w:ind w:right="142"/>
              <w:jc w:val="right"/>
              <w:rPr>
                <w:lang w:val="es-ES"/>
              </w:rPr>
            </w:pPr>
            <w:r w:rsidRPr="00C636BD">
              <w:rPr>
                <w:noProof/>
                <w:lang w:eastAsia="zh-CN"/>
              </w:rPr>
              <w:drawing>
                <wp:inline distT="0" distB="0" distL="0" distR="0" wp14:anchorId="71B1A619" wp14:editId="473DF801">
                  <wp:extent cx="714375" cy="790575"/>
                  <wp:effectExtent l="0" t="0" r="9525" b="9525"/>
                  <wp:docPr id="2" name="Picture 2"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1D67DD" w:rsidRPr="005936E2" w:rsidTr="001D67DD">
        <w:trPr>
          <w:cantSplit/>
          <w:trHeight w:val="300"/>
          <w:jc w:val="center"/>
        </w:trPr>
        <w:tc>
          <w:tcPr>
            <w:tcW w:w="9993" w:type="dxa"/>
            <w:gridSpan w:val="2"/>
            <w:tcBorders>
              <w:bottom w:val="single" w:sz="12" w:space="0" w:color="auto"/>
            </w:tcBorders>
          </w:tcPr>
          <w:p w:rsidR="001D67DD" w:rsidRPr="00C636BD" w:rsidRDefault="00691110" w:rsidP="007E1EBF">
            <w:pPr>
              <w:adjustRightInd/>
              <w:spacing w:before="0" w:after="60"/>
              <w:rPr>
                <w:b/>
                <w:bCs/>
                <w:sz w:val="26"/>
                <w:szCs w:val="26"/>
                <w:lang w:val="es-ES"/>
              </w:rPr>
            </w:pPr>
            <w:r w:rsidRPr="00691110">
              <w:rPr>
                <w:b/>
                <w:bCs/>
                <w:sz w:val="26"/>
                <w:szCs w:val="26"/>
                <w:lang w:val="es-ES"/>
              </w:rPr>
              <w:t>Vilnius (Lituania), 27-28 de abril de 2017</w:t>
            </w:r>
          </w:p>
        </w:tc>
      </w:tr>
      <w:tr w:rsidR="001D67DD" w:rsidRPr="005936E2" w:rsidTr="001D67DD">
        <w:trPr>
          <w:cantSplit/>
          <w:trHeight w:val="238"/>
          <w:jc w:val="center"/>
        </w:trPr>
        <w:tc>
          <w:tcPr>
            <w:tcW w:w="6712" w:type="dxa"/>
            <w:tcBorders>
              <w:top w:val="single" w:sz="12" w:space="0" w:color="auto"/>
            </w:tcBorders>
          </w:tcPr>
          <w:p w:rsidR="001D67DD" w:rsidRPr="00C636BD" w:rsidRDefault="001D67DD" w:rsidP="007E1EBF">
            <w:pPr>
              <w:spacing w:before="0"/>
              <w:rPr>
                <w:lang w:val="es-ES"/>
              </w:rPr>
            </w:pPr>
          </w:p>
        </w:tc>
        <w:tc>
          <w:tcPr>
            <w:tcW w:w="3281" w:type="dxa"/>
            <w:tcBorders>
              <w:top w:val="single" w:sz="12" w:space="0" w:color="auto"/>
            </w:tcBorders>
          </w:tcPr>
          <w:p w:rsidR="001D67DD" w:rsidRPr="00C636BD" w:rsidRDefault="001D67DD" w:rsidP="007E1EBF">
            <w:pPr>
              <w:spacing w:before="0"/>
              <w:rPr>
                <w:lang w:val="es-ES"/>
              </w:rPr>
            </w:pPr>
          </w:p>
        </w:tc>
      </w:tr>
      <w:tr w:rsidR="001D67DD" w:rsidRPr="000038DA" w:rsidTr="001D67DD">
        <w:trPr>
          <w:cantSplit/>
          <w:trHeight w:val="20"/>
          <w:jc w:val="center"/>
        </w:trPr>
        <w:tc>
          <w:tcPr>
            <w:tcW w:w="6712" w:type="dxa"/>
            <w:vMerge w:val="restart"/>
          </w:tcPr>
          <w:p w:rsidR="001D67DD" w:rsidRPr="00C636BD" w:rsidRDefault="001D67DD" w:rsidP="007E1EBF">
            <w:pPr>
              <w:rPr>
                <w:lang w:val="es-ES"/>
              </w:rPr>
            </w:pPr>
          </w:p>
        </w:tc>
        <w:tc>
          <w:tcPr>
            <w:tcW w:w="3281" w:type="dxa"/>
          </w:tcPr>
          <w:p w:rsidR="001D67DD" w:rsidRPr="00C636BD" w:rsidRDefault="005936E2" w:rsidP="001D67DD">
            <w:pPr>
              <w:spacing w:before="0"/>
              <w:rPr>
                <w:b/>
                <w:bCs/>
                <w:szCs w:val="24"/>
                <w:lang w:val="es-ES"/>
              </w:rPr>
            </w:pPr>
            <w:r w:rsidRPr="005936E2">
              <w:rPr>
                <w:b/>
                <w:bCs/>
                <w:szCs w:val="24"/>
                <w:lang w:val="es-ES"/>
              </w:rPr>
              <w:t>Documento RPM-EUR17/15-</w:t>
            </w:r>
            <w:r>
              <w:rPr>
                <w:b/>
                <w:bCs/>
                <w:szCs w:val="24"/>
                <w:lang w:val="es-ES"/>
              </w:rPr>
              <w:t>S</w:t>
            </w:r>
          </w:p>
        </w:tc>
      </w:tr>
      <w:tr w:rsidR="001D67DD" w:rsidRPr="00C636BD" w:rsidTr="001D67DD">
        <w:trPr>
          <w:cantSplit/>
          <w:trHeight w:val="23"/>
          <w:jc w:val="center"/>
        </w:trPr>
        <w:tc>
          <w:tcPr>
            <w:tcW w:w="6712" w:type="dxa"/>
            <w:vMerge/>
          </w:tcPr>
          <w:p w:rsidR="001D67DD" w:rsidRPr="00C636BD" w:rsidRDefault="001D67DD" w:rsidP="007E1EBF">
            <w:pPr>
              <w:tabs>
                <w:tab w:val="left" w:pos="851"/>
              </w:tabs>
              <w:spacing w:line="240" w:lineRule="atLeast"/>
              <w:rPr>
                <w:b/>
                <w:lang w:val="es-ES"/>
              </w:rPr>
            </w:pPr>
          </w:p>
        </w:tc>
        <w:tc>
          <w:tcPr>
            <w:tcW w:w="3281" w:type="dxa"/>
          </w:tcPr>
          <w:p w:rsidR="001D67DD" w:rsidRPr="00C636BD" w:rsidRDefault="005936E2" w:rsidP="007E1EBF">
            <w:pPr>
              <w:spacing w:before="0"/>
              <w:rPr>
                <w:b/>
                <w:bCs/>
                <w:szCs w:val="24"/>
                <w:lang w:val="es-ES"/>
              </w:rPr>
            </w:pPr>
            <w:r w:rsidRPr="005936E2">
              <w:rPr>
                <w:b/>
                <w:bCs/>
                <w:szCs w:val="24"/>
                <w:lang w:val="es-ES"/>
              </w:rPr>
              <w:t>22 de marzo de 2017</w:t>
            </w:r>
          </w:p>
        </w:tc>
      </w:tr>
      <w:tr w:rsidR="001D67DD" w:rsidRPr="00C636BD" w:rsidTr="001D67DD">
        <w:trPr>
          <w:cantSplit/>
          <w:trHeight w:val="333"/>
          <w:jc w:val="center"/>
        </w:trPr>
        <w:tc>
          <w:tcPr>
            <w:tcW w:w="6712" w:type="dxa"/>
            <w:vMerge/>
          </w:tcPr>
          <w:p w:rsidR="001D67DD" w:rsidRPr="00C636BD" w:rsidRDefault="001D67DD" w:rsidP="007E1EBF">
            <w:pPr>
              <w:tabs>
                <w:tab w:val="left" w:pos="851"/>
              </w:tabs>
              <w:spacing w:line="240" w:lineRule="atLeast"/>
              <w:rPr>
                <w:b/>
                <w:lang w:val="es-ES"/>
              </w:rPr>
            </w:pPr>
          </w:p>
        </w:tc>
        <w:tc>
          <w:tcPr>
            <w:tcW w:w="3281" w:type="dxa"/>
          </w:tcPr>
          <w:p w:rsidR="001D67DD" w:rsidRPr="00C636BD" w:rsidRDefault="001D67DD" w:rsidP="007E1EBF">
            <w:pPr>
              <w:spacing w:before="0" w:after="120"/>
              <w:rPr>
                <w:b/>
                <w:bCs/>
                <w:szCs w:val="24"/>
                <w:lang w:val="es-ES"/>
              </w:rPr>
            </w:pPr>
            <w:r w:rsidRPr="00C636BD">
              <w:rPr>
                <w:b/>
                <w:bCs/>
                <w:szCs w:val="24"/>
                <w:lang w:val="es-ES"/>
              </w:rPr>
              <w:t>Original: inglés</w:t>
            </w:r>
          </w:p>
        </w:tc>
      </w:tr>
      <w:tr w:rsidR="001D67DD" w:rsidRPr="005936E2" w:rsidTr="001D67DD">
        <w:trPr>
          <w:cantSplit/>
          <w:trHeight w:val="23"/>
          <w:jc w:val="center"/>
        </w:trPr>
        <w:tc>
          <w:tcPr>
            <w:tcW w:w="9993" w:type="dxa"/>
            <w:gridSpan w:val="2"/>
          </w:tcPr>
          <w:p w:rsidR="001D67DD" w:rsidRPr="000C6F47" w:rsidRDefault="005936E2" w:rsidP="00691110">
            <w:pPr>
              <w:pStyle w:val="Source"/>
              <w:spacing w:before="480"/>
              <w:rPr>
                <w:rFonts w:ascii="Calibri" w:hAnsi="Calibri"/>
              </w:rPr>
            </w:pPr>
            <w:r w:rsidRPr="005936E2">
              <w:rPr>
                <w:rFonts w:ascii="Calibri" w:hAnsi="Calibri"/>
              </w:rPr>
              <w:t>Bosnia y Herzegovina, Croacia, Serbia, Montenegro</w:t>
            </w:r>
          </w:p>
        </w:tc>
      </w:tr>
      <w:tr w:rsidR="001D67DD" w:rsidRPr="005936E2" w:rsidTr="001D67DD">
        <w:trPr>
          <w:cantSplit/>
          <w:trHeight w:val="23"/>
          <w:jc w:val="center"/>
        </w:trPr>
        <w:tc>
          <w:tcPr>
            <w:tcW w:w="9993" w:type="dxa"/>
            <w:gridSpan w:val="2"/>
          </w:tcPr>
          <w:p w:rsidR="001D67DD" w:rsidRPr="000C6F47" w:rsidRDefault="005936E2" w:rsidP="006222F4">
            <w:pPr>
              <w:pStyle w:val="Title1"/>
              <w:rPr>
                <w:rFonts w:ascii="Calibri" w:hAnsi="Calibri"/>
              </w:rPr>
            </w:pPr>
            <w:r w:rsidRPr="005936E2">
              <w:rPr>
                <w:rFonts w:ascii="Calibri" w:hAnsi="Calibri"/>
              </w:rPr>
              <w:t xml:space="preserve">ACCESIBILIDAD Y ASEQUIBILIDAD DE PRODUCTOS DE TELECOMUNICACIONES/TIC DESTINADOS A LAS PERSONAS CON DISCAPACIDAD PARA VELAR </w:t>
            </w:r>
            <w:r w:rsidR="00493FBB">
              <w:rPr>
                <w:rFonts w:ascii="Calibri" w:hAnsi="Calibri"/>
              </w:rPr>
              <w:br/>
            </w:r>
            <w:r w:rsidRPr="005936E2">
              <w:rPr>
                <w:rFonts w:ascii="Calibri" w:hAnsi="Calibri"/>
              </w:rPr>
              <w:t xml:space="preserve">POR SU INCLUSIÓN DIGITAL Y DESARROLLO SOSTENIBLE </w:t>
            </w:r>
            <w:r w:rsidR="00493FBB">
              <w:rPr>
                <w:rFonts w:ascii="Calibri" w:hAnsi="Calibri"/>
              </w:rPr>
              <w:br/>
            </w:r>
            <w:r w:rsidRPr="005936E2">
              <w:rPr>
                <w:rFonts w:ascii="Calibri" w:hAnsi="Calibri"/>
              </w:rPr>
              <w:t>EN LOS PLANOS SOCIAL Y ECONÓMICO</w:t>
            </w:r>
          </w:p>
        </w:tc>
      </w:tr>
    </w:tbl>
    <w:p w:rsidR="006222F4" w:rsidRPr="00C636BD" w:rsidRDefault="006222F4" w:rsidP="006222F4">
      <w:pPr>
        <w:rPr>
          <w:lang w:val="es-ES"/>
        </w:rPr>
      </w:pPr>
    </w:p>
    <w:tbl>
      <w:tblPr>
        <w:tblStyle w:val="TableGrid"/>
        <w:tblW w:w="9561" w:type="dxa"/>
        <w:tblInd w:w="177" w:type="dxa"/>
        <w:tblLook w:val="04A0" w:firstRow="1" w:lastRow="0" w:firstColumn="1" w:lastColumn="0" w:noHBand="0" w:noVBand="1"/>
      </w:tblPr>
      <w:tblGrid>
        <w:gridCol w:w="9561"/>
      </w:tblGrid>
      <w:tr w:rsidR="006222F4" w:rsidRPr="005936E2" w:rsidTr="007E1EBF">
        <w:tc>
          <w:tcPr>
            <w:tcW w:w="9561" w:type="dxa"/>
          </w:tcPr>
          <w:p w:rsidR="006222F4" w:rsidRPr="000C6F47" w:rsidRDefault="006222F4" w:rsidP="007E1EBF">
            <w:pPr>
              <w:rPr>
                <w:b/>
                <w:bCs/>
                <w:lang w:val="es-ES"/>
              </w:rPr>
            </w:pPr>
            <w:r w:rsidRPr="000C6F47">
              <w:rPr>
                <w:b/>
                <w:bCs/>
                <w:lang w:val="es-ES"/>
              </w:rPr>
              <w:t>Tema prioritario:</w:t>
            </w:r>
          </w:p>
          <w:p w:rsidR="006222F4" w:rsidRPr="00E71009" w:rsidRDefault="005936E2" w:rsidP="007E1EBF">
            <w:pPr>
              <w:rPr>
                <w:lang w:val="es-ES"/>
              </w:rPr>
            </w:pPr>
            <w:r w:rsidRPr="005936E2">
              <w:rPr>
                <w:lang w:val="es-ES"/>
              </w:rPr>
              <w:t>Establecimiento de prioridades sobre Iniciativas Regionales, proyectos conexos y mecanismos de financiación</w:t>
            </w:r>
          </w:p>
          <w:p w:rsidR="006222F4" w:rsidRPr="000C6F47" w:rsidRDefault="006222F4" w:rsidP="007E1EBF">
            <w:pPr>
              <w:rPr>
                <w:b/>
                <w:bCs/>
                <w:lang w:val="es-ES"/>
              </w:rPr>
            </w:pPr>
            <w:r w:rsidRPr="000C6F47">
              <w:rPr>
                <w:b/>
                <w:bCs/>
                <w:lang w:val="es-ES"/>
              </w:rPr>
              <w:t>Resumen:</w:t>
            </w:r>
          </w:p>
          <w:p w:rsidR="006222F4" w:rsidRPr="00E71009" w:rsidRDefault="005936E2" w:rsidP="00493FBB">
            <w:pPr>
              <w:rPr>
                <w:lang w:val="es-ES"/>
              </w:rPr>
            </w:pPr>
            <w:r w:rsidRPr="005936E2">
              <w:rPr>
                <w:lang w:val="es-ES"/>
              </w:rPr>
              <w:t>Al reconocer el apoyo del UIT-D a los Miembros para promover la accesibilidad a las TIC por medio de sus Iniciativas Regionales, sobre la base de los requisitos del Acta Europea de Accesibilidad, Bosnia y Herzegovina, Croacia</w:t>
            </w:r>
            <w:r w:rsidR="00493FBB">
              <w:rPr>
                <w:lang w:val="es-ES"/>
              </w:rPr>
              <w:t>,</w:t>
            </w:r>
            <w:r w:rsidRPr="005936E2">
              <w:rPr>
                <w:lang w:val="es-ES"/>
              </w:rPr>
              <w:t xml:space="preserve"> Serbia y Montenegro presentan una propuesta para proseguir los trabajos en el marco de una </w:t>
            </w:r>
            <w:r w:rsidR="00E313FF">
              <w:rPr>
                <w:lang w:val="es-ES"/>
              </w:rPr>
              <w:t>I</w:t>
            </w:r>
            <w:r w:rsidR="00E313FF" w:rsidRPr="005936E2">
              <w:rPr>
                <w:lang w:val="es-ES"/>
              </w:rPr>
              <w:t xml:space="preserve">niciativa </w:t>
            </w:r>
            <w:r w:rsidR="00E313FF">
              <w:rPr>
                <w:lang w:val="es-ES"/>
              </w:rPr>
              <w:t>R</w:t>
            </w:r>
            <w:r w:rsidR="00E313FF" w:rsidRPr="005936E2">
              <w:rPr>
                <w:lang w:val="es-ES"/>
              </w:rPr>
              <w:t xml:space="preserve">egional </w:t>
            </w:r>
            <w:r w:rsidRPr="005936E2">
              <w:rPr>
                <w:lang w:val="es-ES"/>
              </w:rPr>
              <w:t xml:space="preserve">sobre </w:t>
            </w:r>
            <w:r w:rsidR="00493FBB">
              <w:rPr>
                <w:lang w:val="es-ES"/>
              </w:rPr>
              <w:t>"</w:t>
            </w:r>
            <w:r w:rsidR="00493FBB" w:rsidRPr="005936E2">
              <w:rPr>
                <w:lang w:val="es-ES"/>
              </w:rPr>
              <w:t xml:space="preserve">Accesibilidad </w:t>
            </w:r>
            <w:r w:rsidRPr="005936E2">
              <w:rPr>
                <w:lang w:val="es-ES"/>
              </w:rPr>
              <w:t>y asequibilidad de productos y servicios de telecomunicaciones/TIC, en particular en relación con las personas con discapacidad, a fin de velar por su inclusión digital y desarrollo sostenible e</w:t>
            </w:r>
            <w:r w:rsidR="00493FBB">
              <w:rPr>
                <w:lang w:val="es-ES"/>
              </w:rPr>
              <w:t>n los planos social y económico".</w:t>
            </w:r>
          </w:p>
          <w:p w:rsidR="006222F4" w:rsidRPr="000C6F47" w:rsidRDefault="006222F4" w:rsidP="007E1EBF">
            <w:pPr>
              <w:rPr>
                <w:b/>
                <w:bCs/>
                <w:lang w:val="es-ES"/>
              </w:rPr>
            </w:pPr>
            <w:r w:rsidRPr="000C6F47">
              <w:rPr>
                <w:b/>
                <w:bCs/>
                <w:lang w:val="es-ES"/>
              </w:rPr>
              <w:t>Resultados previstos:</w:t>
            </w:r>
          </w:p>
          <w:p w:rsidR="006222F4" w:rsidRPr="00E71009" w:rsidRDefault="005936E2" w:rsidP="007E1EBF">
            <w:pPr>
              <w:rPr>
                <w:lang w:val="es-ES"/>
              </w:rPr>
            </w:pPr>
            <w:r w:rsidRPr="005936E2">
              <w:rPr>
                <w:lang w:val="es-ES"/>
              </w:rPr>
              <w:t>Fomentar y respaldar la colaboración y participación a nivel regional de todas las partes interesadas pertinentes, en consonancia con el Acta Europea de Accesibilidad, así como formular y aplicar políticas y soluciones sobre accesibilidad a las TIC en la Región de Europa.</w:t>
            </w:r>
          </w:p>
          <w:p w:rsidR="006222F4" w:rsidRPr="000C6F47" w:rsidRDefault="006222F4" w:rsidP="007E1EBF">
            <w:pPr>
              <w:rPr>
                <w:b/>
                <w:bCs/>
                <w:lang w:val="es-ES"/>
              </w:rPr>
            </w:pPr>
            <w:r w:rsidRPr="000C6F47">
              <w:rPr>
                <w:b/>
                <w:bCs/>
                <w:lang w:val="es-ES"/>
              </w:rPr>
              <w:t>Referencias:</w:t>
            </w:r>
          </w:p>
          <w:p w:rsidR="006222F4" w:rsidRPr="000C6F47" w:rsidRDefault="005936E2" w:rsidP="00493FBB">
            <w:pPr>
              <w:rPr>
                <w:lang w:val="es-ES"/>
              </w:rPr>
            </w:pPr>
            <w:r w:rsidRPr="005936E2">
              <w:rPr>
                <w:lang w:val="es-ES"/>
              </w:rPr>
              <w:t xml:space="preserve">Resolución 58 </w:t>
            </w:r>
            <w:r w:rsidR="00493FBB">
              <w:rPr>
                <w:lang w:val="es-ES"/>
              </w:rPr>
              <w:t>(Rev. Dubái, 2014)</w:t>
            </w:r>
            <w:r w:rsidR="00493FBB" w:rsidRPr="005936E2">
              <w:rPr>
                <w:lang w:val="es-ES"/>
              </w:rPr>
              <w:t xml:space="preserve"> </w:t>
            </w:r>
            <w:r w:rsidR="00493FBB" w:rsidRPr="005936E2">
              <w:rPr>
                <w:lang w:val="es-ES"/>
              </w:rPr>
              <w:t>de la UIT</w:t>
            </w:r>
            <w:r w:rsidR="00493FBB">
              <w:rPr>
                <w:lang w:val="es-ES"/>
              </w:rPr>
              <w:t xml:space="preserve">, </w:t>
            </w:r>
            <w:r>
              <w:rPr>
                <w:lang w:val="es-ES"/>
              </w:rPr>
              <w:br/>
            </w:r>
            <w:r w:rsidRPr="005936E2">
              <w:rPr>
                <w:lang w:val="es-ES"/>
              </w:rPr>
              <w:t>Acta Europea de Accesibilidad.</w:t>
            </w:r>
          </w:p>
        </w:tc>
      </w:tr>
    </w:tbl>
    <w:p w:rsidR="00493FBB" w:rsidRPr="00493FBB" w:rsidRDefault="001D67DD" w:rsidP="00493FBB">
      <w:pPr>
        <w:rPr>
          <w:lang w:val="es-ES_tradnl"/>
        </w:rPr>
      </w:pPr>
      <w:r w:rsidRPr="00493FBB">
        <w:rPr>
          <w:lang w:val="es-ES_tradnl"/>
        </w:rPr>
        <w:br w:type="page"/>
      </w:r>
    </w:p>
    <w:p w:rsidR="006B7B32" w:rsidRPr="00585BF8" w:rsidRDefault="006B7B32" w:rsidP="006B7B32">
      <w:pPr>
        <w:pStyle w:val="Headingb"/>
      </w:pPr>
      <w:r w:rsidRPr="00585BF8">
        <w:t>Introducción</w:t>
      </w:r>
    </w:p>
    <w:p w:rsidR="006B7B32" w:rsidRPr="00585BF8" w:rsidRDefault="006B7B32" w:rsidP="006B7B32">
      <w:pPr>
        <w:rPr>
          <w:szCs w:val="24"/>
          <w:lang w:val="es-ES"/>
        </w:rPr>
      </w:pPr>
      <w:r w:rsidRPr="00585BF8">
        <w:rPr>
          <w:szCs w:val="24"/>
          <w:lang w:val="es-ES"/>
        </w:rPr>
        <w:t xml:space="preserve">Bosnia y Herzegovina ha participado activamente en la labor de la Cuestión 7/1 de la Comisión de Estudio 1 del UIT-D sobre </w:t>
      </w:r>
      <w:r w:rsidR="00493FBB">
        <w:rPr>
          <w:szCs w:val="24"/>
          <w:lang w:val="es-ES"/>
        </w:rPr>
        <w:t>"</w:t>
      </w:r>
      <w:r w:rsidRPr="00585BF8">
        <w:rPr>
          <w:szCs w:val="24"/>
          <w:lang w:val="es-ES"/>
        </w:rPr>
        <w:t xml:space="preserve">Acceso a los servicios de telecomunicaciones/TIC para las personas con </w:t>
      </w:r>
      <w:r w:rsidRPr="00585BF8">
        <w:rPr>
          <w:szCs w:val="24"/>
          <w:cs/>
          <w:lang w:val="es-ES"/>
        </w:rPr>
        <w:t>‎</w:t>
      </w:r>
      <w:r w:rsidRPr="00585BF8">
        <w:rPr>
          <w:szCs w:val="24"/>
          <w:lang w:val="es-ES"/>
        </w:rPr>
        <w:t>discapacidad y con necesidades especiales</w:t>
      </w:r>
      <w:r w:rsidR="00493FBB">
        <w:rPr>
          <w:szCs w:val="24"/>
          <w:lang w:val="es-ES"/>
        </w:rPr>
        <w:t>"</w:t>
      </w:r>
      <w:r w:rsidRPr="00585BF8">
        <w:rPr>
          <w:szCs w:val="24"/>
          <w:lang w:val="es-ES"/>
        </w:rPr>
        <w:t xml:space="preserve"> en calidad de relator desde septiembre de 2014. Dicho país también ha contribuido a aumentar la concienciación y la capacidad en relación con ese tema al reunir a todas las partes interesadas pertinentes de la Región para fomentar su colaboración en aras de la puesta en marcha de un ecosistema de las TIC accesible para las personas con discapacidad, y garantizar la inclusión de todos los ciudadanos de la Región de Europa en los planos digital y social.</w:t>
      </w:r>
    </w:p>
    <w:p w:rsidR="006B7B32" w:rsidRPr="00585BF8" w:rsidRDefault="006B7B32" w:rsidP="006B7B32">
      <w:pPr>
        <w:rPr>
          <w:szCs w:val="24"/>
          <w:lang w:val="es-ES"/>
        </w:rPr>
      </w:pPr>
      <w:r w:rsidRPr="00585BF8">
        <w:rPr>
          <w:szCs w:val="24"/>
          <w:lang w:val="es-ES"/>
        </w:rPr>
        <w:t>Habida cuenta de que los trabajos del UIT-D con respecto al acceso a las TIC de las personas con discapacidad está en consonancia con la Estrategia Europea sobre Discapacidad y el Acta Europea de Accesibilidad, cuyo objetivo principal es velar por la accesibilidad a bienes y servicios, en particular los servicios públicos destinados a dichas personas con discapacidad, el compromiso de los Miembros para lograr avances en esta esfera constituye un reconocimiento de su labor para facilitar la plena participación de todos los ciudadanos en los planos social y económico.</w:t>
      </w:r>
    </w:p>
    <w:p w:rsidR="006B7B32" w:rsidRPr="00585BF8" w:rsidRDefault="006B7B32" w:rsidP="00E313FF">
      <w:pPr>
        <w:rPr>
          <w:szCs w:val="24"/>
          <w:lang w:val="es-ES"/>
        </w:rPr>
      </w:pPr>
      <w:r w:rsidRPr="00585BF8">
        <w:rPr>
          <w:szCs w:val="24"/>
          <w:lang w:val="es-ES"/>
        </w:rPr>
        <w:t>Al reconocer el apoyo del UIT-D a los Miembros para promover la accesibilidad a las TIC por medio de sus Iniciativas Regionales, sobre la base de los requisitos del Acta Europea de Accesibilidad, Bosnia y Herzegovina, Croacia</w:t>
      </w:r>
      <w:r w:rsidR="00E313FF">
        <w:rPr>
          <w:szCs w:val="24"/>
          <w:lang w:val="es-ES"/>
        </w:rPr>
        <w:t>,</w:t>
      </w:r>
      <w:r w:rsidRPr="00585BF8">
        <w:rPr>
          <w:szCs w:val="24"/>
          <w:lang w:val="es-ES"/>
        </w:rPr>
        <w:t xml:space="preserve"> Serbia y Montenegro presentan una propuesta para proseguir los trabajos en el marco de una Iniciativa Regional sobre </w:t>
      </w:r>
      <w:r w:rsidR="00493FBB">
        <w:rPr>
          <w:szCs w:val="24"/>
          <w:lang w:val="es-ES"/>
        </w:rPr>
        <w:t>"</w:t>
      </w:r>
      <w:r w:rsidR="00E313FF">
        <w:rPr>
          <w:szCs w:val="24"/>
          <w:lang w:val="es-ES"/>
        </w:rPr>
        <w:t>A</w:t>
      </w:r>
      <w:r w:rsidRPr="00585BF8">
        <w:rPr>
          <w:szCs w:val="24"/>
          <w:lang w:val="es-ES"/>
        </w:rPr>
        <w:t>ccesibilidad y asequibilidad de productos y servicios de telecomunicaciones/TIC, en particular en relación con las personas con discapacidad, a fin de velar por su inclusión digital y desarrollo sostenible en los planos social y económico</w:t>
      </w:r>
      <w:r w:rsidR="00493FBB">
        <w:rPr>
          <w:szCs w:val="24"/>
          <w:lang w:val="es-ES"/>
        </w:rPr>
        <w:t>"</w:t>
      </w:r>
      <w:r w:rsidRPr="00585BF8">
        <w:rPr>
          <w:szCs w:val="24"/>
          <w:lang w:val="es-ES"/>
        </w:rPr>
        <w:t>.</w:t>
      </w:r>
    </w:p>
    <w:p w:rsidR="006B7B32" w:rsidRPr="006B7B32" w:rsidRDefault="006B7B32" w:rsidP="006B7B32">
      <w:pPr>
        <w:pStyle w:val="Headingb"/>
      </w:pPr>
      <w:r w:rsidRPr="006B7B32">
        <w:t>Cabe enumerar los objetivos siguientes:</w:t>
      </w:r>
    </w:p>
    <w:p w:rsidR="006B7B32" w:rsidRPr="00585BF8" w:rsidRDefault="006B7B32" w:rsidP="006B7B32">
      <w:pPr>
        <w:pStyle w:val="enumlev1"/>
      </w:pPr>
      <w:r>
        <w:t>•</w:t>
      </w:r>
      <w:r>
        <w:tab/>
      </w:r>
      <w:r w:rsidR="00E313FF" w:rsidRPr="00585BF8">
        <w:t xml:space="preserve">Fomentar </w:t>
      </w:r>
      <w:r w:rsidRPr="00585BF8">
        <w:t>y respaldar la colaboración y participación a nivel regional de todas las partes interesadas pertinentes, en consonancia con el Acta Europea de Accesibilidad, así como formular y aplicar políticas y soluciones sobre accesibilidad a las TIC en la Región de Europa</w:t>
      </w:r>
      <w:r w:rsidR="00E313FF">
        <w:t>.</w:t>
      </w:r>
    </w:p>
    <w:p w:rsidR="006B7B32" w:rsidRPr="00585BF8" w:rsidRDefault="006B7B32" w:rsidP="006B7B32">
      <w:pPr>
        <w:pStyle w:val="enumlev1"/>
      </w:pPr>
      <w:r>
        <w:t>•</w:t>
      </w:r>
      <w:r>
        <w:tab/>
      </w:r>
      <w:r w:rsidR="00E313FF" w:rsidRPr="00585BF8">
        <w:t xml:space="preserve">Aumentar </w:t>
      </w:r>
      <w:r w:rsidRPr="00585BF8">
        <w:t xml:space="preserve">la concienciación y promover directrices pertinentes sobre políticas públicas, incluido el intercambio de conocimientos y de prácticas idóneas sobre productos y servicios de accesibilidad a las TIC destinados a las personas con discapacidad en el marco de reuniones y talleres organizados a escalas regional y subregional, en particular una conferencia regional celebrada anualmente que podría denominarse </w:t>
      </w:r>
      <w:r w:rsidR="00493FBB">
        <w:t>"</w:t>
      </w:r>
      <w:r w:rsidRPr="00585BF8">
        <w:t>Europa accesible</w:t>
      </w:r>
      <w:r w:rsidR="00493FBB">
        <w:t>"</w:t>
      </w:r>
      <w:r w:rsidR="00E313FF">
        <w:t>.</w:t>
      </w:r>
    </w:p>
    <w:p w:rsidR="006B7B32" w:rsidRPr="00585BF8" w:rsidRDefault="006B7B32" w:rsidP="006B7B32">
      <w:pPr>
        <w:pStyle w:val="enumlev1"/>
      </w:pPr>
      <w:r>
        <w:t>•</w:t>
      </w:r>
      <w:r>
        <w:tab/>
      </w:r>
      <w:r w:rsidR="00E313FF" w:rsidRPr="00585BF8">
        <w:t xml:space="preserve">Fomentar </w:t>
      </w:r>
      <w:r w:rsidRPr="00585BF8">
        <w:t>la capacidad en los planos regional y nacional mediante actividades de formación sobre accesibilidad a la web para garantizar la disponibilidad y accesibilidad de los sitios web gubernamentales y sus correspondientes servicios a todos los ciudadanos, incluidas las personas con discapacidad</w:t>
      </w:r>
      <w:r w:rsidR="00E313FF">
        <w:t>.</w:t>
      </w:r>
    </w:p>
    <w:p w:rsidR="006B7B32" w:rsidRPr="00585BF8" w:rsidRDefault="006B7B32" w:rsidP="006B7B32">
      <w:pPr>
        <w:pStyle w:val="enumlev1"/>
      </w:pPr>
      <w:r>
        <w:t>•</w:t>
      </w:r>
      <w:r>
        <w:tab/>
      </w:r>
      <w:r w:rsidR="00E313FF" w:rsidRPr="00585BF8">
        <w:t xml:space="preserve">Fomentar </w:t>
      </w:r>
      <w:r w:rsidRPr="00585BF8">
        <w:t>la capacidad en los planos regional y nacional para facilitar e impartir a todas las partes interesadas cursos de formación sobre accesibilidad a las TIC, en particular formación sobre adquisición púbica como medio para promover la inclusión de las personas con discapacidad en los sectores educativo, laboral, económico y social</w:t>
      </w:r>
      <w:r w:rsidR="00E313FF">
        <w:t>.</w:t>
      </w:r>
    </w:p>
    <w:p w:rsidR="006B7B32" w:rsidRPr="00585BF8" w:rsidRDefault="006B7B32" w:rsidP="006B7B32">
      <w:pPr>
        <w:pStyle w:val="enumlev1"/>
      </w:pPr>
      <w:r>
        <w:t>•</w:t>
      </w:r>
      <w:r>
        <w:tab/>
      </w:r>
      <w:r w:rsidR="00E313FF" w:rsidRPr="00585BF8">
        <w:t xml:space="preserve">Promover </w:t>
      </w:r>
      <w:r w:rsidRPr="00585BF8">
        <w:t xml:space="preserve">la colaboración regional entre centros de investigación y el sector académico en la esfera de las tecnologías del habla (TTS, síntesis de la voz a partir del texto para todas las personas que pueden escuchar, reconocimiento automático de la voz y transcripción de textos a partir de la voz para todas las personas que pueden leer). La mejora de estas tecnologías puede contribuir a superar las limitaciones </w:t>
      </w:r>
      <w:r w:rsidR="00E313FF">
        <w:t>en materia de discapacidad.</w:t>
      </w:r>
    </w:p>
    <w:p w:rsidR="006B7B32" w:rsidRPr="00585BF8" w:rsidRDefault="006B7B32" w:rsidP="006B7B32">
      <w:pPr>
        <w:pStyle w:val="enumlev1"/>
      </w:pPr>
      <w:r>
        <w:t>•</w:t>
      </w:r>
      <w:r>
        <w:tab/>
      </w:r>
      <w:r w:rsidR="00E313FF" w:rsidRPr="00585BF8">
        <w:t xml:space="preserve">Aumentar </w:t>
      </w:r>
      <w:r w:rsidRPr="00585BF8">
        <w:t>la concienciación sobre las posibilidades existentes en materia de accesibilidad a la programación de televisión y de vídeo en plataformas digitales, y aplicar las soluciones disponibles</w:t>
      </w:r>
      <w:r w:rsidR="00E313FF">
        <w:t>.</w:t>
      </w:r>
    </w:p>
    <w:p w:rsidR="006B7B32" w:rsidRPr="00585BF8" w:rsidRDefault="006B7B32" w:rsidP="006B7B32">
      <w:pPr>
        <w:pStyle w:val="enumlev1"/>
      </w:pPr>
      <w:r>
        <w:t>•</w:t>
      </w:r>
      <w:r>
        <w:tab/>
      </w:r>
      <w:r w:rsidR="00E313FF" w:rsidRPr="00585BF8">
        <w:t>Prom</w:t>
      </w:r>
      <w:bookmarkStart w:id="0" w:name="_GoBack"/>
      <w:bookmarkEnd w:id="0"/>
      <w:r w:rsidR="00E313FF" w:rsidRPr="00585BF8">
        <w:t xml:space="preserve">over </w:t>
      </w:r>
      <w:r w:rsidRPr="00585BF8">
        <w:t xml:space="preserve">la implantación de proyectos y actividades relativos a las TIC a escalas regional y nacional, así como la supervisión de los avances al respecto, con objeto de erradicar la disparidad en lo concerniente a la utilización de las TIC, incluido el acceso a las mismas, relativas a los sitios web de instituciones públicas y a los programas, los servicios y la información en el </w:t>
      </w:r>
      <w:r w:rsidR="00493FBB">
        <w:t>ámbito educativo gubernamental.</w:t>
      </w:r>
    </w:p>
    <w:p w:rsidR="006B7B32" w:rsidRPr="00493FBB" w:rsidRDefault="006B7B32" w:rsidP="0032202E">
      <w:pPr>
        <w:pStyle w:val="Reasons"/>
        <w:rPr>
          <w:rFonts w:ascii="Calibri" w:hAnsi="Calibri"/>
          <w:lang w:val="es-ES_tradnl"/>
        </w:rPr>
      </w:pPr>
    </w:p>
    <w:p w:rsidR="006B7B32" w:rsidRDefault="006B7B32">
      <w:pPr>
        <w:jc w:val="center"/>
      </w:pPr>
      <w:r>
        <w:t>______________</w:t>
      </w:r>
    </w:p>
    <w:sectPr w:rsidR="006B7B32" w:rsidSect="005936E2">
      <w:headerReference w:type="default" r:id="rId9"/>
      <w:footerReference w:type="default" r:id="rId10"/>
      <w:footerReference w:type="first" r:id="rId11"/>
      <w:pgSz w:w="11909"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EBF" w:rsidRDefault="007E1EBF">
      <w:r>
        <w:separator/>
      </w:r>
    </w:p>
  </w:endnote>
  <w:endnote w:type="continuationSeparator" w:id="0">
    <w:p w:rsidR="007E1EBF" w:rsidRDefault="007E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EBF" w:rsidRPr="006B7B32" w:rsidRDefault="006B7B32" w:rsidP="006B7B32">
    <w:pPr>
      <w:pStyle w:val="Footer"/>
      <w:rPr>
        <w:sz w:val="16"/>
        <w:szCs w:val="16"/>
        <w:lang w:val="fr-CH"/>
      </w:rPr>
    </w:pPr>
    <w:r w:rsidRPr="006B7B32">
      <w:rPr>
        <w:sz w:val="16"/>
        <w:szCs w:val="16"/>
      </w:rPr>
      <w:fldChar w:fldCharType="begin"/>
    </w:r>
    <w:r w:rsidRPr="006B7B32">
      <w:rPr>
        <w:sz w:val="16"/>
        <w:szCs w:val="16"/>
        <w:lang w:val="fr-CH"/>
      </w:rPr>
      <w:instrText xml:space="preserve"> FILENAME \p  \* MERGEFORMAT </w:instrText>
    </w:r>
    <w:r w:rsidRPr="006B7B32">
      <w:rPr>
        <w:sz w:val="16"/>
        <w:szCs w:val="16"/>
      </w:rPr>
      <w:fldChar w:fldCharType="separate"/>
    </w:r>
    <w:r w:rsidR="00493FBB">
      <w:rPr>
        <w:noProof/>
        <w:sz w:val="16"/>
        <w:szCs w:val="16"/>
        <w:lang w:val="fr-CH"/>
      </w:rPr>
      <w:t>P:\ESP\ITU-D\CONF-D\RPMS\EUR\000\015S.docx</w:t>
    </w:r>
    <w:r w:rsidRPr="006B7B32">
      <w:rPr>
        <w:noProof/>
        <w:sz w:val="16"/>
        <w:szCs w:val="16"/>
      </w:rPr>
      <w:fldChar w:fldCharType="end"/>
    </w:r>
    <w:r w:rsidRPr="006B7B32">
      <w:rPr>
        <w:noProof/>
        <w:sz w:val="16"/>
        <w:szCs w:val="16"/>
        <w:lang w:val="fr-CH"/>
      </w:rPr>
      <w:t xml:space="preserve"> (</w:t>
    </w:r>
    <w:r>
      <w:rPr>
        <w:noProof/>
        <w:sz w:val="16"/>
        <w:szCs w:val="16"/>
        <w:lang w:val="fr-CH"/>
      </w:rPr>
      <w:t>415153</w:t>
    </w:r>
    <w:r w:rsidRPr="006B7B32">
      <w:rPr>
        <w:noProof/>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5" w:type="dxa"/>
      <w:tblLayout w:type="fixed"/>
      <w:tblLook w:val="04A0" w:firstRow="1" w:lastRow="0" w:firstColumn="1" w:lastColumn="0" w:noHBand="0" w:noVBand="1"/>
    </w:tblPr>
    <w:tblGrid>
      <w:gridCol w:w="1526"/>
      <w:gridCol w:w="2727"/>
      <w:gridCol w:w="5602"/>
    </w:tblGrid>
    <w:tr w:rsidR="006B7B32" w:rsidRPr="006B7B32" w:rsidTr="006B7B32">
      <w:tc>
        <w:tcPr>
          <w:tcW w:w="1526" w:type="dxa"/>
          <w:tcBorders>
            <w:top w:val="single" w:sz="4" w:space="0" w:color="000000"/>
          </w:tcBorders>
          <w:shd w:val="clear" w:color="auto" w:fill="auto"/>
        </w:tcPr>
        <w:p w:rsidR="006B7B32" w:rsidRPr="006B7B32" w:rsidRDefault="006B7B32" w:rsidP="006B7B32">
          <w:pPr>
            <w:pStyle w:val="FirstFooter"/>
            <w:tabs>
              <w:tab w:val="left" w:pos="1559"/>
              <w:tab w:val="left" w:pos="3828"/>
            </w:tabs>
            <w:rPr>
              <w:rFonts w:ascii="Calibri" w:hAnsi="Calibri"/>
              <w:sz w:val="18"/>
              <w:szCs w:val="18"/>
              <w:lang w:val="es-ES"/>
            </w:rPr>
          </w:pPr>
          <w:r w:rsidRPr="006B7B32">
            <w:rPr>
              <w:rFonts w:ascii="Calibri" w:hAnsi="Calibri"/>
              <w:sz w:val="18"/>
              <w:szCs w:val="18"/>
              <w:lang w:val="es-ES"/>
            </w:rPr>
            <w:t>Contacto:</w:t>
          </w:r>
        </w:p>
      </w:tc>
      <w:tc>
        <w:tcPr>
          <w:tcW w:w="2727" w:type="dxa"/>
          <w:tcBorders>
            <w:top w:val="single" w:sz="4" w:space="0" w:color="000000"/>
          </w:tcBorders>
          <w:shd w:val="clear" w:color="auto" w:fill="auto"/>
        </w:tcPr>
        <w:p w:rsidR="006B7B32" w:rsidRPr="006B7B32" w:rsidRDefault="006B7B32" w:rsidP="006B7B32">
          <w:pPr>
            <w:pStyle w:val="FirstFooter"/>
            <w:tabs>
              <w:tab w:val="left" w:pos="2302"/>
            </w:tabs>
            <w:ind w:left="2302" w:hanging="2302"/>
            <w:rPr>
              <w:rFonts w:ascii="Calibri" w:hAnsi="Calibri"/>
              <w:sz w:val="18"/>
              <w:szCs w:val="18"/>
              <w:lang w:val="es-ES"/>
            </w:rPr>
          </w:pPr>
          <w:r w:rsidRPr="006B7B32">
            <w:rPr>
              <w:rFonts w:ascii="Calibri" w:hAnsi="Calibri"/>
              <w:sz w:val="18"/>
              <w:szCs w:val="18"/>
              <w:lang w:val="es-ES"/>
            </w:rPr>
            <w:t>Nombre/Organización/Entidad</w:t>
          </w:r>
        </w:p>
      </w:tc>
      <w:tc>
        <w:tcPr>
          <w:tcW w:w="5602" w:type="dxa"/>
          <w:tcBorders>
            <w:top w:val="single" w:sz="4" w:space="0" w:color="000000"/>
          </w:tcBorders>
          <w:shd w:val="clear" w:color="auto" w:fill="auto"/>
        </w:tcPr>
        <w:p w:rsidR="006B7B32" w:rsidRPr="006B7B32" w:rsidRDefault="006B7B32" w:rsidP="006B7B32">
          <w:pPr>
            <w:pStyle w:val="FirstFooter"/>
            <w:rPr>
              <w:rFonts w:ascii="Calibri" w:hAnsi="Calibri"/>
              <w:sz w:val="18"/>
              <w:szCs w:val="18"/>
              <w:lang w:val="es-ES"/>
            </w:rPr>
          </w:pPr>
          <w:bookmarkStart w:id="1" w:name="OrgName"/>
          <w:bookmarkEnd w:id="1"/>
          <w:r w:rsidRPr="006B7B32">
            <w:rPr>
              <w:rFonts w:ascii="Calibri" w:hAnsi="Calibri"/>
              <w:sz w:val="18"/>
              <w:szCs w:val="18"/>
              <w:lang w:val="es-ES"/>
            </w:rPr>
            <w:t>Sra. Amela Odobasic, Delegación de Bosnia y Herzegovina, Bosnia y Herzegovina</w:t>
          </w:r>
        </w:p>
      </w:tc>
    </w:tr>
    <w:tr w:rsidR="006B7B32" w:rsidRPr="006B7B32" w:rsidTr="006B7B32">
      <w:tc>
        <w:tcPr>
          <w:tcW w:w="1526" w:type="dxa"/>
          <w:shd w:val="clear" w:color="auto" w:fill="auto"/>
        </w:tcPr>
        <w:p w:rsidR="006B7B32" w:rsidRPr="006B7B32" w:rsidRDefault="006B7B32" w:rsidP="006B7B32">
          <w:pPr>
            <w:pStyle w:val="FirstFooter"/>
            <w:tabs>
              <w:tab w:val="left" w:pos="1559"/>
              <w:tab w:val="left" w:pos="3828"/>
            </w:tabs>
            <w:rPr>
              <w:rFonts w:ascii="Calibri" w:hAnsi="Calibri"/>
              <w:sz w:val="20"/>
              <w:lang w:val="es-ES"/>
            </w:rPr>
          </w:pPr>
        </w:p>
      </w:tc>
      <w:tc>
        <w:tcPr>
          <w:tcW w:w="2727" w:type="dxa"/>
          <w:shd w:val="clear" w:color="auto" w:fill="auto"/>
        </w:tcPr>
        <w:p w:rsidR="006B7B32" w:rsidRPr="006B7B32" w:rsidRDefault="006B7B32" w:rsidP="006B7B32">
          <w:pPr>
            <w:pStyle w:val="FirstFooter"/>
            <w:tabs>
              <w:tab w:val="left" w:pos="2302"/>
            </w:tabs>
            <w:rPr>
              <w:rFonts w:ascii="Calibri" w:hAnsi="Calibri"/>
              <w:sz w:val="18"/>
              <w:szCs w:val="18"/>
              <w:lang w:val="es-ES"/>
            </w:rPr>
          </w:pPr>
          <w:r w:rsidRPr="006B7B32">
            <w:rPr>
              <w:rFonts w:ascii="Calibri" w:hAnsi="Calibri"/>
              <w:sz w:val="18"/>
              <w:szCs w:val="18"/>
              <w:lang w:val="es-ES"/>
            </w:rPr>
            <w:t>Teléfono:</w:t>
          </w:r>
        </w:p>
      </w:tc>
      <w:tc>
        <w:tcPr>
          <w:tcW w:w="5602" w:type="dxa"/>
          <w:shd w:val="clear" w:color="auto" w:fill="auto"/>
        </w:tcPr>
        <w:p w:rsidR="006B7B32" w:rsidRPr="006B7B32" w:rsidRDefault="006B7B32" w:rsidP="006B7B32">
          <w:pPr>
            <w:pStyle w:val="FirstFooter"/>
            <w:tabs>
              <w:tab w:val="left" w:pos="2302"/>
            </w:tabs>
            <w:rPr>
              <w:rFonts w:ascii="Calibri" w:hAnsi="Calibri"/>
              <w:sz w:val="18"/>
              <w:szCs w:val="18"/>
              <w:lang w:val="es-ES"/>
            </w:rPr>
          </w:pPr>
          <w:bookmarkStart w:id="2" w:name="PhoneNo"/>
          <w:bookmarkEnd w:id="2"/>
          <w:r w:rsidRPr="006B7B32">
            <w:rPr>
              <w:rFonts w:ascii="Calibri" w:hAnsi="Calibri"/>
              <w:sz w:val="18"/>
              <w:szCs w:val="18"/>
              <w:lang w:val="es-ES"/>
            </w:rPr>
            <w:t>+387 33250600</w:t>
          </w:r>
        </w:p>
      </w:tc>
    </w:tr>
    <w:tr w:rsidR="006B7B32" w:rsidRPr="006B7B32" w:rsidTr="006B7B32">
      <w:tc>
        <w:tcPr>
          <w:tcW w:w="1526" w:type="dxa"/>
          <w:shd w:val="clear" w:color="auto" w:fill="auto"/>
        </w:tcPr>
        <w:p w:rsidR="006B7B32" w:rsidRPr="006B7B32" w:rsidRDefault="006B7B32" w:rsidP="006B7B32">
          <w:pPr>
            <w:pStyle w:val="FirstFooter"/>
            <w:tabs>
              <w:tab w:val="left" w:pos="1559"/>
              <w:tab w:val="left" w:pos="3828"/>
            </w:tabs>
            <w:rPr>
              <w:rFonts w:ascii="Calibri" w:hAnsi="Calibri"/>
              <w:sz w:val="20"/>
              <w:lang w:val="es-ES"/>
            </w:rPr>
          </w:pPr>
        </w:p>
      </w:tc>
      <w:tc>
        <w:tcPr>
          <w:tcW w:w="2727" w:type="dxa"/>
          <w:shd w:val="clear" w:color="auto" w:fill="auto"/>
        </w:tcPr>
        <w:p w:rsidR="006B7B32" w:rsidRPr="006B7B32" w:rsidRDefault="006B7B32" w:rsidP="006B7B32">
          <w:pPr>
            <w:pStyle w:val="FirstFooter"/>
            <w:tabs>
              <w:tab w:val="left" w:pos="2302"/>
            </w:tabs>
            <w:rPr>
              <w:rFonts w:ascii="Calibri" w:hAnsi="Calibri"/>
              <w:sz w:val="18"/>
              <w:szCs w:val="18"/>
              <w:lang w:val="es-ES"/>
            </w:rPr>
          </w:pPr>
          <w:r w:rsidRPr="006B7B32">
            <w:rPr>
              <w:rFonts w:ascii="Calibri" w:hAnsi="Calibri"/>
              <w:sz w:val="18"/>
              <w:szCs w:val="18"/>
              <w:lang w:val="es-ES"/>
            </w:rPr>
            <w:t>Correo electrónico:</w:t>
          </w:r>
        </w:p>
      </w:tc>
      <w:bookmarkStart w:id="3" w:name="Email"/>
      <w:bookmarkEnd w:id="3"/>
      <w:tc>
        <w:tcPr>
          <w:tcW w:w="5602" w:type="dxa"/>
          <w:shd w:val="clear" w:color="auto" w:fill="auto"/>
        </w:tcPr>
        <w:p w:rsidR="006B7B32" w:rsidRPr="006B7B32" w:rsidRDefault="006B7B32" w:rsidP="006B7B32">
          <w:pPr>
            <w:pStyle w:val="FirstFooter"/>
            <w:tabs>
              <w:tab w:val="left" w:pos="2302"/>
            </w:tabs>
            <w:rPr>
              <w:rFonts w:ascii="Calibri" w:hAnsi="Calibri"/>
              <w:sz w:val="18"/>
              <w:szCs w:val="18"/>
              <w:lang w:val="es-ES"/>
            </w:rPr>
          </w:pPr>
          <w:r w:rsidRPr="006B7B32">
            <w:rPr>
              <w:rFonts w:ascii="Calibri" w:hAnsi="Calibri"/>
              <w:sz w:val="18"/>
              <w:szCs w:val="18"/>
              <w:lang w:val="es-ES"/>
            </w:rPr>
            <w:fldChar w:fldCharType="begin"/>
          </w:r>
          <w:r w:rsidRPr="006B7B32">
            <w:rPr>
              <w:rFonts w:ascii="Calibri" w:hAnsi="Calibri"/>
              <w:sz w:val="18"/>
              <w:szCs w:val="18"/>
              <w:lang w:val="es-ES"/>
            </w:rPr>
            <w:instrText xml:space="preserve"> HYPERLINK "mailto:aodobasic@rak.ba" </w:instrText>
          </w:r>
          <w:r w:rsidRPr="006B7B32">
            <w:rPr>
              <w:rFonts w:ascii="Calibri" w:hAnsi="Calibri"/>
              <w:sz w:val="18"/>
              <w:szCs w:val="18"/>
              <w:lang w:val="es-ES"/>
            </w:rPr>
            <w:fldChar w:fldCharType="separate"/>
          </w:r>
          <w:r w:rsidRPr="006B7B32">
            <w:rPr>
              <w:rStyle w:val="Hyperlink"/>
              <w:rFonts w:ascii="Calibri" w:hAnsi="Calibri"/>
              <w:sz w:val="18"/>
              <w:szCs w:val="18"/>
              <w:lang w:val="es-ES"/>
            </w:rPr>
            <w:t>aodobasic@rak.ba</w:t>
          </w:r>
          <w:r w:rsidRPr="006B7B32">
            <w:rPr>
              <w:rFonts w:ascii="Calibri" w:hAnsi="Calibri"/>
              <w:sz w:val="18"/>
              <w:szCs w:val="18"/>
              <w:lang w:val="es-ES"/>
            </w:rPr>
            <w:fldChar w:fldCharType="end"/>
          </w:r>
          <w:r w:rsidRPr="006B7B32">
            <w:rPr>
              <w:rFonts w:ascii="Calibri" w:hAnsi="Calibri"/>
              <w:sz w:val="18"/>
              <w:szCs w:val="18"/>
              <w:lang w:val="es-ES"/>
            </w:rPr>
            <w:t xml:space="preserve"> </w:t>
          </w:r>
        </w:p>
      </w:tc>
    </w:tr>
  </w:tbl>
  <w:bookmarkStart w:id="4" w:name="URL"/>
  <w:bookmarkEnd w:id="4"/>
  <w:p w:rsidR="007E1EBF" w:rsidRPr="006B7B32" w:rsidRDefault="006B7B32" w:rsidP="006B7B32">
    <w:pPr>
      <w:jc w:val="center"/>
      <w:rPr>
        <w:sz w:val="20"/>
      </w:rPr>
    </w:pPr>
    <w:r w:rsidRPr="006B7B32">
      <w:rPr>
        <w:sz w:val="20"/>
      </w:rPr>
      <w:fldChar w:fldCharType="begin"/>
    </w:r>
    <w:r w:rsidRPr="006B7B32">
      <w:rPr>
        <w:sz w:val="20"/>
      </w:rPr>
      <w:instrText xml:space="preserve"> HYPERLINK "http://www.itu.int/go/en/wtdc17rpm" </w:instrText>
    </w:r>
    <w:r w:rsidRPr="006B7B32">
      <w:rPr>
        <w:sz w:val="20"/>
      </w:rPr>
      <w:fldChar w:fldCharType="separate"/>
    </w:r>
    <w:r w:rsidRPr="006B7B32">
      <w:rPr>
        <w:rStyle w:val="Hyperlink"/>
        <w:rFonts w:ascii="Calibri" w:hAnsi="Calibri"/>
        <w:sz w:val="20"/>
      </w:rPr>
      <w:t>http://www.itu.int/go/en/wtdc17rpm</w:t>
    </w:r>
    <w:r w:rsidRPr="006B7B32">
      <w:rPr>
        <w:rStyle w:val="Hyperlink"/>
        <w:rFonts w:ascii="Calibri" w:hAnsi="Calibri"/>
        <w:sz w:val="20"/>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EBF" w:rsidRDefault="007E1EBF">
      <w:r>
        <w:separator/>
      </w:r>
    </w:p>
  </w:footnote>
  <w:footnote w:type="continuationSeparator" w:id="0">
    <w:p w:rsidR="007E1EBF" w:rsidRDefault="007E1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EBF" w:rsidRPr="006B7B32" w:rsidRDefault="006B7B32" w:rsidP="006B7B32">
    <w:pPr>
      <w:tabs>
        <w:tab w:val="clear" w:pos="794"/>
        <w:tab w:val="clear" w:pos="1191"/>
        <w:tab w:val="clear" w:pos="1588"/>
        <w:tab w:val="clear" w:pos="1985"/>
        <w:tab w:val="center" w:pos="5103"/>
        <w:tab w:val="right" w:pos="10206"/>
      </w:tabs>
      <w:spacing w:before="0"/>
      <w:rPr>
        <w:smallCaps/>
        <w:spacing w:val="24"/>
        <w:sz w:val="22"/>
        <w:szCs w:val="22"/>
      </w:rPr>
    </w:pPr>
    <w:r w:rsidRPr="004D495C">
      <w:rPr>
        <w:sz w:val="22"/>
        <w:szCs w:val="22"/>
      </w:rPr>
      <w:tab/>
    </w:r>
    <w:r w:rsidRPr="00365E42">
      <w:rPr>
        <w:sz w:val="22"/>
        <w:szCs w:val="22"/>
      </w:rPr>
      <w:t>ITU-D/RPM-</w:t>
    </w:r>
    <w:r>
      <w:rPr>
        <w:sz w:val="22"/>
        <w:szCs w:val="22"/>
      </w:rPr>
      <w:t>EUR</w:t>
    </w:r>
    <w:r w:rsidRPr="00365E42">
      <w:rPr>
        <w:sz w:val="22"/>
        <w:szCs w:val="22"/>
      </w:rPr>
      <w:t>1</w:t>
    </w:r>
    <w:r>
      <w:rPr>
        <w:sz w:val="22"/>
        <w:szCs w:val="22"/>
      </w:rPr>
      <w:t>7</w:t>
    </w:r>
    <w:r w:rsidRPr="00365E42">
      <w:rPr>
        <w:sz w:val="22"/>
        <w:szCs w:val="22"/>
      </w:rPr>
      <w:t>/</w:t>
    </w:r>
    <w:r>
      <w:rPr>
        <w:sz w:val="22"/>
        <w:szCs w:val="22"/>
      </w:rPr>
      <w:t>15</w:t>
    </w:r>
    <w:r w:rsidRPr="00365E42">
      <w:rPr>
        <w:sz w:val="22"/>
        <w:szCs w:val="22"/>
      </w:rPr>
      <w:t>-S</w:t>
    </w:r>
    <w:r w:rsidRPr="00365E42">
      <w:rPr>
        <w:sz w:val="22"/>
        <w:szCs w:val="22"/>
      </w:rPr>
      <w:tab/>
      <w:t>P</w:t>
    </w:r>
    <w:r>
      <w:rPr>
        <w:sz w:val="22"/>
        <w:szCs w:val="22"/>
      </w:rPr>
      <w:t>ágina</w:t>
    </w:r>
    <w:r w:rsidRPr="00365E42">
      <w:rPr>
        <w:sz w:val="22"/>
        <w:szCs w:val="22"/>
      </w:rPr>
      <w:t xml:space="preserve"> </w:t>
    </w:r>
    <w:r w:rsidRPr="004D495C">
      <w:rPr>
        <w:sz w:val="22"/>
        <w:szCs w:val="22"/>
      </w:rPr>
      <w:fldChar w:fldCharType="begin"/>
    </w:r>
    <w:r w:rsidRPr="00365E42">
      <w:rPr>
        <w:sz w:val="22"/>
        <w:szCs w:val="22"/>
      </w:rPr>
      <w:instrText xml:space="preserve"> PAGE </w:instrText>
    </w:r>
    <w:r w:rsidRPr="004D495C">
      <w:rPr>
        <w:sz w:val="22"/>
        <w:szCs w:val="22"/>
      </w:rPr>
      <w:fldChar w:fldCharType="separate"/>
    </w:r>
    <w:r w:rsidR="00E313FF">
      <w:rPr>
        <w:noProof/>
        <w:sz w:val="22"/>
        <w:szCs w:val="22"/>
      </w:rPr>
      <w:t>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2pt;height:7.2pt" o:bullet="t">
        <v:imagedata r:id="rId1" o:title="BD10267_"/>
      </v:shape>
    </w:pict>
  </w:numPicBullet>
  <w:abstractNum w:abstractNumId="0" w15:restartNumberingAfterBreak="0">
    <w:nsid w:val="FFFFFF7C"/>
    <w:multiLevelType w:val="singleLevel"/>
    <w:tmpl w:val="C2D032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0489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4241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3EC6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B66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A418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0229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E2EE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0E35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5026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18E5421"/>
    <w:multiLevelType w:val="hybridMultilevel"/>
    <w:tmpl w:val="93B40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443A3241"/>
    <w:multiLevelType w:val="hybridMultilevel"/>
    <w:tmpl w:val="F976C4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9"/>
  </w:num>
  <w:num w:numId="14">
    <w:abstractNumId w:val="12"/>
  </w:num>
  <w:num w:numId="15">
    <w:abstractNumId w:val="16"/>
  </w:num>
  <w:num w:numId="16">
    <w:abstractNumId w:val="32"/>
  </w:num>
  <w:num w:numId="17">
    <w:abstractNumId w:val="27"/>
  </w:num>
  <w:num w:numId="18">
    <w:abstractNumId w:val="13"/>
  </w:num>
  <w:num w:numId="19">
    <w:abstractNumId w:val="17"/>
  </w:num>
  <w:num w:numId="20">
    <w:abstractNumId w:val="23"/>
  </w:num>
  <w:num w:numId="21">
    <w:abstractNumId w:val="28"/>
  </w:num>
  <w:num w:numId="22">
    <w:abstractNumId w:val="15"/>
  </w:num>
  <w:num w:numId="23">
    <w:abstractNumId w:val="19"/>
  </w:num>
  <w:num w:numId="24">
    <w:abstractNumId w:val="26"/>
  </w:num>
  <w:num w:numId="25">
    <w:abstractNumId w:val="26"/>
  </w:num>
  <w:num w:numId="26">
    <w:abstractNumId w:val="20"/>
  </w:num>
  <w:num w:numId="27">
    <w:abstractNumId w:val="14"/>
  </w:num>
  <w:num w:numId="28">
    <w:abstractNumId w:val="30"/>
  </w:num>
  <w:num w:numId="29">
    <w:abstractNumId w:val="11"/>
  </w:num>
  <w:num w:numId="30">
    <w:abstractNumId w:val="22"/>
  </w:num>
  <w:num w:numId="31">
    <w:abstractNumId w:val="31"/>
  </w:num>
  <w:num w:numId="32">
    <w:abstractNumId w:val="25"/>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DD"/>
    <w:rsid w:val="00003125"/>
    <w:rsid w:val="000038DA"/>
    <w:rsid w:val="00005245"/>
    <w:rsid w:val="00006684"/>
    <w:rsid w:val="00006856"/>
    <w:rsid w:val="00017BEC"/>
    <w:rsid w:val="00017E7D"/>
    <w:rsid w:val="00017E82"/>
    <w:rsid w:val="00021A72"/>
    <w:rsid w:val="00021E38"/>
    <w:rsid w:val="00022BFD"/>
    <w:rsid w:val="00032DD2"/>
    <w:rsid w:val="000370A8"/>
    <w:rsid w:val="0004509D"/>
    <w:rsid w:val="000563AB"/>
    <w:rsid w:val="0006050B"/>
    <w:rsid w:val="00064263"/>
    <w:rsid w:val="00080665"/>
    <w:rsid w:val="00085784"/>
    <w:rsid w:val="000A3328"/>
    <w:rsid w:val="000D0403"/>
    <w:rsid w:val="000D61A2"/>
    <w:rsid w:val="000D7961"/>
    <w:rsid w:val="000E397B"/>
    <w:rsid w:val="000F1580"/>
    <w:rsid w:val="000F2072"/>
    <w:rsid w:val="00103FDD"/>
    <w:rsid w:val="001042B0"/>
    <w:rsid w:val="001229F6"/>
    <w:rsid w:val="001519AE"/>
    <w:rsid w:val="00153BB5"/>
    <w:rsid w:val="0015553B"/>
    <w:rsid w:val="00161A5A"/>
    <w:rsid w:val="00170AB9"/>
    <w:rsid w:val="00181928"/>
    <w:rsid w:val="001856D7"/>
    <w:rsid w:val="00187E51"/>
    <w:rsid w:val="00192DBD"/>
    <w:rsid w:val="0019399A"/>
    <w:rsid w:val="001A52E9"/>
    <w:rsid w:val="001B4B9B"/>
    <w:rsid w:val="001D3694"/>
    <w:rsid w:val="001D67DD"/>
    <w:rsid w:val="001E33AB"/>
    <w:rsid w:val="001E3BCF"/>
    <w:rsid w:val="00235915"/>
    <w:rsid w:val="00252877"/>
    <w:rsid w:val="00262B06"/>
    <w:rsid w:val="00270C45"/>
    <w:rsid w:val="002748B0"/>
    <w:rsid w:val="00275198"/>
    <w:rsid w:val="0028054C"/>
    <w:rsid w:val="00284F90"/>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6579F"/>
    <w:rsid w:val="00385ABF"/>
    <w:rsid w:val="00392AF3"/>
    <w:rsid w:val="003B75F4"/>
    <w:rsid w:val="003C25B7"/>
    <w:rsid w:val="003C78E4"/>
    <w:rsid w:val="003E20FF"/>
    <w:rsid w:val="004077C9"/>
    <w:rsid w:val="00414E6F"/>
    <w:rsid w:val="00415F06"/>
    <w:rsid w:val="004331DF"/>
    <w:rsid w:val="004332BE"/>
    <w:rsid w:val="0043566B"/>
    <w:rsid w:val="004430CE"/>
    <w:rsid w:val="004527C5"/>
    <w:rsid w:val="00452CF7"/>
    <w:rsid w:val="00457453"/>
    <w:rsid w:val="0046327F"/>
    <w:rsid w:val="00472A03"/>
    <w:rsid w:val="00483313"/>
    <w:rsid w:val="00487A55"/>
    <w:rsid w:val="00493FBB"/>
    <w:rsid w:val="004A0340"/>
    <w:rsid w:val="004A28F0"/>
    <w:rsid w:val="004A34DD"/>
    <w:rsid w:val="004A564F"/>
    <w:rsid w:val="004D0AC9"/>
    <w:rsid w:val="004D2D58"/>
    <w:rsid w:val="004D3DC4"/>
    <w:rsid w:val="004E3824"/>
    <w:rsid w:val="004F09F8"/>
    <w:rsid w:val="00502BFC"/>
    <w:rsid w:val="00511EDF"/>
    <w:rsid w:val="00523237"/>
    <w:rsid w:val="00523E05"/>
    <w:rsid w:val="005302F6"/>
    <w:rsid w:val="00531DD0"/>
    <w:rsid w:val="00542D84"/>
    <w:rsid w:val="0058604B"/>
    <w:rsid w:val="005936E2"/>
    <w:rsid w:val="005B1B48"/>
    <w:rsid w:val="005B37AF"/>
    <w:rsid w:val="005B45E9"/>
    <w:rsid w:val="005C0E75"/>
    <w:rsid w:val="005C33BC"/>
    <w:rsid w:val="005D12FD"/>
    <w:rsid w:val="005E07F1"/>
    <w:rsid w:val="006222F4"/>
    <w:rsid w:val="00622A8F"/>
    <w:rsid w:val="006354E9"/>
    <w:rsid w:val="0064011F"/>
    <w:rsid w:val="006444D5"/>
    <w:rsid w:val="0065094C"/>
    <w:rsid w:val="006527BD"/>
    <w:rsid w:val="00663234"/>
    <w:rsid w:val="00667E12"/>
    <w:rsid w:val="00676C62"/>
    <w:rsid w:val="00677A58"/>
    <w:rsid w:val="00684700"/>
    <w:rsid w:val="00685848"/>
    <w:rsid w:val="00691110"/>
    <w:rsid w:val="006A6F8F"/>
    <w:rsid w:val="006B7B32"/>
    <w:rsid w:val="006C0E12"/>
    <w:rsid w:val="006C7A7B"/>
    <w:rsid w:val="006F1CE9"/>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7E1995"/>
    <w:rsid w:val="007E1EBF"/>
    <w:rsid w:val="00800D40"/>
    <w:rsid w:val="00810A21"/>
    <w:rsid w:val="00811068"/>
    <w:rsid w:val="00813980"/>
    <w:rsid w:val="00817846"/>
    <w:rsid w:val="00826559"/>
    <w:rsid w:val="00833A72"/>
    <w:rsid w:val="00833F2B"/>
    <w:rsid w:val="008340D6"/>
    <w:rsid w:val="0083540C"/>
    <w:rsid w:val="00835BBF"/>
    <w:rsid w:val="00852CC6"/>
    <w:rsid w:val="00870D98"/>
    <w:rsid w:val="008740CF"/>
    <w:rsid w:val="008A357D"/>
    <w:rsid w:val="008B3723"/>
    <w:rsid w:val="008F2196"/>
    <w:rsid w:val="009043C2"/>
    <w:rsid w:val="009074FD"/>
    <w:rsid w:val="00912887"/>
    <w:rsid w:val="00915921"/>
    <w:rsid w:val="00941145"/>
    <w:rsid w:val="0094145C"/>
    <w:rsid w:val="00942ED4"/>
    <w:rsid w:val="00951378"/>
    <w:rsid w:val="00953C7D"/>
    <w:rsid w:val="0096235E"/>
    <w:rsid w:val="0097038C"/>
    <w:rsid w:val="009778C3"/>
    <w:rsid w:val="009B17EA"/>
    <w:rsid w:val="009B6F98"/>
    <w:rsid w:val="009E3FEB"/>
    <w:rsid w:val="009E50D3"/>
    <w:rsid w:val="009E725D"/>
    <w:rsid w:val="00A13179"/>
    <w:rsid w:val="00A140EB"/>
    <w:rsid w:val="00A65745"/>
    <w:rsid w:val="00A824E0"/>
    <w:rsid w:val="00A840C6"/>
    <w:rsid w:val="00AB4706"/>
    <w:rsid w:val="00AC3A1D"/>
    <w:rsid w:val="00AC7AC6"/>
    <w:rsid w:val="00AD799C"/>
    <w:rsid w:val="00AE1C97"/>
    <w:rsid w:val="00AE2BCA"/>
    <w:rsid w:val="00AF0A2E"/>
    <w:rsid w:val="00AF4619"/>
    <w:rsid w:val="00B1401A"/>
    <w:rsid w:val="00B2033A"/>
    <w:rsid w:val="00B20B08"/>
    <w:rsid w:val="00B24401"/>
    <w:rsid w:val="00B34B6C"/>
    <w:rsid w:val="00B4143C"/>
    <w:rsid w:val="00B41935"/>
    <w:rsid w:val="00B46EC5"/>
    <w:rsid w:val="00B50E11"/>
    <w:rsid w:val="00B528E2"/>
    <w:rsid w:val="00B532C0"/>
    <w:rsid w:val="00B60B80"/>
    <w:rsid w:val="00B60DA7"/>
    <w:rsid w:val="00B830A9"/>
    <w:rsid w:val="00B8609C"/>
    <w:rsid w:val="00B90DC1"/>
    <w:rsid w:val="00BA2C8C"/>
    <w:rsid w:val="00BB67AF"/>
    <w:rsid w:val="00BC1350"/>
    <w:rsid w:val="00BC6A2F"/>
    <w:rsid w:val="00BF0BB1"/>
    <w:rsid w:val="00C05FC5"/>
    <w:rsid w:val="00C2585A"/>
    <w:rsid w:val="00C26729"/>
    <w:rsid w:val="00C37B27"/>
    <w:rsid w:val="00C53CE6"/>
    <w:rsid w:val="00C551FC"/>
    <w:rsid w:val="00C571D7"/>
    <w:rsid w:val="00C648E4"/>
    <w:rsid w:val="00C75DBB"/>
    <w:rsid w:val="00C75DE9"/>
    <w:rsid w:val="00C837F9"/>
    <w:rsid w:val="00C84158"/>
    <w:rsid w:val="00C84E60"/>
    <w:rsid w:val="00C90DA6"/>
    <w:rsid w:val="00CA2984"/>
    <w:rsid w:val="00CF63E1"/>
    <w:rsid w:val="00CF6EC7"/>
    <w:rsid w:val="00D00614"/>
    <w:rsid w:val="00D17DC5"/>
    <w:rsid w:val="00D35307"/>
    <w:rsid w:val="00D4563B"/>
    <w:rsid w:val="00D80072"/>
    <w:rsid w:val="00D92439"/>
    <w:rsid w:val="00D948A7"/>
    <w:rsid w:val="00DA1664"/>
    <w:rsid w:val="00DA2F6F"/>
    <w:rsid w:val="00DA3130"/>
    <w:rsid w:val="00DB5B1B"/>
    <w:rsid w:val="00DB6C98"/>
    <w:rsid w:val="00DE3F2D"/>
    <w:rsid w:val="00DE460C"/>
    <w:rsid w:val="00E13225"/>
    <w:rsid w:val="00E148EB"/>
    <w:rsid w:val="00E207C7"/>
    <w:rsid w:val="00E2379D"/>
    <w:rsid w:val="00E244D1"/>
    <w:rsid w:val="00E2476D"/>
    <w:rsid w:val="00E313FF"/>
    <w:rsid w:val="00E7476B"/>
    <w:rsid w:val="00E74841"/>
    <w:rsid w:val="00E84413"/>
    <w:rsid w:val="00E97800"/>
    <w:rsid w:val="00EA6520"/>
    <w:rsid w:val="00EA72D0"/>
    <w:rsid w:val="00ED2768"/>
    <w:rsid w:val="00EE1BA9"/>
    <w:rsid w:val="00EF62C8"/>
    <w:rsid w:val="00F206E6"/>
    <w:rsid w:val="00F2422E"/>
    <w:rsid w:val="00F40E2E"/>
    <w:rsid w:val="00F620CA"/>
    <w:rsid w:val="00F647B5"/>
    <w:rsid w:val="00F74154"/>
    <w:rsid w:val="00F842D3"/>
    <w:rsid w:val="00F87092"/>
    <w:rsid w:val="00FD281F"/>
    <w:rsid w:val="00FF2B4D"/>
    <w:rsid w:val="00FF4BC0"/>
    <w:rsid w:val="00FF5264"/>
    <w:rsid w:val="00FF67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D3D638-4777-4CF7-BD3D-9A228C9D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DD"/>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531DD0"/>
    <w:pPr>
      <w:keepNext/>
      <w:keepLines/>
      <w:spacing w:before="280"/>
      <w:ind w:left="794" w:hanging="794"/>
      <w:outlineLvl w:val="0"/>
    </w:pPr>
    <w:rPr>
      <w:b/>
      <w:bCs/>
      <w:sz w:val="28"/>
      <w:lang w:val="es-ES_tradnl"/>
    </w:rPr>
  </w:style>
  <w:style w:type="paragraph" w:styleId="Heading2">
    <w:name w:val="heading 2"/>
    <w:basedOn w:val="Heading1"/>
    <w:next w:val="Normal"/>
    <w:qFormat/>
    <w:rsid w:val="00C05FC5"/>
    <w:pPr>
      <w:spacing w:before="200"/>
      <w:outlineLvl w:val="1"/>
    </w:pPr>
    <w:rPr>
      <w:sz w:val="24"/>
    </w:rPr>
  </w:style>
  <w:style w:type="paragraph" w:styleId="Heading3">
    <w:name w:val="heading 3"/>
    <w:basedOn w:val="Heading1"/>
    <w:next w:val="Normal"/>
    <w:qFormat/>
    <w:rsid w:val="00C05FC5"/>
    <w:pPr>
      <w:spacing w:before="200"/>
      <w:outlineLvl w:val="2"/>
    </w:pPr>
    <w:rPr>
      <w:sz w:val="24"/>
    </w:rPr>
  </w:style>
  <w:style w:type="paragraph" w:styleId="Heading4">
    <w:name w:val="heading 4"/>
    <w:basedOn w:val="Heading3"/>
    <w:next w:val="Normal"/>
    <w:qFormat/>
    <w:rsid w:val="00C05FC5"/>
    <w:pPr>
      <w:tabs>
        <w:tab w:val="clear" w:pos="794"/>
        <w:tab w:val="left" w:pos="992"/>
      </w:tabs>
      <w:ind w:left="992" w:hanging="992"/>
      <w:outlineLvl w:val="3"/>
    </w:pPr>
  </w:style>
  <w:style w:type="paragraph" w:styleId="Heading5">
    <w:name w:val="heading 5"/>
    <w:basedOn w:val="Heading4"/>
    <w:next w:val="Normal"/>
    <w:qFormat/>
    <w:rsid w:val="00C05FC5"/>
    <w:pPr>
      <w:outlineLvl w:val="4"/>
    </w:pPr>
  </w:style>
  <w:style w:type="paragraph" w:styleId="Heading6">
    <w:name w:val="heading 6"/>
    <w:basedOn w:val="Heading4"/>
    <w:next w:val="Normal"/>
    <w:qFormat/>
    <w:rsid w:val="00C05FC5"/>
    <w:pPr>
      <w:tabs>
        <w:tab w:val="clear" w:pos="992"/>
        <w:tab w:val="clear" w:pos="1191"/>
      </w:tabs>
      <w:ind w:left="1588" w:hanging="1588"/>
      <w:outlineLvl w:val="5"/>
    </w:pPr>
  </w:style>
  <w:style w:type="paragraph" w:styleId="Heading7">
    <w:name w:val="heading 7"/>
    <w:basedOn w:val="Heading6"/>
    <w:next w:val="Normal"/>
    <w:qFormat/>
    <w:rsid w:val="00C05FC5"/>
    <w:pPr>
      <w:outlineLvl w:val="6"/>
    </w:pPr>
  </w:style>
  <w:style w:type="paragraph" w:styleId="Heading8">
    <w:name w:val="heading 8"/>
    <w:basedOn w:val="Heading6"/>
    <w:next w:val="Normal"/>
    <w:qFormat/>
    <w:rsid w:val="00C05FC5"/>
    <w:pPr>
      <w:outlineLvl w:val="7"/>
    </w:pPr>
  </w:style>
  <w:style w:type="paragraph" w:styleId="Heading9">
    <w:name w:val="heading 9"/>
    <w:basedOn w:val="Heading6"/>
    <w:next w:val="Normal"/>
    <w:qFormat/>
    <w:rsid w:val="00C05F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rsid w:val="00663234"/>
    <w:pPr>
      <w:ind w:left="3828" w:hanging="2268"/>
    </w:pPr>
    <w:rPr>
      <w:rFonts w:ascii="Verdana" w:hAnsi="Verdana"/>
      <w:sz w:val="16"/>
      <w:szCs w:val="16"/>
      <w:lang w:eastAsia="en-US"/>
    </w:rPr>
  </w:style>
  <w:style w:type="paragraph" w:customStyle="1" w:styleId="CEONormal">
    <w:name w:val="CEO_Normal"/>
    <w:link w:val="CEONormalChar"/>
    <w:rsid w:val="00663234"/>
    <w:pPr>
      <w:spacing w:before="120" w:after="120"/>
    </w:pPr>
    <w:rPr>
      <w:rFonts w:ascii="Verdana" w:hAnsi="Verdana"/>
      <w:sz w:val="19"/>
      <w:szCs w:val="19"/>
      <w:lang w:eastAsia="en-US"/>
    </w:rPr>
  </w:style>
  <w:style w:type="paragraph" w:customStyle="1" w:styleId="CEODocTitle2lines-Second">
    <w:name w:val="CEO_DocTitle2lines-Second"/>
    <w:basedOn w:val="CEODocTitle2lines-First"/>
    <w:pPr>
      <w:spacing w:before="0" w:after="480"/>
    </w:pPr>
  </w:style>
  <w:style w:type="paragraph" w:customStyle="1" w:styleId="CEODocTitle2lines-First">
    <w:name w:val="CEO_DocTitle2lines-First"/>
    <w:basedOn w:val="CEODocTitle-1line"/>
    <w:next w:val="Normal"/>
    <w:pPr>
      <w:spacing w:after="0"/>
    </w:pPr>
  </w:style>
  <w:style w:type="paragraph" w:customStyle="1" w:styleId="CEODocTitle-1line">
    <w:name w:val="CEO_DocTitle-1line"/>
    <w:basedOn w:val="Normal"/>
    <w:next w:val="Normal"/>
    <w:pPr>
      <w:spacing w:before="480" w:after="480"/>
      <w:jc w:val="center"/>
    </w:pPr>
    <w:rPr>
      <w:b/>
      <w:sz w:val="28"/>
    </w:rPr>
  </w:style>
  <w:style w:type="paragraph" w:customStyle="1" w:styleId="CEOcontributionH1">
    <w:name w:val="CEO_contributionH1"/>
    <w:basedOn w:val="CEOcontribution-H123"/>
    <w:next w:val="CEONormal"/>
    <w:rsid w:val="00D35307"/>
    <w:pPr>
      <w:keepNext/>
      <w:keepLines/>
      <w:numPr>
        <w:numId w:val="0"/>
      </w:numPr>
    </w:pPr>
  </w:style>
  <w:style w:type="paragraph" w:customStyle="1" w:styleId="CEOcontribution-H123">
    <w:name w:val="CEO_contribution-H123"/>
    <w:basedOn w:val="Normal"/>
    <w:pPr>
      <w:numPr>
        <w:numId w:val="26"/>
      </w:numPr>
      <w:tabs>
        <w:tab w:val="clear" w:pos="720"/>
        <w:tab w:val="num" w:pos="567"/>
      </w:tabs>
      <w:ind w:left="567" w:hanging="567"/>
    </w:pPr>
    <w:rPr>
      <w:b/>
      <w:bCs/>
      <w:szCs w:val="19"/>
    </w:rPr>
  </w:style>
  <w:style w:type="paragraph" w:customStyle="1" w:styleId="CEOFooterContact1">
    <w:name w:val="CEO_FooterContact1"/>
    <w:basedOn w:val="CEOFooterContact2-3"/>
    <w:next w:val="CEOFooterContact2-3"/>
    <w:pPr>
      <w:pBdr>
        <w:top w:val="single" w:sz="4" w:space="5" w:color="auto"/>
      </w:pBdr>
      <w:tabs>
        <w:tab w:val="left" w:pos="1560"/>
      </w:tabs>
      <w:ind w:hanging="3828"/>
    </w:pPr>
  </w:style>
  <w:style w:type="paragraph" w:customStyle="1" w:styleId="CEOForAction">
    <w:name w:val="CEO_ForAction"/>
    <w:basedOn w:val="CEONormal"/>
    <w:next w:val="CEOSourceTitle"/>
    <w:pPr>
      <w:spacing w:before="240"/>
      <w:ind w:left="1593"/>
    </w:pPr>
    <w:rPr>
      <w:b/>
      <w:bCs/>
      <w:iCs/>
    </w:rPr>
  </w:style>
  <w:style w:type="paragraph" w:customStyle="1" w:styleId="CEOSourceTitle">
    <w:name w:val="CEO_Source_Title"/>
    <w:basedOn w:val="Normal"/>
    <w:pPr>
      <w:spacing w:before="0"/>
    </w:pPr>
    <w:rPr>
      <w:b/>
      <w:bCs/>
      <w:szCs w:val="19"/>
    </w:rPr>
  </w:style>
  <w:style w:type="paragraph" w:customStyle="1" w:styleId="CEOParagraph11">
    <w:name w:val="CEO_Paragraph 1.1"/>
    <w:basedOn w:val="Heading2"/>
    <w:pPr>
      <w:ind w:left="567"/>
    </w:pPr>
    <w:rPr>
      <w:b w:val="0"/>
      <w:bCs w:val="0"/>
    </w:rPr>
  </w:style>
  <w:style w:type="paragraph" w:customStyle="1" w:styleId="CEOIndent1-123">
    <w:name w:val="CEO_Indent1-123"/>
    <w:basedOn w:val="Normal"/>
    <w:pPr>
      <w:numPr>
        <w:numId w:val="14"/>
      </w:numPr>
      <w:spacing w:before="60" w:after="60"/>
      <w:ind w:right="709"/>
    </w:pPr>
    <w:rPr>
      <w:szCs w:val="19"/>
    </w:rPr>
  </w:style>
  <w:style w:type="paragraph" w:customStyle="1" w:styleId="CEOAgendaItemN">
    <w:name w:val="CEO_AgendaItemN°"/>
    <w:basedOn w:val="CEOIndent1-123"/>
    <w:pPr>
      <w:numPr>
        <w:numId w:val="0"/>
      </w:numPr>
      <w:ind w:right="12"/>
      <w:jc w:val="right"/>
    </w:pPr>
  </w:style>
  <w:style w:type="paragraph" w:customStyle="1" w:styleId="CEODocDates">
    <w:name w:val="CEO_DocDates"/>
    <w:basedOn w:val="Normal"/>
    <w:next w:val="Normal"/>
    <w:pPr>
      <w:spacing w:before="0"/>
    </w:pPr>
    <w:rPr>
      <w:b/>
      <w:bCs/>
      <w:szCs w:val="19"/>
    </w:rPr>
  </w:style>
  <w:style w:type="paragraph" w:customStyle="1" w:styleId="CEODocNo">
    <w:name w:val="CEO_DocNo"/>
    <w:basedOn w:val="Normal"/>
    <w:next w:val="Normal"/>
    <w:pPr>
      <w:spacing w:before="0"/>
    </w:pPr>
    <w:rPr>
      <w:b/>
      <w:bCs/>
      <w:szCs w:val="19"/>
    </w:rPr>
  </w:style>
  <w:style w:type="paragraph" w:customStyle="1" w:styleId="CEODocNoDetails">
    <w:name w:val="CEO_DocNoDetails"/>
    <w:basedOn w:val="Normal"/>
    <w:pPr>
      <w:spacing w:before="80" w:after="80"/>
      <w:jc w:val="center"/>
    </w:pPr>
    <w:rPr>
      <w:szCs w:val="19"/>
    </w:rPr>
  </w:style>
  <w:style w:type="paragraph" w:customStyle="1" w:styleId="CEOFooter">
    <w:name w:val="CEO_Footer"/>
    <w:basedOn w:val="Normal"/>
    <w:pPr>
      <w:tabs>
        <w:tab w:val="right" w:pos="9072"/>
      </w:tabs>
      <w:spacing w:before="0"/>
    </w:pPr>
    <w:rPr>
      <w:sz w:val="16"/>
      <w:szCs w:val="19"/>
    </w:rPr>
  </w:style>
  <w:style w:type="paragraph" w:customStyle="1" w:styleId="CEOHeader1">
    <w:name w:val="CEO_Header1"/>
    <w:basedOn w:val="Normal"/>
    <w:pPr>
      <w:numPr>
        <w:numId w:val="25"/>
      </w:numPr>
      <w:spacing w:before="0"/>
    </w:pPr>
    <w:rPr>
      <w:szCs w:val="19"/>
    </w:rPr>
  </w:style>
  <w:style w:type="paragraph" w:customStyle="1" w:styleId="CEOHeader2">
    <w:name w:val="CEO_Header2"/>
    <w:basedOn w:val="Normal"/>
    <w:pPr>
      <w:spacing w:before="720"/>
    </w:pPr>
    <w:rPr>
      <w:szCs w:val="19"/>
    </w:rPr>
  </w:style>
  <w:style w:type="paragraph" w:customStyle="1" w:styleId="CEOHeaderPageNumber">
    <w:name w:val="CEO_HeaderPageNumber"/>
    <w:basedOn w:val="Normal"/>
    <w:pPr>
      <w:tabs>
        <w:tab w:val="center" w:pos="4536"/>
        <w:tab w:val="right" w:pos="9072"/>
      </w:tabs>
      <w:spacing w:before="0"/>
      <w:jc w:val="right"/>
    </w:pPr>
    <w:rPr>
      <w:smallCaps/>
      <w:szCs w:val="19"/>
    </w:rPr>
  </w:style>
  <w:style w:type="paragraph" w:customStyle="1" w:styleId="CEOcontributionStart">
    <w:name w:val="CEO_contributionStart"/>
    <w:basedOn w:val="CEOcontribution-H123"/>
    <w:pPr>
      <w:numPr>
        <w:numId w:val="0"/>
      </w:numPr>
      <w:spacing w:before="360"/>
    </w:pPr>
    <w:rPr>
      <w:b w:val="0"/>
    </w:rPr>
  </w:style>
  <w:style w:type="paragraph" w:customStyle="1" w:styleId="CEOParagraph111">
    <w:name w:val="CEO_Paragraph1.1.1"/>
    <w:basedOn w:val="Heading3"/>
    <w:pPr>
      <w:tabs>
        <w:tab w:val="num" w:pos="1418"/>
      </w:tabs>
      <w:ind w:left="1418" w:hanging="851"/>
    </w:pPr>
    <w:rPr>
      <w:b w:val="0"/>
      <w:bCs w:val="0"/>
      <w:sz w:val="19"/>
    </w:rPr>
  </w:style>
  <w:style w:type="paragraph" w:customStyle="1" w:styleId="CEOindent-abc">
    <w:name w:val="CEO_indent-abc"/>
    <w:basedOn w:val="Normal"/>
    <w:pPr>
      <w:numPr>
        <w:ilvl w:val="1"/>
        <w:numId w:val="16"/>
      </w:numPr>
      <w:spacing w:before="0"/>
    </w:pPr>
    <w:rPr>
      <w:rFonts w:cs="Traditional Arabic"/>
      <w:sz w:val="18"/>
    </w:rPr>
  </w:style>
  <w:style w:type="paragraph" w:customStyle="1" w:styleId="CEOIndent-bulletsblackdot">
    <w:name w:val="CEO_Indent-bulletsblackdot"/>
    <w:basedOn w:val="Normal"/>
    <w:pPr>
      <w:numPr>
        <w:numId w:val="17"/>
      </w:numPr>
      <w:spacing w:before="60" w:after="60"/>
    </w:pPr>
    <w:rPr>
      <w:szCs w:val="19"/>
    </w:rPr>
  </w:style>
  <w:style w:type="paragraph" w:customStyle="1" w:styleId="CEOIndent-bulletsBlueSquare">
    <w:name w:val="CEO_Indent-bulletsBlueSquare"/>
    <w:basedOn w:val="CEOIndent-bulletsblackdot"/>
    <w:pPr>
      <w:numPr>
        <w:numId w:val="18"/>
      </w:numPr>
    </w:pPr>
  </w:style>
  <w:style w:type="paragraph" w:customStyle="1" w:styleId="CEOMeetingDates">
    <w:name w:val="CEO_MeetingDates"/>
    <w:basedOn w:val="Normal"/>
    <w:pPr>
      <w:spacing w:before="0" w:after="40"/>
    </w:pPr>
    <w:rPr>
      <w:b/>
      <w:bCs/>
      <w:szCs w:val="19"/>
    </w:rPr>
  </w:style>
  <w:style w:type="paragraph" w:customStyle="1" w:styleId="CEOMeetingName">
    <w:name w:val="CEO_MeetingName"/>
    <w:basedOn w:val="Normal"/>
    <w:rPr>
      <w:b/>
      <w:bCs/>
      <w:szCs w:val="19"/>
    </w:rPr>
  </w:style>
  <w:style w:type="paragraph" w:customStyle="1" w:styleId="CEOOriginalLanguage">
    <w:name w:val="CEO_OriginalLanguage"/>
    <w:basedOn w:val="Normal"/>
    <w:next w:val="Normal"/>
    <w:rPr>
      <w:b/>
      <w:bCs/>
      <w:szCs w:val="19"/>
    </w:rPr>
  </w:style>
  <w:style w:type="paragraph" w:customStyle="1" w:styleId="CEOQuestion">
    <w:name w:val="CEO_Question"/>
    <w:basedOn w:val="CEOQuestionDetails"/>
    <w:pPr>
      <w:spacing w:before="40" w:after="40"/>
      <w:ind w:left="1843" w:hanging="1843"/>
    </w:pPr>
    <w:rPr>
      <w:bCs/>
      <w:szCs w:val="24"/>
    </w:rPr>
  </w:style>
  <w:style w:type="paragraph" w:customStyle="1" w:styleId="CEOQuestionDetails">
    <w:name w:val="CEO_QuestionDetails"/>
    <w:basedOn w:val="CEOOriginalLanguage"/>
    <w:rPr>
      <w:b w:val="0"/>
      <w:bCs w:val="0"/>
    </w:rPr>
  </w:style>
  <w:style w:type="paragraph" w:customStyle="1" w:styleId="CEOSectorName">
    <w:name w:val="CEO_SectorName"/>
    <w:basedOn w:val="Normal"/>
    <w:rPr>
      <w:b/>
      <w:bCs/>
      <w:sz w:val="26"/>
    </w:rPr>
  </w:style>
  <w:style w:type="paragraph" w:customStyle="1" w:styleId="CEOSignatureName">
    <w:name w:val="CEO_SignatureName"/>
    <w:basedOn w:val="Normal"/>
    <w:pPr>
      <w:spacing w:before="720"/>
    </w:pPr>
    <w:rPr>
      <w:szCs w:val="19"/>
    </w:rPr>
  </w:style>
  <w:style w:type="paragraph" w:customStyle="1" w:styleId="CEOSignatureTitle">
    <w:name w:val="CEO_SignatureTitle"/>
    <w:basedOn w:val="CEOSignatureName"/>
    <w:pPr>
      <w:spacing w:before="0"/>
    </w:pPr>
  </w:style>
  <w:style w:type="paragraph" w:customStyle="1" w:styleId="CEOSourceTitleDetails">
    <w:name w:val="CEO_SourceTitleDetails"/>
    <w:basedOn w:val="Normal"/>
    <w:rPr>
      <w:szCs w:val="19"/>
    </w:rPr>
  </w:style>
  <w:style w:type="paragraph" w:customStyle="1" w:styleId="CEOSTG">
    <w:name w:val="CEO_STG"/>
    <w:basedOn w:val="CEOOriginalLanguage"/>
    <w:pPr>
      <w:jc w:val="center"/>
    </w:pPr>
  </w:style>
  <w:style w:type="paragraph" w:customStyle="1" w:styleId="CEOindent-endash">
    <w:name w:val="CEO_indent-endash"/>
    <w:basedOn w:val="CEOEmdashList"/>
    <w:pPr>
      <w:numPr>
        <w:numId w:val="23"/>
      </w:numPr>
    </w:pPr>
  </w:style>
  <w:style w:type="paragraph" w:customStyle="1" w:styleId="CEOEmdashList">
    <w:name w:val="CEO_EmdashList"/>
    <w:basedOn w:val="CEONormal"/>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Pr>
      <w:rFonts w:ascii="Verdana" w:hAnsi="Verdana"/>
      <w:noProof w:val="0"/>
      <w:color w:val="0000FF"/>
      <w:sz w:val="19"/>
      <w:u w:val="single"/>
      <w:lang w:val="en-GB"/>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CEOConsidering">
    <w:name w:val="CEO_Considering"/>
    <w:basedOn w:val="CEONormal"/>
    <w:pPr>
      <w:keepNext/>
      <w:keepLines/>
      <w:ind w:left="851"/>
    </w:pPr>
    <w:rPr>
      <w:i/>
      <w:iCs/>
    </w:rPr>
  </w:style>
  <w:style w:type="paragraph" w:customStyle="1" w:styleId="CEOEndBar">
    <w:name w:val="CEO_EndBar"/>
    <w:basedOn w:val="CEONormal"/>
    <w:pPr>
      <w:jc w:val="center"/>
    </w:pPr>
  </w:style>
  <w:style w:type="paragraph" w:customStyle="1" w:styleId="CEOExtract">
    <w:name w:val="CEO_Extract"/>
    <w:basedOn w:val="CEONormal"/>
    <w:pPr>
      <w:keepNext/>
      <w:keepLines/>
    </w:pPr>
  </w:style>
  <w:style w:type="paragraph" w:customStyle="1" w:styleId="CEOHeader">
    <w:name w:val="CEO_Header"/>
    <w:basedOn w:val="Normal"/>
    <w:pPr>
      <w:tabs>
        <w:tab w:val="center" w:pos="5103"/>
        <w:tab w:val="right" w:pos="10206"/>
      </w:tabs>
      <w:spacing w:after="480"/>
      <w:ind w:right="357"/>
    </w:pPr>
    <w:rPr>
      <w:smallCaps/>
      <w:spacing w:val="24"/>
      <w:sz w:val="18"/>
      <w:szCs w:val="18"/>
    </w:rPr>
  </w:style>
  <w:style w:type="paragraph" w:customStyle="1" w:styleId="CEOResText">
    <w:name w:val="CEO_ResText"/>
    <w:basedOn w:val="CEONormal"/>
    <w:pPr>
      <w:ind w:left="426"/>
    </w:pPr>
  </w:style>
  <w:style w:type="paragraph" w:customStyle="1" w:styleId="Figurelegend">
    <w:name w:val="Figure_legend"/>
    <w:basedOn w:val="Normal"/>
    <w:pPr>
      <w:keepNext/>
      <w:keepLines/>
      <w:spacing w:before="20" w:after="20"/>
    </w:pPr>
    <w:rPr>
      <w:rFonts w:ascii="Times New Roman" w:hAnsi="Times New Roman"/>
      <w:bCs/>
      <w:sz w:val="18"/>
    </w:rPr>
  </w:style>
  <w:style w:type="paragraph" w:customStyle="1" w:styleId="Equation">
    <w:name w:val="Equation"/>
    <w:basedOn w:val="Normal"/>
    <w:pPr>
      <w:tabs>
        <w:tab w:val="center" w:pos="4820"/>
        <w:tab w:val="right" w:pos="9639"/>
      </w:tabs>
    </w:pPr>
    <w:rPr>
      <w:rFonts w:ascii="Times New Roman" w:hAnsi="Times New Roman"/>
      <w:bCs/>
    </w:rPr>
  </w:style>
  <w:style w:type="table" w:styleId="TableGrid">
    <w:name w:val="Table Grid"/>
    <w:basedOn w:val="TableNormal"/>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Proposals">
    <w:name w:val="CEO_Proposals"/>
    <w:basedOn w:val="CEOcontributionStart"/>
    <w:rsid w:val="00D00614"/>
    <w:rPr>
      <w:b/>
      <w:bCs w:val="0"/>
      <w:lang w:val="en-US"/>
    </w:rPr>
  </w:style>
  <w:style w:type="character" w:customStyle="1" w:styleId="CEONormalChar">
    <w:name w:val="CEO_Normal Char"/>
    <w:link w:val="CEONormal"/>
    <w:rsid w:val="00663234"/>
    <w:rPr>
      <w:rFonts w:ascii="Verdana" w:eastAsia="SimSun" w:hAnsi="Verdana"/>
      <w:noProof w:val="0"/>
      <w:sz w:val="19"/>
      <w:szCs w:val="19"/>
      <w:lang w:val="en-GB" w:eastAsia="en-US" w:bidi="ar-SA"/>
    </w:rPr>
  </w:style>
  <w:style w:type="paragraph" w:customStyle="1" w:styleId="CEOcontributionH2">
    <w:name w:val="CEO_contributionH2"/>
    <w:basedOn w:val="CEOcontributionH1"/>
    <w:rsid w:val="00B41935"/>
    <w:pPr>
      <w:spacing w:before="0"/>
    </w:pPr>
  </w:style>
  <w:style w:type="paragraph" w:customStyle="1" w:styleId="CEOParagraph1">
    <w:name w:val="CEO_Paragraph 1."/>
    <w:basedOn w:val="CEONormal"/>
    <w:next w:val="CEONormal"/>
    <w:qFormat/>
    <w:rsid w:val="00F87092"/>
    <w:pPr>
      <w:spacing w:before="360"/>
    </w:pPr>
    <w:rPr>
      <w:b/>
      <w:bCs/>
      <w:lang w:val="fr-FR"/>
    </w:rPr>
  </w:style>
  <w:style w:type="paragraph" w:styleId="BalloonText">
    <w:name w:val="Balloon Text"/>
    <w:basedOn w:val="Normal"/>
    <w:link w:val="BalloonTextChar"/>
    <w:rsid w:val="00021E38"/>
    <w:pPr>
      <w:spacing w:before="0"/>
    </w:pPr>
    <w:rPr>
      <w:rFonts w:ascii="Tahoma" w:hAnsi="Tahoma" w:cs="Tahoma"/>
      <w:sz w:val="16"/>
      <w:szCs w:val="16"/>
    </w:rPr>
  </w:style>
  <w:style w:type="character" w:customStyle="1" w:styleId="BalloonTextChar">
    <w:name w:val="Balloon Text Char"/>
    <w:basedOn w:val="DefaultParagraphFont"/>
    <w:link w:val="BalloonText"/>
    <w:rsid w:val="00021E38"/>
    <w:rPr>
      <w:rFonts w:ascii="Tahoma" w:eastAsia="SimHei" w:hAnsi="Tahoma" w:cs="Tahoma"/>
      <w:bCs/>
      <w:noProof w:val="0"/>
      <w:sz w:val="16"/>
      <w:szCs w:val="16"/>
      <w:lang w:val="en-GB"/>
    </w:rPr>
  </w:style>
  <w:style w:type="paragraph" w:customStyle="1" w:styleId="AnnexNo">
    <w:name w:val="Annex_No"/>
    <w:basedOn w:val="Normal"/>
    <w:next w:val="Normal"/>
    <w:rsid w:val="00826559"/>
    <w:pPr>
      <w:keepNext/>
      <w:keepLines/>
      <w:spacing w:before="480" w:after="80"/>
      <w:jc w:val="center"/>
    </w:pPr>
    <w:rPr>
      <w:bCs/>
      <w:caps/>
      <w:sz w:val="28"/>
    </w:rPr>
  </w:style>
  <w:style w:type="paragraph" w:customStyle="1" w:styleId="Annexref">
    <w:name w:val="Annex_ref"/>
    <w:basedOn w:val="Normal"/>
    <w:next w:val="Normal"/>
    <w:rsid w:val="00C05FC5"/>
    <w:pPr>
      <w:keepNext/>
      <w:keepLines/>
      <w:spacing w:after="280"/>
      <w:jc w:val="center"/>
    </w:pPr>
    <w:rPr>
      <w:rFonts w:ascii="Times New Roman" w:hAnsi="Times New Roman"/>
      <w:bCs/>
      <w:lang w:val="es-ES_tradnl"/>
    </w:rPr>
  </w:style>
  <w:style w:type="paragraph" w:customStyle="1" w:styleId="Annextitle">
    <w:name w:val="Annex_title"/>
    <w:basedOn w:val="Normal"/>
    <w:next w:val="Normal"/>
    <w:rsid w:val="00B90DC1"/>
    <w:pPr>
      <w:keepNext/>
      <w:keepLines/>
      <w:spacing w:before="240" w:after="280"/>
      <w:jc w:val="center"/>
    </w:pPr>
    <w:rPr>
      <w:b/>
      <w:bCs/>
      <w:sz w:val="28"/>
      <w:lang w:val="es-ES_tradnl"/>
    </w:rPr>
  </w:style>
  <w:style w:type="character" w:customStyle="1" w:styleId="Appdef">
    <w:name w:val="App_def"/>
    <w:basedOn w:val="DefaultParagraphFont"/>
    <w:rsid w:val="00C05FC5"/>
    <w:rPr>
      <w:rFonts w:ascii="Times New Roman" w:hAnsi="Times New Roman"/>
      <w:b/>
    </w:rPr>
  </w:style>
  <w:style w:type="character" w:customStyle="1" w:styleId="Appref">
    <w:name w:val="App_ref"/>
    <w:basedOn w:val="DefaultParagraphFont"/>
    <w:rsid w:val="00C05FC5"/>
  </w:style>
  <w:style w:type="paragraph" w:customStyle="1" w:styleId="AppendixNo">
    <w:name w:val="Appendix_No"/>
    <w:basedOn w:val="AnnexNo"/>
    <w:next w:val="Annexref"/>
    <w:rsid w:val="00C05FC5"/>
  </w:style>
  <w:style w:type="paragraph" w:customStyle="1" w:styleId="Appendixref">
    <w:name w:val="Appendix_ref"/>
    <w:basedOn w:val="Annexref"/>
    <w:next w:val="Annextitle"/>
    <w:rsid w:val="00C05FC5"/>
  </w:style>
  <w:style w:type="paragraph" w:customStyle="1" w:styleId="Appendixtitle">
    <w:name w:val="Appendix_title"/>
    <w:basedOn w:val="Annextitle"/>
    <w:next w:val="Normal"/>
    <w:rsid w:val="00C05FC5"/>
  </w:style>
  <w:style w:type="character" w:customStyle="1" w:styleId="Artdef">
    <w:name w:val="Art_def"/>
    <w:basedOn w:val="DefaultParagraphFont"/>
    <w:rsid w:val="00C05FC5"/>
    <w:rPr>
      <w:rFonts w:ascii="Times New Roman" w:hAnsi="Times New Roman"/>
      <w:b/>
    </w:rPr>
  </w:style>
  <w:style w:type="paragraph" w:customStyle="1" w:styleId="Artheading">
    <w:name w:val="Art_heading"/>
    <w:basedOn w:val="Normal"/>
    <w:next w:val="Normal"/>
    <w:rsid w:val="00C05FC5"/>
    <w:pPr>
      <w:spacing w:before="480"/>
      <w:jc w:val="center"/>
    </w:pPr>
    <w:rPr>
      <w:rFonts w:ascii="Times New Roman Bold" w:hAnsi="Times New Roman Bold"/>
      <w:b/>
      <w:bCs/>
      <w:sz w:val="28"/>
      <w:lang w:val="es-ES_tradnl"/>
    </w:rPr>
  </w:style>
  <w:style w:type="paragraph" w:customStyle="1" w:styleId="ArtNo">
    <w:name w:val="Art_No"/>
    <w:basedOn w:val="Normal"/>
    <w:next w:val="Normal"/>
    <w:rsid w:val="00C05FC5"/>
    <w:pPr>
      <w:keepNext/>
      <w:keepLines/>
      <w:spacing w:before="480"/>
      <w:jc w:val="center"/>
    </w:pPr>
    <w:rPr>
      <w:rFonts w:ascii="Times New Roman" w:hAnsi="Times New Roman"/>
      <w:bCs/>
      <w:caps/>
      <w:sz w:val="28"/>
      <w:lang w:val="es-ES_tradnl"/>
    </w:rPr>
  </w:style>
  <w:style w:type="character" w:customStyle="1" w:styleId="Artref">
    <w:name w:val="Art_ref"/>
    <w:basedOn w:val="DefaultParagraphFont"/>
    <w:rsid w:val="00C05FC5"/>
  </w:style>
  <w:style w:type="paragraph" w:customStyle="1" w:styleId="Arttitle">
    <w:name w:val="Art_title"/>
    <w:basedOn w:val="Normal"/>
    <w:next w:val="Normal"/>
    <w:rsid w:val="00C05FC5"/>
    <w:pPr>
      <w:keepNext/>
      <w:keepLines/>
      <w:spacing w:before="240"/>
      <w:jc w:val="center"/>
    </w:pPr>
    <w:rPr>
      <w:rFonts w:ascii="Times New Roman" w:hAnsi="Times New Roman"/>
      <w:b/>
      <w:bCs/>
      <w:sz w:val="28"/>
      <w:lang w:val="es-ES_tradnl"/>
    </w:rPr>
  </w:style>
  <w:style w:type="paragraph" w:customStyle="1" w:styleId="ASN1">
    <w:name w:val="ASN.1"/>
    <w:basedOn w:val="Normal"/>
    <w:rsid w:val="00C05FC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bCs/>
      <w:noProof/>
      <w:sz w:val="20"/>
      <w:lang w:val="es-ES_tradnl"/>
    </w:rPr>
  </w:style>
  <w:style w:type="paragraph" w:customStyle="1" w:styleId="Call">
    <w:name w:val="Call"/>
    <w:basedOn w:val="Normal"/>
    <w:next w:val="Normal"/>
    <w:rsid w:val="00C05FC5"/>
    <w:pPr>
      <w:keepNext/>
      <w:keepLines/>
      <w:spacing w:before="160"/>
      <w:ind w:left="794"/>
    </w:pPr>
    <w:rPr>
      <w:rFonts w:ascii="Times New Roman" w:hAnsi="Times New Roman"/>
      <w:bCs/>
      <w:i/>
      <w:lang w:val="es-ES_tradnl"/>
    </w:rPr>
  </w:style>
  <w:style w:type="paragraph" w:customStyle="1" w:styleId="ChapNo">
    <w:name w:val="Chap_No"/>
    <w:basedOn w:val="ArtNo"/>
    <w:next w:val="Normal"/>
    <w:rsid w:val="00C05FC5"/>
    <w:rPr>
      <w:rFonts w:ascii="Times New Roman Bold" w:hAnsi="Times New Roman Bold"/>
      <w:b/>
    </w:rPr>
  </w:style>
  <w:style w:type="paragraph" w:customStyle="1" w:styleId="Chaptitle">
    <w:name w:val="Chap_title"/>
    <w:basedOn w:val="Arttitle"/>
    <w:next w:val="Normal"/>
    <w:rsid w:val="00C05FC5"/>
  </w:style>
  <w:style w:type="paragraph" w:customStyle="1" w:styleId="ddate">
    <w:name w:val="ddate"/>
    <w:basedOn w:val="Normal"/>
    <w:rsid w:val="00C05FC5"/>
    <w:pPr>
      <w:framePr w:hSpace="181" w:wrap="around" w:vAnchor="page" w:hAnchor="margin" w:y="852"/>
      <w:shd w:val="solid" w:color="FFFFFF" w:fill="FFFFFF"/>
      <w:tabs>
        <w:tab w:val="left" w:pos="1134"/>
        <w:tab w:val="left" w:pos="1871"/>
        <w:tab w:val="left" w:pos="2268"/>
      </w:tabs>
      <w:spacing w:before="0"/>
    </w:pPr>
    <w:rPr>
      <w:rFonts w:ascii="Times New Roman" w:hAnsi="Times New Roman"/>
      <w:b/>
      <w:lang w:val="es-ES_tradnl"/>
    </w:rPr>
  </w:style>
  <w:style w:type="paragraph" w:customStyle="1" w:styleId="dnum">
    <w:name w:val="dnum"/>
    <w:basedOn w:val="Normal"/>
    <w:rsid w:val="00C05FC5"/>
    <w:pPr>
      <w:framePr w:hSpace="181" w:wrap="around" w:vAnchor="page" w:hAnchor="margin" w:y="852"/>
      <w:shd w:val="solid" w:color="FFFFFF" w:fill="FFFFFF"/>
      <w:tabs>
        <w:tab w:val="left" w:pos="1134"/>
        <w:tab w:val="left" w:pos="1871"/>
        <w:tab w:val="left" w:pos="2268"/>
      </w:tabs>
    </w:pPr>
    <w:rPr>
      <w:rFonts w:ascii="Times New Roman" w:hAnsi="Times New Roman"/>
      <w:b/>
      <w:lang w:val="es-ES_tradnl"/>
    </w:rPr>
  </w:style>
  <w:style w:type="paragraph" w:customStyle="1" w:styleId="dorlang">
    <w:name w:val="dorlang"/>
    <w:basedOn w:val="Normal"/>
    <w:rsid w:val="00C05FC5"/>
    <w:pPr>
      <w:framePr w:hSpace="181" w:wrap="around" w:vAnchor="page" w:hAnchor="margin" w:y="852"/>
      <w:shd w:val="solid" w:color="FFFFFF" w:fill="FFFFFF"/>
      <w:tabs>
        <w:tab w:val="left" w:pos="1134"/>
        <w:tab w:val="left" w:pos="1871"/>
        <w:tab w:val="left" w:pos="2268"/>
      </w:tabs>
      <w:spacing w:before="0"/>
    </w:pPr>
    <w:rPr>
      <w:rFonts w:ascii="Times New Roman" w:hAnsi="Times New Roman"/>
      <w:b/>
      <w:lang w:val="es-ES_tradnl"/>
    </w:rPr>
  </w:style>
  <w:style w:type="character" w:styleId="EndnoteReference">
    <w:name w:val="endnote reference"/>
    <w:basedOn w:val="DefaultParagraphFont"/>
    <w:rsid w:val="00C05FC5"/>
    <w:rPr>
      <w:vertAlign w:val="superscript"/>
    </w:rPr>
  </w:style>
  <w:style w:type="paragraph" w:customStyle="1" w:styleId="enumlev1">
    <w:name w:val="enumlev1"/>
    <w:basedOn w:val="Normal"/>
    <w:rsid w:val="00531DD0"/>
    <w:pPr>
      <w:spacing w:before="80"/>
      <w:ind w:left="794" w:hanging="794"/>
    </w:pPr>
    <w:rPr>
      <w:bCs/>
      <w:lang w:val="es-ES_tradnl"/>
    </w:rPr>
  </w:style>
  <w:style w:type="paragraph" w:customStyle="1" w:styleId="enumlev2">
    <w:name w:val="enumlev2"/>
    <w:basedOn w:val="enumlev1"/>
    <w:rsid w:val="00C05FC5"/>
    <w:pPr>
      <w:ind w:left="1191" w:hanging="397"/>
    </w:pPr>
  </w:style>
  <w:style w:type="paragraph" w:customStyle="1" w:styleId="enumlev3">
    <w:name w:val="enumlev3"/>
    <w:basedOn w:val="enumlev2"/>
    <w:rsid w:val="00C05FC5"/>
    <w:pPr>
      <w:ind w:left="1588"/>
    </w:pPr>
  </w:style>
  <w:style w:type="paragraph" w:customStyle="1" w:styleId="Equationlegend">
    <w:name w:val="Equation_legend"/>
    <w:basedOn w:val="Normal"/>
    <w:rsid w:val="00C05FC5"/>
    <w:pPr>
      <w:tabs>
        <w:tab w:val="right" w:pos="1531"/>
        <w:tab w:val="left" w:pos="1701"/>
      </w:tabs>
      <w:spacing w:before="80"/>
      <w:ind w:left="1701" w:hanging="1701"/>
    </w:pPr>
    <w:rPr>
      <w:rFonts w:ascii="Times New Roman" w:hAnsi="Times New Roman"/>
      <w:bCs/>
    </w:rPr>
  </w:style>
  <w:style w:type="paragraph" w:customStyle="1" w:styleId="FigureNo">
    <w:name w:val="Figure_No"/>
    <w:basedOn w:val="Normal"/>
    <w:next w:val="Normal"/>
    <w:rsid w:val="00C05FC5"/>
    <w:pPr>
      <w:keepNext/>
      <w:keepLines/>
      <w:spacing w:before="480"/>
      <w:jc w:val="center"/>
    </w:pPr>
    <w:rPr>
      <w:rFonts w:ascii="Times New Roman" w:hAnsi="Times New Roman"/>
      <w:bCs/>
      <w:caps/>
      <w:lang w:val="es-ES_tradnl"/>
    </w:rPr>
  </w:style>
  <w:style w:type="paragraph" w:customStyle="1" w:styleId="Tabletitle">
    <w:name w:val="Table_title"/>
    <w:basedOn w:val="Normal"/>
    <w:next w:val="Normal"/>
    <w:rsid w:val="00C05FC5"/>
    <w:pPr>
      <w:keepNext/>
      <w:keepLines/>
      <w:spacing w:before="0"/>
      <w:jc w:val="center"/>
    </w:pPr>
    <w:rPr>
      <w:rFonts w:ascii="Times New Roman Bold" w:hAnsi="Times New Roman Bold"/>
      <w:b/>
      <w:bCs/>
    </w:rPr>
  </w:style>
  <w:style w:type="paragraph" w:customStyle="1" w:styleId="Figuretitle">
    <w:name w:val="Figure_title"/>
    <w:basedOn w:val="Tabletitle"/>
    <w:next w:val="Normal"/>
    <w:rsid w:val="00C05FC5"/>
    <w:pPr>
      <w:keepNext w:val="0"/>
      <w:spacing w:after="480"/>
    </w:pPr>
  </w:style>
  <w:style w:type="paragraph" w:customStyle="1" w:styleId="Figurewithouttitle">
    <w:name w:val="Figure_without_title"/>
    <w:basedOn w:val="FigureNo"/>
    <w:next w:val="Normal"/>
    <w:rsid w:val="00C05FC5"/>
    <w:pPr>
      <w:keepNext w:val="0"/>
    </w:pPr>
  </w:style>
  <w:style w:type="paragraph" w:customStyle="1" w:styleId="FirstFooter">
    <w:name w:val="FirstFooter"/>
    <w:basedOn w:val="Footer"/>
    <w:rsid w:val="00C05FC5"/>
    <w:pPr>
      <w:tabs>
        <w:tab w:val="clear" w:pos="4320"/>
        <w:tab w:val="clear" w:pos="8640"/>
      </w:tabs>
      <w:spacing w:before="40"/>
    </w:pPr>
    <w:rPr>
      <w:rFonts w:ascii="Times New Roman" w:hAnsi="Times New Roman"/>
      <w:bCs/>
      <w:sz w:val="16"/>
      <w:lang w:val="fr-FR"/>
    </w:rPr>
  </w:style>
  <w:style w:type="character" w:styleId="FootnoteReference">
    <w:name w:val="footnote reference"/>
    <w:basedOn w:val="DefaultParagraphFont"/>
    <w:rsid w:val="00C05FC5"/>
    <w:rPr>
      <w:position w:val="6"/>
      <w:sz w:val="18"/>
    </w:rPr>
  </w:style>
  <w:style w:type="paragraph" w:styleId="FootnoteText">
    <w:name w:val="footnote text"/>
    <w:basedOn w:val="Normal"/>
    <w:link w:val="FootnoteTextChar"/>
    <w:rsid w:val="00C05FC5"/>
    <w:pPr>
      <w:keepLines/>
      <w:tabs>
        <w:tab w:val="left" w:pos="255"/>
      </w:tabs>
      <w:ind w:left="255" w:hanging="255"/>
    </w:pPr>
    <w:rPr>
      <w:rFonts w:ascii="Times New Roman" w:hAnsi="Times New Roman"/>
      <w:bCs/>
      <w:lang w:val="es-ES_tradnl"/>
    </w:rPr>
  </w:style>
  <w:style w:type="character" w:customStyle="1" w:styleId="FootnoteTextChar">
    <w:name w:val="Footnote Text Char"/>
    <w:basedOn w:val="DefaultParagraphFont"/>
    <w:link w:val="FootnoteText"/>
    <w:rsid w:val="00C05FC5"/>
    <w:rPr>
      <w:rFonts w:eastAsia="Times New Roman"/>
      <w:sz w:val="24"/>
      <w:lang w:val="es-ES_tradnl" w:eastAsia="en-US"/>
    </w:rPr>
  </w:style>
  <w:style w:type="paragraph" w:customStyle="1" w:styleId="Headingb">
    <w:name w:val="Heading_b"/>
    <w:basedOn w:val="Normal"/>
    <w:next w:val="Normal"/>
    <w:rsid w:val="00531DD0"/>
    <w:pPr>
      <w:keepNext/>
      <w:spacing w:before="160"/>
    </w:pPr>
    <w:rPr>
      <w:b/>
      <w:bCs/>
      <w:lang w:val="es-ES_tradnl"/>
    </w:rPr>
  </w:style>
  <w:style w:type="paragraph" w:customStyle="1" w:styleId="Headingi">
    <w:name w:val="Heading_i"/>
    <w:basedOn w:val="Normal"/>
    <w:next w:val="Normal"/>
    <w:rsid w:val="00C05FC5"/>
    <w:pPr>
      <w:keepNext/>
      <w:spacing w:before="160"/>
    </w:pPr>
    <w:rPr>
      <w:rFonts w:ascii="Times" w:hAnsi="Times"/>
      <w:bCs/>
      <w:i/>
      <w:lang w:val="es-ES_tradnl"/>
    </w:rPr>
  </w:style>
  <w:style w:type="paragraph" w:styleId="Index1">
    <w:name w:val="index 1"/>
    <w:basedOn w:val="Normal"/>
    <w:next w:val="Normal"/>
    <w:rsid w:val="00C05FC5"/>
    <w:rPr>
      <w:rFonts w:ascii="Times New Roman" w:hAnsi="Times New Roman"/>
      <w:bCs/>
      <w:lang w:val="es-ES_tradnl"/>
    </w:rPr>
  </w:style>
  <w:style w:type="paragraph" w:styleId="Index2">
    <w:name w:val="index 2"/>
    <w:basedOn w:val="Normal"/>
    <w:next w:val="Normal"/>
    <w:rsid w:val="00C05FC5"/>
    <w:pPr>
      <w:ind w:left="283"/>
    </w:pPr>
    <w:rPr>
      <w:rFonts w:ascii="Times New Roman" w:hAnsi="Times New Roman"/>
      <w:bCs/>
      <w:lang w:val="es-ES_tradnl"/>
    </w:rPr>
  </w:style>
  <w:style w:type="paragraph" w:styleId="Index3">
    <w:name w:val="index 3"/>
    <w:basedOn w:val="Normal"/>
    <w:next w:val="Normal"/>
    <w:rsid w:val="00C05FC5"/>
    <w:pPr>
      <w:ind w:left="566"/>
    </w:pPr>
    <w:rPr>
      <w:rFonts w:ascii="Times New Roman" w:hAnsi="Times New Roman"/>
      <w:bCs/>
      <w:lang w:val="es-ES_tradnl"/>
    </w:rPr>
  </w:style>
  <w:style w:type="paragraph" w:styleId="Index4">
    <w:name w:val="index 4"/>
    <w:basedOn w:val="Normal"/>
    <w:next w:val="Normal"/>
    <w:rsid w:val="00C05FC5"/>
    <w:pPr>
      <w:ind w:left="849"/>
    </w:pPr>
    <w:rPr>
      <w:rFonts w:ascii="Times New Roman" w:hAnsi="Times New Roman"/>
      <w:bCs/>
      <w:lang w:val="es-ES_tradnl"/>
    </w:rPr>
  </w:style>
  <w:style w:type="paragraph" w:styleId="Index5">
    <w:name w:val="index 5"/>
    <w:basedOn w:val="Normal"/>
    <w:next w:val="Normal"/>
    <w:rsid w:val="00C05FC5"/>
    <w:pPr>
      <w:ind w:left="1132"/>
    </w:pPr>
    <w:rPr>
      <w:rFonts w:ascii="Times New Roman" w:hAnsi="Times New Roman"/>
      <w:bCs/>
      <w:lang w:val="es-ES_tradnl"/>
    </w:rPr>
  </w:style>
  <w:style w:type="paragraph" w:styleId="Index6">
    <w:name w:val="index 6"/>
    <w:basedOn w:val="Normal"/>
    <w:next w:val="Normal"/>
    <w:rsid w:val="00C05FC5"/>
    <w:pPr>
      <w:ind w:left="1415"/>
    </w:pPr>
    <w:rPr>
      <w:rFonts w:ascii="Times New Roman" w:hAnsi="Times New Roman"/>
      <w:bCs/>
      <w:lang w:val="es-ES_tradnl"/>
    </w:rPr>
  </w:style>
  <w:style w:type="paragraph" w:styleId="Index7">
    <w:name w:val="index 7"/>
    <w:basedOn w:val="Normal"/>
    <w:next w:val="Normal"/>
    <w:rsid w:val="00C05FC5"/>
    <w:pPr>
      <w:ind w:left="1698"/>
    </w:pPr>
    <w:rPr>
      <w:rFonts w:ascii="Times New Roman" w:hAnsi="Times New Roman"/>
      <w:bCs/>
      <w:lang w:val="es-ES_tradnl"/>
    </w:rPr>
  </w:style>
  <w:style w:type="paragraph" w:styleId="IndexHeading">
    <w:name w:val="index heading"/>
    <w:basedOn w:val="Normal"/>
    <w:next w:val="Index1"/>
    <w:rsid w:val="00C05FC5"/>
    <w:rPr>
      <w:rFonts w:ascii="Times New Roman" w:hAnsi="Times New Roman"/>
      <w:bCs/>
      <w:lang w:val="es-ES_tradnl"/>
    </w:rPr>
  </w:style>
  <w:style w:type="character" w:styleId="LineNumber">
    <w:name w:val="line number"/>
    <w:basedOn w:val="DefaultParagraphFont"/>
    <w:rsid w:val="00C05FC5"/>
  </w:style>
  <w:style w:type="paragraph" w:customStyle="1" w:styleId="Normalaftertitle">
    <w:name w:val="Normal after title"/>
    <w:basedOn w:val="Normal"/>
    <w:next w:val="Normal"/>
    <w:rsid w:val="00C05FC5"/>
    <w:pPr>
      <w:spacing w:before="280"/>
    </w:pPr>
    <w:rPr>
      <w:rFonts w:ascii="Times New Roman" w:hAnsi="Times New Roman"/>
      <w:bCs/>
      <w:lang w:val="es-ES_tradnl"/>
    </w:rPr>
  </w:style>
  <w:style w:type="paragraph" w:styleId="NormalIndent">
    <w:name w:val="Normal Indent"/>
    <w:basedOn w:val="Normal"/>
    <w:rsid w:val="00C05FC5"/>
    <w:pPr>
      <w:ind w:left="794"/>
    </w:pPr>
    <w:rPr>
      <w:rFonts w:ascii="Times New Roman" w:hAnsi="Times New Roman"/>
      <w:bCs/>
      <w:lang w:val="es-ES_tradnl"/>
    </w:rPr>
  </w:style>
  <w:style w:type="paragraph" w:customStyle="1" w:styleId="Note">
    <w:name w:val="Note"/>
    <w:basedOn w:val="Normal"/>
    <w:rsid w:val="00C05FC5"/>
    <w:pPr>
      <w:spacing w:before="80"/>
    </w:pPr>
    <w:rPr>
      <w:rFonts w:ascii="Times New Roman" w:hAnsi="Times New Roman"/>
      <w:bCs/>
      <w:lang w:val="es-ES_tradnl"/>
    </w:rPr>
  </w:style>
  <w:style w:type="character" w:styleId="PageNumber">
    <w:name w:val="page number"/>
    <w:basedOn w:val="DefaultParagraphFont"/>
    <w:rsid w:val="00C05FC5"/>
  </w:style>
  <w:style w:type="paragraph" w:customStyle="1" w:styleId="PartNo">
    <w:name w:val="Part_No"/>
    <w:basedOn w:val="AnnexNo"/>
    <w:next w:val="Normal"/>
    <w:rsid w:val="00C05FC5"/>
  </w:style>
  <w:style w:type="paragraph" w:customStyle="1" w:styleId="Partref">
    <w:name w:val="Part_ref"/>
    <w:basedOn w:val="Annexref"/>
    <w:next w:val="Normal"/>
    <w:rsid w:val="00C05FC5"/>
  </w:style>
  <w:style w:type="paragraph" w:customStyle="1" w:styleId="Parttitle">
    <w:name w:val="Part_title"/>
    <w:basedOn w:val="Annextitle"/>
    <w:next w:val="Normalaftertitle"/>
    <w:rsid w:val="00C05FC5"/>
  </w:style>
  <w:style w:type="paragraph" w:customStyle="1" w:styleId="RecNo">
    <w:name w:val="Rec_No"/>
    <w:basedOn w:val="Normal"/>
    <w:next w:val="Normal"/>
    <w:rsid w:val="00C05FC5"/>
    <w:pPr>
      <w:keepNext/>
      <w:keepLines/>
      <w:spacing w:before="480"/>
      <w:jc w:val="center"/>
    </w:pPr>
    <w:rPr>
      <w:rFonts w:ascii="Times New Roman" w:hAnsi="Times New Roman"/>
      <w:bCs/>
      <w:caps/>
      <w:sz w:val="28"/>
      <w:lang w:val="es-ES_tradnl"/>
    </w:rPr>
  </w:style>
  <w:style w:type="paragraph" w:customStyle="1" w:styleId="Rectitle">
    <w:name w:val="Rec_title"/>
    <w:basedOn w:val="RecNo"/>
    <w:next w:val="Normal"/>
    <w:rsid w:val="00C05FC5"/>
    <w:pPr>
      <w:spacing w:before="240"/>
    </w:pPr>
    <w:rPr>
      <w:rFonts w:ascii="Times New Roman Bold" w:hAnsi="Times New Roman Bold"/>
      <w:b/>
      <w:caps w:val="0"/>
    </w:rPr>
  </w:style>
  <w:style w:type="paragraph" w:customStyle="1" w:styleId="Recref">
    <w:name w:val="Rec_ref"/>
    <w:basedOn w:val="Rectitle"/>
    <w:next w:val="Normal"/>
    <w:rsid w:val="00C05FC5"/>
    <w:pPr>
      <w:tabs>
        <w:tab w:val="clear" w:pos="794"/>
        <w:tab w:val="clear" w:pos="1191"/>
        <w:tab w:val="clear" w:pos="1588"/>
        <w:tab w:val="clear" w:pos="1985"/>
      </w:tabs>
      <w:spacing w:before="120"/>
    </w:pPr>
    <w:rPr>
      <w:rFonts w:ascii="Times New Roman" w:hAnsi="Times New Roman"/>
      <w:b w:val="0"/>
      <w:i/>
      <w:sz w:val="24"/>
    </w:rPr>
  </w:style>
  <w:style w:type="paragraph" w:customStyle="1" w:styleId="Recdate">
    <w:name w:val="Rec_date"/>
    <w:basedOn w:val="Recref"/>
    <w:next w:val="Normalaftertitle"/>
    <w:rsid w:val="00C05FC5"/>
    <w:pPr>
      <w:jc w:val="right"/>
    </w:pPr>
    <w:rPr>
      <w:sz w:val="22"/>
    </w:rPr>
  </w:style>
  <w:style w:type="paragraph" w:customStyle="1" w:styleId="Questiondate">
    <w:name w:val="Question_date"/>
    <w:basedOn w:val="Recdate"/>
    <w:next w:val="Normalaftertitle"/>
    <w:rsid w:val="00C05FC5"/>
  </w:style>
  <w:style w:type="paragraph" w:customStyle="1" w:styleId="QuestionNo">
    <w:name w:val="Question_No"/>
    <w:basedOn w:val="RecNo"/>
    <w:next w:val="Normal"/>
    <w:rsid w:val="00C05FC5"/>
  </w:style>
  <w:style w:type="paragraph" w:customStyle="1" w:styleId="Questionref">
    <w:name w:val="Question_ref"/>
    <w:basedOn w:val="Recref"/>
    <w:next w:val="Questiondate"/>
    <w:rsid w:val="00C05FC5"/>
  </w:style>
  <w:style w:type="paragraph" w:customStyle="1" w:styleId="Questiontitle">
    <w:name w:val="Question_title"/>
    <w:basedOn w:val="Rectitle"/>
    <w:next w:val="Questionref"/>
    <w:rsid w:val="00C05FC5"/>
  </w:style>
  <w:style w:type="character" w:customStyle="1" w:styleId="Recdef">
    <w:name w:val="Rec_def"/>
    <w:basedOn w:val="DefaultParagraphFont"/>
    <w:rsid w:val="00C05FC5"/>
    <w:rPr>
      <w:b/>
    </w:rPr>
  </w:style>
  <w:style w:type="paragraph" w:customStyle="1" w:styleId="Reftext">
    <w:name w:val="Ref_text"/>
    <w:basedOn w:val="Normal"/>
    <w:rsid w:val="00C05FC5"/>
    <w:pPr>
      <w:ind w:left="794" w:hanging="794"/>
    </w:pPr>
    <w:rPr>
      <w:rFonts w:ascii="Times New Roman" w:hAnsi="Times New Roman"/>
      <w:bCs/>
      <w:lang w:val="es-ES_tradnl"/>
    </w:rPr>
  </w:style>
  <w:style w:type="paragraph" w:customStyle="1" w:styleId="Reftitle">
    <w:name w:val="Ref_title"/>
    <w:basedOn w:val="Normal"/>
    <w:next w:val="Reftext"/>
    <w:rsid w:val="00C05FC5"/>
    <w:pPr>
      <w:spacing w:before="480"/>
      <w:jc w:val="center"/>
    </w:pPr>
    <w:rPr>
      <w:rFonts w:ascii="Times New Roman" w:hAnsi="Times New Roman"/>
      <w:bCs/>
      <w:caps/>
      <w:lang w:val="es-ES_tradnl"/>
    </w:rPr>
  </w:style>
  <w:style w:type="paragraph" w:customStyle="1" w:styleId="Repdate">
    <w:name w:val="Rep_date"/>
    <w:basedOn w:val="Recdate"/>
    <w:next w:val="Normalaftertitle"/>
    <w:rsid w:val="00C05FC5"/>
  </w:style>
  <w:style w:type="paragraph" w:customStyle="1" w:styleId="RepNo">
    <w:name w:val="Rep_No"/>
    <w:basedOn w:val="RecNo"/>
    <w:next w:val="Normal"/>
    <w:rsid w:val="00C05FC5"/>
  </w:style>
  <w:style w:type="paragraph" w:customStyle="1" w:styleId="Repref">
    <w:name w:val="Rep_ref"/>
    <w:basedOn w:val="Recref"/>
    <w:next w:val="Repdate"/>
    <w:rsid w:val="00C05FC5"/>
  </w:style>
  <w:style w:type="paragraph" w:customStyle="1" w:styleId="Reptitle">
    <w:name w:val="Rep_title"/>
    <w:basedOn w:val="Rectitle"/>
    <w:next w:val="Repref"/>
    <w:rsid w:val="00C05FC5"/>
  </w:style>
  <w:style w:type="paragraph" w:customStyle="1" w:styleId="Resdate">
    <w:name w:val="Res_date"/>
    <w:basedOn w:val="Recdate"/>
    <w:next w:val="Normalaftertitle"/>
    <w:rsid w:val="00C05FC5"/>
  </w:style>
  <w:style w:type="character" w:customStyle="1" w:styleId="Resdef">
    <w:name w:val="Res_def"/>
    <w:basedOn w:val="DefaultParagraphFont"/>
    <w:rsid w:val="00C05FC5"/>
    <w:rPr>
      <w:rFonts w:ascii="Times New Roman" w:hAnsi="Times New Roman"/>
      <w:b/>
    </w:rPr>
  </w:style>
  <w:style w:type="paragraph" w:customStyle="1" w:styleId="ResNo">
    <w:name w:val="Res_No"/>
    <w:basedOn w:val="RecNo"/>
    <w:next w:val="Normal"/>
    <w:rsid w:val="00C05FC5"/>
  </w:style>
  <w:style w:type="paragraph" w:customStyle="1" w:styleId="Resref">
    <w:name w:val="Res_ref"/>
    <w:basedOn w:val="Recref"/>
    <w:next w:val="Resdate"/>
    <w:rsid w:val="00C05FC5"/>
  </w:style>
  <w:style w:type="paragraph" w:customStyle="1" w:styleId="Restitle">
    <w:name w:val="Res_title"/>
    <w:basedOn w:val="Rectitle"/>
    <w:next w:val="Resref"/>
    <w:rsid w:val="00C05FC5"/>
  </w:style>
  <w:style w:type="paragraph" w:customStyle="1" w:styleId="SectionNo">
    <w:name w:val="Section_No"/>
    <w:basedOn w:val="AnnexNo"/>
    <w:next w:val="Normal"/>
    <w:rsid w:val="00C05FC5"/>
  </w:style>
  <w:style w:type="paragraph" w:customStyle="1" w:styleId="Sectiontitle">
    <w:name w:val="Section_title"/>
    <w:basedOn w:val="Annextitle"/>
    <w:next w:val="Normalaftertitle"/>
    <w:rsid w:val="00C05FC5"/>
  </w:style>
  <w:style w:type="paragraph" w:customStyle="1" w:styleId="Source">
    <w:name w:val="Source"/>
    <w:basedOn w:val="Normal"/>
    <w:next w:val="Normalaftertitle"/>
    <w:rsid w:val="00C05FC5"/>
    <w:pPr>
      <w:spacing w:before="840" w:after="200"/>
      <w:jc w:val="center"/>
    </w:pPr>
    <w:rPr>
      <w:rFonts w:ascii="Times New Roman" w:hAnsi="Times New Roman"/>
      <w:b/>
      <w:bCs/>
      <w:sz w:val="28"/>
      <w:lang w:val="es-ES_tradnl"/>
    </w:rPr>
  </w:style>
  <w:style w:type="paragraph" w:customStyle="1" w:styleId="SpecialFooter">
    <w:name w:val="Special Footer"/>
    <w:basedOn w:val="Footer"/>
    <w:rsid w:val="00C05FC5"/>
    <w:pPr>
      <w:tabs>
        <w:tab w:val="clear" w:pos="4320"/>
        <w:tab w:val="clear" w:pos="8640"/>
        <w:tab w:val="left" w:pos="567"/>
        <w:tab w:val="left" w:pos="1134"/>
        <w:tab w:val="left" w:pos="1701"/>
        <w:tab w:val="left" w:pos="2268"/>
        <w:tab w:val="left" w:pos="2835"/>
        <w:tab w:val="left" w:pos="5954"/>
        <w:tab w:val="right" w:pos="9639"/>
      </w:tabs>
      <w:spacing w:before="0"/>
      <w:jc w:val="both"/>
    </w:pPr>
    <w:rPr>
      <w:rFonts w:ascii="Times New Roman" w:hAnsi="Times New Roman"/>
      <w:bCs/>
      <w:sz w:val="16"/>
      <w:lang w:val="fr-FR"/>
    </w:rPr>
  </w:style>
  <w:style w:type="character" w:customStyle="1" w:styleId="Tablefreq">
    <w:name w:val="Table_freq"/>
    <w:basedOn w:val="DefaultParagraphFont"/>
    <w:rsid w:val="00C05FC5"/>
    <w:rPr>
      <w:b/>
      <w:color w:val="auto"/>
    </w:rPr>
  </w:style>
  <w:style w:type="paragraph" w:customStyle="1" w:styleId="Tabletext">
    <w:name w:val="Table_text"/>
    <w:basedOn w:val="Normal"/>
    <w:rsid w:val="0082655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bCs/>
      <w:sz w:val="22"/>
      <w:lang w:val="es-ES_tradnl"/>
    </w:rPr>
  </w:style>
  <w:style w:type="paragraph" w:customStyle="1" w:styleId="Tablehead">
    <w:name w:val="Table_head"/>
    <w:basedOn w:val="Tabletext"/>
    <w:next w:val="Tabletext"/>
    <w:rsid w:val="00C05FC5"/>
    <w:pPr>
      <w:keepNext/>
      <w:spacing w:before="80" w:after="80"/>
      <w:jc w:val="center"/>
    </w:pPr>
    <w:rPr>
      <w:b/>
    </w:rPr>
  </w:style>
  <w:style w:type="paragraph" w:customStyle="1" w:styleId="Tablelegend">
    <w:name w:val="Table_legend"/>
    <w:basedOn w:val="Tabletext"/>
    <w:rsid w:val="00C05FC5"/>
    <w:pPr>
      <w:spacing w:before="120"/>
    </w:pPr>
  </w:style>
  <w:style w:type="paragraph" w:customStyle="1" w:styleId="TableNo">
    <w:name w:val="Table_No"/>
    <w:basedOn w:val="Normal"/>
    <w:next w:val="Tabletitle"/>
    <w:rsid w:val="00C05FC5"/>
    <w:pPr>
      <w:keepNext/>
      <w:spacing w:before="560"/>
      <w:jc w:val="center"/>
    </w:pPr>
    <w:rPr>
      <w:rFonts w:ascii="Times New Roman" w:hAnsi="Times New Roman"/>
      <w:bCs/>
      <w:caps/>
    </w:rPr>
  </w:style>
  <w:style w:type="paragraph" w:customStyle="1" w:styleId="Tableref">
    <w:name w:val="Table_ref"/>
    <w:basedOn w:val="Normal"/>
    <w:next w:val="Tabletitle"/>
    <w:rsid w:val="00C05FC5"/>
    <w:pPr>
      <w:keepNext/>
      <w:spacing w:before="0"/>
      <w:jc w:val="center"/>
    </w:pPr>
    <w:rPr>
      <w:rFonts w:ascii="Times New Roman" w:hAnsi="Times New Roman"/>
      <w:bCs/>
    </w:rPr>
  </w:style>
  <w:style w:type="paragraph" w:customStyle="1" w:styleId="Title1">
    <w:name w:val="Title 1"/>
    <w:basedOn w:val="Source"/>
    <w:next w:val="Normal"/>
    <w:rsid w:val="00C05FC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05FC5"/>
  </w:style>
  <w:style w:type="paragraph" w:customStyle="1" w:styleId="Title3">
    <w:name w:val="Title 3"/>
    <w:basedOn w:val="Title2"/>
    <w:next w:val="Normal"/>
    <w:rsid w:val="00C05FC5"/>
    <w:rPr>
      <w:caps w:val="0"/>
    </w:rPr>
  </w:style>
  <w:style w:type="paragraph" w:customStyle="1" w:styleId="Title4">
    <w:name w:val="Title 4"/>
    <w:basedOn w:val="Title3"/>
    <w:next w:val="Heading1"/>
    <w:rsid w:val="00C05FC5"/>
    <w:rPr>
      <w:b/>
    </w:rPr>
  </w:style>
  <w:style w:type="paragraph" w:customStyle="1" w:styleId="toc0">
    <w:name w:val="toc 0"/>
    <w:basedOn w:val="Normal"/>
    <w:next w:val="TOC1"/>
    <w:rsid w:val="00C05FC5"/>
    <w:pPr>
      <w:tabs>
        <w:tab w:val="right" w:pos="9781"/>
      </w:tabs>
    </w:pPr>
    <w:rPr>
      <w:rFonts w:ascii="Times New Roman" w:hAnsi="Times New Roman"/>
      <w:b/>
      <w:bCs/>
      <w:lang w:val="es-ES_tradnl"/>
    </w:rPr>
  </w:style>
  <w:style w:type="paragraph" w:styleId="TOC1">
    <w:name w:val="toc 1"/>
    <w:basedOn w:val="Normal"/>
    <w:next w:val="Normal"/>
    <w:autoRedefine/>
    <w:rsid w:val="00C05FC5"/>
    <w:pPr>
      <w:spacing w:after="100"/>
    </w:pPr>
  </w:style>
  <w:style w:type="paragraph" w:styleId="TOC2">
    <w:name w:val="toc 2"/>
    <w:basedOn w:val="TOC1"/>
    <w:rsid w:val="00C05FC5"/>
    <w:pPr>
      <w:keepLines/>
      <w:tabs>
        <w:tab w:val="left" w:pos="964"/>
        <w:tab w:val="left" w:leader="dot" w:pos="8647"/>
        <w:tab w:val="center" w:pos="9526"/>
      </w:tabs>
      <w:spacing w:after="0"/>
      <w:ind w:left="964" w:hanging="964"/>
    </w:pPr>
    <w:rPr>
      <w:rFonts w:ascii="Times New Roman" w:hAnsi="Times New Roman"/>
      <w:bCs/>
    </w:rPr>
  </w:style>
  <w:style w:type="paragraph" w:styleId="TOC3">
    <w:name w:val="toc 3"/>
    <w:basedOn w:val="TOC2"/>
    <w:rsid w:val="00C05FC5"/>
  </w:style>
  <w:style w:type="paragraph" w:styleId="TOC4">
    <w:name w:val="toc 4"/>
    <w:basedOn w:val="TOC3"/>
    <w:rsid w:val="00C05FC5"/>
  </w:style>
  <w:style w:type="paragraph" w:styleId="TOC5">
    <w:name w:val="toc 5"/>
    <w:basedOn w:val="TOC4"/>
    <w:rsid w:val="00C05FC5"/>
  </w:style>
  <w:style w:type="paragraph" w:styleId="TOC6">
    <w:name w:val="toc 6"/>
    <w:basedOn w:val="TOC4"/>
    <w:rsid w:val="00C05FC5"/>
  </w:style>
  <w:style w:type="paragraph" w:styleId="TOC7">
    <w:name w:val="toc 7"/>
    <w:basedOn w:val="TOC4"/>
    <w:rsid w:val="00C05FC5"/>
  </w:style>
  <w:style w:type="paragraph" w:styleId="TOC8">
    <w:name w:val="toc 8"/>
    <w:basedOn w:val="TOC4"/>
    <w:rsid w:val="00C05FC5"/>
  </w:style>
  <w:style w:type="paragraph" w:styleId="TOC9">
    <w:name w:val="toc 9"/>
    <w:basedOn w:val="TOC3"/>
    <w:rsid w:val="00C05FC5"/>
  </w:style>
  <w:style w:type="paragraph" w:customStyle="1" w:styleId="Reasons">
    <w:name w:val="Reasons"/>
    <w:basedOn w:val="Normal"/>
    <w:qFormat/>
    <w:rsid w:val="001D67DD"/>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NormalWeb">
    <w:name w:val="Normal (Web)"/>
    <w:basedOn w:val="Normal"/>
    <w:unhideWhenUsed/>
    <w:rsid w:val="006222F4"/>
    <w:rPr>
      <w:rFonts w:ascii="Times New Roman" w:hAnsi="Times New Roman"/>
      <w:szCs w:val="24"/>
    </w:rPr>
  </w:style>
  <w:style w:type="character" w:customStyle="1" w:styleId="FooterChar">
    <w:name w:val="Footer Char"/>
    <w:link w:val="Footer"/>
    <w:rsid w:val="00691110"/>
    <w:rPr>
      <w:rFonts w:ascii="Calibri" w:eastAsia="Times New Roman" w:hAnsi="Calibri"/>
      <w:sz w:val="24"/>
      <w:lang w:eastAsia="en-US"/>
    </w:rPr>
  </w:style>
  <w:style w:type="paragraph" w:styleId="ListParagraph">
    <w:name w:val="List Paragraph"/>
    <w:basedOn w:val="Normal"/>
    <w:uiPriority w:val="34"/>
    <w:qFormat/>
    <w:rsid w:val="006B7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PM-E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55F6-5997-4EB2-A806-7BD98F0F0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PS_RPM-EUR.dotx</Template>
  <TotalTime>20</TotalTime>
  <Pages>3</Pages>
  <Words>884</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FHernández</dc:creator>
  <cp:lastModifiedBy>FHernández</cp:lastModifiedBy>
  <cp:revision>3</cp:revision>
  <cp:lastPrinted>2017-04-11T07:41:00Z</cp:lastPrinted>
  <dcterms:created xsi:type="dcterms:W3CDTF">2017-04-11T07:34:00Z</dcterms:created>
  <dcterms:modified xsi:type="dcterms:W3CDTF">2017-04-11T07:58:00Z</dcterms:modified>
</cp:coreProperties>
</file>