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177" w:type="dxa"/>
        <w:tblLayout w:type="fixed"/>
        <w:tblCellMar>
          <w:left w:w="107" w:type="dxa"/>
          <w:right w:w="107" w:type="dxa"/>
        </w:tblCellMar>
        <w:tblLook w:val="0000" w:firstRow="0" w:lastRow="0" w:firstColumn="0" w:lastColumn="0" w:noHBand="0" w:noVBand="0"/>
      </w:tblPr>
      <w:tblGrid>
        <w:gridCol w:w="1276"/>
        <w:gridCol w:w="5975"/>
        <w:gridCol w:w="2926"/>
      </w:tblGrid>
      <w:tr w:rsidR="00712DC3" w:rsidRPr="00712DC3" w:rsidTr="005E67D0">
        <w:trPr>
          <w:cantSplit/>
          <w:trHeight w:val="1134"/>
        </w:trPr>
        <w:tc>
          <w:tcPr>
            <w:tcW w:w="1276" w:type="dxa"/>
          </w:tcPr>
          <w:p w:rsidR="00712DC3" w:rsidRPr="00712DC3" w:rsidRDefault="00712DC3" w:rsidP="00712DC3">
            <w:pPr>
              <w:ind w:left="1311"/>
              <w:rPr>
                <w:rFonts w:ascii="Verdana" w:hAnsi="Verdana"/>
                <w:sz w:val="28"/>
                <w:szCs w:val="28"/>
              </w:rPr>
            </w:pPr>
            <w:bookmarkStart w:id="0" w:name="_GoBack"/>
            <w:bookmarkEnd w:id="0"/>
            <w:r w:rsidRPr="00712DC3">
              <w:rPr>
                <w:rFonts w:cs="Arial"/>
                <w:noProof/>
                <w:lang w:val="en-GB"/>
              </w:rPr>
              <w:drawing>
                <wp:anchor distT="0" distB="0" distL="114300" distR="114300" simplePos="0" relativeHeight="251659264" behindDoc="0" locked="0" layoutInCell="1" allowOverlap="1">
                  <wp:simplePos x="0" y="0"/>
                  <wp:positionH relativeFrom="column">
                    <wp:posOffset>-44450</wp:posOffset>
                  </wp:positionH>
                  <wp:positionV relativeFrom="paragraph">
                    <wp:posOffset>17780</wp:posOffset>
                  </wp:positionV>
                  <wp:extent cx="771525" cy="700405"/>
                  <wp:effectExtent l="0" t="0" r="0" b="4445"/>
                  <wp:wrapNone/>
                  <wp:docPr id="2" name="Picture 2"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75" w:type="dxa"/>
          </w:tcPr>
          <w:p w:rsidR="00712DC3" w:rsidRPr="005E67D0" w:rsidRDefault="00712DC3" w:rsidP="00712DC3">
            <w:pPr>
              <w:tabs>
                <w:tab w:val="left" w:pos="1871"/>
                <w:tab w:val="left" w:pos="2268"/>
              </w:tabs>
              <w:spacing w:before="20" w:after="48" w:line="240" w:lineRule="atLeast"/>
              <w:ind w:left="34"/>
              <w:rPr>
                <w:b/>
                <w:bCs/>
                <w:sz w:val="32"/>
                <w:szCs w:val="32"/>
              </w:rPr>
            </w:pPr>
            <w:r w:rsidRPr="005E67D0">
              <w:rPr>
                <w:b/>
                <w:sz w:val="32"/>
                <w:szCs w:val="32"/>
              </w:rPr>
              <w:t>Groupe</w:t>
            </w:r>
            <w:r w:rsidRPr="005E67D0">
              <w:rPr>
                <w:b/>
                <w:bCs/>
                <w:sz w:val="32"/>
                <w:szCs w:val="32"/>
              </w:rPr>
              <w:t xml:space="preserve"> consultatif pour le développement </w:t>
            </w:r>
            <w:r w:rsidRPr="005E67D0">
              <w:rPr>
                <w:b/>
                <w:bCs/>
                <w:sz w:val="32"/>
                <w:szCs w:val="32"/>
              </w:rPr>
              <w:br/>
              <w:t>des télécommunications (GCDT)</w:t>
            </w:r>
          </w:p>
          <w:p w:rsidR="00712DC3" w:rsidRPr="00712DC3" w:rsidRDefault="00712DC3" w:rsidP="00712DC3">
            <w:pPr>
              <w:spacing w:before="100" w:after="120"/>
              <w:ind w:left="34"/>
              <w:rPr>
                <w:rFonts w:ascii="Verdana" w:hAnsi="Verdana"/>
                <w:sz w:val="28"/>
                <w:szCs w:val="28"/>
              </w:rPr>
            </w:pPr>
            <w:r w:rsidRPr="00712DC3">
              <w:rPr>
                <w:b/>
                <w:bCs/>
                <w:sz w:val="26"/>
                <w:szCs w:val="26"/>
              </w:rPr>
              <w:t>22ème réunion, Genève, 9-12 mai 2017</w:t>
            </w:r>
          </w:p>
        </w:tc>
        <w:tc>
          <w:tcPr>
            <w:tcW w:w="2926" w:type="dxa"/>
          </w:tcPr>
          <w:p w:rsidR="00712DC3" w:rsidRPr="00712DC3" w:rsidRDefault="005E67D0" w:rsidP="00712DC3">
            <w:pPr>
              <w:ind w:right="142"/>
              <w:jc w:val="right"/>
            </w:pPr>
            <w:r w:rsidRPr="00712DC3">
              <w:rPr>
                <w:rFonts w:cs="Arial"/>
                <w:noProof/>
                <w:lang w:val="en-GB"/>
              </w:rPr>
              <w:drawing>
                <wp:anchor distT="0" distB="0" distL="114300" distR="114300" simplePos="0" relativeHeight="251660288" behindDoc="0" locked="0" layoutInCell="1" allowOverlap="1" wp14:anchorId="540DDB29" wp14:editId="329DA423">
                  <wp:simplePos x="0" y="0"/>
                  <wp:positionH relativeFrom="column">
                    <wp:posOffset>-76809</wp:posOffset>
                  </wp:positionH>
                  <wp:positionV relativeFrom="paragraph">
                    <wp:posOffset>22937</wp:posOffset>
                  </wp:positionV>
                  <wp:extent cx="1859915" cy="795655"/>
                  <wp:effectExtent l="0" t="0" r="6985" b="4445"/>
                  <wp:wrapNone/>
                  <wp:docPr id="1" name="Picture 1"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F_25Years_Horizontal-411959 (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915"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12DC3" w:rsidRPr="00712DC3" w:rsidTr="005E67D0">
        <w:trPr>
          <w:cantSplit/>
        </w:trPr>
        <w:tc>
          <w:tcPr>
            <w:tcW w:w="7251" w:type="dxa"/>
            <w:gridSpan w:val="2"/>
            <w:tcBorders>
              <w:top w:val="single" w:sz="12" w:space="0" w:color="auto"/>
            </w:tcBorders>
          </w:tcPr>
          <w:p w:rsidR="00712DC3" w:rsidRPr="00712DC3" w:rsidRDefault="00712DC3" w:rsidP="00E44423">
            <w:pPr>
              <w:spacing w:before="0"/>
              <w:rPr>
                <w:rFonts w:cs="Arial"/>
                <w:b/>
                <w:bCs/>
                <w:sz w:val="20"/>
              </w:rPr>
            </w:pPr>
          </w:p>
        </w:tc>
        <w:tc>
          <w:tcPr>
            <w:tcW w:w="2926" w:type="dxa"/>
            <w:tcBorders>
              <w:top w:val="single" w:sz="12" w:space="0" w:color="auto"/>
            </w:tcBorders>
          </w:tcPr>
          <w:p w:rsidR="00712DC3" w:rsidRPr="00712DC3" w:rsidRDefault="00712DC3" w:rsidP="00E44423">
            <w:pPr>
              <w:spacing w:before="0"/>
              <w:rPr>
                <w:b/>
                <w:bCs/>
                <w:sz w:val="20"/>
              </w:rPr>
            </w:pPr>
          </w:p>
        </w:tc>
      </w:tr>
      <w:tr w:rsidR="00712DC3" w:rsidRPr="00712DC3" w:rsidTr="005E67D0">
        <w:trPr>
          <w:cantSplit/>
        </w:trPr>
        <w:tc>
          <w:tcPr>
            <w:tcW w:w="7251" w:type="dxa"/>
            <w:gridSpan w:val="2"/>
          </w:tcPr>
          <w:p w:rsidR="00712DC3" w:rsidRPr="00712DC3" w:rsidRDefault="00712DC3" w:rsidP="00E44423">
            <w:pPr>
              <w:spacing w:before="0"/>
              <w:rPr>
                <w:rFonts w:cs="Times New Roman Bold"/>
                <w:caps/>
                <w:szCs w:val="24"/>
              </w:rPr>
            </w:pPr>
          </w:p>
        </w:tc>
        <w:tc>
          <w:tcPr>
            <w:tcW w:w="2926" w:type="dxa"/>
          </w:tcPr>
          <w:p w:rsidR="00712DC3" w:rsidRPr="00712DC3" w:rsidRDefault="00712DC3" w:rsidP="00E44423">
            <w:pPr>
              <w:spacing w:before="0"/>
              <w:rPr>
                <w:bCs/>
                <w:szCs w:val="24"/>
              </w:rPr>
            </w:pPr>
            <w:r w:rsidRPr="00712DC3">
              <w:rPr>
                <w:b/>
                <w:bCs/>
                <w:szCs w:val="28"/>
              </w:rPr>
              <w:t xml:space="preserve">Document </w:t>
            </w:r>
            <w:r w:rsidR="008F25E9">
              <w:rPr>
                <w:b/>
                <w:bCs/>
                <w:szCs w:val="28"/>
              </w:rPr>
              <w:t>TDAG17</w:t>
            </w:r>
            <w:r w:rsidRPr="00712DC3">
              <w:rPr>
                <w:b/>
                <w:bCs/>
                <w:szCs w:val="28"/>
              </w:rPr>
              <w:t>-22/4-F</w:t>
            </w:r>
          </w:p>
        </w:tc>
      </w:tr>
      <w:tr w:rsidR="00712DC3" w:rsidRPr="00712DC3" w:rsidTr="005E67D0">
        <w:trPr>
          <w:cantSplit/>
        </w:trPr>
        <w:tc>
          <w:tcPr>
            <w:tcW w:w="7251" w:type="dxa"/>
            <w:gridSpan w:val="2"/>
          </w:tcPr>
          <w:p w:rsidR="00712DC3" w:rsidRPr="00712DC3" w:rsidRDefault="00712DC3" w:rsidP="00E44423">
            <w:pPr>
              <w:spacing w:before="0"/>
              <w:rPr>
                <w:b/>
                <w:bCs/>
                <w:smallCaps/>
                <w:szCs w:val="24"/>
              </w:rPr>
            </w:pPr>
          </w:p>
        </w:tc>
        <w:tc>
          <w:tcPr>
            <w:tcW w:w="2926" w:type="dxa"/>
          </w:tcPr>
          <w:p w:rsidR="00712DC3" w:rsidRPr="00712DC3" w:rsidRDefault="00712DC3" w:rsidP="00E44423">
            <w:pPr>
              <w:spacing w:before="0"/>
              <w:rPr>
                <w:b/>
                <w:szCs w:val="24"/>
              </w:rPr>
            </w:pPr>
            <w:r w:rsidRPr="00712DC3">
              <w:rPr>
                <w:b/>
                <w:bCs/>
                <w:szCs w:val="28"/>
              </w:rPr>
              <w:t>16 mars 2017</w:t>
            </w:r>
          </w:p>
        </w:tc>
      </w:tr>
      <w:tr w:rsidR="00712DC3" w:rsidRPr="00712DC3" w:rsidTr="005E67D0">
        <w:trPr>
          <w:cantSplit/>
        </w:trPr>
        <w:tc>
          <w:tcPr>
            <w:tcW w:w="7251" w:type="dxa"/>
            <w:gridSpan w:val="2"/>
          </w:tcPr>
          <w:p w:rsidR="00712DC3" w:rsidRPr="00712DC3" w:rsidRDefault="00712DC3" w:rsidP="00E44423">
            <w:pPr>
              <w:spacing w:before="0"/>
              <w:rPr>
                <w:b/>
                <w:bCs/>
                <w:smallCaps/>
                <w:szCs w:val="24"/>
              </w:rPr>
            </w:pPr>
          </w:p>
        </w:tc>
        <w:tc>
          <w:tcPr>
            <w:tcW w:w="2926" w:type="dxa"/>
          </w:tcPr>
          <w:p w:rsidR="00712DC3" w:rsidRPr="00712DC3" w:rsidRDefault="00712DC3" w:rsidP="00E44423">
            <w:pPr>
              <w:spacing w:before="0"/>
              <w:rPr>
                <w:szCs w:val="24"/>
              </w:rPr>
            </w:pPr>
            <w:r w:rsidRPr="00712DC3">
              <w:rPr>
                <w:b/>
                <w:szCs w:val="28"/>
              </w:rPr>
              <w:t>Original:</w:t>
            </w:r>
            <w:bookmarkStart w:id="1" w:name="Original"/>
            <w:bookmarkEnd w:id="1"/>
            <w:r w:rsidRPr="00712DC3">
              <w:rPr>
                <w:b/>
                <w:szCs w:val="28"/>
              </w:rPr>
              <w:t xml:space="preserve"> anglais</w:t>
            </w:r>
          </w:p>
        </w:tc>
      </w:tr>
      <w:tr w:rsidR="00712DC3" w:rsidRPr="00712DC3" w:rsidTr="005E67D0">
        <w:trPr>
          <w:cantSplit/>
          <w:trHeight w:val="852"/>
        </w:trPr>
        <w:tc>
          <w:tcPr>
            <w:tcW w:w="10177" w:type="dxa"/>
            <w:gridSpan w:val="3"/>
          </w:tcPr>
          <w:p w:rsidR="00712DC3" w:rsidRPr="00712DC3" w:rsidRDefault="00712DC3" w:rsidP="00712DC3">
            <w:pPr>
              <w:spacing w:before="840"/>
              <w:jc w:val="center"/>
              <w:rPr>
                <w:b/>
                <w:sz w:val="28"/>
                <w:lang w:val="fr-FR"/>
              </w:rPr>
            </w:pPr>
            <w:bookmarkStart w:id="2" w:name="Source"/>
            <w:bookmarkEnd w:id="2"/>
            <w:r w:rsidRPr="00712DC3">
              <w:rPr>
                <w:b/>
                <w:sz w:val="28"/>
                <w:szCs w:val="28"/>
              </w:rPr>
              <w:t>Directeur du Bureau de développement des télécommunications</w:t>
            </w:r>
          </w:p>
        </w:tc>
      </w:tr>
      <w:tr w:rsidR="00712DC3" w:rsidRPr="00712DC3" w:rsidTr="005E67D0">
        <w:trPr>
          <w:cantSplit/>
        </w:trPr>
        <w:tc>
          <w:tcPr>
            <w:tcW w:w="10177" w:type="dxa"/>
            <w:gridSpan w:val="3"/>
          </w:tcPr>
          <w:p w:rsidR="00712DC3" w:rsidRPr="00712DC3" w:rsidRDefault="00712DC3" w:rsidP="00712DC3">
            <w:pPr>
              <w:tabs>
                <w:tab w:val="left" w:pos="567"/>
                <w:tab w:val="left" w:pos="1134"/>
                <w:tab w:val="left" w:pos="1701"/>
                <w:tab w:val="left" w:pos="2268"/>
                <w:tab w:val="left" w:pos="2835"/>
              </w:tabs>
              <w:spacing w:before="240"/>
              <w:jc w:val="center"/>
              <w:rPr>
                <w:rFonts w:cs="Times New Roman Bold"/>
                <w:sz w:val="28"/>
              </w:rPr>
            </w:pPr>
            <w:bookmarkStart w:id="3" w:name="Title"/>
            <w:bookmarkEnd w:id="3"/>
            <w:r w:rsidRPr="00712DC3">
              <w:rPr>
                <w:rFonts w:cs="Times New Roman Bold"/>
                <w:sz w:val="28"/>
              </w:rPr>
              <w:t>R</w:t>
            </w:r>
            <w:r w:rsidRPr="00712DC3">
              <w:rPr>
                <w:rFonts w:cs="Times New Roman Bold"/>
                <w:sz w:val="28"/>
                <w:szCs w:val="28"/>
              </w:rPr>
              <w:t>apport d'activité pour 2016</w:t>
            </w:r>
          </w:p>
        </w:tc>
      </w:tr>
      <w:tr w:rsidR="00712DC3" w:rsidRPr="00712DC3" w:rsidTr="005E67D0">
        <w:trPr>
          <w:cantSplit/>
        </w:trPr>
        <w:tc>
          <w:tcPr>
            <w:tcW w:w="10177" w:type="dxa"/>
            <w:gridSpan w:val="3"/>
            <w:tcBorders>
              <w:bottom w:val="single" w:sz="4" w:space="0" w:color="auto"/>
            </w:tcBorders>
          </w:tcPr>
          <w:p w:rsidR="00712DC3" w:rsidRPr="00712DC3" w:rsidRDefault="00712DC3" w:rsidP="00712DC3"/>
        </w:tc>
      </w:tr>
      <w:tr w:rsidR="00712DC3" w:rsidRPr="00712DC3" w:rsidTr="005E67D0">
        <w:trPr>
          <w:cantSplit/>
        </w:trPr>
        <w:tc>
          <w:tcPr>
            <w:tcW w:w="10177" w:type="dxa"/>
            <w:gridSpan w:val="3"/>
            <w:tcBorders>
              <w:top w:val="single" w:sz="4" w:space="0" w:color="auto"/>
              <w:left w:val="single" w:sz="4" w:space="0" w:color="auto"/>
              <w:bottom w:val="single" w:sz="4" w:space="0" w:color="auto"/>
              <w:right w:val="single" w:sz="4" w:space="0" w:color="auto"/>
            </w:tcBorders>
          </w:tcPr>
          <w:p w:rsidR="00712DC3" w:rsidRPr="00712DC3" w:rsidRDefault="00712DC3" w:rsidP="00712DC3">
            <w:pPr>
              <w:spacing w:before="240"/>
              <w:rPr>
                <w:b/>
                <w:bCs/>
                <w:szCs w:val="24"/>
              </w:rPr>
            </w:pPr>
            <w:r w:rsidRPr="00712DC3">
              <w:rPr>
                <w:b/>
                <w:bCs/>
                <w:szCs w:val="24"/>
              </w:rPr>
              <w:t>Résumé:</w:t>
            </w:r>
          </w:p>
          <w:p w:rsidR="00712DC3" w:rsidRPr="00712DC3" w:rsidRDefault="00712DC3" w:rsidP="00712DC3">
            <w:pPr>
              <w:rPr>
                <w:szCs w:val="24"/>
              </w:rPr>
            </w:pPr>
            <w:r w:rsidRPr="00712DC3">
              <w:rPr>
                <w:szCs w:val="24"/>
              </w:rPr>
              <w:t>Le rapport d'activité pour 2016 décrit l'état d'avancement de la mise en oeuvre des objectifs, des résultats et des produits définis dans le Plan opérationnel de l'UIT-D. Il met l'accent</w:t>
            </w:r>
            <w:r w:rsidR="00836390">
              <w:rPr>
                <w:szCs w:val="24"/>
              </w:rPr>
              <w:t xml:space="preserve"> </w:t>
            </w:r>
            <w:r w:rsidRPr="00712DC3">
              <w:rPr>
                <w:szCs w:val="24"/>
              </w:rPr>
              <w:t>sur les résultats obtenus lors de la mise en oeuvre des objectifs, des résultats et des produits du Secteur ainsi que sur les indicateurs de résultats et les indicateurs de performance.</w:t>
            </w:r>
          </w:p>
          <w:p w:rsidR="00712DC3" w:rsidRPr="00712DC3" w:rsidRDefault="00712DC3" w:rsidP="00712DC3">
            <w:pPr>
              <w:rPr>
                <w:szCs w:val="24"/>
              </w:rPr>
            </w:pPr>
            <w:r w:rsidRPr="00712DC3">
              <w:rPr>
                <w:szCs w:val="24"/>
              </w:rPr>
              <w:t xml:space="preserve">Le rapport dans son intégralité est accessible à l'adresse: </w:t>
            </w:r>
            <w:r w:rsidRPr="00712DC3">
              <w:rPr>
                <w:szCs w:val="24"/>
              </w:rPr>
              <w:br/>
            </w:r>
            <w:hyperlink r:id="rId8" w:history="1">
              <w:r w:rsidRPr="00712DC3">
                <w:rPr>
                  <w:rFonts w:ascii="Calibri" w:hAnsi="Calibri"/>
                  <w:color w:val="0563C1" w:themeColor="hyperlink"/>
                  <w:u w:val="single"/>
                </w:rPr>
                <w:t>https://www.itu.int/en/ITU-D/TIES_Protected/PerfReport2016.pdf</w:t>
              </w:r>
            </w:hyperlink>
          </w:p>
          <w:p w:rsidR="00712DC3" w:rsidRPr="00712DC3" w:rsidRDefault="00712DC3" w:rsidP="00712DC3">
            <w:pPr>
              <w:rPr>
                <w:b/>
                <w:bCs/>
                <w:szCs w:val="24"/>
              </w:rPr>
            </w:pPr>
            <w:r w:rsidRPr="00712DC3">
              <w:rPr>
                <w:b/>
                <w:bCs/>
                <w:szCs w:val="24"/>
              </w:rPr>
              <w:t>Suite à donner:</w:t>
            </w:r>
          </w:p>
          <w:p w:rsidR="00712DC3" w:rsidRPr="00712DC3" w:rsidRDefault="00712DC3" w:rsidP="00712DC3">
            <w:pPr>
              <w:rPr>
                <w:szCs w:val="24"/>
              </w:rPr>
            </w:pPr>
            <w:r w:rsidRPr="00712DC3">
              <w:rPr>
                <w:szCs w:val="24"/>
              </w:rPr>
              <w:t>Le GCDT est invité à prendre note du présent rapport et à fournir les indications qu'il jugera nécessaires.</w:t>
            </w:r>
          </w:p>
          <w:p w:rsidR="00712DC3" w:rsidRPr="00712DC3" w:rsidRDefault="00712DC3" w:rsidP="00712DC3">
            <w:pPr>
              <w:rPr>
                <w:b/>
                <w:bCs/>
                <w:szCs w:val="24"/>
              </w:rPr>
            </w:pPr>
            <w:r w:rsidRPr="00712DC3">
              <w:rPr>
                <w:b/>
                <w:bCs/>
                <w:szCs w:val="24"/>
              </w:rPr>
              <w:t>Références:</w:t>
            </w:r>
          </w:p>
          <w:p w:rsidR="00712DC3" w:rsidRPr="00712DC3" w:rsidRDefault="00712DC3" w:rsidP="00712DC3">
            <w:r w:rsidRPr="00712DC3">
              <w:t>numéro 215EA de la Convention de l’UIT</w:t>
            </w:r>
            <w:r w:rsidR="007B060C">
              <w:t>.</w:t>
            </w:r>
          </w:p>
        </w:tc>
      </w:tr>
    </w:tbl>
    <w:p w:rsidR="00712DC3" w:rsidRPr="00712DC3" w:rsidRDefault="00712DC3" w:rsidP="00712DC3"/>
    <w:p w:rsidR="00712DC3" w:rsidRPr="00712DC3" w:rsidRDefault="00712DC3" w:rsidP="00712DC3">
      <w:bookmarkStart w:id="4" w:name="Proposal"/>
      <w:bookmarkEnd w:id="4"/>
    </w:p>
    <w:p w:rsidR="00712DC3" w:rsidRPr="00712DC3" w:rsidRDefault="00712DC3" w:rsidP="00712DC3">
      <w:r w:rsidRPr="00712DC3">
        <w:br w:type="page"/>
      </w:r>
    </w:p>
    <w:p w:rsidR="00712DC3" w:rsidRPr="00712DC3" w:rsidRDefault="00712DC3" w:rsidP="00712DC3">
      <w:r w:rsidRPr="00712DC3">
        <w:rPr>
          <w:b/>
          <w:bCs/>
          <w:szCs w:val="24"/>
        </w:rPr>
        <w:lastRenderedPageBreak/>
        <w:t>Présentation du rapport d'activité pour 2016</w:t>
      </w:r>
    </w:p>
    <w:p w:rsidR="00712DC3" w:rsidRPr="00712DC3" w:rsidRDefault="00712DC3" w:rsidP="00712DC3">
      <w:pPr>
        <w:rPr>
          <w:szCs w:val="24"/>
        </w:rPr>
      </w:pPr>
      <w:r w:rsidRPr="00712DC3">
        <w:rPr>
          <w:szCs w:val="24"/>
        </w:rPr>
        <w:t xml:space="preserve">Le rapport d'activité pour 2016 établit une comparaison entre les résultats attendus et les résultats effectivement obtenus, au regard des indicateurs de résultats et des indicateurs de performance correspondants. On y trouve également une évaluation des dangers et des risques pour 2016. Ces indicateurs sont présentés pour chaque objectif et pour chaque produit correspondant. Le rapport dans son intégralité est accessible à l'adresse. </w:t>
      </w:r>
      <w:r w:rsidRPr="00712DC3">
        <w:rPr>
          <w:szCs w:val="24"/>
        </w:rPr>
        <w:br/>
      </w:r>
      <w:hyperlink r:id="rId9" w:history="1">
        <w:r w:rsidRPr="00712DC3">
          <w:rPr>
            <w:color w:val="0563C1" w:themeColor="hyperlink"/>
            <w:u w:val="single"/>
          </w:rPr>
          <w:t>https://www.itu.int/en/ITU-D/TIES_Protected/PerfReport2016.pdf</w:t>
        </w:r>
      </w:hyperlink>
    </w:p>
    <w:p w:rsidR="00712DC3" w:rsidRPr="00712DC3" w:rsidRDefault="00712DC3" w:rsidP="00712DC3">
      <w:pPr>
        <w:rPr>
          <w:szCs w:val="24"/>
        </w:rPr>
      </w:pPr>
      <w:r w:rsidRPr="00712DC3">
        <w:rPr>
          <w:szCs w:val="24"/>
        </w:rPr>
        <w:t>Les principaux résultats obtenus par le BDT au cours de l'année 2016 dans le cadre de ses objectifs sont exposés ci</w:t>
      </w:r>
      <w:r w:rsidRPr="00712DC3">
        <w:rPr>
          <w:szCs w:val="24"/>
        </w:rPr>
        <w:noBreakHyphen/>
        <w:t>après.</w:t>
      </w:r>
    </w:p>
    <w:p w:rsidR="00712DC3" w:rsidRPr="00712DC3" w:rsidRDefault="00712DC3" w:rsidP="006151FD">
      <w:pPr>
        <w:pStyle w:val="Heading1"/>
        <w:rPr>
          <w:rFonts w:ascii="Calibri" w:hAnsi="Calibri"/>
        </w:rPr>
      </w:pPr>
      <w:r w:rsidRPr="00712DC3">
        <w:t>1</w:t>
      </w:r>
      <w:r w:rsidRPr="00712DC3">
        <w:tab/>
        <w:t xml:space="preserve">Objectif 1: </w:t>
      </w:r>
      <w:r w:rsidRPr="006151FD">
        <w:rPr>
          <w:rFonts w:ascii="Calibri" w:hAnsi="Calibri"/>
          <w:i/>
          <w:iCs/>
        </w:rPr>
        <w:t>"</w:t>
      </w:r>
      <w:r w:rsidRPr="006151FD">
        <w:rPr>
          <w:i/>
          <w:iCs/>
        </w:rPr>
        <w:t>Promouvoir la coopération internationale concernant les questions de développement des télécommunications/TIC"</w:t>
      </w:r>
    </w:p>
    <w:p w:rsidR="00712DC3" w:rsidRPr="00712DC3" w:rsidRDefault="008F25E9" w:rsidP="007B060C">
      <w:pPr>
        <w:pStyle w:val="enumlev1"/>
        <w:rPr>
          <w:lang w:val="fr-FR"/>
        </w:rPr>
      </w:pPr>
      <w:r>
        <w:rPr>
          <w:lang w:val="fr-FR"/>
        </w:rPr>
        <w:t>•</w:t>
      </w:r>
      <w:r>
        <w:rPr>
          <w:lang w:val="fr-FR"/>
        </w:rPr>
        <w:tab/>
        <w:t>La RMP-CEI</w:t>
      </w:r>
      <w:r w:rsidR="00712DC3" w:rsidRPr="00712DC3">
        <w:rPr>
          <w:lang w:val="fr-FR"/>
        </w:rPr>
        <w:t xml:space="preserve"> s’est tenue en pr</w:t>
      </w:r>
      <w:r>
        <w:rPr>
          <w:lang w:val="fr-FR"/>
        </w:rPr>
        <w:t>ésence de 104 participants de 9</w:t>
      </w:r>
      <w:r w:rsidR="00712DC3" w:rsidRPr="00712DC3">
        <w:rPr>
          <w:lang w:val="fr-FR"/>
        </w:rPr>
        <w:t xml:space="preserve"> </w:t>
      </w:r>
      <w:r w:rsidR="00431AC4">
        <w:rPr>
          <w:lang w:val="fr-FR"/>
        </w:rPr>
        <w:t>E</w:t>
      </w:r>
      <w:r w:rsidR="00712DC3" w:rsidRPr="00712DC3">
        <w:rPr>
          <w:lang w:val="fr-FR"/>
        </w:rPr>
        <w:t xml:space="preserve">tats </w:t>
      </w:r>
      <w:r w:rsidR="00431AC4">
        <w:rPr>
          <w:lang w:val="fr-FR"/>
        </w:rPr>
        <w:t>M</w:t>
      </w:r>
      <w:r w:rsidR="00712DC3" w:rsidRPr="00712DC3">
        <w:rPr>
          <w:lang w:val="fr-FR"/>
        </w:rPr>
        <w:t>embres de la r</w:t>
      </w:r>
      <w:r>
        <w:rPr>
          <w:lang w:val="fr-FR"/>
        </w:rPr>
        <w:t>é</w:t>
      </w:r>
      <w:r w:rsidR="00712DC3" w:rsidRPr="00712DC3">
        <w:rPr>
          <w:lang w:val="fr-FR"/>
        </w:rPr>
        <w:t xml:space="preserve">gion et de </w:t>
      </w:r>
      <w:r w:rsidR="007B060C">
        <w:rPr>
          <w:lang w:val="fr-FR"/>
        </w:rPr>
        <w:t>2</w:t>
      </w:r>
      <w:r w:rsidR="00712DC3" w:rsidRPr="00712DC3">
        <w:rPr>
          <w:lang w:val="fr-FR"/>
        </w:rPr>
        <w:t xml:space="preserve"> </w:t>
      </w:r>
      <w:r w:rsidR="00431AC4">
        <w:rPr>
          <w:lang w:val="fr-FR"/>
        </w:rPr>
        <w:t>E</w:t>
      </w:r>
      <w:r w:rsidR="00431AC4" w:rsidRPr="00712DC3">
        <w:rPr>
          <w:lang w:val="fr-FR"/>
        </w:rPr>
        <w:t xml:space="preserve">tats </w:t>
      </w:r>
      <w:r w:rsidR="00431AC4">
        <w:rPr>
          <w:lang w:val="fr-FR"/>
        </w:rPr>
        <w:t>M</w:t>
      </w:r>
      <w:r w:rsidR="00431AC4" w:rsidRPr="00712DC3">
        <w:rPr>
          <w:lang w:val="fr-FR"/>
        </w:rPr>
        <w:t xml:space="preserve">embres </w:t>
      </w:r>
      <w:r w:rsidR="00712DC3" w:rsidRPr="00712DC3">
        <w:rPr>
          <w:lang w:val="fr-FR"/>
        </w:rPr>
        <w:t xml:space="preserve">d’autres </w:t>
      </w:r>
      <w:r w:rsidR="006A2D50" w:rsidRPr="00712DC3">
        <w:rPr>
          <w:lang w:val="fr-FR"/>
        </w:rPr>
        <w:t>régions</w:t>
      </w:r>
      <w:r>
        <w:rPr>
          <w:lang w:val="fr-FR"/>
        </w:rPr>
        <w:t>.</w:t>
      </w:r>
    </w:p>
    <w:p w:rsidR="00712DC3" w:rsidRPr="00712DC3" w:rsidRDefault="00712DC3" w:rsidP="008F25E9">
      <w:pPr>
        <w:pStyle w:val="enumlev1"/>
        <w:rPr>
          <w:lang w:val="fr-FR"/>
        </w:rPr>
      </w:pPr>
      <w:r w:rsidRPr="00712DC3">
        <w:rPr>
          <w:rFonts w:ascii="Calibri" w:hAnsi="Calibri"/>
          <w:lang w:val="fr-FR"/>
        </w:rPr>
        <w:t>•</w:t>
      </w:r>
      <w:r w:rsidRPr="00712DC3">
        <w:rPr>
          <w:rFonts w:ascii="Calibri" w:hAnsi="Calibri"/>
          <w:lang w:val="fr-FR"/>
        </w:rPr>
        <w:tab/>
        <w:t xml:space="preserve">La </w:t>
      </w:r>
      <w:r w:rsidR="008F25E9">
        <w:rPr>
          <w:lang w:val="fr-FR"/>
        </w:rPr>
        <w:t xml:space="preserve">RMP-AFR </w:t>
      </w:r>
      <w:r w:rsidRPr="00712DC3">
        <w:rPr>
          <w:lang w:val="fr-FR"/>
        </w:rPr>
        <w:t>s’est tenue en pr</w:t>
      </w:r>
      <w:r w:rsidR="008F25E9">
        <w:rPr>
          <w:lang w:val="fr-FR"/>
        </w:rPr>
        <w:t>é</w:t>
      </w:r>
      <w:r w:rsidRPr="00712DC3">
        <w:rPr>
          <w:lang w:val="fr-FR"/>
        </w:rPr>
        <w:t>sence de 147 participants repr</w:t>
      </w:r>
      <w:r w:rsidR="008F25E9">
        <w:rPr>
          <w:lang w:val="fr-FR"/>
        </w:rPr>
        <w:t>ésentant 25 Etats Membres et 5 Membres de Secteur</w:t>
      </w:r>
      <w:r w:rsidRPr="00712DC3">
        <w:rPr>
          <w:lang w:val="fr-FR"/>
        </w:rPr>
        <w:t xml:space="preserve"> de la r</w:t>
      </w:r>
      <w:r w:rsidR="008F25E9">
        <w:rPr>
          <w:lang w:val="fr-FR"/>
        </w:rPr>
        <w:t xml:space="preserve">égion, 2 </w:t>
      </w:r>
      <w:r w:rsidR="00431AC4">
        <w:rPr>
          <w:lang w:val="fr-FR"/>
        </w:rPr>
        <w:t>institution</w:t>
      </w:r>
      <w:r w:rsidRPr="00712DC3">
        <w:rPr>
          <w:lang w:val="fr-FR"/>
        </w:rPr>
        <w:t xml:space="preserve">s spécialisées des </w:t>
      </w:r>
      <w:r w:rsidR="00431AC4">
        <w:rPr>
          <w:lang w:val="fr-FR"/>
        </w:rPr>
        <w:t>N</w:t>
      </w:r>
      <w:r w:rsidR="008F25E9">
        <w:rPr>
          <w:lang w:val="fr-FR"/>
        </w:rPr>
        <w:t xml:space="preserve">ations unies et 11 </w:t>
      </w:r>
      <w:r w:rsidRPr="00712DC3">
        <w:rPr>
          <w:lang w:val="fr-FR"/>
        </w:rPr>
        <w:t xml:space="preserve">Etats Membres ayant le statut d’observateur et Membres de Secteur d’autres </w:t>
      </w:r>
      <w:r w:rsidR="006A2D50" w:rsidRPr="00712DC3">
        <w:rPr>
          <w:lang w:val="fr-FR"/>
        </w:rPr>
        <w:t>régions</w:t>
      </w:r>
      <w:r w:rsidR="008F25E9">
        <w:rPr>
          <w:lang w:val="fr-FR"/>
        </w:rPr>
        <w:t>.</w:t>
      </w:r>
    </w:p>
    <w:p w:rsidR="00712DC3" w:rsidRPr="00712DC3" w:rsidRDefault="008F25E9" w:rsidP="008F25E9">
      <w:pPr>
        <w:pStyle w:val="enumlev1"/>
        <w:rPr>
          <w:lang w:val="fr-FR"/>
        </w:rPr>
      </w:pPr>
      <w:r>
        <w:rPr>
          <w:lang w:val="fr-FR"/>
        </w:rPr>
        <w:t>•</w:t>
      </w:r>
      <w:r w:rsidR="007B060C">
        <w:rPr>
          <w:lang w:val="fr-FR"/>
        </w:rPr>
        <w:tab/>
        <w:t>Le GCDT</w:t>
      </w:r>
      <w:r>
        <w:rPr>
          <w:lang w:val="fr-FR"/>
        </w:rPr>
        <w:t xml:space="preserve">-16 s’est tenu </w:t>
      </w:r>
      <w:r w:rsidR="00712DC3" w:rsidRPr="00712DC3">
        <w:rPr>
          <w:lang w:val="fr-FR"/>
        </w:rPr>
        <w:t>en pr</w:t>
      </w:r>
      <w:r>
        <w:rPr>
          <w:lang w:val="fr-FR"/>
        </w:rPr>
        <w:t>é</w:t>
      </w:r>
      <w:r w:rsidR="00712DC3" w:rsidRPr="00712DC3">
        <w:rPr>
          <w:lang w:val="fr-FR"/>
        </w:rPr>
        <w:t>sence de 101 participants</w:t>
      </w:r>
      <w:r>
        <w:rPr>
          <w:lang w:val="fr-FR"/>
        </w:rPr>
        <w:t>.</w:t>
      </w:r>
    </w:p>
    <w:p w:rsidR="00712DC3" w:rsidRPr="00712DC3" w:rsidRDefault="00712DC3" w:rsidP="008F25E9">
      <w:pPr>
        <w:pStyle w:val="enumlev1"/>
        <w:rPr>
          <w:lang w:val="fr-FR"/>
        </w:rPr>
      </w:pPr>
      <w:r w:rsidRPr="00712DC3">
        <w:rPr>
          <w:rFonts w:ascii="Calibri" w:hAnsi="Calibri"/>
        </w:rPr>
        <w:t>•</w:t>
      </w:r>
      <w:r w:rsidRPr="00712DC3">
        <w:rPr>
          <w:rFonts w:ascii="Calibri" w:hAnsi="Calibri"/>
        </w:rPr>
        <w:tab/>
      </w:r>
      <w:r w:rsidR="007B060C" w:rsidRPr="00712DC3">
        <w:t>P</w:t>
      </w:r>
      <w:r w:rsidRPr="00712DC3">
        <w:t>rès de 220 participants de 65 Etats Membres ont participé à la réunion de la CE 1 de l'UIT</w:t>
      </w:r>
      <w:r w:rsidRPr="00712DC3">
        <w:noBreakHyphen/>
        <w:t>D</w:t>
      </w:r>
      <w:r w:rsidR="00836390">
        <w:t>,</w:t>
      </w:r>
      <w:r w:rsidRPr="00712DC3">
        <w:t xml:space="preserve"> tandis que la réunion de la CE 2 de l'UIT</w:t>
      </w:r>
      <w:r w:rsidRPr="00712DC3">
        <w:noBreakHyphen/>
        <w:t>D s'est tenue en présence d'environ 190 p</w:t>
      </w:r>
      <w:r w:rsidR="006151FD">
        <w:t>articipants de 52 Etats Membres.</w:t>
      </w:r>
    </w:p>
    <w:p w:rsidR="00712DC3" w:rsidRPr="00712DC3" w:rsidRDefault="00712DC3" w:rsidP="006151FD">
      <w:pPr>
        <w:pStyle w:val="Heading2"/>
      </w:pPr>
      <w:r w:rsidRPr="00712DC3">
        <w:t>1.1</w:t>
      </w:r>
      <w:r w:rsidRPr="00712DC3">
        <w:tab/>
        <w:t>Conférence mondiale de développement des télécommunications (CMDT)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2"/>
        <w:gridCol w:w="6657"/>
      </w:tblGrid>
      <w:tr w:rsidR="00712DC3" w:rsidRPr="00712DC3" w:rsidTr="00D476A5">
        <w:tc>
          <w:tcPr>
            <w:tcW w:w="5000" w:type="pct"/>
            <w:gridSpan w:val="2"/>
            <w:tcBorders>
              <w:bottom w:val="single" w:sz="4" w:space="0" w:color="auto"/>
            </w:tcBorders>
          </w:tcPr>
          <w:p w:rsidR="00712DC3" w:rsidRPr="00712DC3" w:rsidRDefault="00712DC3" w:rsidP="006151FD">
            <w:pPr>
              <w:rPr>
                <w:szCs w:val="24"/>
                <w:lang w:val="fr-FR"/>
              </w:rPr>
            </w:pPr>
            <w:r w:rsidRPr="006151FD">
              <w:rPr>
                <w:lang w:val="fr-FR"/>
              </w:rPr>
              <w:t>La prochaine Conférence mondiale de développement des télécommunications (CMDT-17) se tiendra à Buenos Aires (Argentine) du 9 au 20 octobre 2017. La pr</w:t>
            </w:r>
            <w:r w:rsidR="006151FD">
              <w:rPr>
                <w:lang w:val="fr-FR"/>
              </w:rPr>
              <w:t>é</w:t>
            </w:r>
            <w:r w:rsidRPr="006151FD">
              <w:rPr>
                <w:lang w:val="fr-FR"/>
              </w:rPr>
              <w:t xml:space="preserve">paration des principaux documents de la </w:t>
            </w:r>
            <w:r w:rsidRPr="006151FD">
              <w:rPr>
                <w:szCs w:val="24"/>
                <w:lang w:val="fr-FR"/>
              </w:rPr>
              <w:t>CMDT-17 a</w:t>
            </w:r>
            <w:r w:rsidRPr="006151FD">
              <w:rPr>
                <w:lang w:val="fr-FR"/>
              </w:rPr>
              <w:t xml:space="preserve"> déjà commenc</w:t>
            </w:r>
            <w:r w:rsidR="006151FD">
              <w:rPr>
                <w:lang w:val="fr-FR"/>
              </w:rPr>
              <w:t>é</w:t>
            </w:r>
            <w:r w:rsidR="006151FD">
              <w:rPr>
                <w:szCs w:val="24"/>
                <w:lang w:val="fr-FR"/>
              </w:rPr>
              <w:t xml:space="preserve"> et</w:t>
            </w:r>
            <w:r w:rsidRPr="006151FD">
              <w:rPr>
                <w:szCs w:val="24"/>
                <w:lang w:val="fr-FR"/>
              </w:rPr>
              <w:t xml:space="preserve"> le </w:t>
            </w:r>
            <w:r w:rsidR="00431AC4" w:rsidRPr="006151FD">
              <w:rPr>
                <w:szCs w:val="24"/>
                <w:lang w:val="fr-FR"/>
              </w:rPr>
              <w:t>G</w:t>
            </w:r>
            <w:r w:rsidR="006151FD">
              <w:rPr>
                <w:szCs w:val="24"/>
                <w:lang w:val="fr-FR"/>
              </w:rPr>
              <w:t>roupe consultatif</w:t>
            </w:r>
            <w:r w:rsidR="007A5E17" w:rsidRPr="006151FD">
              <w:rPr>
                <w:szCs w:val="24"/>
                <w:lang w:val="fr-FR"/>
              </w:rPr>
              <w:t xml:space="preserve"> pour le</w:t>
            </w:r>
            <w:r w:rsidRPr="006151FD">
              <w:rPr>
                <w:szCs w:val="24"/>
                <w:lang w:val="fr-FR"/>
              </w:rPr>
              <w:t xml:space="preserve"> développement des t</w:t>
            </w:r>
            <w:r w:rsidR="006151FD">
              <w:rPr>
                <w:szCs w:val="24"/>
                <w:lang w:val="fr-FR"/>
              </w:rPr>
              <w:t>é</w:t>
            </w:r>
            <w:r w:rsidRPr="006151FD">
              <w:rPr>
                <w:szCs w:val="24"/>
                <w:lang w:val="fr-FR"/>
              </w:rPr>
              <w:t>l</w:t>
            </w:r>
            <w:r w:rsidR="006151FD">
              <w:rPr>
                <w:szCs w:val="24"/>
                <w:lang w:val="fr-FR"/>
              </w:rPr>
              <w:t>é</w:t>
            </w:r>
            <w:r w:rsidR="00E44423">
              <w:rPr>
                <w:szCs w:val="24"/>
                <w:lang w:val="fr-FR"/>
              </w:rPr>
              <w:t>communications (GCDT</w:t>
            </w:r>
            <w:r w:rsidRPr="006151FD">
              <w:rPr>
                <w:szCs w:val="24"/>
                <w:lang w:val="fr-FR"/>
              </w:rPr>
              <w:t xml:space="preserve">) prend actuellement des initiatives </w:t>
            </w:r>
            <w:r w:rsidR="00431AC4" w:rsidRPr="006151FD">
              <w:rPr>
                <w:szCs w:val="24"/>
                <w:lang w:val="fr-FR"/>
              </w:rPr>
              <w:t>dans</w:t>
            </w:r>
            <w:r w:rsidRPr="006151FD">
              <w:rPr>
                <w:szCs w:val="24"/>
                <w:lang w:val="fr-FR"/>
              </w:rPr>
              <w:t xml:space="preserve"> ce sens. A sa r</w:t>
            </w:r>
            <w:r w:rsidR="006151FD">
              <w:rPr>
                <w:szCs w:val="24"/>
                <w:lang w:val="fr-FR"/>
              </w:rPr>
              <w:t xml:space="preserve">éunion de mars 2016, le GCDT </w:t>
            </w:r>
            <w:r w:rsidRPr="006151FD">
              <w:rPr>
                <w:szCs w:val="24"/>
                <w:lang w:val="fr-FR"/>
              </w:rPr>
              <w:t>a passé en revue les avant-projets de</w:t>
            </w:r>
            <w:r w:rsidRPr="00712DC3">
              <w:rPr>
                <w:szCs w:val="24"/>
                <w:lang w:val="fr-FR"/>
              </w:rPr>
              <w:t xml:space="preserve"> trois documents essentiels élaborés par son </w:t>
            </w:r>
            <w:r w:rsidRPr="00712DC3">
              <w:rPr>
                <w:lang w:val="fr-FR"/>
              </w:rPr>
              <w:t>Groupe de travail par correspondance sur le Plan stratégique, le Plan opérationnel et la Déclaration, à savoir:</w:t>
            </w:r>
          </w:p>
          <w:p w:rsidR="00712DC3" w:rsidRPr="00712DC3" w:rsidRDefault="006151FD" w:rsidP="006151FD">
            <w:pPr>
              <w:pStyle w:val="enumlev1"/>
              <w:rPr>
                <w:rFonts w:ascii="Segoe UI" w:hAnsi="Segoe UI"/>
                <w:lang w:val="fr-FR"/>
              </w:rPr>
            </w:pPr>
            <w:r>
              <w:t>•</w:t>
            </w:r>
            <w:r>
              <w:tab/>
            </w:r>
            <w:r w:rsidR="007B060C" w:rsidRPr="00712DC3">
              <w:t>C</w:t>
            </w:r>
            <w:r w:rsidR="00712DC3" w:rsidRPr="00712DC3">
              <w:t>ontribution de l’UIT–D au Plan stratégique de l’UIT pour la période 2020–2023</w:t>
            </w:r>
            <w:r w:rsidR="007B060C">
              <w:rPr>
                <w:rFonts w:ascii="Segoe UI" w:hAnsi="Segoe UI"/>
                <w:lang w:val="fr-FR"/>
              </w:rPr>
              <w:t>.</w:t>
            </w:r>
          </w:p>
          <w:p w:rsidR="00712DC3" w:rsidRPr="00712DC3" w:rsidRDefault="006151FD" w:rsidP="006151FD">
            <w:pPr>
              <w:pStyle w:val="enumlev1"/>
              <w:rPr>
                <w:rFonts w:ascii="Segoe UI" w:hAnsi="Segoe UI"/>
                <w:lang w:val="fr-FR"/>
              </w:rPr>
            </w:pPr>
            <w:r>
              <w:rPr>
                <w:lang w:val="fr-FR"/>
              </w:rPr>
              <w:t>•</w:t>
            </w:r>
            <w:r>
              <w:rPr>
                <w:lang w:val="fr-FR"/>
              </w:rPr>
              <w:tab/>
            </w:r>
            <w:r w:rsidR="00712DC3" w:rsidRPr="00712DC3">
              <w:rPr>
                <w:lang w:val="fr-FR"/>
              </w:rPr>
              <w:t>Plan d'action de l'UIT-D</w:t>
            </w:r>
            <w:r w:rsidR="00712DC3" w:rsidRPr="00712DC3">
              <w:rPr>
                <w:rFonts w:ascii="Segoe UI" w:hAnsi="Segoe UI"/>
                <w:lang w:val="fr-FR"/>
              </w:rPr>
              <w:t>; et</w:t>
            </w:r>
          </w:p>
          <w:p w:rsidR="00712DC3" w:rsidRPr="00712DC3" w:rsidRDefault="006151FD" w:rsidP="006151FD">
            <w:pPr>
              <w:pStyle w:val="enumlev1"/>
              <w:rPr>
                <w:rFonts w:ascii="Segoe UI" w:hAnsi="Segoe UI"/>
                <w:lang w:val="fr-FR"/>
              </w:rPr>
            </w:pPr>
            <w:r>
              <w:rPr>
                <w:lang w:val="fr-FR"/>
              </w:rPr>
              <w:t>•</w:t>
            </w:r>
            <w:r>
              <w:rPr>
                <w:lang w:val="fr-FR"/>
              </w:rPr>
              <w:tab/>
            </w:r>
            <w:r w:rsidR="00712DC3" w:rsidRPr="00712DC3">
              <w:rPr>
                <w:lang w:val="fr-FR"/>
              </w:rPr>
              <w:t>Déclaration de la CMDT-17</w:t>
            </w:r>
            <w:r>
              <w:rPr>
                <w:lang w:val="fr-FR"/>
              </w:rPr>
              <w:t>;</w:t>
            </w:r>
          </w:p>
          <w:p w:rsidR="00712DC3" w:rsidRPr="00712DC3" w:rsidRDefault="006151FD" w:rsidP="006151FD">
            <w:pPr>
              <w:pStyle w:val="enumlev1"/>
              <w:rPr>
                <w:lang w:val="fr-FR"/>
              </w:rPr>
            </w:pPr>
            <w:r>
              <w:rPr>
                <w:lang w:val="fr-FR"/>
              </w:rPr>
              <w:t>•</w:t>
            </w:r>
            <w:r>
              <w:rPr>
                <w:lang w:val="fr-FR"/>
              </w:rPr>
              <w:tab/>
            </w:r>
            <w:r w:rsidR="007B060C">
              <w:rPr>
                <w:lang w:val="fr-FR"/>
              </w:rPr>
              <w:t>L</w:t>
            </w:r>
            <w:r>
              <w:rPr>
                <w:lang w:val="fr-FR"/>
              </w:rPr>
              <w:t xml:space="preserve">e GCDT </w:t>
            </w:r>
            <w:r w:rsidR="00712DC3" w:rsidRPr="00712DC3">
              <w:rPr>
                <w:lang w:val="fr-FR"/>
              </w:rPr>
              <w:t>a également examin</w:t>
            </w:r>
            <w:r>
              <w:rPr>
                <w:lang w:val="fr-FR"/>
              </w:rPr>
              <w:t>é</w:t>
            </w:r>
            <w:r w:rsidR="00712DC3" w:rsidRPr="00712DC3">
              <w:rPr>
                <w:lang w:val="fr-FR"/>
              </w:rPr>
              <w:t xml:space="preserve"> les travaux entrepris par ses </w:t>
            </w:r>
            <w:r>
              <w:rPr>
                <w:lang w:val="fr-FR"/>
              </w:rPr>
              <w:t xml:space="preserve">deux autres groupes de travail </w:t>
            </w:r>
            <w:r w:rsidR="00712DC3" w:rsidRPr="00712DC3">
              <w:rPr>
                <w:lang w:val="fr-FR"/>
              </w:rPr>
              <w:t>par correspond</w:t>
            </w:r>
            <w:r>
              <w:rPr>
                <w:lang w:val="fr-FR"/>
              </w:rPr>
              <w:t>a</w:t>
            </w:r>
            <w:r w:rsidR="00712DC3" w:rsidRPr="00712DC3">
              <w:rPr>
                <w:lang w:val="fr-FR"/>
              </w:rPr>
              <w:t>nce sur</w:t>
            </w:r>
            <w:r>
              <w:rPr>
                <w:lang w:val="fr-FR"/>
              </w:rPr>
              <w:t>:</w:t>
            </w:r>
          </w:p>
          <w:p w:rsidR="00712DC3" w:rsidRPr="00712DC3" w:rsidRDefault="006151FD" w:rsidP="006151FD">
            <w:pPr>
              <w:pStyle w:val="enumlev1"/>
              <w:rPr>
                <w:lang w:val="fr-FR"/>
              </w:rPr>
            </w:pPr>
            <w:r>
              <w:rPr>
                <w:lang w:val="fr-FR"/>
              </w:rPr>
              <w:t>•</w:t>
            </w:r>
            <w:r>
              <w:rPr>
                <w:lang w:val="fr-FR"/>
              </w:rPr>
              <w:tab/>
            </w:r>
            <w:r w:rsidR="007B060C" w:rsidRPr="00712DC3">
              <w:rPr>
                <w:lang w:val="fr-FR"/>
              </w:rPr>
              <w:t>L</w:t>
            </w:r>
            <w:r w:rsidR="00712DC3" w:rsidRPr="00712DC3">
              <w:rPr>
                <w:lang w:val="fr-FR"/>
              </w:rPr>
              <w:t xml:space="preserve">e </w:t>
            </w:r>
            <w:r w:rsidR="00431AC4">
              <w:rPr>
                <w:lang w:val="fr-FR"/>
              </w:rPr>
              <w:t>R</w:t>
            </w:r>
            <w:r>
              <w:rPr>
                <w:lang w:val="fr-FR"/>
              </w:rPr>
              <w:t>èglement intérieur de l’</w:t>
            </w:r>
            <w:r w:rsidR="00712DC3" w:rsidRPr="00712DC3">
              <w:rPr>
                <w:lang w:val="fr-FR"/>
              </w:rPr>
              <w:t xml:space="preserve">UIT-D, </w:t>
            </w:r>
            <w:r>
              <w:rPr>
                <w:lang w:val="fr-FR"/>
              </w:rPr>
              <w:t>et</w:t>
            </w:r>
          </w:p>
          <w:p w:rsidR="00712DC3" w:rsidRPr="00712DC3" w:rsidRDefault="00712DC3" w:rsidP="006151FD">
            <w:pPr>
              <w:pStyle w:val="enumlev1"/>
            </w:pPr>
            <w:r w:rsidRPr="00712DC3">
              <w:t>•</w:t>
            </w:r>
            <w:r w:rsidRPr="00712DC3">
              <w:tab/>
            </w:r>
            <w:r w:rsidR="007B060C" w:rsidRPr="00712DC3">
              <w:t>L</w:t>
            </w:r>
            <w:r w:rsidRPr="00712DC3">
              <w:t xml:space="preserve">a rationalisation des </w:t>
            </w:r>
            <w:r w:rsidR="00431AC4">
              <w:t>R</w:t>
            </w:r>
            <w:r w:rsidRPr="00712DC3">
              <w:t>ésolutions de la CMDT</w:t>
            </w:r>
            <w:r w:rsidR="006151FD">
              <w:t>.</w:t>
            </w:r>
          </w:p>
          <w:p w:rsidR="00712DC3" w:rsidRPr="00712DC3" w:rsidRDefault="00712DC3" w:rsidP="006151FD">
            <w:r w:rsidRPr="00712DC3">
              <w:t>Les trois documents peuvent être consultés en ligne. Les membres de l'UIT sont encouragés à soumettre des contributions écrites sur ces projets d'ici à la fin juin 2016.</w:t>
            </w:r>
            <w:r w:rsidR="006151FD">
              <w:t xml:space="preserve"> </w:t>
            </w:r>
            <w:r w:rsidRPr="00712DC3">
              <w:t>Sur la base de ces contributions, le Président du Groupe de trav</w:t>
            </w:r>
            <w:r w:rsidR="006151FD">
              <w:t xml:space="preserve">ail par correspondance du GCDT modifiera, le cas échéant, </w:t>
            </w:r>
            <w:r w:rsidRPr="00712DC3">
              <w:t>les avant-projets de textes. Les av</w:t>
            </w:r>
            <w:r w:rsidR="006151FD">
              <w:t xml:space="preserve">ant-projets de textes révisés </w:t>
            </w:r>
            <w:r w:rsidRPr="00712DC3">
              <w:t>des trois d</w:t>
            </w:r>
            <w:r w:rsidR="006151FD">
              <w:t xml:space="preserve">ocuments et les résultats des </w:t>
            </w:r>
            <w:r w:rsidRPr="00712DC3">
              <w:t xml:space="preserve">travaux des deux autres </w:t>
            </w:r>
            <w:r w:rsidR="00431AC4">
              <w:t>G</w:t>
            </w:r>
            <w:r w:rsidRPr="00712DC3">
              <w:t>roupes de travail pa</w:t>
            </w:r>
            <w:r w:rsidR="006151FD">
              <w:t>r correspondance seront alors transmis aux</w:t>
            </w:r>
            <w:r w:rsidRPr="00712DC3">
              <w:t xml:space="preserve"> six </w:t>
            </w:r>
            <w:r w:rsidR="00431AC4">
              <w:t>R</w:t>
            </w:r>
            <w:r w:rsidR="006151FD">
              <w:t xml:space="preserve">éunions </w:t>
            </w:r>
            <w:r w:rsidRPr="00712DC3">
              <w:t>préparatoires régionales</w:t>
            </w:r>
            <w:r w:rsidR="00A27F03">
              <w:rPr>
                <w:szCs w:val="24"/>
                <w:lang w:val="fr-FR"/>
              </w:rPr>
              <w:t xml:space="preserve"> (RPM</w:t>
            </w:r>
            <w:r w:rsidRPr="00712DC3">
              <w:rPr>
                <w:szCs w:val="24"/>
                <w:lang w:val="fr-FR"/>
              </w:rPr>
              <w:t>)</w:t>
            </w:r>
            <w:r w:rsidR="00431AC4">
              <w:rPr>
                <w:szCs w:val="24"/>
                <w:lang w:val="fr-FR"/>
              </w:rPr>
              <w:t>,</w:t>
            </w:r>
            <w:r w:rsidRPr="00712DC3">
              <w:rPr>
                <w:szCs w:val="24"/>
                <w:lang w:val="fr-FR"/>
              </w:rPr>
              <w:t xml:space="preserve"> qui pourront formuler</w:t>
            </w:r>
            <w:r w:rsidR="006151FD">
              <w:rPr>
                <w:szCs w:val="24"/>
                <w:lang w:val="fr-FR"/>
              </w:rPr>
              <w:t xml:space="preserve"> </w:t>
            </w:r>
            <w:r w:rsidR="00431AC4">
              <w:rPr>
                <w:szCs w:val="24"/>
                <w:lang w:val="fr-FR"/>
              </w:rPr>
              <w:t>d’</w:t>
            </w:r>
            <w:r w:rsidRPr="00712DC3">
              <w:rPr>
                <w:szCs w:val="24"/>
                <w:lang w:val="fr-FR"/>
              </w:rPr>
              <w:t>autre</w:t>
            </w:r>
            <w:r w:rsidR="00431AC4">
              <w:rPr>
                <w:szCs w:val="24"/>
                <w:lang w:val="fr-FR"/>
              </w:rPr>
              <w:t>s</w:t>
            </w:r>
            <w:r w:rsidRPr="00712DC3">
              <w:rPr>
                <w:szCs w:val="24"/>
                <w:lang w:val="fr-FR"/>
              </w:rPr>
              <w:t xml:space="preserve"> </w:t>
            </w:r>
            <w:r w:rsidRPr="00712DC3">
              <w:rPr>
                <w:szCs w:val="24"/>
                <w:lang w:val="fr-FR"/>
              </w:rPr>
              <w:lastRenderedPageBreak/>
              <w:t>observation</w:t>
            </w:r>
            <w:r w:rsidR="00431AC4">
              <w:rPr>
                <w:szCs w:val="24"/>
                <w:lang w:val="fr-FR"/>
              </w:rPr>
              <w:t>s.</w:t>
            </w:r>
            <w:r w:rsidRPr="00712DC3">
              <w:rPr>
                <w:szCs w:val="24"/>
                <w:lang w:val="fr-FR"/>
              </w:rPr>
              <w:t xml:space="preserve"> </w:t>
            </w:r>
            <w:r w:rsidRPr="00712DC3">
              <w:t>Le</w:t>
            </w:r>
            <w:r w:rsidR="006151FD">
              <w:t xml:space="preserve"> thème proposé pour la CMDT-17 est le suivant</w:t>
            </w:r>
            <w:r w:rsidRPr="00712DC3">
              <w:t>: "</w:t>
            </w:r>
            <w:r w:rsidRPr="00712DC3">
              <w:rPr>
                <w:lang w:val="fr-FR"/>
              </w:rPr>
              <w:t>Les TIC au service des Objectifs de développement durable" ("ICT</w:t>
            </w:r>
            <w:r w:rsidRPr="00712DC3">
              <w:rPr>
                <w:rFonts w:ascii="Calibri" w:hAnsi="Calibri"/>
                <w:szCs w:val="24"/>
                <w:lang w:val="en-US"/>
              </w:rPr>
              <w:sym w:font="Wingdings" w:char="F084"/>
            </w:r>
            <w:r w:rsidR="00836390">
              <w:rPr>
                <w:lang w:val="fr-FR"/>
              </w:rPr>
              <w:t>ODD s")</w:t>
            </w:r>
            <w:r w:rsidRPr="00712DC3">
              <w:rPr>
                <w:lang w:val="fr-FR"/>
              </w:rPr>
              <w:t>.</w:t>
            </w:r>
            <w:r w:rsidR="00A27F03">
              <w:rPr>
                <w:lang w:val="fr-FR"/>
              </w:rPr>
              <w:t xml:space="preserve"> </w:t>
            </w:r>
            <w:r w:rsidRPr="00712DC3">
              <w:rPr>
                <w:lang w:val="fr-FR"/>
              </w:rPr>
              <w:t>Il témoignera au monde extérieur du</w:t>
            </w:r>
            <w:r w:rsidR="006151FD">
              <w:rPr>
                <w:lang w:val="fr-FR"/>
              </w:rPr>
              <w:t xml:space="preserve"> fait que l'UIT se conforme au </w:t>
            </w:r>
            <w:r w:rsidRPr="00712DC3">
              <w:t xml:space="preserve">Programme de développement durable à l'horizon 2030. </w:t>
            </w:r>
          </w:p>
          <w:p w:rsidR="00712DC3" w:rsidRPr="00712DC3" w:rsidRDefault="00712DC3" w:rsidP="00712DC3">
            <w:pPr>
              <w:rPr>
                <w:lang w:val="fr-FR"/>
              </w:rPr>
            </w:pPr>
            <w:r w:rsidRPr="00712DC3">
              <w:rPr>
                <w:lang w:val="fr-FR"/>
              </w:rPr>
              <w:t xml:space="preserve">Le projet d'ordre du jour de la CMDT-17 </w:t>
            </w:r>
            <w:r w:rsidR="006151FD">
              <w:rPr>
                <w:lang w:val="fr-FR"/>
              </w:rPr>
              <w:t xml:space="preserve">a été approuvé par le Conseil </w:t>
            </w:r>
            <w:r w:rsidRPr="00712DC3">
              <w:rPr>
                <w:lang w:val="fr-FR"/>
              </w:rPr>
              <w:t>de l'UIT à sa session</w:t>
            </w:r>
            <w:r w:rsidR="006151FD">
              <w:rPr>
                <w:lang w:val="fr-FR"/>
              </w:rPr>
              <w:t xml:space="preserve"> de 2016 </w:t>
            </w:r>
            <w:r w:rsidRPr="00712DC3">
              <w:rPr>
                <w:lang w:val="fr-FR"/>
              </w:rPr>
              <w:t>(Document C16/56), avec l'accord de la majorité des Etats Membres. Le site web de la CMDT</w:t>
            </w:r>
            <w:r w:rsidRPr="00712DC3">
              <w:rPr>
                <w:lang w:val="fr-FR"/>
              </w:rPr>
              <w:noBreakHyphen/>
              <w:t>17 a été créé et mis en place pour favoriser la diffusion d'informations (y compris de circulaires, de documents, de rapports et de contributions) aux Etats Membres et aux Membres du Secteur, afin de mieux faire connaître la Conférence.</w:t>
            </w:r>
          </w:p>
          <w:p w:rsidR="00712DC3" w:rsidRPr="00712DC3" w:rsidRDefault="00712DC3" w:rsidP="00712DC3">
            <w:pPr>
              <w:rPr>
                <w:rFonts w:cs="Segoe UI"/>
                <w:color w:val="000000"/>
                <w:lang w:val="fr-FR"/>
              </w:rPr>
            </w:pPr>
            <w:r w:rsidRPr="00712DC3">
              <w:rPr>
                <w:lang w:val="fr-FR"/>
              </w:rPr>
              <w:t>Pour assurer la coordination des planifications stratégique, financière et opérationnelle, conformément à la Résolution 72 (Rév. Busan, 2014) de la Conférence de plénipotentiaires, le processus préparatoire de la CMDT</w:t>
            </w:r>
            <w:r w:rsidRPr="00712DC3">
              <w:rPr>
                <w:lang w:val="fr-FR"/>
              </w:rPr>
              <w:noBreakHyphen/>
              <w:t>17 tient dûment compte des principes de la gestion axée sur les résultats.</w:t>
            </w:r>
          </w:p>
        </w:tc>
      </w:tr>
      <w:tr w:rsidR="00712DC3" w:rsidRPr="00712DC3" w:rsidTr="00D476A5">
        <w:tc>
          <w:tcPr>
            <w:tcW w:w="1543" w:type="pct"/>
            <w:tcBorders>
              <w:top w:val="single" w:sz="4" w:space="0" w:color="auto"/>
              <w:bottom w:val="single" w:sz="4" w:space="0" w:color="auto"/>
              <w:right w:val="single" w:sz="4" w:space="0" w:color="auto"/>
            </w:tcBorders>
          </w:tcPr>
          <w:p w:rsidR="00712DC3" w:rsidRPr="007B060C" w:rsidRDefault="00431AC4" w:rsidP="00712DC3">
            <w:pPr>
              <w:rPr>
                <w:i/>
                <w:iCs/>
                <w:szCs w:val="24"/>
              </w:rPr>
            </w:pPr>
            <w:r w:rsidRPr="007B060C">
              <w:rPr>
                <w:i/>
                <w:iCs/>
              </w:rPr>
              <w:lastRenderedPageBreak/>
              <w:t xml:space="preserve">Contribution aux cibles des ODD </w:t>
            </w:r>
          </w:p>
        </w:tc>
        <w:tc>
          <w:tcPr>
            <w:tcW w:w="3457" w:type="pct"/>
            <w:tcBorders>
              <w:top w:val="single" w:sz="4" w:space="0" w:color="auto"/>
              <w:left w:val="single" w:sz="4" w:space="0" w:color="auto"/>
              <w:bottom w:val="single" w:sz="4" w:space="0" w:color="auto"/>
            </w:tcBorders>
          </w:tcPr>
          <w:p w:rsidR="00712DC3" w:rsidRPr="00712DC3" w:rsidRDefault="006151FD" w:rsidP="00712DC3">
            <w:pPr>
              <w:rPr>
                <w:szCs w:val="24"/>
                <w:lang w:val="en-US"/>
              </w:rPr>
            </w:pPr>
            <w:r>
              <w:t>ODD</w:t>
            </w:r>
            <w:r w:rsidR="00712DC3" w:rsidRPr="00712DC3">
              <w:t>: 1, 3, (cible 3.d), 5, 10, 16 (cibles 16.5, 16.6, 16.8), 17 (cibles 17.9, 17.16, 17.17, 17.18, 17.19)</w:t>
            </w:r>
          </w:p>
        </w:tc>
      </w:tr>
      <w:tr w:rsidR="00712DC3" w:rsidRPr="00712DC3" w:rsidTr="00D476A5">
        <w:trPr>
          <w:trHeight w:val="397"/>
        </w:trPr>
        <w:tc>
          <w:tcPr>
            <w:tcW w:w="1543" w:type="pct"/>
            <w:tcBorders>
              <w:top w:val="single" w:sz="4" w:space="0" w:color="auto"/>
              <w:bottom w:val="single" w:sz="4" w:space="0" w:color="auto"/>
              <w:right w:val="single" w:sz="4" w:space="0" w:color="auto"/>
            </w:tcBorders>
          </w:tcPr>
          <w:p w:rsidR="00712DC3" w:rsidRPr="007B060C" w:rsidRDefault="00712DC3" w:rsidP="00712DC3">
            <w:pPr>
              <w:rPr>
                <w:i/>
                <w:iCs/>
                <w:szCs w:val="24"/>
              </w:rPr>
            </w:pPr>
            <w:r w:rsidRPr="007B060C">
              <w:rPr>
                <w:i/>
                <w:iCs/>
              </w:rPr>
              <w:t>Grandes orientations du SMSI</w:t>
            </w:r>
          </w:p>
        </w:tc>
        <w:tc>
          <w:tcPr>
            <w:tcW w:w="3457" w:type="pct"/>
            <w:tcBorders>
              <w:top w:val="single" w:sz="4" w:space="0" w:color="auto"/>
              <w:left w:val="single" w:sz="4" w:space="0" w:color="auto"/>
              <w:bottom w:val="single" w:sz="4" w:space="0" w:color="auto"/>
            </w:tcBorders>
          </w:tcPr>
          <w:p w:rsidR="00712DC3" w:rsidRPr="00712DC3" w:rsidRDefault="00712DC3" w:rsidP="00712DC3">
            <w:pPr>
              <w:rPr>
                <w:szCs w:val="24"/>
                <w:lang w:val="fr-FR"/>
              </w:rPr>
            </w:pPr>
            <w:r w:rsidRPr="00712DC3">
              <w:t xml:space="preserve">Grandes orientations </w:t>
            </w:r>
            <w:r w:rsidR="006151FD">
              <w:rPr>
                <w:szCs w:val="24"/>
                <w:lang w:val="fr-FR"/>
              </w:rPr>
              <w:t xml:space="preserve">C1 et </w:t>
            </w:r>
            <w:r w:rsidRPr="00712DC3">
              <w:rPr>
                <w:szCs w:val="24"/>
                <w:lang w:val="fr-FR"/>
              </w:rPr>
              <w:t>C11</w:t>
            </w:r>
            <w:r w:rsidRPr="00712DC3">
              <w:t xml:space="preserve"> du SMSI</w:t>
            </w:r>
          </w:p>
        </w:tc>
      </w:tr>
      <w:tr w:rsidR="00712DC3" w:rsidRPr="00712DC3" w:rsidTr="00D476A5">
        <w:tc>
          <w:tcPr>
            <w:tcW w:w="1543" w:type="pct"/>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t>Résolutions:</w:t>
            </w:r>
          </w:p>
        </w:tc>
        <w:tc>
          <w:tcPr>
            <w:tcW w:w="3457" w:type="pct"/>
            <w:tcBorders>
              <w:top w:val="single" w:sz="4" w:space="0" w:color="auto"/>
              <w:left w:val="single" w:sz="4" w:space="0" w:color="auto"/>
              <w:bottom w:val="single" w:sz="4" w:space="0" w:color="auto"/>
            </w:tcBorders>
          </w:tcPr>
          <w:p w:rsidR="00712DC3" w:rsidRPr="00712DC3" w:rsidRDefault="005024F4" w:rsidP="00712DC3">
            <w:pPr>
              <w:rPr>
                <w:lang w:val="fr-FR"/>
              </w:rPr>
            </w:pPr>
            <w:r>
              <w:rPr>
                <w:lang w:val="fr-FR"/>
              </w:rPr>
              <w:t>Décisions 5 et 13 de la PP</w:t>
            </w:r>
          </w:p>
          <w:p w:rsidR="00712DC3" w:rsidRPr="00712DC3" w:rsidRDefault="00712DC3" w:rsidP="00712DC3">
            <w:pPr>
              <w:rPr>
                <w:szCs w:val="24"/>
              </w:rPr>
            </w:pPr>
            <w:r w:rsidRPr="00712DC3">
              <w:rPr>
                <w:lang w:val="en-US"/>
              </w:rPr>
              <w:t xml:space="preserve">Résolutions </w:t>
            </w:r>
            <w:r w:rsidRPr="00712DC3">
              <w:rPr>
                <w:szCs w:val="24"/>
              </w:rPr>
              <w:t>25, 71, 72, 77, 111, 131, 133, 135, 139, 140, 151, 154, 165, 167, 172</w:t>
            </w:r>
            <w:r w:rsidRPr="00712DC3">
              <w:rPr>
                <w:lang w:val="en-US"/>
              </w:rPr>
              <w:t xml:space="preserve"> de la PP</w:t>
            </w:r>
          </w:p>
        </w:tc>
      </w:tr>
    </w:tbl>
    <w:p w:rsidR="00712DC3" w:rsidRPr="00712DC3" w:rsidRDefault="00712DC3" w:rsidP="006151FD">
      <w:pPr>
        <w:pStyle w:val="Heading2"/>
      </w:pPr>
      <w:r w:rsidRPr="00712DC3">
        <w:t>1.2</w:t>
      </w:r>
      <w:r w:rsidRPr="00712DC3">
        <w:tab/>
        <w:t>Réunions préparatoires régionales (RPM)</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2"/>
        <w:gridCol w:w="6657"/>
      </w:tblGrid>
      <w:tr w:rsidR="00712DC3" w:rsidRPr="00712DC3" w:rsidTr="00D476A5">
        <w:tc>
          <w:tcPr>
            <w:tcW w:w="9629" w:type="dxa"/>
            <w:gridSpan w:val="2"/>
            <w:tcBorders>
              <w:bottom w:val="single" w:sz="4" w:space="0" w:color="auto"/>
            </w:tcBorders>
          </w:tcPr>
          <w:p w:rsidR="00712DC3" w:rsidRPr="00712DC3" w:rsidRDefault="00712DC3" w:rsidP="00431AC4">
            <w:pPr>
              <w:rPr>
                <w:lang w:val="fr-FR"/>
              </w:rPr>
            </w:pPr>
            <w:r w:rsidRPr="00712DC3">
              <w:rPr>
                <w:lang w:val="fr-FR"/>
              </w:rPr>
              <w:t>Les RPM ont débuté en novembre 2016 avec l'organisation en République kirghize de la R</w:t>
            </w:r>
            <w:r w:rsidR="006151FD">
              <w:rPr>
                <w:lang w:val="fr-FR"/>
              </w:rPr>
              <w:t xml:space="preserve">PM pour les pays de la CEI et de la RPM </w:t>
            </w:r>
            <w:r w:rsidRPr="00712DC3">
              <w:rPr>
                <w:lang w:val="fr-FR"/>
              </w:rPr>
              <w:t>pour l'Afrique</w:t>
            </w:r>
            <w:r w:rsidR="006151FD">
              <w:rPr>
                <w:lang w:val="fr-FR"/>
              </w:rPr>
              <w:t xml:space="preserve"> au Rwanda en décembre 2016</w:t>
            </w:r>
            <w:r w:rsidRPr="00712DC3">
              <w:rPr>
                <w:lang w:val="fr-FR"/>
              </w:rPr>
              <w:t xml:space="preserve">. </w:t>
            </w:r>
            <w:r w:rsidR="00431AC4">
              <w:rPr>
                <w:lang w:val="fr-FR"/>
              </w:rPr>
              <w:t>C</w:t>
            </w:r>
            <w:r w:rsidRPr="00712DC3">
              <w:rPr>
                <w:lang w:val="fr-FR"/>
              </w:rPr>
              <w:t xml:space="preserve">es réunions ont pleinement </w:t>
            </w:r>
            <w:r w:rsidR="00431AC4">
              <w:rPr>
                <w:lang w:val="fr-FR"/>
              </w:rPr>
              <w:t>tiré parti des</w:t>
            </w:r>
            <w:r w:rsidRPr="00712DC3">
              <w:rPr>
                <w:lang w:val="fr-FR"/>
              </w:rPr>
              <w:t xml:space="preserve"> bureaux régionaux pour faciliter le processus préparatoire au niveau régional. Les sites web respectifs des RPM ont été conçus en juillet 2016 pour faciliter l'éch</w:t>
            </w:r>
            <w:r w:rsidR="006151FD">
              <w:rPr>
                <w:lang w:val="fr-FR"/>
              </w:rPr>
              <w:t xml:space="preserve">ange d'informations (y compris </w:t>
            </w:r>
            <w:r w:rsidRPr="00712DC3">
              <w:rPr>
                <w:lang w:val="fr-FR"/>
              </w:rPr>
              <w:t>le</w:t>
            </w:r>
            <w:r w:rsidR="006151FD">
              <w:rPr>
                <w:lang w:val="fr-FR"/>
              </w:rPr>
              <w:t>s</w:t>
            </w:r>
            <w:r w:rsidRPr="00712DC3">
              <w:rPr>
                <w:lang w:val="fr-FR"/>
              </w:rPr>
              <w:t xml:space="preserve"> Circulaires, les documents, les rapports et les</w:t>
            </w:r>
            <w:r w:rsidR="006151FD">
              <w:rPr>
                <w:lang w:val="fr-FR"/>
              </w:rPr>
              <w:t xml:space="preserve"> </w:t>
            </w:r>
            <w:r w:rsidRPr="00712DC3">
              <w:rPr>
                <w:lang w:val="fr-FR"/>
              </w:rPr>
              <w:t>contributions) avec les Etats Membres et les Membres du Secteur, de manière à mieux faire connaître les manifestations.</w:t>
            </w:r>
          </w:p>
        </w:tc>
      </w:tr>
      <w:tr w:rsidR="00712DC3" w:rsidRPr="00712DC3" w:rsidTr="00D476A5">
        <w:tc>
          <w:tcPr>
            <w:tcW w:w="2972" w:type="dxa"/>
            <w:tcBorders>
              <w:top w:val="single" w:sz="4" w:space="0" w:color="auto"/>
              <w:bottom w:val="single" w:sz="4" w:space="0" w:color="auto"/>
              <w:right w:val="single" w:sz="4" w:space="0" w:color="auto"/>
            </w:tcBorders>
          </w:tcPr>
          <w:p w:rsidR="00712DC3" w:rsidRPr="007B060C" w:rsidRDefault="00431AC4" w:rsidP="00712DC3">
            <w:pPr>
              <w:rPr>
                <w:i/>
                <w:iCs/>
                <w:szCs w:val="24"/>
              </w:rPr>
            </w:pPr>
            <w:r w:rsidRPr="007B060C">
              <w:rPr>
                <w:i/>
                <w:iCs/>
              </w:rPr>
              <w:t xml:space="preserve">Contribution aux cibles des ODD </w:t>
            </w:r>
          </w:p>
        </w:tc>
        <w:tc>
          <w:tcPr>
            <w:tcW w:w="6657" w:type="dxa"/>
            <w:tcBorders>
              <w:top w:val="single" w:sz="4" w:space="0" w:color="auto"/>
              <w:left w:val="single" w:sz="4" w:space="0" w:color="auto"/>
              <w:bottom w:val="single" w:sz="4" w:space="0" w:color="auto"/>
            </w:tcBorders>
          </w:tcPr>
          <w:p w:rsidR="00712DC3" w:rsidRPr="00712DC3" w:rsidRDefault="006151FD" w:rsidP="00712DC3">
            <w:pPr>
              <w:rPr>
                <w:szCs w:val="24"/>
                <w:lang w:val="en-US"/>
              </w:rPr>
            </w:pPr>
            <w:r>
              <w:t>ODD</w:t>
            </w:r>
            <w:r w:rsidR="00712DC3" w:rsidRPr="00712DC3">
              <w:t>: 1, 3, (cible 3.d), 5, 10, 16 (cibles 16.5, 16.6, 16.8), 17 (cibles 17.9, 17.16, 17.17, 17.18, 17.19)</w:t>
            </w:r>
          </w:p>
        </w:tc>
      </w:tr>
      <w:tr w:rsidR="00712DC3" w:rsidRPr="00712DC3" w:rsidTr="00D476A5">
        <w:trPr>
          <w:trHeight w:val="397"/>
        </w:trPr>
        <w:tc>
          <w:tcPr>
            <w:tcW w:w="2972" w:type="dxa"/>
            <w:tcBorders>
              <w:top w:val="single" w:sz="4" w:space="0" w:color="auto"/>
              <w:bottom w:val="single" w:sz="4" w:space="0" w:color="auto"/>
              <w:right w:val="single" w:sz="4" w:space="0" w:color="auto"/>
            </w:tcBorders>
          </w:tcPr>
          <w:p w:rsidR="00712DC3" w:rsidRPr="007B060C" w:rsidRDefault="00712DC3" w:rsidP="00712DC3">
            <w:pPr>
              <w:rPr>
                <w:i/>
                <w:iCs/>
                <w:szCs w:val="24"/>
              </w:rPr>
            </w:pPr>
            <w:r w:rsidRPr="007B060C">
              <w:rPr>
                <w:i/>
                <w:iCs/>
              </w:rPr>
              <w:t>Grandes orientations du SMSI</w:t>
            </w:r>
          </w:p>
        </w:tc>
        <w:tc>
          <w:tcPr>
            <w:tcW w:w="6657" w:type="dxa"/>
            <w:tcBorders>
              <w:top w:val="single" w:sz="4" w:space="0" w:color="auto"/>
              <w:left w:val="single" w:sz="4" w:space="0" w:color="auto"/>
              <w:bottom w:val="single" w:sz="4" w:space="0" w:color="auto"/>
            </w:tcBorders>
          </w:tcPr>
          <w:p w:rsidR="00712DC3" w:rsidRPr="00712DC3" w:rsidRDefault="00712DC3" w:rsidP="00712DC3">
            <w:pPr>
              <w:rPr>
                <w:szCs w:val="24"/>
                <w:lang w:val="fr-FR"/>
              </w:rPr>
            </w:pPr>
            <w:r w:rsidRPr="00712DC3">
              <w:t xml:space="preserve">Grandes orientations </w:t>
            </w:r>
            <w:r w:rsidRPr="00712DC3">
              <w:rPr>
                <w:szCs w:val="24"/>
                <w:lang w:val="fr-FR"/>
              </w:rPr>
              <w:t>C1</w:t>
            </w:r>
            <w:r w:rsidR="00836390">
              <w:rPr>
                <w:szCs w:val="24"/>
                <w:lang w:val="fr-FR"/>
              </w:rPr>
              <w:t xml:space="preserve"> </w:t>
            </w:r>
            <w:r w:rsidRPr="00712DC3">
              <w:rPr>
                <w:szCs w:val="24"/>
                <w:lang w:val="fr-FR"/>
              </w:rPr>
              <w:t xml:space="preserve">et C11 </w:t>
            </w:r>
            <w:r w:rsidRPr="00712DC3">
              <w:t>du SMSI</w:t>
            </w:r>
          </w:p>
        </w:tc>
      </w:tr>
      <w:tr w:rsidR="00712DC3" w:rsidRPr="00712DC3" w:rsidTr="00D476A5">
        <w:tc>
          <w:tcPr>
            <w:tcW w:w="2972" w:type="dxa"/>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t>Résolutions:</w:t>
            </w:r>
          </w:p>
        </w:tc>
        <w:tc>
          <w:tcPr>
            <w:tcW w:w="6657" w:type="dxa"/>
            <w:tcBorders>
              <w:top w:val="single" w:sz="4" w:space="0" w:color="auto"/>
              <w:left w:val="single" w:sz="4" w:space="0" w:color="auto"/>
              <w:bottom w:val="single" w:sz="4" w:space="0" w:color="auto"/>
            </w:tcBorders>
          </w:tcPr>
          <w:p w:rsidR="00712DC3" w:rsidRPr="006151FD" w:rsidRDefault="005024F4" w:rsidP="00712DC3">
            <w:pPr>
              <w:rPr>
                <w:bCs/>
                <w:lang w:val="fr-FR"/>
              </w:rPr>
            </w:pPr>
            <w:r>
              <w:rPr>
                <w:bCs/>
                <w:lang w:val="fr-FR"/>
              </w:rPr>
              <w:t>Décisions 5 et 13 de la PP</w:t>
            </w:r>
          </w:p>
          <w:p w:rsidR="00712DC3" w:rsidRPr="00712DC3" w:rsidRDefault="00712DC3" w:rsidP="00712DC3">
            <w:pPr>
              <w:rPr>
                <w:szCs w:val="24"/>
              </w:rPr>
            </w:pPr>
            <w:r w:rsidRPr="006151FD">
              <w:rPr>
                <w:bCs/>
                <w:lang w:val="en-US"/>
              </w:rPr>
              <w:t>Résolutions</w:t>
            </w:r>
            <w:r w:rsidR="00836390">
              <w:rPr>
                <w:bCs/>
                <w:lang w:val="en-US"/>
              </w:rPr>
              <w:t xml:space="preserve"> </w:t>
            </w:r>
            <w:r w:rsidRPr="006151FD">
              <w:rPr>
                <w:bCs/>
                <w:lang w:val="en-US"/>
              </w:rPr>
              <w:t>25, 71, 111, 135, 140, 165, 167, 172 de la PP</w:t>
            </w:r>
          </w:p>
        </w:tc>
      </w:tr>
    </w:tbl>
    <w:p w:rsidR="00712DC3" w:rsidRPr="00712DC3" w:rsidRDefault="00712DC3" w:rsidP="006151FD">
      <w:pPr>
        <w:pStyle w:val="Heading2"/>
        <w:rPr>
          <w:lang w:val="fr-FR"/>
        </w:rPr>
      </w:pPr>
      <w:bookmarkStart w:id="5" w:name="_Toc468087088"/>
      <w:r w:rsidRPr="00712DC3">
        <w:rPr>
          <w:lang w:val="fr-FR"/>
        </w:rPr>
        <w:t>1.3</w:t>
      </w:r>
      <w:r w:rsidRPr="00712DC3">
        <w:rPr>
          <w:lang w:val="fr-FR"/>
        </w:rPr>
        <w:tab/>
      </w:r>
      <w:bookmarkStart w:id="6" w:name="_Toc467807689"/>
      <w:r w:rsidRPr="00712DC3">
        <w:rPr>
          <w:lang w:val="fr-FR"/>
        </w:rPr>
        <w:t>Groupe consultatif pour le développement des télécommunications (GCDT)</w:t>
      </w:r>
      <w:bookmarkEnd w:id="5"/>
      <w:bookmarkEnd w:id="6"/>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2"/>
        <w:gridCol w:w="6657"/>
      </w:tblGrid>
      <w:tr w:rsidR="00712DC3" w:rsidRPr="00712DC3" w:rsidTr="00D476A5">
        <w:tc>
          <w:tcPr>
            <w:tcW w:w="9629" w:type="dxa"/>
            <w:gridSpan w:val="2"/>
            <w:tcBorders>
              <w:bottom w:val="single" w:sz="4" w:space="0" w:color="auto"/>
            </w:tcBorders>
          </w:tcPr>
          <w:p w:rsidR="00712DC3" w:rsidRPr="00712DC3" w:rsidRDefault="00712DC3" w:rsidP="006151FD">
            <w:pPr>
              <w:rPr>
                <w:lang w:val="fr-FR"/>
              </w:rPr>
            </w:pPr>
            <w:r w:rsidRPr="00712DC3">
              <w:rPr>
                <w:lang w:val="fr-FR"/>
              </w:rPr>
              <w:t xml:space="preserve">Le Groupe consultatif pour le développement des télécommunications (GCDT) a tenu sa 21ème réunion du 16 au 18 mars 2016 au siège de l'UIT à Genève. </w:t>
            </w:r>
            <w:r w:rsidRPr="00712DC3">
              <w:rPr>
                <w:szCs w:val="24"/>
                <w:lang w:val="fr-FR"/>
              </w:rPr>
              <w:t>Au c</w:t>
            </w:r>
            <w:r w:rsidR="006151FD">
              <w:rPr>
                <w:szCs w:val="24"/>
                <w:lang w:val="fr-FR"/>
              </w:rPr>
              <w:t xml:space="preserve">ours de cette </w:t>
            </w:r>
            <w:r w:rsidR="006A2D50">
              <w:rPr>
                <w:szCs w:val="24"/>
                <w:lang w:val="fr-FR"/>
              </w:rPr>
              <w:t>réunion</w:t>
            </w:r>
            <w:r w:rsidR="006151FD">
              <w:rPr>
                <w:szCs w:val="24"/>
                <w:lang w:val="fr-FR"/>
              </w:rPr>
              <w:t>, le GCDT</w:t>
            </w:r>
            <w:r w:rsidRPr="00712DC3">
              <w:rPr>
                <w:szCs w:val="24"/>
                <w:lang w:val="fr-FR"/>
              </w:rPr>
              <w:t xml:space="preserve"> a commenc</w:t>
            </w:r>
            <w:r w:rsidR="006151FD">
              <w:rPr>
                <w:szCs w:val="24"/>
                <w:lang w:val="fr-FR"/>
              </w:rPr>
              <w:t>é les préparatifs en vue de la CMDT-17</w:t>
            </w:r>
            <w:r w:rsidRPr="00712DC3">
              <w:rPr>
                <w:szCs w:val="24"/>
                <w:lang w:val="fr-FR"/>
              </w:rPr>
              <w:t xml:space="preserve">, comme indiqué </w:t>
            </w:r>
            <w:r w:rsidR="006A2D50" w:rsidRPr="00712DC3">
              <w:rPr>
                <w:szCs w:val="24"/>
                <w:lang w:val="fr-FR"/>
              </w:rPr>
              <w:t>ci-dessous</w:t>
            </w:r>
            <w:r w:rsidRPr="00712DC3">
              <w:rPr>
                <w:szCs w:val="24"/>
                <w:lang w:val="fr-FR"/>
              </w:rPr>
              <w:t xml:space="preserve">, et </w:t>
            </w:r>
            <w:r w:rsidR="006151FD">
              <w:rPr>
                <w:szCs w:val="24"/>
                <w:lang w:val="fr-FR"/>
              </w:rPr>
              <w:t>a</w:t>
            </w:r>
            <w:r w:rsidRPr="00712DC3">
              <w:rPr>
                <w:szCs w:val="24"/>
                <w:lang w:val="fr-FR"/>
              </w:rPr>
              <w:t xml:space="preserve"> examin</w:t>
            </w:r>
            <w:r w:rsidR="006151FD">
              <w:rPr>
                <w:szCs w:val="24"/>
                <w:lang w:val="fr-FR"/>
              </w:rPr>
              <w:t>é</w:t>
            </w:r>
            <w:r w:rsidRPr="00712DC3">
              <w:rPr>
                <w:szCs w:val="24"/>
                <w:lang w:val="fr-FR"/>
              </w:rPr>
              <w:t>:</w:t>
            </w:r>
          </w:p>
          <w:p w:rsidR="00712DC3" w:rsidRPr="00712DC3" w:rsidRDefault="00712DC3" w:rsidP="006151FD">
            <w:pPr>
              <w:pStyle w:val="enumlev1"/>
              <w:rPr>
                <w:lang w:val="fr-FR"/>
              </w:rPr>
            </w:pPr>
            <w:r w:rsidRPr="00712DC3">
              <w:rPr>
                <w:lang w:val="fr-FR"/>
              </w:rPr>
              <w:t>–</w:t>
            </w:r>
            <w:r w:rsidRPr="00712DC3">
              <w:rPr>
                <w:lang w:val="fr-FR"/>
              </w:rPr>
              <w:tab/>
            </w:r>
            <w:r w:rsidRPr="00712DC3">
              <w:rPr>
                <w:szCs w:val="24"/>
                <w:lang w:val="fr-FR"/>
              </w:rPr>
              <w:t xml:space="preserve">les préparatifs en vue </w:t>
            </w:r>
            <w:r w:rsidRPr="00712DC3">
              <w:rPr>
                <w:lang w:val="fr-FR"/>
              </w:rPr>
              <w:t xml:space="preserve">de la septième Conférence mondiale de développement des télécommunications de l'UIT (CMDT-17), qui aura lieu au dernier </w:t>
            </w:r>
            <w:r w:rsidR="006151FD">
              <w:rPr>
                <w:lang w:val="fr-FR"/>
              </w:rPr>
              <w:t xml:space="preserve">trimestre de 2017. Les </w:t>
            </w:r>
            <w:r w:rsidR="006151FD">
              <w:rPr>
                <w:lang w:val="fr-FR"/>
              </w:rPr>
              <w:lastRenderedPageBreak/>
              <w:t xml:space="preserve">travaux ont déjà bien avancé </w:t>
            </w:r>
            <w:r w:rsidRPr="00712DC3">
              <w:rPr>
                <w:lang w:val="fr-FR"/>
              </w:rPr>
              <w:t xml:space="preserve">en ce qui concerne la tenue des six réunions régionales préparatoires en vue de la CMDT-17, ainsi que des Forums régionaux de développement au cours du dernier trimestre de 2016 </w:t>
            </w:r>
            <w:r w:rsidR="007B060C">
              <w:rPr>
                <w:lang w:val="fr-FR"/>
              </w:rPr>
              <w:t>et du premier trimestre de 2017.</w:t>
            </w:r>
          </w:p>
          <w:p w:rsidR="00712DC3" w:rsidRPr="00712DC3" w:rsidRDefault="00712DC3" w:rsidP="006151FD">
            <w:pPr>
              <w:pStyle w:val="enumlev1"/>
              <w:rPr>
                <w:lang w:val="fr-FR"/>
              </w:rPr>
            </w:pPr>
            <w:r w:rsidRPr="00712DC3">
              <w:rPr>
                <w:lang w:val="fr-FR"/>
              </w:rPr>
              <w:t>–</w:t>
            </w:r>
            <w:r w:rsidRPr="00712DC3">
              <w:rPr>
                <w:lang w:val="fr-FR"/>
              </w:rPr>
              <w:tab/>
              <w:t>Mise en œuvre du Plan stratégique et du Plan opérationnel de l'UIT-D pour 2015, y com</w:t>
            </w:r>
            <w:r w:rsidR="007B060C">
              <w:rPr>
                <w:lang w:val="fr-FR"/>
              </w:rPr>
              <w:t>pris les initiatives régionales.</w:t>
            </w:r>
          </w:p>
          <w:p w:rsidR="00712DC3" w:rsidRPr="00712DC3" w:rsidRDefault="00712DC3" w:rsidP="006151FD">
            <w:pPr>
              <w:pStyle w:val="enumlev1"/>
              <w:rPr>
                <w:lang w:val="fr-FR"/>
              </w:rPr>
            </w:pPr>
            <w:r w:rsidRPr="00712DC3">
              <w:rPr>
                <w:lang w:val="fr-FR"/>
              </w:rPr>
              <w:t>–</w:t>
            </w:r>
            <w:r w:rsidRPr="00712DC3">
              <w:rPr>
                <w:lang w:val="fr-FR"/>
              </w:rPr>
              <w:tab/>
              <w:t>Plan opérationnel quadriennal glissant de l'UIT-D pour</w:t>
            </w:r>
            <w:r w:rsidR="007A5E17">
              <w:rPr>
                <w:lang w:val="fr-FR"/>
              </w:rPr>
              <w:t xml:space="preserve"> </w:t>
            </w:r>
            <w:r w:rsidR="006151FD">
              <w:rPr>
                <w:lang w:val="fr-FR"/>
              </w:rPr>
              <w:t xml:space="preserve">la période </w:t>
            </w:r>
            <w:r w:rsidRPr="00712DC3">
              <w:rPr>
                <w:lang w:val="fr-FR"/>
              </w:rPr>
              <w:t>2017-2020, y compris un rapport d'activité établi par le Groupe de travail par correspondance du GCDT sur le Plan stratégique, le Plan</w:t>
            </w:r>
            <w:r w:rsidR="007B060C">
              <w:rPr>
                <w:lang w:val="fr-FR"/>
              </w:rPr>
              <w:t xml:space="preserve"> opérationnel et la Déclaration.</w:t>
            </w:r>
          </w:p>
          <w:p w:rsidR="00712DC3" w:rsidRPr="00712DC3" w:rsidRDefault="00712DC3" w:rsidP="006151FD">
            <w:pPr>
              <w:pStyle w:val="enumlev1"/>
              <w:rPr>
                <w:lang w:val="fr-FR"/>
              </w:rPr>
            </w:pPr>
            <w:r w:rsidRPr="00712DC3">
              <w:rPr>
                <w:lang w:val="fr-FR"/>
              </w:rPr>
              <w:t>–</w:t>
            </w:r>
            <w:r w:rsidRPr="00712DC3">
              <w:rPr>
                <w:lang w:val="fr-FR"/>
              </w:rPr>
              <w:tab/>
            </w:r>
            <w:r w:rsidR="007B060C" w:rsidRPr="00712DC3">
              <w:rPr>
                <w:lang w:val="fr-FR"/>
              </w:rPr>
              <w:t>C</w:t>
            </w:r>
            <w:r w:rsidRPr="00712DC3">
              <w:rPr>
                <w:lang w:val="fr-FR"/>
              </w:rPr>
              <w:t xml:space="preserve">ontribution de l'UIT-D à la mise en œuvre du Plan d'action du SMSI, y compris en ce qui concerne l'examen d'ensemble mené par l'Assemblée générale des Nations Unies et les Objectifs </w:t>
            </w:r>
            <w:r w:rsidR="007B060C">
              <w:rPr>
                <w:lang w:val="fr-FR"/>
              </w:rPr>
              <w:t>de développement durable.</w:t>
            </w:r>
          </w:p>
          <w:p w:rsidR="00712DC3" w:rsidRPr="00712DC3" w:rsidRDefault="00836390" w:rsidP="006151FD">
            <w:pPr>
              <w:pStyle w:val="enumlev1"/>
              <w:rPr>
                <w:lang w:val="fr-FR"/>
              </w:rPr>
            </w:pPr>
            <w:r>
              <w:rPr>
                <w:lang w:val="fr-FR"/>
              </w:rPr>
              <w:t>–</w:t>
            </w:r>
            <w:r>
              <w:rPr>
                <w:lang w:val="fr-FR"/>
              </w:rPr>
              <w:tab/>
            </w:r>
            <w:r w:rsidR="007B060C" w:rsidRPr="00712DC3">
              <w:rPr>
                <w:lang w:val="fr-FR"/>
              </w:rPr>
              <w:t>M</w:t>
            </w:r>
            <w:r w:rsidR="00712DC3" w:rsidRPr="00712DC3">
              <w:rPr>
                <w:lang w:val="fr-FR"/>
              </w:rPr>
              <w:t>éthodes de travail, y compris un rapport d'activité établi par le Groupe de travail par correspondance du GCDT sur le Règlement intérieur de l'</w:t>
            </w:r>
            <w:r w:rsidR="007B060C">
              <w:rPr>
                <w:lang w:val="fr-FR"/>
              </w:rPr>
              <w:t>UIT-D (Résolution 1 de la CMDT).</w:t>
            </w:r>
          </w:p>
          <w:p w:rsidR="00712DC3" w:rsidRPr="00712DC3" w:rsidRDefault="00712DC3" w:rsidP="006151FD">
            <w:pPr>
              <w:pStyle w:val="enumlev1"/>
              <w:rPr>
                <w:lang w:val="fr-FR"/>
              </w:rPr>
            </w:pPr>
            <w:r w:rsidRPr="00712DC3">
              <w:rPr>
                <w:lang w:val="fr-FR"/>
              </w:rPr>
              <w:t>–</w:t>
            </w:r>
            <w:r w:rsidRPr="00712DC3">
              <w:rPr>
                <w:lang w:val="fr-FR"/>
              </w:rPr>
              <w:tab/>
              <w:t>Collaboration avec les autres Secteurs, y compris élaboration d'un rapport d'activité sur l'</w:t>
            </w:r>
            <w:r w:rsidR="007A5E17">
              <w:rPr>
                <w:lang w:val="fr-FR"/>
              </w:rPr>
              <w:t>E</w:t>
            </w:r>
            <w:r w:rsidRPr="00712DC3">
              <w:rPr>
                <w:lang w:val="fr-FR"/>
              </w:rPr>
              <w:t xml:space="preserve">quipe de coordination intersectorielle sur </w:t>
            </w:r>
            <w:r w:rsidR="007B060C">
              <w:rPr>
                <w:lang w:val="fr-FR"/>
              </w:rPr>
              <w:t>des questions d'intérêt mutuel.</w:t>
            </w:r>
          </w:p>
          <w:p w:rsidR="00712DC3" w:rsidRPr="00712DC3" w:rsidRDefault="00836390" w:rsidP="006151FD">
            <w:pPr>
              <w:pStyle w:val="enumlev1"/>
              <w:rPr>
                <w:lang w:val="fr-FR"/>
              </w:rPr>
            </w:pPr>
            <w:r>
              <w:rPr>
                <w:lang w:val="fr-FR"/>
              </w:rPr>
              <w:t>–</w:t>
            </w:r>
            <w:r>
              <w:rPr>
                <w:lang w:val="fr-FR"/>
              </w:rPr>
              <w:tab/>
            </w:r>
            <w:r w:rsidR="007B060C" w:rsidRPr="00712DC3">
              <w:rPr>
                <w:lang w:val="fr-FR"/>
              </w:rPr>
              <w:t>Q</w:t>
            </w:r>
            <w:r w:rsidR="00712DC3" w:rsidRPr="00712DC3">
              <w:rPr>
                <w:lang w:val="fr-FR"/>
              </w:rPr>
              <w:t xml:space="preserve">uestions relatives aux </w:t>
            </w:r>
            <w:r w:rsidR="007B060C">
              <w:rPr>
                <w:lang w:val="fr-FR"/>
              </w:rPr>
              <w:t>commissions d'études de l'UIT-D.</w:t>
            </w:r>
          </w:p>
          <w:p w:rsidR="00712DC3" w:rsidRPr="00712DC3" w:rsidRDefault="00836390" w:rsidP="006151FD">
            <w:pPr>
              <w:pStyle w:val="enumlev1"/>
              <w:rPr>
                <w:lang w:val="fr-FR"/>
              </w:rPr>
            </w:pPr>
            <w:r>
              <w:rPr>
                <w:lang w:val="fr-FR"/>
              </w:rPr>
              <w:t>–</w:t>
            </w:r>
            <w:r>
              <w:rPr>
                <w:lang w:val="fr-FR"/>
              </w:rPr>
              <w:tab/>
            </w:r>
            <w:r w:rsidR="007B060C" w:rsidRPr="00712DC3">
              <w:rPr>
                <w:lang w:val="fr-FR"/>
              </w:rPr>
              <w:t>Q</w:t>
            </w:r>
            <w:r w:rsidR="00712DC3" w:rsidRPr="00712DC3">
              <w:rPr>
                <w:lang w:val="fr-FR"/>
              </w:rPr>
              <w:t>uestions relatives aux membres, aux</w:t>
            </w:r>
            <w:r w:rsidR="007B060C">
              <w:rPr>
                <w:lang w:val="fr-FR"/>
              </w:rPr>
              <w:t xml:space="preserve"> partenariats et à l'innovation.</w:t>
            </w:r>
          </w:p>
          <w:p w:rsidR="00712DC3" w:rsidRPr="00712DC3" w:rsidRDefault="00836390" w:rsidP="00836390">
            <w:pPr>
              <w:pStyle w:val="enumlev1"/>
              <w:rPr>
                <w:lang w:val="fr-FR"/>
              </w:rPr>
            </w:pPr>
            <w:r>
              <w:rPr>
                <w:lang w:val="fr-FR"/>
              </w:rPr>
              <w:t>–</w:t>
            </w:r>
            <w:r>
              <w:rPr>
                <w:lang w:val="fr-FR"/>
              </w:rPr>
              <w:tab/>
            </w:r>
            <w:r w:rsidR="007B060C" w:rsidRPr="00712DC3">
              <w:rPr>
                <w:lang w:val="fr-FR"/>
              </w:rPr>
              <w:t>R</w:t>
            </w:r>
            <w:r w:rsidR="00712DC3" w:rsidRPr="00712DC3">
              <w:rPr>
                <w:lang w:val="fr-FR"/>
              </w:rPr>
              <w:t>ésultats de l'Assemblée des radiocommunications (26-30 octobre 2015) et de la Conférence mondiale des radiocommunications (2-27 novembre 2015) ayant des incidences sur les travaux de l'UIT-D</w:t>
            </w:r>
            <w:r w:rsidR="007B060C">
              <w:rPr>
                <w:lang w:val="fr-FR"/>
              </w:rPr>
              <w:t>.</w:t>
            </w:r>
          </w:p>
          <w:p w:rsidR="00712DC3" w:rsidRPr="00712DC3" w:rsidRDefault="00712DC3" w:rsidP="006151FD">
            <w:pPr>
              <w:pStyle w:val="enumlev1"/>
              <w:rPr>
                <w:lang w:val="fr-FR"/>
              </w:rPr>
            </w:pPr>
            <w:r w:rsidRPr="00712DC3">
              <w:rPr>
                <w:lang w:val="fr-FR"/>
              </w:rPr>
              <w:t>–</w:t>
            </w:r>
            <w:r w:rsidRPr="00712DC3">
              <w:rPr>
                <w:lang w:val="fr-FR"/>
              </w:rPr>
              <w:tab/>
              <w:t>Les trois réunions suivantes ont eu lieu le 15 mars 2016, la veille de la réunion du GCDT:</w:t>
            </w:r>
          </w:p>
          <w:p w:rsidR="00712DC3" w:rsidRPr="00712DC3" w:rsidRDefault="00712DC3" w:rsidP="00836390">
            <w:pPr>
              <w:pStyle w:val="enumlev2"/>
              <w:rPr>
                <w:lang w:val="fr-FR"/>
              </w:rPr>
            </w:pPr>
            <w:r w:rsidRPr="00712DC3">
              <w:rPr>
                <w:lang w:val="fr-FR"/>
              </w:rPr>
              <w:t>•</w:t>
            </w:r>
            <w:r w:rsidRPr="00712DC3">
              <w:rPr>
                <w:lang w:val="fr-FR"/>
              </w:rPr>
              <w:tab/>
              <w:t>Groupe de travail par correspondance sur le Règlement intérieur du Secteur du développement des télécommunications de l'UIT (UIT-D) (Résolution 1 de la CMDT).</w:t>
            </w:r>
          </w:p>
          <w:p w:rsidR="00712DC3" w:rsidRPr="00712DC3" w:rsidRDefault="00712DC3" w:rsidP="00836390">
            <w:pPr>
              <w:pStyle w:val="enumlev2"/>
              <w:rPr>
                <w:lang w:val="fr-FR"/>
              </w:rPr>
            </w:pPr>
            <w:r w:rsidRPr="00712DC3">
              <w:rPr>
                <w:lang w:val="fr-FR"/>
              </w:rPr>
              <w:t>•</w:t>
            </w:r>
            <w:r w:rsidRPr="00712DC3">
              <w:rPr>
                <w:lang w:val="fr-FR"/>
              </w:rPr>
              <w:tab/>
              <w:t>Groupe de travail par correspondance sur le Plan stratégique, le Plan opérationnel et la Déclaration.</w:t>
            </w:r>
          </w:p>
          <w:p w:rsidR="00712DC3" w:rsidRPr="00712DC3" w:rsidRDefault="00712DC3" w:rsidP="00836390">
            <w:pPr>
              <w:pStyle w:val="enumlev2"/>
              <w:rPr>
                <w:lang w:val="fr-FR"/>
              </w:rPr>
            </w:pPr>
            <w:r w:rsidRPr="00712DC3">
              <w:rPr>
                <w:lang w:val="fr-FR"/>
              </w:rPr>
              <w:t>•</w:t>
            </w:r>
            <w:r w:rsidRPr="00712DC3">
              <w:rPr>
                <w:lang w:val="fr-FR"/>
              </w:rPr>
              <w:tab/>
              <w:t>Equipe de coordination intersectorielle sur des questions d'intérêt mutuel.</w:t>
            </w:r>
          </w:p>
        </w:tc>
      </w:tr>
      <w:tr w:rsidR="00712DC3" w:rsidRPr="00712DC3" w:rsidTr="00D476A5">
        <w:tc>
          <w:tcPr>
            <w:tcW w:w="2972" w:type="dxa"/>
            <w:tcBorders>
              <w:top w:val="single" w:sz="4" w:space="0" w:color="auto"/>
              <w:bottom w:val="single" w:sz="4" w:space="0" w:color="auto"/>
              <w:right w:val="single" w:sz="4" w:space="0" w:color="auto"/>
            </w:tcBorders>
          </w:tcPr>
          <w:p w:rsidR="00712DC3" w:rsidRPr="007B060C" w:rsidRDefault="00431AC4" w:rsidP="00712DC3">
            <w:pPr>
              <w:rPr>
                <w:i/>
                <w:iCs/>
                <w:szCs w:val="24"/>
              </w:rPr>
            </w:pPr>
            <w:r w:rsidRPr="007B060C">
              <w:rPr>
                <w:i/>
                <w:iCs/>
              </w:rPr>
              <w:lastRenderedPageBreak/>
              <w:t xml:space="preserve">Contribution aux cibles des ODD </w:t>
            </w:r>
          </w:p>
        </w:tc>
        <w:tc>
          <w:tcPr>
            <w:tcW w:w="6657" w:type="dxa"/>
            <w:tcBorders>
              <w:top w:val="single" w:sz="4" w:space="0" w:color="auto"/>
              <w:left w:val="single" w:sz="4" w:space="0" w:color="auto"/>
              <w:bottom w:val="single" w:sz="4" w:space="0" w:color="auto"/>
            </w:tcBorders>
          </w:tcPr>
          <w:p w:rsidR="00712DC3" w:rsidRPr="00712DC3" w:rsidRDefault="00836390" w:rsidP="00712DC3">
            <w:pPr>
              <w:rPr>
                <w:szCs w:val="24"/>
                <w:lang w:val="en-US"/>
              </w:rPr>
            </w:pPr>
            <w:r>
              <w:t>ODD</w:t>
            </w:r>
            <w:r w:rsidR="00712DC3" w:rsidRPr="00712DC3">
              <w:t>: 1, 3, (cible 3.d), 5, 10, 16 (cibles 16.5, 16.6, 16.8), 17 (cibles 17.9, 17.16, 17.17, 17.18, 17.19)</w:t>
            </w:r>
          </w:p>
        </w:tc>
      </w:tr>
      <w:tr w:rsidR="00712DC3" w:rsidRPr="00712DC3" w:rsidTr="00D476A5">
        <w:trPr>
          <w:trHeight w:val="397"/>
        </w:trPr>
        <w:tc>
          <w:tcPr>
            <w:tcW w:w="2972" w:type="dxa"/>
            <w:tcBorders>
              <w:top w:val="single" w:sz="4" w:space="0" w:color="auto"/>
              <w:bottom w:val="single" w:sz="4" w:space="0" w:color="auto"/>
              <w:right w:val="single" w:sz="4" w:space="0" w:color="auto"/>
            </w:tcBorders>
          </w:tcPr>
          <w:p w:rsidR="00712DC3" w:rsidRPr="007B060C" w:rsidRDefault="00712DC3" w:rsidP="00712DC3">
            <w:pPr>
              <w:rPr>
                <w:i/>
                <w:iCs/>
                <w:szCs w:val="24"/>
              </w:rPr>
            </w:pPr>
            <w:r w:rsidRPr="007B060C">
              <w:rPr>
                <w:i/>
                <w:iCs/>
              </w:rPr>
              <w:t>Grandes orientations du SMSI</w:t>
            </w:r>
          </w:p>
        </w:tc>
        <w:tc>
          <w:tcPr>
            <w:tcW w:w="6657" w:type="dxa"/>
            <w:tcBorders>
              <w:top w:val="single" w:sz="4" w:space="0" w:color="auto"/>
              <w:left w:val="single" w:sz="4" w:space="0" w:color="auto"/>
              <w:bottom w:val="single" w:sz="4" w:space="0" w:color="auto"/>
            </w:tcBorders>
          </w:tcPr>
          <w:p w:rsidR="00712DC3" w:rsidRPr="00712DC3" w:rsidRDefault="00712DC3" w:rsidP="00712DC3">
            <w:pPr>
              <w:rPr>
                <w:szCs w:val="24"/>
                <w:lang w:val="fr-FR"/>
              </w:rPr>
            </w:pPr>
            <w:r w:rsidRPr="00712DC3">
              <w:t>Grandes orientations</w:t>
            </w:r>
            <w:r w:rsidR="00836390">
              <w:rPr>
                <w:szCs w:val="24"/>
                <w:lang w:val="fr-FR"/>
              </w:rPr>
              <w:t xml:space="preserve"> C1 et </w:t>
            </w:r>
            <w:r w:rsidRPr="00712DC3">
              <w:rPr>
                <w:szCs w:val="24"/>
                <w:lang w:val="fr-FR"/>
              </w:rPr>
              <w:t>C11</w:t>
            </w:r>
            <w:r w:rsidRPr="00712DC3">
              <w:t xml:space="preserve"> du SMSI</w:t>
            </w:r>
          </w:p>
        </w:tc>
      </w:tr>
      <w:tr w:rsidR="00712DC3" w:rsidRPr="00712DC3" w:rsidTr="00D476A5">
        <w:tc>
          <w:tcPr>
            <w:tcW w:w="2972" w:type="dxa"/>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t>Résolutions:</w:t>
            </w:r>
          </w:p>
        </w:tc>
        <w:tc>
          <w:tcPr>
            <w:tcW w:w="6657" w:type="dxa"/>
            <w:tcBorders>
              <w:top w:val="single" w:sz="4" w:space="0" w:color="auto"/>
              <w:left w:val="single" w:sz="4" w:space="0" w:color="auto"/>
              <w:bottom w:val="single" w:sz="4" w:space="0" w:color="auto"/>
            </w:tcBorders>
          </w:tcPr>
          <w:p w:rsidR="00712DC3" w:rsidRPr="00712DC3" w:rsidRDefault="00836390" w:rsidP="00712DC3">
            <w:pPr>
              <w:rPr>
                <w:lang w:val="fr-FR"/>
              </w:rPr>
            </w:pPr>
            <w:r>
              <w:rPr>
                <w:lang w:val="fr-FR"/>
              </w:rPr>
              <w:t xml:space="preserve">Décisions </w:t>
            </w:r>
            <w:r w:rsidR="00712DC3" w:rsidRPr="00712DC3">
              <w:rPr>
                <w:lang w:val="fr-FR"/>
              </w:rPr>
              <w:t>5 et 13</w:t>
            </w:r>
            <w:r>
              <w:rPr>
                <w:lang w:val="fr-FR"/>
              </w:rPr>
              <w:t xml:space="preserve"> </w:t>
            </w:r>
            <w:r w:rsidR="00712DC3" w:rsidRPr="00712DC3">
              <w:rPr>
                <w:lang w:val="fr-FR"/>
              </w:rPr>
              <w:t>de la PP</w:t>
            </w:r>
          </w:p>
          <w:p w:rsidR="00712DC3" w:rsidRPr="00712DC3" w:rsidRDefault="00712DC3" w:rsidP="00712DC3">
            <w:pPr>
              <w:rPr>
                <w:szCs w:val="24"/>
              </w:rPr>
            </w:pPr>
            <w:r w:rsidRPr="00712DC3">
              <w:rPr>
                <w:lang w:val="fr-FR"/>
              </w:rPr>
              <w:t>Résolutions 25, 71, 111, 135, 140, 151, 154, 165, 166, 167, 172 de la PP</w:t>
            </w:r>
          </w:p>
        </w:tc>
      </w:tr>
    </w:tbl>
    <w:p w:rsidR="00712DC3" w:rsidRPr="00712DC3" w:rsidRDefault="00712DC3" w:rsidP="006A2D50">
      <w:pPr>
        <w:pStyle w:val="Heading2"/>
        <w:rPr>
          <w:lang w:val="fr-FR"/>
        </w:rPr>
      </w:pPr>
      <w:bookmarkStart w:id="7" w:name="_Toc468087089"/>
      <w:r w:rsidRPr="00712DC3">
        <w:rPr>
          <w:lang w:val="fr-FR"/>
        </w:rPr>
        <w:t>1.4</w:t>
      </w:r>
      <w:r w:rsidRPr="00712DC3">
        <w:rPr>
          <w:lang w:val="fr-FR"/>
        </w:rPr>
        <w:tab/>
      </w:r>
      <w:bookmarkStart w:id="8" w:name="_Toc467807690"/>
      <w:r w:rsidRPr="00712DC3">
        <w:rPr>
          <w:lang w:val="fr-FR"/>
        </w:rPr>
        <w:t>Commissions d'études</w:t>
      </w:r>
      <w:bookmarkEnd w:id="7"/>
      <w:bookmarkEnd w:id="8"/>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4"/>
        <w:gridCol w:w="4815"/>
      </w:tblGrid>
      <w:tr w:rsidR="00712DC3" w:rsidRPr="00712DC3" w:rsidTr="00D476A5">
        <w:tc>
          <w:tcPr>
            <w:tcW w:w="9629" w:type="dxa"/>
            <w:gridSpan w:val="2"/>
            <w:tcBorders>
              <w:bottom w:val="single" w:sz="4" w:space="0" w:color="auto"/>
            </w:tcBorders>
          </w:tcPr>
          <w:p w:rsidR="00712DC3" w:rsidRPr="00712DC3" w:rsidRDefault="00712DC3" w:rsidP="006A2D50">
            <w:pPr>
              <w:rPr>
                <w:szCs w:val="24"/>
                <w:lang w:val="fr-FR"/>
              </w:rPr>
            </w:pPr>
            <w:r w:rsidRPr="00712DC3">
              <w:rPr>
                <w:lang w:val="fr-FR"/>
              </w:rPr>
              <w:t>Les commissions d'études de l'UIT-D ont tenu leur deuxième série de réunions des Groupes d</w:t>
            </w:r>
            <w:r w:rsidR="007A5E17">
              <w:rPr>
                <w:lang w:val="fr-FR"/>
              </w:rPr>
              <w:t xml:space="preserve">e </w:t>
            </w:r>
            <w:r w:rsidRPr="00712DC3">
              <w:rPr>
                <w:lang w:val="fr-FR"/>
              </w:rPr>
              <w:t xml:space="preserve">Rapporteur en avril 2016. Grâce aux contributions ciblées et de grande qualité qui leur ont été transmises, les dix-huit </w:t>
            </w:r>
            <w:r w:rsidR="007A5E17" w:rsidRPr="00712DC3">
              <w:rPr>
                <w:lang w:val="fr-FR"/>
              </w:rPr>
              <w:t>réunions des Groupes d</w:t>
            </w:r>
            <w:r w:rsidR="007A5E17">
              <w:rPr>
                <w:lang w:val="fr-FR"/>
              </w:rPr>
              <w:t xml:space="preserve">e </w:t>
            </w:r>
            <w:r w:rsidR="007A5E17" w:rsidRPr="00712DC3">
              <w:rPr>
                <w:lang w:val="fr-FR"/>
              </w:rPr>
              <w:t xml:space="preserve">Rapporteur </w:t>
            </w:r>
            <w:r w:rsidRPr="00712DC3">
              <w:rPr>
                <w:lang w:val="fr-FR"/>
              </w:rPr>
              <w:t>ont</w:t>
            </w:r>
            <w:r w:rsidR="00836390">
              <w:rPr>
                <w:lang w:val="fr-FR"/>
              </w:rPr>
              <w:t xml:space="preserve"> </w:t>
            </w:r>
            <w:r w:rsidR="007A5E17">
              <w:rPr>
                <w:lang w:val="fr-FR"/>
              </w:rPr>
              <w:t xml:space="preserve">permis de </w:t>
            </w:r>
            <w:r w:rsidRPr="00712DC3">
              <w:rPr>
                <w:lang w:val="fr-FR"/>
              </w:rPr>
              <w:t>progress</w:t>
            </w:r>
            <w:r w:rsidR="007A5E17">
              <w:rPr>
                <w:lang w:val="fr-FR"/>
              </w:rPr>
              <w:t>er</w:t>
            </w:r>
            <w:r w:rsidRPr="00712DC3">
              <w:rPr>
                <w:lang w:val="fr-FR"/>
              </w:rPr>
              <w:t xml:space="preserve"> dans l'élaboration des textes des produits attendus.</w:t>
            </w:r>
            <w:r w:rsidR="006A2D50">
              <w:rPr>
                <w:lang w:val="fr-FR"/>
              </w:rPr>
              <w:t xml:space="preserve"> </w:t>
            </w:r>
            <w:r w:rsidRPr="00712DC3">
              <w:rPr>
                <w:lang w:val="fr-FR"/>
              </w:rPr>
              <w:t>Le principal objectif</w:t>
            </w:r>
            <w:r w:rsidR="00836390">
              <w:rPr>
                <w:lang w:val="fr-FR"/>
              </w:rPr>
              <w:t xml:space="preserve"> </w:t>
            </w:r>
            <w:r w:rsidRPr="00712DC3">
              <w:rPr>
                <w:lang w:val="fr-FR"/>
              </w:rPr>
              <w:t xml:space="preserve">de ces </w:t>
            </w:r>
            <w:r w:rsidR="006A2D50" w:rsidRPr="00712DC3">
              <w:rPr>
                <w:lang w:val="fr-FR"/>
              </w:rPr>
              <w:t>réunions</w:t>
            </w:r>
            <w:r w:rsidR="00836390">
              <w:rPr>
                <w:lang w:val="fr-FR"/>
              </w:rPr>
              <w:t xml:space="preserve"> </w:t>
            </w:r>
            <w:r w:rsidRPr="00712DC3">
              <w:rPr>
                <w:lang w:val="fr-FR"/>
              </w:rPr>
              <w:t>des Groupes d</w:t>
            </w:r>
            <w:r w:rsidR="007A5E17">
              <w:rPr>
                <w:lang w:val="fr-FR"/>
              </w:rPr>
              <w:t>e</w:t>
            </w:r>
            <w:r w:rsidRPr="00712DC3">
              <w:rPr>
                <w:lang w:val="fr-FR"/>
              </w:rPr>
              <w:t xml:space="preserve"> Rapporteur</w:t>
            </w:r>
            <w:r w:rsidR="00836390">
              <w:rPr>
                <w:lang w:val="fr-FR"/>
              </w:rPr>
              <w:t xml:space="preserve"> </w:t>
            </w:r>
            <w:r w:rsidRPr="00712DC3">
              <w:rPr>
                <w:lang w:val="fr-FR"/>
              </w:rPr>
              <w:t>était de faire en sorte que</w:t>
            </w:r>
            <w:r w:rsidRPr="00712DC3">
              <w:rPr>
                <w:szCs w:val="24"/>
                <w:lang w:val="fr-FR"/>
              </w:rPr>
              <w:t xml:space="preserve"> l'élaboration des textes des principaux produits attendus devant être présentés pour approbation aux </w:t>
            </w:r>
            <w:r w:rsidR="006A2D50" w:rsidRPr="00712DC3">
              <w:rPr>
                <w:szCs w:val="24"/>
                <w:lang w:val="fr-FR"/>
              </w:rPr>
              <w:t>dernières</w:t>
            </w:r>
            <w:r w:rsidRPr="00712DC3">
              <w:rPr>
                <w:szCs w:val="24"/>
                <w:lang w:val="fr-FR"/>
              </w:rPr>
              <w:t xml:space="preserve"> réunions des CE 1</w:t>
            </w:r>
            <w:r w:rsidR="00836390">
              <w:rPr>
                <w:szCs w:val="24"/>
                <w:lang w:val="fr-FR"/>
              </w:rPr>
              <w:t xml:space="preserve"> </w:t>
            </w:r>
            <w:r w:rsidRPr="00712DC3">
              <w:rPr>
                <w:szCs w:val="24"/>
                <w:lang w:val="fr-FR"/>
              </w:rPr>
              <w:t>et</w:t>
            </w:r>
            <w:r w:rsidR="00836390">
              <w:rPr>
                <w:szCs w:val="24"/>
                <w:lang w:val="fr-FR"/>
              </w:rPr>
              <w:t xml:space="preserve"> </w:t>
            </w:r>
            <w:r w:rsidRPr="00712DC3">
              <w:rPr>
                <w:szCs w:val="24"/>
                <w:lang w:val="fr-FR"/>
              </w:rPr>
              <w:t>2</w:t>
            </w:r>
            <w:r w:rsidR="006A2D50">
              <w:rPr>
                <w:szCs w:val="24"/>
                <w:lang w:val="fr-FR"/>
              </w:rPr>
              <w:t xml:space="preserve"> </w:t>
            </w:r>
            <w:r w:rsidRPr="00712DC3">
              <w:rPr>
                <w:szCs w:val="24"/>
                <w:lang w:val="fr-FR"/>
              </w:rPr>
              <w:t xml:space="preserve">(27 mars </w:t>
            </w:r>
            <w:r w:rsidRPr="00712DC3">
              <w:rPr>
                <w:szCs w:val="24"/>
                <w:lang w:val="fr-FR"/>
              </w:rPr>
              <w:lastRenderedPageBreak/>
              <w:t xml:space="preserve">– 7 </w:t>
            </w:r>
            <w:r w:rsidR="007A5E17">
              <w:rPr>
                <w:szCs w:val="24"/>
                <w:lang w:val="fr-FR"/>
              </w:rPr>
              <w:t>a</w:t>
            </w:r>
            <w:r w:rsidRPr="00712DC3">
              <w:rPr>
                <w:szCs w:val="24"/>
                <w:lang w:val="fr-FR"/>
              </w:rPr>
              <w:t>vril 2017) progresse de manière satisfaisante</w:t>
            </w:r>
            <w:r w:rsidR="007A5E17">
              <w:rPr>
                <w:szCs w:val="24"/>
                <w:lang w:val="fr-FR"/>
              </w:rPr>
              <w:t>.</w:t>
            </w:r>
            <w:r w:rsidR="00836390">
              <w:rPr>
                <w:szCs w:val="24"/>
                <w:lang w:val="fr-FR"/>
              </w:rPr>
              <w:t xml:space="preserve"> </w:t>
            </w:r>
            <w:r w:rsidR="007A5E17">
              <w:rPr>
                <w:szCs w:val="24"/>
                <w:lang w:val="fr-FR"/>
              </w:rPr>
              <w:t>Les travaux concernant l</w:t>
            </w:r>
            <w:r w:rsidRPr="00712DC3">
              <w:rPr>
                <w:szCs w:val="24"/>
                <w:lang w:val="fr-FR"/>
              </w:rPr>
              <w:t>’établissement d’un rapport</w:t>
            </w:r>
            <w:r w:rsidR="00836390">
              <w:rPr>
                <w:szCs w:val="24"/>
                <w:lang w:val="fr-FR"/>
              </w:rPr>
              <w:t xml:space="preserve"> </w:t>
            </w:r>
            <w:r w:rsidRPr="00712DC3">
              <w:rPr>
                <w:szCs w:val="24"/>
                <w:lang w:val="fr-FR"/>
              </w:rPr>
              <w:t>relatif à la mise en oeuvre pour la période comprise en</w:t>
            </w:r>
            <w:r w:rsidR="007A5E17">
              <w:rPr>
                <w:szCs w:val="24"/>
                <w:lang w:val="fr-FR"/>
              </w:rPr>
              <w:t>tre le 4 janvier et septembre 2</w:t>
            </w:r>
            <w:r w:rsidRPr="00712DC3">
              <w:rPr>
                <w:szCs w:val="24"/>
                <w:lang w:val="fr-FR"/>
              </w:rPr>
              <w:t>016</w:t>
            </w:r>
            <w:r w:rsidR="00836390">
              <w:rPr>
                <w:szCs w:val="24"/>
                <w:lang w:val="fr-FR"/>
              </w:rPr>
              <w:t xml:space="preserve"> </w:t>
            </w:r>
            <w:r w:rsidRPr="00712DC3">
              <w:rPr>
                <w:szCs w:val="24"/>
                <w:lang w:val="fr-FR"/>
              </w:rPr>
              <w:t>ont consisté à</w:t>
            </w:r>
            <w:r w:rsidR="00836390">
              <w:rPr>
                <w:szCs w:val="24"/>
                <w:lang w:val="fr-FR"/>
              </w:rPr>
              <w:t xml:space="preserve"> </w:t>
            </w:r>
            <w:r w:rsidRPr="00712DC3">
              <w:rPr>
                <w:szCs w:val="24"/>
                <w:lang w:val="fr-FR"/>
              </w:rPr>
              <w:t>passer en revue les r</w:t>
            </w:r>
            <w:r w:rsidR="006A2D50">
              <w:rPr>
                <w:szCs w:val="24"/>
                <w:lang w:val="fr-FR"/>
              </w:rPr>
              <w:t>é</w:t>
            </w:r>
            <w:r w:rsidRPr="00712DC3">
              <w:rPr>
                <w:szCs w:val="24"/>
                <w:lang w:val="fr-FR"/>
              </w:rPr>
              <w:t>sultats de questionnaires et d’enquêtes, à lancer</w:t>
            </w:r>
            <w:r w:rsidR="00836390">
              <w:rPr>
                <w:szCs w:val="24"/>
                <w:lang w:val="fr-FR"/>
              </w:rPr>
              <w:t xml:space="preserve"> </w:t>
            </w:r>
            <w:r w:rsidRPr="00712DC3">
              <w:rPr>
                <w:szCs w:val="24"/>
                <w:lang w:val="fr-FR"/>
              </w:rPr>
              <w:t>des appels</w:t>
            </w:r>
            <w:r w:rsidR="00836390">
              <w:rPr>
                <w:szCs w:val="24"/>
                <w:lang w:val="fr-FR"/>
              </w:rPr>
              <w:t xml:space="preserve"> </w:t>
            </w:r>
            <w:r w:rsidRPr="00712DC3">
              <w:rPr>
                <w:szCs w:val="24"/>
                <w:lang w:val="fr-FR"/>
              </w:rPr>
              <w:t xml:space="preserve">à contributions et à </w:t>
            </w:r>
            <w:r w:rsidR="006A2D50" w:rsidRPr="00712DC3">
              <w:rPr>
                <w:szCs w:val="24"/>
                <w:lang w:val="fr-FR"/>
              </w:rPr>
              <w:t>déterminer</w:t>
            </w:r>
            <w:r w:rsidRPr="00712DC3">
              <w:rPr>
                <w:szCs w:val="24"/>
                <w:lang w:val="fr-FR"/>
              </w:rPr>
              <w:t xml:space="preserve"> si des contributions supplémentaires étaient </w:t>
            </w:r>
            <w:r w:rsidR="006A2D50" w:rsidRPr="00712DC3">
              <w:rPr>
                <w:szCs w:val="24"/>
                <w:lang w:val="fr-FR"/>
              </w:rPr>
              <w:t>nécessaires</w:t>
            </w:r>
            <w:r w:rsidRPr="00712DC3">
              <w:rPr>
                <w:szCs w:val="24"/>
                <w:lang w:val="fr-FR"/>
              </w:rPr>
              <w:t xml:space="preserve">. </w:t>
            </w:r>
          </w:p>
          <w:p w:rsidR="00712DC3" w:rsidRPr="00712DC3" w:rsidRDefault="006A2D50" w:rsidP="00A27F03">
            <w:pPr>
              <w:rPr>
                <w:lang w:val="fr-FR"/>
              </w:rPr>
            </w:pPr>
            <w:r>
              <w:rPr>
                <w:lang w:val="fr-FR"/>
              </w:rPr>
              <w:t>P</w:t>
            </w:r>
            <w:r w:rsidR="007A5E17">
              <w:rPr>
                <w:lang w:val="fr-FR"/>
              </w:rPr>
              <w:t>our faire a</w:t>
            </w:r>
            <w:r w:rsidR="00712DC3" w:rsidRPr="00712DC3">
              <w:rPr>
                <w:lang w:val="fr-FR"/>
              </w:rPr>
              <w:t>vancer</w:t>
            </w:r>
            <w:r w:rsidR="00836390">
              <w:rPr>
                <w:lang w:val="fr-FR"/>
              </w:rPr>
              <w:t xml:space="preserve"> </w:t>
            </w:r>
            <w:r w:rsidR="00712DC3" w:rsidRPr="00712DC3">
              <w:rPr>
                <w:lang w:val="fr-FR"/>
              </w:rPr>
              <w:t>les travaux</w:t>
            </w:r>
            <w:r w:rsidR="00836390">
              <w:rPr>
                <w:lang w:val="fr-FR"/>
              </w:rPr>
              <w:t xml:space="preserve"> </w:t>
            </w:r>
            <w:r w:rsidR="00712DC3" w:rsidRPr="00712DC3">
              <w:rPr>
                <w:lang w:val="fr-FR"/>
              </w:rPr>
              <w:t>relatifs à deux sujets d’étude et soumettre des contributions ciblées aux réunions des Groupes du Rapporteur</w:t>
            </w:r>
            <w:r w:rsidR="00836390">
              <w:rPr>
                <w:lang w:val="fr-FR"/>
              </w:rPr>
              <w:t>,</w:t>
            </w:r>
            <w:r w:rsidR="00712DC3" w:rsidRPr="00712DC3">
              <w:rPr>
                <w:lang w:val="fr-FR"/>
              </w:rPr>
              <w:t xml:space="preserve"> des </w:t>
            </w:r>
            <w:r w:rsidRPr="00712DC3">
              <w:rPr>
                <w:lang w:val="fr-FR"/>
              </w:rPr>
              <w:t>réunions</w:t>
            </w:r>
            <w:r w:rsidR="00712DC3" w:rsidRPr="00712DC3">
              <w:rPr>
                <w:lang w:val="fr-FR"/>
              </w:rPr>
              <w:t xml:space="preserve"> d’experts ont eu lieu à</w:t>
            </w:r>
            <w:r w:rsidR="00836390">
              <w:rPr>
                <w:lang w:val="fr-FR"/>
              </w:rPr>
              <w:t xml:space="preserve"> </w:t>
            </w:r>
            <w:r w:rsidR="00712DC3" w:rsidRPr="00712DC3">
              <w:rPr>
                <w:lang w:val="fr-FR"/>
              </w:rPr>
              <w:t xml:space="preserve">Budapest </w:t>
            </w:r>
            <w:r w:rsidR="00A27F03">
              <w:rPr>
                <w:lang w:val="fr-FR"/>
              </w:rPr>
              <w:t>(</w:t>
            </w:r>
            <w:r w:rsidR="00712DC3" w:rsidRPr="00712DC3">
              <w:rPr>
                <w:lang w:val="fr-FR"/>
              </w:rPr>
              <w:t>Hongrie) en février</w:t>
            </w:r>
            <w:r w:rsidR="00836390">
              <w:rPr>
                <w:lang w:val="fr-FR"/>
              </w:rPr>
              <w:t xml:space="preserve"> </w:t>
            </w:r>
            <w:r w:rsidR="00712DC3" w:rsidRPr="00712DC3">
              <w:rPr>
                <w:lang w:val="fr-FR"/>
              </w:rPr>
              <w:t>2016</w:t>
            </w:r>
            <w:r w:rsidR="00836390">
              <w:rPr>
                <w:lang w:val="fr-FR"/>
              </w:rPr>
              <w:t xml:space="preserve"> </w:t>
            </w:r>
            <w:r w:rsidR="00712DC3" w:rsidRPr="00712DC3">
              <w:rPr>
                <w:lang w:val="fr-FR"/>
              </w:rPr>
              <w:t>concernant</w:t>
            </w:r>
            <w:r w:rsidR="00836390">
              <w:rPr>
                <w:lang w:val="fr-FR"/>
              </w:rPr>
              <w:t xml:space="preserve"> </w:t>
            </w:r>
            <w:r w:rsidR="00712DC3" w:rsidRPr="00712DC3">
              <w:rPr>
                <w:lang w:val="fr-FR"/>
              </w:rPr>
              <w:t>la</w:t>
            </w:r>
            <w:r w:rsidR="00836390">
              <w:rPr>
                <w:lang w:val="fr-FR"/>
              </w:rPr>
              <w:t xml:space="preserve"> </w:t>
            </w:r>
            <w:r w:rsidR="00712DC3" w:rsidRPr="00712DC3">
              <w:rPr>
                <w:lang w:val="fr-FR"/>
              </w:rPr>
              <w:t>Question 8/1 (</w:t>
            </w:r>
            <w:r w:rsidR="00A27F03">
              <w:rPr>
                <w:lang w:val="fr-FR"/>
              </w:rPr>
              <w:t>E</w:t>
            </w:r>
            <w:r w:rsidR="00712DC3" w:rsidRPr="00712DC3">
              <w:rPr>
                <w:lang w:val="fr-FR"/>
              </w:rPr>
              <w:t>tude des stratégies et des méthodes de transition de la radiodiffusion analogique de Terre à la radiodiffusion numérique de Terre et de la mise en oeuvre de nouveaux services) et la Résolution 9 de la CMDT (Participation des pays, en particulier des pays en développement, à la gestion du spectre radioélectrique)</w:t>
            </w:r>
            <w:r w:rsidR="00836390">
              <w:rPr>
                <w:lang w:val="fr-FR"/>
              </w:rPr>
              <w:t>,</w:t>
            </w:r>
            <w:r w:rsidR="00712DC3" w:rsidRPr="00712DC3">
              <w:rPr>
                <w:lang w:val="fr-FR"/>
              </w:rPr>
              <w:t xml:space="preserve"> parallèlement à un atelier sur la gestion du spectre et la radiodiffusion télévisuelle numérique de Terre.</w:t>
            </w:r>
            <w:r w:rsidR="00836390">
              <w:rPr>
                <w:lang w:val="fr-FR"/>
              </w:rPr>
              <w:t xml:space="preserve"> </w:t>
            </w:r>
            <w:r w:rsidR="007A5E17">
              <w:rPr>
                <w:lang w:val="fr-FR"/>
              </w:rPr>
              <w:t>Les G</w:t>
            </w:r>
            <w:r w:rsidR="00712DC3" w:rsidRPr="00712DC3">
              <w:rPr>
                <w:lang w:val="fr-FR"/>
              </w:rPr>
              <w:t>roupes chargés de l’étude de</w:t>
            </w:r>
            <w:r w:rsidR="00A27F03">
              <w:rPr>
                <w:lang w:val="fr-FR"/>
              </w:rPr>
              <w:t xml:space="preserve"> </w:t>
            </w:r>
            <w:r w:rsidR="00712DC3" w:rsidRPr="00712DC3">
              <w:rPr>
                <w:lang w:val="fr-FR"/>
              </w:rPr>
              <w:t>la Question 8/1 et</w:t>
            </w:r>
            <w:r w:rsidR="00836390">
              <w:rPr>
                <w:lang w:val="fr-FR"/>
              </w:rPr>
              <w:t xml:space="preserve"> </w:t>
            </w:r>
            <w:r w:rsidR="00712DC3" w:rsidRPr="00712DC3">
              <w:rPr>
                <w:lang w:val="fr-FR"/>
              </w:rPr>
              <w:t>de la Résolution 9</w:t>
            </w:r>
            <w:r w:rsidR="00836390">
              <w:rPr>
                <w:lang w:val="fr-FR"/>
              </w:rPr>
              <w:t xml:space="preserve"> </w:t>
            </w:r>
            <w:r w:rsidR="00712DC3" w:rsidRPr="00712DC3">
              <w:rPr>
                <w:lang w:val="fr-FR"/>
              </w:rPr>
              <w:t>ont sensiblement progressé</w:t>
            </w:r>
            <w:r w:rsidR="00836390">
              <w:rPr>
                <w:lang w:val="fr-FR"/>
              </w:rPr>
              <w:t xml:space="preserve"> </w:t>
            </w:r>
            <w:r w:rsidR="00712DC3" w:rsidRPr="00712DC3">
              <w:rPr>
                <w:lang w:val="fr-FR"/>
              </w:rPr>
              <w:t>dans l’élaboration de leurs projets de produits et</w:t>
            </w:r>
            <w:r w:rsidR="00836390">
              <w:rPr>
                <w:lang w:val="fr-FR"/>
              </w:rPr>
              <w:t xml:space="preserve"> </w:t>
            </w:r>
            <w:r w:rsidR="00712DC3" w:rsidRPr="00712DC3">
              <w:rPr>
                <w:lang w:val="fr-FR"/>
              </w:rPr>
              <w:t>ont recueilli</w:t>
            </w:r>
            <w:r w:rsidR="00836390">
              <w:rPr>
                <w:lang w:val="fr-FR"/>
              </w:rPr>
              <w:t xml:space="preserve"> </w:t>
            </w:r>
            <w:r w:rsidR="00712DC3" w:rsidRPr="00712DC3">
              <w:rPr>
                <w:lang w:val="fr-FR"/>
              </w:rPr>
              <w:t>des contributions et des contenus supplémentaires dans le cadre de l'atelier connexe.</w:t>
            </w:r>
          </w:p>
          <w:p w:rsidR="00712DC3" w:rsidRPr="00712DC3" w:rsidRDefault="00712DC3" w:rsidP="00A27F03">
            <w:r w:rsidRPr="00712DC3">
              <w:rPr>
                <w:lang w:val="fr-FR"/>
              </w:rPr>
              <w:t>Des préparatifs</w:t>
            </w:r>
            <w:r w:rsidR="00836390">
              <w:rPr>
                <w:lang w:val="fr-FR"/>
              </w:rPr>
              <w:t xml:space="preserve"> </w:t>
            </w:r>
            <w:r w:rsidRPr="00712DC3">
              <w:rPr>
                <w:lang w:val="fr-FR"/>
              </w:rPr>
              <w:t xml:space="preserve">ont été entamés en vue de la tenue d’une </w:t>
            </w:r>
            <w:r w:rsidR="006A2D50" w:rsidRPr="00712DC3">
              <w:rPr>
                <w:lang w:val="fr-FR"/>
              </w:rPr>
              <w:t>réunion</w:t>
            </w:r>
            <w:r w:rsidRPr="00712DC3">
              <w:rPr>
                <w:lang w:val="fr-FR"/>
              </w:rPr>
              <w:t xml:space="preserve"> d’experts sur la Question 6/1</w:t>
            </w:r>
            <w:r w:rsidR="00836390">
              <w:rPr>
                <w:lang w:val="fr-FR"/>
              </w:rPr>
              <w:t xml:space="preserve"> </w:t>
            </w:r>
            <w:r w:rsidRPr="00712DC3">
              <w:rPr>
                <w:lang w:val="fr-FR"/>
              </w:rPr>
              <w:t>à</w:t>
            </w:r>
            <w:r w:rsidR="00836390">
              <w:rPr>
                <w:lang w:val="fr-FR"/>
              </w:rPr>
              <w:t xml:space="preserve"> </w:t>
            </w:r>
            <w:r w:rsidRPr="00712DC3">
              <w:rPr>
                <w:lang w:val="fr-FR"/>
              </w:rPr>
              <w:t xml:space="preserve">Chongqing </w:t>
            </w:r>
            <w:r w:rsidR="00A27F03">
              <w:rPr>
                <w:lang w:val="fr-FR"/>
              </w:rPr>
              <w:t>(</w:t>
            </w:r>
            <w:r w:rsidRPr="00712DC3">
              <w:rPr>
                <w:lang w:val="fr-FR"/>
              </w:rPr>
              <w:t>République populaire de Chine</w:t>
            </w:r>
            <w:r w:rsidR="00A27F03">
              <w:rPr>
                <w:lang w:val="fr-FR"/>
              </w:rPr>
              <w:t>)</w:t>
            </w:r>
            <w:r w:rsidR="007A5E17">
              <w:rPr>
                <w:lang w:val="fr-FR"/>
              </w:rPr>
              <w:t>,</w:t>
            </w:r>
            <w:r w:rsidRPr="00712DC3">
              <w:rPr>
                <w:lang w:val="fr-FR"/>
              </w:rPr>
              <w:t xml:space="preserve"> conjointement avec un atelier sur la</w:t>
            </w:r>
            <w:r w:rsidR="00836390">
              <w:rPr>
                <w:lang w:val="fr-FR"/>
              </w:rPr>
              <w:t xml:space="preserve"> </w:t>
            </w:r>
            <w:r w:rsidRPr="00712DC3">
              <w:rPr>
                <w:lang w:val="fr-FR"/>
              </w:rPr>
              <w:t>protection du consommateur dans une économie numérique placée sous le signe de la collaboration. Ces manifestations ont eu lieu</w:t>
            </w:r>
            <w:r w:rsidR="00836390">
              <w:rPr>
                <w:lang w:val="fr-FR"/>
              </w:rPr>
              <w:t xml:space="preserve"> </w:t>
            </w:r>
            <w:r w:rsidRPr="00712DC3">
              <w:rPr>
                <w:lang w:val="fr-FR"/>
              </w:rPr>
              <w:t>du</w:t>
            </w:r>
            <w:r w:rsidR="00836390">
              <w:rPr>
                <w:lang w:val="fr-FR"/>
              </w:rPr>
              <w:t xml:space="preserve"> </w:t>
            </w:r>
            <w:r w:rsidRPr="00712DC3">
              <w:rPr>
                <w:lang w:val="fr-FR"/>
              </w:rPr>
              <w:t>9</w:t>
            </w:r>
            <w:r w:rsidR="00836390">
              <w:rPr>
                <w:lang w:val="fr-FR"/>
              </w:rPr>
              <w:t xml:space="preserve"> </w:t>
            </w:r>
            <w:r w:rsidRPr="00712DC3">
              <w:rPr>
                <w:lang w:val="fr-FR"/>
              </w:rPr>
              <w:t>au</w:t>
            </w:r>
            <w:r w:rsidR="00836390">
              <w:rPr>
                <w:lang w:val="fr-FR"/>
              </w:rPr>
              <w:t xml:space="preserve"> </w:t>
            </w:r>
            <w:r w:rsidRPr="00712DC3">
              <w:rPr>
                <w:lang w:val="fr-FR"/>
              </w:rPr>
              <w:t>11 novembre 2016</w:t>
            </w:r>
            <w:r w:rsidR="00096884">
              <w:rPr>
                <w:lang w:val="fr-FR"/>
              </w:rPr>
              <w:t>.</w:t>
            </w:r>
          </w:p>
          <w:p w:rsidR="00712DC3" w:rsidRPr="00712DC3" w:rsidRDefault="00712DC3" w:rsidP="00A27F03">
            <w:pPr>
              <w:rPr>
                <w:szCs w:val="24"/>
                <w:lang w:val="fr-FR"/>
              </w:rPr>
            </w:pPr>
            <w:r w:rsidRPr="00712DC3">
              <w:rPr>
                <w:lang w:val="fr-FR"/>
              </w:rPr>
              <w:t>Les commissions d'études de l'UIT-D ont tenu</w:t>
            </w:r>
            <w:r w:rsidR="00836390">
              <w:rPr>
                <w:lang w:val="fr-FR"/>
              </w:rPr>
              <w:t xml:space="preserve"> </w:t>
            </w:r>
            <w:r w:rsidRPr="00712DC3">
              <w:rPr>
                <w:lang w:val="fr-FR"/>
              </w:rPr>
              <w:t>leurs troisièmes réunions</w:t>
            </w:r>
            <w:r w:rsidR="00836390">
              <w:rPr>
                <w:lang w:val="fr-FR"/>
              </w:rPr>
              <w:t xml:space="preserve"> </w:t>
            </w:r>
            <w:r w:rsidRPr="00712DC3">
              <w:rPr>
                <w:lang w:val="fr-FR"/>
              </w:rPr>
              <w:t>de la période d'études 2014-2017 du 19 au 30 septembre 2016. Elles ont sensiblement progressé</w:t>
            </w:r>
            <w:r w:rsidR="00836390">
              <w:rPr>
                <w:lang w:val="fr-FR"/>
              </w:rPr>
              <w:t xml:space="preserve"> </w:t>
            </w:r>
            <w:r w:rsidRPr="00712DC3">
              <w:rPr>
                <w:lang w:val="fr-FR"/>
              </w:rPr>
              <w:t>dans l’élaboration de</w:t>
            </w:r>
            <w:r w:rsidR="007A5E17">
              <w:rPr>
                <w:lang w:val="fr-FR"/>
              </w:rPr>
              <w:t>s</w:t>
            </w:r>
            <w:r w:rsidR="00836390">
              <w:rPr>
                <w:lang w:val="fr-FR"/>
              </w:rPr>
              <w:t xml:space="preserve"> </w:t>
            </w:r>
            <w:r w:rsidRPr="00712DC3">
              <w:rPr>
                <w:lang w:val="fr-FR"/>
              </w:rPr>
              <w:t>produits attendus</w:t>
            </w:r>
            <w:r w:rsidRPr="00712DC3">
              <w:rPr>
                <w:szCs w:val="24"/>
                <w:lang w:val="fr-FR"/>
              </w:rPr>
              <w:t>. La CE 1 a nommé trois nouveaux</w:t>
            </w:r>
            <w:r w:rsidR="00836390">
              <w:rPr>
                <w:szCs w:val="24"/>
                <w:lang w:val="fr-FR"/>
              </w:rPr>
              <w:t xml:space="preserve"> </w:t>
            </w:r>
            <w:r w:rsidRPr="00712DC3">
              <w:rPr>
                <w:szCs w:val="24"/>
                <w:lang w:val="fr-FR"/>
              </w:rPr>
              <w:t>Vice-Rapporteurs</w:t>
            </w:r>
            <w:r w:rsidR="00836390">
              <w:rPr>
                <w:szCs w:val="24"/>
                <w:lang w:val="fr-FR"/>
              </w:rPr>
              <w:t xml:space="preserve"> </w:t>
            </w:r>
            <w:r w:rsidRPr="00712DC3">
              <w:rPr>
                <w:szCs w:val="24"/>
                <w:lang w:val="fr-FR"/>
              </w:rPr>
              <w:t>pour les Questions 2/1, 5/1</w:t>
            </w:r>
            <w:r w:rsidR="00836390">
              <w:rPr>
                <w:szCs w:val="24"/>
                <w:lang w:val="fr-FR"/>
              </w:rPr>
              <w:t xml:space="preserve"> </w:t>
            </w:r>
            <w:r w:rsidRPr="00712DC3">
              <w:rPr>
                <w:szCs w:val="24"/>
                <w:lang w:val="fr-FR"/>
              </w:rPr>
              <w:t>et 8/1 et un nouveau</w:t>
            </w:r>
            <w:r w:rsidR="00836390">
              <w:rPr>
                <w:szCs w:val="24"/>
                <w:lang w:val="fr-FR"/>
              </w:rPr>
              <w:t xml:space="preserve"> </w:t>
            </w:r>
            <w:r w:rsidRPr="00712DC3">
              <w:rPr>
                <w:szCs w:val="24"/>
                <w:lang w:val="fr-FR"/>
              </w:rPr>
              <w:t>Vice-Président pour la</w:t>
            </w:r>
            <w:r w:rsidR="00836390">
              <w:rPr>
                <w:szCs w:val="24"/>
                <w:lang w:val="fr-FR"/>
              </w:rPr>
              <w:t xml:space="preserve"> </w:t>
            </w:r>
            <w:r w:rsidR="006A2D50">
              <w:rPr>
                <w:szCs w:val="24"/>
                <w:lang w:val="fr-FR"/>
              </w:rPr>
              <w:t>R</w:t>
            </w:r>
            <w:r w:rsidR="006A2D50" w:rsidRPr="00712DC3">
              <w:rPr>
                <w:szCs w:val="24"/>
                <w:lang w:val="fr-FR"/>
              </w:rPr>
              <w:t>ésolution</w:t>
            </w:r>
            <w:r w:rsidR="00836390">
              <w:rPr>
                <w:szCs w:val="24"/>
                <w:lang w:val="fr-FR"/>
              </w:rPr>
              <w:t xml:space="preserve"> </w:t>
            </w:r>
            <w:r w:rsidRPr="00712DC3">
              <w:rPr>
                <w:szCs w:val="24"/>
                <w:lang w:val="fr-FR"/>
              </w:rPr>
              <w:t>9,</w:t>
            </w:r>
            <w:r w:rsidR="00836390">
              <w:rPr>
                <w:szCs w:val="24"/>
                <w:lang w:val="fr-FR"/>
              </w:rPr>
              <w:t xml:space="preserve"> </w:t>
            </w:r>
            <w:r w:rsidRPr="00712DC3">
              <w:rPr>
                <w:szCs w:val="24"/>
                <w:lang w:val="fr-FR"/>
              </w:rPr>
              <w:t>tandis que la CE 2 a désigné deux</w:t>
            </w:r>
            <w:r w:rsidR="00836390">
              <w:rPr>
                <w:szCs w:val="24"/>
                <w:lang w:val="fr-FR"/>
              </w:rPr>
              <w:t xml:space="preserve"> </w:t>
            </w:r>
            <w:r w:rsidRPr="00712DC3">
              <w:rPr>
                <w:szCs w:val="24"/>
                <w:lang w:val="fr-FR"/>
              </w:rPr>
              <w:t>Co-Rapporteurs pour la</w:t>
            </w:r>
            <w:r w:rsidR="00836390">
              <w:rPr>
                <w:szCs w:val="24"/>
                <w:lang w:val="fr-FR"/>
              </w:rPr>
              <w:t xml:space="preserve"> </w:t>
            </w:r>
            <w:r w:rsidRPr="00712DC3">
              <w:rPr>
                <w:szCs w:val="24"/>
                <w:lang w:val="fr-FR"/>
              </w:rPr>
              <w:t xml:space="preserve">Question 8/2. </w:t>
            </w:r>
            <w:r w:rsidR="007A5E17">
              <w:rPr>
                <w:lang w:val="fr-FR"/>
              </w:rPr>
              <w:t>U</w:t>
            </w:r>
            <w:r w:rsidRPr="00712DC3">
              <w:rPr>
                <w:lang w:val="fr-FR"/>
              </w:rPr>
              <w:t>n atelier</w:t>
            </w:r>
            <w:r w:rsidR="00836390">
              <w:rPr>
                <w:lang w:val="fr-FR"/>
              </w:rPr>
              <w:t xml:space="preserve"> </w:t>
            </w:r>
            <w:r w:rsidRPr="00712DC3">
              <w:rPr>
                <w:lang w:val="fr-FR"/>
              </w:rPr>
              <w:t>sur les télécommunications d'urgence et les secours en cas de catastrophe</w:t>
            </w:r>
            <w:r w:rsidR="00836390">
              <w:rPr>
                <w:szCs w:val="24"/>
                <w:lang w:val="fr-FR"/>
              </w:rPr>
              <w:t xml:space="preserve"> </w:t>
            </w:r>
            <w:r w:rsidRPr="00712DC3">
              <w:rPr>
                <w:szCs w:val="24"/>
                <w:lang w:val="fr-FR"/>
              </w:rPr>
              <w:t xml:space="preserve">a été </w:t>
            </w:r>
            <w:r w:rsidR="006A2D50" w:rsidRPr="00712DC3">
              <w:rPr>
                <w:szCs w:val="24"/>
                <w:lang w:val="fr-FR"/>
              </w:rPr>
              <w:t>organisé</w:t>
            </w:r>
            <w:r w:rsidRPr="00712DC3">
              <w:rPr>
                <w:szCs w:val="24"/>
                <w:lang w:val="fr-FR"/>
              </w:rPr>
              <w:t xml:space="preserve"> en association avec les </w:t>
            </w:r>
            <w:r w:rsidR="006A2D50" w:rsidRPr="00712DC3">
              <w:rPr>
                <w:szCs w:val="24"/>
                <w:lang w:val="fr-FR"/>
              </w:rPr>
              <w:t>réunions</w:t>
            </w:r>
            <w:r w:rsidR="00836390">
              <w:rPr>
                <w:szCs w:val="24"/>
                <w:lang w:val="fr-FR"/>
              </w:rPr>
              <w:t xml:space="preserve"> </w:t>
            </w:r>
            <w:r w:rsidRPr="00712DC3">
              <w:rPr>
                <w:szCs w:val="24"/>
                <w:lang w:val="fr-FR"/>
              </w:rPr>
              <w:t>de la CE 2</w:t>
            </w:r>
            <w:r w:rsidR="00836390">
              <w:rPr>
                <w:szCs w:val="24"/>
                <w:lang w:val="fr-FR"/>
              </w:rPr>
              <w:t xml:space="preserve"> </w:t>
            </w:r>
            <w:r w:rsidRPr="00712DC3">
              <w:rPr>
                <w:szCs w:val="24"/>
                <w:lang w:val="fr-FR"/>
              </w:rPr>
              <w:t>le 27 Septembre 2016.</w:t>
            </w:r>
          </w:p>
          <w:p w:rsidR="00712DC3" w:rsidRPr="00712DC3" w:rsidRDefault="00712DC3" w:rsidP="00A27F03">
            <w:pPr>
              <w:rPr>
                <w:lang w:val="fr-FR"/>
              </w:rPr>
            </w:pPr>
            <w:r w:rsidRPr="00712DC3">
              <w:rPr>
                <w:lang w:val="fr-FR"/>
              </w:rPr>
              <w:t xml:space="preserve">Pour la première fois, des </w:t>
            </w:r>
            <w:r w:rsidR="006A2D50" w:rsidRPr="00712DC3">
              <w:rPr>
                <w:lang w:val="fr-FR"/>
              </w:rPr>
              <w:t>possibilités</w:t>
            </w:r>
            <w:r w:rsidRPr="00712DC3">
              <w:rPr>
                <w:lang w:val="fr-FR"/>
              </w:rPr>
              <w:t xml:space="preserve"> de parrainage pour différentes activités (expositions, manifestations parallèles, </w:t>
            </w:r>
            <w:r w:rsidR="006A2D50" w:rsidRPr="00712DC3">
              <w:rPr>
                <w:lang w:val="fr-FR"/>
              </w:rPr>
              <w:t>réceptions</w:t>
            </w:r>
            <w:r w:rsidRPr="00712DC3">
              <w:rPr>
                <w:lang w:val="fr-FR"/>
              </w:rPr>
              <w:t xml:space="preserve">) ont été offertes pendant les </w:t>
            </w:r>
            <w:r w:rsidR="006A2D50" w:rsidRPr="00712DC3">
              <w:rPr>
                <w:lang w:val="fr-FR"/>
              </w:rPr>
              <w:t>réunions</w:t>
            </w:r>
            <w:r w:rsidRPr="00712DC3">
              <w:rPr>
                <w:lang w:val="fr-FR"/>
              </w:rPr>
              <w:t xml:space="preserve"> de septembre 2016</w:t>
            </w:r>
            <w:r w:rsidR="00836390">
              <w:rPr>
                <w:lang w:val="fr-FR"/>
              </w:rPr>
              <w:t xml:space="preserve"> </w:t>
            </w:r>
            <w:r w:rsidRPr="00712DC3">
              <w:rPr>
                <w:lang w:val="fr-FR"/>
              </w:rPr>
              <w:t>des commissions d’études</w:t>
            </w:r>
            <w:r w:rsidR="00836390">
              <w:rPr>
                <w:lang w:val="fr-FR"/>
              </w:rPr>
              <w:t xml:space="preserve"> </w:t>
            </w:r>
            <w:r w:rsidRPr="00712DC3">
              <w:rPr>
                <w:lang w:val="fr-FR"/>
              </w:rPr>
              <w:t>1 de 2</w:t>
            </w:r>
            <w:r w:rsidR="00836390">
              <w:rPr>
                <w:lang w:val="fr-FR"/>
              </w:rPr>
              <w:t xml:space="preserve"> </w:t>
            </w:r>
            <w:r w:rsidRPr="00712DC3">
              <w:rPr>
                <w:lang w:val="fr-FR"/>
              </w:rPr>
              <w:t>de l’UIT-D</w:t>
            </w:r>
            <w:r w:rsidR="00836390">
              <w:rPr>
                <w:lang w:val="fr-FR"/>
              </w:rPr>
              <w:t>.</w:t>
            </w:r>
            <w:r w:rsidRPr="00712DC3">
              <w:rPr>
                <w:lang w:val="fr-FR"/>
              </w:rPr>
              <w:t xml:space="preserve"> Grace aux sponsors, des </w:t>
            </w:r>
            <w:r w:rsidR="0022438E">
              <w:rPr>
                <w:lang w:val="fr-FR"/>
              </w:rPr>
              <w:t>fonds</w:t>
            </w:r>
            <w:r w:rsidRPr="00712DC3">
              <w:rPr>
                <w:lang w:val="fr-FR"/>
              </w:rPr>
              <w:t xml:space="preserve"> additionnels</w:t>
            </w:r>
            <w:r w:rsidR="00836390">
              <w:rPr>
                <w:lang w:val="fr-FR"/>
              </w:rPr>
              <w:t xml:space="preserve"> </w:t>
            </w:r>
            <w:r w:rsidRPr="00712DC3">
              <w:rPr>
                <w:lang w:val="fr-FR"/>
              </w:rPr>
              <w:t>ont été obtenus</w:t>
            </w:r>
            <w:r w:rsidR="00836390">
              <w:rPr>
                <w:lang w:val="fr-FR"/>
              </w:rPr>
              <w:t xml:space="preserve"> </w:t>
            </w:r>
            <w:r w:rsidRPr="00712DC3">
              <w:rPr>
                <w:lang w:val="fr-FR"/>
              </w:rPr>
              <w:t xml:space="preserve">pour l’octroi de bourses d’études. </w:t>
            </w:r>
          </w:p>
          <w:p w:rsidR="00712DC3" w:rsidRPr="00712DC3" w:rsidRDefault="00712DC3" w:rsidP="00712DC3">
            <w:pPr>
              <w:rPr>
                <w:szCs w:val="24"/>
                <w:lang w:val="fr-FR"/>
              </w:rPr>
            </w:pPr>
            <w:r w:rsidRPr="00712DC3">
              <w:rPr>
                <w:lang w:val="fr-FR"/>
              </w:rPr>
              <w:t>Les commissions d'études de l'UIT-D ont tenu</w:t>
            </w:r>
            <w:r w:rsidR="00836390">
              <w:rPr>
                <w:lang w:val="fr-FR"/>
              </w:rPr>
              <w:t xml:space="preserve"> </w:t>
            </w:r>
            <w:r w:rsidRPr="00712DC3">
              <w:rPr>
                <w:lang w:val="fr-FR"/>
              </w:rPr>
              <w:t>leurs troisièmes réunions</w:t>
            </w:r>
            <w:r w:rsidR="00836390">
              <w:rPr>
                <w:lang w:val="fr-FR"/>
              </w:rPr>
              <w:t xml:space="preserve"> </w:t>
            </w:r>
            <w:r w:rsidRPr="00712DC3">
              <w:rPr>
                <w:lang w:val="fr-FR"/>
              </w:rPr>
              <w:t>de la période d'études 2014-2017 du 19 au 30 septembre 2016</w:t>
            </w:r>
            <w:r w:rsidR="00836390">
              <w:rPr>
                <w:lang w:val="fr-FR"/>
              </w:rPr>
              <w:t>.</w:t>
            </w:r>
          </w:p>
          <w:p w:rsidR="00712DC3" w:rsidRPr="00712DC3" w:rsidRDefault="00712DC3" w:rsidP="00240F29">
            <w:pPr>
              <w:rPr>
                <w:lang w:val="fr-FR"/>
              </w:rPr>
            </w:pPr>
            <w:r w:rsidRPr="00712DC3">
              <w:rPr>
                <w:lang w:val="fr-FR"/>
              </w:rPr>
              <w:t xml:space="preserve">La </w:t>
            </w:r>
            <w:r w:rsidR="006A2D50" w:rsidRPr="00712DC3">
              <w:rPr>
                <w:lang w:val="fr-FR"/>
              </w:rPr>
              <w:t>réunion</w:t>
            </w:r>
            <w:r w:rsidRPr="00712DC3">
              <w:rPr>
                <w:lang w:val="fr-FR"/>
              </w:rPr>
              <w:t xml:space="preserve"> d’experts sur la Question 6/1</w:t>
            </w:r>
            <w:r w:rsidR="00836390">
              <w:rPr>
                <w:lang w:val="fr-FR"/>
              </w:rPr>
              <w:t xml:space="preserve"> </w:t>
            </w:r>
            <w:r w:rsidRPr="00712DC3">
              <w:rPr>
                <w:lang w:val="fr-FR"/>
              </w:rPr>
              <w:t>s’est tenue à</w:t>
            </w:r>
            <w:r w:rsidR="00836390">
              <w:rPr>
                <w:lang w:val="fr-FR"/>
              </w:rPr>
              <w:t xml:space="preserve"> </w:t>
            </w:r>
            <w:r w:rsidRPr="00712DC3">
              <w:rPr>
                <w:lang w:val="fr-FR"/>
              </w:rPr>
              <w:t xml:space="preserve">Chongqing </w:t>
            </w:r>
            <w:r w:rsidR="00A27F03">
              <w:rPr>
                <w:lang w:val="fr-FR"/>
              </w:rPr>
              <w:t>(</w:t>
            </w:r>
            <w:r w:rsidRPr="00712DC3">
              <w:rPr>
                <w:lang w:val="fr-FR"/>
              </w:rPr>
              <w:t>Ré</w:t>
            </w:r>
            <w:r w:rsidR="0022438E">
              <w:rPr>
                <w:lang w:val="fr-FR"/>
              </w:rPr>
              <w:t>publique populaire de Chine</w:t>
            </w:r>
            <w:r w:rsidR="00A27F03">
              <w:rPr>
                <w:lang w:val="fr-FR"/>
              </w:rPr>
              <w:t>)</w:t>
            </w:r>
            <w:r w:rsidR="0022438E">
              <w:rPr>
                <w:lang w:val="fr-FR"/>
              </w:rPr>
              <w:t xml:space="preserve"> </w:t>
            </w:r>
            <w:r w:rsidRPr="00712DC3">
              <w:rPr>
                <w:lang w:val="fr-FR"/>
              </w:rPr>
              <w:t>en association</w:t>
            </w:r>
            <w:r w:rsidR="00836390">
              <w:rPr>
                <w:lang w:val="fr-FR"/>
              </w:rPr>
              <w:t xml:space="preserve"> </w:t>
            </w:r>
            <w:r w:rsidRPr="00712DC3">
              <w:rPr>
                <w:lang w:val="fr-FR"/>
              </w:rPr>
              <w:t>avec un atelier sur la</w:t>
            </w:r>
            <w:r w:rsidR="00836390">
              <w:rPr>
                <w:lang w:val="fr-FR"/>
              </w:rPr>
              <w:t xml:space="preserve"> </w:t>
            </w:r>
            <w:r w:rsidRPr="00712DC3">
              <w:rPr>
                <w:lang w:val="fr-FR"/>
              </w:rPr>
              <w:t>protection du consommateur dans une économie numérique placée sous le signe de la collaboration</w:t>
            </w:r>
            <w:r w:rsidR="00836390">
              <w:rPr>
                <w:lang w:val="fr-FR"/>
              </w:rPr>
              <w:t>.</w:t>
            </w:r>
            <w:r w:rsidRPr="00712DC3">
              <w:rPr>
                <w:lang w:val="fr-FR"/>
              </w:rPr>
              <w:t xml:space="preserve"> Le Groupe chargé de la Question 6/1</w:t>
            </w:r>
            <w:r w:rsidR="00836390">
              <w:rPr>
                <w:lang w:val="fr-FR"/>
              </w:rPr>
              <w:t xml:space="preserve"> </w:t>
            </w:r>
            <w:r w:rsidRPr="00712DC3">
              <w:rPr>
                <w:lang w:val="fr-FR"/>
              </w:rPr>
              <w:t xml:space="preserve">a </w:t>
            </w:r>
            <w:r w:rsidR="006A2D50" w:rsidRPr="00712DC3">
              <w:rPr>
                <w:lang w:val="fr-FR"/>
              </w:rPr>
              <w:t>examiné</w:t>
            </w:r>
            <w:r w:rsidR="00836390">
              <w:rPr>
                <w:lang w:val="fr-FR"/>
              </w:rPr>
              <w:t xml:space="preserve"> </w:t>
            </w:r>
            <w:r w:rsidRPr="00712DC3">
              <w:rPr>
                <w:lang w:val="fr-FR"/>
              </w:rPr>
              <w:t xml:space="preserve">ses projets de produits attendus en vue de </w:t>
            </w:r>
            <w:r w:rsidR="006A2D50" w:rsidRPr="00712DC3">
              <w:rPr>
                <w:lang w:val="fr-FR"/>
              </w:rPr>
              <w:t>présenter</w:t>
            </w:r>
            <w:r w:rsidRPr="00712DC3">
              <w:rPr>
                <w:lang w:val="fr-FR"/>
              </w:rPr>
              <w:t xml:space="preserve"> un rapport</w:t>
            </w:r>
            <w:r w:rsidR="00836390">
              <w:rPr>
                <w:lang w:val="fr-FR"/>
              </w:rPr>
              <w:t xml:space="preserve"> </w:t>
            </w:r>
            <w:r w:rsidRPr="00712DC3">
              <w:rPr>
                <w:lang w:val="fr-FR"/>
              </w:rPr>
              <w:t xml:space="preserve">final à la </w:t>
            </w:r>
            <w:r w:rsidR="006A2D50" w:rsidRPr="00712DC3">
              <w:rPr>
                <w:lang w:val="fr-FR"/>
              </w:rPr>
              <w:t>réunion</w:t>
            </w:r>
            <w:r w:rsidRPr="00712DC3">
              <w:rPr>
                <w:lang w:val="fr-FR"/>
              </w:rPr>
              <w:t xml:space="preserve"> du </w:t>
            </w:r>
            <w:r w:rsidR="0022438E">
              <w:rPr>
                <w:lang w:val="fr-FR"/>
              </w:rPr>
              <w:t>G</w:t>
            </w:r>
            <w:r w:rsidRPr="00712DC3">
              <w:rPr>
                <w:lang w:val="fr-FR"/>
              </w:rPr>
              <w:t xml:space="preserve">roupe du </w:t>
            </w:r>
            <w:r w:rsidR="0022438E">
              <w:rPr>
                <w:lang w:val="fr-FR"/>
              </w:rPr>
              <w:t>R</w:t>
            </w:r>
            <w:r w:rsidRPr="00712DC3">
              <w:rPr>
                <w:lang w:val="fr-FR"/>
              </w:rPr>
              <w:t>apporteur de janvier</w:t>
            </w:r>
            <w:r w:rsidR="00836390">
              <w:rPr>
                <w:lang w:val="fr-FR"/>
              </w:rPr>
              <w:t xml:space="preserve"> </w:t>
            </w:r>
            <w:r w:rsidRPr="00712DC3">
              <w:rPr>
                <w:lang w:val="fr-FR"/>
              </w:rPr>
              <w:t>2017</w:t>
            </w:r>
            <w:r w:rsidR="00836390">
              <w:rPr>
                <w:lang w:val="fr-FR"/>
              </w:rPr>
              <w:t>.</w:t>
            </w:r>
            <w:r w:rsidRPr="00712DC3">
              <w:rPr>
                <w:lang w:val="fr-FR"/>
              </w:rPr>
              <w:t xml:space="preserve"> Il a recueilli</w:t>
            </w:r>
            <w:r w:rsidR="00836390">
              <w:rPr>
                <w:lang w:val="fr-FR"/>
              </w:rPr>
              <w:t xml:space="preserve"> </w:t>
            </w:r>
            <w:r w:rsidRPr="00712DC3">
              <w:rPr>
                <w:lang w:val="fr-FR"/>
              </w:rPr>
              <w:t>des contributions et des contenus supplémentaires dans le cadre de l'atelier connexe</w:t>
            </w:r>
            <w:r w:rsidR="00096884">
              <w:rPr>
                <w:lang w:val="fr-FR"/>
              </w:rPr>
              <w:t>.</w:t>
            </w:r>
          </w:p>
        </w:tc>
      </w:tr>
      <w:tr w:rsidR="00712DC3" w:rsidRPr="00712DC3" w:rsidTr="00D476A5">
        <w:tc>
          <w:tcPr>
            <w:tcW w:w="4814" w:type="dxa"/>
            <w:tcBorders>
              <w:top w:val="single" w:sz="4" w:space="0" w:color="auto"/>
              <w:bottom w:val="single" w:sz="4" w:space="0" w:color="auto"/>
              <w:right w:val="single" w:sz="4" w:space="0" w:color="auto"/>
            </w:tcBorders>
          </w:tcPr>
          <w:p w:rsidR="00712DC3" w:rsidRPr="00096884" w:rsidRDefault="00431AC4" w:rsidP="00712DC3">
            <w:pPr>
              <w:rPr>
                <w:i/>
                <w:iCs/>
                <w:szCs w:val="24"/>
              </w:rPr>
            </w:pPr>
            <w:r w:rsidRPr="00096884">
              <w:rPr>
                <w:i/>
                <w:iCs/>
              </w:rPr>
              <w:lastRenderedPageBreak/>
              <w:t xml:space="preserve">Contribution aux cibles des ODD </w:t>
            </w:r>
          </w:p>
        </w:tc>
        <w:tc>
          <w:tcPr>
            <w:tcW w:w="4815" w:type="dxa"/>
            <w:tcBorders>
              <w:top w:val="single" w:sz="4" w:space="0" w:color="auto"/>
              <w:left w:val="single" w:sz="4" w:space="0" w:color="auto"/>
              <w:bottom w:val="single" w:sz="4" w:space="0" w:color="auto"/>
            </w:tcBorders>
          </w:tcPr>
          <w:p w:rsidR="00712DC3" w:rsidRPr="00096884" w:rsidRDefault="00712DC3" w:rsidP="00096884">
            <w:pPr>
              <w:rPr>
                <w:szCs w:val="24"/>
              </w:rPr>
            </w:pPr>
            <w:r w:rsidRPr="00712DC3">
              <w:t>ODD</w:t>
            </w:r>
            <w:r w:rsidR="00836390">
              <w:t>:</w:t>
            </w:r>
            <w:r w:rsidRPr="00712DC3">
              <w:t xml:space="preserve"> 1</w:t>
            </w:r>
            <w:r w:rsidR="00096884">
              <w:t xml:space="preserve"> (cible 1.b)</w:t>
            </w:r>
            <w:r w:rsidRPr="00712DC3">
              <w:t>, 3 (cible 3.d), 5, 10, 16 (cibles 16.5, 16.6, 16.10), 17 (cibles 17.9, 17.16, 17.17, 17.18)</w:t>
            </w:r>
          </w:p>
        </w:tc>
      </w:tr>
      <w:tr w:rsidR="00712DC3" w:rsidRPr="00712DC3" w:rsidTr="00D476A5">
        <w:trPr>
          <w:trHeight w:val="397"/>
        </w:trPr>
        <w:tc>
          <w:tcPr>
            <w:tcW w:w="4814" w:type="dxa"/>
            <w:tcBorders>
              <w:top w:val="single" w:sz="4" w:space="0" w:color="auto"/>
              <w:bottom w:val="single" w:sz="4" w:space="0" w:color="auto"/>
              <w:right w:val="single" w:sz="4" w:space="0" w:color="auto"/>
            </w:tcBorders>
          </w:tcPr>
          <w:p w:rsidR="00712DC3" w:rsidRPr="00096884" w:rsidRDefault="00712DC3" w:rsidP="00712DC3">
            <w:pPr>
              <w:rPr>
                <w:i/>
                <w:iCs/>
                <w:szCs w:val="24"/>
              </w:rPr>
            </w:pPr>
            <w:r w:rsidRPr="00096884">
              <w:rPr>
                <w:i/>
                <w:iCs/>
              </w:rPr>
              <w:t>Grandes orientations du SMSI</w:t>
            </w:r>
          </w:p>
        </w:tc>
        <w:tc>
          <w:tcPr>
            <w:tcW w:w="4815" w:type="dxa"/>
            <w:tcBorders>
              <w:top w:val="single" w:sz="4" w:space="0" w:color="auto"/>
              <w:left w:val="single" w:sz="4" w:space="0" w:color="auto"/>
              <w:bottom w:val="single" w:sz="4" w:space="0" w:color="auto"/>
            </w:tcBorders>
          </w:tcPr>
          <w:p w:rsidR="00712DC3" w:rsidRPr="00712DC3" w:rsidRDefault="00712DC3" w:rsidP="00712DC3">
            <w:pPr>
              <w:rPr>
                <w:szCs w:val="24"/>
                <w:lang w:val="fr-FR"/>
              </w:rPr>
            </w:pPr>
            <w:r w:rsidRPr="00712DC3">
              <w:t xml:space="preserve">Grandes orientations </w:t>
            </w:r>
            <w:r w:rsidRPr="00712DC3">
              <w:rPr>
                <w:szCs w:val="24"/>
                <w:lang w:val="fr-FR"/>
              </w:rPr>
              <w:t>C1</w:t>
            </w:r>
            <w:r w:rsidR="00836390">
              <w:rPr>
                <w:szCs w:val="24"/>
                <w:lang w:val="fr-FR"/>
              </w:rPr>
              <w:t xml:space="preserve"> </w:t>
            </w:r>
            <w:r w:rsidRPr="00712DC3">
              <w:rPr>
                <w:szCs w:val="24"/>
                <w:lang w:val="fr-FR"/>
              </w:rPr>
              <w:t>et C11</w:t>
            </w:r>
            <w:r w:rsidR="005024F4">
              <w:rPr>
                <w:szCs w:val="24"/>
                <w:lang w:val="fr-FR"/>
              </w:rPr>
              <w:t xml:space="preserve"> </w:t>
            </w:r>
            <w:r w:rsidRPr="00712DC3">
              <w:t>du SMSI</w:t>
            </w:r>
          </w:p>
        </w:tc>
      </w:tr>
      <w:tr w:rsidR="00712DC3" w:rsidRPr="00712DC3" w:rsidTr="00D476A5">
        <w:tc>
          <w:tcPr>
            <w:tcW w:w="4814" w:type="dxa"/>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t>Résolutions:</w:t>
            </w:r>
          </w:p>
        </w:tc>
        <w:tc>
          <w:tcPr>
            <w:tcW w:w="4815" w:type="dxa"/>
            <w:tcBorders>
              <w:top w:val="single" w:sz="4" w:space="0" w:color="auto"/>
              <w:left w:val="single" w:sz="4" w:space="0" w:color="auto"/>
              <w:bottom w:val="single" w:sz="4" w:space="0" w:color="auto"/>
            </w:tcBorders>
          </w:tcPr>
          <w:p w:rsidR="00712DC3" w:rsidRPr="00712DC3" w:rsidRDefault="00712DC3" w:rsidP="00712DC3">
            <w:pPr>
              <w:rPr>
                <w:lang w:val="fr-FR"/>
              </w:rPr>
            </w:pPr>
            <w:r w:rsidRPr="00712DC3">
              <w:rPr>
                <w:lang w:val="fr-FR"/>
              </w:rPr>
              <w:t>Décisions 5 et</w:t>
            </w:r>
            <w:r w:rsidR="00836390">
              <w:rPr>
                <w:lang w:val="fr-FR"/>
              </w:rPr>
              <w:t xml:space="preserve"> </w:t>
            </w:r>
            <w:r w:rsidR="005024F4">
              <w:rPr>
                <w:lang w:val="fr-FR"/>
              </w:rPr>
              <w:t>13 de la PP</w:t>
            </w:r>
          </w:p>
          <w:p w:rsidR="00712DC3" w:rsidRPr="00712DC3" w:rsidRDefault="00712DC3" w:rsidP="00712DC3">
            <w:pPr>
              <w:rPr>
                <w:szCs w:val="24"/>
              </w:rPr>
            </w:pPr>
            <w:r w:rsidRPr="00096884">
              <w:lastRenderedPageBreak/>
              <w:t>Résolut</w:t>
            </w:r>
            <w:r w:rsidRPr="00712DC3">
              <w:rPr>
                <w:lang w:val="en-US"/>
              </w:rPr>
              <w:t>ions 25, 71, 133, 135, 140, 154, 165, 166, 167, 172 de la PP</w:t>
            </w:r>
          </w:p>
        </w:tc>
      </w:tr>
    </w:tbl>
    <w:p w:rsidR="00712DC3" w:rsidRPr="00712DC3" w:rsidRDefault="00712DC3" w:rsidP="00240F29">
      <w:pPr>
        <w:pStyle w:val="Heading1"/>
      </w:pPr>
      <w:r w:rsidRPr="00712DC3">
        <w:rPr>
          <w:lang w:val="fr-FR"/>
        </w:rPr>
        <w:lastRenderedPageBreak/>
        <w:t>2</w:t>
      </w:r>
      <w:r w:rsidRPr="00712DC3">
        <w:rPr>
          <w:lang w:val="fr-FR"/>
        </w:rPr>
        <w:tab/>
        <w:t>Objectif 2</w:t>
      </w:r>
      <w:bookmarkStart w:id="9" w:name="_Toc467807692"/>
      <w:bookmarkStart w:id="10" w:name="_Toc468087091"/>
      <w:r w:rsidR="00D476A5">
        <w:rPr>
          <w:lang w:val="fr-FR"/>
        </w:rPr>
        <w:t>:</w:t>
      </w:r>
      <w:r w:rsidRPr="00712DC3">
        <w:rPr>
          <w:lang w:val="fr-FR"/>
        </w:rPr>
        <w:t xml:space="preserve"> </w:t>
      </w:r>
      <w:r w:rsidRPr="00D476A5">
        <w:rPr>
          <w:i/>
          <w:iCs/>
        </w:rPr>
        <w:t>"Promouvoir un environnement propice au développement des TIC et encourager le développement de réseaux de télécommunication/TIC, ainsi que des applications et des services correspondants, notamment en vue de réduire l'écart en matière de normalisation</w:t>
      </w:r>
      <w:bookmarkEnd w:id="9"/>
      <w:bookmarkEnd w:id="10"/>
      <w:r w:rsidRPr="00D476A5">
        <w:rPr>
          <w:i/>
          <w:iCs/>
        </w:rPr>
        <w:t>"</w:t>
      </w:r>
    </w:p>
    <w:p w:rsidR="00712DC3" w:rsidRPr="00712DC3" w:rsidRDefault="00712DC3" w:rsidP="00240F29">
      <w:pPr>
        <w:pStyle w:val="enumlev1"/>
        <w:rPr>
          <w:lang w:val="fr-FR"/>
        </w:rPr>
      </w:pPr>
      <w:r w:rsidRPr="00712DC3">
        <w:rPr>
          <w:lang w:val="fr-FR"/>
        </w:rPr>
        <w:t>•</w:t>
      </w:r>
      <w:r w:rsidRPr="00712DC3">
        <w:rPr>
          <w:lang w:val="fr-FR"/>
        </w:rPr>
        <w:tab/>
        <w:t xml:space="preserve">Le GSR-16 s’est tenu en </w:t>
      </w:r>
      <w:r w:rsidR="006A2D50" w:rsidRPr="00712DC3">
        <w:rPr>
          <w:lang w:val="fr-FR"/>
        </w:rPr>
        <w:t>présence</w:t>
      </w:r>
      <w:r w:rsidRPr="00712DC3">
        <w:rPr>
          <w:lang w:val="fr-FR"/>
        </w:rPr>
        <w:t xml:space="preserve"> de plus de</w:t>
      </w:r>
      <w:r w:rsidR="00836390">
        <w:rPr>
          <w:lang w:val="fr-FR"/>
        </w:rPr>
        <w:t xml:space="preserve"> </w:t>
      </w:r>
      <w:r w:rsidR="00240F29">
        <w:rPr>
          <w:lang w:val="fr-FR"/>
        </w:rPr>
        <w:t>540 participants de 64 pays.</w:t>
      </w:r>
    </w:p>
    <w:p w:rsidR="00712DC3" w:rsidRPr="00712DC3" w:rsidRDefault="00712DC3" w:rsidP="00240F29">
      <w:pPr>
        <w:pStyle w:val="enumlev1"/>
        <w:rPr>
          <w:lang w:val="fr-FR"/>
        </w:rPr>
      </w:pPr>
      <w:r w:rsidRPr="00712DC3">
        <w:rPr>
          <w:lang w:val="fr-FR"/>
        </w:rPr>
        <w:t>•</w:t>
      </w:r>
      <w:r w:rsidRPr="00712DC3">
        <w:rPr>
          <w:lang w:val="fr-FR"/>
        </w:rPr>
        <w:tab/>
        <w:t>Kit sur la réglementation des TIC – 401 411</w:t>
      </w:r>
      <w:r w:rsidR="0022438E" w:rsidRPr="0022438E">
        <w:rPr>
          <w:lang w:val="fr-FR"/>
        </w:rPr>
        <w:t xml:space="preserve"> </w:t>
      </w:r>
      <w:r w:rsidR="0022438E" w:rsidRPr="00712DC3">
        <w:rPr>
          <w:lang w:val="fr-FR"/>
        </w:rPr>
        <w:t>consultations</w:t>
      </w:r>
      <w:r w:rsidR="0022438E">
        <w:rPr>
          <w:lang w:val="fr-FR"/>
        </w:rPr>
        <w:t xml:space="preserve"> de la</w:t>
      </w:r>
      <w:r w:rsidR="00836390">
        <w:rPr>
          <w:lang w:val="fr-FR"/>
        </w:rPr>
        <w:t xml:space="preserve"> </w:t>
      </w:r>
      <w:r w:rsidRPr="00712DC3">
        <w:rPr>
          <w:lang w:val="fr-FR"/>
        </w:rPr>
        <w:t>page</w:t>
      </w:r>
      <w:r w:rsidR="00836390">
        <w:rPr>
          <w:lang w:val="fr-FR"/>
        </w:rPr>
        <w:t xml:space="preserve"> </w:t>
      </w:r>
      <w:r w:rsidR="0022438E">
        <w:rPr>
          <w:lang w:val="fr-FR"/>
        </w:rPr>
        <w:t>web</w:t>
      </w:r>
      <w:r w:rsidR="00240F29">
        <w:rPr>
          <w:lang w:val="fr-FR"/>
        </w:rPr>
        <w:t>.</w:t>
      </w:r>
    </w:p>
    <w:p w:rsidR="00712DC3" w:rsidRPr="00712DC3" w:rsidRDefault="00712DC3" w:rsidP="00240F29">
      <w:pPr>
        <w:pStyle w:val="enumlev1"/>
        <w:rPr>
          <w:lang w:val="fr-FR"/>
        </w:rPr>
      </w:pPr>
      <w:r w:rsidRPr="00712DC3">
        <w:rPr>
          <w:lang w:val="fr-FR"/>
        </w:rPr>
        <w:t>•</w:t>
      </w:r>
      <w:r w:rsidRPr="00712DC3">
        <w:rPr>
          <w:lang w:val="fr-FR"/>
        </w:rPr>
        <w:tab/>
        <w:t xml:space="preserve">Centre de connaissances en ligne – 503 699 </w:t>
      </w:r>
      <w:r w:rsidR="0022438E" w:rsidRPr="00712DC3">
        <w:rPr>
          <w:lang w:val="fr-FR"/>
        </w:rPr>
        <w:t>consultations</w:t>
      </w:r>
      <w:r w:rsidR="0022438E">
        <w:rPr>
          <w:lang w:val="fr-FR"/>
        </w:rPr>
        <w:t xml:space="preserve"> de la</w:t>
      </w:r>
      <w:r w:rsidR="00836390">
        <w:rPr>
          <w:lang w:val="fr-FR"/>
        </w:rPr>
        <w:t xml:space="preserve"> </w:t>
      </w:r>
      <w:r w:rsidR="0022438E" w:rsidRPr="00712DC3">
        <w:rPr>
          <w:lang w:val="fr-FR"/>
        </w:rPr>
        <w:t>page</w:t>
      </w:r>
      <w:r w:rsidR="00836390">
        <w:rPr>
          <w:lang w:val="fr-FR"/>
        </w:rPr>
        <w:t xml:space="preserve"> </w:t>
      </w:r>
      <w:r w:rsidR="0022438E">
        <w:rPr>
          <w:lang w:val="fr-FR"/>
        </w:rPr>
        <w:t>web</w:t>
      </w:r>
      <w:r w:rsidR="00240F29">
        <w:rPr>
          <w:lang w:val="fr-FR"/>
        </w:rPr>
        <w:t>.</w:t>
      </w:r>
    </w:p>
    <w:p w:rsidR="00712DC3" w:rsidRPr="00712DC3" w:rsidRDefault="00712DC3" w:rsidP="00240F29">
      <w:pPr>
        <w:pStyle w:val="enumlev1"/>
        <w:rPr>
          <w:lang w:val="fr-FR"/>
        </w:rPr>
      </w:pPr>
      <w:r w:rsidRPr="00712DC3">
        <w:rPr>
          <w:lang w:val="fr-FR"/>
        </w:rPr>
        <w:t>•</w:t>
      </w:r>
      <w:r w:rsidRPr="00712DC3">
        <w:rPr>
          <w:lang w:val="fr-FR"/>
        </w:rPr>
        <w:tab/>
        <w:t>Sites web du GSR annuel – 219 047</w:t>
      </w:r>
      <w:r w:rsidR="00836390">
        <w:rPr>
          <w:lang w:val="fr-FR"/>
        </w:rPr>
        <w:t xml:space="preserve"> </w:t>
      </w:r>
      <w:r w:rsidR="0022438E" w:rsidRPr="00712DC3">
        <w:rPr>
          <w:lang w:val="fr-FR"/>
        </w:rPr>
        <w:t>consultations</w:t>
      </w:r>
      <w:r w:rsidR="0022438E">
        <w:rPr>
          <w:lang w:val="fr-FR"/>
        </w:rPr>
        <w:t xml:space="preserve"> de la</w:t>
      </w:r>
      <w:r w:rsidR="00836390">
        <w:rPr>
          <w:lang w:val="fr-FR"/>
        </w:rPr>
        <w:t xml:space="preserve"> </w:t>
      </w:r>
      <w:r w:rsidR="0022438E" w:rsidRPr="00712DC3">
        <w:rPr>
          <w:lang w:val="fr-FR"/>
        </w:rPr>
        <w:t>page</w:t>
      </w:r>
      <w:r w:rsidR="00836390">
        <w:rPr>
          <w:lang w:val="fr-FR"/>
        </w:rPr>
        <w:t xml:space="preserve"> </w:t>
      </w:r>
      <w:r w:rsidR="0022438E">
        <w:rPr>
          <w:lang w:val="fr-FR"/>
        </w:rPr>
        <w:t>web</w:t>
      </w:r>
      <w:r w:rsidR="00836390">
        <w:rPr>
          <w:lang w:val="fr-FR"/>
        </w:rPr>
        <w:t>.</w:t>
      </w:r>
    </w:p>
    <w:p w:rsidR="00712DC3" w:rsidRPr="00712DC3" w:rsidRDefault="00712DC3" w:rsidP="00240F29">
      <w:pPr>
        <w:pStyle w:val="enumlev1"/>
        <w:rPr>
          <w:lang w:val="fr-FR"/>
        </w:rPr>
      </w:pPr>
      <w:r w:rsidRPr="00712DC3">
        <w:rPr>
          <w:lang w:val="fr-FR"/>
        </w:rPr>
        <w:t>•</w:t>
      </w:r>
      <w:r w:rsidRPr="00712DC3">
        <w:rPr>
          <w:lang w:val="fr-FR"/>
        </w:rPr>
        <w:tab/>
        <w:t xml:space="preserve">Tendances des réformes dans les télécommunications, édition de 2014 (gratuite) – </w:t>
      </w:r>
      <w:r w:rsidR="00240F29">
        <w:rPr>
          <w:lang w:val="fr-FR"/>
        </w:rPr>
        <w:t>19 300 téléchargements en ligne.</w:t>
      </w:r>
    </w:p>
    <w:p w:rsidR="00712DC3" w:rsidRPr="00712DC3" w:rsidRDefault="00712DC3" w:rsidP="00240F29">
      <w:pPr>
        <w:pStyle w:val="enumlev1"/>
        <w:rPr>
          <w:lang w:val="fr-FR"/>
        </w:rPr>
      </w:pPr>
      <w:r w:rsidRPr="00712DC3">
        <w:rPr>
          <w:lang w:val="fr-FR"/>
        </w:rPr>
        <w:t>•</w:t>
      </w:r>
      <w:r w:rsidRPr="00712DC3">
        <w:rPr>
          <w:lang w:val="fr-FR"/>
        </w:rPr>
        <w:tab/>
        <w:t>Manuel sur la réglementation des télécommunications – 13</w:t>
      </w:r>
      <w:r w:rsidR="00240F29">
        <w:rPr>
          <w:lang w:val="fr-FR"/>
        </w:rPr>
        <w:t>4 174 téléchargements en ligne.</w:t>
      </w:r>
    </w:p>
    <w:p w:rsidR="00712DC3" w:rsidRPr="00712DC3" w:rsidRDefault="00712DC3" w:rsidP="00240F29">
      <w:pPr>
        <w:pStyle w:val="enumlev1"/>
        <w:rPr>
          <w:lang w:val="fr-FR"/>
        </w:rPr>
      </w:pPr>
      <w:r w:rsidRPr="00712DC3">
        <w:rPr>
          <w:lang w:val="fr-FR"/>
        </w:rPr>
        <w:t>•</w:t>
      </w:r>
      <w:r w:rsidRPr="00712DC3">
        <w:rPr>
          <w:lang w:val="fr-FR"/>
        </w:rPr>
        <w:tab/>
        <w:t>Rapports thématiques de l'UIT sur l'environnement réglementaire et commercial – 335 25</w:t>
      </w:r>
      <w:r w:rsidR="00240F29">
        <w:rPr>
          <w:lang w:val="fr-FR"/>
        </w:rPr>
        <w:t>0 téléchargements.</w:t>
      </w:r>
    </w:p>
    <w:p w:rsidR="00712DC3" w:rsidRPr="00712DC3" w:rsidRDefault="00712DC3" w:rsidP="00240F29">
      <w:pPr>
        <w:pStyle w:val="enumlev1"/>
        <w:rPr>
          <w:lang w:val="fr-FR"/>
        </w:rPr>
      </w:pPr>
      <w:r w:rsidRPr="00712DC3">
        <w:rPr>
          <w:lang w:val="fr-FR"/>
        </w:rPr>
        <w:t>•</w:t>
      </w:r>
      <w:r w:rsidRPr="00712DC3">
        <w:rPr>
          <w:lang w:val="fr-FR"/>
        </w:rPr>
        <w:tab/>
        <w:t>Portail "L'oeil sur les TIC" – 398 593 </w:t>
      </w:r>
      <w:r w:rsidR="0022438E" w:rsidRPr="00712DC3">
        <w:rPr>
          <w:lang w:val="fr-FR"/>
        </w:rPr>
        <w:t>consultations</w:t>
      </w:r>
      <w:r w:rsidR="0022438E">
        <w:rPr>
          <w:lang w:val="fr-FR"/>
        </w:rPr>
        <w:t xml:space="preserve"> de la</w:t>
      </w:r>
      <w:r w:rsidR="00836390">
        <w:rPr>
          <w:lang w:val="fr-FR"/>
        </w:rPr>
        <w:t xml:space="preserve"> </w:t>
      </w:r>
      <w:r w:rsidR="0022438E" w:rsidRPr="00712DC3">
        <w:rPr>
          <w:lang w:val="fr-FR"/>
        </w:rPr>
        <w:t>page</w:t>
      </w:r>
      <w:r w:rsidR="00836390">
        <w:rPr>
          <w:lang w:val="fr-FR"/>
        </w:rPr>
        <w:t xml:space="preserve"> </w:t>
      </w:r>
      <w:r w:rsidR="0022438E">
        <w:rPr>
          <w:lang w:val="fr-FR"/>
        </w:rPr>
        <w:t>web</w:t>
      </w:r>
      <w:r w:rsidR="00836390">
        <w:rPr>
          <w:lang w:val="fr-FR"/>
        </w:rPr>
        <w:t>.</w:t>
      </w:r>
    </w:p>
    <w:p w:rsidR="00712DC3" w:rsidRPr="00712DC3" w:rsidRDefault="00712DC3" w:rsidP="00240F29">
      <w:pPr>
        <w:pStyle w:val="enumlev1"/>
        <w:rPr>
          <w:lang w:val="fr-FR"/>
        </w:rPr>
      </w:pPr>
      <w:r w:rsidRPr="00712DC3">
        <w:rPr>
          <w:lang w:val="fr-FR"/>
        </w:rPr>
        <w:t>•</w:t>
      </w:r>
      <w:r w:rsidRPr="00712DC3">
        <w:rPr>
          <w:lang w:val="fr-FR"/>
        </w:rPr>
        <w:tab/>
        <w:t xml:space="preserve">Une formation au logiciel SMS4DC a pu être dispensée à plus de 45 participants lors de deux ateliers organisés en Afrique et d'un autre </w:t>
      </w:r>
      <w:r w:rsidR="0022438E">
        <w:rPr>
          <w:lang w:val="fr-FR"/>
        </w:rPr>
        <w:t xml:space="preserve">atelier </w:t>
      </w:r>
      <w:r w:rsidRPr="00712DC3">
        <w:rPr>
          <w:lang w:val="fr-FR"/>
        </w:rPr>
        <w:t xml:space="preserve">organisé au Timor-Leste. </w:t>
      </w:r>
    </w:p>
    <w:p w:rsidR="00712DC3" w:rsidRPr="00712DC3" w:rsidRDefault="00712DC3" w:rsidP="00240F29">
      <w:pPr>
        <w:pStyle w:val="enumlev1"/>
        <w:rPr>
          <w:szCs w:val="24"/>
          <w:lang w:val="fr-FR"/>
        </w:rPr>
      </w:pPr>
      <w:r w:rsidRPr="00712DC3">
        <w:rPr>
          <w:lang w:val="fr-FR"/>
        </w:rPr>
        <w:t>•</w:t>
      </w:r>
      <w:r w:rsidRPr="00712DC3">
        <w:rPr>
          <w:lang w:val="fr-FR"/>
        </w:rPr>
        <w:tab/>
      </w:r>
      <w:r w:rsidR="00240F29" w:rsidRPr="00712DC3">
        <w:rPr>
          <w:rFonts w:cs="Arial"/>
          <w:lang w:val="fr-FR"/>
        </w:rPr>
        <w:t>P</w:t>
      </w:r>
      <w:r w:rsidRPr="00712DC3">
        <w:rPr>
          <w:rFonts w:cs="Arial"/>
          <w:lang w:val="fr-FR"/>
        </w:rPr>
        <w:t>lus de 30 pays, situés dans l'ensemble des régions, ont bénéficié d'une assistance directe concernant la planification des fréquences, les plans directeurs de gestion du spectre, le passage de la radiodiffusion télévisuelle analogique à la radiodiffusion télévisuelle numérique de Terre et d'autres questions techniques.</w:t>
      </w:r>
      <w:r w:rsidR="00836390">
        <w:rPr>
          <w:lang w:val="fr-FR"/>
        </w:rPr>
        <w:t xml:space="preserve"> </w:t>
      </w:r>
    </w:p>
    <w:p w:rsidR="00712DC3" w:rsidRPr="00712DC3" w:rsidRDefault="00712DC3" w:rsidP="00240F29">
      <w:pPr>
        <w:pStyle w:val="Heading2"/>
        <w:rPr>
          <w:lang w:val="fr-FR"/>
        </w:rPr>
      </w:pPr>
      <w:bookmarkStart w:id="11" w:name="_Toc467807693"/>
      <w:bookmarkStart w:id="12" w:name="_Toc468087092"/>
      <w:r w:rsidRPr="00712DC3">
        <w:rPr>
          <w:lang w:val="fr-FR"/>
        </w:rPr>
        <w:t>2.1</w:t>
      </w:r>
      <w:r w:rsidRPr="00712DC3">
        <w:rPr>
          <w:lang w:val="fr-FR"/>
        </w:rPr>
        <w:tab/>
        <w:t>Cadres politiques et réglementaires</w:t>
      </w:r>
      <w:bookmarkEnd w:id="11"/>
      <w:bookmarkEnd w:id="12"/>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0"/>
        <w:gridCol w:w="6799"/>
      </w:tblGrid>
      <w:tr w:rsidR="00712DC3" w:rsidRPr="00712DC3" w:rsidTr="00D476A5">
        <w:tc>
          <w:tcPr>
            <w:tcW w:w="9629" w:type="dxa"/>
            <w:gridSpan w:val="2"/>
            <w:tcBorders>
              <w:bottom w:val="single" w:sz="4" w:space="0" w:color="auto"/>
            </w:tcBorders>
          </w:tcPr>
          <w:p w:rsidR="00712DC3" w:rsidRPr="00712DC3" w:rsidRDefault="00712DC3" w:rsidP="00712DC3">
            <w:pPr>
              <w:rPr>
                <w:lang w:val="fr-FR"/>
              </w:rPr>
            </w:pPr>
            <w:r w:rsidRPr="00712DC3">
              <w:rPr>
                <w:lang w:val="fr-FR"/>
              </w:rPr>
              <w:t>L'UIT-D organise à l'intention des Membres de Secteur et d'autres parties prenantes d'envergure nationale ou internationale des forums régionaux ou internationaux visant à examiner l'évolution à l'échelle mondiale de la réglementation, comme le Colloque mondial des régulateurs (GSR) ou des dialogues stratégiques sur les questions d'actualité en matière de politiques,</w:t>
            </w:r>
            <w:r w:rsidR="006A2D50">
              <w:rPr>
                <w:lang w:val="fr-FR"/>
              </w:rPr>
              <w:t xml:space="preserve"> </w:t>
            </w:r>
            <w:r w:rsidRPr="00712DC3">
              <w:rPr>
                <w:lang w:val="fr-FR"/>
              </w:rPr>
              <w:t>de</w:t>
            </w:r>
            <w:r w:rsidR="00836390">
              <w:rPr>
                <w:lang w:val="fr-FR"/>
              </w:rPr>
              <w:t xml:space="preserve"> </w:t>
            </w:r>
            <w:r w:rsidRPr="00712DC3">
              <w:rPr>
                <w:lang w:val="fr-FR"/>
              </w:rPr>
              <w:t>législation, de réglementation, d’économie, de finance et d’évolution</w:t>
            </w:r>
            <w:r w:rsidR="00836390">
              <w:rPr>
                <w:lang w:val="fr-FR"/>
              </w:rPr>
              <w:t xml:space="preserve"> </w:t>
            </w:r>
            <w:r w:rsidRPr="00712DC3">
              <w:rPr>
                <w:lang w:val="fr-FR"/>
              </w:rPr>
              <w:t xml:space="preserve">du marché. Le GSR est la manifestation internationale annuelle qui permet aux régulateurs de confronter leurs points de vue et leurs </w:t>
            </w:r>
            <w:r w:rsidR="006A2D50" w:rsidRPr="00712DC3">
              <w:rPr>
                <w:lang w:val="fr-FR"/>
              </w:rPr>
              <w:t>expériences</w:t>
            </w:r>
            <w:r w:rsidR="00836390">
              <w:rPr>
                <w:lang w:val="fr-FR"/>
              </w:rPr>
              <w:t xml:space="preserve"> </w:t>
            </w:r>
            <w:r w:rsidRPr="00712DC3">
              <w:rPr>
                <w:lang w:val="fr-FR"/>
              </w:rPr>
              <w:t>et</w:t>
            </w:r>
            <w:r w:rsidR="00836390">
              <w:rPr>
                <w:lang w:val="fr-FR"/>
              </w:rPr>
              <w:t xml:space="preserve"> </w:t>
            </w:r>
            <w:r w:rsidRPr="00712DC3">
              <w:rPr>
                <w:lang w:val="fr-FR"/>
              </w:rPr>
              <w:t>s’achève sur</w:t>
            </w:r>
            <w:r w:rsidR="00836390">
              <w:rPr>
                <w:lang w:val="fr-FR"/>
              </w:rPr>
              <w:t xml:space="preserve"> </w:t>
            </w:r>
            <w:r w:rsidRPr="00712DC3">
              <w:rPr>
                <w:lang w:val="fr-FR"/>
              </w:rPr>
              <w:t>l'adoption de lignes directrices relatives aux bonnes pratiques.</w:t>
            </w:r>
          </w:p>
          <w:p w:rsidR="00712DC3" w:rsidRPr="00712DC3" w:rsidRDefault="00712DC3" w:rsidP="0022438E">
            <w:pPr>
              <w:rPr>
                <w:lang w:val="fr-FR"/>
              </w:rPr>
            </w:pPr>
            <w:r w:rsidRPr="00712DC3">
              <w:rPr>
                <w:lang w:val="fr-FR"/>
              </w:rPr>
              <w:t>L'UIT-D fournit des données, des travaux de</w:t>
            </w:r>
            <w:r w:rsidR="00836390">
              <w:rPr>
                <w:lang w:val="fr-FR"/>
              </w:rPr>
              <w:t xml:space="preserve"> </w:t>
            </w:r>
            <w:r w:rsidRPr="00712DC3">
              <w:rPr>
                <w:lang w:val="fr-FR"/>
              </w:rPr>
              <w:t>recherch</w:t>
            </w:r>
            <w:r w:rsidR="0022438E">
              <w:rPr>
                <w:lang w:val="fr-FR"/>
              </w:rPr>
              <w:t>e</w:t>
            </w:r>
            <w:r w:rsidR="00836390">
              <w:rPr>
                <w:lang w:val="fr-FR"/>
              </w:rPr>
              <w:t>,</w:t>
            </w:r>
            <w:r w:rsidRPr="00712DC3">
              <w:rPr>
                <w:lang w:val="fr-FR"/>
              </w:rPr>
              <w:t xml:space="preserve"> des analyses et des outils </w:t>
            </w:r>
            <w:r w:rsidR="00A27F03">
              <w:rPr>
                <w:lang w:val="fr-FR"/>
              </w:rPr>
              <w:t>(</w:t>
            </w:r>
            <w:r w:rsidRPr="00712DC3">
              <w:rPr>
                <w:lang w:val="fr-FR"/>
              </w:rPr>
              <w:t>rapport</w:t>
            </w:r>
            <w:r w:rsidR="0022438E">
              <w:rPr>
                <w:lang w:val="fr-FR"/>
              </w:rPr>
              <w:t>s</w:t>
            </w:r>
            <w:r w:rsidRPr="00712DC3">
              <w:rPr>
                <w:lang w:val="fr-FR"/>
              </w:rPr>
              <w:t xml:space="preserve"> sur les tendances,</w:t>
            </w:r>
            <w:r w:rsidR="00836390">
              <w:rPr>
                <w:lang w:val="fr-FR"/>
              </w:rPr>
              <w:t xml:space="preserve"> </w:t>
            </w:r>
            <w:r w:rsidRPr="00712DC3">
              <w:rPr>
                <w:lang w:val="fr-FR"/>
              </w:rPr>
              <w:t>documents de travail du GSR,</w:t>
            </w:r>
            <w:r w:rsidR="00836390">
              <w:rPr>
                <w:lang w:val="fr-FR"/>
              </w:rPr>
              <w:t xml:space="preserve"> </w:t>
            </w:r>
            <w:r w:rsidRPr="00712DC3">
              <w:rPr>
                <w:lang w:val="fr-FR"/>
              </w:rPr>
              <w:t>publications,</w:t>
            </w:r>
            <w:r w:rsidR="00836390">
              <w:rPr>
                <w:lang w:val="fr-FR"/>
              </w:rPr>
              <w:t xml:space="preserve"> </w:t>
            </w:r>
            <w:r w:rsidRPr="00712DC3">
              <w:rPr>
                <w:lang w:val="fr-FR"/>
              </w:rPr>
              <w:t>portails,</w:t>
            </w:r>
            <w:r w:rsidR="00836390">
              <w:rPr>
                <w:lang w:val="fr-FR"/>
              </w:rPr>
              <w:t xml:space="preserve"> </w:t>
            </w:r>
            <w:r w:rsidRPr="00712DC3">
              <w:rPr>
                <w:lang w:val="fr-FR"/>
              </w:rPr>
              <w:t>bases de données)</w:t>
            </w:r>
            <w:r w:rsidR="0022438E">
              <w:rPr>
                <w:lang w:val="fr-FR"/>
              </w:rPr>
              <w:t>,</w:t>
            </w:r>
            <w:r w:rsidR="00836390">
              <w:rPr>
                <w:lang w:val="fr-FR"/>
              </w:rPr>
              <w:t xml:space="preserve"> </w:t>
            </w:r>
            <w:r w:rsidRPr="00712DC3">
              <w:rPr>
                <w:lang w:val="fr-FR"/>
              </w:rPr>
              <w:t>afin d'aider ses membres à définir, élaborer, mettre en oeuvre et</w:t>
            </w:r>
            <w:r w:rsidR="00836390">
              <w:rPr>
                <w:lang w:val="fr-FR"/>
              </w:rPr>
              <w:t xml:space="preserve"> </w:t>
            </w:r>
            <w:r w:rsidRPr="00712DC3">
              <w:rPr>
                <w:lang w:val="fr-FR"/>
              </w:rPr>
              <w:t>examiner des stratégies transparentes, cohérentes et tournées vers l’avenir</w:t>
            </w:r>
            <w:r w:rsidR="00836390">
              <w:rPr>
                <w:lang w:val="fr-FR"/>
              </w:rPr>
              <w:t xml:space="preserve"> </w:t>
            </w:r>
            <w:r w:rsidRPr="00712DC3">
              <w:rPr>
                <w:lang w:val="fr-FR"/>
              </w:rPr>
              <w:t>ainsi que</w:t>
            </w:r>
            <w:r w:rsidR="00836390">
              <w:rPr>
                <w:lang w:val="fr-FR"/>
              </w:rPr>
              <w:t xml:space="preserve"> </w:t>
            </w:r>
            <w:r w:rsidRPr="00712DC3">
              <w:rPr>
                <w:lang w:val="fr-FR"/>
              </w:rPr>
              <w:t>des cadres politiques, juridiques et réglementaires, et à adopter un processus de prise de décision</w:t>
            </w:r>
            <w:r w:rsidR="0022438E">
              <w:rPr>
                <w:lang w:val="fr-FR"/>
              </w:rPr>
              <w:t>s</w:t>
            </w:r>
            <w:r w:rsidRPr="00712DC3">
              <w:rPr>
                <w:lang w:val="fr-FR"/>
              </w:rPr>
              <w:t xml:space="preserve"> basé sur des éléments avérés</w:t>
            </w:r>
            <w:r w:rsidR="00240F29">
              <w:rPr>
                <w:lang w:val="fr-FR"/>
              </w:rPr>
              <w:t>.</w:t>
            </w:r>
          </w:p>
          <w:p w:rsidR="00712DC3" w:rsidRPr="00712DC3" w:rsidRDefault="00712DC3" w:rsidP="00712DC3">
            <w:pPr>
              <w:rPr>
                <w:lang w:val="fr-FR"/>
              </w:rPr>
            </w:pPr>
            <w:r w:rsidRPr="00712DC3">
              <w:rPr>
                <w:lang w:val="fr-FR"/>
              </w:rPr>
              <w:t xml:space="preserve">L'UIT-D fournit également des outils et des plates-formes de partage des connaissances qui facilitent le dialogue inclusif et la coopération, afin d'aider les pays à créer une société de </w:t>
            </w:r>
            <w:r w:rsidRPr="00712DC3">
              <w:rPr>
                <w:lang w:val="fr-FR"/>
              </w:rPr>
              <w:lastRenderedPageBreak/>
              <w:t>l'information plus inclusive et de faire mieux connaître, sur le plan national et régional, l'importance d'un environnement propice.</w:t>
            </w:r>
          </w:p>
          <w:p w:rsidR="00712DC3" w:rsidRPr="00712DC3" w:rsidRDefault="00712DC3" w:rsidP="00240F29">
            <w:pPr>
              <w:rPr>
                <w:lang w:val="fr-FR"/>
              </w:rPr>
            </w:pPr>
            <w:r w:rsidRPr="00712DC3">
              <w:rPr>
                <w:lang w:val="fr-FR"/>
              </w:rPr>
              <w:t>L'UIT-D a amélioré la sensibilisation et le</w:t>
            </w:r>
            <w:r w:rsidR="00836390">
              <w:rPr>
                <w:lang w:val="fr-FR"/>
              </w:rPr>
              <w:t xml:space="preserve"> </w:t>
            </w:r>
            <w:r w:rsidRPr="00712DC3">
              <w:rPr>
                <w:lang w:val="fr-FR"/>
              </w:rPr>
              <w:t xml:space="preserve">renforcement des capacités en organisant diverses formations et </w:t>
            </w:r>
            <w:r w:rsidR="006A2D50" w:rsidRPr="00712DC3">
              <w:rPr>
                <w:lang w:val="fr-FR"/>
              </w:rPr>
              <w:t>conférences</w:t>
            </w:r>
            <w:r w:rsidRPr="00712DC3">
              <w:rPr>
                <w:lang w:val="fr-FR"/>
              </w:rPr>
              <w:t xml:space="preserve"> et divers</w:t>
            </w:r>
            <w:r w:rsidR="00836390">
              <w:rPr>
                <w:lang w:val="fr-FR"/>
              </w:rPr>
              <w:t xml:space="preserve"> </w:t>
            </w:r>
            <w:r w:rsidRPr="00712DC3">
              <w:rPr>
                <w:lang w:val="fr-FR"/>
              </w:rPr>
              <w:t xml:space="preserve">ateliers, </w:t>
            </w:r>
            <w:r w:rsidR="006A2D50" w:rsidRPr="00712DC3">
              <w:rPr>
                <w:lang w:val="fr-FR"/>
              </w:rPr>
              <w:t>sémina</w:t>
            </w:r>
            <w:r w:rsidR="006A2D50">
              <w:rPr>
                <w:lang w:val="fr-FR"/>
              </w:rPr>
              <w:t>ir</w:t>
            </w:r>
            <w:r w:rsidR="006A2D50" w:rsidRPr="00712DC3">
              <w:rPr>
                <w:lang w:val="fr-FR"/>
              </w:rPr>
              <w:t>es</w:t>
            </w:r>
            <w:r w:rsidRPr="00712DC3">
              <w:rPr>
                <w:lang w:val="fr-FR"/>
              </w:rPr>
              <w:t xml:space="preserve"> et</w:t>
            </w:r>
            <w:r w:rsidR="00836390">
              <w:rPr>
                <w:lang w:val="fr-FR"/>
              </w:rPr>
              <w:t xml:space="preserve"> </w:t>
            </w:r>
            <w:r w:rsidRPr="00712DC3">
              <w:rPr>
                <w:lang w:val="fr-FR"/>
              </w:rPr>
              <w:t>forums ax</w:t>
            </w:r>
            <w:r w:rsidR="00240F29">
              <w:rPr>
                <w:lang w:val="fr-FR"/>
              </w:rPr>
              <w:t>é</w:t>
            </w:r>
            <w:r w:rsidRPr="00712DC3">
              <w:rPr>
                <w:lang w:val="fr-FR"/>
              </w:rPr>
              <w:t>s sur le développement des TIC, l’infrastructure large bande, les applications et services, le développement de l'infrastructure, la gestion du spectre et les</w:t>
            </w:r>
            <w:r w:rsidR="00836390">
              <w:rPr>
                <w:lang w:val="fr-FR"/>
              </w:rPr>
              <w:t xml:space="preserve"> </w:t>
            </w:r>
            <w:r w:rsidRPr="00712DC3">
              <w:rPr>
                <w:lang w:val="fr-FR"/>
              </w:rPr>
              <w:t>questions connexes, la coordination des satellites, la mise en oeuvre du protocole IPv6, l’accès à l'Internet, la conformité et l’interopérabilité, et la tarification.</w:t>
            </w:r>
          </w:p>
          <w:p w:rsidR="00712DC3" w:rsidRPr="00712DC3" w:rsidRDefault="00712DC3" w:rsidP="00240F29">
            <w:pPr>
              <w:rPr>
                <w:lang w:val="fr-FR"/>
              </w:rPr>
            </w:pPr>
            <w:r w:rsidRPr="00712DC3">
              <w:rPr>
                <w:lang w:val="fr-FR"/>
              </w:rPr>
              <w:t>L’UIT-D a fourni une assistance directe à de nombreux pays</w:t>
            </w:r>
            <w:r w:rsidR="00836390">
              <w:rPr>
                <w:lang w:val="fr-FR"/>
              </w:rPr>
              <w:t xml:space="preserve"> </w:t>
            </w:r>
            <w:r w:rsidRPr="00712DC3">
              <w:rPr>
                <w:lang w:val="fr-FR"/>
              </w:rPr>
              <w:t>dans les domaines suivants:</w:t>
            </w:r>
            <w:r w:rsidR="00836390">
              <w:rPr>
                <w:lang w:val="fr-FR"/>
              </w:rPr>
              <w:t xml:space="preserve"> </w:t>
            </w:r>
            <w:r w:rsidRPr="00712DC3">
              <w:rPr>
                <w:lang w:val="fr-FR"/>
              </w:rPr>
              <w:t>renforcement des capacités</w:t>
            </w:r>
            <w:r w:rsidR="00836390">
              <w:rPr>
                <w:lang w:val="fr-FR"/>
              </w:rPr>
              <w:t xml:space="preserve">, </w:t>
            </w:r>
            <w:r w:rsidRPr="00712DC3">
              <w:rPr>
                <w:lang w:val="fr-FR"/>
              </w:rPr>
              <w:t xml:space="preserve">contrôle des </w:t>
            </w:r>
            <w:r w:rsidR="006A2D50" w:rsidRPr="00712DC3">
              <w:rPr>
                <w:lang w:val="fr-FR"/>
              </w:rPr>
              <w:t>émissions</w:t>
            </w:r>
            <w:r w:rsidRPr="00712DC3">
              <w:rPr>
                <w:lang w:val="fr-FR"/>
              </w:rPr>
              <w:t xml:space="preserve"> radioélectriques,</w:t>
            </w:r>
            <w:r w:rsidR="00836390">
              <w:rPr>
                <w:lang w:val="fr-FR"/>
              </w:rPr>
              <w:t xml:space="preserve"> </w:t>
            </w:r>
            <w:r w:rsidRPr="00712DC3">
              <w:rPr>
                <w:lang w:val="fr-FR"/>
              </w:rPr>
              <w:t>adoption d’une approche harmonisée</w:t>
            </w:r>
            <w:r w:rsidR="00836390">
              <w:rPr>
                <w:lang w:val="fr-FR"/>
              </w:rPr>
              <w:t xml:space="preserve"> </w:t>
            </w:r>
            <w:r w:rsidRPr="00712DC3">
              <w:rPr>
                <w:lang w:val="fr-FR"/>
              </w:rPr>
              <w:t>en matière d’obligation de service universel</w:t>
            </w:r>
            <w:r w:rsidR="005024F4">
              <w:rPr>
                <w:lang w:val="fr-FR"/>
              </w:rPr>
              <w:t xml:space="preserve"> </w:t>
            </w:r>
            <w:r w:rsidRPr="00712DC3">
              <w:rPr>
                <w:lang w:val="fr-FR"/>
              </w:rPr>
              <w:t>(USO)</w:t>
            </w:r>
            <w:r w:rsidR="00836390">
              <w:rPr>
                <w:lang w:val="fr-FR"/>
              </w:rPr>
              <w:t>,</w:t>
            </w:r>
            <w:r w:rsidRPr="00712DC3">
              <w:rPr>
                <w:lang w:val="fr-FR"/>
              </w:rPr>
              <w:t xml:space="preserve"> prenant en compte l’accès au large bande,</w:t>
            </w:r>
            <w:r w:rsidR="00836390">
              <w:rPr>
                <w:lang w:val="fr-FR"/>
              </w:rPr>
              <w:t xml:space="preserve"> </w:t>
            </w:r>
            <w:r w:rsidRPr="00712DC3">
              <w:rPr>
                <w:lang w:val="fr-FR"/>
              </w:rPr>
              <w:t>juges spécialisés</w:t>
            </w:r>
            <w:r w:rsidR="00836390">
              <w:rPr>
                <w:lang w:val="fr-FR"/>
              </w:rPr>
              <w:t xml:space="preserve"> </w:t>
            </w:r>
            <w:r w:rsidRPr="00712DC3">
              <w:rPr>
                <w:lang w:val="fr-FR"/>
              </w:rPr>
              <w:t>dans</w:t>
            </w:r>
            <w:r w:rsidR="00836390">
              <w:rPr>
                <w:lang w:val="fr-FR"/>
              </w:rPr>
              <w:t xml:space="preserve"> </w:t>
            </w:r>
            <w:r w:rsidRPr="00712DC3">
              <w:rPr>
                <w:lang w:val="fr-FR"/>
              </w:rPr>
              <w:t>l'interprétation et</w:t>
            </w:r>
            <w:r w:rsidR="00836390">
              <w:rPr>
                <w:lang w:val="fr-FR"/>
              </w:rPr>
              <w:t xml:space="preserve"> </w:t>
            </w:r>
            <w:r w:rsidRPr="00712DC3">
              <w:rPr>
                <w:lang w:val="fr-FR"/>
              </w:rPr>
              <w:t>la mise en application de la législation sur les TIC,</w:t>
            </w:r>
            <w:r w:rsidR="00836390">
              <w:rPr>
                <w:lang w:val="fr-FR"/>
              </w:rPr>
              <w:t xml:space="preserve"> </w:t>
            </w:r>
            <w:r w:rsidRPr="00712DC3">
              <w:rPr>
                <w:lang w:val="fr-FR"/>
              </w:rPr>
              <w:t xml:space="preserve">licences délivrées par voie </w:t>
            </w:r>
            <w:r w:rsidR="006A2D50" w:rsidRPr="00712DC3">
              <w:rPr>
                <w:lang w:val="fr-FR"/>
              </w:rPr>
              <w:t>électronique</w:t>
            </w:r>
            <w:r w:rsidR="00836390">
              <w:rPr>
                <w:lang w:val="fr-FR"/>
              </w:rPr>
              <w:t xml:space="preserve"> </w:t>
            </w:r>
            <w:r w:rsidRPr="00712DC3">
              <w:rPr>
                <w:lang w:val="fr-FR"/>
              </w:rPr>
              <w:t>et</w:t>
            </w:r>
            <w:r w:rsidR="00836390">
              <w:rPr>
                <w:lang w:val="fr-FR"/>
              </w:rPr>
              <w:t xml:space="preserve"> </w:t>
            </w:r>
            <w:r w:rsidRPr="00712DC3">
              <w:rPr>
                <w:lang w:val="fr-FR"/>
              </w:rPr>
              <w:t>textes d’application,</w:t>
            </w:r>
            <w:r w:rsidR="006A2D50">
              <w:rPr>
                <w:lang w:val="fr-FR"/>
              </w:rPr>
              <w:t xml:space="preserve"> </w:t>
            </w:r>
            <w:r w:rsidR="006A2D50" w:rsidRPr="00712DC3">
              <w:rPr>
                <w:lang w:val="fr-FR"/>
              </w:rPr>
              <w:t>élaboration</w:t>
            </w:r>
            <w:r w:rsidRPr="00712DC3">
              <w:rPr>
                <w:lang w:val="fr-FR"/>
              </w:rPr>
              <w:t xml:space="preserve"> de plans nationaux sur le large bande,</w:t>
            </w:r>
            <w:r w:rsidR="00836390">
              <w:rPr>
                <w:lang w:val="fr-FR"/>
              </w:rPr>
              <w:t xml:space="preserve"> </w:t>
            </w:r>
            <w:r w:rsidR="006A2D50" w:rsidRPr="00712DC3">
              <w:rPr>
                <w:lang w:val="fr-FR"/>
              </w:rPr>
              <w:t>etc.</w:t>
            </w:r>
          </w:p>
        </w:tc>
      </w:tr>
      <w:tr w:rsidR="00712DC3" w:rsidRPr="00712DC3" w:rsidTr="00D476A5">
        <w:tc>
          <w:tcPr>
            <w:tcW w:w="2830" w:type="dxa"/>
            <w:tcBorders>
              <w:top w:val="single" w:sz="4" w:space="0" w:color="auto"/>
              <w:bottom w:val="single" w:sz="4" w:space="0" w:color="auto"/>
              <w:right w:val="single" w:sz="4" w:space="0" w:color="auto"/>
            </w:tcBorders>
          </w:tcPr>
          <w:p w:rsidR="00712DC3" w:rsidRPr="00096884" w:rsidRDefault="00431AC4" w:rsidP="00712DC3">
            <w:pPr>
              <w:rPr>
                <w:i/>
                <w:iCs/>
                <w:szCs w:val="24"/>
              </w:rPr>
            </w:pPr>
            <w:r w:rsidRPr="00096884">
              <w:rPr>
                <w:i/>
                <w:iCs/>
              </w:rPr>
              <w:lastRenderedPageBreak/>
              <w:t xml:space="preserve">Contribution aux cibles des ODD </w:t>
            </w:r>
          </w:p>
        </w:tc>
        <w:tc>
          <w:tcPr>
            <w:tcW w:w="6799" w:type="dxa"/>
            <w:tcBorders>
              <w:top w:val="single" w:sz="4" w:space="0" w:color="auto"/>
              <w:left w:val="single" w:sz="4" w:space="0" w:color="auto"/>
              <w:bottom w:val="single" w:sz="4" w:space="0" w:color="auto"/>
            </w:tcBorders>
          </w:tcPr>
          <w:p w:rsidR="00712DC3" w:rsidRPr="00712DC3" w:rsidRDefault="00712DC3" w:rsidP="00096884">
            <w:r w:rsidRPr="00712DC3">
              <w:rPr>
                <w:szCs w:val="24"/>
              </w:rPr>
              <w:t>ODD: 1 (</w:t>
            </w:r>
            <w:r w:rsidRPr="00712DC3">
              <w:t xml:space="preserve">cibles </w:t>
            </w:r>
            <w:r w:rsidRPr="00712DC3">
              <w:rPr>
                <w:szCs w:val="24"/>
              </w:rPr>
              <w:t>1.1, 1.2, 1.3, 1.4, 1.5, 1.a, 1.b), 2 (</w:t>
            </w:r>
            <w:r w:rsidRPr="00712DC3">
              <w:t xml:space="preserve">cibles </w:t>
            </w:r>
            <w:r w:rsidRPr="00712DC3">
              <w:rPr>
                <w:szCs w:val="24"/>
              </w:rPr>
              <w:t>2.3, 2.4, 2.c), 3 (cibles 3.8, 3.d), 4 (cibles 4.3, 4.4, 4.5, 4.7, 4.c), 5 (cibles 5.1, 5.b), 7 (cibles 7.a, 7.b), 8 (cibles 8.2, 8.3, 8.9, 8.10), 9 (</w:t>
            </w:r>
            <w:r w:rsidR="006A2D50" w:rsidRPr="00712DC3">
              <w:rPr>
                <w:szCs w:val="24"/>
              </w:rPr>
              <w:t>cibles</w:t>
            </w:r>
            <w:r w:rsidRPr="00712DC3">
              <w:rPr>
                <w:szCs w:val="24"/>
              </w:rPr>
              <w:t xml:space="preserve"> 9.1, 9.3, 9.5, 9.a, 9.c), 10 (cibles 10.3, 10.c), 11 (cibles 11.1), 12 (cibles 12.8, 12.b), 13 (cible 13.3), 16 (cibles 16.6, 16.7, 16.8, 16.10, 16.b), 17 (cibles 17.6, 17.8, 17.9, 17.14, 17.16, 17.17)</w:t>
            </w:r>
          </w:p>
        </w:tc>
      </w:tr>
      <w:tr w:rsidR="00712DC3" w:rsidRPr="00712DC3" w:rsidTr="00D476A5">
        <w:trPr>
          <w:trHeight w:val="397"/>
        </w:trPr>
        <w:tc>
          <w:tcPr>
            <w:tcW w:w="2830" w:type="dxa"/>
            <w:tcBorders>
              <w:top w:val="single" w:sz="4" w:space="0" w:color="auto"/>
              <w:bottom w:val="single" w:sz="4" w:space="0" w:color="auto"/>
              <w:right w:val="single" w:sz="4" w:space="0" w:color="auto"/>
            </w:tcBorders>
          </w:tcPr>
          <w:p w:rsidR="00712DC3" w:rsidRPr="00096884" w:rsidRDefault="00712DC3" w:rsidP="00712DC3">
            <w:pPr>
              <w:rPr>
                <w:i/>
                <w:iCs/>
                <w:szCs w:val="24"/>
              </w:rPr>
            </w:pPr>
            <w:r w:rsidRPr="00096884">
              <w:rPr>
                <w:i/>
                <w:iCs/>
              </w:rPr>
              <w:t>Grandes orientations du SMSI</w:t>
            </w:r>
          </w:p>
        </w:tc>
        <w:tc>
          <w:tcPr>
            <w:tcW w:w="6799" w:type="dxa"/>
            <w:tcBorders>
              <w:top w:val="single" w:sz="4" w:space="0" w:color="auto"/>
              <w:left w:val="single" w:sz="4" w:space="0" w:color="auto"/>
              <w:bottom w:val="single" w:sz="4" w:space="0" w:color="auto"/>
            </w:tcBorders>
          </w:tcPr>
          <w:p w:rsidR="00712DC3" w:rsidRPr="00712DC3" w:rsidRDefault="0022438E" w:rsidP="0022438E">
            <w:pPr>
              <w:rPr>
                <w:szCs w:val="24"/>
                <w:lang w:val="fr-FR"/>
              </w:rPr>
            </w:pPr>
            <w:r>
              <w:rPr>
                <w:lang w:val="fr-FR"/>
              </w:rPr>
              <w:t>G</w:t>
            </w:r>
            <w:r w:rsidR="00712DC3" w:rsidRPr="00712DC3">
              <w:rPr>
                <w:lang w:val="fr-FR"/>
              </w:rPr>
              <w:t>rande orientation C6 du SMSI figurant dans le Plan d'action de Genève et</w:t>
            </w:r>
            <w:r w:rsidR="00836390">
              <w:rPr>
                <w:lang w:val="fr-FR"/>
              </w:rPr>
              <w:t xml:space="preserve"> </w:t>
            </w:r>
            <w:r w:rsidR="00712DC3" w:rsidRPr="00712DC3">
              <w:rPr>
                <w:lang w:val="fr-FR"/>
              </w:rPr>
              <w:t>§ 112 à 119 de l'Agenda de Tunis pour la société de l'information</w:t>
            </w:r>
          </w:p>
        </w:tc>
      </w:tr>
      <w:tr w:rsidR="00712DC3" w:rsidRPr="00712DC3" w:rsidTr="00D476A5">
        <w:tc>
          <w:tcPr>
            <w:tcW w:w="2830" w:type="dxa"/>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t>Résolutions:</w:t>
            </w:r>
          </w:p>
        </w:tc>
        <w:tc>
          <w:tcPr>
            <w:tcW w:w="6799" w:type="dxa"/>
            <w:tcBorders>
              <w:top w:val="single" w:sz="4" w:space="0" w:color="auto"/>
              <w:left w:val="single" w:sz="4" w:space="0" w:color="auto"/>
              <w:bottom w:val="single" w:sz="4" w:space="0" w:color="auto"/>
            </w:tcBorders>
          </w:tcPr>
          <w:p w:rsidR="00712DC3" w:rsidRPr="00712DC3" w:rsidRDefault="005024F4" w:rsidP="00712DC3">
            <w:pPr>
              <w:rPr>
                <w:lang w:val="fr-FR"/>
              </w:rPr>
            </w:pPr>
            <w:r>
              <w:rPr>
                <w:lang w:val="fr-FR"/>
              </w:rPr>
              <w:t>Décisions 5 et 13 de la PP</w:t>
            </w:r>
          </w:p>
          <w:p w:rsidR="00712DC3" w:rsidRPr="00712DC3" w:rsidRDefault="00712DC3" w:rsidP="00712DC3">
            <w:pPr>
              <w:rPr>
                <w:szCs w:val="24"/>
              </w:rPr>
            </w:pPr>
            <w:r w:rsidRPr="00712DC3">
              <w:rPr>
                <w:lang w:val="en-US"/>
              </w:rPr>
              <w:t>Résolutions 25, 71, 102, 135, 138, 154, 165 de la PP</w:t>
            </w:r>
          </w:p>
        </w:tc>
      </w:tr>
    </w:tbl>
    <w:p w:rsidR="00712DC3" w:rsidRPr="00712DC3" w:rsidRDefault="00712DC3" w:rsidP="005024F4">
      <w:pPr>
        <w:pStyle w:val="Heading2"/>
        <w:rPr>
          <w:lang w:val="fr-FR"/>
        </w:rPr>
      </w:pPr>
      <w:bookmarkStart w:id="13" w:name="_Toc467807694"/>
      <w:bookmarkStart w:id="14" w:name="_Toc468087093"/>
      <w:r w:rsidRPr="00712DC3">
        <w:rPr>
          <w:lang w:val="fr-FR"/>
        </w:rPr>
        <w:t>2.2</w:t>
      </w:r>
      <w:r w:rsidRPr="00712DC3">
        <w:rPr>
          <w:lang w:val="fr-FR"/>
        </w:rPr>
        <w:tab/>
        <w:t>Réseaux de télécommunication/TIC, y compris la conformité et l'interopérabilité et la réduction de l'écart en matière de normalisation</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256"/>
        <w:gridCol w:w="6373"/>
      </w:tblGrid>
      <w:tr w:rsidR="00712DC3" w:rsidRPr="00712DC3" w:rsidTr="00D476A5">
        <w:tc>
          <w:tcPr>
            <w:tcW w:w="9629" w:type="dxa"/>
            <w:gridSpan w:val="2"/>
            <w:tcBorders>
              <w:bottom w:val="single" w:sz="4" w:space="0" w:color="auto"/>
            </w:tcBorders>
          </w:tcPr>
          <w:p w:rsidR="00712DC3" w:rsidRPr="00712DC3" w:rsidRDefault="00712DC3" w:rsidP="0022438E">
            <w:pPr>
              <w:rPr>
                <w:lang w:val="fr-FR"/>
              </w:rPr>
            </w:pPr>
            <w:r w:rsidRPr="00712DC3">
              <w:rPr>
                <w:lang w:val="fr-FR"/>
              </w:rPr>
              <w:t xml:space="preserve">L'UIT-D continue de mettre en oeuvre et d'actualiser ses cartes interactives en ligne des réseaux de transmission de Terre. La cartographie interactive des réseaux de transmission de l'UIT (pour les réseaux dorsaux large bande à fibres optiques, les liaisons hyperfréquences, les stations terriennes par satellites et les câbles sous-marins) est actualisée en permanence et mise en ligne dans toutes les régions. Le projet visant à faire figurer les points IXP dans la cartographie interactive des réseaux de transmission de l'UIT est en cours de mise en oeuvre. A l'heure où nous rédigeons le présent rapport, la carte englobe des informations relatives à 340 réseaux d'opérateurs situés dans 157 pays. Les </w:t>
            </w:r>
            <w:r w:rsidR="0022438E">
              <w:rPr>
                <w:lang w:val="fr-FR"/>
              </w:rPr>
              <w:t xml:space="preserve">travaux de </w:t>
            </w:r>
            <w:r w:rsidRPr="00712DC3">
              <w:rPr>
                <w:lang w:val="fr-FR"/>
              </w:rPr>
              <w:t>recherche</w:t>
            </w:r>
            <w:r w:rsidR="00836390">
              <w:rPr>
                <w:lang w:val="fr-FR"/>
              </w:rPr>
              <w:t xml:space="preserve"> </w:t>
            </w:r>
            <w:r w:rsidRPr="00712DC3">
              <w:rPr>
                <w:lang w:val="fr-FR"/>
              </w:rPr>
              <w:t>sur les liaisons de transmission ont</w:t>
            </w:r>
            <w:r w:rsidR="00836390">
              <w:rPr>
                <w:lang w:val="fr-FR"/>
              </w:rPr>
              <w:t xml:space="preserve"> </w:t>
            </w:r>
            <w:r w:rsidR="0022438E">
              <w:rPr>
                <w:lang w:val="fr-FR"/>
              </w:rPr>
              <w:t>porté sur</w:t>
            </w:r>
            <w:r w:rsidR="00836390">
              <w:rPr>
                <w:lang w:val="fr-FR"/>
              </w:rPr>
              <w:t xml:space="preserve"> </w:t>
            </w:r>
            <w:r w:rsidRPr="00712DC3">
              <w:rPr>
                <w:lang w:val="fr-FR"/>
              </w:rPr>
              <w:t>8 636 402 km de câbles, dont 2 123 090 km ont été importés dans la carte.</w:t>
            </w:r>
          </w:p>
          <w:p w:rsidR="00712DC3" w:rsidRPr="00712DC3" w:rsidRDefault="00712DC3" w:rsidP="0022438E">
            <w:pPr>
              <w:rPr>
                <w:lang w:val="fr-FR"/>
              </w:rPr>
            </w:pPr>
            <w:r w:rsidRPr="00712DC3">
              <w:rPr>
                <w:lang w:val="fr-FR"/>
              </w:rPr>
              <w:t xml:space="preserve">Un rapport sur la mise en oeuvre d'infrastructures évolutives de télécommunication/TIC pour les pays en développement et ses aspects techniques, économiques et politiques a été élaboré et remis à tous les participants des </w:t>
            </w:r>
            <w:r w:rsidR="0022438E">
              <w:rPr>
                <w:lang w:val="fr-FR"/>
              </w:rPr>
              <w:t>c</w:t>
            </w:r>
            <w:r w:rsidRPr="00712DC3">
              <w:rPr>
                <w:lang w:val="fr-FR"/>
              </w:rPr>
              <w:t>ommissions d'études de l'UIT-D. Il décrit les infrastructures essentielles de télécommunication/TIC et leurs technologies, ainsi que les aspects économiques et politiques qui favorisent</w:t>
            </w:r>
            <w:r w:rsidR="00836390">
              <w:rPr>
                <w:lang w:val="fr-FR"/>
              </w:rPr>
              <w:t xml:space="preserve"> </w:t>
            </w:r>
            <w:r w:rsidR="0022438E">
              <w:rPr>
                <w:lang w:val="fr-FR"/>
              </w:rPr>
              <w:t>l’</w:t>
            </w:r>
            <w:r w:rsidRPr="00712DC3">
              <w:rPr>
                <w:lang w:val="fr-FR"/>
              </w:rPr>
              <w:t xml:space="preserve">adoption efficace des réseaux de prochaine génération. Le rapport fait référence à plus de 200 publications de l'UIT </w:t>
            </w:r>
            <w:r w:rsidR="00A27F03">
              <w:rPr>
                <w:lang w:val="fr-FR"/>
              </w:rPr>
              <w:t>(</w:t>
            </w:r>
            <w:r w:rsidRPr="00712DC3">
              <w:rPr>
                <w:lang w:val="fr-FR"/>
              </w:rPr>
              <w:t xml:space="preserve">rapports des </w:t>
            </w:r>
            <w:r w:rsidR="0022438E">
              <w:rPr>
                <w:lang w:val="fr-FR"/>
              </w:rPr>
              <w:t>c</w:t>
            </w:r>
            <w:r w:rsidRPr="00712DC3">
              <w:rPr>
                <w:lang w:val="fr-FR"/>
              </w:rPr>
              <w:t>ommissions d'études de l'UIT-D,</w:t>
            </w:r>
            <w:r w:rsidR="00836390">
              <w:rPr>
                <w:lang w:val="fr-FR"/>
              </w:rPr>
              <w:t xml:space="preserve"> </w:t>
            </w:r>
            <w:r w:rsidRPr="00712DC3">
              <w:rPr>
                <w:lang w:val="fr-FR"/>
              </w:rPr>
              <w:lastRenderedPageBreak/>
              <w:t>lignes directrices de l'</w:t>
            </w:r>
            <w:r w:rsidR="0022438E">
              <w:rPr>
                <w:lang w:val="fr-FR"/>
              </w:rPr>
              <w:t>UIT et</w:t>
            </w:r>
            <w:r w:rsidR="00836390">
              <w:rPr>
                <w:lang w:val="fr-FR"/>
              </w:rPr>
              <w:t xml:space="preserve"> </w:t>
            </w:r>
            <w:r w:rsidRPr="00712DC3">
              <w:rPr>
                <w:lang w:val="fr-FR"/>
              </w:rPr>
              <w:t xml:space="preserve">recommandations </w:t>
            </w:r>
            <w:r w:rsidR="0022438E" w:rsidRPr="00712DC3">
              <w:rPr>
                <w:lang w:val="fr-FR"/>
              </w:rPr>
              <w:t>de l'</w:t>
            </w:r>
            <w:r w:rsidR="0022438E">
              <w:rPr>
                <w:lang w:val="fr-FR"/>
              </w:rPr>
              <w:t>UI</w:t>
            </w:r>
            <w:r w:rsidR="0022438E" w:rsidRPr="00712DC3">
              <w:rPr>
                <w:lang w:val="fr-FR"/>
              </w:rPr>
              <w:t xml:space="preserve">T </w:t>
            </w:r>
            <w:r w:rsidR="0022438E">
              <w:rPr>
                <w:lang w:val="fr-FR"/>
              </w:rPr>
              <w:t xml:space="preserve">émanant </w:t>
            </w:r>
            <w:r w:rsidRPr="00712DC3">
              <w:rPr>
                <w:lang w:val="fr-FR"/>
              </w:rPr>
              <w:t xml:space="preserve">de tous les </w:t>
            </w:r>
            <w:r w:rsidR="0022438E">
              <w:rPr>
                <w:lang w:val="fr-FR"/>
              </w:rPr>
              <w:t>Secteurs de l'Union</w:t>
            </w:r>
            <w:r w:rsidRPr="00712DC3">
              <w:rPr>
                <w:lang w:val="fr-FR"/>
              </w:rPr>
              <w:t>, etc.).</w:t>
            </w:r>
          </w:p>
          <w:p w:rsidR="00712DC3" w:rsidRPr="00712DC3" w:rsidRDefault="00712DC3" w:rsidP="0022438E">
            <w:pPr>
              <w:rPr>
                <w:lang w:val="fr-FR"/>
              </w:rPr>
            </w:pPr>
            <w:r w:rsidRPr="00712DC3">
              <w:rPr>
                <w:lang w:val="fr-FR"/>
              </w:rPr>
              <w:t xml:space="preserve">Conformément à la Résolution 47 de la CMDT, des forums et des </w:t>
            </w:r>
            <w:r w:rsidR="0022438E">
              <w:rPr>
                <w:lang w:val="fr-FR"/>
              </w:rPr>
              <w:t>cours</w:t>
            </w:r>
            <w:r w:rsidR="00836390">
              <w:rPr>
                <w:lang w:val="fr-FR"/>
              </w:rPr>
              <w:t xml:space="preserve"> </w:t>
            </w:r>
            <w:r w:rsidRPr="00712DC3">
              <w:rPr>
                <w:lang w:val="fr-FR"/>
              </w:rPr>
              <w:t>de formation sur la conformité et l'interopérabilité ont été organisés au niveau régional, en collaboration avec le TSB et le BR. Elles portaient en particulier sur les procédures d'évaluation de la conformité, les</w:t>
            </w:r>
            <w:r w:rsidR="00836390">
              <w:rPr>
                <w:lang w:val="fr-FR"/>
              </w:rPr>
              <w:t xml:space="preserve"> </w:t>
            </w:r>
            <w:r w:rsidRPr="00712DC3">
              <w:rPr>
                <w:lang w:val="fr-FR"/>
              </w:rPr>
              <w:t>tests d'homologation pour terminaux mobiles et les</w:t>
            </w:r>
            <w:r w:rsidR="00836390">
              <w:rPr>
                <w:lang w:val="fr-FR"/>
              </w:rPr>
              <w:t xml:space="preserve"> </w:t>
            </w:r>
            <w:r w:rsidRPr="00712DC3">
              <w:rPr>
                <w:lang w:val="fr-FR"/>
              </w:rPr>
              <w:t xml:space="preserve">différents domaines d'évaluation de la C&amp;I pour les </w:t>
            </w:r>
            <w:r w:rsidR="006A2D50" w:rsidRPr="00712DC3">
              <w:rPr>
                <w:lang w:val="fr-FR"/>
              </w:rPr>
              <w:t>régions</w:t>
            </w:r>
            <w:r w:rsidRPr="00712DC3">
              <w:rPr>
                <w:lang w:val="fr-FR"/>
              </w:rPr>
              <w:t xml:space="preserve"> Afrique,</w:t>
            </w:r>
            <w:r w:rsidR="00836390">
              <w:rPr>
                <w:lang w:val="fr-FR"/>
              </w:rPr>
              <w:t xml:space="preserve"> </w:t>
            </w:r>
            <w:r w:rsidRPr="00712DC3">
              <w:rPr>
                <w:lang w:val="fr-FR"/>
              </w:rPr>
              <w:t>Amériques,</w:t>
            </w:r>
            <w:r w:rsidR="00836390">
              <w:rPr>
                <w:lang w:val="fr-FR"/>
              </w:rPr>
              <w:t xml:space="preserve"> </w:t>
            </w:r>
            <w:r w:rsidRPr="00712DC3">
              <w:rPr>
                <w:lang w:val="fr-FR"/>
              </w:rPr>
              <w:t>Etats arabes,</w:t>
            </w:r>
            <w:r w:rsidR="00836390">
              <w:rPr>
                <w:lang w:val="fr-FR"/>
              </w:rPr>
              <w:t xml:space="preserve"> </w:t>
            </w:r>
            <w:r w:rsidRPr="00712DC3">
              <w:rPr>
                <w:lang w:val="fr-FR"/>
              </w:rPr>
              <w:t>Asie-Pacifique et</w:t>
            </w:r>
            <w:r w:rsidR="00836390">
              <w:rPr>
                <w:lang w:val="fr-FR"/>
              </w:rPr>
              <w:t xml:space="preserve"> </w:t>
            </w:r>
            <w:r w:rsidRPr="00712DC3">
              <w:rPr>
                <w:lang w:val="fr-FR"/>
              </w:rPr>
              <w:t>CEI.</w:t>
            </w:r>
          </w:p>
          <w:p w:rsidR="00712DC3" w:rsidRPr="00712DC3" w:rsidRDefault="00712DC3" w:rsidP="00712DC3">
            <w:pPr>
              <w:rPr>
                <w:lang w:val="fr-FR"/>
              </w:rPr>
            </w:pPr>
            <w:r w:rsidRPr="00712DC3">
              <w:rPr>
                <w:lang w:val="fr-FR"/>
              </w:rPr>
              <w:t>Le développement de l'infrastructure des TIC et l'intégration régionale s'intensifient grâce à des études d'évaluation menées dans les régions, notamment pour l'Union du Maghreb arabe (UMA), la Communauté de l'Afrique de l'Est (EAC), la Comisión Técnica Regional de Telecomunicaciones (COMTELCA) et l'Union des télécommunications des Caraïbes (CTU), afin d'encourager la mise en place de programmes C&amp;I harmonisés, notamment dans le cadre de l’élaboration d'arrangements/accords de reconnaissance mutuelle.</w:t>
            </w:r>
          </w:p>
          <w:p w:rsidR="00712DC3" w:rsidRPr="00712DC3" w:rsidRDefault="00712DC3" w:rsidP="005024F4">
            <w:pPr>
              <w:rPr>
                <w:lang w:val="fr-FR"/>
              </w:rPr>
            </w:pPr>
            <w:r w:rsidRPr="00712DC3">
              <w:rPr>
                <w:lang w:val="fr-FR"/>
              </w:rPr>
              <w:t>Le système de gestion du spectre pour les pays en développement (SMS4DC) est aujourd'hui utilis</w:t>
            </w:r>
            <w:r w:rsidR="005024F4">
              <w:rPr>
                <w:lang w:val="fr-FR"/>
              </w:rPr>
              <w:t>é</w:t>
            </w:r>
            <w:r w:rsidRPr="00712DC3">
              <w:rPr>
                <w:lang w:val="fr-FR"/>
              </w:rPr>
              <w:t xml:space="preserve"> dans plus de 40 pays et une</w:t>
            </w:r>
            <w:r w:rsidR="00836390">
              <w:rPr>
                <w:lang w:val="fr-FR"/>
              </w:rPr>
              <w:t xml:space="preserve"> </w:t>
            </w:r>
            <w:r w:rsidRPr="00712DC3">
              <w:rPr>
                <w:lang w:val="fr-FR"/>
              </w:rPr>
              <w:t>formation à ce logiciel a été dispensée à un grand nombre de pays</w:t>
            </w:r>
            <w:r w:rsidR="00836390">
              <w:rPr>
                <w:lang w:val="fr-FR"/>
              </w:rPr>
              <w:t xml:space="preserve"> </w:t>
            </w:r>
          </w:p>
          <w:p w:rsidR="00712DC3" w:rsidRPr="00712DC3" w:rsidRDefault="00712DC3" w:rsidP="005024F4">
            <w:pPr>
              <w:rPr>
                <w:lang w:val="fr-FR"/>
              </w:rPr>
            </w:pPr>
            <w:r w:rsidRPr="00712DC3">
              <w:rPr>
                <w:lang w:val="fr-FR"/>
              </w:rPr>
              <w:t>Des lignes directrices ont été élaborées en vue d'aider des pays à mettre au point leur tableau national d'attribution des fréquences et à évaluer leur gestion du spectre au niveau national</w:t>
            </w:r>
            <w:r w:rsidR="00836390">
              <w:rPr>
                <w:lang w:val="fr-FR"/>
              </w:rPr>
              <w:t>,</w:t>
            </w:r>
            <w:r w:rsidRPr="00712DC3">
              <w:rPr>
                <w:lang w:val="fr-FR"/>
              </w:rPr>
              <w:t xml:space="preserve"> à lancer des appels d'offres pour leur système national de contrôle du spectre et à élaborer des régimes de redevances d'utilisation du spectre</w:t>
            </w:r>
            <w:r w:rsidR="00836390">
              <w:rPr>
                <w:lang w:val="fr-FR"/>
              </w:rPr>
              <w:t>.</w:t>
            </w:r>
          </w:p>
          <w:p w:rsidR="00712DC3" w:rsidRPr="00712DC3" w:rsidRDefault="00712DC3" w:rsidP="005024F4">
            <w:pPr>
              <w:rPr>
                <w:szCs w:val="24"/>
                <w:lang w:val="fr-FR"/>
              </w:rPr>
            </w:pPr>
            <w:r w:rsidRPr="00712DC3">
              <w:rPr>
                <w:lang w:val="fr-FR"/>
              </w:rPr>
              <w:t>Les capacités des membres de l'UIT ont été renforcées sur différentes questions liées aux ré</w:t>
            </w:r>
            <w:r w:rsidR="005024F4">
              <w:rPr>
                <w:lang w:val="fr-FR"/>
              </w:rPr>
              <w:t>seaux de télécommunications/TIC.</w:t>
            </w:r>
          </w:p>
          <w:p w:rsidR="00712DC3" w:rsidRPr="00712DC3" w:rsidRDefault="005024F4" w:rsidP="005024F4">
            <w:pPr>
              <w:rPr>
                <w:lang w:val="fr-FR"/>
              </w:rPr>
            </w:pPr>
            <w:r>
              <w:rPr>
                <w:lang w:val="fr-FR"/>
              </w:rPr>
              <w:t>U</w:t>
            </w:r>
            <w:r w:rsidR="00712DC3" w:rsidRPr="00712DC3">
              <w:rPr>
                <w:lang w:val="fr-FR"/>
              </w:rPr>
              <w:t>ne assistance directe a été apportée</w:t>
            </w:r>
            <w:r w:rsidR="00836390">
              <w:rPr>
                <w:lang w:val="fr-FR"/>
              </w:rPr>
              <w:t xml:space="preserve"> </w:t>
            </w:r>
            <w:r w:rsidR="00712DC3" w:rsidRPr="00712DC3">
              <w:rPr>
                <w:lang w:val="fr-FR"/>
              </w:rPr>
              <w:t>concernant la planification des fréquences, les plans directeurs de gestion du spectre, le passage de la radiodiffusion télévisuelle analogique à la radiodiffusion télévisuelle numérique de Terre et d'autres questions techniques.</w:t>
            </w:r>
            <w:r w:rsidR="00836390">
              <w:rPr>
                <w:lang w:val="fr-FR"/>
              </w:rPr>
              <w:t xml:space="preserve"> </w:t>
            </w:r>
          </w:p>
        </w:tc>
      </w:tr>
      <w:tr w:rsidR="00712DC3" w:rsidRPr="00712DC3" w:rsidTr="00D476A5">
        <w:tc>
          <w:tcPr>
            <w:tcW w:w="3256" w:type="dxa"/>
            <w:tcBorders>
              <w:right w:val="single" w:sz="4" w:space="0" w:color="auto"/>
            </w:tcBorders>
          </w:tcPr>
          <w:p w:rsidR="00712DC3" w:rsidRPr="00096884" w:rsidRDefault="00431AC4" w:rsidP="00712DC3">
            <w:pPr>
              <w:rPr>
                <w:i/>
                <w:iCs/>
                <w:szCs w:val="24"/>
              </w:rPr>
            </w:pPr>
            <w:r w:rsidRPr="00096884">
              <w:rPr>
                <w:i/>
                <w:iCs/>
              </w:rPr>
              <w:lastRenderedPageBreak/>
              <w:t xml:space="preserve">Contribution aux cibles des ODD </w:t>
            </w:r>
          </w:p>
        </w:tc>
        <w:tc>
          <w:tcPr>
            <w:tcW w:w="6373" w:type="dxa"/>
            <w:tcBorders>
              <w:left w:val="single" w:sz="4" w:space="0" w:color="auto"/>
            </w:tcBorders>
          </w:tcPr>
          <w:p w:rsidR="00712DC3" w:rsidRPr="00712DC3" w:rsidRDefault="00712DC3" w:rsidP="00712DC3">
            <w:r w:rsidRPr="00712DC3">
              <w:rPr>
                <w:szCs w:val="24"/>
              </w:rPr>
              <w:t>ODD</w:t>
            </w:r>
            <w:r w:rsidR="00836390">
              <w:rPr>
                <w:szCs w:val="24"/>
              </w:rPr>
              <w:t>:</w:t>
            </w:r>
            <w:r w:rsidRPr="00712DC3">
              <w:rPr>
                <w:szCs w:val="24"/>
              </w:rPr>
              <w:t xml:space="preserve"> 1 (cibles 1.a, 1.4), 4 (cibles 4.4, 4.6, 4.a, 4.c), 6 (cibles 6.5, 6.a, 6.b), 7 (cibles 7.1, 7.b), 8 (cibles 8.2, 8.5), 9 (cibles 9.1, 9.4, 9.5, 9.a, 9.b, 9.c), 11 (cibles 11.1, 11.5, 11.a, 11.b), 17 (cibles 17.3, 17.5)</w:t>
            </w:r>
          </w:p>
        </w:tc>
      </w:tr>
      <w:tr w:rsidR="00712DC3" w:rsidRPr="00712DC3" w:rsidTr="00D476A5">
        <w:trPr>
          <w:trHeight w:val="397"/>
        </w:trPr>
        <w:tc>
          <w:tcPr>
            <w:tcW w:w="3256" w:type="dxa"/>
            <w:tcBorders>
              <w:right w:val="single" w:sz="4" w:space="0" w:color="auto"/>
            </w:tcBorders>
          </w:tcPr>
          <w:p w:rsidR="00712DC3" w:rsidRPr="00096884" w:rsidRDefault="00712DC3" w:rsidP="00712DC3">
            <w:pPr>
              <w:rPr>
                <w:i/>
                <w:iCs/>
                <w:szCs w:val="24"/>
              </w:rPr>
            </w:pPr>
            <w:r w:rsidRPr="00096884">
              <w:rPr>
                <w:i/>
                <w:iCs/>
              </w:rPr>
              <w:t>Grandes orientations du SMSI</w:t>
            </w:r>
          </w:p>
        </w:tc>
        <w:tc>
          <w:tcPr>
            <w:tcW w:w="6373" w:type="dxa"/>
            <w:tcBorders>
              <w:left w:val="single" w:sz="4" w:space="0" w:color="auto"/>
            </w:tcBorders>
          </w:tcPr>
          <w:p w:rsidR="00712DC3" w:rsidRPr="00712DC3" w:rsidRDefault="005024F4" w:rsidP="00712DC3">
            <w:pPr>
              <w:rPr>
                <w:szCs w:val="24"/>
                <w:lang w:val="fr-FR"/>
              </w:rPr>
            </w:pPr>
            <w:r w:rsidRPr="00712DC3">
              <w:rPr>
                <w:lang w:val="fr-FR"/>
              </w:rPr>
              <w:t>G</w:t>
            </w:r>
            <w:r w:rsidR="00712DC3" w:rsidRPr="00712DC3">
              <w:rPr>
                <w:lang w:val="fr-FR"/>
              </w:rPr>
              <w:t>randes orientations C2, C3, C7 et C9</w:t>
            </w:r>
            <w:r w:rsidR="00836390">
              <w:rPr>
                <w:lang w:val="fr-FR"/>
              </w:rPr>
              <w:t xml:space="preserve"> </w:t>
            </w:r>
            <w:r w:rsidR="00712DC3" w:rsidRPr="00712DC3">
              <w:rPr>
                <w:lang w:val="fr-FR"/>
              </w:rPr>
              <w:t>du SMSI figurant dans le Plan d'action de Genève, et</w:t>
            </w:r>
            <w:r w:rsidR="00836390">
              <w:rPr>
                <w:lang w:val="fr-FR"/>
              </w:rPr>
              <w:t xml:space="preserve"> </w:t>
            </w:r>
            <w:r w:rsidR="00712DC3" w:rsidRPr="00712DC3">
              <w:rPr>
                <w:lang w:val="fr-FR"/>
              </w:rPr>
              <w:t>section de l'Agenda de Tunis pour la société de l'information intitulée "Mécanismes de financement pour relever le défi que représente l'utilisation des TIC au service du développement"</w:t>
            </w:r>
          </w:p>
        </w:tc>
      </w:tr>
      <w:tr w:rsidR="00712DC3" w:rsidRPr="00712DC3" w:rsidTr="00D476A5">
        <w:tc>
          <w:tcPr>
            <w:tcW w:w="3256" w:type="dxa"/>
            <w:tcBorders>
              <w:right w:val="single" w:sz="4" w:space="0" w:color="auto"/>
            </w:tcBorders>
          </w:tcPr>
          <w:p w:rsidR="00712DC3" w:rsidRPr="00712DC3" w:rsidRDefault="00712DC3" w:rsidP="00712DC3">
            <w:pPr>
              <w:rPr>
                <w:i/>
                <w:iCs/>
                <w:szCs w:val="24"/>
              </w:rPr>
            </w:pPr>
            <w:r w:rsidRPr="00712DC3">
              <w:rPr>
                <w:i/>
                <w:iCs/>
                <w:szCs w:val="24"/>
              </w:rPr>
              <w:t>Résolutions:</w:t>
            </w:r>
          </w:p>
        </w:tc>
        <w:tc>
          <w:tcPr>
            <w:tcW w:w="6373" w:type="dxa"/>
            <w:tcBorders>
              <w:left w:val="single" w:sz="4" w:space="0" w:color="auto"/>
            </w:tcBorders>
          </w:tcPr>
          <w:p w:rsidR="00712DC3" w:rsidRPr="00712DC3" w:rsidRDefault="00712DC3" w:rsidP="00712DC3">
            <w:pPr>
              <w:rPr>
                <w:lang w:val="fr-FR"/>
              </w:rPr>
            </w:pPr>
            <w:r w:rsidRPr="00712DC3">
              <w:rPr>
                <w:lang w:val="fr-FR"/>
              </w:rPr>
              <w:t>Dé</w:t>
            </w:r>
            <w:r w:rsidR="005024F4">
              <w:rPr>
                <w:lang w:val="fr-FR"/>
              </w:rPr>
              <w:t>cisions 5 et 13 de la PP</w:t>
            </w:r>
          </w:p>
          <w:p w:rsidR="00712DC3" w:rsidRPr="00712DC3" w:rsidRDefault="00712DC3" w:rsidP="00712DC3">
            <w:pPr>
              <w:rPr>
                <w:szCs w:val="24"/>
              </w:rPr>
            </w:pPr>
            <w:r w:rsidRPr="00712DC3">
              <w:rPr>
                <w:lang w:val="en-US"/>
              </w:rPr>
              <w:t>Résolutions 25, 71, 101, 123, 176,177, 178, 203 de la PP</w:t>
            </w:r>
          </w:p>
        </w:tc>
      </w:tr>
    </w:tbl>
    <w:p w:rsidR="00712DC3" w:rsidRPr="00712DC3" w:rsidRDefault="00712DC3" w:rsidP="005024F4">
      <w:pPr>
        <w:pStyle w:val="Heading2"/>
        <w:rPr>
          <w:lang w:val="fr-FR"/>
        </w:rPr>
      </w:pPr>
      <w:bookmarkStart w:id="15" w:name="_Toc467807695"/>
      <w:bookmarkStart w:id="16" w:name="_Toc468087094"/>
      <w:r w:rsidRPr="00712DC3">
        <w:rPr>
          <w:lang w:val="fr-FR"/>
        </w:rPr>
        <w:t>2.3</w:t>
      </w:r>
      <w:r w:rsidRPr="00712DC3">
        <w:rPr>
          <w:lang w:val="fr-FR"/>
        </w:rPr>
        <w:tab/>
        <w:t>Innovation et partenariats</w:t>
      </w:r>
      <w:bookmarkEnd w:id="15"/>
      <w:bookmarkEnd w:id="16"/>
      <w:r w:rsidRPr="00712DC3">
        <w:rPr>
          <w:lang w:val="fr-FR"/>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712DC3" w:rsidRPr="00712DC3" w:rsidTr="00D476A5">
        <w:tc>
          <w:tcPr>
            <w:tcW w:w="9629" w:type="dxa"/>
            <w:gridSpan w:val="2"/>
            <w:tcBorders>
              <w:bottom w:val="single" w:sz="4" w:space="0" w:color="auto"/>
            </w:tcBorders>
          </w:tcPr>
          <w:p w:rsidR="00712DC3" w:rsidRPr="00712DC3" w:rsidRDefault="00712DC3" w:rsidP="00712DC3">
            <w:pPr>
              <w:rPr>
                <w:lang w:val="fr-FR"/>
              </w:rPr>
            </w:pPr>
            <w:r w:rsidRPr="00712DC3">
              <w:rPr>
                <w:lang w:val="fr-FR"/>
              </w:rPr>
              <w:t>Afin de réduire l'écart croissant en matière d'innovation, plusieurs dialogues portant sur ce thème ont permis d'améliorer les connaissances et de renforcer les capacités aux niveaux national, régional et mondial dans le domaine des innovations axées sur les TIC. Citons par exemple:</w:t>
            </w:r>
          </w:p>
          <w:p w:rsidR="00712DC3" w:rsidRPr="00712DC3" w:rsidRDefault="005024F4" w:rsidP="005024F4">
            <w:pPr>
              <w:pStyle w:val="enumlev1"/>
              <w:rPr>
                <w:lang w:val="fr-FR"/>
              </w:rPr>
            </w:pPr>
            <w:r>
              <w:rPr>
                <w:lang w:val="fr-FR"/>
              </w:rPr>
              <w:lastRenderedPageBreak/>
              <w:t>–</w:t>
            </w:r>
            <w:r>
              <w:rPr>
                <w:lang w:val="fr-FR"/>
              </w:rPr>
              <w:tab/>
              <w:t>L</w:t>
            </w:r>
            <w:r w:rsidR="0022438E">
              <w:rPr>
                <w:lang w:val="fr-FR"/>
              </w:rPr>
              <w:t>’</w:t>
            </w:r>
            <w:r w:rsidR="00712DC3" w:rsidRPr="00712DC3">
              <w:rPr>
                <w:lang w:val="fr-FR"/>
              </w:rPr>
              <w:t>appui à l'organisation du volet "Innovation" lors d'ITU Telecom 2016, au cours duquel des dialogues sur l'innovation se sont déroulés dans le cadre des sessions du forum consacrées aux difficultés que rencontrent les écosystèmes d'innovation.</w:t>
            </w:r>
          </w:p>
          <w:p w:rsidR="00712DC3" w:rsidRPr="00712DC3" w:rsidRDefault="005024F4" w:rsidP="005024F4">
            <w:pPr>
              <w:pStyle w:val="enumlev1"/>
              <w:rPr>
                <w:lang w:val="fr-FR"/>
              </w:rPr>
            </w:pPr>
            <w:r>
              <w:rPr>
                <w:lang w:val="fr-FR"/>
              </w:rPr>
              <w:t>–</w:t>
            </w:r>
            <w:r>
              <w:rPr>
                <w:lang w:val="fr-FR"/>
              </w:rPr>
              <w:tab/>
              <w:t>L</w:t>
            </w:r>
            <w:r w:rsidR="0022438E">
              <w:rPr>
                <w:lang w:val="fr-FR"/>
              </w:rPr>
              <w:t>’</w:t>
            </w:r>
            <w:r w:rsidR="00712DC3" w:rsidRPr="00712DC3">
              <w:rPr>
                <w:lang w:val="fr-FR"/>
              </w:rPr>
              <w:t>appui à l'organisation du volet "Innovation" lors de l’édition de</w:t>
            </w:r>
            <w:r w:rsidR="00836390">
              <w:rPr>
                <w:lang w:val="fr-FR"/>
              </w:rPr>
              <w:t xml:space="preserve"> </w:t>
            </w:r>
            <w:r w:rsidR="00712DC3" w:rsidRPr="00712DC3">
              <w:rPr>
                <w:lang w:val="fr-FR"/>
              </w:rPr>
              <w:t>2016 du SMSI, au cours d</w:t>
            </w:r>
            <w:r w:rsidR="0022438E">
              <w:rPr>
                <w:lang w:val="fr-FR"/>
              </w:rPr>
              <w:t>uquel</w:t>
            </w:r>
            <w:r w:rsidR="00836390">
              <w:rPr>
                <w:lang w:val="fr-FR"/>
              </w:rPr>
              <w:t xml:space="preserve"> </w:t>
            </w:r>
            <w:r w:rsidR="00712DC3" w:rsidRPr="00712DC3">
              <w:rPr>
                <w:lang w:val="fr-FR"/>
              </w:rPr>
              <w:t>des dialogues sur l'innovation ont été organisés sur le thème des écosystèmes d'innovation centrés sur les TIC. Ces dialogues</w:t>
            </w:r>
            <w:r w:rsidR="00836390">
              <w:rPr>
                <w:lang w:val="fr-FR"/>
              </w:rPr>
              <w:t xml:space="preserve"> </w:t>
            </w:r>
            <w:r w:rsidR="00712DC3" w:rsidRPr="00712DC3">
              <w:rPr>
                <w:lang w:val="fr-FR"/>
              </w:rPr>
              <w:t>ont servi, tant pour les spécialistes que pour les non-spécialistes, de plate-forme de connaissances et de contacts en réseau</w:t>
            </w:r>
            <w:r w:rsidR="00836390">
              <w:rPr>
                <w:lang w:val="fr-FR"/>
              </w:rPr>
              <w:t xml:space="preserve"> </w:t>
            </w:r>
            <w:r w:rsidR="00712DC3" w:rsidRPr="00712DC3">
              <w:rPr>
                <w:lang w:val="fr-FR"/>
              </w:rPr>
              <w:t>sur les difficultés et les possibilités liées</w:t>
            </w:r>
            <w:r w:rsidR="00836390">
              <w:rPr>
                <w:lang w:val="fr-FR"/>
              </w:rPr>
              <w:t xml:space="preserve"> </w:t>
            </w:r>
            <w:r w:rsidR="00712DC3" w:rsidRPr="00712DC3">
              <w:rPr>
                <w:lang w:val="fr-FR"/>
              </w:rPr>
              <w:t>au renforcement des capacités d’innovation</w:t>
            </w:r>
            <w:r w:rsidR="00836390">
              <w:rPr>
                <w:lang w:val="fr-FR"/>
              </w:rPr>
              <w:t xml:space="preserve"> </w:t>
            </w:r>
            <w:r w:rsidR="00712DC3" w:rsidRPr="00712DC3">
              <w:rPr>
                <w:lang w:val="fr-FR"/>
              </w:rPr>
              <w:t>des membres et à</w:t>
            </w:r>
            <w:r w:rsidR="00836390">
              <w:rPr>
                <w:lang w:val="fr-FR"/>
              </w:rPr>
              <w:t xml:space="preserve"> </w:t>
            </w:r>
            <w:r w:rsidR="00712DC3" w:rsidRPr="00712DC3">
              <w:rPr>
                <w:lang w:val="fr-FR"/>
              </w:rPr>
              <w:t>la</w:t>
            </w:r>
            <w:r w:rsidR="00836390">
              <w:rPr>
                <w:lang w:val="fr-FR"/>
              </w:rPr>
              <w:t xml:space="preserve"> </w:t>
            </w:r>
            <w:r w:rsidR="00712DC3" w:rsidRPr="00712DC3">
              <w:rPr>
                <w:lang w:val="fr-FR"/>
              </w:rPr>
              <w:t>nécessité d’établir</w:t>
            </w:r>
            <w:r w:rsidR="00836390">
              <w:rPr>
                <w:lang w:val="fr-FR"/>
              </w:rPr>
              <w:t xml:space="preserve"> </w:t>
            </w:r>
            <w:r w:rsidR="00712DC3" w:rsidRPr="00712DC3">
              <w:rPr>
                <w:lang w:val="fr-FR"/>
              </w:rPr>
              <w:t>un cadre pour l’innovation à</w:t>
            </w:r>
            <w:r w:rsidR="00836390">
              <w:rPr>
                <w:lang w:val="fr-FR"/>
              </w:rPr>
              <w:t xml:space="preserve"> </w:t>
            </w:r>
            <w:r w:rsidR="00712DC3" w:rsidRPr="00712DC3">
              <w:rPr>
                <w:lang w:val="fr-FR"/>
              </w:rPr>
              <w:t>l'UIT-D.</w:t>
            </w:r>
          </w:p>
          <w:p w:rsidR="00712DC3" w:rsidRPr="00712DC3" w:rsidRDefault="00712DC3" w:rsidP="00712DC3">
            <w:pPr>
              <w:rPr>
                <w:lang w:val="fr-FR"/>
              </w:rPr>
            </w:pPr>
            <w:r w:rsidRPr="00712DC3">
              <w:rPr>
                <w:lang w:val="fr-FR"/>
              </w:rPr>
              <w:t>A la suite de</w:t>
            </w:r>
            <w:r w:rsidR="00836390">
              <w:rPr>
                <w:lang w:val="fr-FR"/>
              </w:rPr>
              <w:t xml:space="preserve"> </w:t>
            </w:r>
            <w:r w:rsidRPr="00712DC3">
              <w:rPr>
                <w:lang w:val="fr-FR"/>
              </w:rPr>
              <w:t>nombreuses consultations et de dialogues approfondis menés auprès de différentes régions et lors de manifestations mondiales, on a élaboré un cadre d'innovation</w:t>
            </w:r>
            <w:r w:rsidR="00836390">
              <w:rPr>
                <w:lang w:val="fr-FR"/>
              </w:rPr>
              <w:t xml:space="preserve"> </w:t>
            </w:r>
            <w:r w:rsidRPr="00712DC3">
              <w:rPr>
                <w:lang w:val="fr-FR"/>
              </w:rPr>
              <w:t>définissant les piliers fondamentaux du suivi, du diagnostic, du développement et de l'évolution des écosystèmes d'innovation centrés sur les TIC. Le cadre pour l’innovation à</w:t>
            </w:r>
            <w:r w:rsidR="00836390">
              <w:rPr>
                <w:lang w:val="fr-FR"/>
              </w:rPr>
              <w:t xml:space="preserve"> </w:t>
            </w:r>
            <w:r w:rsidRPr="00712DC3">
              <w:rPr>
                <w:lang w:val="fr-FR"/>
              </w:rPr>
              <w:t>l'UIT-D servira de modèle de base pour un outil d'autoévaluation que les membres pourront utiliser afin d'élaborer des programmes, des recommandations de politiques générales, des initiatives et des projets visant à renforcer aux niveaux local, national, régional et mondial leurs écosystèmes d'innovation centrés sur les TIC.</w:t>
            </w:r>
          </w:p>
          <w:p w:rsidR="00712DC3" w:rsidRPr="00712DC3" w:rsidRDefault="00712DC3" w:rsidP="00712DC3">
            <w:pPr>
              <w:rPr>
                <w:lang w:val="fr-FR"/>
              </w:rPr>
            </w:pPr>
            <w:r w:rsidRPr="00712DC3">
              <w:rPr>
                <w:lang w:val="fr-FR"/>
              </w:rPr>
              <w:t>Le cadre et la méthodologie à utiliser pour les analyses par pays des écosystèmes d'innovation centrés sur les TIC ont été élaborés dans le cadre d'un partenariat entre l'UIT, la Conférence des Nations Unies sur le commerce et le développement (CNUCED) et l'Organisation des Nations Unies pour le développement industriel (ONUDI).</w:t>
            </w:r>
          </w:p>
          <w:p w:rsidR="00712DC3" w:rsidRPr="00712DC3" w:rsidRDefault="00712DC3" w:rsidP="00712DC3">
            <w:pPr>
              <w:rPr>
                <w:lang w:val="fr-FR"/>
              </w:rPr>
            </w:pPr>
            <w:r w:rsidRPr="00712DC3">
              <w:rPr>
                <w:lang w:val="fr-FR"/>
              </w:rPr>
              <w:t>Ce cadre a fait l'objet de consultations et de révisions auprès des membres lors de l’édition de</w:t>
            </w:r>
            <w:r w:rsidR="00836390">
              <w:rPr>
                <w:lang w:val="fr-FR"/>
              </w:rPr>
              <w:t xml:space="preserve"> </w:t>
            </w:r>
            <w:r w:rsidRPr="00712DC3">
              <w:rPr>
                <w:lang w:val="fr-FR"/>
              </w:rPr>
              <w:t>2016 du SMSI</w:t>
            </w:r>
            <w:r w:rsidR="00836390">
              <w:rPr>
                <w:lang w:val="fr-FR"/>
              </w:rPr>
              <w:t xml:space="preserve"> </w:t>
            </w:r>
            <w:r w:rsidRPr="00712DC3">
              <w:rPr>
                <w:lang w:val="fr-FR"/>
              </w:rPr>
              <w:t>à Genève, au cours de trois sessions qui ont rassemblé plus de 75 participants.</w:t>
            </w:r>
          </w:p>
          <w:p w:rsidR="00712DC3" w:rsidRPr="00712DC3" w:rsidRDefault="00712DC3" w:rsidP="00712DC3">
            <w:pPr>
              <w:rPr>
                <w:lang w:val="fr-FR"/>
              </w:rPr>
            </w:pPr>
            <w:r w:rsidRPr="00712DC3">
              <w:rPr>
                <w:lang w:val="fr-FR"/>
              </w:rPr>
              <w:t>Il a également été révisé et validé lors du dialogue sur l'innovation</w:t>
            </w:r>
            <w:r w:rsidR="00836390">
              <w:rPr>
                <w:lang w:val="fr-FR"/>
              </w:rPr>
              <w:t xml:space="preserve"> </w:t>
            </w:r>
            <w:r w:rsidRPr="00712DC3">
              <w:rPr>
                <w:lang w:val="fr-FR"/>
              </w:rPr>
              <w:t>UIT - Organisation de coopération et de développement économiques (OCDE)</w:t>
            </w:r>
            <w:r w:rsidR="00CC128E">
              <w:rPr>
                <w:lang w:val="fr-FR"/>
              </w:rPr>
              <w:t>,</w:t>
            </w:r>
            <w:r w:rsidRPr="00712DC3">
              <w:rPr>
                <w:lang w:val="fr-FR"/>
              </w:rPr>
              <w:t xml:space="preserve"> à l'occasion de la réunion ministérielle de l'OCDE sur l'économie numérique</w:t>
            </w:r>
            <w:r w:rsidR="00836390">
              <w:rPr>
                <w:lang w:val="fr-FR"/>
              </w:rPr>
              <w:t xml:space="preserve"> </w:t>
            </w:r>
            <w:r w:rsidRPr="00712DC3">
              <w:rPr>
                <w:lang w:val="fr-FR"/>
              </w:rPr>
              <w:t>qui s’est tenue le 23 juin 2016 à Cancún (Mexique) et a été dirigée et animée par 20 experts mondiaux</w:t>
            </w:r>
            <w:r w:rsidR="00836390">
              <w:rPr>
                <w:lang w:val="fr-FR"/>
              </w:rPr>
              <w:t xml:space="preserve"> </w:t>
            </w:r>
            <w:r w:rsidRPr="00712DC3">
              <w:rPr>
                <w:lang w:val="fr-FR"/>
              </w:rPr>
              <w:t xml:space="preserve">de renom en matière d'innovation. </w:t>
            </w:r>
          </w:p>
          <w:p w:rsidR="00712DC3" w:rsidRPr="00712DC3" w:rsidRDefault="00712DC3" w:rsidP="00712DC3">
            <w:pPr>
              <w:rPr>
                <w:lang w:val="fr-FR"/>
              </w:rPr>
            </w:pPr>
            <w:r w:rsidRPr="00712DC3">
              <w:rPr>
                <w:lang w:val="fr-FR"/>
              </w:rPr>
              <w:t>Une analyse nationale de l'innovation centrée sur les TIC a été effectuée pour l'Albanie et a réuni plus de 50 participants, issus des principales parties prenantes</w:t>
            </w:r>
            <w:r w:rsidR="00836390">
              <w:rPr>
                <w:lang w:val="fr-FR"/>
              </w:rPr>
              <w:t xml:space="preserve"> </w:t>
            </w:r>
            <w:r w:rsidRPr="00712DC3">
              <w:rPr>
                <w:lang w:val="fr-FR"/>
              </w:rPr>
              <w:t>qui représentaient 40 organisations participantes dans le cadre</w:t>
            </w:r>
            <w:r w:rsidR="00836390">
              <w:rPr>
                <w:lang w:val="fr-FR"/>
              </w:rPr>
              <w:t xml:space="preserve"> </w:t>
            </w:r>
            <w:r w:rsidRPr="00712DC3">
              <w:rPr>
                <w:lang w:val="fr-FR"/>
              </w:rPr>
              <w:t>d’un projet d'innovation mondial conçu et financé par la République de Corée. D'autres analyses nationales faisant appel à la même méthode de consultation des parties prenantes sont en cours</w:t>
            </w:r>
            <w:r w:rsidR="00836390">
              <w:rPr>
                <w:lang w:val="fr-FR"/>
              </w:rPr>
              <w:t xml:space="preserve"> </w:t>
            </w:r>
            <w:r w:rsidRPr="00712DC3">
              <w:rPr>
                <w:lang w:val="fr-FR"/>
              </w:rPr>
              <w:t>au Rwanda et</w:t>
            </w:r>
            <w:r w:rsidR="00836390">
              <w:rPr>
                <w:lang w:val="fr-FR"/>
              </w:rPr>
              <w:t xml:space="preserve"> </w:t>
            </w:r>
            <w:r w:rsidRPr="00712DC3">
              <w:rPr>
                <w:lang w:val="fr-FR"/>
              </w:rPr>
              <w:t>en Thaïlande</w:t>
            </w:r>
            <w:r w:rsidR="00836390">
              <w:rPr>
                <w:lang w:val="fr-FR"/>
              </w:rPr>
              <w:t>.</w:t>
            </w:r>
            <w:r w:rsidRPr="00712DC3">
              <w:rPr>
                <w:lang w:val="fr-FR"/>
              </w:rPr>
              <w:t xml:space="preserve"> Ces analyses débouchent sur la formulation de politiques et de recommandations adaptées aux circonstances locales, et permettent de gérer et d'affiner la méthodologie en partenariat avec la CNUCED et l'ONUDI.</w:t>
            </w:r>
          </w:p>
          <w:p w:rsidR="00712DC3" w:rsidRPr="00712DC3" w:rsidRDefault="00712DC3" w:rsidP="00712DC3">
            <w:pPr>
              <w:rPr>
                <w:lang w:val="fr-FR"/>
              </w:rPr>
            </w:pPr>
            <w:r w:rsidRPr="00712DC3">
              <w:rPr>
                <w:lang w:val="fr-FR"/>
              </w:rPr>
              <w:t>Des outils en faveur de l'innovation et des procédures permettant d'utiliser des processus et méthodes fondées sur les TIC innovantes ont été élaborés en vue de favoriser les économies d'échelle. On citera par exemple:</w:t>
            </w:r>
          </w:p>
          <w:p w:rsidR="00712DC3" w:rsidRPr="00712DC3" w:rsidRDefault="00712DC3" w:rsidP="005024F4">
            <w:pPr>
              <w:pStyle w:val="enumlev1"/>
              <w:rPr>
                <w:lang w:val="fr-FR"/>
              </w:rPr>
            </w:pPr>
            <w:r w:rsidRPr="00712DC3">
              <w:rPr>
                <w:lang w:val="fr-FR"/>
              </w:rPr>
              <w:t>–</w:t>
            </w:r>
            <w:r w:rsidRPr="00712DC3">
              <w:rPr>
                <w:lang w:val="fr-FR"/>
              </w:rPr>
              <w:tab/>
              <w:t xml:space="preserve">Une plate-forme d'innovation </w:t>
            </w:r>
            <w:r w:rsidR="00A27F03">
              <w:rPr>
                <w:lang w:val="fr-FR"/>
              </w:rPr>
              <w:t>(</w:t>
            </w:r>
            <w:r w:rsidRPr="00712DC3">
              <w:rPr>
                <w:lang w:val="fr-FR"/>
              </w:rPr>
              <w:t>portail innovation.itu.int), qui a pour but de favoriser le partage des connaissances et la communication entre les parties prenantes des écosystèmes d'innovation centrés sur les TIC.</w:t>
            </w:r>
          </w:p>
          <w:p w:rsidR="00712DC3" w:rsidRPr="00712DC3" w:rsidRDefault="00712DC3" w:rsidP="005024F4">
            <w:pPr>
              <w:pStyle w:val="enumlev1"/>
              <w:rPr>
                <w:lang w:val="fr-FR"/>
              </w:rPr>
            </w:pPr>
            <w:r w:rsidRPr="00712DC3">
              <w:rPr>
                <w:lang w:val="fr-FR"/>
              </w:rPr>
              <w:t>–</w:t>
            </w:r>
            <w:r w:rsidRPr="00712DC3">
              <w:rPr>
                <w:lang w:val="fr-FR"/>
              </w:rPr>
              <w:tab/>
              <w:t xml:space="preserve">Un outil de cocréation (cocreate.itu.int), destiné à faciliter la cocréation entre les membres. Il a été utilisé en faveur de plusieurs générations de gestion d'idées au sein du BDT. Récemment, il a servi à cocréer des thèmes pour la CMDT et pour solliciter des </w:t>
            </w:r>
            <w:r w:rsidRPr="00712DC3">
              <w:rPr>
                <w:lang w:val="fr-FR"/>
              </w:rPr>
              <w:lastRenderedPageBreak/>
              <w:t>contributions de la part des commissions d'études de l'UIT-D au moyen d'un processus pilote d'examen de la société intelligente.</w:t>
            </w:r>
          </w:p>
          <w:p w:rsidR="00712DC3" w:rsidRPr="00712DC3" w:rsidRDefault="00712DC3" w:rsidP="005024F4">
            <w:pPr>
              <w:pStyle w:val="enumlev1"/>
              <w:rPr>
                <w:lang w:val="fr-FR"/>
              </w:rPr>
            </w:pPr>
            <w:r w:rsidRPr="00712DC3">
              <w:rPr>
                <w:lang w:val="fr-FR"/>
              </w:rPr>
              <w:t>–</w:t>
            </w:r>
            <w:r w:rsidRPr="00712DC3">
              <w:rPr>
                <w:lang w:val="fr-FR"/>
              </w:rPr>
              <w:tab/>
              <w:t>Une méthodologie de "design thinking" (processus créatif) a été élaborée pour la mise en place de dialogues sur l'innovation,</w:t>
            </w:r>
            <w:r w:rsidR="00836390">
              <w:rPr>
                <w:lang w:val="fr-FR"/>
              </w:rPr>
              <w:t xml:space="preserve"> </w:t>
            </w:r>
            <w:r w:rsidRPr="00712DC3">
              <w:rPr>
                <w:lang w:val="fr-FR"/>
              </w:rPr>
              <w:t>l'évaluation et</w:t>
            </w:r>
            <w:r w:rsidR="00836390">
              <w:rPr>
                <w:lang w:val="fr-FR"/>
              </w:rPr>
              <w:t xml:space="preserve"> </w:t>
            </w:r>
            <w:r w:rsidRPr="00712DC3">
              <w:rPr>
                <w:lang w:val="fr-FR"/>
              </w:rPr>
              <w:t>la conception de cadres relatifs à l'innovation numérique.</w:t>
            </w:r>
          </w:p>
          <w:p w:rsidR="00712DC3" w:rsidRPr="00712DC3" w:rsidRDefault="00712DC3" w:rsidP="005024F4">
            <w:pPr>
              <w:pStyle w:val="enumlev1"/>
              <w:rPr>
                <w:lang w:val="fr-FR"/>
              </w:rPr>
            </w:pPr>
            <w:r w:rsidRPr="00712DC3">
              <w:rPr>
                <w:lang w:val="fr-FR"/>
              </w:rPr>
              <w:t>–</w:t>
            </w:r>
            <w:r w:rsidRPr="00712DC3">
              <w:rPr>
                <w:lang w:val="fr-FR"/>
              </w:rPr>
              <w:tab/>
              <w:t>Conformément au mandat de la CMDT-14 relatif à l'innovation interne au sein de l'UIT, particulièrement de l'UIT-D, différentes activités ont été menées en vue d'améliorer les services fournis aux membres et aux partenaires: citons la présentation et la mise en oeuvre de l'outil de cocréation au service des commissions d'études de l'UIT</w:t>
            </w:r>
            <w:r w:rsidRPr="00712DC3">
              <w:rPr>
                <w:lang w:val="fr-FR"/>
              </w:rPr>
              <w:noBreakHyphen/>
              <w:t>D (de décembre 2015 à février 2016), qui ont mobilisé 27 membres des commissions d'études.</w:t>
            </w:r>
          </w:p>
          <w:p w:rsidR="00712DC3" w:rsidRPr="00712DC3" w:rsidRDefault="00712DC3" w:rsidP="00712DC3">
            <w:pPr>
              <w:rPr>
                <w:lang w:val="fr-FR"/>
              </w:rPr>
            </w:pPr>
            <w:r w:rsidRPr="00712DC3">
              <w:rPr>
                <w:lang w:val="fr-FR"/>
              </w:rPr>
              <w:t>La 6ème réunion des directeurs de la réglementation a été organisée à Charm el</w:t>
            </w:r>
            <w:r w:rsidRPr="00712DC3">
              <w:rPr>
                <w:lang w:val="fr-FR"/>
              </w:rPr>
              <w:noBreakHyphen/>
              <w:t>Cheikh (Egypte) le 11 mai 2016 en tant que manifestation préalable au GSR</w:t>
            </w:r>
            <w:r w:rsidRPr="00712DC3">
              <w:rPr>
                <w:lang w:val="fr-FR"/>
              </w:rPr>
              <w:noBreakHyphen/>
              <w:t>16: 20 participants ont réaffirmé la nécessité de partager et de gérer avec les régulateurs intéressés un ensemble de propositions choisies d’un commun accord.</w:t>
            </w:r>
          </w:p>
          <w:p w:rsidR="00712DC3" w:rsidRPr="00712DC3" w:rsidRDefault="00712DC3" w:rsidP="00712DC3">
            <w:pPr>
              <w:rPr>
                <w:lang w:val="fr-FR"/>
              </w:rPr>
            </w:pPr>
            <w:r w:rsidRPr="00712DC3">
              <w:rPr>
                <w:lang w:val="fr-FR"/>
              </w:rPr>
              <w:t>De plus</w:t>
            </w:r>
            <w:r w:rsidR="00836390">
              <w:rPr>
                <w:lang w:val="fr-FR"/>
              </w:rPr>
              <w:t>,</w:t>
            </w:r>
            <w:r w:rsidRPr="00712DC3">
              <w:rPr>
                <w:lang w:val="fr-FR"/>
              </w:rPr>
              <w:t xml:space="preserve"> un débat de dirigeants du secteur privé a été </w:t>
            </w:r>
            <w:r w:rsidR="006A2D50" w:rsidRPr="00712DC3">
              <w:rPr>
                <w:lang w:val="fr-FR"/>
              </w:rPr>
              <w:t>organisé</w:t>
            </w:r>
            <w:r w:rsidRPr="00712DC3">
              <w:rPr>
                <w:lang w:val="fr-FR"/>
              </w:rPr>
              <w:t xml:space="preserve"> le 14 mai 2016</w:t>
            </w:r>
            <w:r w:rsidR="00836390">
              <w:rPr>
                <w:lang w:val="fr-FR"/>
              </w:rPr>
              <w:t xml:space="preserve">, </w:t>
            </w:r>
            <w:r w:rsidRPr="00712DC3">
              <w:rPr>
                <w:lang w:val="fr-FR"/>
              </w:rPr>
              <w:t>parallèlement à</w:t>
            </w:r>
            <w:r w:rsidR="00836390">
              <w:rPr>
                <w:lang w:val="fr-FR"/>
              </w:rPr>
              <w:t xml:space="preserve"> </w:t>
            </w:r>
            <w:r w:rsidRPr="00712DC3">
              <w:rPr>
                <w:lang w:val="fr-FR"/>
              </w:rPr>
              <w:t>la session à l'intention des régulateurs tenue le dernier jour du GSR-16.</w:t>
            </w:r>
            <w:r w:rsidR="00836390">
              <w:rPr>
                <w:lang w:val="fr-FR"/>
              </w:rPr>
              <w:t xml:space="preserve"> </w:t>
            </w:r>
            <w:r w:rsidRPr="00712DC3">
              <w:rPr>
                <w:lang w:val="fr-FR"/>
              </w:rPr>
              <w:t>Ce débat, qui a rassemblé plus de 30 participants du secteur privé,</w:t>
            </w:r>
            <w:r w:rsidR="00836390">
              <w:rPr>
                <w:lang w:val="fr-FR"/>
              </w:rPr>
              <w:t xml:space="preserve"> </w:t>
            </w:r>
            <w:r w:rsidRPr="00712DC3">
              <w:rPr>
                <w:lang w:val="fr-FR"/>
              </w:rPr>
              <w:t>a porté sur l'incidence des innovations ouvertes et des nouveaux modèles économiques sur la réglementation collaborative, ainsi que sur l'importance des indicateurs fondamentaux de performance en matière de réglementation</w:t>
            </w:r>
            <w:r w:rsidR="005024F4">
              <w:rPr>
                <w:lang w:val="fr-FR"/>
              </w:rPr>
              <w:t>.</w:t>
            </w:r>
          </w:p>
          <w:p w:rsidR="00712DC3" w:rsidRPr="00712DC3" w:rsidRDefault="00712DC3" w:rsidP="00712DC3">
            <w:pPr>
              <w:rPr>
                <w:lang w:val="fr-FR"/>
              </w:rPr>
            </w:pPr>
            <w:r w:rsidRPr="00712DC3">
              <w:rPr>
                <w:lang w:val="fr-FR"/>
              </w:rPr>
              <w:t>La 7ème réunion des directeurs de la réglementation se tiendra à Bangkok (Thaïlande) le 13 novembre 2016, avant ITU Telecom. Elle devrait être axée sur des études de cas concrètes et des propositions de projets à élaborer</w:t>
            </w:r>
            <w:r w:rsidR="007D043A">
              <w:rPr>
                <w:lang w:val="fr-FR"/>
              </w:rPr>
              <w:t>.</w:t>
            </w:r>
          </w:p>
          <w:p w:rsidR="00712DC3" w:rsidRPr="00712DC3" w:rsidRDefault="00712DC3" w:rsidP="007D043A">
            <w:pPr>
              <w:rPr>
                <w:lang w:val="fr-FR"/>
              </w:rPr>
            </w:pPr>
            <w:r w:rsidRPr="00712DC3">
              <w:rPr>
                <w:lang w:val="fr-FR"/>
              </w:rPr>
              <w:t>Des partenariats avec des établissements universitaires visant à favoriser le développement des télécommunications/TIC, en mettant en oeuvre de nouvelles technologies et en stimulant l’innovation</w:t>
            </w:r>
            <w:r w:rsidR="00836390">
              <w:rPr>
                <w:lang w:val="fr-FR"/>
              </w:rPr>
              <w:t xml:space="preserve"> </w:t>
            </w:r>
            <w:r w:rsidRPr="00712DC3">
              <w:rPr>
                <w:lang w:val="fr-FR"/>
              </w:rPr>
              <w:t>dans le secteur des TIC, ont été, et sont encore, encouragés, notamment grâce à de nouvelles études et plates-formes destinées à favoriser le dialogue avec les membres issus des milieux universitaires</w:t>
            </w:r>
            <w:r w:rsidR="007D043A">
              <w:rPr>
                <w:lang w:val="fr-FR"/>
              </w:rPr>
              <w:t>.</w:t>
            </w:r>
          </w:p>
        </w:tc>
      </w:tr>
      <w:tr w:rsidR="00712DC3" w:rsidRPr="00712DC3" w:rsidTr="00D476A5">
        <w:tc>
          <w:tcPr>
            <w:tcW w:w="3256" w:type="dxa"/>
            <w:tcBorders>
              <w:top w:val="single" w:sz="4" w:space="0" w:color="auto"/>
              <w:bottom w:val="single" w:sz="4" w:space="0" w:color="auto"/>
              <w:right w:val="single" w:sz="4" w:space="0" w:color="auto"/>
            </w:tcBorders>
          </w:tcPr>
          <w:p w:rsidR="00712DC3" w:rsidRPr="00CF78B8" w:rsidRDefault="00431AC4" w:rsidP="00712DC3">
            <w:pPr>
              <w:rPr>
                <w:i/>
                <w:iCs/>
                <w:szCs w:val="24"/>
              </w:rPr>
            </w:pPr>
            <w:r w:rsidRPr="00CF78B8">
              <w:rPr>
                <w:i/>
                <w:iCs/>
              </w:rPr>
              <w:lastRenderedPageBreak/>
              <w:t xml:space="preserve">Contribution aux cibles des ODD </w:t>
            </w:r>
          </w:p>
        </w:tc>
        <w:tc>
          <w:tcPr>
            <w:tcW w:w="6373" w:type="dxa"/>
            <w:tcBorders>
              <w:top w:val="single" w:sz="4" w:space="0" w:color="auto"/>
              <w:left w:val="single" w:sz="4" w:space="0" w:color="auto"/>
              <w:bottom w:val="single" w:sz="4" w:space="0" w:color="auto"/>
            </w:tcBorders>
          </w:tcPr>
          <w:p w:rsidR="00712DC3" w:rsidRPr="00712DC3" w:rsidRDefault="00712DC3" w:rsidP="00CC128E">
            <w:r w:rsidRPr="00712DC3">
              <w:rPr>
                <w:szCs w:val="24"/>
              </w:rPr>
              <w:t>ODD</w:t>
            </w:r>
            <w:r w:rsidR="00836390">
              <w:rPr>
                <w:szCs w:val="24"/>
              </w:rPr>
              <w:t>:</w:t>
            </w:r>
            <w:r w:rsidRPr="00712DC3">
              <w:rPr>
                <w:szCs w:val="24"/>
              </w:rPr>
              <w:t xml:space="preserve"> 1 (cibles 1.a; 1.b), 2 (cibles 2.a, 2.c), 3, 4 (cibles 4.a, 4.b, 4.3, 4.7), 5 (cibles 5.b, 5.6), 8 (cibles 8.2, 8.3, 8.6, 8.10, 8.b), 9 (cibles 9.5, 9.b, 9.c), 10, 11 (cibles 11.1, 11.4), 12, 13 (cible 13.3), 16, 17 (cibles 17.1, 17.3, 17.9, 17.14, 17.16, 17.17)</w:t>
            </w:r>
          </w:p>
        </w:tc>
      </w:tr>
      <w:tr w:rsidR="00712DC3" w:rsidRPr="00712DC3" w:rsidTr="00D476A5">
        <w:trPr>
          <w:trHeight w:val="397"/>
        </w:trPr>
        <w:tc>
          <w:tcPr>
            <w:tcW w:w="3256" w:type="dxa"/>
            <w:tcBorders>
              <w:top w:val="single" w:sz="4" w:space="0" w:color="auto"/>
              <w:bottom w:val="single" w:sz="4" w:space="0" w:color="auto"/>
              <w:right w:val="single" w:sz="4" w:space="0" w:color="auto"/>
            </w:tcBorders>
          </w:tcPr>
          <w:p w:rsidR="00712DC3" w:rsidRPr="00CF78B8" w:rsidRDefault="00712DC3" w:rsidP="00712DC3">
            <w:pPr>
              <w:rPr>
                <w:i/>
                <w:iCs/>
                <w:szCs w:val="24"/>
              </w:rPr>
            </w:pPr>
            <w:r w:rsidRPr="00CF78B8">
              <w:rPr>
                <w:i/>
                <w:iCs/>
              </w:rPr>
              <w:t>Grandes orientations du SMSI</w:t>
            </w:r>
          </w:p>
        </w:tc>
        <w:tc>
          <w:tcPr>
            <w:tcW w:w="6373" w:type="dxa"/>
            <w:tcBorders>
              <w:top w:val="single" w:sz="4" w:space="0" w:color="auto"/>
              <w:left w:val="single" w:sz="4" w:space="0" w:color="auto"/>
              <w:bottom w:val="single" w:sz="4" w:space="0" w:color="auto"/>
            </w:tcBorders>
          </w:tcPr>
          <w:p w:rsidR="00712DC3" w:rsidRPr="00712DC3" w:rsidRDefault="007D043A" w:rsidP="00712DC3">
            <w:pPr>
              <w:rPr>
                <w:szCs w:val="24"/>
                <w:lang w:val="fr-FR"/>
              </w:rPr>
            </w:pPr>
            <w:r>
              <w:rPr>
                <w:lang w:val="fr-FR"/>
              </w:rPr>
              <w:t>G</w:t>
            </w:r>
            <w:r w:rsidR="00712DC3" w:rsidRPr="00712DC3">
              <w:rPr>
                <w:lang w:val="fr-FR"/>
              </w:rPr>
              <w:t>randes orientations 3, 4, 5, 6 et 7 du SMSI figurant dans le Plan d'action de Genève, et</w:t>
            </w:r>
            <w:r w:rsidR="00836390">
              <w:rPr>
                <w:lang w:val="fr-FR"/>
              </w:rPr>
              <w:t xml:space="preserve"> </w:t>
            </w:r>
            <w:r w:rsidR="00712DC3" w:rsidRPr="00712DC3">
              <w:rPr>
                <w:lang w:val="fr-FR"/>
              </w:rPr>
              <w:t>section de l'Agenda de Tunis pour la société de l'information intitulée "Mécanismes de financement pour relever le défi que représente l'utilisation des TIC au service du développement"</w:t>
            </w:r>
          </w:p>
        </w:tc>
      </w:tr>
      <w:tr w:rsidR="00712DC3" w:rsidRPr="00712DC3" w:rsidTr="00D476A5">
        <w:tc>
          <w:tcPr>
            <w:tcW w:w="3256" w:type="dxa"/>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t>Résolutions:</w:t>
            </w:r>
          </w:p>
        </w:tc>
        <w:tc>
          <w:tcPr>
            <w:tcW w:w="6373" w:type="dxa"/>
            <w:tcBorders>
              <w:top w:val="single" w:sz="4" w:space="0" w:color="auto"/>
              <w:left w:val="single" w:sz="4" w:space="0" w:color="auto"/>
              <w:bottom w:val="single" w:sz="4" w:space="0" w:color="auto"/>
            </w:tcBorders>
          </w:tcPr>
          <w:p w:rsidR="00712DC3" w:rsidRPr="00712DC3" w:rsidRDefault="00712DC3" w:rsidP="00712DC3">
            <w:pPr>
              <w:rPr>
                <w:lang w:val="fr-FR"/>
              </w:rPr>
            </w:pPr>
            <w:r w:rsidRPr="00712DC3">
              <w:rPr>
                <w:lang w:val="fr-FR"/>
              </w:rPr>
              <w:t>Décisions 5 et 13</w:t>
            </w:r>
            <w:r w:rsidR="00836390">
              <w:rPr>
                <w:lang w:val="fr-FR"/>
              </w:rPr>
              <w:t xml:space="preserve"> </w:t>
            </w:r>
            <w:r w:rsidR="007D043A">
              <w:rPr>
                <w:lang w:val="fr-FR"/>
              </w:rPr>
              <w:t>de la PP</w:t>
            </w:r>
          </w:p>
          <w:p w:rsidR="00712DC3" w:rsidRPr="00712DC3" w:rsidRDefault="00712DC3" w:rsidP="00712DC3">
            <w:pPr>
              <w:rPr>
                <w:szCs w:val="24"/>
              </w:rPr>
            </w:pPr>
            <w:r w:rsidRPr="00712DC3">
              <w:rPr>
                <w:lang w:val="en-US"/>
              </w:rPr>
              <w:t>Résolutions: 25, 71, 72, 172 de la PP</w:t>
            </w:r>
          </w:p>
        </w:tc>
      </w:tr>
    </w:tbl>
    <w:p w:rsidR="00712DC3" w:rsidRPr="00712DC3" w:rsidRDefault="00712DC3" w:rsidP="007D043A">
      <w:pPr>
        <w:pStyle w:val="Heading1"/>
        <w:rPr>
          <w:lang w:val="fr-FR"/>
        </w:rPr>
      </w:pPr>
      <w:bookmarkStart w:id="17" w:name="_Toc467807696"/>
      <w:bookmarkStart w:id="18" w:name="_Toc468087095"/>
      <w:r w:rsidRPr="00712DC3">
        <w:rPr>
          <w:lang w:val="fr-FR"/>
        </w:rPr>
        <w:lastRenderedPageBreak/>
        <w:t>3</w:t>
      </w:r>
      <w:r w:rsidRPr="00712DC3">
        <w:rPr>
          <w:lang w:val="fr-FR"/>
        </w:rPr>
        <w:tab/>
      </w:r>
      <w:r w:rsidRPr="00712DC3">
        <w:t>Objectif</w:t>
      </w:r>
      <w:r w:rsidRPr="00712DC3">
        <w:rPr>
          <w:lang w:val="fr-FR"/>
        </w:rPr>
        <w:t xml:space="preserve"> 3</w:t>
      </w:r>
      <w:bookmarkStart w:id="19" w:name="_Toc467807697"/>
      <w:bookmarkStart w:id="20" w:name="_Toc468087096"/>
      <w:bookmarkEnd w:id="17"/>
      <w:bookmarkEnd w:id="18"/>
      <w:r w:rsidRPr="00712DC3">
        <w:rPr>
          <w:lang w:val="fr-FR"/>
        </w:rPr>
        <w:t xml:space="preserve">: </w:t>
      </w:r>
      <w:r w:rsidRPr="00D476A5">
        <w:rPr>
          <w:i/>
          <w:iCs/>
          <w:lang w:val="fr-FR"/>
        </w:rPr>
        <w:t>"Renforcer la confiance et la sécurité dans l'utilisation des télécommunications/TIC, ainsi que dans le déploiement des applications et des services correspondants</w:t>
      </w:r>
      <w:bookmarkEnd w:id="19"/>
      <w:bookmarkEnd w:id="20"/>
      <w:r w:rsidRPr="00D476A5">
        <w:rPr>
          <w:i/>
          <w:iCs/>
          <w:lang w:val="fr-FR"/>
        </w:rPr>
        <w:t>"</w:t>
      </w:r>
    </w:p>
    <w:p w:rsidR="00712DC3" w:rsidRPr="00712DC3" w:rsidRDefault="00712DC3" w:rsidP="007D043A">
      <w:pPr>
        <w:pStyle w:val="enumlev1"/>
        <w:rPr>
          <w:lang w:val="fr-FR"/>
        </w:rPr>
      </w:pPr>
      <w:r w:rsidRPr="00712DC3">
        <w:rPr>
          <w:lang w:val="fr-FR"/>
        </w:rPr>
        <w:t>•</w:t>
      </w:r>
      <w:r w:rsidRPr="00712DC3">
        <w:rPr>
          <w:lang w:val="fr-FR"/>
        </w:rPr>
        <w:tab/>
        <w:t>Trois cyberexercices régionaux, auxquels ont participé des représentants de 37</w:t>
      </w:r>
      <w:r w:rsidR="00836390">
        <w:rPr>
          <w:lang w:val="fr-FR"/>
        </w:rPr>
        <w:t xml:space="preserve"> </w:t>
      </w:r>
      <w:r w:rsidRPr="00712DC3">
        <w:rPr>
          <w:lang w:val="fr-FR"/>
        </w:rPr>
        <w:t xml:space="preserve">pays, ont été organisés dans les </w:t>
      </w:r>
      <w:r w:rsidR="006A2D50" w:rsidRPr="00712DC3">
        <w:rPr>
          <w:lang w:val="fr-FR"/>
        </w:rPr>
        <w:t>régions</w:t>
      </w:r>
      <w:r w:rsidRPr="00712DC3">
        <w:rPr>
          <w:lang w:val="fr-FR"/>
        </w:rPr>
        <w:t xml:space="preserve"> Afrique,</w:t>
      </w:r>
      <w:r w:rsidR="00836390">
        <w:rPr>
          <w:lang w:val="fr-FR"/>
        </w:rPr>
        <w:t xml:space="preserve"> </w:t>
      </w:r>
      <w:r w:rsidRPr="00712DC3">
        <w:rPr>
          <w:lang w:val="fr-FR"/>
        </w:rPr>
        <w:t>Amérique</w:t>
      </w:r>
      <w:r w:rsidR="007D043A">
        <w:rPr>
          <w:lang w:val="fr-FR"/>
        </w:rPr>
        <w:t>s</w:t>
      </w:r>
      <w:r w:rsidRPr="00712DC3">
        <w:rPr>
          <w:lang w:val="fr-FR"/>
        </w:rPr>
        <w:t xml:space="preserve"> et</w:t>
      </w:r>
      <w:r w:rsidR="00836390">
        <w:rPr>
          <w:lang w:val="fr-FR"/>
        </w:rPr>
        <w:t xml:space="preserve"> </w:t>
      </w:r>
      <w:r w:rsidR="007D043A">
        <w:rPr>
          <w:lang w:val="fr-FR"/>
        </w:rPr>
        <w:t>Etats arabes.</w:t>
      </w:r>
    </w:p>
    <w:p w:rsidR="00712DC3" w:rsidRPr="00712DC3" w:rsidRDefault="00712DC3" w:rsidP="007D043A">
      <w:pPr>
        <w:pStyle w:val="enumlev1"/>
        <w:rPr>
          <w:lang w:val="fr-FR"/>
        </w:rPr>
      </w:pPr>
      <w:r w:rsidRPr="00712DC3">
        <w:rPr>
          <w:lang w:val="fr-FR"/>
        </w:rPr>
        <w:t>•</w:t>
      </w:r>
      <w:r w:rsidRPr="00712DC3">
        <w:rPr>
          <w:lang w:val="fr-FR"/>
        </w:rPr>
        <w:tab/>
      </w:r>
      <w:r w:rsidR="007D043A">
        <w:rPr>
          <w:lang w:val="fr-FR"/>
        </w:rPr>
        <w:t>D</w:t>
      </w:r>
      <w:r w:rsidRPr="00712DC3">
        <w:rPr>
          <w:lang w:val="fr-FR"/>
        </w:rPr>
        <w:t>es pays ont reçu une assistance pour l’établissem</w:t>
      </w:r>
      <w:r w:rsidR="00CC128E">
        <w:rPr>
          <w:lang w:val="fr-FR"/>
        </w:rPr>
        <w:t xml:space="preserve">ent de </w:t>
      </w:r>
      <w:r w:rsidR="006A2D50">
        <w:rPr>
          <w:lang w:val="fr-FR"/>
        </w:rPr>
        <w:t>capacit</w:t>
      </w:r>
      <w:r w:rsidR="006A2D50" w:rsidRPr="00712DC3">
        <w:rPr>
          <w:lang w:val="fr-FR"/>
        </w:rPr>
        <w:t>és</w:t>
      </w:r>
      <w:r w:rsidRPr="00712DC3">
        <w:rPr>
          <w:lang w:val="fr-FR"/>
        </w:rPr>
        <w:t xml:space="preserve"> en matière de</w:t>
      </w:r>
      <w:r w:rsidR="00836390">
        <w:rPr>
          <w:lang w:val="fr-FR"/>
        </w:rPr>
        <w:t xml:space="preserve"> </w:t>
      </w:r>
      <w:r w:rsidRPr="00712DC3">
        <w:rPr>
          <w:lang w:val="fr-FR"/>
        </w:rPr>
        <w:t>cybersécurité</w:t>
      </w:r>
      <w:r w:rsidR="00836390">
        <w:rPr>
          <w:lang w:val="fr-FR"/>
        </w:rPr>
        <w:t>,</w:t>
      </w:r>
      <w:r w:rsidRPr="00712DC3">
        <w:rPr>
          <w:lang w:val="fr-FR"/>
        </w:rPr>
        <w:t xml:space="preserve"> dans le cadre de la mise en oeuvre de projets</w:t>
      </w:r>
      <w:r w:rsidR="00836390">
        <w:rPr>
          <w:lang w:val="fr-FR"/>
        </w:rPr>
        <w:t xml:space="preserve"> </w:t>
      </w:r>
      <w:r w:rsidRPr="00712DC3">
        <w:rPr>
          <w:lang w:val="fr-FR"/>
        </w:rPr>
        <w:t>(4 projets en 2016) et d’une assistance technique</w:t>
      </w:r>
      <w:r w:rsidR="00836390">
        <w:rPr>
          <w:lang w:val="fr-FR"/>
        </w:rPr>
        <w:t xml:space="preserve"> </w:t>
      </w:r>
      <w:r w:rsidRPr="00712DC3">
        <w:rPr>
          <w:lang w:val="fr-FR"/>
        </w:rPr>
        <w:t>(15 pays ont bénéficié</w:t>
      </w:r>
      <w:r w:rsidR="00836390">
        <w:rPr>
          <w:lang w:val="fr-FR"/>
        </w:rPr>
        <w:t xml:space="preserve"> </w:t>
      </w:r>
      <w:r w:rsidRPr="00712DC3">
        <w:rPr>
          <w:lang w:val="fr-FR"/>
        </w:rPr>
        <w:t>d’une assistance</w:t>
      </w:r>
      <w:r w:rsidR="00836390">
        <w:rPr>
          <w:lang w:val="fr-FR"/>
        </w:rPr>
        <w:t xml:space="preserve"> </w:t>
      </w:r>
      <w:r w:rsidRPr="00712DC3">
        <w:rPr>
          <w:lang w:val="fr-FR"/>
        </w:rPr>
        <w:t xml:space="preserve">concernant la </w:t>
      </w:r>
      <w:r w:rsidR="006A2D50" w:rsidRPr="00712DC3">
        <w:rPr>
          <w:lang w:val="fr-FR"/>
        </w:rPr>
        <w:t>création</w:t>
      </w:r>
      <w:r w:rsidRPr="00712DC3">
        <w:rPr>
          <w:lang w:val="fr-FR"/>
        </w:rPr>
        <w:t xml:space="preserve"> de</w:t>
      </w:r>
      <w:r w:rsidR="00836390">
        <w:rPr>
          <w:lang w:val="fr-FR"/>
        </w:rPr>
        <w:t xml:space="preserve"> </w:t>
      </w:r>
      <w:r w:rsidRPr="00712DC3">
        <w:rPr>
          <w:lang w:val="fr-FR"/>
        </w:rPr>
        <w:t>CIRT</w:t>
      </w:r>
      <w:r w:rsidR="00836390">
        <w:rPr>
          <w:lang w:val="fr-FR"/>
        </w:rPr>
        <w:t xml:space="preserve">, </w:t>
      </w:r>
      <w:r w:rsidRPr="00712DC3">
        <w:rPr>
          <w:lang w:val="fr-FR"/>
        </w:rPr>
        <w:t xml:space="preserve">l’élaboration de stratégies nationales </w:t>
      </w:r>
      <w:r w:rsidR="00CC128E">
        <w:rPr>
          <w:lang w:val="fr-FR"/>
        </w:rPr>
        <w:t>et</w:t>
      </w:r>
      <w:r w:rsidR="00836390">
        <w:rPr>
          <w:lang w:val="fr-FR"/>
        </w:rPr>
        <w:t xml:space="preserve"> </w:t>
      </w:r>
      <w:r w:rsidRPr="00712DC3">
        <w:rPr>
          <w:lang w:val="fr-FR"/>
        </w:rPr>
        <w:t>la protecti</w:t>
      </w:r>
      <w:r w:rsidR="007D043A">
        <w:rPr>
          <w:lang w:val="fr-FR"/>
        </w:rPr>
        <w:t>on des enfants en ligne (COP)).</w:t>
      </w:r>
    </w:p>
    <w:p w:rsidR="00712DC3" w:rsidRPr="00712DC3" w:rsidRDefault="00712DC3" w:rsidP="007D043A">
      <w:pPr>
        <w:pStyle w:val="enumlev1"/>
        <w:rPr>
          <w:lang w:val="fr-FR"/>
        </w:rPr>
      </w:pPr>
      <w:r w:rsidRPr="00712DC3">
        <w:rPr>
          <w:lang w:val="fr-FR"/>
        </w:rPr>
        <w:t>•</w:t>
      </w:r>
      <w:r w:rsidRPr="00712DC3">
        <w:rPr>
          <w:lang w:val="fr-FR"/>
        </w:rPr>
        <w:tab/>
        <w:t xml:space="preserve">Deux ateliers régionaux consacrés aux </w:t>
      </w:r>
      <w:r w:rsidR="006A2D50" w:rsidRPr="00712DC3">
        <w:rPr>
          <w:lang w:val="fr-FR"/>
        </w:rPr>
        <w:t>stratégies</w:t>
      </w:r>
      <w:r w:rsidRPr="00712DC3">
        <w:rPr>
          <w:lang w:val="fr-FR"/>
        </w:rPr>
        <w:t xml:space="preserve"> en matière de</w:t>
      </w:r>
      <w:r w:rsidR="00836390">
        <w:rPr>
          <w:lang w:val="fr-FR"/>
        </w:rPr>
        <w:t xml:space="preserve"> </w:t>
      </w:r>
      <w:r w:rsidRPr="00712DC3">
        <w:rPr>
          <w:lang w:val="fr-FR"/>
        </w:rPr>
        <w:t>cybersanté et de</w:t>
      </w:r>
      <w:r w:rsidR="00836390">
        <w:rPr>
          <w:lang w:val="fr-FR"/>
        </w:rPr>
        <w:t xml:space="preserve"> </w:t>
      </w:r>
      <w:r w:rsidRPr="00712DC3">
        <w:rPr>
          <w:lang w:val="fr-FR"/>
        </w:rPr>
        <w:t>cyberagriculture</w:t>
      </w:r>
      <w:r w:rsidR="006A2D50">
        <w:rPr>
          <w:lang w:val="fr-FR"/>
        </w:rPr>
        <w:t xml:space="preserve"> ont</w:t>
      </w:r>
      <w:r w:rsidRPr="00712DC3">
        <w:rPr>
          <w:lang w:val="fr-FR"/>
        </w:rPr>
        <w:t xml:space="preserve"> été organisés.</w:t>
      </w:r>
      <w:r w:rsidR="00836390">
        <w:rPr>
          <w:lang w:val="fr-FR"/>
        </w:rPr>
        <w:t xml:space="preserve"> </w:t>
      </w:r>
      <w:r w:rsidR="00CC128E">
        <w:rPr>
          <w:lang w:val="fr-FR"/>
        </w:rPr>
        <w:t>C</w:t>
      </w:r>
      <w:r w:rsidRPr="00712DC3">
        <w:rPr>
          <w:lang w:val="fr-FR"/>
        </w:rPr>
        <w:t xml:space="preserve">inq pays ont bénéficié d’une assistance pour l’élaboration de </w:t>
      </w:r>
      <w:r w:rsidR="006A2D50" w:rsidRPr="00712DC3">
        <w:rPr>
          <w:lang w:val="fr-FR"/>
        </w:rPr>
        <w:t>stratégies</w:t>
      </w:r>
      <w:r w:rsidRPr="00712DC3">
        <w:rPr>
          <w:lang w:val="fr-FR"/>
        </w:rPr>
        <w:t xml:space="preserve"> en matière de</w:t>
      </w:r>
      <w:r w:rsidR="00836390">
        <w:rPr>
          <w:lang w:val="fr-FR"/>
        </w:rPr>
        <w:t xml:space="preserve"> </w:t>
      </w:r>
      <w:r w:rsidRPr="00712DC3">
        <w:rPr>
          <w:lang w:val="fr-FR"/>
        </w:rPr>
        <w:t xml:space="preserve">cyberagriculture dans la </w:t>
      </w:r>
      <w:r w:rsidR="006A2D50" w:rsidRPr="00712DC3">
        <w:rPr>
          <w:lang w:val="fr-FR"/>
        </w:rPr>
        <w:t>région</w:t>
      </w:r>
      <w:r w:rsidRPr="00712DC3">
        <w:rPr>
          <w:lang w:val="fr-FR"/>
        </w:rPr>
        <w:t xml:space="preserve"> </w:t>
      </w:r>
      <w:r w:rsidR="00CC128E">
        <w:rPr>
          <w:lang w:val="fr-FR"/>
        </w:rPr>
        <w:t>A</w:t>
      </w:r>
      <w:r w:rsidRPr="00712DC3">
        <w:rPr>
          <w:lang w:val="fr-FR"/>
        </w:rPr>
        <w:t>sie-</w:t>
      </w:r>
      <w:r w:rsidR="00CC128E">
        <w:rPr>
          <w:lang w:val="fr-FR"/>
        </w:rPr>
        <w:t>P</w:t>
      </w:r>
      <w:r w:rsidRPr="00712DC3">
        <w:rPr>
          <w:lang w:val="fr-FR"/>
        </w:rPr>
        <w:t>acifique</w:t>
      </w:r>
      <w:r w:rsidR="00836390">
        <w:rPr>
          <w:lang w:val="fr-FR"/>
        </w:rPr>
        <w:t xml:space="preserve"> </w:t>
      </w:r>
      <w:r w:rsidRPr="00712DC3">
        <w:rPr>
          <w:lang w:val="fr-FR"/>
        </w:rPr>
        <w:t>et une assistance a été fournie à deux autres pays concernant les</w:t>
      </w:r>
      <w:r w:rsidR="00836390">
        <w:rPr>
          <w:lang w:val="fr-FR"/>
        </w:rPr>
        <w:t xml:space="preserve"> </w:t>
      </w:r>
      <w:r w:rsidR="006A2D50" w:rsidRPr="00712DC3">
        <w:rPr>
          <w:lang w:val="fr-FR"/>
        </w:rPr>
        <w:t>stratégies</w:t>
      </w:r>
      <w:r w:rsidRPr="00712DC3">
        <w:rPr>
          <w:lang w:val="fr-FR"/>
        </w:rPr>
        <w:t xml:space="preserve"> en matière de</w:t>
      </w:r>
      <w:r w:rsidR="00836390">
        <w:rPr>
          <w:lang w:val="fr-FR"/>
        </w:rPr>
        <w:t xml:space="preserve"> </w:t>
      </w:r>
      <w:r w:rsidR="007D043A">
        <w:rPr>
          <w:lang w:val="fr-FR"/>
        </w:rPr>
        <w:t>cybersanté en Afrique.</w:t>
      </w:r>
    </w:p>
    <w:p w:rsidR="00712DC3" w:rsidRPr="00712DC3" w:rsidRDefault="00712DC3" w:rsidP="007D043A">
      <w:pPr>
        <w:pStyle w:val="enumlev1"/>
        <w:rPr>
          <w:lang w:val="fr-FR"/>
        </w:rPr>
      </w:pPr>
      <w:r w:rsidRPr="00712DC3">
        <w:rPr>
          <w:lang w:val="fr-FR"/>
        </w:rPr>
        <w:t>•</w:t>
      </w:r>
      <w:r w:rsidRPr="00712DC3">
        <w:rPr>
          <w:lang w:val="fr-FR"/>
        </w:rPr>
        <w:tab/>
      </w:r>
      <w:r w:rsidR="007D043A" w:rsidRPr="00712DC3">
        <w:rPr>
          <w:lang w:val="fr-FR"/>
        </w:rPr>
        <w:t>D</w:t>
      </w:r>
      <w:r w:rsidRPr="00712DC3">
        <w:rPr>
          <w:lang w:val="fr-FR"/>
        </w:rPr>
        <w:t>es projets de santé sur mobile</w:t>
      </w:r>
      <w:r w:rsidR="00836390">
        <w:rPr>
          <w:lang w:val="fr-FR"/>
        </w:rPr>
        <w:t xml:space="preserve"> </w:t>
      </w:r>
      <w:r w:rsidRPr="00712DC3">
        <w:rPr>
          <w:lang w:val="fr-FR"/>
        </w:rPr>
        <w:t xml:space="preserve">ont été </w:t>
      </w:r>
      <w:r w:rsidR="006A2D50" w:rsidRPr="00712DC3">
        <w:rPr>
          <w:lang w:val="fr-FR"/>
        </w:rPr>
        <w:t>lancés</w:t>
      </w:r>
      <w:r w:rsidRPr="00712DC3">
        <w:rPr>
          <w:lang w:val="fr-FR"/>
        </w:rPr>
        <w:t xml:space="preserve"> dans sept pays.</w:t>
      </w:r>
      <w:r w:rsidR="00836390">
        <w:rPr>
          <w:lang w:val="fr-FR"/>
        </w:rPr>
        <w:t xml:space="preserve"> </w:t>
      </w:r>
    </w:p>
    <w:p w:rsidR="00712DC3" w:rsidRPr="00712DC3" w:rsidRDefault="00712DC3" w:rsidP="00CF78B8">
      <w:pPr>
        <w:pStyle w:val="enumlev1"/>
        <w:rPr>
          <w:lang w:val="fr-FR"/>
        </w:rPr>
      </w:pPr>
      <w:r w:rsidRPr="00712DC3">
        <w:rPr>
          <w:lang w:val="fr-FR"/>
        </w:rPr>
        <w:t>•</w:t>
      </w:r>
      <w:r w:rsidRPr="00712DC3">
        <w:rPr>
          <w:lang w:val="fr-FR"/>
        </w:rPr>
        <w:tab/>
      </w:r>
      <w:r w:rsidR="007D043A" w:rsidRPr="00712DC3">
        <w:rPr>
          <w:lang w:val="fr-FR"/>
        </w:rPr>
        <w:t>D</w:t>
      </w:r>
      <w:r w:rsidRPr="00712DC3">
        <w:rPr>
          <w:lang w:val="fr-FR"/>
        </w:rPr>
        <w:t>eux manifestations de haut niveau organisées conjointement avec l’OMS</w:t>
      </w:r>
      <w:r w:rsidR="00836390">
        <w:rPr>
          <w:lang w:val="fr-FR"/>
        </w:rPr>
        <w:t xml:space="preserve"> </w:t>
      </w:r>
      <w:r w:rsidRPr="00712DC3">
        <w:rPr>
          <w:lang w:val="fr-FR"/>
        </w:rPr>
        <w:t>et l’UNESCO ont</w:t>
      </w:r>
      <w:r w:rsidR="00836390">
        <w:rPr>
          <w:lang w:val="fr-FR"/>
        </w:rPr>
        <w:t xml:space="preserve"> </w:t>
      </w:r>
      <w:r w:rsidRPr="00712DC3">
        <w:rPr>
          <w:lang w:val="fr-FR"/>
        </w:rPr>
        <w:t xml:space="preserve">réuni plus de </w:t>
      </w:r>
      <w:r w:rsidR="00CF78B8">
        <w:rPr>
          <w:lang w:val="fr-FR"/>
        </w:rPr>
        <w:t>20</w:t>
      </w:r>
      <w:r w:rsidR="00836390">
        <w:rPr>
          <w:lang w:val="fr-FR"/>
        </w:rPr>
        <w:t xml:space="preserve"> </w:t>
      </w:r>
      <w:r w:rsidR="00CC128E">
        <w:rPr>
          <w:lang w:val="fr-FR"/>
        </w:rPr>
        <w:t>M</w:t>
      </w:r>
      <w:r w:rsidRPr="00712DC3">
        <w:rPr>
          <w:lang w:val="fr-FR"/>
        </w:rPr>
        <w:t>inistres</w:t>
      </w:r>
      <w:r w:rsidR="00836390">
        <w:rPr>
          <w:lang w:val="fr-FR"/>
        </w:rPr>
        <w:t xml:space="preserve"> </w:t>
      </w:r>
      <w:r w:rsidRPr="00712DC3">
        <w:rPr>
          <w:lang w:val="fr-FR"/>
        </w:rPr>
        <w:t>charg</w:t>
      </w:r>
      <w:r w:rsidR="007D043A">
        <w:rPr>
          <w:lang w:val="fr-FR"/>
        </w:rPr>
        <w:t>é</w:t>
      </w:r>
      <w:r w:rsidRPr="00712DC3">
        <w:rPr>
          <w:lang w:val="fr-FR"/>
        </w:rPr>
        <w:t>s des TIC et Ministres de la santé</w:t>
      </w:r>
      <w:r w:rsidR="00836390">
        <w:rPr>
          <w:lang w:val="fr-FR"/>
        </w:rPr>
        <w:t xml:space="preserve"> </w:t>
      </w:r>
      <w:r w:rsidRPr="00712DC3">
        <w:rPr>
          <w:lang w:val="fr-FR"/>
        </w:rPr>
        <w:t>ainsi que 500 participants</w:t>
      </w:r>
      <w:r w:rsidR="007D043A">
        <w:rPr>
          <w:lang w:val="fr-FR"/>
        </w:rPr>
        <w:t>.</w:t>
      </w:r>
    </w:p>
    <w:p w:rsidR="00712DC3" w:rsidRPr="00712DC3" w:rsidRDefault="00712DC3" w:rsidP="007D043A">
      <w:pPr>
        <w:pStyle w:val="enumlev1"/>
        <w:rPr>
          <w:lang w:val="fr-FR"/>
        </w:rPr>
      </w:pPr>
      <w:r w:rsidRPr="00712DC3">
        <w:rPr>
          <w:lang w:val="fr-FR"/>
        </w:rPr>
        <w:t>•</w:t>
      </w:r>
      <w:r w:rsidRPr="00712DC3">
        <w:rPr>
          <w:lang w:val="fr-FR"/>
        </w:rPr>
        <w:tab/>
      </w:r>
      <w:r w:rsidR="007D043A" w:rsidRPr="00712DC3">
        <w:rPr>
          <w:lang w:val="fr-FR"/>
        </w:rPr>
        <w:t>U</w:t>
      </w:r>
      <w:r w:rsidRPr="00712DC3">
        <w:rPr>
          <w:lang w:val="fr-FR"/>
        </w:rPr>
        <w:t>ne manifestation régionale</w:t>
      </w:r>
      <w:r w:rsidR="00836390">
        <w:rPr>
          <w:lang w:val="fr-FR"/>
        </w:rPr>
        <w:t xml:space="preserve"> </w:t>
      </w:r>
      <w:r w:rsidRPr="00712DC3">
        <w:rPr>
          <w:lang w:val="fr-FR"/>
        </w:rPr>
        <w:t xml:space="preserve">sur la cyberagriculture organisée conjointement avec la FAO a réuni 120 participants de la </w:t>
      </w:r>
      <w:r w:rsidR="006A2D50" w:rsidRPr="00712DC3">
        <w:rPr>
          <w:lang w:val="fr-FR"/>
        </w:rPr>
        <w:t>région</w:t>
      </w:r>
      <w:r w:rsidRPr="00712DC3">
        <w:rPr>
          <w:lang w:val="fr-FR"/>
        </w:rPr>
        <w:t xml:space="preserve"> </w:t>
      </w:r>
      <w:r w:rsidR="006A2D50" w:rsidRPr="00712DC3">
        <w:rPr>
          <w:lang w:val="fr-FR"/>
        </w:rPr>
        <w:t>Asie</w:t>
      </w:r>
      <w:r w:rsidRPr="00712DC3">
        <w:rPr>
          <w:lang w:val="fr-FR"/>
        </w:rPr>
        <w:t>-pacifique</w:t>
      </w:r>
      <w:r w:rsidR="007D043A">
        <w:rPr>
          <w:lang w:val="fr-FR"/>
        </w:rPr>
        <w:t>.</w:t>
      </w:r>
    </w:p>
    <w:p w:rsidR="00712DC3" w:rsidRPr="00712DC3" w:rsidRDefault="00712DC3" w:rsidP="007D043A">
      <w:pPr>
        <w:pStyle w:val="enumlev1"/>
        <w:rPr>
          <w:lang w:val="fr-FR"/>
        </w:rPr>
      </w:pPr>
      <w:r w:rsidRPr="00712DC3">
        <w:rPr>
          <w:lang w:val="fr-FR"/>
        </w:rPr>
        <w:t>•</w:t>
      </w:r>
      <w:r w:rsidRPr="00712DC3">
        <w:rPr>
          <w:lang w:val="fr-FR"/>
        </w:rPr>
        <w:tab/>
      </w:r>
      <w:r w:rsidR="007D043A" w:rsidRPr="00712DC3">
        <w:rPr>
          <w:lang w:val="fr-FR"/>
        </w:rPr>
        <w:t>T</w:t>
      </w:r>
      <w:r w:rsidRPr="00712DC3">
        <w:rPr>
          <w:lang w:val="fr-FR"/>
        </w:rPr>
        <w:t>rois manuels /kits pratiques sur les</w:t>
      </w:r>
      <w:r w:rsidR="00CC128E">
        <w:rPr>
          <w:lang w:val="fr-FR"/>
        </w:rPr>
        <w:t xml:space="preserve"> </w:t>
      </w:r>
      <w:r w:rsidRPr="00712DC3">
        <w:rPr>
          <w:lang w:val="fr-FR"/>
        </w:rPr>
        <w:t xml:space="preserve">TIC au service du développement ont été publiés en 2016 sur le </w:t>
      </w:r>
      <w:r w:rsidR="006A2D50" w:rsidRPr="00712DC3">
        <w:rPr>
          <w:lang w:val="fr-FR"/>
        </w:rPr>
        <w:t>thème</w:t>
      </w:r>
      <w:r w:rsidRPr="00712DC3">
        <w:rPr>
          <w:lang w:val="fr-FR"/>
        </w:rPr>
        <w:t xml:space="preserve"> de la santé sur mobile et de</w:t>
      </w:r>
      <w:r w:rsidR="00836390">
        <w:rPr>
          <w:lang w:val="fr-FR"/>
        </w:rPr>
        <w:t xml:space="preserve"> </w:t>
      </w:r>
      <w:r w:rsidRPr="00712DC3">
        <w:rPr>
          <w:lang w:val="fr-FR"/>
        </w:rPr>
        <w:t>la cyberagriculture</w:t>
      </w:r>
      <w:r w:rsidR="007D043A">
        <w:rPr>
          <w:lang w:val="fr-FR"/>
        </w:rPr>
        <w:t>.</w:t>
      </w:r>
    </w:p>
    <w:p w:rsidR="00712DC3" w:rsidRPr="00712DC3" w:rsidRDefault="00712DC3" w:rsidP="007D043A">
      <w:pPr>
        <w:pStyle w:val="Heading2"/>
        <w:rPr>
          <w:lang w:val="fr-FR"/>
        </w:rPr>
      </w:pPr>
      <w:bookmarkStart w:id="21" w:name="_Toc467807698"/>
      <w:bookmarkStart w:id="22" w:name="_Toc468087097"/>
      <w:r w:rsidRPr="00712DC3">
        <w:rPr>
          <w:lang w:val="fr-FR"/>
        </w:rPr>
        <w:t>3.1</w:t>
      </w:r>
      <w:r w:rsidRPr="00712DC3">
        <w:rPr>
          <w:lang w:val="fr-FR"/>
        </w:rPr>
        <w:tab/>
        <w:t>Instaurer la confiance et la sécurité dans l'utilisation des TIC</w:t>
      </w:r>
      <w:bookmarkEnd w:id="21"/>
      <w:bookmarkEnd w:id="22"/>
      <w:r w:rsidRPr="00712DC3">
        <w:rPr>
          <w:lang w:val="fr-FR"/>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712DC3" w:rsidRPr="00712DC3" w:rsidTr="00D476A5">
        <w:tc>
          <w:tcPr>
            <w:tcW w:w="9629" w:type="dxa"/>
            <w:gridSpan w:val="2"/>
            <w:tcBorders>
              <w:bottom w:val="single" w:sz="4" w:space="0" w:color="auto"/>
            </w:tcBorders>
          </w:tcPr>
          <w:p w:rsidR="00712DC3" w:rsidRPr="00712DC3" w:rsidRDefault="00712DC3" w:rsidP="007D043A">
            <w:pPr>
              <w:rPr>
                <w:lang w:val="fr-FR"/>
              </w:rPr>
            </w:pPr>
            <w:r w:rsidRPr="00712DC3">
              <w:rPr>
                <w:szCs w:val="24"/>
                <w:lang w:val="fr-FR"/>
              </w:rPr>
              <w:t xml:space="preserve">Les travaux sur </w:t>
            </w:r>
            <w:r w:rsidRPr="00712DC3">
              <w:rPr>
                <w:lang w:val="fr-FR"/>
              </w:rPr>
              <w:t xml:space="preserve">l'Indice mondial de cybersécurité </w:t>
            </w:r>
            <w:r w:rsidRPr="00712DC3">
              <w:rPr>
                <w:szCs w:val="24"/>
                <w:lang w:val="fr-FR"/>
              </w:rPr>
              <w:t xml:space="preserve">(GCI) </w:t>
            </w:r>
            <w:r w:rsidRPr="00712DC3">
              <w:rPr>
                <w:lang w:val="fr-FR"/>
              </w:rPr>
              <w:t xml:space="preserve">ont permis d'aider les pays à </w:t>
            </w:r>
            <w:r w:rsidR="006A2D50" w:rsidRPr="00712DC3">
              <w:rPr>
                <w:lang w:val="fr-FR"/>
              </w:rPr>
              <w:t>déterminer</w:t>
            </w:r>
            <w:r w:rsidR="00836390">
              <w:rPr>
                <w:lang w:val="fr-FR"/>
              </w:rPr>
              <w:t xml:space="preserve"> </w:t>
            </w:r>
            <w:r w:rsidRPr="00712DC3">
              <w:rPr>
                <w:lang w:val="fr-FR"/>
              </w:rPr>
              <w:t>les domaines à améliorer, de les inciter à agir pour renforcer la cybersécurité, d'augmenter le niveau</w:t>
            </w:r>
            <w:r w:rsidR="00836390">
              <w:rPr>
                <w:lang w:val="fr-FR"/>
              </w:rPr>
              <w:t xml:space="preserve"> </w:t>
            </w:r>
            <w:r w:rsidRPr="00712DC3">
              <w:rPr>
                <w:lang w:val="fr-FR"/>
              </w:rPr>
              <w:t>de cybersécurité dans</w:t>
            </w:r>
            <w:r w:rsidR="00CC128E">
              <w:rPr>
                <w:lang w:val="fr-FR"/>
              </w:rPr>
              <w:t xml:space="preserve"> le monde et de contribuer à déf</w:t>
            </w:r>
            <w:r w:rsidRPr="00712DC3">
              <w:rPr>
                <w:lang w:val="fr-FR"/>
              </w:rPr>
              <w:t>inir et à encourager l’adoption de bonnes</w:t>
            </w:r>
            <w:r w:rsidR="00836390">
              <w:rPr>
                <w:lang w:val="fr-FR"/>
              </w:rPr>
              <w:t xml:space="preserve"> </w:t>
            </w:r>
            <w:r w:rsidRPr="00712DC3">
              <w:rPr>
                <w:lang w:val="fr-FR"/>
              </w:rPr>
              <w:t>pratiques, tout en favorisant une culture mondiale de la cybersécurité. Grâce à son action</w:t>
            </w:r>
            <w:r w:rsidR="00836390">
              <w:rPr>
                <w:lang w:val="fr-FR"/>
              </w:rPr>
              <w:t xml:space="preserve"> </w:t>
            </w:r>
            <w:r w:rsidRPr="00712DC3">
              <w:rPr>
                <w:lang w:val="fr-FR"/>
              </w:rPr>
              <w:t>en faveur de la cybersécurité, l'UIT a renforcé la capacité</w:t>
            </w:r>
            <w:r w:rsidR="00836390">
              <w:rPr>
                <w:lang w:val="fr-FR"/>
              </w:rPr>
              <w:t xml:space="preserve"> </w:t>
            </w:r>
            <w:r w:rsidRPr="00712DC3">
              <w:rPr>
                <w:lang w:val="fr-FR"/>
              </w:rPr>
              <w:t>des</w:t>
            </w:r>
            <w:r w:rsidR="00836390">
              <w:rPr>
                <w:lang w:val="fr-FR"/>
              </w:rPr>
              <w:t xml:space="preserve"> </w:t>
            </w:r>
            <w:r w:rsidR="007D043A">
              <w:rPr>
                <w:lang w:val="fr-FR"/>
              </w:rPr>
              <w:t>E</w:t>
            </w:r>
            <w:r w:rsidRPr="00712DC3">
              <w:rPr>
                <w:lang w:val="fr-FR"/>
              </w:rPr>
              <w:t>tats Membres</w:t>
            </w:r>
            <w:r w:rsidR="00836390">
              <w:rPr>
                <w:lang w:val="fr-FR"/>
              </w:rPr>
              <w:t xml:space="preserve"> </w:t>
            </w:r>
            <w:r w:rsidRPr="00712DC3">
              <w:rPr>
                <w:lang w:val="fr-FR"/>
              </w:rPr>
              <w:t xml:space="preserve">d'intégrer et de mettre en oeuvre des politiques et des stratégies de cybersécurité dans le cadre de programmes nationaux, et de renforcer leurs capacités organisationnelles. Nous sommes </w:t>
            </w:r>
            <w:r w:rsidR="006A2D50" w:rsidRPr="00712DC3">
              <w:rPr>
                <w:lang w:val="fr-FR"/>
              </w:rPr>
              <w:t>engagés</w:t>
            </w:r>
            <w:r w:rsidRPr="00712DC3">
              <w:rPr>
                <w:lang w:val="fr-FR"/>
              </w:rPr>
              <w:t xml:space="preserve"> sur la voie de la </w:t>
            </w:r>
            <w:r w:rsidR="006A2D50" w:rsidRPr="00712DC3">
              <w:rPr>
                <w:lang w:val="fr-FR"/>
              </w:rPr>
              <w:t>réduction</w:t>
            </w:r>
            <w:r w:rsidRPr="00712DC3">
              <w:rPr>
                <w:lang w:val="fr-FR"/>
              </w:rPr>
              <w:t>,</w:t>
            </w:r>
            <w:r w:rsidR="00836390">
              <w:rPr>
                <w:lang w:val="fr-FR"/>
              </w:rPr>
              <w:t xml:space="preserve"> </w:t>
            </w:r>
            <w:r w:rsidRPr="00712DC3">
              <w:rPr>
                <w:lang w:val="fr-FR"/>
              </w:rPr>
              <w:t>voire de</w:t>
            </w:r>
            <w:r w:rsidR="00836390">
              <w:rPr>
                <w:lang w:val="fr-FR"/>
              </w:rPr>
              <w:t xml:space="preserve"> </w:t>
            </w:r>
            <w:r w:rsidRPr="00712DC3">
              <w:rPr>
                <w:lang w:val="fr-FR"/>
              </w:rPr>
              <w:t>la suppression,</w:t>
            </w:r>
            <w:r w:rsidR="00836390">
              <w:rPr>
                <w:lang w:val="fr-FR"/>
              </w:rPr>
              <w:t xml:space="preserve"> </w:t>
            </w:r>
            <w:r w:rsidRPr="00712DC3">
              <w:rPr>
                <w:lang w:val="fr-FR"/>
              </w:rPr>
              <w:t>de la fracture en matière de cybersécurité.</w:t>
            </w:r>
          </w:p>
          <w:p w:rsidR="00712DC3" w:rsidRPr="00712DC3" w:rsidRDefault="00712DC3" w:rsidP="00CC128E">
            <w:pPr>
              <w:rPr>
                <w:szCs w:val="24"/>
                <w:lang w:val="fr-FR"/>
              </w:rPr>
            </w:pPr>
            <w:r w:rsidRPr="00712DC3">
              <w:rPr>
                <w:szCs w:val="24"/>
                <w:lang w:val="fr-FR"/>
              </w:rPr>
              <w:t>Des programmes gouvernementaux prioritaires (GPP)</w:t>
            </w:r>
            <w:r w:rsidR="00836390">
              <w:rPr>
                <w:szCs w:val="24"/>
                <w:lang w:val="fr-FR"/>
              </w:rPr>
              <w:t xml:space="preserve"> </w:t>
            </w:r>
            <w:r w:rsidRPr="00712DC3">
              <w:rPr>
                <w:szCs w:val="24"/>
                <w:lang w:val="fr-FR"/>
              </w:rPr>
              <w:t xml:space="preserve">relatifs à la </w:t>
            </w:r>
            <w:r w:rsidR="006A2D50" w:rsidRPr="00712DC3">
              <w:rPr>
                <w:szCs w:val="24"/>
                <w:lang w:val="fr-FR"/>
              </w:rPr>
              <w:t>création</w:t>
            </w:r>
            <w:r w:rsidRPr="00712DC3">
              <w:rPr>
                <w:szCs w:val="24"/>
                <w:lang w:val="fr-FR"/>
              </w:rPr>
              <w:t xml:space="preserve"> d’un environnement propice au développement effectif</w:t>
            </w:r>
            <w:r w:rsidR="00836390">
              <w:rPr>
                <w:szCs w:val="24"/>
                <w:lang w:val="fr-FR"/>
              </w:rPr>
              <w:t xml:space="preserve"> </w:t>
            </w:r>
            <w:r w:rsidRPr="00712DC3">
              <w:rPr>
                <w:szCs w:val="24"/>
                <w:lang w:val="fr-FR"/>
              </w:rPr>
              <w:t xml:space="preserve">de la sécurité en ligne des enfants </w:t>
            </w:r>
            <w:r w:rsidR="00CC128E">
              <w:rPr>
                <w:szCs w:val="24"/>
                <w:lang w:val="fr-FR"/>
              </w:rPr>
              <w:t>ont</w:t>
            </w:r>
            <w:r w:rsidRPr="00712DC3">
              <w:rPr>
                <w:szCs w:val="24"/>
                <w:lang w:val="fr-FR"/>
              </w:rPr>
              <w:t xml:space="preserve"> été élaboré</w:t>
            </w:r>
            <w:r w:rsidR="00CC128E">
              <w:rPr>
                <w:szCs w:val="24"/>
                <w:lang w:val="fr-FR"/>
              </w:rPr>
              <w:t>s</w:t>
            </w:r>
            <w:r w:rsidRPr="00712DC3">
              <w:rPr>
                <w:szCs w:val="24"/>
                <w:lang w:val="fr-FR"/>
              </w:rPr>
              <w:t>.</w:t>
            </w:r>
            <w:r w:rsidR="00836390">
              <w:rPr>
                <w:szCs w:val="24"/>
                <w:lang w:val="fr-FR"/>
              </w:rPr>
              <w:t xml:space="preserve"> </w:t>
            </w:r>
          </w:p>
          <w:p w:rsidR="00712DC3" w:rsidRPr="00712DC3" w:rsidRDefault="00712DC3" w:rsidP="007D043A">
            <w:pPr>
              <w:rPr>
                <w:szCs w:val="24"/>
                <w:lang w:val="fr-FR"/>
              </w:rPr>
            </w:pPr>
            <w:r w:rsidRPr="00712DC3">
              <w:rPr>
                <w:szCs w:val="24"/>
                <w:lang w:val="fr-FR"/>
              </w:rPr>
              <w:t>Dans le cadre du</w:t>
            </w:r>
            <w:r w:rsidR="00836390">
              <w:rPr>
                <w:szCs w:val="24"/>
                <w:lang w:val="fr-FR"/>
              </w:rPr>
              <w:t xml:space="preserve"> </w:t>
            </w:r>
            <w:r w:rsidRPr="00712DC3">
              <w:rPr>
                <w:lang w:val="fr-FR"/>
              </w:rPr>
              <w:t>renforcement des compétences techniques pour aider les intervenants en cas d'incident</w:t>
            </w:r>
            <w:r w:rsidR="00836390">
              <w:rPr>
                <w:szCs w:val="24"/>
                <w:lang w:val="fr-FR"/>
              </w:rPr>
              <w:t xml:space="preserve">, </w:t>
            </w:r>
            <w:r w:rsidRPr="00712DC3">
              <w:rPr>
                <w:szCs w:val="24"/>
                <w:lang w:val="fr-FR"/>
              </w:rPr>
              <w:t xml:space="preserve">les capacités et les </w:t>
            </w:r>
            <w:r w:rsidR="006A2D50" w:rsidRPr="00712DC3">
              <w:rPr>
                <w:szCs w:val="24"/>
                <w:lang w:val="fr-FR"/>
              </w:rPr>
              <w:t>compétences</w:t>
            </w:r>
            <w:r w:rsidRPr="00712DC3">
              <w:rPr>
                <w:szCs w:val="24"/>
                <w:lang w:val="fr-FR"/>
              </w:rPr>
              <w:t xml:space="preserve"> du personnel</w:t>
            </w:r>
            <w:r w:rsidR="00836390">
              <w:rPr>
                <w:szCs w:val="24"/>
                <w:lang w:val="fr-FR"/>
              </w:rPr>
              <w:t xml:space="preserve"> </w:t>
            </w:r>
            <w:r w:rsidRPr="00712DC3">
              <w:rPr>
                <w:szCs w:val="24"/>
                <w:lang w:val="fr-FR"/>
              </w:rPr>
              <w:t>technique de</w:t>
            </w:r>
            <w:r w:rsidR="00836390">
              <w:rPr>
                <w:szCs w:val="24"/>
                <w:lang w:val="fr-FR"/>
              </w:rPr>
              <w:t xml:space="preserve"> </w:t>
            </w:r>
            <w:r w:rsidRPr="00712DC3">
              <w:rPr>
                <w:lang w:val="fr-FR"/>
              </w:rPr>
              <w:t>20 organismes du secteur public</w:t>
            </w:r>
            <w:r w:rsidR="00836390">
              <w:rPr>
                <w:lang w:val="fr-FR"/>
              </w:rPr>
              <w:t xml:space="preserve"> </w:t>
            </w:r>
            <w:r w:rsidRPr="00712DC3">
              <w:rPr>
                <w:lang w:val="fr-FR"/>
              </w:rPr>
              <w:t>chargés de la gestion des cyberincidents ont été améliorées</w:t>
            </w:r>
            <w:r w:rsidR="007D043A">
              <w:rPr>
                <w:lang w:val="fr-FR"/>
              </w:rPr>
              <w:t>.</w:t>
            </w:r>
          </w:p>
          <w:p w:rsidR="00712DC3" w:rsidRPr="00712DC3" w:rsidRDefault="00712DC3" w:rsidP="007D043A">
            <w:pPr>
              <w:rPr>
                <w:lang w:val="fr-FR"/>
              </w:rPr>
            </w:pPr>
            <w:r w:rsidRPr="00712DC3">
              <w:rPr>
                <w:lang w:val="fr-FR"/>
              </w:rPr>
              <w:t>Le BDT a organisé plusieurs manifestations et</w:t>
            </w:r>
            <w:r w:rsidR="00836390">
              <w:rPr>
                <w:lang w:val="fr-FR"/>
              </w:rPr>
              <w:t xml:space="preserve"> </w:t>
            </w:r>
            <w:r w:rsidRPr="00712DC3">
              <w:rPr>
                <w:lang w:val="fr-FR"/>
              </w:rPr>
              <w:t>formations, parmi lesquelles on citera</w:t>
            </w:r>
            <w:r w:rsidR="00836390">
              <w:rPr>
                <w:lang w:val="fr-FR"/>
              </w:rPr>
              <w:t xml:space="preserve">: </w:t>
            </w:r>
          </w:p>
          <w:p w:rsidR="00712DC3" w:rsidRPr="00712DC3" w:rsidRDefault="00712DC3" w:rsidP="007D043A">
            <w:pPr>
              <w:pStyle w:val="enumlev1"/>
              <w:rPr>
                <w:lang w:val="fr-FR"/>
              </w:rPr>
            </w:pPr>
            <w:r w:rsidRPr="00712DC3">
              <w:rPr>
                <w:lang w:val="fr-FR"/>
              </w:rPr>
              <w:t>–</w:t>
            </w:r>
            <w:r w:rsidRPr="00712DC3">
              <w:rPr>
                <w:lang w:val="fr-FR"/>
              </w:rPr>
              <w:tab/>
            </w:r>
            <w:r w:rsidR="007D043A" w:rsidRPr="00712DC3">
              <w:rPr>
                <w:lang w:val="fr-FR"/>
              </w:rPr>
              <w:t>U</w:t>
            </w:r>
            <w:r w:rsidRPr="00712DC3">
              <w:rPr>
                <w:lang w:val="fr-FR"/>
              </w:rPr>
              <w:t>n atelier de l’UIT</w:t>
            </w:r>
            <w:r w:rsidR="00836390">
              <w:rPr>
                <w:lang w:val="fr-FR"/>
              </w:rPr>
              <w:t xml:space="preserve"> </w:t>
            </w:r>
            <w:r w:rsidRPr="00712DC3">
              <w:rPr>
                <w:lang w:val="fr-FR"/>
              </w:rPr>
              <w:t>pour les pays de la CEI</w:t>
            </w:r>
            <w:r w:rsidR="00836390">
              <w:rPr>
                <w:lang w:val="fr-FR"/>
              </w:rPr>
              <w:t xml:space="preserve"> </w:t>
            </w:r>
            <w:r w:rsidRPr="00712DC3">
              <w:rPr>
                <w:lang w:val="fr-FR"/>
              </w:rPr>
              <w:t>sur le thème "Aspects intégrés de la cybersé</w:t>
            </w:r>
            <w:r w:rsidR="007D043A">
              <w:rPr>
                <w:lang w:val="fr-FR"/>
              </w:rPr>
              <w:t>curité en info communications".</w:t>
            </w:r>
          </w:p>
          <w:p w:rsidR="00712DC3" w:rsidRPr="00712DC3" w:rsidRDefault="00712DC3" w:rsidP="007D043A">
            <w:pPr>
              <w:pStyle w:val="enumlev1"/>
              <w:rPr>
                <w:lang w:val="fr-FR"/>
              </w:rPr>
            </w:pPr>
            <w:r w:rsidRPr="00712DC3">
              <w:rPr>
                <w:lang w:val="fr-FR"/>
              </w:rPr>
              <w:t>–</w:t>
            </w:r>
            <w:r w:rsidRPr="00712DC3">
              <w:rPr>
                <w:lang w:val="fr-FR"/>
              </w:rPr>
              <w:tab/>
            </w:r>
            <w:r w:rsidR="007D043A" w:rsidRPr="00712DC3">
              <w:rPr>
                <w:lang w:val="fr-FR"/>
              </w:rPr>
              <w:t>U</w:t>
            </w:r>
            <w:r w:rsidRPr="00712DC3">
              <w:rPr>
                <w:lang w:val="fr-FR"/>
              </w:rPr>
              <w:t>n sommet et un colloque sur la</w:t>
            </w:r>
            <w:r w:rsidR="00836390">
              <w:rPr>
                <w:lang w:val="fr-FR"/>
              </w:rPr>
              <w:t xml:space="preserve"> </w:t>
            </w:r>
            <w:r w:rsidRPr="00712DC3">
              <w:rPr>
                <w:lang w:val="fr-FR"/>
              </w:rPr>
              <w:t xml:space="preserve">cybersécurité au niveau </w:t>
            </w:r>
            <w:r w:rsidR="006A2D50" w:rsidRPr="00712DC3">
              <w:rPr>
                <w:lang w:val="fr-FR"/>
              </w:rPr>
              <w:t>régional</w:t>
            </w:r>
            <w:r w:rsidR="007D043A">
              <w:rPr>
                <w:lang w:val="fr-FR"/>
              </w:rPr>
              <w:t>.</w:t>
            </w:r>
          </w:p>
          <w:p w:rsidR="00712DC3" w:rsidRPr="00712DC3" w:rsidRDefault="00712DC3" w:rsidP="007D043A">
            <w:pPr>
              <w:pStyle w:val="enumlev1"/>
              <w:rPr>
                <w:lang w:val="fr-FR"/>
              </w:rPr>
            </w:pPr>
            <w:r w:rsidRPr="00712DC3">
              <w:rPr>
                <w:lang w:val="fr-FR"/>
              </w:rPr>
              <w:t>–</w:t>
            </w:r>
            <w:r w:rsidRPr="00712DC3">
              <w:rPr>
                <w:lang w:val="fr-FR"/>
              </w:rPr>
              <w:tab/>
            </w:r>
            <w:r w:rsidR="007D043A">
              <w:rPr>
                <w:lang w:val="fr-FR"/>
              </w:rPr>
              <w:t>U</w:t>
            </w:r>
            <w:r w:rsidR="0080433D">
              <w:rPr>
                <w:lang w:val="fr-FR"/>
              </w:rPr>
              <w:t xml:space="preserve">n </w:t>
            </w:r>
            <w:r w:rsidRPr="00712DC3">
              <w:rPr>
                <w:lang w:val="fr-FR"/>
              </w:rPr>
              <w:t>atelier sur les services CIRT et le processus d’établissement pour les pays africains</w:t>
            </w:r>
            <w:r w:rsidR="007D043A">
              <w:rPr>
                <w:lang w:val="fr-FR"/>
              </w:rPr>
              <w:t>.</w:t>
            </w:r>
          </w:p>
          <w:p w:rsidR="00712DC3" w:rsidRPr="00712DC3" w:rsidRDefault="00712DC3" w:rsidP="007D043A">
            <w:pPr>
              <w:pStyle w:val="enumlev1"/>
              <w:rPr>
                <w:szCs w:val="24"/>
                <w:lang w:val="fr-FR"/>
              </w:rPr>
            </w:pPr>
            <w:r w:rsidRPr="00712DC3">
              <w:rPr>
                <w:lang w:val="fr-FR"/>
              </w:rPr>
              <w:lastRenderedPageBreak/>
              <w:t>–</w:t>
            </w:r>
            <w:r w:rsidRPr="00712DC3">
              <w:rPr>
                <w:lang w:val="fr-FR"/>
              </w:rPr>
              <w:tab/>
            </w:r>
            <w:r w:rsidR="007D043A">
              <w:rPr>
                <w:lang w:val="fr-FR"/>
              </w:rPr>
              <w:t>L</w:t>
            </w:r>
            <w:r w:rsidR="0080433D">
              <w:rPr>
                <w:lang w:val="fr-FR"/>
              </w:rPr>
              <w:t>e t</w:t>
            </w:r>
            <w:r w:rsidRPr="00712DC3">
              <w:rPr>
                <w:lang w:val="fr-FR"/>
              </w:rPr>
              <w:t xml:space="preserve">roisième cyberexercice </w:t>
            </w:r>
            <w:r w:rsidR="006A2D50" w:rsidRPr="00712DC3">
              <w:rPr>
                <w:lang w:val="fr-FR"/>
              </w:rPr>
              <w:t>régional</w:t>
            </w:r>
            <w:r w:rsidR="00836390">
              <w:rPr>
                <w:lang w:val="fr-FR"/>
              </w:rPr>
              <w:t xml:space="preserve"> </w:t>
            </w:r>
            <w:r w:rsidRPr="00712DC3">
              <w:rPr>
                <w:lang w:val="fr-FR"/>
              </w:rPr>
              <w:t>en matière de cybersécurité</w:t>
            </w:r>
            <w:r w:rsidR="00836390">
              <w:rPr>
                <w:lang w:val="fr-FR"/>
              </w:rPr>
              <w:t xml:space="preserve"> </w:t>
            </w:r>
            <w:r w:rsidRPr="00712DC3">
              <w:rPr>
                <w:lang w:val="fr-FR"/>
              </w:rPr>
              <w:t xml:space="preserve">pour la </w:t>
            </w:r>
            <w:r w:rsidR="006A2D50" w:rsidRPr="00712DC3">
              <w:rPr>
                <w:lang w:val="fr-FR"/>
              </w:rPr>
              <w:t>région</w:t>
            </w:r>
            <w:r w:rsidRPr="00712DC3">
              <w:rPr>
                <w:lang w:val="fr-FR"/>
              </w:rPr>
              <w:t xml:space="preserve"> Afrique destin</w:t>
            </w:r>
            <w:r w:rsidR="007D043A">
              <w:rPr>
                <w:lang w:val="fr-FR"/>
              </w:rPr>
              <w:t>é</w:t>
            </w:r>
            <w:r w:rsidRPr="00712DC3">
              <w:rPr>
                <w:lang w:val="fr-FR"/>
              </w:rPr>
              <w:t xml:space="preserve"> à</w:t>
            </w:r>
            <w:r w:rsidR="00836390">
              <w:rPr>
                <w:lang w:val="fr-FR"/>
              </w:rPr>
              <w:t xml:space="preserve"> </w:t>
            </w:r>
            <w:r w:rsidRPr="00712DC3">
              <w:rPr>
                <w:lang w:val="fr-FR"/>
              </w:rPr>
              <w:t>améliorer la coordination de la lut</w:t>
            </w:r>
            <w:r w:rsidR="0080433D">
              <w:rPr>
                <w:lang w:val="fr-FR"/>
              </w:rPr>
              <w:t>t</w:t>
            </w:r>
            <w:r w:rsidRPr="00712DC3">
              <w:rPr>
                <w:lang w:val="fr-FR"/>
              </w:rPr>
              <w:t>e</w:t>
            </w:r>
            <w:r w:rsidR="00836390">
              <w:rPr>
                <w:lang w:val="fr-FR"/>
              </w:rPr>
              <w:t xml:space="preserve"> </w:t>
            </w:r>
            <w:r w:rsidRPr="00712DC3">
              <w:rPr>
                <w:lang w:val="fr-FR"/>
              </w:rPr>
              <w:t>contre les</w:t>
            </w:r>
            <w:r w:rsidR="00836390">
              <w:rPr>
                <w:lang w:val="fr-FR"/>
              </w:rPr>
              <w:t xml:space="preserve"> </w:t>
            </w:r>
            <w:r w:rsidRPr="00712DC3">
              <w:rPr>
                <w:lang w:val="fr-FR"/>
              </w:rPr>
              <w:t>cyberincidents.</w:t>
            </w:r>
          </w:p>
          <w:p w:rsidR="00712DC3" w:rsidRPr="007D043A" w:rsidRDefault="00712DC3" w:rsidP="007D043A">
            <w:pPr>
              <w:pStyle w:val="enumlev1"/>
            </w:pPr>
            <w:r w:rsidRPr="007D043A">
              <w:t>–</w:t>
            </w:r>
            <w:r w:rsidRPr="007D043A">
              <w:tab/>
            </w:r>
            <w:r w:rsidR="007D043A" w:rsidRPr="007D043A">
              <w:t>L</w:t>
            </w:r>
            <w:r w:rsidR="0080433D" w:rsidRPr="007D043A">
              <w:t>a q</w:t>
            </w:r>
            <w:r w:rsidRPr="007D043A">
              <w:t xml:space="preserve">uatrième </w:t>
            </w:r>
            <w:r w:rsidR="006A2D50" w:rsidRPr="007D043A">
              <w:t>édition</w:t>
            </w:r>
            <w:r w:rsidRPr="007D043A">
              <w:t xml:space="preserve"> du</w:t>
            </w:r>
            <w:r w:rsidR="00836390" w:rsidRPr="007D043A">
              <w:t xml:space="preserve"> </w:t>
            </w:r>
            <w:r w:rsidR="0080433D" w:rsidRPr="007D043A">
              <w:t>c</w:t>
            </w:r>
            <w:r w:rsidRPr="007D043A">
              <w:t xml:space="preserve">yberexercice </w:t>
            </w:r>
            <w:r w:rsidR="006A2D50" w:rsidRPr="007D043A">
              <w:t>régional</w:t>
            </w:r>
            <w:r w:rsidRPr="007D043A">
              <w:t xml:space="preserve"> ALERT (Cyberexercice</w:t>
            </w:r>
            <w:r w:rsidR="00836390" w:rsidRPr="007D043A">
              <w:t xml:space="preserve"> </w:t>
            </w:r>
            <w:r w:rsidRPr="007D043A">
              <w:t>d'apprentissage appliqué pour les équipes d'intervention en situation d'urgence</w:t>
            </w:r>
            <w:r w:rsidR="00A27F03" w:rsidRPr="007D043A">
              <w:t>)</w:t>
            </w:r>
            <w:r w:rsidRPr="007D043A">
              <w:t xml:space="preserve"> à l'intention de la région des Etats arabes</w:t>
            </w:r>
            <w:r w:rsidR="007D043A">
              <w:t>.</w:t>
            </w:r>
          </w:p>
          <w:p w:rsidR="00712DC3" w:rsidRPr="00712DC3" w:rsidRDefault="007D043A" w:rsidP="007D043A">
            <w:pPr>
              <w:pStyle w:val="enumlev1"/>
              <w:rPr>
                <w:szCs w:val="24"/>
                <w:lang w:val="fr-FR"/>
              </w:rPr>
            </w:pPr>
            <w:r>
              <w:rPr>
                <w:szCs w:val="24"/>
                <w:lang w:val="fr-FR"/>
              </w:rPr>
              <w:t>–</w:t>
            </w:r>
            <w:r>
              <w:rPr>
                <w:szCs w:val="24"/>
                <w:lang w:val="fr-FR"/>
              </w:rPr>
              <w:tab/>
              <w:t>L</w:t>
            </w:r>
            <w:r w:rsidR="0080433D">
              <w:rPr>
                <w:szCs w:val="24"/>
                <w:lang w:val="fr-FR"/>
              </w:rPr>
              <w:t>a</w:t>
            </w:r>
            <w:r w:rsidR="00836390">
              <w:rPr>
                <w:szCs w:val="24"/>
                <w:lang w:val="fr-FR"/>
              </w:rPr>
              <w:t xml:space="preserve"> </w:t>
            </w:r>
            <w:r w:rsidR="00712DC3" w:rsidRPr="00712DC3">
              <w:rPr>
                <w:szCs w:val="24"/>
                <w:lang w:val="fr-FR"/>
              </w:rPr>
              <w:t xml:space="preserve">semaine de la </w:t>
            </w:r>
            <w:r w:rsidR="00712DC3" w:rsidRPr="00712DC3">
              <w:rPr>
                <w:lang w:val="fr-FR"/>
              </w:rPr>
              <w:t>cybersécurité (Center of the World)</w:t>
            </w:r>
            <w:r w:rsidR="00836390">
              <w:rPr>
                <w:lang w:val="fr-FR"/>
              </w:rPr>
              <w:t xml:space="preserve"> </w:t>
            </w:r>
            <w:r w:rsidR="00712DC3" w:rsidRPr="00712DC3">
              <w:rPr>
                <w:szCs w:val="24"/>
                <w:lang w:val="fr-FR"/>
              </w:rPr>
              <w:t>et</w:t>
            </w:r>
            <w:r w:rsidR="0080433D">
              <w:rPr>
                <w:szCs w:val="24"/>
                <w:lang w:val="fr-FR"/>
              </w:rPr>
              <w:t xml:space="preserve"> la</w:t>
            </w:r>
            <w:r w:rsidR="00836390">
              <w:rPr>
                <w:szCs w:val="24"/>
                <w:lang w:val="fr-FR"/>
              </w:rPr>
              <w:t xml:space="preserve"> </w:t>
            </w:r>
            <w:r w:rsidR="00712DC3" w:rsidRPr="00712DC3">
              <w:rPr>
                <w:szCs w:val="24"/>
                <w:lang w:val="fr-FR"/>
              </w:rPr>
              <w:t xml:space="preserve">quatrième </w:t>
            </w:r>
            <w:r w:rsidR="006A2D50" w:rsidRPr="00712DC3">
              <w:rPr>
                <w:szCs w:val="24"/>
                <w:lang w:val="fr-FR"/>
              </w:rPr>
              <w:t>édition</w:t>
            </w:r>
            <w:r w:rsidR="00712DC3" w:rsidRPr="00712DC3">
              <w:rPr>
                <w:szCs w:val="24"/>
                <w:lang w:val="fr-FR"/>
              </w:rPr>
              <w:t xml:space="preserve"> du </w:t>
            </w:r>
            <w:r w:rsidR="00712DC3" w:rsidRPr="00712DC3">
              <w:rPr>
                <w:lang w:val="fr-FR"/>
              </w:rPr>
              <w:t>cyberexercice</w:t>
            </w:r>
            <w:r w:rsidR="00836390">
              <w:rPr>
                <w:lang w:val="fr-FR"/>
              </w:rPr>
              <w:t xml:space="preserve"> </w:t>
            </w:r>
            <w:r w:rsidR="00712DC3" w:rsidRPr="00712DC3">
              <w:rPr>
                <w:lang w:val="fr-FR"/>
              </w:rPr>
              <w:t>d'apprentissage appliqué pour les équipes d'intervention en situa</w:t>
            </w:r>
            <w:r w:rsidR="0080433D">
              <w:rPr>
                <w:lang w:val="fr-FR"/>
              </w:rPr>
              <w:t>tion d'urgence pour</w:t>
            </w:r>
            <w:r w:rsidR="00836390">
              <w:rPr>
                <w:lang w:val="fr-FR"/>
              </w:rPr>
              <w:t xml:space="preserve"> </w:t>
            </w:r>
            <w:r w:rsidR="0080433D">
              <w:rPr>
                <w:lang w:val="fr-FR"/>
              </w:rPr>
              <w:t xml:space="preserve">la </w:t>
            </w:r>
            <w:r w:rsidR="006A2D50">
              <w:rPr>
                <w:lang w:val="fr-FR"/>
              </w:rPr>
              <w:t>région</w:t>
            </w:r>
            <w:r w:rsidR="0080433D">
              <w:rPr>
                <w:lang w:val="fr-FR"/>
              </w:rPr>
              <w:t xml:space="preserve"> A</w:t>
            </w:r>
            <w:r w:rsidR="00712DC3" w:rsidRPr="00712DC3">
              <w:rPr>
                <w:lang w:val="fr-FR"/>
              </w:rPr>
              <w:t>mériques</w:t>
            </w:r>
            <w:r>
              <w:rPr>
                <w:lang w:val="fr-FR"/>
              </w:rPr>
              <w:t>.</w:t>
            </w:r>
          </w:p>
          <w:p w:rsidR="00712DC3" w:rsidRPr="00712DC3" w:rsidRDefault="00712DC3" w:rsidP="007D043A">
            <w:pPr>
              <w:pStyle w:val="enumlev1"/>
              <w:rPr>
                <w:lang w:val="fr-FR"/>
              </w:rPr>
            </w:pPr>
            <w:r w:rsidRPr="00712DC3">
              <w:rPr>
                <w:szCs w:val="24"/>
                <w:lang w:val="fr-FR"/>
              </w:rPr>
              <w:t>–</w:t>
            </w:r>
            <w:r w:rsidRPr="00712DC3">
              <w:rPr>
                <w:szCs w:val="24"/>
                <w:lang w:val="fr-FR"/>
              </w:rPr>
              <w:tab/>
            </w:r>
            <w:r w:rsidR="007D043A">
              <w:rPr>
                <w:szCs w:val="24"/>
                <w:lang w:val="fr-FR"/>
              </w:rPr>
              <w:t>L</w:t>
            </w:r>
            <w:r w:rsidR="0080433D">
              <w:rPr>
                <w:szCs w:val="24"/>
                <w:lang w:val="fr-FR"/>
              </w:rPr>
              <w:t xml:space="preserve">e </w:t>
            </w:r>
            <w:r w:rsidRPr="00712DC3">
              <w:rPr>
                <w:lang w:val="fr-FR"/>
              </w:rPr>
              <w:t>Programme de sensibilisation à la cybersécurité dans les établissements d’enseignement</w:t>
            </w:r>
            <w:r w:rsidR="00836390">
              <w:rPr>
                <w:lang w:val="fr-FR"/>
              </w:rPr>
              <w:t xml:space="preserve"> </w:t>
            </w:r>
            <w:r w:rsidRPr="00712DC3">
              <w:rPr>
                <w:lang w:val="fr-FR"/>
              </w:rPr>
              <w:t>des Caraïbes,</w:t>
            </w:r>
            <w:r w:rsidR="00836390">
              <w:rPr>
                <w:lang w:val="fr-FR"/>
              </w:rPr>
              <w:t xml:space="preserve"> </w:t>
            </w:r>
            <w:r w:rsidRPr="00712DC3">
              <w:rPr>
                <w:lang w:val="fr-FR"/>
              </w:rPr>
              <w:t>visant à aider les Ministères de l'éducation à promouvoir une utilisation sûre des TIC, la lutte contre le harcèlement en ligne et la sensibilisation générale à la cybersécurité dans les établissements d’enseignement</w:t>
            </w:r>
            <w:r w:rsidR="00836390">
              <w:rPr>
                <w:lang w:val="fr-FR"/>
              </w:rPr>
              <w:t xml:space="preserve"> </w:t>
            </w:r>
            <w:r w:rsidRPr="00712DC3">
              <w:rPr>
                <w:lang w:val="fr-FR"/>
              </w:rPr>
              <w:t>secondaire</w:t>
            </w:r>
            <w:r w:rsidR="00836390">
              <w:rPr>
                <w:lang w:val="fr-FR"/>
              </w:rPr>
              <w:t xml:space="preserve"> </w:t>
            </w:r>
            <w:r w:rsidRPr="00712DC3">
              <w:rPr>
                <w:lang w:val="fr-FR"/>
              </w:rPr>
              <w:t xml:space="preserve">des Caraïbes. </w:t>
            </w:r>
          </w:p>
          <w:p w:rsidR="00712DC3" w:rsidRPr="00712DC3" w:rsidRDefault="00712DC3" w:rsidP="007D043A">
            <w:pPr>
              <w:rPr>
                <w:lang w:val="fr-FR"/>
              </w:rPr>
            </w:pPr>
            <w:r w:rsidRPr="00712DC3">
              <w:rPr>
                <w:lang w:val="fr-FR"/>
              </w:rPr>
              <w:t>Le BDT a fourni l’assistance technique suivante</w:t>
            </w:r>
            <w:r w:rsidR="00836390">
              <w:rPr>
                <w:lang w:val="fr-FR"/>
              </w:rPr>
              <w:t>:</w:t>
            </w:r>
          </w:p>
          <w:p w:rsidR="00712DC3" w:rsidRPr="00712DC3" w:rsidRDefault="00712DC3" w:rsidP="007D043A">
            <w:pPr>
              <w:pStyle w:val="enumlev1"/>
              <w:rPr>
                <w:lang w:val="fr-FR"/>
              </w:rPr>
            </w:pPr>
            <w:r w:rsidRPr="00712DC3">
              <w:rPr>
                <w:lang w:val="fr-FR"/>
              </w:rPr>
              <w:t>–</w:t>
            </w:r>
            <w:r w:rsidRPr="00712DC3">
              <w:rPr>
                <w:lang w:val="fr-FR"/>
              </w:rPr>
              <w:tab/>
            </w:r>
            <w:r w:rsidR="007D043A" w:rsidRPr="00712DC3">
              <w:rPr>
                <w:lang w:val="fr-FR"/>
              </w:rPr>
              <w:t xml:space="preserve">Assistance </w:t>
            </w:r>
            <w:r w:rsidRPr="00712DC3">
              <w:rPr>
                <w:lang w:val="fr-FR"/>
              </w:rPr>
              <w:t>technique à des pays africains et des Etats arabes concernant l’élaboration de</w:t>
            </w:r>
            <w:r w:rsidR="00836390">
              <w:rPr>
                <w:lang w:val="fr-FR"/>
              </w:rPr>
              <w:t xml:space="preserve"> </w:t>
            </w:r>
            <w:r w:rsidRPr="00712DC3">
              <w:rPr>
                <w:lang w:val="fr-FR"/>
              </w:rPr>
              <w:t xml:space="preserve">leurs cadres </w:t>
            </w:r>
            <w:r w:rsidR="0080433D">
              <w:rPr>
                <w:lang w:val="fr-FR"/>
              </w:rPr>
              <w:t>stratégiques respectifs relatif</w:t>
            </w:r>
            <w:r w:rsidRPr="00712DC3">
              <w:rPr>
                <w:lang w:val="fr-FR"/>
              </w:rPr>
              <w:t>s à la protection en ligne des enfants</w:t>
            </w:r>
            <w:r w:rsidR="007D043A">
              <w:rPr>
                <w:lang w:val="fr-FR"/>
              </w:rPr>
              <w:t>.</w:t>
            </w:r>
          </w:p>
          <w:p w:rsidR="00712DC3" w:rsidRPr="00712DC3" w:rsidRDefault="00712DC3" w:rsidP="007D043A">
            <w:pPr>
              <w:pStyle w:val="enumlev1"/>
              <w:rPr>
                <w:lang w:val="fr-FR"/>
              </w:rPr>
            </w:pPr>
            <w:r w:rsidRPr="00712DC3">
              <w:rPr>
                <w:lang w:val="fr-FR"/>
              </w:rPr>
              <w:t>–</w:t>
            </w:r>
            <w:r w:rsidRPr="00712DC3">
              <w:rPr>
                <w:lang w:val="fr-FR"/>
              </w:rPr>
              <w:tab/>
            </w:r>
            <w:r w:rsidR="007D043A" w:rsidRPr="00712DC3">
              <w:rPr>
                <w:lang w:val="fr-FR"/>
              </w:rPr>
              <w:t>A</w:t>
            </w:r>
            <w:r w:rsidRPr="00712DC3">
              <w:rPr>
                <w:lang w:val="fr-FR"/>
              </w:rPr>
              <w:t>ssistance technique à des pays africains et des Etats arabes pour la mise en oeuvre de leurs plans d’action respectifs concernant la protection en ligne des enfants</w:t>
            </w:r>
            <w:r w:rsidR="007D043A">
              <w:rPr>
                <w:lang w:val="fr-FR"/>
              </w:rPr>
              <w:t>.</w:t>
            </w:r>
          </w:p>
          <w:p w:rsidR="00712DC3" w:rsidRPr="00712DC3" w:rsidRDefault="00712DC3" w:rsidP="001347FB">
            <w:pPr>
              <w:pStyle w:val="enumlev1"/>
              <w:rPr>
                <w:lang w:val="fr-FR"/>
              </w:rPr>
            </w:pPr>
            <w:r w:rsidRPr="00712DC3">
              <w:rPr>
                <w:lang w:val="fr-FR"/>
              </w:rPr>
              <w:t>–</w:t>
            </w:r>
            <w:r w:rsidRPr="00712DC3">
              <w:rPr>
                <w:lang w:val="fr-FR"/>
              </w:rPr>
              <w:tab/>
              <w:t>Assistance à certains pays africains et</w:t>
            </w:r>
            <w:r w:rsidR="00836390">
              <w:rPr>
                <w:lang w:val="fr-FR"/>
              </w:rPr>
              <w:t xml:space="preserve"> </w:t>
            </w:r>
            <w:r w:rsidRPr="00712DC3">
              <w:rPr>
                <w:lang w:val="fr-FR"/>
              </w:rPr>
              <w:t>Etats arabes concernant le renforcement de leur stratégie nationale en matière de cybers</w:t>
            </w:r>
            <w:r w:rsidR="001347FB">
              <w:rPr>
                <w:lang w:val="fr-FR"/>
              </w:rPr>
              <w:t>é</w:t>
            </w:r>
            <w:r w:rsidRPr="00712DC3">
              <w:rPr>
                <w:lang w:val="fr-FR"/>
              </w:rPr>
              <w:t>curité</w:t>
            </w:r>
            <w:r w:rsidR="007D043A">
              <w:rPr>
                <w:lang w:val="fr-FR"/>
              </w:rPr>
              <w:t>.</w:t>
            </w:r>
          </w:p>
        </w:tc>
      </w:tr>
      <w:tr w:rsidR="00712DC3" w:rsidRPr="00712DC3" w:rsidTr="00D476A5">
        <w:tc>
          <w:tcPr>
            <w:tcW w:w="3256" w:type="dxa"/>
            <w:tcBorders>
              <w:top w:val="single" w:sz="4" w:space="0" w:color="auto"/>
              <w:bottom w:val="single" w:sz="4" w:space="0" w:color="auto"/>
              <w:right w:val="single" w:sz="4" w:space="0" w:color="auto"/>
            </w:tcBorders>
          </w:tcPr>
          <w:p w:rsidR="00712DC3" w:rsidRPr="00CF78B8" w:rsidRDefault="00431AC4" w:rsidP="00712DC3">
            <w:pPr>
              <w:rPr>
                <w:i/>
                <w:iCs/>
                <w:szCs w:val="24"/>
              </w:rPr>
            </w:pPr>
            <w:r w:rsidRPr="00CF78B8">
              <w:rPr>
                <w:i/>
                <w:iCs/>
              </w:rPr>
              <w:lastRenderedPageBreak/>
              <w:t xml:space="preserve">Contribution aux cibles des ODD </w:t>
            </w:r>
          </w:p>
        </w:tc>
        <w:tc>
          <w:tcPr>
            <w:tcW w:w="6373" w:type="dxa"/>
            <w:tcBorders>
              <w:top w:val="single" w:sz="4" w:space="0" w:color="auto"/>
              <w:left w:val="single" w:sz="4" w:space="0" w:color="auto"/>
              <w:bottom w:val="single" w:sz="4" w:space="0" w:color="auto"/>
            </w:tcBorders>
          </w:tcPr>
          <w:p w:rsidR="00712DC3" w:rsidRPr="00712DC3" w:rsidRDefault="00712DC3" w:rsidP="0080433D">
            <w:pPr>
              <w:rPr>
                <w:lang w:val="en-US"/>
              </w:rPr>
            </w:pPr>
            <w:r w:rsidRPr="00712DC3">
              <w:rPr>
                <w:szCs w:val="24"/>
                <w:lang w:val="en-US"/>
              </w:rPr>
              <w:t>ODD</w:t>
            </w:r>
            <w:r w:rsidR="00836390">
              <w:rPr>
                <w:szCs w:val="24"/>
                <w:lang w:val="en-US"/>
              </w:rPr>
              <w:t>:</w:t>
            </w:r>
            <w:r w:rsidRPr="00712DC3">
              <w:rPr>
                <w:szCs w:val="24"/>
                <w:lang w:val="en-US"/>
              </w:rPr>
              <w:t xml:space="preserve"> 1, 3 (cible 3.5), 4 (cible 4.a), 5 (cibles 5.2, 5.3, 5.b), 7, 8, 9, 10 (cible 10.2), 11, 16, 17</w:t>
            </w:r>
          </w:p>
        </w:tc>
      </w:tr>
      <w:tr w:rsidR="00712DC3" w:rsidRPr="00712DC3" w:rsidTr="00D476A5">
        <w:trPr>
          <w:trHeight w:val="397"/>
        </w:trPr>
        <w:tc>
          <w:tcPr>
            <w:tcW w:w="3256" w:type="dxa"/>
            <w:tcBorders>
              <w:top w:val="single" w:sz="4" w:space="0" w:color="auto"/>
              <w:bottom w:val="single" w:sz="4" w:space="0" w:color="auto"/>
              <w:right w:val="single" w:sz="4" w:space="0" w:color="auto"/>
            </w:tcBorders>
          </w:tcPr>
          <w:p w:rsidR="00712DC3" w:rsidRPr="00CF78B8" w:rsidRDefault="00712DC3" w:rsidP="00712DC3">
            <w:pPr>
              <w:rPr>
                <w:i/>
                <w:iCs/>
                <w:szCs w:val="24"/>
              </w:rPr>
            </w:pPr>
            <w:r w:rsidRPr="00CF78B8">
              <w:rPr>
                <w:i/>
                <w:iCs/>
              </w:rPr>
              <w:t>Grandes orientations du SMSI</w:t>
            </w:r>
          </w:p>
        </w:tc>
        <w:tc>
          <w:tcPr>
            <w:tcW w:w="6373" w:type="dxa"/>
            <w:tcBorders>
              <w:top w:val="single" w:sz="4" w:space="0" w:color="auto"/>
              <w:left w:val="single" w:sz="4" w:space="0" w:color="auto"/>
              <w:bottom w:val="single" w:sz="4" w:space="0" w:color="auto"/>
            </w:tcBorders>
          </w:tcPr>
          <w:p w:rsidR="00712DC3" w:rsidRPr="00712DC3" w:rsidRDefault="00712DC3" w:rsidP="00712DC3">
            <w:pPr>
              <w:rPr>
                <w:szCs w:val="24"/>
                <w:lang w:val="fr-FR"/>
              </w:rPr>
            </w:pPr>
            <w:r w:rsidRPr="00712DC3">
              <w:rPr>
                <w:lang w:val="fr-FR"/>
              </w:rPr>
              <w:t>Grande</w:t>
            </w:r>
            <w:r w:rsidR="00836390">
              <w:rPr>
                <w:lang w:val="fr-FR"/>
              </w:rPr>
              <w:t xml:space="preserve"> </w:t>
            </w:r>
            <w:r w:rsidRPr="00712DC3">
              <w:rPr>
                <w:lang w:val="fr-FR"/>
              </w:rPr>
              <w:t xml:space="preserve">orientation C5 du SMSI </w:t>
            </w:r>
          </w:p>
        </w:tc>
      </w:tr>
      <w:tr w:rsidR="00712DC3" w:rsidRPr="00712DC3" w:rsidTr="00D476A5">
        <w:tc>
          <w:tcPr>
            <w:tcW w:w="3256" w:type="dxa"/>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t>Résolutions:</w:t>
            </w:r>
          </w:p>
        </w:tc>
        <w:tc>
          <w:tcPr>
            <w:tcW w:w="6373" w:type="dxa"/>
            <w:tcBorders>
              <w:top w:val="single" w:sz="4" w:space="0" w:color="auto"/>
              <w:left w:val="single" w:sz="4" w:space="0" w:color="auto"/>
              <w:bottom w:val="single" w:sz="4" w:space="0" w:color="auto"/>
            </w:tcBorders>
          </w:tcPr>
          <w:p w:rsidR="00712DC3" w:rsidRPr="00712DC3" w:rsidRDefault="00712DC3" w:rsidP="00712DC3">
            <w:pPr>
              <w:rPr>
                <w:lang w:val="fr-FR"/>
              </w:rPr>
            </w:pPr>
            <w:r w:rsidRPr="00712DC3">
              <w:rPr>
                <w:lang w:val="fr-FR"/>
              </w:rPr>
              <w:t>Décisions 5 et</w:t>
            </w:r>
            <w:r w:rsidR="00836390">
              <w:rPr>
                <w:lang w:val="fr-FR"/>
              </w:rPr>
              <w:t xml:space="preserve"> </w:t>
            </w:r>
            <w:r w:rsidR="007D043A">
              <w:rPr>
                <w:lang w:val="fr-FR"/>
              </w:rPr>
              <w:t>13 de la PP</w:t>
            </w:r>
          </w:p>
          <w:p w:rsidR="00712DC3" w:rsidRPr="00712DC3" w:rsidRDefault="00712DC3" w:rsidP="00712DC3">
            <w:pPr>
              <w:rPr>
                <w:szCs w:val="24"/>
              </w:rPr>
            </w:pPr>
            <w:r w:rsidRPr="00712DC3">
              <w:rPr>
                <w:lang w:val="en-US"/>
              </w:rPr>
              <w:t>Résolutions 25, 71, 72, 130, 172, 179, 181 de la PP</w:t>
            </w:r>
          </w:p>
        </w:tc>
      </w:tr>
    </w:tbl>
    <w:p w:rsidR="00712DC3" w:rsidRPr="00712DC3" w:rsidRDefault="00712DC3" w:rsidP="007D043A">
      <w:pPr>
        <w:pStyle w:val="Heading2"/>
        <w:rPr>
          <w:lang w:val="fr-FR"/>
        </w:rPr>
      </w:pPr>
      <w:bookmarkStart w:id="23" w:name="_Toc467807699"/>
      <w:bookmarkStart w:id="24" w:name="_Toc468087098"/>
      <w:r w:rsidRPr="00712DC3">
        <w:rPr>
          <w:lang w:val="fr-FR"/>
        </w:rPr>
        <w:t>3.2</w:t>
      </w:r>
      <w:r w:rsidRPr="00712DC3">
        <w:rPr>
          <w:lang w:val="fr-FR"/>
        </w:rPr>
        <w:tab/>
        <w:t>Applications et services TIC</w:t>
      </w:r>
      <w:bookmarkEnd w:id="23"/>
      <w:bookmarkEnd w:id="24"/>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712DC3" w:rsidRPr="00712DC3" w:rsidTr="00D476A5">
        <w:tc>
          <w:tcPr>
            <w:tcW w:w="9629" w:type="dxa"/>
            <w:gridSpan w:val="2"/>
            <w:tcBorders>
              <w:bottom w:val="single" w:sz="4" w:space="0" w:color="auto"/>
            </w:tcBorders>
          </w:tcPr>
          <w:p w:rsidR="00712DC3" w:rsidRPr="00712DC3" w:rsidRDefault="00712DC3" w:rsidP="00712DC3">
            <w:pPr>
              <w:rPr>
                <w:lang w:val="fr-FR"/>
              </w:rPr>
            </w:pPr>
            <w:r w:rsidRPr="00712DC3">
              <w:rPr>
                <w:lang w:val="fr-FR"/>
              </w:rPr>
              <w:t>La capacité</w:t>
            </w:r>
            <w:r w:rsidR="00836390">
              <w:rPr>
                <w:lang w:val="fr-FR"/>
              </w:rPr>
              <w:t xml:space="preserve"> </w:t>
            </w:r>
            <w:r w:rsidRPr="00712DC3">
              <w:rPr>
                <w:lang w:val="fr-FR"/>
              </w:rPr>
              <w:t>des Etats Membres de l'UIT</w:t>
            </w:r>
            <w:r w:rsidR="00836390">
              <w:rPr>
                <w:lang w:val="fr-FR"/>
              </w:rPr>
              <w:t xml:space="preserve"> </w:t>
            </w:r>
            <w:r w:rsidRPr="00712DC3">
              <w:rPr>
                <w:lang w:val="fr-FR"/>
              </w:rPr>
              <w:t>d'élaborer de</w:t>
            </w:r>
            <w:r w:rsidR="007D043A">
              <w:rPr>
                <w:lang w:val="fr-FR"/>
              </w:rPr>
              <w:t>s</w:t>
            </w:r>
            <w:r w:rsidRPr="00712DC3">
              <w:rPr>
                <w:lang w:val="fr-FR"/>
              </w:rPr>
              <w:t xml:space="preserve"> cyberstratégies nationales visant à favoriser un environnement propice à l'amélioration des applications TIC a été renforcée </w:t>
            </w:r>
            <w:r w:rsidR="006A2D50" w:rsidRPr="00712DC3">
              <w:rPr>
                <w:lang w:val="fr-FR"/>
              </w:rPr>
              <w:t>grâce</w:t>
            </w:r>
            <w:r w:rsidRPr="00712DC3">
              <w:rPr>
                <w:lang w:val="fr-FR"/>
              </w:rPr>
              <w:t xml:space="preserve"> aux activités suivantes:</w:t>
            </w:r>
          </w:p>
          <w:p w:rsidR="00712DC3" w:rsidRPr="00712DC3" w:rsidRDefault="00712DC3" w:rsidP="00712DC3">
            <w:pPr>
              <w:rPr>
                <w:i/>
                <w:iCs/>
                <w:lang w:val="fr-FR"/>
              </w:rPr>
            </w:pPr>
            <w:r w:rsidRPr="00712DC3">
              <w:rPr>
                <w:i/>
                <w:iCs/>
                <w:lang w:val="fr-FR"/>
              </w:rPr>
              <w:t>En ce qui concerne la cybersanté:</w:t>
            </w:r>
          </w:p>
          <w:p w:rsidR="00712DC3" w:rsidRPr="00712DC3" w:rsidRDefault="00712DC3" w:rsidP="007D043A">
            <w:pPr>
              <w:pStyle w:val="enumlev1"/>
              <w:rPr>
                <w:lang w:val="fr-FR"/>
              </w:rPr>
            </w:pPr>
            <w:r w:rsidRPr="00712DC3">
              <w:rPr>
                <w:lang w:val="fr-FR"/>
              </w:rPr>
              <w:t>–</w:t>
            </w:r>
            <w:r w:rsidRPr="00712DC3">
              <w:rPr>
                <w:lang w:val="fr-FR"/>
              </w:rPr>
              <w:tab/>
              <w:t>Un dialogue de haut niveau</w:t>
            </w:r>
            <w:r w:rsidR="0080433D">
              <w:rPr>
                <w:lang w:val="fr-FR"/>
              </w:rPr>
              <w:t xml:space="preserve"> </w:t>
            </w:r>
            <w:r w:rsidRPr="00712DC3">
              <w:rPr>
                <w:lang w:val="fr-FR"/>
              </w:rPr>
              <w:t>intitulé "Dialogue sur les politiques de santé numérique", organisé conjointement par l'UIT et l'Organisation mondiale de la Santé (OMS) à Genève</w:t>
            </w:r>
            <w:r w:rsidR="00836390">
              <w:rPr>
                <w:lang w:val="fr-FR"/>
              </w:rPr>
              <w:t xml:space="preserve"> </w:t>
            </w:r>
            <w:r w:rsidRPr="00712DC3">
              <w:rPr>
                <w:lang w:val="fr-FR"/>
              </w:rPr>
              <w:t>les 23</w:t>
            </w:r>
            <w:r w:rsidR="00836390">
              <w:rPr>
                <w:lang w:val="fr-FR"/>
              </w:rPr>
              <w:t xml:space="preserve"> </w:t>
            </w:r>
            <w:r w:rsidRPr="00712DC3">
              <w:rPr>
                <w:lang w:val="fr-FR"/>
              </w:rPr>
              <w:t>et 24 mai 2016,</w:t>
            </w:r>
            <w:r w:rsidR="00836390">
              <w:rPr>
                <w:lang w:val="fr-FR"/>
              </w:rPr>
              <w:t xml:space="preserve"> </w:t>
            </w:r>
            <w:r w:rsidRPr="00712DC3">
              <w:rPr>
                <w:lang w:val="fr-FR"/>
              </w:rPr>
              <w:t>a permis aux 250 participants (dont cinq ministres</w:t>
            </w:r>
            <w:r w:rsidR="00836390">
              <w:rPr>
                <w:lang w:val="fr-FR"/>
              </w:rPr>
              <w:t xml:space="preserve"> </w:t>
            </w:r>
            <w:r w:rsidRPr="00712DC3">
              <w:rPr>
                <w:lang w:val="fr-FR"/>
              </w:rPr>
              <w:t>chargés des TIC et cinq Ministres de la s</w:t>
            </w:r>
            <w:r w:rsidR="006A2D50">
              <w:rPr>
                <w:lang w:val="fr-FR"/>
              </w:rPr>
              <w:t>anté) d'échanger des données d’</w:t>
            </w:r>
            <w:r w:rsidR="006A2D50" w:rsidRPr="00712DC3">
              <w:rPr>
                <w:lang w:val="fr-FR"/>
              </w:rPr>
              <w:t>expérience</w:t>
            </w:r>
            <w:r w:rsidR="00836390">
              <w:rPr>
                <w:lang w:val="fr-FR"/>
              </w:rPr>
              <w:t xml:space="preserve"> </w:t>
            </w:r>
            <w:r w:rsidRPr="00712DC3">
              <w:rPr>
                <w:lang w:val="fr-FR"/>
              </w:rPr>
              <w:t>et d'identifier des stratégies sur la façon dont les politiques et la collaboration intersectorielle entre le secteur de la santé et celui des TIC pourraient favoriser l'innovation, afin d’améliorer la qualité, l'équité et l'accessibilité des services sanitaires</w:t>
            </w:r>
            <w:r w:rsidR="007D043A">
              <w:rPr>
                <w:lang w:val="fr-FR"/>
              </w:rPr>
              <w:t>.</w:t>
            </w:r>
          </w:p>
          <w:p w:rsidR="00712DC3" w:rsidRPr="00712DC3" w:rsidRDefault="00712DC3" w:rsidP="007D043A">
            <w:pPr>
              <w:pStyle w:val="enumlev1"/>
              <w:rPr>
                <w:lang w:val="fr-FR"/>
              </w:rPr>
            </w:pPr>
            <w:r w:rsidRPr="00712DC3">
              <w:rPr>
                <w:lang w:val="fr-FR"/>
              </w:rPr>
              <w:t>–</w:t>
            </w:r>
            <w:r w:rsidRPr="00712DC3">
              <w:rPr>
                <w:lang w:val="fr-FR"/>
              </w:rPr>
              <w:tab/>
              <w:t>Une assistance technique a été fournie à certains pays africains pour élaborer et valider leur stratégie nationale en matière de cybersanté.</w:t>
            </w:r>
          </w:p>
          <w:p w:rsidR="00712DC3" w:rsidRPr="00712DC3" w:rsidRDefault="00712DC3" w:rsidP="007D043A">
            <w:pPr>
              <w:pStyle w:val="enumlev1"/>
              <w:rPr>
                <w:lang w:val="fr-FR"/>
              </w:rPr>
            </w:pPr>
            <w:r w:rsidRPr="00712DC3">
              <w:rPr>
                <w:lang w:val="fr-FR"/>
              </w:rPr>
              <w:t>–</w:t>
            </w:r>
            <w:r w:rsidRPr="00712DC3">
              <w:rPr>
                <w:lang w:val="fr-FR"/>
              </w:rPr>
              <w:tab/>
              <w:t>Un “kit pratique et des lignes directrices sur la</w:t>
            </w:r>
            <w:r w:rsidR="00836390">
              <w:rPr>
                <w:lang w:val="fr-FR"/>
              </w:rPr>
              <w:t xml:space="preserve"> </w:t>
            </w:r>
            <w:r w:rsidRPr="00712DC3">
              <w:rPr>
                <w:lang w:val="fr-FR"/>
              </w:rPr>
              <w:t>mise en oeuvre d’une plate-forme numérique sur la santé” ont été mis au point</w:t>
            </w:r>
            <w:r w:rsidR="0080433D">
              <w:rPr>
                <w:lang w:val="fr-FR"/>
              </w:rPr>
              <w:t>,</w:t>
            </w:r>
            <w:r w:rsidR="00836390">
              <w:rPr>
                <w:lang w:val="fr-FR"/>
              </w:rPr>
              <w:t xml:space="preserve"> </w:t>
            </w:r>
            <w:r w:rsidRPr="00712DC3">
              <w:rPr>
                <w:lang w:val="fr-FR"/>
              </w:rPr>
              <w:t xml:space="preserve">afin d'aider les décideurs et les </w:t>
            </w:r>
            <w:r w:rsidRPr="00712DC3">
              <w:rPr>
                <w:lang w:val="fr-FR"/>
              </w:rPr>
              <w:lastRenderedPageBreak/>
              <w:t>responsables de la planification des services de santé à concevoir</w:t>
            </w:r>
            <w:r w:rsidR="00836390">
              <w:rPr>
                <w:lang w:val="fr-FR"/>
              </w:rPr>
              <w:t xml:space="preserve"> </w:t>
            </w:r>
            <w:r w:rsidRPr="00712DC3">
              <w:rPr>
                <w:lang w:val="fr-FR"/>
              </w:rPr>
              <w:t>et mettre en place</w:t>
            </w:r>
            <w:r w:rsidR="00836390">
              <w:rPr>
                <w:lang w:val="fr-FR"/>
              </w:rPr>
              <w:t xml:space="preserve"> </w:t>
            </w:r>
            <w:r w:rsidRPr="00712DC3">
              <w:rPr>
                <w:lang w:val="fr-FR"/>
              </w:rPr>
              <w:t>une "plate-forme numérique sur la santé".</w:t>
            </w:r>
          </w:p>
          <w:p w:rsidR="00712DC3" w:rsidRPr="00712DC3" w:rsidRDefault="00712DC3" w:rsidP="00712DC3">
            <w:pPr>
              <w:rPr>
                <w:i/>
                <w:iCs/>
                <w:lang w:val="fr-FR"/>
              </w:rPr>
            </w:pPr>
            <w:r w:rsidRPr="00712DC3">
              <w:rPr>
                <w:i/>
                <w:iCs/>
                <w:lang w:val="fr-FR"/>
              </w:rPr>
              <w:t>En ce qui concerne la cyberagriculture:</w:t>
            </w:r>
          </w:p>
          <w:p w:rsidR="00712DC3" w:rsidRPr="00712DC3" w:rsidRDefault="00712DC3" w:rsidP="007D043A">
            <w:pPr>
              <w:pStyle w:val="enumlev1"/>
              <w:rPr>
                <w:lang w:val="fr-FR"/>
              </w:rPr>
            </w:pPr>
            <w:r w:rsidRPr="00712DC3">
              <w:rPr>
                <w:lang w:val="fr-FR"/>
              </w:rPr>
              <w:t>–</w:t>
            </w:r>
            <w:r w:rsidRPr="00712DC3">
              <w:rPr>
                <w:lang w:val="fr-FR"/>
              </w:rPr>
              <w:tab/>
              <w:t>Un guide stratégique pour la cyberagriculture conçu conjointement par l'UIT et la FAO a été publié, afin de fournir aux pays un cadre pour élaborer leurs stratégies nationales en matière</w:t>
            </w:r>
            <w:r w:rsidR="00836390">
              <w:rPr>
                <w:lang w:val="fr-FR"/>
              </w:rPr>
              <w:t xml:space="preserve"> </w:t>
            </w:r>
            <w:r w:rsidRPr="00712DC3">
              <w:rPr>
                <w:lang w:val="fr-FR"/>
              </w:rPr>
              <w:t>de cyberagriculture. Ces stratégies permettront de rationaliser les ressources humaines et financières, e</w:t>
            </w:r>
            <w:r w:rsidR="0080433D">
              <w:rPr>
                <w:lang w:val="fr-FR"/>
              </w:rPr>
              <w:t xml:space="preserve">t de tirer parti des </w:t>
            </w:r>
            <w:r w:rsidR="006A2D50">
              <w:rPr>
                <w:lang w:val="fr-FR"/>
              </w:rPr>
              <w:t>possibilit</w:t>
            </w:r>
            <w:r w:rsidR="006A2D50" w:rsidRPr="00712DC3">
              <w:rPr>
                <w:lang w:val="fr-FR"/>
              </w:rPr>
              <w:t>és</w:t>
            </w:r>
            <w:r w:rsidRPr="00712DC3">
              <w:rPr>
                <w:lang w:val="fr-FR"/>
              </w:rPr>
              <w:t xml:space="preserve"> qu’offrent</w:t>
            </w:r>
            <w:r w:rsidR="00836390">
              <w:rPr>
                <w:lang w:val="fr-FR"/>
              </w:rPr>
              <w:t xml:space="preserve"> </w:t>
            </w:r>
            <w:r w:rsidRPr="00712DC3">
              <w:rPr>
                <w:lang w:val="fr-FR"/>
              </w:rPr>
              <w:t>les TIC pour le secteur de l'agriculture de façon plus globale et</w:t>
            </w:r>
            <w:r w:rsidR="00836390">
              <w:rPr>
                <w:lang w:val="fr-FR"/>
              </w:rPr>
              <w:t xml:space="preserve"> </w:t>
            </w:r>
            <w:r w:rsidRPr="00712DC3">
              <w:rPr>
                <w:lang w:val="fr-FR"/>
              </w:rPr>
              <w:t>efficace.</w:t>
            </w:r>
          </w:p>
          <w:p w:rsidR="00712DC3" w:rsidRPr="00712DC3" w:rsidRDefault="00712DC3" w:rsidP="007D043A">
            <w:pPr>
              <w:pStyle w:val="enumlev1"/>
              <w:rPr>
                <w:lang w:val="fr-FR"/>
              </w:rPr>
            </w:pPr>
            <w:r w:rsidRPr="00712DC3">
              <w:rPr>
                <w:lang w:val="fr-FR"/>
              </w:rPr>
              <w:t>–</w:t>
            </w:r>
            <w:r w:rsidRPr="00712DC3">
              <w:rPr>
                <w:lang w:val="fr-FR"/>
              </w:rPr>
              <w:tab/>
              <w:t>Le Forum consacré aux solutions de cyberagriculture,</w:t>
            </w:r>
            <w:r w:rsidR="00836390">
              <w:rPr>
                <w:lang w:val="fr-FR"/>
              </w:rPr>
              <w:t xml:space="preserve"> </w:t>
            </w:r>
            <w:r w:rsidRPr="00712DC3">
              <w:rPr>
                <w:lang w:val="fr-FR"/>
              </w:rPr>
              <w:t>organisé conjointement par l'UIT et la FAO à Bangkok du 29 août au 31 septembre, a été l’occasion de faire connaître des solutions en matière de cyberagriculture avantageuses pour les</w:t>
            </w:r>
            <w:r w:rsidR="00836390">
              <w:rPr>
                <w:lang w:val="fr-FR"/>
              </w:rPr>
              <w:t xml:space="preserve"> </w:t>
            </w:r>
            <w:r w:rsidRPr="00712DC3">
              <w:rPr>
                <w:lang w:val="fr-FR"/>
              </w:rPr>
              <w:t>parties prenantes de ce secteur et de mettre</w:t>
            </w:r>
            <w:r w:rsidR="00836390">
              <w:rPr>
                <w:lang w:val="fr-FR"/>
              </w:rPr>
              <w:t xml:space="preserve"> </w:t>
            </w:r>
            <w:r w:rsidRPr="00712DC3">
              <w:rPr>
                <w:lang w:val="fr-FR"/>
              </w:rPr>
              <w:t>en place un Groupe d'experts composé de fournisseurs de solutions en matière de cyberagriculture. De plus, les capacités de plus de 120 participants de 29 pays ont été renforcées en ce qui concerne l'élaboration de stratégies de cyberagriculture, grâce à une</w:t>
            </w:r>
            <w:r w:rsidR="0080433D">
              <w:rPr>
                <w:lang w:val="fr-FR"/>
              </w:rPr>
              <w:t xml:space="preserve"> formation organisée après le</w:t>
            </w:r>
            <w:r w:rsidR="00836390">
              <w:rPr>
                <w:lang w:val="fr-FR"/>
              </w:rPr>
              <w:t xml:space="preserve"> </w:t>
            </w:r>
            <w:r w:rsidRPr="00712DC3">
              <w:rPr>
                <w:lang w:val="fr-FR"/>
              </w:rPr>
              <w:t>Forum les 1er et 2 septembre.</w:t>
            </w:r>
          </w:p>
          <w:p w:rsidR="00712DC3" w:rsidRPr="00712DC3" w:rsidRDefault="00712DC3" w:rsidP="00712DC3">
            <w:pPr>
              <w:rPr>
                <w:i/>
                <w:iCs/>
                <w:lang w:val="fr-FR"/>
              </w:rPr>
            </w:pPr>
            <w:r w:rsidRPr="00712DC3">
              <w:rPr>
                <w:i/>
                <w:iCs/>
                <w:lang w:val="fr-FR"/>
              </w:rPr>
              <w:t xml:space="preserve">En ce qui concerne le </w:t>
            </w:r>
            <w:r w:rsidR="006A2D50">
              <w:rPr>
                <w:i/>
                <w:iCs/>
                <w:lang w:val="fr-FR"/>
              </w:rPr>
              <w:t>cyber</w:t>
            </w:r>
            <w:r w:rsidR="006A2D50" w:rsidRPr="00712DC3">
              <w:rPr>
                <w:i/>
                <w:iCs/>
                <w:lang w:val="fr-FR"/>
              </w:rPr>
              <w:t>apprentissage</w:t>
            </w:r>
            <w:r w:rsidRPr="00712DC3">
              <w:rPr>
                <w:i/>
                <w:iCs/>
                <w:lang w:val="fr-FR"/>
              </w:rPr>
              <w:t>:</w:t>
            </w:r>
          </w:p>
          <w:p w:rsidR="00712DC3" w:rsidRPr="00712DC3" w:rsidRDefault="00712DC3" w:rsidP="007D043A">
            <w:pPr>
              <w:pStyle w:val="enumlev1"/>
              <w:rPr>
                <w:lang w:val="fr-FR"/>
              </w:rPr>
            </w:pPr>
            <w:r w:rsidRPr="00712DC3">
              <w:rPr>
                <w:lang w:val="fr-FR"/>
              </w:rPr>
              <w:t>–</w:t>
            </w:r>
            <w:r w:rsidRPr="00712DC3">
              <w:rPr>
                <w:lang w:val="fr-FR"/>
              </w:rPr>
              <w:tab/>
              <w:t>Un “Forum des politiques sur</w:t>
            </w:r>
            <w:r w:rsidR="00836390">
              <w:rPr>
                <w:lang w:val="fr-FR"/>
              </w:rPr>
              <w:t xml:space="preserve"> </w:t>
            </w:r>
            <w:r w:rsidRPr="00712DC3">
              <w:rPr>
                <w:lang w:val="fr-FR"/>
              </w:rPr>
              <w:t>l'apprentissage sur mobile”, organisé conjointement par l'UIT et l'UNESCO le 11 mars 2016</w:t>
            </w:r>
            <w:r w:rsidR="00836390">
              <w:rPr>
                <w:lang w:val="fr-FR"/>
              </w:rPr>
              <w:t>,</w:t>
            </w:r>
            <w:r w:rsidRPr="00712DC3">
              <w:rPr>
                <w:lang w:val="fr-FR"/>
              </w:rPr>
              <w:t xml:space="preserve"> a permis de renforcer les capacités des 250 participants, dont quatre </w:t>
            </w:r>
            <w:r w:rsidR="007D043A" w:rsidRPr="00712DC3">
              <w:rPr>
                <w:lang w:val="fr-FR"/>
              </w:rPr>
              <w:t>M</w:t>
            </w:r>
            <w:r w:rsidRPr="00712DC3">
              <w:rPr>
                <w:lang w:val="fr-FR"/>
              </w:rPr>
              <w:t xml:space="preserve">inistres et deux </w:t>
            </w:r>
            <w:r w:rsidR="007D043A" w:rsidRPr="00712DC3">
              <w:rPr>
                <w:lang w:val="fr-FR"/>
              </w:rPr>
              <w:t>V</w:t>
            </w:r>
            <w:r w:rsidRPr="00712DC3">
              <w:rPr>
                <w:lang w:val="fr-FR"/>
              </w:rPr>
              <w:t>ice-ministres</w:t>
            </w:r>
            <w:r w:rsidR="00836390">
              <w:rPr>
                <w:lang w:val="fr-FR"/>
              </w:rPr>
              <w:t xml:space="preserve"> </w:t>
            </w:r>
            <w:r w:rsidRPr="00712DC3">
              <w:rPr>
                <w:lang w:val="fr-FR"/>
              </w:rPr>
              <w:t xml:space="preserve">chargés des TIC, ainsi que deux </w:t>
            </w:r>
            <w:r w:rsidR="007D043A" w:rsidRPr="00712DC3">
              <w:rPr>
                <w:lang w:val="fr-FR"/>
              </w:rPr>
              <w:t>M</w:t>
            </w:r>
            <w:r w:rsidRPr="00712DC3">
              <w:rPr>
                <w:lang w:val="fr-FR"/>
              </w:rPr>
              <w:t xml:space="preserve">inistres et trois </w:t>
            </w:r>
            <w:r w:rsidR="007D043A" w:rsidRPr="00712DC3">
              <w:rPr>
                <w:lang w:val="fr-FR"/>
              </w:rPr>
              <w:t>V</w:t>
            </w:r>
            <w:r w:rsidRPr="00712DC3">
              <w:rPr>
                <w:lang w:val="fr-FR"/>
              </w:rPr>
              <w:t>ice-ministres</w:t>
            </w:r>
            <w:r w:rsidR="00836390">
              <w:rPr>
                <w:lang w:val="fr-FR"/>
              </w:rPr>
              <w:t xml:space="preserve"> </w:t>
            </w:r>
            <w:r w:rsidRPr="00712DC3">
              <w:rPr>
                <w:lang w:val="fr-FR"/>
              </w:rPr>
              <w:t>de l'éducation, sur la façon dont les dispositifs numériques nouveaux et plus abordables peuvent contribuer à résoudre les</w:t>
            </w:r>
            <w:r w:rsidR="00836390">
              <w:rPr>
                <w:lang w:val="fr-FR"/>
              </w:rPr>
              <w:t xml:space="preserve"> </w:t>
            </w:r>
            <w:r w:rsidRPr="00712DC3">
              <w:rPr>
                <w:lang w:val="fr-FR"/>
              </w:rPr>
              <w:t>problèmes urgents qui se posent dans le domaine de l'éducation et répondre aux besoins des étudiants, des enseignants et des administrateurs.</w:t>
            </w:r>
          </w:p>
          <w:p w:rsidR="00712DC3" w:rsidRPr="00712DC3" w:rsidRDefault="00712DC3" w:rsidP="007D043A">
            <w:pPr>
              <w:pStyle w:val="enumlev1"/>
              <w:rPr>
                <w:lang w:val="fr-FR"/>
              </w:rPr>
            </w:pPr>
            <w:r w:rsidRPr="00712DC3">
              <w:rPr>
                <w:lang w:val="fr-FR"/>
              </w:rPr>
              <w:t>–</w:t>
            </w:r>
            <w:r w:rsidRPr="00712DC3">
              <w:rPr>
                <w:lang w:val="fr-FR"/>
              </w:rPr>
              <w:tab/>
              <w:t>Une note de politique générale UIT/UNESCO sur l'apprentissage sur mobile, publiée en trois langues (anglais, français et espagnol), comprend</w:t>
            </w:r>
            <w:r w:rsidR="00836390">
              <w:rPr>
                <w:lang w:val="fr-FR"/>
              </w:rPr>
              <w:t xml:space="preserve"> </w:t>
            </w:r>
            <w:r w:rsidRPr="00712DC3">
              <w:rPr>
                <w:lang w:val="fr-FR"/>
              </w:rPr>
              <w:t>des recommandations de politique générale</w:t>
            </w:r>
            <w:r w:rsidR="00836390">
              <w:rPr>
                <w:lang w:val="fr-FR"/>
              </w:rPr>
              <w:t xml:space="preserve"> </w:t>
            </w:r>
            <w:r w:rsidRPr="00712DC3">
              <w:rPr>
                <w:lang w:val="fr-FR"/>
              </w:rPr>
              <w:t>sur les perspectives d’avenir. Cette</w:t>
            </w:r>
            <w:r w:rsidR="00836390">
              <w:rPr>
                <w:lang w:val="fr-FR"/>
              </w:rPr>
              <w:t xml:space="preserve"> </w:t>
            </w:r>
            <w:r w:rsidRPr="00712DC3">
              <w:rPr>
                <w:lang w:val="fr-FR"/>
              </w:rPr>
              <w:t>note</w:t>
            </w:r>
            <w:r w:rsidR="00836390">
              <w:rPr>
                <w:lang w:val="fr-FR"/>
              </w:rPr>
              <w:t xml:space="preserve"> </w:t>
            </w:r>
            <w:r w:rsidRPr="00712DC3">
              <w:rPr>
                <w:lang w:val="fr-FR"/>
              </w:rPr>
              <w:t xml:space="preserve">est disponible à l'adresse: </w:t>
            </w:r>
            <w:hyperlink r:id="rId10" w:history="1">
              <w:r w:rsidRPr="00712DC3">
                <w:rPr>
                  <w:color w:val="0563C1" w:themeColor="hyperlink"/>
                  <w:u w:val="single"/>
                  <w:lang w:eastAsia="ar-SA"/>
                </w:rPr>
                <w:t>http://www.itu.int/en/ITU-D/Initiatives/m-Powering/Pages/ITU_UNE</w:t>
              </w:r>
              <w:r w:rsidRPr="00712DC3">
                <w:rPr>
                  <w:color w:val="0563C1" w:themeColor="hyperlink"/>
                  <w:u w:val="single"/>
                  <w:lang w:eastAsia="ar-SA"/>
                </w:rPr>
                <w:t>S</w:t>
              </w:r>
              <w:r w:rsidRPr="00712DC3">
                <w:rPr>
                  <w:color w:val="0563C1" w:themeColor="hyperlink"/>
                  <w:u w:val="single"/>
                  <w:lang w:eastAsia="ar-SA"/>
                </w:rPr>
                <w:t>CO_MLW_PolicyForum.aspx</w:t>
              </w:r>
            </w:hyperlink>
            <w:r w:rsidRPr="00712DC3">
              <w:rPr>
                <w:lang w:val="fr-FR"/>
              </w:rPr>
              <w:t>.</w:t>
            </w:r>
          </w:p>
          <w:p w:rsidR="00712DC3" w:rsidRPr="00712DC3" w:rsidRDefault="00712DC3" w:rsidP="00712DC3">
            <w:pPr>
              <w:rPr>
                <w:lang w:val="fr-FR"/>
              </w:rPr>
            </w:pPr>
            <w:r w:rsidRPr="00712DC3">
              <w:rPr>
                <w:lang w:val="fr-FR"/>
              </w:rPr>
              <w:t>La capacité des pays de tirer parti des applications TIC/mobiles en vue d'améliorer la prestation de services à valeur ajoutée a été renforcée grâce au déploiement, assuré conjointement par le secteur public et le secteur privé, d'applications TIC innovantes qui permettent de résoudre efficacement</w:t>
            </w:r>
            <w:r w:rsidR="00836390">
              <w:rPr>
                <w:lang w:val="fr-FR"/>
              </w:rPr>
              <w:t xml:space="preserve"> </w:t>
            </w:r>
            <w:r w:rsidRPr="00712DC3">
              <w:rPr>
                <w:lang w:val="fr-FR"/>
              </w:rPr>
              <w:t>divers</w:t>
            </w:r>
            <w:r w:rsidR="00836390">
              <w:rPr>
                <w:lang w:val="fr-FR"/>
              </w:rPr>
              <w:t xml:space="preserve"> </w:t>
            </w:r>
            <w:r w:rsidR="006A2D50" w:rsidRPr="00712DC3">
              <w:rPr>
                <w:lang w:val="fr-FR"/>
              </w:rPr>
              <w:t>problèmes</w:t>
            </w:r>
            <w:r w:rsidRPr="00712DC3">
              <w:rPr>
                <w:lang w:val="fr-FR"/>
              </w:rPr>
              <w:t xml:space="preserve"> qui</w:t>
            </w:r>
            <w:r w:rsidR="00836390">
              <w:rPr>
                <w:lang w:val="fr-FR"/>
              </w:rPr>
              <w:t xml:space="preserve"> </w:t>
            </w:r>
            <w:r w:rsidRPr="00712DC3">
              <w:rPr>
                <w:lang w:val="fr-FR"/>
              </w:rPr>
              <w:t>se posent dans le domaine du</w:t>
            </w:r>
            <w:r w:rsidR="00836390">
              <w:rPr>
                <w:lang w:val="fr-FR"/>
              </w:rPr>
              <w:t xml:space="preserve"> </w:t>
            </w:r>
            <w:r w:rsidRPr="00712DC3">
              <w:rPr>
                <w:lang w:val="fr-FR"/>
              </w:rPr>
              <w:t>développement durable:</w:t>
            </w:r>
          </w:p>
          <w:p w:rsidR="00712DC3" w:rsidRPr="00712DC3" w:rsidRDefault="00712DC3" w:rsidP="004F7A68">
            <w:pPr>
              <w:pStyle w:val="enumlev1"/>
              <w:rPr>
                <w:lang w:val="fr-FR"/>
              </w:rPr>
            </w:pPr>
            <w:r w:rsidRPr="00712DC3">
              <w:rPr>
                <w:lang w:val="fr-FR"/>
              </w:rPr>
              <w:t>–</w:t>
            </w:r>
            <w:r w:rsidRPr="00712DC3">
              <w:rPr>
                <w:lang w:val="fr-FR"/>
              </w:rPr>
              <w:tab/>
              <w:t>Trois programmes de lutte contre le diabète grâce au mobile (mDiabetes) ont été lancés au Sénégal, en Inde et en Egypte, en collaboration avec le Ministère de la Santé et le Ministère</w:t>
            </w:r>
            <w:r w:rsidR="00836390">
              <w:rPr>
                <w:lang w:val="fr-FR"/>
              </w:rPr>
              <w:t xml:space="preserve"> </w:t>
            </w:r>
            <w:r w:rsidRPr="00712DC3">
              <w:rPr>
                <w:lang w:val="fr-FR"/>
              </w:rPr>
              <w:t xml:space="preserve">chargé des TIC, afin d'aider les patients diabétiques à gérer leur maladie en toute sécurité et de réduire le nombre d'hospitalisations d'urgence. A l'heure actuelle, on dénombre 100 000 utilisateurs en Inde, 52 000 au Sénégal et 50 000 en Egypte. Tous reçoivent régulièrement des messages sur la </w:t>
            </w:r>
            <w:r w:rsidR="006A2D50" w:rsidRPr="00712DC3">
              <w:rPr>
                <w:lang w:val="fr-FR"/>
              </w:rPr>
              <w:t>prévention</w:t>
            </w:r>
            <w:r w:rsidRPr="00712DC3">
              <w:rPr>
                <w:lang w:val="fr-FR"/>
              </w:rPr>
              <w:t xml:space="preserve"> du</w:t>
            </w:r>
            <w:r w:rsidR="00836390">
              <w:rPr>
                <w:lang w:val="fr-FR"/>
              </w:rPr>
              <w:t xml:space="preserve"> </w:t>
            </w:r>
            <w:r w:rsidRPr="00712DC3">
              <w:rPr>
                <w:lang w:val="fr-FR"/>
              </w:rPr>
              <w:t>diabète et</w:t>
            </w:r>
            <w:r w:rsidR="00836390">
              <w:rPr>
                <w:lang w:val="fr-FR"/>
              </w:rPr>
              <w:t xml:space="preserve"> </w:t>
            </w:r>
            <w:r w:rsidRPr="00712DC3">
              <w:rPr>
                <w:lang w:val="fr-FR"/>
              </w:rPr>
              <w:t>la lutte contre le diabète.</w:t>
            </w:r>
          </w:p>
          <w:p w:rsidR="00712DC3" w:rsidRPr="00712DC3" w:rsidRDefault="00712DC3" w:rsidP="004F7A68">
            <w:pPr>
              <w:pStyle w:val="enumlev1"/>
              <w:rPr>
                <w:lang w:val="fr-FR"/>
              </w:rPr>
            </w:pPr>
            <w:r w:rsidRPr="00712DC3">
              <w:rPr>
                <w:lang w:val="fr-FR"/>
              </w:rPr>
              <w:t>–</w:t>
            </w:r>
            <w:r w:rsidRPr="00712DC3">
              <w:rPr>
                <w:lang w:val="fr-FR"/>
              </w:rPr>
              <w:tab/>
              <w:t>Trois programmes de sevrage tabagique</w:t>
            </w:r>
            <w:r w:rsidR="00836390">
              <w:rPr>
                <w:lang w:val="fr-FR"/>
              </w:rPr>
              <w:t xml:space="preserve"> </w:t>
            </w:r>
            <w:r w:rsidRPr="00712DC3">
              <w:rPr>
                <w:lang w:val="fr-FR"/>
              </w:rPr>
              <w:t>(mTobaccoCessation), lancés en Inde, en Tunisie et aux Philippines, utilisent des applications mobiles pour aider les fumeurs à renoncer au tabac. Près de 2 000 000 </w:t>
            </w:r>
            <w:r w:rsidR="004F7A68">
              <w:rPr>
                <w:lang w:val="fr-FR"/>
              </w:rPr>
              <w:t>d'</w:t>
            </w:r>
            <w:r w:rsidRPr="00712DC3">
              <w:rPr>
                <w:lang w:val="fr-FR"/>
              </w:rPr>
              <w:t>utilisateurs ont souscrit à ce programme en Inde</w:t>
            </w:r>
            <w:r w:rsidR="00836390">
              <w:rPr>
                <w:lang w:val="fr-FR"/>
              </w:rPr>
              <w:t xml:space="preserve"> </w:t>
            </w:r>
            <w:r w:rsidRPr="00712DC3">
              <w:rPr>
                <w:lang w:val="fr-FR"/>
              </w:rPr>
              <w:t>et le lancement de la phase pilote a démarré en Tunisie et aux Philippines.</w:t>
            </w:r>
          </w:p>
          <w:p w:rsidR="00712DC3" w:rsidRPr="00712DC3" w:rsidRDefault="00712DC3" w:rsidP="004F7A68">
            <w:pPr>
              <w:pStyle w:val="enumlev1"/>
              <w:rPr>
                <w:lang w:val="fr-FR"/>
              </w:rPr>
            </w:pPr>
            <w:r w:rsidRPr="00712DC3">
              <w:rPr>
                <w:lang w:val="fr-FR"/>
              </w:rPr>
              <w:lastRenderedPageBreak/>
              <w:t>–</w:t>
            </w:r>
            <w:r w:rsidRPr="00712DC3">
              <w:rPr>
                <w:lang w:val="fr-FR"/>
              </w:rPr>
              <w:tab/>
              <w:t>Des lignes directrices sur l'utilisation d'applications mobiles pour</w:t>
            </w:r>
            <w:r w:rsidR="00836390">
              <w:rPr>
                <w:lang w:val="fr-FR"/>
              </w:rPr>
              <w:t xml:space="preserve"> </w:t>
            </w:r>
            <w:r w:rsidRPr="00712DC3">
              <w:rPr>
                <w:lang w:val="fr-FR"/>
              </w:rPr>
              <w:t>la lutte contre le tabagisme</w:t>
            </w:r>
            <w:r w:rsidR="002C7F7D">
              <w:rPr>
                <w:lang w:val="fr-FR"/>
              </w:rPr>
              <w:t>,</w:t>
            </w:r>
            <w:r w:rsidR="00836390">
              <w:rPr>
                <w:lang w:val="fr-FR"/>
              </w:rPr>
              <w:t xml:space="preserve"> </w:t>
            </w:r>
            <w:r w:rsidRPr="00712DC3">
              <w:rPr>
                <w:lang w:val="fr-FR"/>
              </w:rPr>
              <w:t xml:space="preserve">la </w:t>
            </w:r>
            <w:r w:rsidR="006A2D50" w:rsidRPr="00712DC3">
              <w:rPr>
                <w:lang w:val="fr-FR"/>
              </w:rPr>
              <w:t>prévention</w:t>
            </w:r>
            <w:r w:rsidRPr="00712DC3">
              <w:rPr>
                <w:lang w:val="fr-FR"/>
              </w:rPr>
              <w:t xml:space="preserve"> du</w:t>
            </w:r>
            <w:r w:rsidR="00836390">
              <w:rPr>
                <w:lang w:val="fr-FR"/>
              </w:rPr>
              <w:t xml:space="preserve"> </w:t>
            </w:r>
            <w:r w:rsidRPr="00712DC3">
              <w:rPr>
                <w:lang w:val="fr-FR"/>
              </w:rPr>
              <w:t>diabète et</w:t>
            </w:r>
            <w:r w:rsidR="00836390">
              <w:rPr>
                <w:lang w:val="fr-FR"/>
              </w:rPr>
              <w:t xml:space="preserve"> </w:t>
            </w:r>
            <w:r w:rsidRPr="00712DC3">
              <w:rPr>
                <w:lang w:val="fr-FR"/>
              </w:rPr>
              <w:t>la lutte contre le diabète</w:t>
            </w:r>
            <w:r w:rsidR="00836390">
              <w:rPr>
                <w:lang w:val="fr-FR"/>
              </w:rPr>
              <w:t xml:space="preserve"> </w:t>
            </w:r>
            <w:r w:rsidR="002C7F7D">
              <w:rPr>
                <w:lang w:val="fr-FR"/>
              </w:rPr>
              <w:t>ainsi que</w:t>
            </w:r>
            <w:r w:rsidR="00836390">
              <w:rPr>
                <w:lang w:val="fr-FR"/>
              </w:rPr>
              <w:t xml:space="preserve"> </w:t>
            </w:r>
            <w:r w:rsidRPr="00712DC3">
              <w:rPr>
                <w:lang w:val="fr-FR"/>
              </w:rPr>
              <w:t>la lu</w:t>
            </w:r>
            <w:r w:rsidR="002C7F7D">
              <w:rPr>
                <w:lang w:val="fr-FR"/>
              </w:rPr>
              <w:t>t</w:t>
            </w:r>
            <w:r w:rsidRPr="00712DC3">
              <w:rPr>
                <w:lang w:val="fr-FR"/>
              </w:rPr>
              <w:t>te</w:t>
            </w:r>
            <w:r w:rsidR="00836390">
              <w:rPr>
                <w:lang w:val="fr-FR"/>
              </w:rPr>
              <w:t xml:space="preserve"> </w:t>
            </w:r>
            <w:r w:rsidRPr="00712DC3">
              <w:rPr>
                <w:lang w:val="fr-FR"/>
              </w:rPr>
              <w:t>contre le cancer du col de l'utérus ont été élaborées en collaboration avec l'OMS.</w:t>
            </w:r>
          </w:p>
          <w:p w:rsidR="00712DC3" w:rsidRPr="00712DC3" w:rsidRDefault="00712DC3" w:rsidP="004F7A68">
            <w:pPr>
              <w:pStyle w:val="enumlev1"/>
              <w:rPr>
                <w:lang w:val="fr-FR"/>
              </w:rPr>
            </w:pPr>
            <w:r w:rsidRPr="00712DC3">
              <w:rPr>
                <w:lang w:val="fr-FR"/>
              </w:rPr>
              <w:t>–</w:t>
            </w:r>
            <w:r w:rsidRPr="00712DC3">
              <w:rPr>
                <w:lang w:val="fr-FR"/>
              </w:rPr>
              <w:tab/>
              <w:t>Les capacités humaines et institutionnelles de sept participants afghans concernant la</w:t>
            </w:r>
            <w:r w:rsidR="00836390">
              <w:rPr>
                <w:lang w:val="fr-FR"/>
              </w:rPr>
              <w:t xml:space="preserve"> </w:t>
            </w:r>
            <w:r w:rsidRPr="00712DC3">
              <w:rPr>
                <w:lang w:val="fr-FR"/>
              </w:rPr>
              <w:t>conception d'applications mobiles ont été renforcées à Islamabad (Pakistan) du 16 au 26 février 2016, afin de combler les lacunes actuelles et de remédier à la pénurie de professionnels qualifiés dans ce domaine.</w:t>
            </w:r>
          </w:p>
          <w:p w:rsidR="00712DC3" w:rsidRPr="00712DC3" w:rsidRDefault="00712DC3" w:rsidP="004F7A68">
            <w:pPr>
              <w:rPr>
                <w:lang w:val="fr-FR"/>
              </w:rPr>
            </w:pPr>
            <w:r w:rsidRPr="00712DC3">
              <w:rPr>
                <w:lang w:val="fr-FR"/>
              </w:rPr>
              <w:t>Une campagne de sensibilisation des membres de l'UIT et des activités de promotion des bonnes pratiques relatives aux TIC au service du développement ont été menées à bien:</w:t>
            </w:r>
          </w:p>
          <w:p w:rsidR="00712DC3" w:rsidRPr="00712DC3" w:rsidRDefault="00712DC3" w:rsidP="004F7A68">
            <w:pPr>
              <w:pStyle w:val="enumlev1"/>
              <w:rPr>
                <w:lang w:val="fr-FR"/>
              </w:rPr>
            </w:pPr>
            <w:r w:rsidRPr="00712DC3">
              <w:rPr>
                <w:lang w:val="fr-FR"/>
              </w:rPr>
              <w:t>–</w:t>
            </w:r>
            <w:r w:rsidRPr="00712DC3">
              <w:rPr>
                <w:lang w:val="fr-FR"/>
              </w:rPr>
              <w:tab/>
              <w:t>Atelier régional sur les applications mobiles les plus répandues</w:t>
            </w:r>
            <w:r w:rsidR="00836390">
              <w:rPr>
                <w:lang w:val="fr-FR"/>
              </w:rPr>
              <w:t>:</w:t>
            </w:r>
            <w:r w:rsidR="006A2D50">
              <w:rPr>
                <w:lang w:val="fr-FR"/>
              </w:rPr>
              <w:t xml:space="preserve"> </w:t>
            </w:r>
            <w:r w:rsidR="002C7F7D">
              <w:rPr>
                <w:lang w:val="fr-FR"/>
              </w:rPr>
              <w:t>m</w:t>
            </w:r>
            <w:r w:rsidRPr="00712DC3">
              <w:rPr>
                <w:lang w:val="fr-FR"/>
              </w:rPr>
              <w:t>ise en oeuvre et développement dans</w:t>
            </w:r>
            <w:r w:rsidR="00836390">
              <w:rPr>
                <w:lang w:val="fr-FR"/>
              </w:rPr>
              <w:t xml:space="preserve"> </w:t>
            </w:r>
            <w:r w:rsidRPr="00712DC3">
              <w:rPr>
                <w:lang w:val="fr-FR"/>
              </w:rPr>
              <w:t>les pays de</w:t>
            </w:r>
            <w:r w:rsidR="00836390">
              <w:rPr>
                <w:lang w:val="fr-FR"/>
              </w:rPr>
              <w:t xml:space="preserve"> </w:t>
            </w:r>
            <w:r w:rsidR="004F7A68">
              <w:rPr>
                <w:lang w:val="fr-FR"/>
              </w:rPr>
              <w:t>la CE.</w:t>
            </w:r>
          </w:p>
          <w:p w:rsidR="00712DC3" w:rsidRPr="00712DC3" w:rsidRDefault="00712DC3" w:rsidP="004F7A68">
            <w:pPr>
              <w:pStyle w:val="enumlev1"/>
              <w:rPr>
                <w:lang w:val="fr-FR"/>
              </w:rPr>
            </w:pPr>
            <w:r w:rsidRPr="00712DC3">
              <w:rPr>
                <w:lang w:val="fr-FR"/>
              </w:rPr>
              <w:t>–</w:t>
            </w:r>
            <w:r w:rsidRPr="00712DC3">
              <w:rPr>
                <w:lang w:val="fr-FR"/>
              </w:rPr>
              <w:tab/>
              <w:t xml:space="preserve">Ateliers de formation sur </w:t>
            </w:r>
            <w:r w:rsidR="002C7F7D">
              <w:rPr>
                <w:lang w:val="fr-FR"/>
              </w:rPr>
              <w:t>la conception</w:t>
            </w:r>
            <w:r w:rsidR="00836390">
              <w:rPr>
                <w:lang w:val="fr-FR"/>
              </w:rPr>
              <w:t xml:space="preserve"> </w:t>
            </w:r>
            <w:r w:rsidRPr="00712DC3">
              <w:rPr>
                <w:lang w:val="fr-FR"/>
              </w:rPr>
              <w:t>d'applications mobiles et de solutions faisant appel à des technologies mobiles à l’intention d’instructeurs</w:t>
            </w:r>
            <w:r w:rsidR="004F7A68">
              <w:rPr>
                <w:lang w:val="fr-FR"/>
              </w:rPr>
              <w:t>.</w:t>
            </w:r>
          </w:p>
          <w:p w:rsidR="00712DC3" w:rsidRPr="00712DC3" w:rsidRDefault="00712DC3" w:rsidP="004F7A68">
            <w:pPr>
              <w:pStyle w:val="enumlev1"/>
            </w:pPr>
            <w:r w:rsidRPr="00712DC3">
              <w:t>–</w:t>
            </w:r>
            <w:r w:rsidRPr="00712DC3">
              <w:tab/>
              <w:t xml:space="preserve">Séminaire </w:t>
            </w:r>
            <w:r w:rsidRPr="00712DC3">
              <w:rPr>
                <w:lang w:val="fr-FR"/>
              </w:rPr>
              <w:t xml:space="preserve">régional de formation </w:t>
            </w:r>
            <w:r w:rsidRPr="00712DC3">
              <w:t>UIT-TRAI</w:t>
            </w:r>
            <w:r w:rsidR="00836390">
              <w:t xml:space="preserve"> </w:t>
            </w:r>
            <w:r w:rsidRPr="00712DC3">
              <w:rPr>
                <w:lang w:val="fr-FR"/>
              </w:rPr>
              <w:t>sur le thème de la protection du consommateur</w:t>
            </w:r>
            <w:r w:rsidR="004F7A68">
              <w:t>.</w:t>
            </w:r>
          </w:p>
          <w:p w:rsidR="00712DC3" w:rsidRPr="00712DC3" w:rsidRDefault="00712DC3" w:rsidP="004F7A68">
            <w:pPr>
              <w:pStyle w:val="enumlev1"/>
            </w:pPr>
            <w:r w:rsidRPr="00712DC3">
              <w:t>–</w:t>
            </w:r>
            <w:r w:rsidRPr="00712DC3">
              <w:tab/>
              <w:t>Forum sur la</w:t>
            </w:r>
            <w:r w:rsidR="00836390">
              <w:t xml:space="preserve"> </w:t>
            </w:r>
            <w:r w:rsidR="004F7A68">
              <w:t>transformation numérique.</w:t>
            </w:r>
          </w:p>
          <w:p w:rsidR="00712DC3" w:rsidRPr="00712DC3" w:rsidRDefault="00712DC3" w:rsidP="004F7A68">
            <w:pPr>
              <w:pStyle w:val="enumlev1"/>
              <w:rPr>
                <w:lang w:val="fr-FR"/>
              </w:rPr>
            </w:pPr>
            <w:r w:rsidRPr="00712DC3">
              <w:rPr>
                <w:lang w:val="fr-FR"/>
              </w:rPr>
              <w:t>–</w:t>
            </w:r>
            <w:r w:rsidRPr="00712DC3">
              <w:rPr>
                <w:lang w:val="fr-FR"/>
              </w:rPr>
              <w:tab/>
              <w:t>Réunion d’un groupe d’experts de l’ UIT sur l’identité mobile</w:t>
            </w:r>
            <w:r w:rsidR="004F7A68">
              <w:rPr>
                <w:lang w:val="fr-FR"/>
              </w:rPr>
              <w:t>.</w:t>
            </w:r>
          </w:p>
        </w:tc>
      </w:tr>
      <w:tr w:rsidR="00712DC3" w:rsidRPr="00712DC3" w:rsidTr="00D476A5">
        <w:tc>
          <w:tcPr>
            <w:tcW w:w="3256" w:type="dxa"/>
            <w:tcBorders>
              <w:top w:val="single" w:sz="4" w:space="0" w:color="auto"/>
              <w:bottom w:val="single" w:sz="4" w:space="0" w:color="auto"/>
              <w:right w:val="single" w:sz="4" w:space="0" w:color="auto"/>
            </w:tcBorders>
          </w:tcPr>
          <w:p w:rsidR="00712DC3" w:rsidRPr="00CF78B8" w:rsidRDefault="00431AC4" w:rsidP="00712DC3">
            <w:pPr>
              <w:rPr>
                <w:i/>
                <w:iCs/>
                <w:szCs w:val="24"/>
              </w:rPr>
            </w:pPr>
            <w:r w:rsidRPr="00CF78B8">
              <w:rPr>
                <w:i/>
                <w:iCs/>
              </w:rPr>
              <w:lastRenderedPageBreak/>
              <w:t xml:space="preserve">Contribution aux cibles des ODD </w:t>
            </w:r>
          </w:p>
        </w:tc>
        <w:tc>
          <w:tcPr>
            <w:tcW w:w="6373" w:type="dxa"/>
            <w:tcBorders>
              <w:top w:val="single" w:sz="4" w:space="0" w:color="auto"/>
              <w:left w:val="single" w:sz="4" w:space="0" w:color="auto"/>
              <w:bottom w:val="single" w:sz="4" w:space="0" w:color="auto"/>
            </w:tcBorders>
          </w:tcPr>
          <w:p w:rsidR="00712DC3" w:rsidRPr="00712DC3" w:rsidRDefault="00712DC3" w:rsidP="00712DC3">
            <w:pPr>
              <w:rPr>
                <w:lang w:val="en-US"/>
              </w:rPr>
            </w:pPr>
            <w:r w:rsidRPr="00712DC3">
              <w:rPr>
                <w:szCs w:val="24"/>
                <w:lang w:val="en-US"/>
              </w:rPr>
              <w:t>ODD</w:t>
            </w:r>
            <w:r w:rsidR="00836390">
              <w:rPr>
                <w:szCs w:val="24"/>
                <w:lang w:val="en-US"/>
              </w:rPr>
              <w:t>:</w:t>
            </w:r>
            <w:r w:rsidRPr="00712DC3">
              <w:rPr>
                <w:szCs w:val="24"/>
                <w:lang w:val="en-US"/>
              </w:rPr>
              <w:t xml:space="preserve"> 2, 3, 4 (cibles 4.1, 4.2, 4.3, 4.4, 4.5, 4.6, 4.7), 6, 7, 8 (cibles 8.1, 8.3, 8.8), 9 (cibles 9.1, 9.b), 11</w:t>
            </w:r>
          </w:p>
        </w:tc>
      </w:tr>
      <w:tr w:rsidR="00712DC3" w:rsidRPr="00712DC3" w:rsidTr="00D476A5">
        <w:trPr>
          <w:trHeight w:val="397"/>
        </w:trPr>
        <w:tc>
          <w:tcPr>
            <w:tcW w:w="3256" w:type="dxa"/>
            <w:tcBorders>
              <w:top w:val="single" w:sz="4" w:space="0" w:color="auto"/>
              <w:bottom w:val="single" w:sz="4" w:space="0" w:color="auto"/>
              <w:right w:val="single" w:sz="4" w:space="0" w:color="auto"/>
            </w:tcBorders>
          </w:tcPr>
          <w:p w:rsidR="00712DC3" w:rsidRPr="00CF78B8" w:rsidRDefault="00712DC3" w:rsidP="00712DC3">
            <w:pPr>
              <w:rPr>
                <w:i/>
                <w:iCs/>
                <w:szCs w:val="24"/>
              </w:rPr>
            </w:pPr>
            <w:r w:rsidRPr="00CF78B8">
              <w:rPr>
                <w:i/>
                <w:iCs/>
              </w:rPr>
              <w:t>Grandes orientations du SMSI</w:t>
            </w:r>
          </w:p>
        </w:tc>
        <w:tc>
          <w:tcPr>
            <w:tcW w:w="6373" w:type="dxa"/>
            <w:tcBorders>
              <w:top w:val="single" w:sz="4" w:space="0" w:color="auto"/>
              <w:left w:val="single" w:sz="4" w:space="0" w:color="auto"/>
              <w:bottom w:val="single" w:sz="4" w:space="0" w:color="auto"/>
            </w:tcBorders>
          </w:tcPr>
          <w:p w:rsidR="00712DC3" w:rsidRPr="00712DC3" w:rsidRDefault="004F7A68" w:rsidP="00712DC3">
            <w:pPr>
              <w:rPr>
                <w:szCs w:val="24"/>
                <w:lang w:val="fr-FR"/>
              </w:rPr>
            </w:pPr>
            <w:r>
              <w:rPr>
                <w:lang w:val="fr-FR"/>
              </w:rPr>
              <w:t>G</w:t>
            </w:r>
            <w:r w:rsidR="00712DC3" w:rsidRPr="00712DC3">
              <w:rPr>
                <w:lang w:val="fr-FR"/>
              </w:rPr>
              <w:t>rande orientation C7 du SMSI figurant dans le Plan d'action de Genève</w:t>
            </w:r>
          </w:p>
        </w:tc>
      </w:tr>
      <w:tr w:rsidR="00712DC3" w:rsidRPr="00712DC3" w:rsidTr="00D476A5">
        <w:tc>
          <w:tcPr>
            <w:tcW w:w="3256" w:type="dxa"/>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t>Résolutions:</w:t>
            </w:r>
          </w:p>
        </w:tc>
        <w:tc>
          <w:tcPr>
            <w:tcW w:w="6373" w:type="dxa"/>
            <w:tcBorders>
              <w:top w:val="single" w:sz="4" w:space="0" w:color="auto"/>
              <w:left w:val="single" w:sz="4" w:space="0" w:color="auto"/>
              <w:bottom w:val="single" w:sz="4" w:space="0" w:color="auto"/>
            </w:tcBorders>
          </w:tcPr>
          <w:p w:rsidR="00712DC3" w:rsidRPr="00712DC3" w:rsidRDefault="004F7A68" w:rsidP="00712DC3">
            <w:pPr>
              <w:rPr>
                <w:lang w:val="fr-FR"/>
              </w:rPr>
            </w:pPr>
            <w:r>
              <w:rPr>
                <w:lang w:val="fr-FR"/>
              </w:rPr>
              <w:t>Décisions 5 et 13</w:t>
            </w:r>
            <w:r w:rsidR="00CF78B8">
              <w:rPr>
                <w:lang w:val="fr-FR"/>
              </w:rPr>
              <w:t xml:space="preserve"> </w:t>
            </w:r>
            <w:r>
              <w:rPr>
                <w:lang w:val="fr-FR"/>
              </w:rPr>
              <w:t>de la PP</w:t>
            </w:r>
          </w:p>
          <w:p w:rsidR="00712DC3" w:rsidRPr="00712DC3" w:rsidRDefault="00712DC3" w:rsidP="00712DC3">
            <w:pPr>
              <w:rPr>
                <w:szCs w:val="24"/>
              </w:rPr>
            </w:pPr>
            <w:r w:rsidRPr="00712DC3">
              <w:rPr>
                <w:lang w:val="en-US"/>
              </w:rPr>
              <w:t>Résolutions</w:t>
            </w:r>
            <w:r w:rsidR="00836390">
              <w:rPr>
                <w:lang w:val="en-US"/>
              </w:rPr>
              <w:t xml:space="preserve"> </w:t>
            </w:r>
            <w:r w:rsidRPr="00712DC3">
              <w:rPr>
                <w:lang w:val="en-US"/>
              </w:rPr>
              <w:t>25, 71, 72, 139, 140, 183, 202 de la</w:t>
            </w:r>
            <w:r w:rsidR="00836390">
              <w:rPr>
                <w:lang w:val="en-US"/>
              </w:rPr>
              <w:t xml:space="preserve"> </w:t>
            </w:r>
            <w:r w:rsidRPr="00712DC3">
              <w:rPr>
                <w:lang w:val="en-US"/>
              </w:rPr>
              <w:t>PP</w:t>
            </w:r>
          </w:p>
        </w:tc>
      </w:tr>
    </w:tbl>
    <w:p w:rsidR="00712DC3" w:rsidRPr="00712DC3" w:rsidRDefault="00712DC3" w:rsidP="00D476A5">
      <w:pPr>
        <w:pStyle w:val="Heading1"/>
      </w:pPr>
      <w:bookmarkStart w:id="25" w:name="_Toc467807700"/>
      <w:bookmarkStart w:id="26" w:name="_Toc468087099"/>
      <w:r w:rsidRPr="00712DC3">
        <w:t>4</w:t>
      </w:r>
      <w:r w:rsidRPr="00712DC3">
        <w:tab/>
        <w:t>Objectif 4</w:t>
      </w:r>
      <w:bookmarkEnd w:id="25"/>
      <w:bookmarkEnd w:id="26"/>
      <w:r w:rsidRPr="00712DC3">
        <w:t xml:space="preserve">: </w:t>
      </w:r>
      <w:bookmarkStart w:id="27" w:name="_Toc467807701"/>
      <w:bookmarkStart w:id="28" w:name="_Toc468087100"/>
      <w:r w:rsidRPr="00D476A5">
        <w:rPr>
          <w:i/>
          <w:iCs/>
        </w:rPr>
        <w:t>"Renforcer les capacités humaines et institutionnelles, fournir des données et des statistiques, promouvoir l'inclusion numérique et fournir une assistance ciblée aux pays ayant des besoins particuliers</w:t>
      </w:r>
      <w:bookmarkEnd w:id="27"/>
      <w:bookmarkEnd w:id="28"/>
      <w:r w:rsidRPr="00D476A5">
        <w:rPr>
          <w:i/>
          <w:iCs/>
        </w:rPr>
        <w:t>"</w:t>
      </w:r>
    </w:p>
    <w:p w:rsidR="00712DC3" w:rsidRPr="00712DC3" w:rsidRDefault="00712DC3" w:rsidP="003035D2">
      <w:pPr>
        <w:pStyle w:val="enumlev1"/>
        <w:rPr>
          <w:lang w:val="fr-FR"/>
        </w:rPr>
      </w:pPr>
      <w:r w:rsidRPr="00712DC3">
        <w:rPr>
          <w:lang w:val="fr-FR"/>
        </w:rPr>
        <w:t>•</w:t>
      </w:r>
      <w:r w:rsidRPr="00712DC3">
        <w:rPr>
          <w:lang w:val="fr-FR"/>
        </w:rPr>
        <w:tab/>
        <w:t>45 cours de formation ont été dispens</w:t>
      </w:r>
      <w:r w:rsidR="003035D2">
        <w:rPr>
          <w:lang w:val="fr-FR"/>
        </w:rPr>
        <w:t>é</w:t>
      </w:r>
      <w:r w:rsidRPr="00712DC3">
        <w:rPr>
          <w:lang w:val="fr-FR"/>
        </w:rPr>
        <w:t xml:space="preserve">s dans toutes les </w:t>
      </w:r>
      <w:r w:rsidR="006A2D50" w:rsidRPr="00712DC3">
        <w:rPr>
          <w:lang w:val="fr-FR"/>
        </w:rPr>
        <w:t>régions</w:t>
      </w:r>
      <w:r w:rsidRPr="00712DC3">
        <w:rPr>
          <w:lang w:val="fr-FR"/>
        </w:rPr>
        <w:t xml:space="preserve"> en</w:t>
      </w:r>
      <w:r w:rsidR="00836390">
        <w:rPr>
          <w:lang w:val="fr-FR"/>
        </w:rPr>
        <w:t xml:space="preserve"> </w:t>
      </w:r>
      <w:r w:rsidRPr="00712DC3">
        <w:rPr>
          <w:lang w:val="fr-FR"/>
        </w:rPr>
        <w:t>2016</w:t>
      </w:r>
      <w:r w:rsidR="003035D2">
        <w:rPr>
          <w:lang w:val="fr-FR"/>
        </w:rPr>
        <w:t>.</w:t>
      </w:r>
    </w:p>
    <w:p w:rsidR="00712DC3" w:rsidRPr="00712DC3" w:rsidRDefault="00712DC3" w:rsidP="003035D2">
      <w:pPr>
        <w:pStyle w:val="enumlev1"/>
        <w:rPr>
          <w:lang w:val="fr-FR"/>
        </w:rPr>
      </w:pPr>
      <w:r w:rsidRPr="00712DC3">
        <w:rPr>
          <w:rFonts w:ascii="Calibri" w:hAnsi="Calibri"/>
          <w:lang w:val="fr-FR"/>
        </w:rPr>
        <w:t>•</w:t>
      </w:r>
      <w:r w:rsidRPr="00712DC3">
        <w:rPr>
          <w:rFonts w:ascii="Calibri" w:hAnsi="Calibri"/>
          <w:lang w:val="fr-FR"/>
        </w:rPr>
        <w:tab/>
      </w:r>
      <w:r w:rsidRPr="00712DC3">
        <w:rPr>
          <w:lang w:val="fr-FR"/>
        </w:rPr>
        <w:t>1</w:t>
      </w:r>
      <w:r w:rsidR="003035D2">
        <w:rPr>
          <w:lang w:val="fr-FR"/>
        </w:rPr>
        <w:t> </w:t>
      </w:r>
      <w:r w:rsidRPr="00712DC3">
        <w:rPr>
          <w:lang w:val="fr-FR"/>
        </w:rPr>
        <w:t>025 participants en tout ont suivi une formation</w:t>
      </w:r>
      <w:r w:rsidR="003035D2">
        <w:rPr>
          <w:lang w:val="fr-FR"/>
        </w:rPr>
        <w:t>.</w:t>
      </w:r>
    </w:p>
    <w:p w:rsidR="00712DC3" w:rsidRPr="00712DC3" w:rsidRDefault="00712DC3" w:rsidP="00712DC3">
      <w:pPr>
        <w:rPr>
          <w:szCs w:val="24"/>
          <w:lang w:val="fr-FR"/>
        </w:rPr>
      </w:pPr>
      <w:r w:rsidRPr="00712DC3">
        <w:rPr>
          <w:rFonts w:cs="Arial"/>
          <w:lang w:val="fr-FR"/>
        </w:rPr>
        <w:t>Un Colloque mondial sur le renforcement des capacités humaines dans le secteur</w:t>
      </w:r>
      <w:r w:rsidR="00836390">
        <w:rPr>
          <w:rFonts w:cs="Arial"/>
          <w:lang w:val="fr-FR"/>
        </w:rPr>
        <w:t xml:space="preserve"> </w:t>
      </w:r>
      <w:r w:rsidRPr="00712DC3">
        <w:rPr>
          <w:rFonts w:cs="Arial"/>
          <w:lang w:val="fr-FR"/>
        </w:rPr>
        <w:t>des</w:t>
      </w:r>
      <w:r w:rsidR="00836390">
        <w:rPr>
          <w:rFonts w:cs="Arial"/>
          <w:lang w:val="fr-FR"/>
        </w:rPr>
        <w:t xml:space="preserve"> </w:t>
      </w:r>
      <w:r w:rsidRPr="00712DC3">
        <w:rPr>
          <w:szCs w:val="24"/>
          <w:lang w:val="fr-FR"/>
        </w:rPr>
        <w:t xml:space="preserve">TIC s’est tenu en </w:t>
      </w:r>
      <w:r w:rsidR="006A2D50" w:rsidRPr="00712DC3">
        <w:rPr>
          <w:szCs w:val="24"/>
          <w:lang w:val="fr-FR"/>
        </w:rPr>
        <w:t>présence</w:t>
      </w:r>
      <w:r w:rsidRPr="00712DC3">
        <w:rPr>
          <w:szCs w:val="24"/>
          <w:lang w:val="fr-FR"/>
        </w:rPr>
        <w:t xml:space="preserve"> de</w:t>
      </w:r>
      <w:r w:rsidR="00836390">
        <w:rPr>
          <w:szCs w:val="24"/>
          <w:lang w:val="fr-FR"/>
        </w:rPr>
        <w:t xml:space="preserve"> </w:t>
      </w:r>
      <w:r w:rsidRPr="00712DC3">
        <w:rPr>
          <w:szCs w:val="24"/>
          <w:lang w:val="fr-FR"/>
        </w:rPr>
        <w:t>440 participants de 46 pays</w:t>
      </w:r>
      <w:r w:rsidR="003035D2">
        <w:rPr>
          <w:szCs w:val="24"/>
          <w:lang w:val="fr-FR"/>
        </w:rPr>
        <w:t>.</w:t>
      </w:r>
    </w:p>
    <w:p w:rsidR="00712DC3" w:rsidRPr="00712DC3" w:rsidRDefault="00712DC3" w:rsidP="003035D2">
      <w:pPr>
        <w:pStyle w:val="Heading2"/>
        <w:rPr>
          <w:lang w:val="fr-FR"/>
        </w:rPr>
      </w:pPr>
      <w:bookmarkStart w:id="29" w:name="_Toc467807702"/>
      <w:bookmarkStart w:id="30" w:name="_Toc468087101"/>
      <w:r w:rsidRPr="00712DC3">
        <w:rPr>
          <w:lang w:val="fr-FR"/>
        </w:rPr>
        <w:t>4.1</w:t>
      </w:r>
      <w:r w:rsidRPr="00712DC3">
        <w:rPr>
          <w:lang w:val="fr-FR"/>
        </w:rPr>
        <w:tab/>
        <w:t>Renforcement des capacités</w:t>
      </w:r>
      <w:bookmarkEnd w:id="29"/>
      <w:bookmarkEnd w:id="30"/>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712DC3" w:rsidRPr="00712DC3" w:rsidTr="003035D2">
        <w:tc>
          <w:tcPr>
            <w:tcW w:w="9629" w:type="dxa"/>
            <w:gridSpan w:val="2"/>
            <w:tcBorders>
              <w:bottom w:val="single" w:sz="4" w:space="0" w:color="auto"/>
            </w:tcBorders>
          </w:tcPr>
          <w:p w:rsidR="00712DC3" w:rsidRPr="00712DC3" w:rsidRDefault="00712DC3" w:rsidP="00712DC3">
            <w:pPr>
              <w:rPr>
                <w:szCs w:val="24"/>
                <w:lang w:val="fr-FR"/>
              </w:rPr>
            </w:pPr>
            <w:r w:rsidRPr="00712DC3">
              <w:rPr>
                <w:lang w:val="fr-FR"/>
              </w:rPr>
              <w:t xml:space="preserve">Trente-deux Centres d'excellence ont été sélectionnés et chacun d'entre eux a signé un accord de coopération avec l'UIT. Des commissions de direction, composées de représentants des institutions retenues, ont été établies dans chaque région afin de gérer la mise en oeuvre de la stratégie relative aux Centres d'excellence. Les Centres d'excellence ont renforcé les capacités des Etats Membres en menant des programmes de formation dans le domaine des politiques et de la réglementation, de l'accès au large bande, de la cybersécurité, de la conformité et de l'interopérabilité, de la gestion du spectre, de la radiodiffusion numérique, des applications et services TIC, des télécommunications d'urgence, de la gouvernance de l'Internet, des déchets </w:t>
            </w:r>
            <w:r w:rsidRPr="00712DC3">
              <w:rPr>
                <w:lang w:val="fr-FR"/>
              </w:rPr>
              <w:lastRenderedPageBreak/>
              <w:t>d'équipements électriques et électroniques et de l'adaptation aux changements climatiques et de l'atténuation de ses effets.</w:t>
            </w:r>
          </w:p>
          <w:p w:rsidR="00712DC3" w:rsidRPr="00712DC3" w:rsidRDefault="00712DC3" w:rsidP="00712DC3">
            <w:pPr>
              <w:rPr>
                <w:lang w:val="fr-FR"/>
              </w:rPr>
            </w:pPr>
            <w:r w:rsidRPr="00712DC3">
              <w:rPr>
                <w:lang w:val="fr-FR"/>
              </w:rPr>
              <w:t xml:space="preserve">L'UIT a continué de renforcer les capacités des Etats Membres en élaborant des matériels didactiques normalisés, diffusés par l'intermédiaire des Centres d'excellence et d'autres établissements universitaires partenaires. Le </w:t>
            </w:r>
            <w:r w:rsidR="006A2D50" w:rsidRPr="00712DC3">
              <w:rPr>
                <w:lang w:val="fr-FR"/>
              </w:rPr>
              <w:t>matériel</w:t>
            </w:r>
            <w:r w:rsidR="00836390">
              <w:rPr>
                <w:lang w:val="fr-FR"/>
              </w:rPr>
              <w:t xml:space="preserve"> </w:t>
            </w:r>
            <w:r w:rsidRPr="00712DC3">
              <w:rPr>
                <w:lang w:val="fr-FR"/>
              </w:rPr>
              <w:t>didactique</w:t>
            </w:r>
            <w:r w:rsidR="00836390">
              <w:rPr>
                <w:lang w:val="fr-FR"/>
              </w:rPr>
              <w:t xml:space="preserve"> </w:t>
            </w:r>
            <w:r w:rsidRPr="00712DC3">
              <w:rPr>
                <w:lang w:val="fr-FR"/>
              </w:rPr>
              <w:t>sur</w:t>
            </w:r>
            <w:r w:rsidR="00836390">
              <w:rPr>
                <w:lang w:val="fr-FR"/>
              </w:rPr>
              <w:t xml:space="preserve"> </w:t>
            </w:r>
            <w:r w:rsidRPr="00712DC3">
              <w:rPr>
                <w:lang w:val="fr-FR"/>
              </w:rPr>
              <w:t>la qualité de service a été élaboré</w:t>
            </w:r>
            <w:r w:rsidR="00836390">
              <w:rPr>
                <w:lang w:val="fr-FR"/>
              </w:rPr>
              <w:t xml:space="preserve"> </w:t>
            </w:r>
            <w:r w:rsidRPr="00712DC3">
              <w:rPr>
                <w:lang w:val="fr-FR"/>
              </w:rPr>
              <w:t>en 2016</w:t>
            </w:r>
            <w:r w:rsidR="00836390">
              <w:rPr>
                <w:lang w:val="fr-FR"/>
              </w:rPr>
              <w:t>.</w:t>
            </w:r>
            <w:r w:rsidR="003035D2">
              <w:rPr>
                <w:lang w:val="fr-FR"/>
              </w:rPr>
              <w:t xml:space="preserve"> </w:t>
            </w:r>
            <w:r w:rsidRPr="00712DC3">
              <w:rPr>
                <w:lang w:val="fr-FR"/>
              </w:rPr>
              <w:t>Le matériel didactique sur la question des TIC et des changements climatiques est en cours d'élaboration. Un programme de formation sur la gouvernance internationale de l'Internet est prévu pour 2016-2017.</w:t>
            </w:r>
          </w:p>
          <w:p w:rsidR="00712DC3" w:rsidRPr="00712DC3" w:rsidRDefault="00712DC3" w:rsidP="00712DC3">
            <w:pPr>
              <w:rPr>
                <w:lang w:val="fr-FR"/>
              </w:rPr>
            </w:pPr>
            <w:r w:rsidRPr="00712DC3">
              <w:rPr>
                <w:lang w:val="fr-FR"/>
              </w:rPr>
              <w:t>Les activités relevant du Produit 4.1 ont contribué à accroître la coopération entre l'UIT et les partenaires concernés dans le domaine du renforcement des capacités. En avril 2016</w:t>
            </w:r>
            <w:r w:rsidR="00836390">
              <w:rPr>
                <w:lang w:val="fr-FR"/>
              </w:rPr>
              <w:t xml:space="preserve">, </w:t>
            </w:r>
            <w:r w:rsidRPr="00712DC3">
              <w:rPr>
                <w:lang w:val="fr-FR"/>
              </w:rPr>
              <w:t>un accord de coopération a été signé avec l'Institut régional africain de formation supérieure en télécommunications (AFRALTI) en vue de dispenser un autre</w:t>
            </w:r>
            <w:r w:rsidR="00836390">
              <w:rPr>
                <w:lang w:val="fr-FR"/>
              </w:rPr>
              <w:t xml:space="preserve"> </w:t>
            </w:r>
            <w:r w:rsidRPr="00712DC3">
              <w:rPr>
                <w:lang w:val="fr-FR"/>
              </w:rPr>
              <w:t>programme de formation à la gestion du spectre (SMTP).</w:t>
            </w:r>
          </w:p>
          <w:p w:rsidR="00712DC3" w:rsidRPr="00712DC3" w:rsidRDefault="00712DC3" w:rsidP="00712DC3">
            <w:pPr>
              <w:rPr>
                <w:lang w:val="fr-FR"/>
              </w:rPr>
            </w:pPr>
            <w:r w:rsidRPr="00712DC3">
              <w:rPr>
                <w:lang w:val="fr-FR"/>
              </w:rPr>
              <w:t>En mai 2016, l'UIT a amélioré la qualité de service</w:t>
            </w:r>
            <w:r w:rsidR="00836390">
              <w:rPr>
                <w:lang w:val="fr-FR"/>
              </w:rPr>
              <w:t xml:space="preserve"> </w:t>
            </w:r>
            <w:r w:rsidRPr="00712DC3">
              <w:rPr>
                <w:lang w:val="fr-FR"/>
              </w:rPr>
              <w:t>et modernisé la plate-forme de l'Académie de l'UIT, qui offre une meilleure expérience utilisateur. Cette mise à niveau a consisté à enrichir la</w:t>
            </w:r>
            <w:r w:rsidR="00836390">
              <w:rPr>
                <w:lang w:val="fr-FR"/>
              </w:rPr>
              <w:t xml:space="preserve"> </w:t>
            </w:r>
            <w:r w:rsidRPr="00712DC3">
              <w:rPr>
                <w:lang w:val="fr-FR"/>
              </w:rPr>
              <w:t>plate-forme</w:t>
            </w:r>
            <w:r w:rsidR="00836390">
              <w:rPr>
                <w:lang w:val="fr-FR"/>
              </w:rPr>
              <w:t xml:space="preserve"> </w:t>
            </w:r>
            <w:r w:rsidRPr="00712DC3">
              <w:rPr>
                <w:lang w:val="fr-FR"/>
              </w:rPr>
              <w:t>de nouvelles</w:t>
            </w:r>
            <w:r w:rsidR="00836390">
              <w:rPr>
                <w:lang w:val="fr-FR"/>
              </w:rPr>
              <w:t xml:space="preserve"> </w:t>
            </w:r>
            <w:r w:rsidRPr="00712DC3">
              <w:rPr>
                <w:lang w:val="fr-FR"/>
              </w:rPr>
              <w:t>fonctionnalités, à savoir:</w:t>
            </w:r>
            <w:r w:rsidR="00836390">
              <w:rPr>
                <w:lang w:val="fr-FR"/>
              </w:rPr>
              <w:t xml:space="preserve"> </w:t>
            </w:r>
            <w:r w:rsidRPr="00712DC3">
              <w:rPr>
                <w:lang w:val="fr-FR"/>
              </w:rPr>
              <w:t>paiement sécurisé en ligne des cours au moyen de cartes de crédit et de débit,</w:t>
            </w:r>
            <w:r w:rsidR="00836390">
              <w:rPr>
                <w:lang w:val="fr-FR"/>
              </w:rPr>
              <w:t xml:space="preserve"> </w:t>
            </w:r>
            <w:r w:rsidRPr="00712DC3">
              <w:rPr>
                <w:lang w:val="fr-FR"/>
              </w:rPr>
              <w:t>fonctionnalités évoluées pour l’établissement de factures pour le paiement par virement bancaire, et création automatique de certificats à la fin de chaque cours de formation.</w:t>
            </w:r>
          </w:p>
          <w:p w:rsidR="00712DC3" w:rsidRPr="00712DC3" w:rsidRDefault="00712DC3" w:rsidP="00712DC3">
            <w:pPr>
              <w:rPr>
                <w:lang w:val="fr-FR"/>
              </w:rPr>
            </w:pPr>
            <w:r w:rsidRPr="00712DC3">
              <w:rPr>
                <w:lang w:val="fr-FR"/>
              </w:rPr>
              <w:t xml:space="preserve">L'UIT a amélioré le dialogue entre les principales parties prenantes en organisant au Kenya, du 6 au 8 septembre 2016, le Colloque mondial sur le renforcement des capacités dans le secteur des TIC. Ce Colloque, qui a été précédé de deux réunions préalables ("Renforcement des capacités concernant la gouvernance de l'Internet" et "Les régulateurs: catalyseurs et bénéficiaires du renforcement des capacités"), a attiré plus de 400 participants. Il était axé sur les nouvelles compétences requises à l'ère du numérique et a réuni des responsables de haut rang, des PDG d'entreprises privées et des organismes de formation, </w:t>
            </w:r>
            <w:r w:rsidR="00A27F03">
              <w:rPr>
                <w:lang w:val="fr-FR"/>
              </w:rPr>
              <w:t>(</w:t>
            </w:r>
            <w:r w:rsidRPr="00712DC3">
              <w:rPr>
                <w:lang w:val="fr-FR"/>
              </w:rPr>
              <w:t>universités et</w:t>
            </w:r>
            <w:r w:rsidR="00836390">
              <w:rPr>
                <w:lang w:val="fr-FR"/>
              </w:rPr>
              <w:t xml:space="preserve"> </w:t>
            </w:r>
            <w:r w:rsidRPr="00712DC3">
              <w:rPr>
                <w:lang w:val="fr-FR"/>
              </w:rPr>
              <w:t>Centres d'excellence par exemple). Les résultats du Colloque fourniront des orientations stratégiques aux communautés nationales et à la communauté internationale, notamment à l'UIT, concernant le renforcement des capacités dans le domaine des TIC et le renforcement de la collaboration entre les professionnels de ce domaine, ce qui contribuera directement à</w:t>
            </w:r>
            <w:r w:rsidR="00836390">
              <w:rPr>
                <w:lang w:val="fr-FR"/>
              </w:rPr>
              <w:t xml:space="preserve"> </w:t>
            </w:r>
            <w:r w:rsidRPr="00712DC3">
              <w:rPr>
                <w:lang w:val="fr-FR"/>
              </w:rPr>
              <w:t xml:space="preserve">la </w:t>
            </w:r>
            <w:r w:rsidR="006A2D50">
              <w:rPr>
                <w:lang w:val="fr-FR"/>
              </w:rPr>
              <w:t>réalis</w:t>
            </w:r>
            <w:r w:rsidR="006A2D50" w:rsidRPr="00712DC3">
              <w:rPr>
                <w:lang w:val="fr-FR"/>
              </w:rPr>
              <w:t>ation</w:t>
            </w:r>
            <w:r w:rsidRPr="00712DC3">
              <w:rPr>
                <w:lang w:val="fr-FR"/>
              </w:rPr>
              <w:t xml:space="preserve"> des ODD dans tous les secteurs du développement. Par ailleurs, le Colloque a offert aux établissements universitaires et autres professionnels de la formation un cadre permettant d’ évaluer les besoins du marché en termes de formation et de renforcement des capacités dans le domaine des TIC, et les a aidés à élaborer leurs programmes de formation et à définir les modalités de fourniture.</w:t>
            </w:r>
          </w:p>
          <w:p w:rsidR="00712DC3" w:rsidRPr="00712DC3" w:rsidRDefault="00712DC3" w:rsidP="00712DC3">
            <w:pPr>
              <w:rPr>
                <w:rFonts w:eastAsia="PMingLiU-ExtB"/>
                <w:szCs w:val="24"/>
                <w:lang w:val="fr-FR"/>
              </w:rPr>
            </w:pPr>
            <w:r w:rsidRPr="00712DC3">
              <w:rPr>
                <w:rFonts w:eastAsia="PMingLiU-ExtB"/>
                <w:szCs w:val="24"/>
                <w:lang w:val="fr-FR"/>
              </w:rPr>
              <w:t xml:space="preserve">Diverses manifestations et formations ont été organisées au niveau </w:t>
            </w:r>
            <w:r w:rsidR="006A2D50" w:rsidRPr="00712DC3">
              <w:rPr>
                <w:rFonts w:eastAsia="PMingLiU-ExtB"/>
                <w:szCs w:val="24"/>
                <w:lang w:val="fr-FR"/>
              </w:rPr>
              <w:t>régional</w:t>
            </w:r>
            <w:r w:rsidRPr="00712DC3">
              <w:rPr>
                <w:rFonts w:eastAsia="PMingLiU-ExtB"/>
                <w:szCs w:val="24"/>
                <w:lang w:val="fr-FR"/>
              </w:rPr>
              <w:t>, à savoir:</w:t>
            </w:r>
            <w:r w:rsidR="00836390">
              <w:rPr>
                <w:rFonts w:eastAsia="PMingLiU-ExtB"/>
                <w:szCs w:val="24"/>
                <w:lang w:val="fr-FR"/>
              </w:rPr>
              <w:t xml:space="preserve"> </w:t>
            </w:r>
          </w:p>
          <w:p w:rsidR="00712DC3" w:rsidRPr="00712DC3" w:rsidRDefault="00712DC3" w:rsidP="001347FB">
            <w:pPr>
              <w:pStyle w:val="enumlev1"/>
              <w:rPr>
                <w:rFonts w:eastAsia="PMingLiU-ExtB"/>
                <w:lang w:val="fr-FR"/>
              </w:rPr>
            </w:pPr>
            <w:r w:rsidRPr="00712DC3">
              <w:rPr>
                <w:rFonts w:eastAsia="PMingLiU-ExtB"/>
                <w:lang w:val="fr-FR"/>
              </w:rPr>
              <w:t>–</w:t>
            </w:r>
            <w:r w:rsidRPr="00712DC3">
              <w:rPr>
                <w:rFonts w:eastAsia="PMingLiU-ExtB"/>
                <w:lang w:val="fr-FR"/>
              </w:rPr>
              <w:tab/>
              <w:t>Formation de formateurs pour des écoles connectées au</w:t>
            </w:r>
            <w:r w:rsidR="00836390">
              <w:rPr>
                <w:rFonts w:eastAsia="PMingLiU-ExtB"/>
                <w:lang w:val="fr-FR"/>
              </w:rPr>
              <w:t xml:space="preserve"> </w:t>
            </w:r>
            <w:r w:rsidR="001347FB">
              <w:rPr>
                <w:rFonts w:eastAsia="PMingLiU-ExtB"/>
                <w:lang w:val="fr-FR"/>
              </w:rPr>
              <w:t>Kirghizistan.</w:t>
            </w:r>
          </w:p>
          <w:p w:rsidR="00712DC3" w:rsidRPr="00712DC3" w:rsidRDefault="00712DC3" w:rsidP="003035D2">
            <w:pPr>
              <w:pStyle w:val="enumlev1"/>
              <w:rPr>
                <w:rFonts w:eastAsia="PMingLiU-ExtB"/>
                <w:lang w:val="fr-FR"/>
              </w:rPr>
            </w:pPr>
            <w:r w:rsidRPr="00712DC3">
              <w:rPr>
                <w:rFonts w:eastAsia="PMingLiU-ExtB"/>
                <w:lang w:val="fr-FR"/>
              </w:rPr>
              <w:t>–</w:t>
            </w:r>
            <w:r w:rsidRPr="00712DC3">
              <w:rPr>
                <w:rFonts w:eastAsia="PMingLiU-ExtB"/>
                <w:lang w:val="fr-FR"/>
              </w:rPr>
              <w:tab/>
              <w:t>Atelier consacré à la Journée internationale des jeunes filles dans le secteur des TIC pour les pays de la CEI</w:t>
            </w:r>
            <w:r w:rsidR="003035D2">
              <w:rPr>
                <w:rFonts w:eastAsia="PMingLiU-ExtB"/>
                <w:lang w:val="fr-FR"/>
              </w:rPr>
              <w:t>.</w:t>
            </w:r>
          </w:p>
          <w:p w:rsidR="00712DC3" w:rsidRPr="00712DC3" w:rsidRDefault="00712DC3" w:rsidP="003035D2">
            <w:pPr>
              <w:pStyle w:val="enumlev1"/>
              <w:rPr>
                <w:rFonts w:eastAsia="PMingLiU-ExtB"/>
                <w:lang w:val="fr-FR"/>
              </w:rPr>
            </w:pPr>
            <w:r w:rsidRPr="00712DC3">
              <w:rPr>
                <w:rFonts w:eastAsia="PMingLiU-ExtB"/>
                <w:lang w:val="fr-FR"/>
              </w:rPr>
              <w:t>–</w:t>
            </w:r>
            <w:r w:rsidRPr="00712DC3">
              <w:rPr>
                <w:rFonts w:eastAsia="PMingLiU-ExtB"/>
                <w:lang w:val="fr-FR"/>
              </w:rPr>
              <w:tab/>
              <w:t xml:space="preserve">Atelier </w:t>
            </w:r>
            <w:r w:rsidR="006A2D50" w:rsidRPr="00712DC3">
              <w:rPr>
                <w:rFonts w:eastAsia="PMingLiU-ExtB"/>
                <w:lang w:val="fr-FR"/>
              </w:rPr>
              <w:t>régional</w:t>
            </w:r>
            <w:r w:rsidR="003035D2">
              <w:rPr>
                <w:rFonts w:eastAsia="PMingLiU-ExtB"/>
                <w:lang w:val="fr-FR"/>
              </w:rPr>
              <w:t xml:space="preserve"> de l’</w:t>
            </w:r>
            <w:r w:rsidRPr="00712DC3">
              <w:rPr>
                <w:rFonts w:eastAsia="PMingLiU-ExtB"/>
                <w:lang w:val="fr-FR"/>
              </w:rPr>
              <w:t xml:space="preserve">UIT: </w:t>
            </w:r>
            <w:r w:rsidRPr="00712DC3">
              <w:rPr>
                <w:lang w:val="fr-FR"/>
              </w:rPr>
              <w:t>Amériques accessibles III: information et communications pour TOUS</w:t>
            </w:r>
            <w:r w:rsidR="003035D2">
              <w:rPr>
                <w:rFonts w:eastAsia="PMingLiU-ExtB"/>
                <w:lang w:val="fr-FR"/>
              </w:rPr>
              <w:t>.</w:t>
            </w:r>
          </w:p>
          <w:p w:rsidR="00712DC3" w:rsidRPr="00712DC3" w:rsidRDefault="00712DC3" w:rsidP="003035D2">
            <w:pPr>
              <w:pStyle w:val="enumlev1"/>
              <w:rPr>
                <w:rFonts w:eastAsia="PMingLiU-ExtB"/>
                <w:lang w:val="fr-FR"/>
              </w:rPr>
            </w:pPr>
            <w:r w:rsidRPr="00712DC3">
              <w:rPr>
                <w:rFonts w:eastAsia="PMingLiU-ExtB"/>
                <w:lang w:val="fr-FR"/>
              </w:rPr>
              <w:t>–</w:t>
            </w:r>
            <w:r w:rsidRPr="00712DC3">
              <w:rPr>
                <w:rFonts w:eastAsia="PMingLiU-ExtB"/>
                <w:lang w:val="fr-FR"/>
              </w:rPr>
              <w:tab/>
            </w:r>
            <w:r w:rsidR="003035D2" w:rsidRPr="00712DC3">
              <w:rPr>
                <w:lang w:val="fr-FR"/>
              </w:rPr>
              <w:t>C</w:t>
            </w:r>
            <w:r w:rsidRPr="00712DC3">
              <w:rPr>
                <w:lang w:val="fr-FR"/>
              </w:rPr>
              <w:t>ours de formation en ligne</w:t>
            </w:r>
            <w:r w:rsidRPr="00712DC3">
              <w:rPr>
                <w:rFonts w:eastAsia="PMingLiU-ExtB"/>
                <w:lang w:val="fr-FR"/>
              </w:rPr>
              <w:t xml:space="preserve"> </w:t>
            </w:r>
            <w:r w:rsidRPr="00712DC3">
              <w:rPr>
                <w:lang w:val="fr-FR"/>
              </w:rPr>
              <w:t>pour les populations autochtones</w:t>
            </w:r>
            <w:r w:rsidR="003035D2">
              <w:rPr>
                <w:lang w:val="fr-FR"/>
              </w:rPr>
              <w:t>.</w:t>
            </w:r>
          </w:p>
          <w:p w:rsidR="00712DC3" w:rsidRPr="00712DC3" w:rsidRDefault="00712DC3" w:rsidP="003035D2">
            <w:pPr>
              <w:pStyle w:val="enumlev1"/>
              <w:rPr>
                <w:rFonts w:eastAsia="PMingLiU-ExtB"/>
                <w:lang w:val="fr-FR"/>
              </w:rPr>
            </w:pPr>
            <w:r w:rsidRPr="00712DC3">
              <w:rPr>
                <w:rFonts w:eastAsia="PMingLiU-ExtB"/>
                <w:lang w:val="fr-FR"/>
              </w:rPr>
              <w:t>–</w:t>
            </w:r>
            <w:r w:rsidRPr="00712DC3">
              <w:rPr>
                <w:rFonts w:eastAsia="PMingLiU-ExtB"/>
                <w:lang w:val="fr-FR"/>
              </w:rPr>
              <w:tab/>
              <w:t xml:space="preserve">Atelier </w:t>
            </w:r>
            <w:r w:rsidR="006A2D50" w:rsidRPr="00712DC3">
              <w:rPr>
                <w:rFonts w:eastAsia="PMingLiU-ExtB"/>
                <w:lang w:val="fr-FR"/>
              </w:rPr>
              <w:t>régional</w:t>
            </w:r>
            <w:r w:rsidRPr="00712DC3">
              <w:rPr>
                <w:rFonts w:eastAsia="PMingLiU-ExtB"/>
                <w:lang w:val="fr-FR"/>
              </w:rPr>
              <w:t xml:space="preserve"> annuel de renforcement des </w:t>
            </w:r>
            <w:r w:rsidR="006A2D50" w:rsidRPr="00712DC3">
              <w:rPr>
                <w:rFonts w:eastAsia="PMingLiU-ExtB"/>
                <w:lang w:val="fr-FR"/>
              </w:rPr>
              <w:t>capacités</w:t>
            </w:r>
            <w:r w:rsidRPr="00712DC3">
              <w:rPr>
                <w:rFonts w:eastAsia="PMingLiU-ExtB"/>
                <w:lang w:val="fr-FR"/>
              </w:rPr>
              <w:t xml:space="preserve"> sur la protection en ligne des enfants</w:t>
            </w:r>
            <w:r w:rsidR="002C7F7D">
              <w:rPr>
                <w:rFonts w:eastAsia="PMingLiU-ExtB"/>
                <w:lang w:val="fr-FR"/>
              </w:rPr>
              <w:t xml:space="preserve"> pour les pays d’Afrique</w:t>
            </w:r>
            <w:r w:rsidR="00836390">
              <w:rPr>
                <w:rFonts w:eastAsia="PMingLiU-ExtB"/>
                <w:lang w:val="fr-FR"/>
              </w:rPr>
              <w:t xml:space="preserve"> </w:t>
            </w:r>
            <w:r w:rsidR="002C7F7D">
              <w:rPr>
                <w:rFonts w:eastAsia="PMingLiU-ExtB"/>
                <w:lang w:val="fr-FR"/>
              </w:rPr>
              <w:t>sub-s</w:t>
            </w:r>
            <w:r w:rsidRPr="00712DC3">
              <w:rPr>
                <w:rFonts w:eastAsia="PMingLiU-ExtB"/>
                <w:lang w:val="fr-FR"/>
              </w:rPr>
              <w:t>aharienne</w:t>
            </w:r>
            <w:r w:rsidR="003035D2">
              <w:rPr>
                <w:rFonts w:eastAsia="PMingLiU-ExtB"/>
                <w:lang w:val="fr-FR"/>
              </w:rPr>
              <w:t>.</w:t>
            </w:r>
          </w:p>
          <w:p w:rsidR="00712DC3" w:rsidRPr="00712DC3" w:rsidRDefault="00712DC3" w:rsidP="003035D2">
            <w:pPr>
              <w:pStyle w:val="enumlev1"/>
              <w:rPr>
                <w:rFonts w:eastAsia="PMingLiU-ExtB"/>
                <w:lang w:val="fr-FR"/>
              </w:rPr>
            </w:pPr>
            <w:r w:rsidRPr="00712DC3">
              <w:rPr>
                <w:rFonts w:eastAsia="PMingLiU-ExtB"/>
                <w:lang w:val="fr-FR"/>
              </w:rPr>
              <w:lastRenderedPageBreak/>
              <w:t>–</w:t>
            </w:r>
            <w:r w:rsidRPr="00712DC3">
              <w:rPr>
                <w:rFonts w:eastAsia="PMingLiU-ExtB"/>
                <w:lang w:val="fr-FR"/>
              </w:rPr>
              <w:tab/>
            </w:r>
            <w:r w:rsidR="003035D2" w:rsidRPr="00712DC3">
              <w:rPr>
                <w:lang w:val="fr-FR"/>
              </w:rPr>
              <w:t>F</w:t>
            </w:r>
            <w:r w:rsidRPr="00712DC3">
              <w:rPr>
                <w:lang w:val="fr-FR"/>
              </w:rPr>
              <w:t>ormation régionale UIT/ITSO à l’intention des Etats ar</w:t>
            </w:r>
            <w:r w:rsidR="002C7F7D">
              <w:rPr>
                <w:lang w:val="fr-FR"/>
              </w:rPr>
              <w:t>a</w:t>
            </w:r>
            <w:r w:rsidRPr="00712DC3">
              <w:rPr>
                <w:lang w:val="fr-FR"/>
              </w:rPr>
              <w:t>bes sur</w:t>
            </w:r>
            <w:r w:rsidR="00836390">
              <w:rPr>
                <w:lang w:val="fr-FR"/>
              </w:rPr>
              <w:t xml:space="preserve"> </w:t>
            </w:r>
            <w:r w:rsidRPr="00712DC3">
              <w:rPr>
                <w:lang w:val="fr-FR"/>
              </w:rPr>
              <w:t>les systèmes VSAT et les systèmes à satellites</w:t>
            </w:r>
            <w:r w:rsidR="00836390">
              <w:rPr>
                <w:rFonts w:eastAsia="PMingLiU-ExtB"/>
                <w:lang w:val="fr-FR"/>
              </w:rPr>
              <w:t xml:space="preserve">: </w:t>
            </w:r>
            <w:r w:rsidRPr="00712DC3">
              <w:rPr>
                <w:rFonts w:eastAsia="PMingLiU-ExtB"/>
                <w:lang w:val="fr-FR"/>
              </w:rPr>
              <w:t>services large bande par</w:t>
            </w:r>
            <w:r w:rsidR="00836390">
              <w:rPr>
                <w:rFonts w:eastAsia="PMingLiU-ExtB"/>
                <w:lang w:val="fr-FR"/>
              </w:rPr>
              <w:t xml:space="preserve"> </w:t>
            </w:r>
            <w:r w:rsidRPr="00712DC3">
              <w:rPr>
                <w:rFonts w:eastAsia="PMingLiU-ExtB"/>
                <w:lang w:val="fr-FR"/>
              </w:rPr>
              <w:t>satellite</w:t>
            </w:r>
            <w:r w:rsidR="003035D2">
              <w:rPr>
                <w:rFonts w:eastAsia="PMingLiU-ExtB"/>
                <w:lang w:val="fr-FR"/>
              </w:rPr>
              <w:t>.</w:t>
            </w:r>
          </w:p>
          <w:p w:rsidR="00712DC3" w:rsidRPr="00712DC3" w:rsidRDefault="00712DC3" w:rsidP="003035D2">
            <w:pPr>
              <w:pStyle w:val="enumlev1"/>
              <w:rPr>
                <w:rFonts w:eastAsia="PMingLiU-ExtB"/>
                <w:lang w:val="fr-FR"/>
              </w:rPr>
            </w:pPr>
            <w:r w:rsidRPr="00712DC3">
              <w:rPr>
                <w:rFonts w:eastAsia="PMingLiU-ExtB"/>
                <w:lang w:val="fr-FR"/>
              </w:rPr>
              <w:t>–</w:t>
            </w:r>
            <w:r w:rsidRPr="00712DC3">
              <w:rPr>
                <w:rFonts w:eastAsia="PMingLiU-ExtB"/>
                <w:lang w:val="fr-FR"/>
              </w:rPr>
              <w:tab/>
              <w:t>Atelier de l’ICTP sur les</w:t>
            </w:r>
            <w:r w:rsidR="00836390">
              <w:rPr>
                <w:rFonts w:eastAsia="PMingLiU-ExtB"/>
                <w:lang w:val="fr-FR"/>
              </w:rPr>
              <w:t xml:space="preserve"> </w:t>
            </w:r>
            <w:r w:rsidRPr="00712DC3">
              <w:rPr>
                <w:lang w:val="fr-FR"/>
              </w:rPr>
              <w:t>nouvelles frontières de l'Internet des objets</w:t>
            </w:r>
            <w:r w:rsidR="003035D2">
              <w:rPr>
                <w:lang w:val="fr-FR"/>
              </w:rPr>
              <w:t>.</w:t>
            </w:r>
          </w:p>
          <w:p w:rsidR="00712DC3" w:rsidRPr="00712DC3" w:rsidRDefault="00712DC3" w:rsidP="003035D2">
            <w:pPr>
              <w:pStyle w:val="enumlev1"/>
              <w:rPr>
                <w:rFonts w:eastAsia="PMingLiU-ExtB"/>
                <w:lang w:val="fr-FR"/>
              </w:rPr>
            </w:pPr>
            <w:r w:rsidRPr="00712DC3">
              <w:rPr>
                <w:rFonts w:eastAsia="PMingLiU-ExtB"/>
                <w:lang w:val="fr-FR"/>
              </w:rPr>
              <w:t>–</w:t>
            </w:r>
            <w:r w:rsidRPr="00712DC3">
              <w:rPr>
                <w:rFonts w:eastAsia="PMingLiU-ExtB"/>
                <w:lang w:val="fr-FR"/>
              </w:rPr>
              <w:tab/>
              <w:t xml:space="preserve">Formation sur les politiques et la réglementation en matière de </w:t>
            </w:r>
            <w:r w:rsidR="006A2D50" w:rsidRPr="00712DC3">
              <w:rPr>
                <w:rFonts w:eastAsia="PMingLiU-ExtB"/>
                <w:lang w:val="fr-FR"/>
              </w:rPr>
              <w:t>télécommunications</w:t>
            </w:r>
            <w:r w:rsidRPr="00712DC3">
              <w:rPr>
                <w:rFonts w:eastAsia="PMingLiU-ExtB"/>
                <w:lang w:val="fr-FR"/>
              </w:rPr>
              <w:t xml:space="preserve"> à l’intention des responsables publics</w:t>
            </w:r>
            <w:r w:rsidR="003035D2">
              <w:rPr>
                <w:rFonts w:eastAsia="PMingLiU-ExtB"/>
                <w:lang w:val="fr-FR"/>
              </w:rPr>
              <w:t>.</w:t>
            </w:r>
          </w:p>
          <w:p w:rsidR="00712DC3" w:rsidRPr="00712DC3" w:rsidRDefault="00CF78B8" w:rsidP="00CF78B8">
            <w:pPr>
              <w:pStyle w:val="enumlev1"/>
              <w:rPr>
                <w:lang w:val="fr-FR"/>
              </w:rPr>
            </w:pPr>
            <w:r w:rsidRPr="00712DC3">
              <w:rPr>
                <w:rFonts w:eastAsia="PMingLiU-ExtB"/>
                <w:lang w:val="fr-FR"/>
              </w:rPr>
              <w:t>–</w:t>
            </w:r>
            <w:r>
              <w:rPr>
                <w:rFonts w:eastAsia="PMingLiU-ExtB"/>
                <w:lang w:val="fr-FR"/>
              </w:rPr>
              <w:tab/>
            </w:r>
            <w:r w:rsidR="00712DC3" w:rsidRPr="00CF78B8">
              <w:rPr>
                <w:rFonts w:eastAsia="PMingLiU-ExtB"/>
                <w:lang w:val="fr-FR"/>
              </w:rPr>
              <w:t>Programme</w:t>
            </w:r>
            <w:r w:rsidR="00712DC3" w:rsidRPr="00712DC3">
              <w:rPr>
                <w:rFonts w:eastAsia="PMingLiU-ExtB"/>
                <w:szCs w:val="24"/>
                <w:lang w:val="fr-FR"/>
              </w:rPr>
              <w:t xml:space="preserve"> </w:t>
            </w:r>
            <w:r w:rsidR="00712DC3" w:rsidRPr="00712DC3">
              <w:rPr>
                <w:lang w:val="fr-FR"/>
              </w:rPr>
              <w:t>de formation de l’UIT</w:t>
            </w:r>
            <w:r w:rsidR="00836390">
              <w:rPr>
                <w:lang w:val="fr-FR"/>
              </w:rPr>
              <w:t xml:space="preserve"> </w:t>
            </w:r>
            <w:r w:rsidR="00712DC3" w:rsidRPr="00712DC3">
              <w:rPr>
                <w:lang w:val="fr-FR"/>
              </w:rPr>
              <w:t>pour les ingénieurs réseau en vue de l'obtention d'une certification IPv6 (niveau 1 de la certification CNE6)</w:t>
            </w:r>
            <w:r w:rsidR="00836390">
              <w:rPr>
                <w:rFonts w:eastAsia="PMingLiU-ExtB"/>
                <w:szCs w:val="24"/>
                <w:lang w:val="fr-FR"/>
              </w:rPr>
              <w:t xml:space="preserve"> </w:t>
            </w:r>
            <w:r w:rsidR="00712DC3" w:rsidRPr="00712DC3">
              <w:rPr>
                <w:rFonts w:eastAsia="PMingLiU-ExtB"/>
                <w:szCs w:val="24"/>
                <w:lang w:val="fr-FR"/>
              </w:rPr>
              <w:t>à l’intention</w:t>
            </w:r>
            <w:r w:rsidR="00712DC3" w:rsidRPr="00712DC3">
              <w:rPr>
                <w:lang w:val="fr-FR"/>
              </w:rPr>
              <w:t xml:space="preserve"> des PMA de la région des </w:t>
            </w:r>
            <w:r w:rsidR="003035D2">
              <w:rPr>
                <w:lang w:val="fr-FR"/>
              </w:rPr>
              <w:t>E</w:t>
            </w:r>
            <w:r w:rsidR="00712DC3" w:rsidRPr="00712DC3">
              <w:rPr>
                <w:lang w:val="fr-FR"/>
              </w:rPr>
              <w:t>tats arabes</w:t>
            </w:r>
            <w:r w:rsidR="003035D2">
              <w:rPr>
                <w:rFonts w:eastAsia="PMingLiU-ExtB"/>
                <w:szCs w:val="24"/>
                <w:lang w:val="fr-FR"/>
              </w:rPr>
              <w:t>.</w:t>
            </w:r>
          </w:p>
        </w:tc>
      </w:tr>
      <w:tr w:rsidR="00712DC3" w:rsidRPr="00712DC3" w:rsidTr="003035D2">
        <w:tc>
          <w:tcPr>
            <w:tcW w:w="3256" w:type="dxa"/>
            <w:tcBorders>
              <w:top w:val="single" w:sz="4" w:space="0" w:color="auto"/>
              <w:bottom w:val="single" w:sz="4" w:space="0" w:color="auto"/>
              <w:right w:val="single" w:sz="4" w:space="0" w:color="auto"/>
            </w:tcBorders>
          </w:tcPr>
          <w:p w:rsidR="00712DC3" w:rsidRPr="00CF78B8" w:rsidRDefault="00431AC4" w:rsidP="00712DC3">
            <w:pPr>
              <w:rPr>
                <w:i/>
                <w:iCs/>
                <w:szCs w:val="24"/>
              </w:rPr>
            </w:pPr>
            <w:r w:rsidRPr="00CF78B8">
              <w:rPr>
                <w:i/>
                <w:iCs/>
              </w:rPr>
              <w:lastRenderedPageBreak/>
              <w:t xml:space="preserve">Contribution aux cibles des ODD </w:t>
            </w:r>
          </w:p>
        </w:tc>
        <w:tc>
          <w:tcPr>
            <w:tcW w:w="6373" w:type="dxa"/>
            <w:tcBorders>
              <w:top w:val="single" w:sz="4" w:space="0" w:color="auto"/>
              <w:left w:val="single" w:sz="4" w:space="0" w:color="auto"/>
              <w:bottom w:val="single" w:sz="4" w:space="0" w:color="auto"/>
            </w:tcBorders>
          </w:tcPr>
          <w:p w:rsidR="00712DC3" w:rsidRPr="00712DC3" w:rsidRDefault="00712DC3" w:rsidP="00712DC3">
            <w:r w:rsidRPr="00712DC3">
              <w:rPr>
                <w:rFonts w:eastAsia="PMingLiU-ExtB"/>
                <w:szCs w:val="24"/>
              </w:rPr>
              <w:t>ODD</w:t>
            </w:r>
            <w:r w:rsidR="00836390">
              <w:rPr>
                <w:rFonts w:eastAsia="PMingLiU-ExtB"/>
                <w:szCs w:val="24"/>
              </w:rPr>
              <w:t>:</w:t>
            </w:r>
            <w:r w:rsidRPr="00712DC3">
              <w:rPr>
                <w:rFonts w:eastAsia="PMingLiU-ExtB"/>
                <w:szCs w:val="24"/>
              </w:rPr>
              <w:t xml:space="preserve"> 1 (cible 1.b), 2 (cible 2.3), 3 (cibles 3.7. 3.b. 3.d)</w:t>
            </w:r>
            <w:r w:rsidR="00836390">
              <w:rPr>
                <w:rFonts w:eastAsia="PMingLiU-ExtB"/>
                <w:szCs w:val="24"/>
              </w:rPr>
              <w:t>,</w:t>
            </w:r>
            <w:r w:rsidRPr="00712DC3">
              <w:rPr>
                <w:rFonts w:eastAsia="PMingLiU-ExtB"/>
                <w:szCs w:val="24"/>
              </w:rPr>
              <w:t xml:space="preserve"> 4 (cibles 4.4, 4.7), 5 (cibles 5.5, 5.b), 6 (cible 6.a), 8 (cible 8.2), 9 (cibles 9.1, 9.b, 9.c), 12 (cibles 12.7, 12.8, 12.a, 12.b), 13 (cibles 13.2, 13.3, 13.b), 14 (cible 14.a), 16 (cible 16.a), 17 (cible 17.9, 17.18), 18</w:t>
            </w:r>
          </w:p>
        </w:tc>
      </w:tr>
      <w:tr w:rsidR="00712DC3" w:rsidRPr="00712DC3" w:rsidTr="003035D2">
        <w:trPr>
          <w:trHeight w:val="397"/>
        </w:trPr>
        <w:tc>
          <w:tcPr>
            <w:tcW w:w="3256" w:type="dxa"/>
            <w:tcBorders>
              <w:top w:val="single" w:sz="4" w:space="0" w:color="auto"/>
              <w:bottom w:val="single" w:sz="4" w:space="0" w:color="auto"/>
              <w:right w:val="single" w:sz="4" w:space="0" w:color="auto"/>
            </w:tcBorders>
          </w:tcPr>
          <w:p w:rsidR="00712DC3" w:rsidRPr="00CF78B8" w:rsidRDefault="00712DC3" w:rsidP="00712DC3">
            <w:pPr>
              <w:rPr>
                <w:i/>
                <w:iCs/>
                <w:szCs w:val="24"/>
              </w:rPr>
            </w:pPr>
            <w:r w:rsidRPr="00CF78B8">
              <w:rPr>
                <w:i/>
                <w:iCs/>
              </w:rPr>
              <w:t>Grandes orientations du SMSI</w:t>
            </w:r>
          </w:p>
        </w:tc>
        <w:tc>
          <w:tcPr>
            <w:tcW w:w="6373" w:type="dxa"/>
            <w:tcBorders>
              <w:top w:val="single" w:sz="4" w:space="0" w:color="auto"/>
              <w:left w:val="single" w:sz="4" w:space="0" w:color="auto"/>
              <w:bottom w:val="single" w:sz="4" w:space="0" w:color="auto"/>
            </w:tcBorders>
          </w:tcPr>
          <w:p w:rsidR="00712DC3" w:rsidRPr="00712DC3" w:rsidRDefault="00712DC3" w:rsidP="00712DC3">
            <w:pPr>
              <w:rPr>
                <w:szCs w:val="24"/>
                <w:lang w:val="fr-FR"/>
              </w:rPr>
            </w:pPr>
            <w:r w:rsidRPr="00712DC3">
              <w:rPr>
                <w:lang w:val="fr-FR"/>
              </w:rPr>
              <w:t>Grande orientation C4 du SMSI figurant dans le Plan d'action de Genève et</w:t>
            </w:r>
            <w:r w:rsidR="00836390">
              <w:rPr>
                <w:lang w:val="fr-FR"/>
              </w:rPr>
              <w:t xml:space="preserve"> </w:t>
            </w:r>
            <w:r w:rsidRPr="00712DC3">
              <w:rPr>
                <w:lang w:val="fr-FR"/>
              </w:rPr>
              <w:t>paragraphes 8, 22, 23a, 26g, 49, 51, 65, 72h, 86, 87, 90c, d, f, 95, 114b de l'Agenda de Tunis pour la société de l'information</w:t>
            </w:r>
          </w:p>
        </w:tc>
      </w:tr>
      <w:tr w:rsidR="00712DC3" w:rsidRPr="00712DC3" w:rsidTr="003035D2">
        <w:tc>
          <w:tcPr>
            <w:tcW w:w="3256" w:type="dxa"/>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t>Résolutions:</w:t>
            </w:r>
          </w:p>
        </w:tc>
        <w:tc>
          <w:tcPr>
            <w:tcW w:w="6373" w:type="dxa"/>
            <w:tcBorders>
              <w:top w:val="single" w:sz="4" w:space="0" w:color="auto"/>
              <w:left w:val="single" w:sz="4" w:space="0" w:color="auto"/>
              <w:bottom w:val="single" w:sz="4" w:space="0" w:color="auto"/>
            </w:tcBorders>
          </w:tcPr>
          <w:p w:rsidR="00712DC3" w:rsidRPr="00712DC3" w:rsidRDefault="00712DC3" w:rsidP="00712DC3">
            <w:pPr>
              <w:rPr>
                <w:lang w:val="fr-FR"/>
              </w:rPr>
            </w:pPr>
            <w:r w:rsidRPr="00712DC3">
              <w:rPr>
                <w:lang w:val="fr-FR"/>
              </w:rPr>
              <w:t>Décisions 5 et</w:t>
            </w:r>
            <w:r w:rsidR="00836390">
              <w:rPr>
                <w:lang w:val="fr-FR"/>
              </w:rPr>
              <w:t xml:space="preserve"> </w:t>
            </w:r>
            <w:r w:rsidR="003035D2">
              <w:rPr>
                <w:lang w:val="fr-FR"/>
              </w:rPr>
              <w:t>13 de la PP</w:t>
            </w:r>
          </w:p>
          <w:p w:rsidR="00712DC3" w:rsidRPr="00712DC3" w:rsidRDefault="00712DC3" w:rsidP="00712DC3">
            <w:pPr>
              <w:rPr>
                <w:szCs w:val="24"/>
              </w:rPr>
            </w:pPr>
            <w:r w:rsidRPr="00712DC3">
              <w:rPr>
                <w:lang w:val="en-US"/>
              </w:rPr>
              <w:t>Résolutions 25, 71, 72, 137, 139, 140, 172, 188,</w:t>
            </w:r>
            <w:r w:rsidR="00CF78B8">
              <w:rPr>
                <w:lang w:val="en-US"/>
              </w:rPr>
              <w:t xml:space="preserve"> 189,</w:t>
            </w:r>
            <w:r w:rsidRPr="00712DC3">
              <w:rPr>
                <w:lang w:val="en-US"/>
              </w:rPr>
              <w:t xml:space="preserve"> 197, 199, 202 de la PP</w:t>
            </w:r>
          </w:p>
        </w:tc>
      </w:tr>
    </w:tbl>
    <w:p w:rsidR="00712DC3" w:rsidRPr="00712DC3" w:rsidRDefault="00712DC3" w:rsidP="003035D2">
      <w:pPr>
        <w:pStyle w:val="Heading2"/>
        <w:rPr>
          <w:lang w:val="fr-FR"/>
        </w:rPr>
      </w:pPr>
      <w:bookmarkStart w:id="31" w:name="_Toc467807703"/>
      <w:bookmarkStart w:id="32" w:name="_Toc468087102"/>
      <w:r w:rsidRPr="00712DC3">
        <w:rPr>
          <w:lang w:val="fr-FR"/>
        </w:rPr>
        <w:t>4.2</w:t>
      </w:r>
      <w:r w:rsidRPr="00712DC3">
        <w:rPr>
          <w:lang w:val="fr-FR"/>
        </w:rPr>
        <w:tab/>
        <w:t>Statistiques sur les télécommunications/TIC</w:t>
      </w:r>
      <w:bookmarkEnd w:id="31"/>
      <w:bookmarkEnd w:id="32"/>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712DC3" w:rsidRPr="00712DC3" w:rsidTr="009853E7">
        <w:tc>
          <w:tcPr>
            <w:tcW w:w="9629" w:type="dxa"/>
            <w:gridSpan w:val="2"/>
            <w:tcBorders>
              <w:bottom w:val="single" w:sz="4" w:space="0" w:color="auto"/>
            </w:tcBorders>
          </w:tcPr>
          <w:p w:rsidR="00712DC3" w:rsidRPr="00712DC3" w:rsidRDefault="00712DC3" w:rsidP="003035D2">
            <w:pPr>
              <w:rPr>
                <w:lang w:val="fr-FR"/>
              </w:rPr>
            </w:pPr>
            <w:r w:rsidRPr="00712DC3">
              <w:rPr>
                <w:lang w:val="fr-FR"/>
              </w:rPr>
              <w:t>Le BDT dispose de l'ensemble le plus complet au monde de données et de statistiques sur les TIC dans divers domaines:</w:t>
            </w:r>
            <w:r w:rsidR="00836390">
              <w:rPr>
                <w:lang w:val="fr-FR"/>
              </w:rPr>
              <w:t xml:space="preserve"> </w:t>
            </w:r>
            <w:r w:rsidRPr="00712DC3">
              <w:rPr>
                <w:lang w:val="fr-FR"/>
              </w:rPr>
              <w:t>infrastructure des TIC,</w:t>
            </w:r>
            <w:r w:rsidR="00836390">
              <w:rPr>
                <w:lang w:val="fr-FR"/>
              </w:rPr>
              <w:t xml:space="preserve"> </w:t>
            </w:r>
            <w:r w:rsidRPr="00712DC3">
              <w:rPr>
                <w:lang w:val="fr-FR"/>
              </w:rPr>
              <w:t>accès aux TIC et leur utilisation,</w:t>
            </w:r>
            <w:r w:rsidR="00836390">
              <w:rPr>
                <w:lang w:val="fr-FR"/>
              </w:rPr>
              <w:t xml:space="preserve"> </w:t>
            </w:r>
            <w:r w:rsidRPr="00712DC3">
              <w:rPr>
                <w:lang w:val="fr-FR"/>
              </w:rPr>
              <w:t>politiques et</w:t>
            </w:r>
            <w:r w:rsidR="00836390">
              <w:rPr>
                <w:lang w:val="fr-FR"/>
              </w:rPr>
              <w:t xml:space="preserve"> </w:t>
            </w:r>
            <w:r w:rsidRPr="00712DC3">
              <w:rPr>
                <w:lang w:val="fr-FR"/>
              </w:rPr>
              <w:t>réglementation et</w:t>
            </w:r>
            <w:r w:rsidR="00836390">
              <w:rPr>
                <w:lang w:val="fr-FR"/>
              </w:rPr>
              <w:t xml:space="preserve"> </w:t>
            </w:r>
            <w:r w:rsidRPr="00712DC3">
              <w:rPr>
                <w:lang w:val="fr-FR"/>
              </w:rPr>
              <w:t>questions relatives aux coûts et aux</w:t>
            </w:r>
            <w:r w:rsidR="00836390">
              <w:rPr>
                <w:lang w:val="fr-FR"/>
              </w:rPr>
              <w:t xml:space="preserve"> </w:t>
            </w:r>
            <w:r w:rsidRPr="00712DC3">
              <w:rPr>
                <w:lang w:val="fr-FR"/>
              </w:rPr>
              <w:t>politiques tarifaires. Les travaux de l'UIT relevant de ce produit ont permis d'améliorer l'accessibilité et la diffusion de bases de données statistiques sur les TIC comparables à l'échelle internationale et publiées en temps opportun.</w:t>
            </w:r>
          </w:p>
          <w:p w:rsidR="00712DC3" w:rsidRPr="00712DC3" w:rsidRDefault="00712DC3" w:rsidP="009853E7">
            <w:pPr>
              <w:rPr>
                <w:lang w:val="fr-FR"/>
              </w:rPr>
            </w:pPr>
            <w:r w:rsidRPr="00712DC3">
              <w:rPr>
                <w:lang w:val="fr-FR"/>
              </w:rPr>
              <w:t>Un certain nombre de produits statistiques ont été mis à disposition afin d'améliorer l'information et d'enrichir les connaissances des décideurs et des autres parties prenantes sur les tendances actuelles et l'évolution des télécommunications/TIC sur la base</w:t>
            </w:r>
            <w:r w:rsidR="00836390">
              <w:rPr>
                <w:lang w:val="fr-FR"/>
              </w:rPr>
              <w:t xml:space="preserve"> </w:t>
            </w:r>
            <w:r w:rsidRPr="00712DC3">
              <w:rPr>
                <w:lang w:val="fr-FR"/>
              </w:rPr>
              <w:t>de statistiques de qualité et comparables au niveau international:</w:t>
            </w:r>
            <w:r w:rsidR="00836390">
              <w:rPr>
                <w:lang w:val="fr-FR"/>
              </w:rPr>
              <w:t xml:space="preserve"> </w:t>
            </w:r>
            <w:r w:rsidRPr="00712DC3">
              <w:rPr>
                <w:lang w:val="fr-FR"/>
              </w:rPr>
              <w:t>Faits et chiffres</w:t>
            </w:r>
            <w:r w:rsidR="00836390">
              <w:rPr>
                <w:lang w:val="fr-FR"/>
              </w:rPr>
              <w:t xml:space="preserve"> </w:t>
            </w:r>
            <w:r w:rsidRPr="00712DC3">
              <w:rPr>
                <w:lang w:val="fr-FR"/>
              </w:rPr>
              <w:t>sur les TIC pour 2016</w:t>
            </w:r>
            <w:r w:rsidR="009853E7">
              <w:rPr>
                <w:lang w:val="fr-FR"/>
              </w:rPr>
              <w:t>,</w:t>
            </w:r>
            <w:r w:rsidRPr="00712DC3">
              <w:rPr>
                <w:lang w:val="fr-FR"/>
              </w:rPr>
              <w:t xml:space="preserve"> Base de</w:t>
            </w:r>
            <w:r w:rsidR="00836390">
              <w:rPr>
                <w:lang w:val="fr-FR"/>
              </w:rPr>
              <w:t xml:space="preserve"> </w:t>
            </w:r>
            <w:r w:rsidRPr="00712DC3">
              <w:rPr>
                <w:lang w:val="fr-FR"/>
              </w:rPr>
              <w:t>données sur les indicateurs des télécommunications/TIC dans le monde</w:t>
            </w:r>
            <w:r w:rsidR="00836390">
              <w:rPr>
                <w:lang w:val="fr-FR"/>
              </w:rPr>
              <w:t xml:space="preserve"> </w:t>
            </w:r>
            <w:r w:rsidRPr="00712DC3">
              <w:rPr>
                <w:lang w:val="fr-FR"/>
              </w:rPr>
              <w:t>pour 2016 et Annuaire</w:t>
            </w:r>
            <w:r w:rsidR="00836390">
              <w:rPr>
                <w:lang w:val="fr-FR"/>
              </w:rPr>
              <w:t xml:space="preserve"> </w:t>
            </w:r>
            <w:r w:rsidRPr="00712DC3">
              <w:rPr>
                <w:lang w:val="fr-FR"/>
              </w:rPr>
              <w:t>statistique pour</w:t>
            </w:r>
            <w:r w:rsidR="00836390">
              <w:rPr>
                <w:lang w:val="fr-FR"/>
              </w:rPr>
              <w:t xml:space="preserve"> </w:t>
            </w:r>
            <w:r w:rsidRPr="00712DC3">
              <w:rPr>
                <w:lang w:val="fr-FR"/>
              </w:rPr>
              <w:t>2016.</w:t>
            </w:r>
          </w:p>
          <w:p w:rsidR="00712DC3" w:rsidRPr="00712DC3" w:rsidRDefault="00712DC3" w:rsidP="00712DC3">
            <w:pPr>
              <w:rPr>
                <w:lang w:val="fr-FR"/>
              </w:rPr>
            </w:pPr>
            <w:r w:rsidRPr="00712DC3">
              <w:rPr>
                <w:lang w:val="fr-FR"/>
              </w:rPr>
              <w:t>La publication phare de l'UIT, "Mesurer la société de l'information"</w:t>
            </w:r>
            <w:r w:rsidR="00542DBB">
              <w:rPr>
                <w:lang w:val="fr-FR"/>
              </w:rPr>
              <w:t>,</w:t>
            </w:r>
            <w:r w:rsidRPr="00712DC3">
              <w:rPr>
                <w:lang w:val="fr-FR"/>
              </w:rPr>
              <w:t xml:space="preserve"> a permis d’enrichir</w:t>
            </w:r>
            <w:r w:rsidR="00836390">
              <w:rPr>
                <w:lang w:val="fr-FR"/>
              </w:rPr>
              <w:t xml:space="preserve"> </w:t>
            </w:r>
            <w:r w:rsidRPr="00712DC3">
              <w:rPr>
                <w:lang w:val="fr-FR"/>
              </w:rPr>
              <w:t>les connaissances des décideurs, des investisseurs et des acteurs économiques sur les tendances actuelles du marché des TIC, en leur fournissant une analyse précise de l'évolution des télécommunications/TIC dans le monde et en leur permettant</w:t>
            </w:r>
            <w:r w:rsidR="00836390">
              <w:rPr>
                <w:lang w:val="fr-FR"/>
              </w:rPr>
              <w:t xml:space="preserve"> </w:t>
            </w:r>
            <w:r w:rsidRPr="00712DC3">
              <w:rPr>
                <w:lang w:val="fr-FR"/>
              </w:rPr>
              <w:t>de prendre des décisions fondées sur des données probantes</w:t>
            </w:r>
            <w:r w:rsidR="00836390">
              <w:rPr>
                <w:lang w:val="fr-FR"/>
              </w:rPr>
              <w:t>.</w:t>
            </w:r>
            <w:r w:rsidRPr="00712DC3">
              <w:rPr>
                <w:lang w:val="fr-FR"/>
              </w:rPr>
              <w:t xml:space="preserve"> L'édition 2016 de ce rapport a été publiée en novembre 2016 (à l'occasion du WTIS 2016).</w:t>
            </w:r>
          </w:p>
          <w:p w:rsidR="00712DC3" w:rsidRPr="00712DC3" w:rsidRDefault="00712DC3" w:rsidP="00712DC3">
            <w:pPr>
              <w:rPr>
                <w:lang w:val="fr-FR"/>
              </w:rPr>
            </w:pPr>
            <w:r w:rsidRPr="00712DC3">
              <w:rPr>
                <w:lang w:val="fr-FR"/>
              </w:rPr>
              <w:t>En organisant chaque année le Colloque sur les indicateurs des télécommunications/TIC dans le monde (WTIS), qui est la principale</w:t>
            </w:r>
            <w:r w:rsidR="00836390">
              <w:rPr>
                <w:lang w:val="fr-FR"/>
              </w:rPr>
              <w:t xml:space="preserve"> </w:t>
            </w:r>
            <w:r w:rsidRPr="00712DC3">
              <w:rPr>
                <w:lang w:val="fr-FR"/>
              </w:rPr>
              <w:t>tribune mondiale consacrée aux statistiques sur les TIC, l'UIT a favorisé le dialogue entre les organismes qui produisent</w:t>
            </w:r>
            <w:r w:rsidR="00836390">
              <w:rPr>
                <w:lang w:val="fr-FR"/>
              </w:rPr>
              <w:t xml:space="preserve"> </w:t>
            </w:r>
            <w:r w:rsidRPr="00712DC3">
              <w:rPr>
                <w:lang w:val="fr-FR"/>
              </w:rPr>
              <w:t>des données et les utilisateurs</w:t>
            </w:r>
            <w:r w:rsidR="00836390">
              <w:rPr>
                <w:lang w:val="fr-FR"/>
              </w:rPr>
              <w:t xml:space="preserve"> </w:t>
            </w:r>
            <w:r w:rsidRPr="00712DC3">
              <w:rPr>
                <w:lang w:val="fr-FR"/>
              </w:rPr>
              <w:t>et</w:t>
            </w:r>
            <w:r w:rsidR="00836390">
              <w:rPr>
                <w:lang w:val="fr-FR"/>
              </w:rPr>
              <w:t xml:space="preserve"> </w:t>
            </w:r>
            <w:r w:rsidRPr="00712DC3">
              <w:rPr>
                <w:lang w:val="fr-FR"/>
              </w:rPr>
              <w:lastRenderedPageBreak/>
              <w:t>renforcé la sensibilisation des pays et leur</w:t>
            </w:r>
            <w:r w:rsidR="00836390">
              <w:rPr>
                <w:lang w:val="fr-FR"/>
              </w:rPr>
              <w:t xml:space="preserve"> </w:t>
            </w:r>
            <w:r w:rsidRPr="00712DC3">
              <w:rPr>
                <w:lang w:val="fr-FR"/>
              </w:rPr>
              <w:t>capacité</w:t>
            </w:r>
            <w:r w:rsidR="00836390">
              <w:rPr>
                <w:lang w:val="fr-FR"/>
              </w:rPr>
              <w:t xml:space="preserve"> </w:t>
            </w:r>
            <w:r w:rsidRPr="00712DC3">
              <w:rPr>
                <w:lang w:val="fr-FR"/>
              </w:rPr>
              <w:t>de produire des statistiques sur les télécommunications/TIC. Le</w:t>
            </w:r>
            <w:r w:rsidR="00836390">
              <w:rPr>
                <w:lang w:val="fr-FR"/>
              </w:rPr>
              <w:t xml:space="preserve"> </w:t>
            </w:r>
            <w:r w:rsidRPr="00712DC3">
              <w:rPr>
                <w:lang w:val="fr-FR"/>
              </w:rPr>
              <w:t>WTIS 2016 a eu lieu du 21 au 23 novembre 2016 au Botswana.</w:t>
            </w:r>
          </w:p>
          <w:p w:rsidR="00712DC3" w:rsidRPr="00712DC3" w:rsidRDefault="00712DC3" w:rsidP="00712DC3">
            <w:pPr>
              <w:rPr>
                <w:lang w:val="fr-FR"/>
              </w:rPr>
            </w:pPr>
            <w:r w:rsidRPr="00712DC3">
              <w:rPr>
                <w:lang w:val="fr-FR"/>
              </w:rPr>
              <w:t>Les activités de l'UIT relevant de ce produit ont contribué à élargir la coopération et ont amélioré les méthodologies et les normes internationales en matière de statistiques sur les TIC grâce aux travaux du Groupe d'experts sur les indicateurs des télécommunications/TIC (EGTI) et du Groupe d'experts sur les indicateurs relatifs à l'utilisation des TIC par les ménages (EGH).</w:t>
            </w:r>
            <w:r w:rsidR="009853E7">
              <w:rPr>
                <w:lang w:val="fr-FR"/>
              </w:rPr>
              <w:t xml:space="preserve"> </w:t>
            </w:r>
            <w:r w:rsidRPr="00712DC3">
              <w:rPr>
                <w:lang w:val="fr-FR"/>
              </w:rPr>
              <w:t>Ces deux Groupes d'experts se sont réunis en octobre 2016 à Genève,</w:t>
            </w:r>
            <w:r w:rsidR="00836390">
              <w:rPr>
                <w:lang w:val="fr-FR"/>
              </w:rPr>
              <w:t xml:space="preserve"> </w:t>
            </w:r>
            <w:r w:rsidRPr="00712DC3">
              <w:rPr>
                <w:lang w:val="fr-FR"/>
              </w:rPr>
              <w:t>en présence d'environ 120 participants</w:t>
            </w:r>
            <w:r w:rsidR="00836390">
              <w:rPr>
                <w:lang w:val="fr-FR"/>
              </w:rPr>
              <w:t xml:space="preserve"> </w:t>
            </w:r>
            <w:r w:rsidRPr="00712DC3">
              <w:rPr>
                <w:lang w:val="fr-FR"/>
              </w:rPr>
              <w:t>de plus de 50 pays,</w:t>
            </w:r>
            <w:r w:rsidR="00836390">
              <w:rPr>
                <w:lang w:val="fr-FR"/>
              </w:rPr>
              <w:t xml:space="preserve"> </w:t>
            </w:r>
            <w:r w:rsidRPr="00712DC3">
              <w:rPr>
                <w:lang w:val="fr-FR"/>
              </w:rPr>
              <w:t>représentant des</w:t>
            </w:r>
            <w:r w:rsidR="00836390">
              <w:rPr>
                <w:lang w:val="fr-FR"/>
              </w:rPr>
              <w:t xml:space="preserve"> </w:t>
            </w:r>
            <w:r w:rsidRPr="00712DC3">
              <w:rPr>
                <w:lang w:val="fr-FR"/>
              </w:rPr>
              <w:t>organisations régionales et internationales,</w:t>
            </w:r>
            <w:r w:rsidR="00836390">
              <w:rPr>
                <w:lang w:val="fr-FR"/>
              </w:rPr>
              <w:t xml:space="preserve"> </w:t>
            </w:r>
            <w:r w:rsidRPr="00712DC3">
              <w:rPr>
                <w:lang w:val="fr-FR"/>
              </w:rPr>
              <w:t>le secteur privé, des</w:t>
            </w:r>
            <w:r w:rsidR="00836390">
              <w:rPr>
                <w:lang w:val="fr-FR"/>
              </w:rPr>
              <w:t xml:space="preserve"> </w:t>
            </w:r>
            <w:r w:rsidRPr="00712DC3">
              <w:rPr>
                <w:lang w:val="fr-FR"/>
              </w:rPr>
              <w:t>établissements universitaires et</w:t>
            </w:r>
            <w:r w:rsidR="00836390">
              <w:rPr>
                <w:lang w:val="fr-FR"/>
              </w:rPr>
              <w:t xml:space="preserve"> </w:t>
            </w:r>
            <w:r w:rsidRPr="00712DC3">
              <w:rPr>
                <w:lang w:val="fr-FR"/>
              </w:rPr>
              <w:t>la société civile. Les participants ont adopté un certain nombre de décisions sur les travaux futurs relatifs aux statistiques sur les TIC, qui ont été présentées et adoptées lors des 12ème et 13ème éditions du Colloque sur les indicateurs des télécommunications/TIC dans le monde.</w:t>
            </w:r>
          </w:p>
          <w:p w:rsidR="00712DC3" w:rsidRPr="00712DC3" w:rsidRDefault="00712DC3" w:rsidP="009853E7">
            <w:pPr>
              <w:rPr>
                <w:lang w:val="fr-FR"/>
              </w:rPr>
            </w:pPr>
            <w:r w:rsidRPr="00712DC3">
              <w:rPr>
                <w:lang w:val="fr-FR"/>
              </w:rPr>
              <w:t>Les activités menées au titre de ce produit ont également contribué au suivi des objectifs internationaux pour le développement des données sur l'évolution des TIC</w:t>
            </w:r>
            <w:r w:rsidR="009853E7">
              <w:rPr>
                <w:lang w:val="fr-FR"/>
              </w:rPr>
              <w:t xml:space="preserve"> et</w:t>
            </w:r>
            <w:r w:rsidRPr="00712DC3">
              <w:rPr>
                <w:lang w:val="fr-FR"/>
              </w:rPr>
              <w:t xml:space="preserve"> ont été insérées dans le rapport sur les indicateurs des Objectifs du Millénaire pour le développement (OMD) et le</w:t>
            </w:r>
            <w:r w:rsidR="00836390">
              <w:rPr>
                <w:lang w:val="fr-FR"/>
              </w:rPr>
              <w:t xml:space="preserve"> </w:t>
            </w:r>
            <w:r w:rsidRPr="00712DC3">
              <w:rPr>
                <w:lang w:val="fr-FR"/>
              </w:rPr>
              <w:t>rapport sur le retard pris dans la réalisation des OMD,</w:t>
            </w:r>
            <w:r w:rsidR="00836390">
              <w:rPr>
                <w:lang w:val="fr-FR"/>
              </w:rPr>
              <w:t xml:space="preserve"> </w:t>
            </w:r>
            <w:r w:rsidRPr="00712DC3">
              <w:rPr>
                <w:lang w:val="fr-FR"/>
              </w:rPr>
              <w:t>et</w:t>
            </w:r>
            <w:r w:rsidR="00836390">
              <w:rPr>
                <w:lang w:val="fr-FR"/>
              </w:rPr>
              <w:t xml:space="preserve"> </w:t>
            </w:r>
            <w:r w:rsidRPr="00712DC3">
              <w:rPr>
                <w:lang w:val="fr-FR"/>
              </w:rPr>
              <w:t>une proposition relative aux indicateurs des TIC dans le cadre des indicateurs des ODD a été</w:t>
            </w:r>
            <w:r w:rsidR="00836390">
              <w:rPr>
                <w:lang w:val="fr-FR"/>
              </w:rPr>
              <w:t xml:space="preserve"> </w:t>
            </w:r>
            <w:r w:rsidRPr="00712DC3">
              <w:rPr>
                <w:lang w:val="fr-FR"/>
              </w:rPr>
              <w:t>formulée au titre du Partenariat mondial sur la mesure des TIC au service du développement. Grâce à ces activités, la dernière version du cadre des indicateurs des ODD adoptée en mars 2016 par la Commission de statistique des Nations Unies comprend sept indicateurs sur les TIC couvrant six cibles relevant des Objectifs 4, 5, 9 et 17.</w:t>
            </w:r>
          </w:p>
          <w:p w:rsidR="00712DC3" w:rsidRPr="00712DC3" w:rsidRDefault="00712DC3" w:rsidP="00712DC3">
            <w:pPr>
              <w:rPr>
                <w:lang w:val="fr-FR"/>
              </w:rPr>
            </w:pPr>
            <w:r w:rsidRPr="00712DC3">
              <w:rPr>
                <w:lang w:val="fr-FR"/>
              </w:rPr>
              <w:t>Les capacités et les compétences des organismes producteurs de statistiques sur les TIC en matière de collecte de données, d'élaboration et d'analyse d'indicateurs sur les TIC comparables sur le plan international ont été améliorées grâce à plusieurs activités de renforcement des capacités: un atelier de formation des coordonnateurs nationaux pour les indicateurs TIC a été organisé à l'intention de plusieurs pays du 15 au 18 mars 2016, à Nay Pyi Taw (Myanmar), en présence</w:t>
            </w:r>
            <w:r w:rsidR="00836390">
              <w:rPr>
                <w:lang w:val="fr-FR"/>
              </w:rPr>
              <w:t xml:space="preserve"> </w:t>
            </w:r>
            <w:r w:rsidRPr="00712DC3">
              <w:rPr>
                <w:lang w:val="fr-FR"/>
              </w:rPr>
              <w:t>de 35 délégués</w:t>
            </w:r>
            <w:r w:rsidR="00836390">
              <w:rPr>
                <w:lang w:val="fr-FR"/>
              </w:rPr>
              <w:t xml:space="preserve"> </w:t>
            </w:r>
            <w:r w:rsidRPr="00712DC3">
              <w:rPr>
                <w:lang w:val="fr-FR"/>
              </w:rPr>
              <w:t>d'Indonésie, de la</w:t>
            </w:r>
            <w:r w:rsidR="00836390">
              <w:rPr>
                <w:lang w:val="fr-FR"/>
              </w:rPr>
              <w:t xml:space="preserve"> </w:t>
            </w:r>
            <w:r w:rsidRPr="00712DC3">
              <w:rPr>
                <w:lang w:val="fr-FR"/>
              </w:rPr>
              <w:t xml:space="preserve">RDP Lao, du Myanmar, du Timor-Leste et du Viet Nam. L'Albanie, l'Angola, les Comores, le Gabon, le Myanmar </w:t>
            </w:r>
            <w:r w:rsidR="009853E7">
              <w:rPr>
                <w:lang w:val="fr-FR"/>
              </w:rPr>
              <w:t>et le Pakistan ont bénéficié d’</w:t>
            </w:r>
            <w:r w:rsidRPr="00712DC3">
              <w:rPr>
                <w:lang w:val="fr-FR"/>
              </w:rPr>
              <w:t>une assistance/formation sur l'élaboration d'un cadre national</w:t>
            </w:r>
            <w:r w:rsidR="00836390">
              <w:rPr>
                <w:lang w:val="fr-FR"/>
              </w:rPr>
              <w:t xml:space="preserve"> </w:t>
            </w:r>
            <w:r w:rsidRPr="00712DC3">
              <w:rPr>
                <w:lang w:val="fr-FR"/>
              </w:rPr>
              <w:t>pour les statistiques et les indicateurs TIC</w:t>
            </w:r>
            <w:r w:rsidR="009853E7">
              <w:rPr>
                <w:lang w:val="fr-FR"/>
              </w:rPr>
              <w:t>.</w:t>
            </w:r>
          </w:p>
        </w:tc>
      </w:tr>
      <w:tr w:rsidR="00712DC3" w:rsidRPr="00712DC3" w:rsidTr="009853E7">
        <w:tc>
          <w:tcPr>
            <w:tcW w:w="3256" w:type="dxa"/>
            <w:tcBorders>
              <w:top w:val="single" w:sz="4" w:space="0" w:color="auto"/>
              <w:bottom w:val="single" w:sz="4" w:space="0" w:color="auto"/>
              <w:right w:val="single" w:sz="4" w:space="0" w:color="auto"/>
            </w:tcBorders>
          </w:tcPr>
          <w:p w:rsidR="00712DC3" w:rsidRPr="00277952" w:rsidRDefault="00431AC4" w:rsidP="00712DC3">
            <w:pPr>
              <w:rPr>
                <w:i/>
                <w:iCs/>
                <w:szCs w:val="24"/>
              </w:rPr>
            </w:pPr>
            <w:r w:rsidRPr="00277952">
              <w:rPr>
                <w:i/>
                <w:iCs/>
              </w:rPr>
              <w:lastRenderedPageBreak/>
              <w:t xml:space="preserve">Contribution aux cibles des ODD </w:t>
            </w:r>
          </w:p>
        </w:tc>
        <w:tc>
          <w:tcPr>
            <w:tcW w:w="6373" w:type="dxa"/>
            <w:tcBorders>
              <w:top w:val="single" w:sz="4" w:space="0" w:color="auto"/>
              <w:left w:val="single" w:sz="4" w:space="0" w:color="auto"/>
              <w:bottom w:val="single" w:sz="4" w:space="0" w:color="auto"/>
            </w:tcBorders>
          </w:tcPr>
          <w:p w:rsidR="00712DC3" w:rsidRPr="00712DC3" w:rsidRDefault="00712DC3" w:rsidP="00712DC3">
            <w:pPr>
              <w:rPr>
                <w:lang w:val="fr-FR"/>
              </w:rPr>
            </w:pPr>
            <w:r w:rsidRPr="00712DC3">
              <w:t xml:space="preserve">Les statistiques sur les </w:t>
            </w:r>
            <w:r w:rsidRPr="00712DC3">
              <w:rPr>
                <w:lang w:val="fr-FR"/>
              </w:rPr>
              <w:t xml:space="preserve">télécommunications/TIC </w:t>
            </w:r>
            <w:r w:rsidRPr="00712DC3">
              <w:t>sont importantes pour le suivi de la mise en oeuvre de tous les ODD et sont citées dans les paragraphes 48, 57, 74-76, 83 du Programme de développement durable à l'horizon 2030</w:t>
            </w:r>
          </w:p>
        </w:tc>
      </w:tr>
      <w:tr w:rsidR="00712DC3" w:rsidRPr="00712DC3" w:rsidTr="009853E7">
        <w:trPr>
          <w:trHeight w:val="397"/>
        </w:trPr>
        <w:tc>
          <w:tcPr>
            <w:tcW w:w="3256" w:type="dxa"/>
            <w:tcBorders>
              <w:top w:val="single" w:sz="4" w:space="0" w:color="auto"/>
              <w:bottom w:val="single" w:sz="4" w:space="0" w:color="auto"/>
              <w:right w:val="single" w:sz="4" w:space="0" w:color="auto"/>
            </w:tcBorders>
          </w:tcPr>
          <w:p w:rsidR="00712DC3" w:rsidRPr="00277952" w:rsidRDefault="00712DC3" w:rsidP="00712DC3">
            <w:pPr>
              <w:rPr>
                <w:i/>
                <w:iCs/>
                <w:szCs w:val="24"/>
              </w:rPr>
            </w:pPr>
            <w:r w:rsidRPr="00277952">
              <w:rPr>
                <w:i/>
                <w:iCs/>
              </w:rPr>
              <w:t>Grandes orientations du SMSI</w:t>
            </w:r>
          </w:p>
        </w:tc>
        <w:tc>
          <w:tcPr>
            <w:tcW w:w="6373" w:type="dxa"/>
            <w:tcBorders>
              <w:top w:val="single" w:sz="4" w:space="0" w:color="auto"/>
              <w:left w:val="single" w:sz="4" w:space="0" w:color="auto"/>
              <w:bottom w:val="single" w:sz="4" w:space="0" w:color="auto"/>
            </w:tcBorders>
          </w:tcPr>
          <w:p w:rsidR="00712DC3" w:rsidRPr="00712DC3" w:rsidRDefault="00712DC3" w:rsidP="00712DC3">
            <w:pPr>
              <w:rPr>
                <w:lang w:val="fr-FR"/>
              </w:rPr>
            </w:pPr>
            <w:r w:rsidRPr="00712DC3">
              <w:t xml:space="preserve">Les statistiques sur les </w:t>
            </w:r>
            <w:r w:rsidRPr="00712DC3">
              <w:rPr>
                <w:lang w:val="fr-FR"/>
              </w:rPr>
              <w:t xml:space="preserve">télécommunications/TIC </w:t>
            </w:r>
            <w:r w:rsidRPr="00712DC3">
              <w:t>sont importantes pour le suivi de la mise en oeuvre de</w:t>
            </w:r>
            <w:r w:rsidR="00836390">
              <w:t xml:space="preserve"> </w:t>
            </w:r>
            <w:r w:rsidRPr="00712DC3">
              <w:rPr>
                <w:szCs w:val="24"/>
                <w:lang w:val="fr-FR"/>
              </w:rPr>
              <w:t>toutes les</w:t>
            </w:r>
            <w:r w:rsidR="00836390">
              <w:rPr>
                <w:szCs w:val="24"/>
                <w:lang w:val="fr-FR"/>
              </w:rPr>
              <w:t xml:space="preserve"> </w:t>
            </w:r>
            <w:r w:rsidRPr="00712DC3">
              <w:rPr>
                <w:lang w:val="fr-FR"/>
              </w:rPr>
              <w:t>Grandes orientations</w:t>
            </w:r>
            <w:r w:rsidR="00836390">
              <w:rPr>
                <w:lang w:val="fr-FR"/>
              </w:rPr>
              <w:t xml:space="preserve"> </w:t>
            </w:r>
            <w:r w:rsidRPr="00712DC3">
              <w:rPr>
                <w:lang w:val="fr-FR"/>
              </w:rPr>
              <w:t>du SMSI figurant dans le Plan d'action de Genève</w:t>
            </w:r>
            <w:r w:rsidR="00836390">
              <w:rPr>
                <w:lang w:val="fr-FR"/>
              </w:rPr>
              <w:t xml:space="preserve"> </w:t>
            </w:r>
            <w:r w:rsidRPr="00712DC3">
              <w:t>et sont citées dans les</w:t>
            </w:r>
            <w:r w:rsidR="00836390">
              <w:t xml:space="preserve"> </w:t>
            </w:r>
            <w:r w:rsidRPr="00712DC3">
              <w:rPr>
                <w:lang w:val="fr-FR"/>
              </w:rPr>
              <w:t>paragraphes</w:t>
            </w:r>
            <w:r w:rsidR="009853E7">
              <w:rPr>
                <w:lang w:val="fr-FR"/>
              </w:rPr>
              <w:t xml:space="preserve"> </w:t>
            </w:r>
            <w:r w:rsidRPr="00712DC3">
              <w:rPr>
                <w:szCs w:val="24"/>
                <w:lang w:val="fr-FR"/>
              </w:rPr>
              <w:t xml:space="preserve">112 à 119 </w:t>
            </w:r>
            <w:r w:rsidRPr="00712DC3">
              <w:rPr>
                <w:lang w:val="fr-FR"/>
              </w:rPr>
              <w:t>de l'Agenda de Tunis pour la société de l'information ainsi que dans le</w:t>
            </w:r>
            <w:r w:rsidR="00836390">
              <w:rPr>
                <w:lang w:val="fr-FR"/>
              </w:rPr>
              <w:t xml:space="preserve"> </w:t>
            </w:r>
            <w:r w:rsidRPr="00712DC3">
              <w:rPr>
                <w:szCs w:val="24"/>
                <w:lang w:val="fr-FR"/>
              </w:rPr>
              <w:t>paragraphe 70 du</w:t>
            </w:r>
            <w:r w:rsidR="00836390">
              <w:rPr>
                <w:szCs w:val="24"/>
                <w:lang w:val="fr-FR"/>
              </w:rPr>
              <w:t xml:space="preserve"> </w:t>
            </w:r>
            <w:r w:rsidRPr="00712DC3">
              <w:rPr>
                <w:lang w:val="fr-FR"/>
              </w:rPr>
              <w:t>Document final de la réunion de haut niveau de l'Assemblée générale sur l'examen d'ensemble de la mise en oeuvre des textes issus du SMSI</w:t>
            </w:r>
          </w:p>
        </w:tc>
      </w:tr>
      <w:tr w:rsidR="00712DC3" w:rsidRPr="00712DC3" w:rsidTr="009853E7">
        <w:tc>
          <w:tcPr>
            <w:tcW w:w="3256" w:type="dxa"/>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t>Résolutions:</w:t>
            </w:r>
          </w:p>
        </w:tc>
        <w:tc>
          <w:tcPr>
            <w:tcW w:w="6373" w:type="dxa"/>
            <w:tcBorders>
              <w:top w:val="single" w:sz="4" w:space="0" w:color="auto"/>
              <w:left w:val="single" w:sz="4" w:space="0" w:color="auto"/>
              <w:bottom w:val="single" w:sz="4" w:space="0" w:color="auto"/>
            </w:tcBorders>
          </w:tcPr>
          <w:p w:rsidR="00712DC3" w:rsidRPr="00712DC3" w:rsidRDefault="00712DC3" w:rsidP="00712DC3">
            <w:pPr>
              <w:rPr>
                <w:szCs w:val="24"/>
              </w:rPr>
            </w:pPr>
          </w:p>
        </w:tc>
      </w:tr>
    </w:tbl>
    <w:p w:rsidR="00712DC3" w:rsidRPr="00712DC3" w:rsidRDefault="00712DC3" w:rsidP="00712DC3">
      <w:pPr>
        <w:rPr>
          <w:lang w:val="fr-FR"/>
        </w:rPr>
      </w:pPr>
    </w:p>
    <w:p w:rsidR="00712DC3" w:rsidRPr="00712DC3" w:rsidRDefault="00712DC3" w:rsidP="009853E7">
      <w:pPr>
        <w:pStyle w:val="Heading2"/>
        <w:rPr>
          <w:lang w:val="fr-FR"/>
        </w:rPr>
      </w:pPr>
      <w:bookmarkStart w:id="33" w:name="_Toc467807704"/>
      <w:bookmarkStart w:id="34" w:name="_Toc468087103"/>
      <w:r w:rsidRPr="00712DC3">
        <w:rPr>
          <w:lang w:val="fr-FR"/>
        </w:rPr>
        <w:lastRenderedPageBreak/>
        <w:t>4.3</w:t>
      </w:r>
      <w:r w:rsidRPr="00712DC3">
        <w:rPr>
          <w:lang w:val="fr-FR"/>
        </w:rPr>
        <w:tab/>
        <w:t>Inclusion numérique des personnes ayant des besoins particuliers</w:t>
      </w:r>
      <w:bookmarkEnd w:id="33"/>
      <w:bookmarkEnd w:id="34"/>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712DC3" w:rsidRPr="00712DC3" w:rsidTr="00DF5D1A">
        <w:tc>
          <w:tcPr>
            <w:tcW w:w="9629" w:type="dxa"/>
            <w:gridSpan w:val="2"/>
            <w:tcBorders>
              <w:bottom w:val="single" w:sz="4" w:space="0" w:color="auto"/>
            </w:tcBorders>
          </w:tcPr>
          <w:p w:rsidR="00712DC3" w:rsidRPr="00712DC3" w:rsidRDefault="00712DC3" w:rsidP="00712DC3">
            <w:pPr>
              <w:rPr>
                <w:lang w:val="fr-FR"/>
              </w:rPr>
            </w:pPr>
            <w:r w:rsidRPr="00712DC3">
              <w:rPr>
                <w:lang w:val="fr-FR"/>
              </w:rPr>
              <w:t xml:space="preserve">Les capacités des Etats Membres en matière d'élaboration et de mise en oeuvre de politiques, de stratégies et de lignes directrices relatives à l'inclusion numérique en vue de garantir aux personnes handicapées l'accessibilité des télécommunications/TIC ont été renforcées </w:t>
            </w:r>
            <w:r w:rsidR="006A2D50" w:rsidRPr="00712DC3">
              <w:rPr>
                <w:lang w:val="fr-FR"/>
              </w:rPr>
              <w:t>grâce</w:t>
            </w:r>
            <w:r w:rsidRPr="00712DC3">
              <w:rPr>
                <w:lang w:val="fr-FR"/>
              </w:rPr>
              <w:t xml:space="preserve"> aux</w:t>
            </w:r>
            <w:r w:rsidR="00836390">
              <w:rPr>
                <w:lang w:val="fr-FR"/>
              </w:rPr>
              <w:t xml:space="preserve"> </w:t>
            </w:r>
            <w:r w:rsidRPr="00712DC3">
              <w:rPr>
                <w:lang w:val="fr-FR"/>
              </w:rPr>
              <w:t xml:space="preserve">mesures suivantes: </w:t>
            </w:r>
          </w:p>
          <w:p w:rsidR="00712DC3" w:rsidRPr="00712DC3" w:rsidRDefault="00712DC3" w:rsidP="009853E7">
            <w:pPr>
              <w:pStyle w:val="enumlev1"/>
              <w:rPr>
                <w:lang w:val="fr-FR"/>
              </w:rPr>
            </w:pPr>
            <w:r w:rsidRPr="00712DC3">
              <w:rPr>
                <w:lang w:val="fr-FR"/>
              </w:rPr>
              <w:t>–</w:t>
            </w:r>
            <w:r w:rsidRPr="00712DC3">
              <w:rPr>
                <w:lang w:val="fr-FR"/>
              </w:rPr>
              <w:tab/>
              <w:t>161 participants ont suivi une formation concernant le</w:t>
            </w:r>
            <w:r w:rsidR="00836390">
              <w:rPr>
                <w:lang w:val="fr-FR"/>
              </w:rPr>
              <w:t xml:space="preserve"> </w:t>
            </w:r>
            <w:r w:rsidRPr="00712DC3">
              <w:rPr>
                <w:lang w:val="fr-FR"/>
              </w:rPr>
              <w:t>rapport sur les modèles de politique en matière d'accessibilité des TIC</w:t>
            </w:r>
            <w:r w:rsidR="00836390">
              <w:rPr>
                <w:lang w:val="fr-FR"/>
              </w:rPr>
              <w:t xml:space="preserve"> </w:t>
            </w:r>
            <w:r w:rsidRPr="00712DC3">
              <w:rPr>
                <w:lang w:val="fr-FR"/>
              </w:rPr>
              <w:t>lors de</w:t>
            </w:r>
            <w:r w:rsidR="00836390">
              <w:rPr>
                <w:lang w:val="fr-FR"/>
              </w:rPr>
              <w:t xml:space="preserve"> </w:t>
            </w:r>
            <w:r w:rsidRPr="00712DC3">
              <w:rPr>
                <w:lang w:val="fr-FR"/>
              </w:rPr>
              <w:t>la réunion</w:t>
            </w:r>
            <w:r w:rsidR="00836390">
              <w:rPr>
                <w:lang w:val="fr-FR"/>
              </w:rPr>
              <w:t xml:space="preserve"> </w:t>
            </w:r>
            <w:r w:rsidRPr="00712DC3">
              <w:rPr>
                <w:lang w:val="fr-FR"/>
              </w:rPr>
              <w:t>du Groupe de Rapporteurs</w:t>
            </w:r>
            <w:r w:rsidR="00836390">
              <w:rPr>
                <w:lang w:val="fr-FR"/>
              </w:rPr>
              <w:t xml:space="preserve"> </w:t>
            </w:r>
            <w:r w:rsidRPr="00712DC3">
              <w:rPr>
                <w:lang w:val="fr-FR"/>
              </w:rPr>
              <w:t>tenue en 2016.</w:t>
            </w:r>
          </w:p>
          <w:p w:rsidR="00712DC3" w:rsidRPr="00712DC3" w:rsidRDefault="00712DC3" w:rsidP="009853E7">
            <w:pPr>
              <w:pStyle w:val="enumlev1"/>
              <w:rPr>
                <w:lang w:val="fr-FR"/>
              </w:rPr>
            </w:pPr>
            <w:r w:rsidRPr="00712DC3">
              <w:rPr>
                <w:lang w:val="fr-FR"/>
              </w:rPr>
              <w:t>–</w:t>
            </w:r>
            <w:r w:rsidRPr="00712DC3">
              <w:rPr>
                <w:lang w:val="fr-FR"/>
              </w:rPr>
              <w:tab/>
              <w:t>Compte tenu de l'importance des marchés publics pour faire en sorte que les TIC</w:t>
            </w:r>
            <w:r w:rsidR="00836390">
              <w:rPr>
                <w:lang w:val="fr-FR"/>
              </w:rPr>
              <w:t xml:space="preserve"> </w:t>
            </w:r>
            <w:r w:rsidRPr="00712DC3">
              <w:rPr>
                <w:lang w:val="fr-FR"/>
              </w:rPr>
              <w:t>accessible</w:t>
            </w:r>
            <w:r w:rsidR="009853E7">
              <w:rPr>
                <w:lang w:val="fr-FR"/>
              </w:rPr>
              <w:t>s</w:t>
            </w:r>
            <w:r w:rsidRPr="00712DC3">
              <w:rPr>
                <w:lang w:val="fr-FR"/>
              </w:rPr>
              <w:t xml:space="preserve"> soient largement disponibles pour les personnes handicapées, le BDT a mis au point un ensemble diversifié de matériels didactiques en ligne sur les "Marchés publics dans le domaine des produits et services TIC accessibles", qui ont été mis à disposition dans le cadre d'un cours de formation en ligne</w:t>
            </w:r>
            <w:r w:rsidR="00836390">
              <w:rPr>
                <w:lang w:val="fr-FR"/>
              </w:rPr>
              <w:t xml:space="preserve">, </w:t>
            </w:r>
            <w:r w:rsidRPr="00712DC3">
              <w:rPr>
                <w:lang w:val="fr-FR"/>
              </w:rPr>
              <w:t>de</w:t>
            </w:r>
            <w:r w:rsidR="00836390">
              <w:rPr>
                <w:lang w:val="fr-FR"/>
              </w:rPr>
              <w:t xml:space="preserve"> </w:t>
            </w:r>
            <w:r w:rsidRPr="00712DC3">
              <w:rPr>
                <w:lang w:val="fr-FR"/>
              </w:rPr>
              <w:t>l'Académie de l'UIT, et de</w:t>
            </w:r>
            <w:r w:rsidR="00836390">
              <w:rPr>
                <w:lang w:val="fr-FR"/>
              </w:rPr>
              <w:t xml:space="preserve"> </w:t>
            </w:r>
            <w:r w:rsidRPr="00712DC3">
              <w:rPr>
                <w:lang w:val="fr-FR"/>
              </w:rPr>
              <w:t>la manifestation "Amériques accessibles III: l'information et les communications pour TOUS", organisée à Mexico (Mexique).</w:t>
            </w:r>
          </w:p>
          <w:p w:rsidR="00712DC3" w:rsidRPr="00712DC3" w:rsidRDefault="00712DC3" w:rsidP="009853E7">
            <w:pPr>
              <w:pStyle w:val="enumlev1"/>
              <w:rPr>
                <w:lang w:val="fr-FR"/>
              </w:rPr>
            </w:pPr>
            <w:r w:rsidRPr="00712DC3">
              <w:rPr>
                <w:lang w:val="fr-FR"/>
              </w:rPr>
              <w:t>–</w:t>
            </w:r>
            <w:r w:rsidRPr="00712DC3">
              <w:rPr>
                <w:lang w:val="fr-FR"/>
              </w:rPr>
              <w:tab/>
              <w:t>Le rapport sur les modèles de politique en matière d'accessibilité des TIC existe</w:t>
            </w:r>
            <w:r w:rsidR="00836390">
              <w:rPr>
                <w:lang w:val="fr-FR"/>
              </w:rPr>
              <w:t xml:space="preserve"> </w:t>
            </w:r>
            <w:r w:rsidRPr="00712DC3">
              <w:rPr>
                <w:lang w:val="fr-FR"/>
              </w:rPr>
              <w:t>désormais</w:t>
            </w:r>
            <w:r w:rsidR="00836390">
              <w:rPr>
                <w:lang w:val="fr-FR"/>
              </w:rPr>
              <w:t xml:space="preserve"> </w:t>
            </w:r>
            <w:r w:rsidRPr="00712DC3">
              <w:rPr>
                <w:lang w:val="fr-FR"/>
              </w:rPr>
              <w:t>dans les six langues officielles de l'UIT, afin de faciliter son utilisation par les pays du monde entier. Publié en arabe, en français et en espagnol ainsi qu'en livre électronique accessible (version anglaise) en 2015, et en chinois et en russe en 2016, il a été transmis aux membres ainsi qu'aux associations de personnes handicapées dans le monde entier, notamment à la Fédération mondiale des sourds et au Forum sur le handicap pour la région Pacifique. Ce rapport</w:t>
            </w:r>
            <w:r w:rsidR="00836390">
              <w:rPr>
                <w:lang w:val="fr-FR"/>
              </w:rPr>
              <w:t xml:space="preserve"> </w:t>
            </w:r>
            <w:r w:rsidRPr="00712DC3">
              <w:rPr>
                <w:lang w:val="fr-FR"/>
              </w:rPr>
              <w:t>vise à mieux faire connaître aux membres de l'UIT les types de politiques d'accessibilité des TIC qu'ils peuvent adopter et à renforcer leurs capacités</w:t>
            </w:r>
            <w:r w:rsidR="00836390">
              <w:rPr>
                <w:lang w:val="fr-FR"/>
              </w:rPr>
              <w:t xml:space="preserve"> </w:t>
            </w:r>
            <w:r w:rsidRPr="00712DC3">
              <w:rPr>
                <w:lang w:val="fr-FR"/>
              </w:rPr>
              <w:t>d’adopter et de mettre en oeuvre ces politiques.</w:t>
            </w:r>
          </w:p>
          <w:p w:rsidR="00712DC3" w:rsidRPr="00712DC3" w:rsidRDefault="00712DC3" w:rsidP="009853E7">
            <w:pPr>
              <w:pStyle w:val="enumlev1"/>
              <w:rPr>
                <w:lang w:val="fr-FR"/>
              </w:rPr>
            </w:pPr>
            <w:r w:rsidRPr="00712DC3">
              <w:rPr>
                <w:lang w:val="fr-FR"/>
              </w:rPr>
              <w:t>–</w:t>
            </w:r>
            <w:r w:rsidRPr="00712DC3">
              <w:rPr>
                <w:lang w:val="fr-FR"/>
              </w:rPr>
              <w:tab/>
              <w:t>En 2016, des orientations ont été données</w:t>
            </w:r>
            <w:r w:rsidR="00836390">
              <w:rPr>
                <w:lang w:val="fr-FR"/>
              </w:rPr>
              <w:t xml:space="preserve"> </w:t>
            </w:r>
            <w:r w:rsidRPr="00712DC3">
              <w:rPr>
                <w:lang w:val="fr-FR"/>
              </w:rPr>
              <w:t>à l'Organismo Supervisor de Inversión en Telecomunicaciones (OSIPTEL) du Pérou pour la promotion d'une politique d'accessibilité du web, et</w:t>
            </w:r>
            <w:r w:rsidR="00836390">
              <w:rPr>
                <w:lang w:val="fr-FR"/>
              </w:rPr>
              <w:t xml:space="preserve"> </w:t>
            </w:r>
            <w:r w:rsidRPr="00712DC3">
              <w:rPr>
                <w:lang w:val="fr-FR"/>
              </w:rPr>
              <w:t>à l'Egypte pour l'élaboration d'une politique nationale en matière d'accessibilité des TIC</w:t>
            </w:r>
            <w:r w:rsidR="009853E7">
              <w:rPr>
                <w:lang w:val="fr-FR"/>
              </w:rPr>
              <w:t>.</w:t>
            </w:r>
          </w:p>
          <w:p w:rsidR="00712DC3" w:rsidRPr="00712DC3" w:rsidRDefault="00712DC3" w:rsidP="009853E7">
            <w:pPr>
              <w:rPr>
                <w:szCs w:val="24"/>
                <w:lang w:val="fr-FR"/>
              </w:rPr>
            </w:pPr>
            <w:r w:rsidRPr="00712DC3">
              <w:rPr>
                <w:lang w:val="fr-FR"/>
              </w:rPr>
              <w:t xml:space="preserve">La célébration de la Journée internationale des jeunes filles dans le secteur des TIC à </w:t>
            </w:r>
            <w:r w:rsidRPr="00712DC3">
              <w:rPr>
                <w:szCs w:val="24"/>
                <w:lang w:val="fr-FR"/>
              </w:rPr>
              <w:t>Bangkok (28 avril),</w:t>
            </w:r>
            <w:r w:rsidR="00836390">
              <w:rPr>
                <w:szCs w:val="24"/>
                <w:lang w:val="fr-FR"/>
              </w:rPr>
              <w:t xml:space="preserve"> </w:t>
            </w:r>
            <w:r w:rsidRPr="00712DC3">
              <w:rPr>
                <w:szCs w:val="24"/>
                <w:lang w:val="fr-FR"/>
              </w:rPr>
              <w:t>Manille (26 avril)</w:t>
            </w:r>
            <w:r w:rsidR="00836390">
              <w:rPr>
                <w:szCs w:val="24"/>
                <w:lang w:val="fr-FR"/>
              </w:rPr>
              <w:t xml:space="preserve"> </w:t>
            </w:r>
            <w:r w:rsidRPr="00712DC3">
              <w:rPr>
                <w:szCs w:val="24"/>
                <w:lang w:val="fr-FR"/>
              </w:rPr>
              <w:t>et Yogjakarta (28 avril)</w:t>
            </w:r>
            <w:r w:rsidR="00836390">
              <w:rPr>
                <w:szCs w:val="24"/>
                <w:lang w:val="fr-FR"/>
              </w:rPr>
              <w:t xml:space="preserve"> </w:t>
            </w:r>
            <w:r w:rsidRPr="00712DC3">
              <w:rPr>
                <w:lang w:val="fr-FR"/>
              </w:rPr>
              <w:t>a</w:t>
            </w:r>
            <w:r w:rsidR="00836390">
              <w:rPr>
                <w:lang w:val="fr-FR"/>
              </w:rPr>
              <w:t xml:space="preserve"> </w:t>
            </w:r>
            <w:r w:rsidRPr="00712DC3">
              <w:rPr>
                <w:lang w:val="fr-FR"/>
              </w:rPr>
              <w:t>contribué à sensibiliser</w:t>
            </w:r>
            <w:r w:rsidR="00836390">
              <w:rPr>
                <w:lang w:val="fr-FR"/>
              </w:rPr>
              <w:t xml:space="preserve"> </w:t>
            </w:r>
            <w:r w:rsidRPr="00712DC3">
              <w:rPr>
                <w:lang w:val="fr-FR"/>
              </w:rPr>
              <w:t>des</w:t>
            </w:r>
            <w:r w:rsidR="00836390">
              <w:rPr>
                <w:lang w:val="fr-FR"/>
              </w:rPr>
              <w:t xml:space="preserve"> </w:t>
            </w:r>
            <w:r w:rsidRPr="00712DC3">
              <w:rPr>
                <w:lang w:val="fr-FR"/>
              </w:rPr>
              <w:t>jeunes filles et des jeunes femmes et à leur faire conn</w:t>
            </w:r>
            <w:r w:rsidR="00542DBB">
              <w:rPr>
                <w:lang w:val="fr-FR"/>
              </w:rPr>
              <w:t>a</w:t>
            </w:r>
            <w:r w:rsidRPr="00712DC3">
              <w:rPr>
                <w:lang w:val="fr-FR"/>
              </w:rPr>
              <w:t>ître</w:t>
            </w:r>
            <w:r w:rsidR="00836390">
              <w:rPr>
                <w:lang w:val="fr-FR"/>
              </w:rPr>
              <w:t xml:space="preserve"> </w:t>
            </w:r>
            <w:r w:rsidRPr="00712DC3">
              <w:rPr>
                <w:lang w:val="fr-FR"/>
              </w:rPr>
              <w:t xml:space="preserve">des formations et des </w:t>
            </w:r>
            <w:r w:rsidR="006A2D50" w:rsidRPr="00712DC3">
              <w:rPr>
                <w:lang w:val="fr-FR"/>
              </w:rPr>
              <w:t>études</w:t>
            </w:r>
            <w:r w:rsidRPr="00712DC3">
              <w:rPr>
                <w:lang w:val="fr-FR"/>
              </w:rPr>
              <w:t xml:space="preserve"> dans le domaine des</w:t>
            </w:r>
            <w:r w:rsidR="00836390">
              <w:rPr>
                <w:lang w:val="fr-FR"/>
              </w:rPr>
              <w:t xml:space="preserve"> </w:t>
            </w:r>
            <w:r w:rsidRPr="00712DC3">
              <w:rPr>
                <w:szCs w:val="24"/>
                <w:lang w:val="fr-FR"/>
              </w:rPr>
              <w:t>technologies</w:t>
            </w:r>
            <w:r w:rsidR="009853E7">
              <w:rPr>
                <w:szCs w:val="24"/>
                <w:lang w:val="fr-FR"/>
              </w:rPr>
              <w:t>.</w:t>
            </w:r>
          </w:p>
          <w:p w:rsidR="00712DC3" w:rsidRPr="00712DC3" w:rsidRDefault="00712DC3" w:rsidP="00277952">
            <w:pPr>
              <w:rPr>
                <w:lang w:val="fr-FR"/>
              </w:rPr>
            </w:pPr>
            <w:r w:rsidRPr="00712DC3">
              <w:rPr>
                <w:lang w:val="fr-FR"/>
              </w:rPr>
              <w:t>Depuis la première célébration de la Journée internationale des jeunes filles dans le secteur des TIC en 2011, plus de 7 200 manifestations ont été organisées</w:t>
            </w:r>
            <w:r w:rsidR="00836390">
              <w:rPr>
                <w:lang w:val="fr-FR"/>
              </w:rPr>
              <w:t xml:space="preserve"> </w:t>
            </w:r>
            <w:r w:rsidRPr="00712DC3">
              <w:rPr>
                <w:lang w:val="fr-FR"/>
              </w:rPr>
              <w:t>dans 160 pays, auxquelles ont pris part</w:t>
            </w:r>
            <w:r w:rsidR="00836390">
              <w:rPr>
                <w:lang w:val="fr-FR"/>
              </w:rPr>
              <w:t xml:space="preserve"> </w:t>
            </w:r>
            <w:r w:rsidRPr="00712DC3">
              <w:rPr>
                <w:lang w:val="fr-FR"/>
              </w:rPr>
              <w:t>plus de 240 000 jeunes filles et jeunes femmes.</w:t>
            </w:r>
            <w:r w:rsidR="00836390">
              <w:rPr>
                <w:lang w:val="fr-FR"/>
              </w:rPr>
              <w:t xml:space="preserve"> </w:t>
            </w:r>
            <w:r w:rsidRPr="00712DC3">
              <w:rPr>
                <w:szCs w:val="24"/>
                <w:lang w:val="fr-FR"/>
              </w:rPr>
              <w:t>En 2016, plus de 66 000 jeunes filles et jeunes femmes ont participé à plus de 1 900 manifestations organisées à l'occasion de cette Journé</w:t>
            </w:r>
            <w:r w:rsidR="00DA33D7">
              <w:rPr>
                <w:szCs w:val="24"/>
                <w:lang w:val="fr-FR"/>
              </w:rPr>
              <w:t>e dans 138 pays.</w:t>
            </w:r>
            <w:r w:rsidR="006A2D50">
              <w:rPr>
                <w:szCs w:val="24"/>
                <w:lang w:val="fr-FR"/>
              </w:rPr>
              <w:t xml:space="preserve"> </w:t>
            </w:r>
            <w:r w:rsidR="00DA33D7">
              <w:rPr>
                <w:szCs w:val="24"/>
                <w:lang w:val="fr-FR"/>
              </w:rPr>
              <w:t>De nombreux orga</w:t>
            </w:r>
            <w:r w:rsidRPr="00712DC3">
              <w:rPr>
                <w:szCs w:val="24"/>
                <w:lang w:val="fr-FR"/>
              </w:rPr>
              <w:t>nisateurs ont proposé des ateliers</w:t>
            </w:r>
            <w:r w:rsidR="00836390">
              <w:rPr>
                <w:szCs w:val="24"/>
                <w:lang w:val="fr-FR"/>
              </w:rPr>
              <w:t xml:space="preserve"> </w:t>
            </w:r>
            <w:r w:rsidRPr="00712DC3">
              <w:rPr>
                <w:szCs w:val="24"/>
                <w:lang w:val="fr-FR"/>
              </w:rPr>
              <w:t>pratiques sur le codage, le développement d'applications mobiles et l’acquisition d’autres compétences numériques. La Tanzanie a utilisé le Fonds pour l’accès universel pour favoriser le développement d’applications mobiles et la présentation de projets</w:t>
            </w:r>
            <w:r w:rsidR="00836390">
              <w:rPr>
                <w:szCs w:val="24"/>
                <w:lang w:val="fr-FR"/>
              </w:rPr>
              <w:t xml:space="preserve"> </w:t>
            </w:r>
            <w:r w:rsidRPr="00712DC3">
              <w:rPr>
                <w:szCs w:val="24"/>
                <w:lang w:val="fr-FR"/>
              </w:rPr>
              <w:t>et l’autonomisation de 240 000 jeunes filles</w:t>
            </w:r>
            <w:r w:rsidR="00836390">
              <w:rPr>
                <w:szCs w:val="24"/>
                <w:lang w:val="fr-FR"/>
              </w:rPr>
              <w:t xml:space="preserve"> </w:t>
            </w:r>
            <w:r w:rsidRPr="00712DC3">
              <w:rPr>
                <w:szCs w:val="24"/>
                <w:lang w:val="fr-FR"/>
              </w:rPr>
              <w:t>(2011-2016); plus de 66</w:t>
            </w:r>
            <w:r w:rsidR="009853E7">
              <w:rPr>
                <w:szCs w:val="24"/>
                <w:lang w:val="fr-FR"/>
              </w:rPr>
              <w:t xml:space="preserve"> </w:t>
            </w:r>
            <w:r w:rsidRPr="00712DC3">
              <w:rPr>
                <w:szCs w:val="24"/>
                <w:lang w:val="fr-FR"/>
              </w:rPr>
              <w:t xml:space="preserve">000 jeunes filles ont </w:t>
            </w:r>
            <w:r w:rsidR="00E44423" w:rsidRPr="00712DC3">
              <w:rPr>
                <w:szCs w:val="24"/>
                <w:lang w:val="fr-FR"/>
              </w:rPr>
              <w:t>participé</w:t>
            </w:r>
            <w:r w:rsidRPr="00712DC3">
              <w:rPr>
                <w:szCs w:val="24"/>
                <w:lang w:val="fr-FR"/>
              </w:rPr>
              <w:t xml:space="preserve"> à 1</w:t>
            </w:r>
            <w:r w:rsidR="009853E7">
              <w:rPr>
                <w:szCs w:val="24"/>
                <w:lang w:val="fr-FR"/>
              </w:rPr>
              <w:t> </w:t>
            </w:r>
            <w:r w:rsidRPr="00712DC3">
              <w:rPr>
                <w:szCs w:val="24"/>
                <w:lang w:val="fr-FR"/>
              </w:rPr>
              <w:t>900 manifestations organisées</w:t>
            </w:r>
            <w:r w:rsidR="00836390">
              <w:rPr>
                <w:szCs w:val="24"/>
                <w:lang w:val="fr-FR"/>
              </w:rPr>
              <w:t xml:space="preserve"> </w:t>
            </w:r>
            <w:r w:rsidRPr="00712DC3">
              <w:rPr>
                <w:szCs w:val="24"/>
                <w:lang w:val="fr-FR"/>
              </w:rPr>
              <w:t>dans 138 pays en</w:t>
            </w:r>
            <w:r w:rsidR="00836390">
              <w:rPr>
                <w:szCs w:val="24"/>
                <w:lang w:val="fr-FR"/>
              </w:rPr>
              <w:t xml:space="preserve"> </w:t>
            </w:r>
            <w:r w:rsidRPr="00712DC3">
              <w:rPr>
                <w:szCs w:val="24"/>
                <w:lang w:val="fr-FR"/>
              </w:rPr>
              <w:t xml:space="preserve">2016; </w:t>
            </w:r>
            <w:r w:rsidR="00DA33D7">
              <w:rPr>
                <w:szCs w:val="24"/>
                <w:lang w:val="fr-FR"/>
              </w:rPr>
              <w:t xml:space="preserve">la Journée est célébrée </w:t>
            </w:r>
            <w:r w:rsidRPr="00712DC3">
              <w:rPr>
                <w:szCs w:val="24"/>
                <w:lang w:val="fr-FR"/>
              </w:rPr>
              <w:t>dans 160</w:t>
            </w:r>
            <w:r w:rsidR="00836390">
              <w:rPr>
                <w:szCs w:val="24"/>
                <w:lang w:val="fr-FR"/>
              </w:rPr>
              <w:t xml:space="preserve"> </w:t>
            </w:r>
            <w:r w:rsidRPr="00712DC3">
              <w:rPr>
                <w:szCs w:val="24"/>
                <w:lang w:val="fr-FR"/>
              </w:rPr>
              <w:t>pays depuis</w:t>
            </w:r>
            <w:r w:rsidR="00836390">
              <w:rPr>
                <w:szCs w:val="24"/>
                <w:lang w:val="fr-FR"/>
              </w:rPr>
              <w:t xml:space="preserve"> </w:t>
            </w:r>
            <w:r w:rsidRPr="00712DC3">
              <w:rPr>
                <w:szCs w:val="24"/>
                <w:lang w:val="fr-FR"/>
              </w:rPr>
              <w:t xml:space="preserve">2011; </w:t>
            </w:r>
            <w:r w:rsidR="00277952">
              <w:rPr>
                <w:lang w:val="fr-FR"/>
              </w:rPr>
              <w:t>l</w:t>
            </w:r>
            <w:r w:rsidRPr="00712DC3">
              <w:rPr>
                <w:lang w:val="fr-FR"/>
              </w:rPr>
              <w:t xml:space="preserve">e portail de l'UIT "Les jeunes filles dans le secteur des TIC" a enregistré </w:t>
            </w:r>
            <w:r w:rsidRPr="00712DC3">
              <w:rPr>
                <w:szCs w:val="24"/>
                <w:lang w:val="fr-FR"/>
              </w:rPr>
              <w:t>493</w:t>
            </w:r>
            <w:r w:rsidR="009853E7">
              <w:rPr>
                <w:szCs w:val="24"/>
                <w:lang w:val="fr-FR"/>
              </w:rPr>
              <w:t> </w:t>
            </w:r>
            <w:r w:rsidRPr="00712DC3">
              <w:rPr>
                <w:szCs w:val="24"/>
                <w:lang w:val="fr-FR"/>
              </w:rPr>
              <w:t>371</w:t>
            </w:r>
            <w:r w:rsidR="00836390">
              <w:rPr>
                <w:szCs w:val="24"/>
                <w:lang w:val="fr-FR"/>
              </w:rPr>
              <w:t xml:space="preserve"> </w:t>
            </w:r>
            <w:r w:rsidRPr="00712DC3">
              <w:rPr>
                <w:lang w:val="fr-FR"/>
              </w:rPr>
              <w:t>pages consultées en 2016;</w:t>
            </w:r>
            <w:r w:rsidR="00836390">
              <w:rPr>
                <w:lang w:val="fr-FR"/>
              </w:rPr>
              <w:t xml:space="preserve"> </w:t>
            </w:r>
            <w:r w:rsidRPr="00712DC3">
              <w:rPr>
                <w:lang w:val="fr-FR"/>
              </w:rPr>
              <w:t>sur</w:t>
            </w:r>
            <w:r w:rsidR="00836390">
              <w:rPr>
                <w:lang w:val="fr-FR"/>
              </w:rPr>
              <w:t xml:space="preserve"> </w:t>
            </w:r>
            <w:r w:rsidRPr="00712DC3">
              <w:rPr>
                <w:szCs w:val="24"/>
                <w:lang w:val="fr-FR"/>
              </w:rPr>
              <w:t>117</w:t>
            </w:r>
            <w:r w:rsidR="009853E7">
              <w:rPr>
                <w:szCs w:val="24"/>
                <w:lang w:val="fr-FR"/>
              </w:rPr>
              <w:t> </w:t>
            </w:r>
            <w:r w:rsidRPr="00712DC3">
              <w:rPr>
                <w:szCs w:val="24"/>
                <w:lang w:val="fr-FR"/>
              </w:rPr>
              <w:t>586 sessions, 78</w:t>
            </w:r>
            <w:r w:rsidR="009853E7">
              <w:rPr>
                <w:szCs w:val="24"/>
                <w:lang w:val="fr-FR"/>
              </w:rPr>
              <w:t>,</w:t>
            </w:r>
            <w:r w:rsidRPr="00712DC3">
              <w:rPr>
                <w:szCs w:val="24"/>
                <w:lang w:val="fr-FR"/>
              </w:rPr>
              <w:t>5% (92</w:t>
            </w:r>
            <w:r w:rsidR="009853E7">
              <w:t> </w:t>
            </w:r>
            <w:r w:rsidRPr="00712DC3">
              <w:rPr>
                <w:szCs w:val="24"/>
                <w:lang w:val="fr-FR"/>
              </w:rPr>
              <w:t>296)</w:t>
            </w:r>
            <w:r w:rsidR="00836390">
              <w:rPr>
                <w:szCs w:val="24"/>
                <w:lang w:val="fr-FR"/>
              </w:rPr>
              <w:t xml:space="preserve"> </w:t>
            </w:r>
            <w:r w:rsidR="00DA33D7">
              <w:rPr>
                <w:szCs w:val="24"/>
                <w:lang w:val="fr-FR"/>
              </w:rPr>
              <w:t>émanaient</w:t>
            </w:r>
            <w:r w:rsidR="00836390">
              <w:rPr>
                <w:szCs w:val="24"/>
                <w:lang w:val="fr-FR"/>
              </w:rPr>
              <w:t xml:space="preserve"> </w:t>
            </w:r>
            <w:r w:rsidRPr="00712DC3">
              <w:rPr>
                <w:szCs w:val="24"/>
                <w:lang w:val="fr-FR"/>
              </w:rPr>
              <w:t>de nouveaux visiteurs et</w:t>
            </w:r>
            <w:r w:rsidR="00836390">
              <w:rPr>
                <w:szCs w:val="24"/>
                <w:lang w:val="fr-FR"/>
              </w:rPr>
              <w:t xml:space="preserve"> </w:t>
            </w:r>
            <w:r w:rsidRPr="00712DC3">
              <w:rPr>
                <w:szCs w:val="24"/>
                <w:lang w:val="fr-FR"/>
              </w:rPr>
              <w:t>39% (45</w:t>
            </w:r>
            <w:r w:rsidR="009853E7">
              <w:rPr>
                <w:szCs w:val="24"/>
                <w:lang w:val="fr-FR"/>
              </w:rPr>
              <w:t> </w:t>
            </w:r>
            <w:r w:rsidRPr="00712DC3">
              <w:rPr>
                <w:szCs w:val="24"/>
                <w:lang w:val="fr-FR"/>
              </w:rPr>
              <w:t>968)</w:t>
            </w:r>
            <w:r w:rsidR="00836390">
              <w:rPr>
                <w:szCs w:val="24"/>
                <w:lang w:val="fr-FR"/>
              </w:rPr>
              <w:t xml:space="preserve"> </w:t>
            </w:r>
            <w:r w:rsidR="00DA33D7">
              <w:rPr>
                <w:szCs w:val="24"/>
                <w:lang w:val="fr-FR"/>
              </w:rPr>
              <w:t>provenaient</w:t>
            </w:r>
            <w:r w:rsidR="00836390">
              <w:rPr>
                <w:szCs w:val="24"/>
                <w:lang w:val="fr-FR"/>
              </w:rPr>
              <w:t xml:space="preserve"> </w:t>
            </w:r>
            <w:r w:rsidRPr="00712DC3">
              <w:rPr>
                <w:szCs w:val="24"/>
                <w:lang w:val="fr-FR"/>
              </w:rPr>
              <w:t>de dispositifs mobiles</w:t>
            </w:r>
            <w:r w:rsidR="00836390">
              <w:rPr>
                <w:szCs w:val="24"/>
                <w:lang w:val="fr-FR"/>
              </w:rPr>
              <w:t>;</w:t>
            </w:r>
            <w:r w:rsidRPr="00712DC3">
              <w:rPr>
                <w:lang w:val="fr-FR"/>
              </w:rPr>
              <w:t xml:space="preserve"> en 2016, le hashtag #GirlsinICT a atteint</w:t>
            </w:r>
            <w:r w:rsidR="00836390">
              <w:rPr>
                <w:lang w:val="fr-FR"/>
              </w:rPr>
              <w:t xml:space="preserve"> </w:t>
            </w:r>
            <w:r w:rsidRPr="00712DC3">
              <w:rPr>
                <w:lang w:val="fr-FR"/>
              </w:rPr>
              <w:t xml:space="preserve">54,3 </w:t>
            </w:r>
            <w:r w:rsidR="009853E7">
              <w:rPr>
                <w:lang w:val="fr-FR"/>
              </w:rPr>
              <w:lastRenderedPageBreak/>
              <w:t>millions de comptes Twitter</w:t>
            </w:r>
            <w:r w:rsidRPr="00712DC3">
              <w:rPr>
                <w:lang w:val="fr-FR"/>
              </w:rPr>
              <w:t>, contre</w:t>
            </w:r>
            <w:r w:rsidR="00836390">
              <w:rPr>
                <w:lang w:val="fr-FR"/>
              </w:rPr>
              <w:t xml:space="preserve"> </w:t>
            </w:r>
            <w:r w:rsidRPr="00712DC3">
              <w:rPr>
                <w:szCs w:val="24"/>
                <w:lang w:val="fr-FR"/>
              </w:rPr>
              <w:t>25</w:t>
            </w:r>
            <w:r w:rsidR="009853E7">
              <w:rPr>
                <w:szCs w:val="24"/>
                <w:lang w:val="fr-FR"/>
              </w:rPr>
              <w:t>,</w:t>
            </w:r>
            <w:r w:rsidRPr="00712DC3">
              <w:rPr>
                <w:szCs w:val="24"/>
                <w:lang w:val="fr-FR"/>
              </w:rPr>
              <w:t>8</w:t>
            </w:r>
            <w:r w:rsidRPr="00712DC3">
              <w:rPr>
                <w:lang w:val="fr-FR"/>
              </w:rPr>
              <w:t xml:space="preserve"> millions</w:t>
            </w:r>
            <w:r w:rsidR="00836390">
              <w:rPr>
                <w:szCs w:val="24"/>
                <w:lang w:val="fr-FR"/>
              </w:rPr>
              <w:t xml:space="preserve"> </w:t>
            </w:r>
            <w:r w:rsidRPr="00712DC3">
              <w:rPr>
                <w:szCs w:val="24"/>
                <w:lang w:val="fr-FR"/>
              </w:rPr>
              <w:t xml:space="preserve">en 2015. </w:t>
            </w:r>
            <w:r w:rsidRPr="00712DC3">
              <w:rPr>
                <w:lang w:val="fr-FR"/>
              </w:rPr>
              <w:t>La page Facebook des jeunes filles dans le secteur des TIC a suscité en moyenne</w:t>
            </w:r>
            <w:r w:rsidR="00277952">
              <w:rPr>
                <w:lang w:val="fr-FR"/>
              </w:rPr>
              <w:t>:</w:t>
            </w:r>
            <w:r w:rsidRPr="00712DC3">
              <w:rPr>
                <w:szCs w:val="24"/>
                <w:lang w:val="fr-FR"/>
              </w:rPr>
              <w:t xml:space="preserve"> 864/messages publiés en</w:t>
            </w:r>
            <w:r w:rsidR="00836390">
              <w:rPr>
                <w:szCs w:val="24"/>
                <w:lang w:val="fr-FR"/>
              </w:rPr>
              <w:t xml:space="preserve"> </w:t>
            </w:r>
            <w:r w:rsidRPr="00712DC3">
              <w:rPr>
                <w:szCs w:val="24"/>
                <w:lang w:val="fr-FR"/>
              </w:rPr>
              <w:t>2016 et un</w:t>
            </w:r>
            <w:r w:rsidR="00836390">
              <w:rPr>
                <w:szCs w:val="24"/>
                <w:lang w:val="fr-FR"/>
              </w:rPr>
              <w:t xml:space="preserve"> </w:t>
            </w:r>
            <w:r w:rsidRPr="00712DC3">
              <w:rPr>
                <w:szCs w:val="24"/>
                <w:lang w:val="fr-FR"/>
              </w:rPr>
              <w:t>total de 3</w:t>
            </w:r>
            <w:r w:rsidR="009853E7">
              <w:rPr>
                <w:szCs w:val="24"/>
                <w:lang w:val="fr-FR"/>
              </w:rPr>
              <w:t> </w:t>
            </w:r>
            <w:r w:rsidRPr="00712DC3">
              <w:rPr>
                <w:szCs w:val="24"/>
                <w:lang w:val="fr-FR"/>
              </w:rPr>
              <w:t>539 “J’aime”</w:t>
            </w:r>
            <w:r w:rsidR="00836390">
              <w:rPr>
                <w:szCs w:val="24"/>
                <w:lang w:val="fr-FR"/>
              </w:rPr>
              <w:t xml:space="preserve"> </w:t>
            </w:r>
            <w:r w:rsidRPr="00712DC3">
              <w:rPr>
                <w:szCs w:val="24"/>
                <w:lang w:val="fr-FR"/>
              </w:rPr>
              <w:t>(1</w:t>
            </w:r>
            <w:r w:rsidR="009853E7">
              <w:rPr>
                <w:szCs w:val="24"/>
                <w:lang w:val="fr-FR"/>
              </w:rPr>
              <w:t> </w:t>
            </w:r>
            <w:r w:rsidRPr="00712DC3">
              <w:rPr>
                <w:szCs w:val="24"/>
                <w:lang w:val="fr-FR"/>
              </w:rPr>
              <w:t>554</w:t>
            </w:r>
            <w:r w:rsidR="00836390">
              <w:rPr>
                <w:szCs w:val="24"/>
                <w:lang w:val="fr-FR"/>
              </w:rPr>
              <w:t xml:space="preserve"> </w:t>
            </w:r>
            <w:r w:rsidRPr="00712DC3">
              <w:rPr>
                <w:szCs w:val="24"/>
                <w:lang w:val="fr-FR"/>
              </w:rPr>
              <w:t>nouveaux</w:t>
            </w:r>
            <w:r w:rsidR="00836390">
              <w:rPr>
                <w:szCs w:val="24"/>
                <w:lang w:val="fr-FR"/>
              </w:rPr>
              <w:t xml:space="preserve"> </w:t>
            </w:r>
            <w:r w:rsidRPr="00712DC3">
              <w:rPr>
                <w:szCs w:val="24"/>
                <w:lang w:val="fr-FR"/>
              </w:rPr>
              <w:t>“J’aime”</w:t>
            </w:r>
            <w:r w:rsidR="00836390">
              <w:rPr>
                <w:szCs w:val="24"/>
                <w:lang w:val="fr-FR"/>
              </w:rPr>
              <w:t xml:space="preserve"> </w:t>
            </w:r>
            <w:r w:rsidRPr="00712DC3">
              <w:rPr>
                <w:szCs w:val="24"/>
                <w:lang w:val="fr-FR"/>
              </w:rPr>
              <w:t>en</w:t>
            </w:r>
            <w:r w:rsidR="00836390">
              <w:rPr>
                <w:szCs w:val="24"/>
                <w:lang w:val="fr-FR"/>
              </w:rPr>
              <w:t xml:space="preserve"> </w:t>
            </w:r>
            <w:r w:rsidRPr="00712DC3">
              <w:rPr>
                <w:szCs w:val="24"/>
                <w:lang w:val="fr-FR"/>
              </w:rPr>
              <w:t>2016).</w:t>
            </w:r>
            <w:r w:rsidR="00836390">
              <w:rPr>
                <w:szCs w:val="24"/>
                <w:lang w:val="fr-FR"/>
              </w:rPr>
              <w:t xml:space="preserve"> </w:t>
            </w:r>
          </w:p>
          <w:p w:rsidR="00712DC3" w:rsidRPr="00712DC3" w:rsidRDefault="00712DC3" w:rsidP="005A0AB8">
            <w:pPr>
              <w:rPr>
                <w:szCs w:val="24"/>
                <w:lang w:val="fr-FR"/>
              </w:rPr>
            </w:pPr>
            <w:r w:rsidRPr="00712DC3">
              <w:rPr>
                <w:lang w:val="fr-FR"/>
              </w:rPr>
              <w:t xml:space="preserve">Le rapport sur les modèles de politique en matière d'accessibilité des TIC </w:t>
            </w:r>
            <w:r w:rsidRPr="00712DC3">
              <w:rPr>
                <w:szCs w:val="24"/>
                <w:lang w:val="fr-FR"/>
              </w:rPr>
              <w:t xml:space="preserve">(MIAPR) </w:t>
            </w:r>
            <w:r w:rsidRPr="00712DC3">
              <w:rPr>
                <w:lang w:val="fr-FR"/>
              </w:rPr>
              <w:t>existe</w:t>
            </w:r>
            <w:r w:rsidR="00836390">
              <w:rPr>
                <w:lang w:val="fr-FR"/>
              </w:rPr>
              <w:t xml:space="preserve"> </w:t>
            </w:r>
            <w:r w:rsidRPr="00712DC3">
              <w:rPr>
                <w:lang w:val="fr-FR"/>
              </w:rPr>
              <w:t>désormais</w:t>
            </w:r>
            <w:r w:rsidR="00836390">
              <w:rPr>
                <w:lang w:val="fr-FR"/>
              </w:rPr>
              <w:t xml:space="preserve"> </w:t>
            </w:r>
            <w:r w:rsidRPr="00712DC3">
              <w:rPr>
                <w:lang w:val="fr-FR"/>
              </w:rPr>
              <w:t>dans les six langues officielles de l'UIT ainsi qu'en livre électronique accessible</w:t>
            </w:r>
            <w:r w:rsidR="00836390">
              <w:rPr>
                <w:lang w:val="fr-FR"/>
              </w:rPr>
              <w:t>.</w:t>
            </w:r>
            <w:r w:rsidR="00836390">
              <w:rPr>
                <w:szCs w:val="24"/>
                <w:lang w:val="fr-FR"/>
              </w:rPr>
              <w:t xml:space="preserve"> </w:t>
            </w:r>
            <w:r w:rsidRPr="00712DC3">
              <w:rPr>
                <w:szCs w:val="24"/>
                <w:lang w:val="fr-FR"/>
              </w:rPr>
              <w:t>Une formation dans le domaine de politiques a été conçue et dispensée et une campagne de sensibilisation a été menée auprès d’environ</w:t>
            </w:r>
            <w:r w:rsidR="00836390">
              <w:rPr>
                <w:szCs w:val="24"/>
                <w:lang w:val="fr-FR"/>
              </w:rPr>
              <w:t xml:space="preserve"> </w:t>
            </w:r>
            <w:r w:rsidRPr="00712DC3">
              <w:rPr>
                <w:szCs w:val="24"/>
                <w:lang w:val="fr-FR"/>
              </w:rPr>
              <w:t>700 participants</w:t>
            </w:r>
            <w:r w:rsidR="00836390">
              <w:rPr>
                <w:szCs w:val="24"/>
                <w:lang w:val="fr-FR"/>
              </w:rPr>
              <w:t xml:space="preserve"> </w:t>
            </w:r>
            <w:r w:rsidRPr="00712DC3">
              <w:rPr>
                <w:szCs w:val="24"/>
                <w:lang w:val="fr-FR"/>
              </w:rPr>
              <w:t>lors de dix réunions</w:t>
            </w:r>
            <w:r w:rsidR="00836390">
              <w:rPr>
                <w:szCs w:val="24"/>
                <w:lang w:val="fr-FR"/>
              </w:rPr>
              <w:t>,</w:t>
            </w:r>
            <w:r w:rsidRPr="00712DC3">
              <w:rPr>
                <w:szCs w:val="24"/>
                <w:lang w:val="fr-FR"/>
              </w:rPr>
              <w:t xml:space="preserve"> et de</w:t>
            </w:r>
            <w:r w:rsidR="00836390">
              <w:rPr>
                <w:szCs w:val="24"/>
                <w:lang w:val="fr-FR"/>
              </w:rPr>
              <w:t xml:space="preserve"> </w:t>
            </w:r>
            <w:r w:rsidRPr="00712DC3">
              <w:rPr>
                <w:szCs w:val="24"/>
                <w:lang w:val="fr-FR"/>
              </w:rPr>
              <w:t>près de 4 000 personnes</w:t>
            </w:r>
            <w:r w:rsidR="00836390">
              <w:rPr>
                <w:szCs w:val="24"/>
                <w:lang w:val="fr-FR"/>
              </w:rPr>
              <w:t xml:space="preserve"> </w:t>
            </w:r>
            <w:r w:rsidRPr="00712DC3">
              <w:rPr>
                <w:szCs w:val="24"/>
                <w:lang w:val="fr-FR"/>
              </w:rPr>
              <w:t xml:space="preserve">via la diffusion sur le web, </w:t>
            </w:r>
            <w:r w:rsidR="00DA33D7">
              <w:rPr>
                <w:szCs w:val="24"/>
                <w:lang w:val="fr-FR"/>
              </w:rPr>
              <w:t xml:space="preserve">des </w:t>
            </w:r>
            <w:r w:rsidR="00E44423" w:rsidRPr="00712DC3">
              <w:rPr>
                <w:szCs w:val="24"/>
                <w:lang w:val="fr-FR"/>
              </w:rPr>
              <w:t>réunions</w:t>
            </w:r>
            <w:r w:rsidRPr="00712DC3">
              <w:rPr>
                <w:szCs w:val="24"/>
                <w:lang w:val="fr-FR"/>
              </w:rPr>
              <w:t xml:space="preserve"> du Groupe du Rapporteur et</w:t>
            </w:r>
            <w:r w:rsidR="00836390">
              <w:rPr>
                <w:szCs w:val="24"/>
                <w:lang w:val="fr-FR"/>
              </w:rPr>
              <w:t xml:space="preserve"> </w:t>
            </w:r>
            <w:r w:rsidRPr="00712DC3">
              <w:rPr>
                <w:szCs w:val="24"/>
                <w:lang w:val="fr-FR"/>
              </w:rPr>
              <w:t xml:space="preserve">des commissions d’études </w:t>
            </w:r>
            <w:r w:rsidR="00DA33D7">
              <w:rPr>
                <w:szCs w:val="24"/>
                <w:lang w:val="fr-FR"/>
              </w:rPr>
              <w:t>ont eu lieu</w:t>
            </w:r>
            <w:r w:rsidR="00836390">
              <w:rPr>
                <w:szCs w:val="24"/>
                <w:lang w:val="fr-FR"/>
              </w:rPr>
              <w:t xml:space="preserve"> </w:t>
            </w:r>
            <w:r w:rsidRPr="00712DC3">
              <w:rPr>
                <w:szCs w:val="24"/>
                <w:lang w:val="fr-FR"/>
              </w:rPr>
              <w:t>en septembre</w:t>
            </w:r>
            <w:r w:rsidR="00836390">
              <w:rPr>
                <w:szCs w:val="24"/>
                <w:lang w:val="fr-FR"/>
              </w:rPr>
              <w:t xml:space="preserve"> </w:t>
            </w:r>
            <w:r w:rsidRPr="00712DC3">
              <w:rPr>
                <w:szCs w:val="24"/>
                <w:lang w:val="fr-FR"/>
              </w:rPr>
              <w:t>au titre de la Question 7/1</w:t>
            </w:r>
            <w:r w:rsidR="00836390">
              <w:rPr>
                <w:szCs w:val="24"/>
                <w:lang w:val="fr-FR"/>
              </w:rPr>
              <w:t xml:space="preserve"> </w:t>
            </w:r>
            <w:r w:rsidRPr="00712DC3">
              <w:rPr>
                <w:szCs w:val="24"/>
                <w:lang w:val="fr-FR"/>
              </w:rPr>
              <w:t>de l’ UIT-D</w:t>
            </w:r>
            <w:r w:rsidR="00836390">
              <w:rPr>
                <w:szCs w:val="24"/>
                <w:lang w:val="fr-FR"/>
              </w:rPr>
              <w:t>;</w:t>
            </w:r>
            <w:r w:rsidRPr="00712DC3">
              <w:rPr>
                <w:szCs w:val="24"/>
                <w:lang w:val="fr-FR"/>
              </w:rPr>
              <w:t xml:space="preserve"> "Une </w:t>
            </w:r>
            <w:r w:rsidR="00E44423" w:rsidRPr="00712DC3">
              <w:rPr>
                <w:szCs w:val="24"/>
                <w:lang w:val="fr-FR"/>
              </w:rPr>
              <w:t>éducation</w:t>
            </w:r>
            <w:r w:rsidRPr="00712DC3">
              <w:rPr>
                <w:szCs w:val="24"/>
                <w:lang w:val="fr-FR"/>
              </w:rPr>
              <w:t xml:space="preserve"> inclusive et des</w:t>
            </w:r>
            <w:r w:rsidR="00836390">
              <w:rPr>
                <w:szCs w:val="24"/>
                <w:lang w:val="fr-FR"/>
              </w:rPr>
              <w:t xml:space="preserve"> </w:t>
            </w:r>
            <w:r w:rsidRPr="00712DC3">
              <w:rPr>
                <w:szCs w:val="24"/>
                <w:lang w:val="fr-FR"/>
              </w:rPr>
              <w:t>TIC pour tous”</w:t>
            </w:r>
            <w:r w:rsidR="00836390">
              <w:rPr>
                <w:szCs w:val="24"/>
                <w:lang w:val="fr-FR"/>
              </w:rPr>
              <w:t xml:space="preserve"> </w:t>
            </w:r>
            <w:r w:rsidRPr="00712DC3">
              <w:rPr>
                <w:szCs w:val="24"/>
                <w:lang w:val="fr-FR"/>
              </w:rPr>
              <w:t xml:space="preserve">ONU </w:t>
            </w:r>
            <w:r w:rsidR="00E44423" w:rsidRPr="00712DC3">
              <w:rPr>
                <w:szCs w:val="24"/>
                <w:lang w:val="fr-FR"/>
              </w:rPr>
              <w:t>Genève</w:t>
            </w:r>
            <w:r w:rsidRPr="00712DC3">
              <w:rPr>
                <w:szCs w:val="24"/>
                <w:lang w:val="fr-FR"/>
              </w:rPr>
              <w:t xml:space="preserve">, </w:t>
            </w:r>
            <w:r w:rsidRPr="00712DC3">
              <w:rPr>
                <w:lang w:val="fr-FR"/>
              </w:rPr>
              <w:t>Commission des Nations Unies sur les droits des personnes handicapées,</w:t>
            </w:r>
            <w:r w:rsidR="00836390">
              <w:rPr>
                <w:lang w:val="fr-FR"/>
              </w:rPr>
              <w:t xml:space="preserve"> </w:t>
            </w:r>
            <w:r w:rsidR="00E44423" w:rsidRPr="00712DC3">
              <w:rPr>
                <w:szCs w:val="24"/>
                <w:lang w:val="fr-FR"/>
              </w:rPr>
              <w:t>Genève</w:t>
            </w:r>
            <w:r w:rsidRPr="00712DC3">
              <w:rPr>
                <w:szCs w:val="24"/>
                <w:lang w:val="fr-FR"/>
              </w:rPr>
              <w:t xml:space="preserve">; </w:t>
            </w:r>
            <w:r w:rsidRPr="00712DC3">
              <w:rPr>
                <w:lang w:val="fr-FR"/>
              </w:rPr>
              <w:t>session du</w:t>
            </w:r>
            <w:r w:rsidR="00836390">
              <w:rPr>
                <w:lang w:val="fr-FR"/>
              </w:rPr>
              <w:t xml:space="preserve"> </w:t>
            </w:r>
            <w:r w:rsidRPr="00712DC3">
              <w:rPr>
                <w:lang w:val="fr-FR"/>
              </w:rPr>
              <w:t>SMSI sur la passation de marchés publics concernant les TIC accessibles</w:t>
            </w:r>
            <w:r w:rsidR="00836390">
              <w:rPr>
                <w:lang w:val="fr-FR"/>
              </w:rPr>
              <w:t>;</w:t>
            </w:r>
            <w:r w:rsidRPr="00712DC3">
              <w:rPr>
                <w:szCs w:val="24"/>
                <w:lang w:val="fr-FR"/>
              </w:rPr>
              <w:t xml:space="preserve"> Sommet M-Enabling</w:t>
            </w:r>
            <w:r w:rsidR="00836390">
              <w:rPr>
                <w:szCs w:val="24"/>
                <w:lang w:val="fr-FR"/>
              </w:rPr>
              <w:t>;</w:t>
            </w:r>
            <w:r w:rsidRPr="00712DC3">
              <w:rPr>
                <w:szCs w:val="24"/>
                <w:lang w:val="fr-FR"/>
              </w:rPr>
              <w:t xml:space="preserve"> </w:t>
            </w:r>
            <w:r w:rsidRPr="00712DC3">
              <w:rPr>
                <w:lang w:val="fr-FR"/>
              </w:rPr>
              <w:t>rapport sur les modèles de politique en matière d'accessibilité des TIC de l’</w:t>
            </w:r>
            <w:r w:rsidRPr="00712DC3">
              <w:rPr>
                <w:szCs w:val="24"/>
                <w:lang w:val="fr-FR"/>
              </w:rPr>
              <w:t>APEC</w:t>
            </w:r>
            <w:r w:rsidR="00836390">
              <w:rPr>
                <w:szCs w:val="24"/>
                <w:lang w:val="fr-FR"/>
              </w:rPr>
              <w:t xml:space="preserve"> </w:t>
            </w:r>
            <w:r w:rsidRPr="00712DC3">
              <w:rPr>
                <w:szCs w:val="24"/>
                <w:lang w:val="fr-FR"/>
              </w:rPr>
              <w:t>présenté à environ</w:t>
            </w:r>
            <w:r w:rsidR="00836390">
              <w:rPr>
                <w:szCs w:val="24"/>
                <w:lang w:val="fr-FR"/>
              </w:rPr>
              <w:t xml:space="preserve"> </w:t>
            </w:r>
            <w:r w:rsidRPr="00712DC3">
              <w:rPr>
                <w:szCs w:val="24"/>
                <w:lang w:val="fr-FR"/>
              </w:rPr>
              <w:t>700 participants</w:t>
            </w:r>
            <w:r w:rsidR="00836390">
              <w:rPr>
                <w:szCs w:val="24"/>
                <w:lang w:val="fr-FR"/>
              </w:rPr>
              <w:t xml:space="preserve"> </w:t>
            </w:r>
            <w:r w:rsidRPr="00712DC3">
              <w:rPr>
                <w:szCs w:val="24"/>
                <w:lang w:val="fr-FR"/>
              </w:rPr>
              <w:t>lors de dix réunions</w:t>
            </w:r>
            <w:r w:rsidR="00836390">
              <w:rPr>
                <w:szCs w:val="24"/>
                <w:lang w:val="fr-FR"/>
              </w:rPr>
              <w:t xml:space="preserve"> </w:t>
            </w:r>
            <w:r w:rsidRPr="00712DC3">
              <w:rPr>
                <w:szCs w:val="24"/>
                <w:lang w:val="fr-FR"/>
              </w:rPr>
              <w:t>et</w:t>
            </w:r>
            <w:r w:rsidR="00836390">
              <w:rPr>
                <w:szCs w:val="24"/>
                <w:lang w:val="fr-FR"/>
              </w:rPr>
              <w:t xml:space="preserve"> </w:t>
            </w:r>
            <w:r w:rsidR="00DA33D7">
              <w:rPr>
                <w:szCs w:val="24"/>
                <w:lang w:val="fr-FR"/>
              </w:rPr>
              <w:t>à</w:t>
            </w:r>
            <w:r w:rsidR="00836390">
              <w:rPr>
                <w:szCs w:val="24"/>
                <w:lang w:val="fr-FR"/>
              </w:rPr>
              <w:t xml:space="preserve"> </w:t>
            </w:r>
            <w:r w:rsidRPr="00712DC3">
              <w:rPr>
                <w:szCs w:val="24"/>
                <w:lang w:val="fr-FR"/>
              </w:rPr>
              <w:t>près de 4 000 personnes</w:t>
            </w:r>
            <w:r w:rsidR="00836390">
              <w:rPr>
                <w:szCs w:val="24"/>
                <w:lang w:val="fr-FR"/>
              </w:rPr>
              <w:t xml:space="preserve"> </w:t>
            </w:r>
            <w:r w:rsidRPr="00712DC3">
              <w:rPr>
                <w:szCs w:val="24"/>
                <w:lang w:val="fr-FR"/>
              </w:rPr>
              <w:t>via la diffusion sur le web;</w:t>
            </w:r>
            <w:r w:rsidR="00836390">
              <w:rPr>
                <w:szCs w:val="24"/>
                <w:lang w:val="fr-FR"/>
              </w:rPr>
              <w:t xml:space="preserve"> </w:t>
            </w:r>
            <w:r w:rsidRPr="00712DC3">
              <w:rPr>
                <w:szCs w:val="24"/>
                <w:lang w:val="fr-FR"/>
              </w:rPr>
              <w:t>Formation sur l’accessibilité du web</w:t>
            </w:r>
            <w:r w:rsidR="00836390">
              <w:rPr>
                <w:rFonts w:cs="Arial"/>
                <w:lang w:val="fr-FR"/>
              </w:rPr>
              <w:t xml:space="preserve"> </w:t>
            </w:r>
            <w:r w:rsidRPr="00712DC3">
              <w:rPr>
                <w:rFonts w:cs="Arial"/>
                <w:lang w:val="fr-FR"/>
              </w:rPr>
              <w:t xml:space="preserve">et </w:t>
            </w:r>
            <w:r w:rsidRPr="00712DC3">
              <w:rPr>
                <w:szCs w:val="24"/>
                <w:lang w:val="fr-FR"/>
              </w:rPr>
              <w:t>l'accessibilité des supports audiovisuels</w:t>
            </w:r>
            <w:r w:rsidR="00836390">
              <w:rPr>
                <w:szCs w:val="24"/>
                <w:lang w:val="fr-FR"/>
              </w:rPr>
              <w:t xml:space="preserve"> </w:t>
            </w:r>
            <w:r w:rsidRPr="00712DC3">
              <w:rPr>
                <w:szCs w:val="24"/>
                <w:lang w:val="fr-FR"/>
              </w:rPr>
              <w:t>conçue et dispensée à 66 Membres lors</w:t>
            </w:r>
            <w:r w:rsidR="00836390">
              <w:rPr>
                <w:szCs w:val="24"/>
                <w:lang w:val="fr-FR"/>
              </w:rPr>
              <w:t xml:space="preserve"> </w:t>
            </w:r>
            <w:r w:rsidRPr="00712DC3">
              <w:rPr>
                <w:szCs w:val="24"/>
                <w:lang w:val="fr-FR"/>
              </w:rPr>
              <w:t xml:space="preserve">d’une </w:t>
            </w:r>
            <w:r w:rsidR="00E44423" w:rsidRPr="00712DC3">
              <w:rPr>
                <w:szCs w:val="24"/>
                <w:lang w:val="fr-FR"/>
              </w:rPr>
              <w:t>réunion</w:t>
            </w:r>
            <w:r w:rsidR="00836390">
              <w:rPr>
                <w:szCs w:val="24"/>
                <w:lang w:val="fr-FR"/>
              </w:rPr>
              <w:t xml:space="preserve"> </w:t>
            </w:r>
            <w:r w:rsidRPr="00712DC3">
              <w:rPr>
                <w:szCs w:val="24"/>
                <w:lang w:val="fr-FR"/>
              </w:rPr>
              <w:t>d’un Groupe du Rapporteur et à 188 participants et plus de</w:t>
            </w:r>
            <w:r w:rsidR="00836390">
              <w:rPr>
                <w:szCs w:val="24"/>
                <w:lang w:val="fr-FR"/>
              </w:rPr>
              <w:t xml:space="preserve"> </w:t>
            </w:r>
            <w:r w:rsidRPr="00712DC3">
              <w:rPr>
                <w:szCs w:val="24"/>
                <w:lang w:val="fr-FR"/>
              </w:rPr>
              <w:t>4</w:t>
            </w:r>
            <w:r w:rsidR="005A0AB8">
              <w:rPr>
                <w:szCs w:val="24"/>
                <w:lang w:val="fr-FR"/>
              </w:rPr>
              <w:t> </w:t>
            </w:r>
            <w:r w:rsidRPr="00712DC3">
              <w:rPr>
                <w:szCs w:val="24"/>
                <w:lang w:val="fr-FR"/>
              </w:rPr>
              <w:t>000 personnes via la diffusion sur le web</w:t>
            </w:r>
            <w:r w:rsidR="00836390">
              <w:rPr>
                <w:szCs w:val="24"/>
                <w:lang w:val="fr-FR"/>
              </w:rPr>
              <w:t xml:space="preserve"> </w:t>
            </w:r>
            <w:r w:rsidRPr="00712DC3">
              <w:rPr>
                <w:szCs w:val="24"/>
                <w:lang w:val="fr-FR"/>
              </w:rPr>
              <w:t>dans le cadre de</w:t>
            </w:r>
            <w:r w:rsidR="00836390">
              <w:rPr>
                <w:szCs w:val="24"/>
                <w:lang w:val="fr-FR"/>
              </w:rPr>
              <w:t xml:space="preserve"> </w:t>
            </w:r>
            <w:r w:rsidRPr="00712DC3">
              <w:rPr>
                <w:lang w:val="fr-FR"/>
              </w:rPr>
              <w:t>la manifestation</w:t>
            </w:r>
            <w:r w:rsidR="00836390">
              <w:rPr>
                <w:lang w:val="fr-FR"/>
              </w:rPr>
              <w:t xml:space="preserve"> </w:t>
            </w:r>
            <w:r w:rsidRPr="00712DC3">
              <w:rPr>
                <w:lang w:val="fr-FR"/>
              </w:rPr>
              <w:t>"Amériques accessibles III:</w:t>
            </w:r>
            <w:r w:rsidR="00836390">
              <w:rPr>
                <w:szCs w:val="24"/>
                <w:lang w:val="fr-FR"/>
              </w:rPr>
              <w:t xml:space="preserve"> </w:t>
            </w:r>
            <w:r w:rsidRPr="00712DC3">
              <w:rPr>
                <w:szCs w:val="24"/>
                <w:lang w:val="fr-FR"/>
              </w:rPr>
              <w:t>Fourniture de conseils</w:t>
            </w:r>
            <w:r w:rsidR="00836390">
              <w:rPr>
                <w:szCs w:val="24"/>
                <w:lang w:val="fr-FR"/>
              </w:rPr>
              <w:t xml:space="preserve"> </w:t>
            </w:r>
            <w:r w:rsidRPr="00712DC3">
              <w:rPr>
                <w:szCs w:val="24"/>
                <w:lang w:val="fr-FR"/>
              </w:rPr>
              <w:t>sur la politique en matière d’accessibilité du web</w:t>
            </w:r>
            <w:r w:rsidR="00836390">
              <w:rPr>
                <w:szCs w:val="24"/>
                <w:lang w:val="fr-FR"/>
              </w:rPr>
              <w:t xml:space="preserve"> </w:t>
            </w:r>
            <w:r w:rsidRPr="00712DC3">
              <w:rPr>
                <w:szCs w:val="24"/>
                <w:lang w:val="fr-FR"/>
              </w:rPr>
              <w:t>au Pérou</w:t>
            </w:r>
            <w:r w:rsidR="00836390">
              <w:rPr>
                <w:szCs w:val="24"/>
                <w:lang w:val="fr-FR"/>
              </w:rPr>
              <w:t xml:space="preserve"> </w:t>
            </w:r>
            <w:r w:rsidRPr="00712DC3">
              <w:rPr>
                <w:szCs w:val="24"/>
                <w:lang w:val="fr-FR"/>
              </w:rPr>
              <w:t>- 9</w:t>
            </w:r>
            <w:r w:rsidR="005A0AB8">
              <w:rPr>
                <w:szCs w:val="24"/>
                <w:lang w:val="fr-FR"/>
              </w:rPr>
              <w:t> </w:t>
            </w:r>
            <w:r w:rsidRPr="00712DC3">
              <w:rPr>
                <w:szCs w:val="24"/>
                <w:lang w:val="fr-FR"/>
              </w:rPr>
              <w:t>688</w:t>
            </w:r>
            <w:r w:rsidR="00836390">
              <w:rPr>
                <w:szCs w:val="24"/>
                <w:lang w:val="fr-FR"/>
              </w:rPr>
              <w:t xml:space="preserve"> </w:t>
            </w:r>
            <w:r w:rsidRPr="00712DC3">
              <w:rPr>
                <w:szCs w:val="24"/>
                <w:lang w:val="fr-FR"/>
              </w:rPr>
              <w:t>consultations de la page</w:t>
            </w:r>
            <w:r w:rsidR="00836390">
              <w:rPr>
                <w:szCs w:val="24"/>
                <w:lang w:val="fr-FR"/>
              </w:rPr>
              <w:t xml:space="preserve"> </w:t>
            </w:r>
            <w:r w:rsidRPr="00712DC3">
              <w:rPr>
                <w:szCs w:val="24"/>
                <w:lang w:val="fr-FR"/>
              </w:rPr>
              <w:t>UIT</w:t>
            </w:r>
            <w:r w:rsidR="005A0AB8">
              <w:rPr>
                <w:szCs w:val="24"/>
                <w:lang w:val="fr-FR"/>
              </w:rPr>
              <w:noBreakHyphen/>
            </w:r>
            <w:r w:rsidRPr="00712DC3">
              <w:rPr>
                <w:szCs w:val="24"/>
                <w:lang w:val="fr-FR"/>
              </w:rPr>
              <w:t>D</w:t>
            </w:r>
            <w:r w:rsidR="005A0AB8">
              <w:rPr>
                <w:szCs w:val="24"/>
                <w:lang w:val="fr-FR"/>
              </w:rPr>
              <w:t>/</w:t>
            </w:r>
            <w:r w:rsidRPr="00712DC3">
              <w:rPr>
                <w:szCs w:val="24"/>
                <w:lang w:val="fr-FR"/>
              </w:rPr>
              <w:t xml:space="preserve">Inclusion numérique /personnes </w:t>
            </w:r>
            <w:r w:rsidR="00E44423" w:rsidRPr="00712DC3">
              <w:rPr>
                <w:szCs w:val="24"/>
                <w:lang w:val="fr-FR"/>
              </w:rPr>
              <w:t>handicapées</w:t>
            </w:r>
            <w:r w:rsidR="00836390">
              <w:rPr>
                <w:szCs w:val="24"/>
                <w:lang w:val="fr-FR"/>
              </w:rPr>
              <w:t xml:space="preserve"> </w:t>
            </w:r>
            <w:r w:rsidRPr="00712DC3">
              <w:rPr>
                <w:szCs w:val="24"/>
                <w:lang w:val="fr-FR"/>
              </w:rPr>
              <w:t>en 2016.</w:t>
            </w:r>
          </w:p>
          <w:p w:rsidR="00712DC3" w:rsidRPr="00712DC3" w:rsidRDefault="00712DC3" w:rsidP="005A0AB8">
            <w:pPr>
              <w:rPr>
                <w:lang w:val="fr-FR"/>
              </w:rPr>
            </w:pPr>
            <w:r w:rsidRPr="00712DC3">
              <w:rPr>
                <w:lang w:val="fr-FR"/>
              </w:rPr>
              <w:t>Publication</w:t>
            </w:r>
            <w:r w:rsidR="00836390">
              <w:rPr>
                <w:lang w:val="fr-FR"/>
              </w:rPr>
              <w:t xml:space="preserve"> </w:t>
            </w:r>
            <w:r w:rsidRPr="00712DC3">
              <w:rPr>
                <w:lang w:val="fr-FR"/>
              </w:rPr>
              <w:t>du rapport intitulé "Stages intensifs de codage: une stratégie pour l'emploi des jeunes” lors du</w:t>
            </w:r>
            <w:r w:rsidR="00836390">
              <w:rPr>
                <w:lang w:val="fr-FR"/>
              </w:rPr>
              <w:t xml:space="preserve"> </w:t>
            </w:r>
            <w:r w:rsidRPr="00712DC3">
              <w:rPr>
                <w:lang w:val="fr-FR"/>
              </w:rPr>
              <w:t>SMSI</w:t>
            </w:r>
            <w:r w:rsidR="00836390">
              <w:rPr>
                <w:lang w:val="fr-FR"/>
              </w:rPr>
              <w:t xml:space="preserve"> </w:t>
            </w:r>
            <w:r w:rsidRPr="00712DC3">
              <w:rPr>
                <w:lang w:val="fr-FR"/>
              </w:rPr>
              <w:t>et transmission</w:t>
            </w:r>
            <w:r w:rsidR="00836390">
              <w:rPr>
                <w:lang w:val="fr-FR"/>
              </w:rPr>
              <w:t xml:space="preserve"> </w:t>
            </w:r>
            <w:r w:rsidRPr="00712DC3">
              <w:rPr>
                <w:lang w:val="fr-FR"/>
              </w:rPr>
              <w:t>de ce rapport à</w:t>
            </w:r>
            <w:r w:rsidR="00836390">
              <w:rPr>
                <w:lang w:val="fr-FR"/>
              </w:rPr>
              <w:t xml:space="preserve"> </w:t>
            </w:r>
            <w:r w:rsidRPr="00712DC3">
              <w:rPr>
                <w:lang w:val="fr-FR"/>
              </w:rPr>
              <w:t>l'Initiative mondiale en faveur de l'emploi décent des jeunes de l’ONU. Des matériels didactiques ont été mis au point</w:t>
            </w:r>
            <w:r w:rsidR="00836390">
              <w:rPr>
                <w:lang w:val="fr-FR"/>
              </w:rPr>
              <w:t xml:space="preserve"> </w:t>
            </w:r>
            <w:r w:rsidRPr="00712DC3">
              <w:rPr>
                <w:lang w:val="fr-FR"/>
              </w:rPr>
              <w:t>et</w:t>
            </w:r>
            <w:r w:rsidR="00836390">
              <w:rPr>
                <w:lang w:val="fr-FR"/>
              </w:rPr>
              <w:t xml:space="preserve"> </w:t>
            </w:r>
            <w:r w:rsidR="00DA33D7">
              <w:rPr>
                <w:lang w:val="fr-FR"/>
              </w:rPr>
              <w:t>remis</w:t>
            </w:r>
            <w:r w:rsidR="00836390">
              <w:rPr>
                <w:lang w:val="fr-FR"/>
              </w:rPr>
              <w:t xml:space="preserve"> </w:t>
            </w:r>
            <w:r w:rsidRPr="00712DC3">
              <w:rPr>
                <w:lang w:val="fr-FR"/>
              </w:rPr>
              <w:t>à près de 50</w:t>
            </w:r>
            <w:r w:rsidR="00836390">
              <w:rPr>
                <w:lang w:val="fr-FR"/>
              </w:rPr>
              <w:t xml:space="preserve"> </w:t>
            </w:r>
            <w:r w:rsidRPr="00712DC3">
              <w:rPr>
                <w:lang w:val="fr-FR"/>
              </w:rPr>
              <w:t>participants de</w:t>
            </w:r>
            <w:r w:rsidR="00836390">
              <w:rPr>
                <w:lang w:val="fr-FR"/>
              </w:rPr>
              <w:t xml:space="preserve"> </w:t>
            </w:r>
            <w:r w:rsidRPr="00712DC3">
              <w:rPr>
                <w:lang w:val="fr-FR"/>
              </w:rPr>
              <w:t>20</w:t>
            </w:r>
            <w:r w:rsidR="00836390">
              <w:rPr>
                <w:lang w:val="fr-FR"/>
              </w:rPr>
              <w:t xml:space="preserve"> </w:t>
            </w:r>
            <w:r w:rsidRPr="00712DC3">
              <w:rPr>
                <w:lang w:val="fr-FR"/>
              </w:rPr>
              <w:t xml:space="preserve">universités d’Etat et </w:t>
            </w:r>
            <w:r w:rsidR="00E44423" w:rsidRPr="00712DC3">
              <w:rPr>
                <w:lang w:val="fr-FR"/>
              </w:rPr>
              <w:t>collèges</w:t>
            </w:r>
            <w:r w:rsidR="00836390">
              <w:rPr>
                <w:lang w:val="fr-FR"/>
              </w:rPr>
              <w:t xml:space="preserve"> </w:t>
            </w:r>
            <w:r w:rsidRPr="00712DC3">
              <w:rPr>
                <w:lang w:val="fr-FR"/>
              </w:rPr>
              <w:t>des Philippines pour les aider à lancer leurs propres stages intensifs</w:t>
            </w:r>
            <w:r w:rsidR="00836390">
              <w:rPr>
                <w:lang w:val="fr-FR"/>
              </w:rPr>
              <w:t xml:space="preserve">; </w:t>
            </w:r>
            <w:r w:rsidRPr="00712DC3">
              <w:rPr>
                <w:lang w:val="fr-FR"/>
              </w:rPr>
              <w:t>réalisation d’un film promotionnel dans un but de</w:t>
            </w:r>
            <w:r w:rsidR="00836390">
              <w:rPr>
                <w:lang w:val="fr-FR"/>
              </w:rPr>
              <w:t xml:space="preserve"> </w:t>
            </w:r>
            <w:r w:rsidRPr="00712DC3">
              <w:rPr>
                <w:lang w:val="fr-FR"/>
              </w:rPr>
              <w:t>sensibilisation</w:t>
            </w:r>
            <w:r w:rsidR="00836390">
              <w:rPr>
                <w:lang w:val="fr-FR"/>
              </w:rPr>
              <w:t xml:space="preserve">. </w:t>
            </w:r>
            <w:r w:rsidRPr="00712DC3">
              <w:rPr>
                <w:lang w:val="fr-FR"/>
              </w:rPr>
              <w:t>3</w:t>
            </w:r>
            <w:r w:rsidR="005A0AB8">
              <w:rPr>
                <w:lang w:val="fr-FR"/>
              </w:rPr>
              <w:t> </w:t>
            </w:r>
            <w:r w:rsidRPr="00712DC3">
              <w:rPr>
                <w:lang w:val="fr-FR"/>
              </w:rPr>
              <w:t>244 consultations de la base de données sur les jeunes en</w:t>
            </w:r>
            <w:r w:rsidR="00836390">
              <w:rPr>
                <w:lang w:val="fr-FR"/>
              </w:rPr>
              <w:t xml:space="preserve"> </w:t>
            </w:r>
            <w:r w:rsidRPr="00712DC3">
              <w:rPr>
                <w:lang w:val="fr-FR"/>
              </w:rPr>
              <w:t>2016 et 19</w:t>
            </w:r>
            <w:r w:rsidR="005A0AB8">
              <w:rPr>
                <w:lang w:val="fr-FR"/>
              </w:rPr>
              <w:t> </w:t>
            </w:r>
            <w:r w:rsidRPr="00712DC3">
              <w:rPr>
                <w:lang w:val="fr-FR"/>
              </w:rPr>
              <w:t xml:space="preserve">423 consultations de la page </w:t>
            </w:r>
            <w:r w:rsidR="00DA33D7">
              <w:rPr>
                <w:lang w:val="fr-FR"/>
              </w:rPr>
              <w:t>web</w:t>
            </w:r>
            <w:r w:rsidR="00836390">
              <w:rPr>
                <w:lang w:val="fr-FR"/>
              </w:rPr>
              <w:t xml:space="preserve"> </w:t>
            </w:r>
            <w:r w:rsidR="005A0AB8">
              <w:rPr>
                <w:lang w:val="fr-FR"/>
              </w:rPr>
              <w:t>UIT-D/</w:t>
            </w:r>
            <w:r w:rsidRPr="00712DC3">
              <w:rPr>
                <w:lang w:val="fr-FR"/>
              </w:rPr>
              <w:t>Inclusion numérique/Jeunes et Enfants</w:t>
            </w:r>
            <w:r w:rsidR="005A0AB8">
              <w:rPr>
                <w:lang w:val="fr-FR"/>
              </w:rPr>
              <w:t>.</w:t>
            </w:r>
          </w:p>
          <w:p w:rsidR="00712DC3" w:rsidRPr="00DA33D7" w:rsidRDefault="00712DC3" w:rsidP="005A0AB8">
            <w:pPr>
              <w:rPr>
                <w:lang w:val="fr-FR"/>
              </w:rPr>
            </w:pPr>
            <w:r w:rsidRPr="00712DC3">
              <w:rPr>
                <w:lang w:val="fr-FR"/>
              </w:rPr>
              <w:t xml:space="preserve">Sensibilisation et diffusion des bonnes pratiques parmi les membres de l'UIT grâce à la publication hebdomadaire de pratiques et de stratégies innovantes en matière d'inclusion numérique sur le site du bulletin d'actualité de l'UIT-D sur l'inclusion numérique: </w:t>
            </w:r>
            <w:hyperlink r:id="rId11" w:history="1">
              <w:r w:rsidRPr="00712DC3">
                <w:rPr>
                  <w:color w:val="0563C1" w:themeColor="hyperlink"/>
                  <w:u w:val="single"/>
                  <w:lang w:val="fr-FR"/>
                </w:rPr>
                <w:t>http://digitalinclusionnews</w:t>
              </w:r>
              <w:r w:rsidRPr="00712DC3">
                <w:rPr>
                  <w:color w:val="0563C1" w:themeColor="hyperlink"/>
                  <w:u w:val="single"/>
                  <w:lang w:val="fr-FR"/>
                </w:rPr>
                <w:t>l</w:t>
              </w:r>
              <w:r w:rsidRPr="00712DC3">
                <w:rPr>
                  <w:color w:val="0563C1" w:themeColor="hyperlink"/>
                  <w:u w:val="single"/>
                  <w:lang w:val="fr-FR"/>
                </w:rPr>
                <w:t>og.itu.int/</w:t>
              </w:r>
            </w:hyperlink>
            <w:r w:rsidRPr="00712DC3">
              <w:rPr>
                <w:lang w:val="fr-FR"/>
              </w:rPr>
              <w:t>. Ce bulletin d'actualité dévoile les dernières pratiques et stratégies en matière d'inclusion numérique, telles que les formations aux outils numériques ou au codage, les initiatives qui encouragent davantage de jeunes filles et de femmes à poursuivre des études ou une carrière dans les TIC, et les pratiques relatives à l'accessibilité des</w:t>
            </w:r>
            <w:r w:rsidR="00DA33D7">
              <w:rPr>
                <w:lang w:val="fr-FR"/>
              </w:rPr>
              <w:t xml:space="preserve"> TIC aux personnes handicapées. </w:t>
            </w:r>
            <w:r w:rsidRPr="00712DC3">
              <w:rPr>
                <w:szCs w:val="24"/>
                <w:lang w:val="fr-FR"/>
              </w:rPr>
              <w:t>En 2016: 262 messages ont été publiés</w:t>
            </w:r>
            <w:r w:rsidR="00836390">
              <w:rPr>
                <w:szCs w:val="24"/>
                <w:lang w:val="fr-FR"/>
              </w:rPr>
              <w:t xml:space="preserve"> </w:t>
            </w:r>
            <w:r w:rsidR="00DA33D7">
              <w:rPr>
                <w:szCs w:val="24"/>
                <w:lang w:val="fr-FR"/>
              </w:rPr>
              <w:t>et</w:t>
            </w:r>
            <w:r w:rsidR="00836390">
              <w:rPr>
                <w:szCs w:val="24"/>
                <w:lang w:val="fr-FR"/>
              </w:rPr>
              <w:t xml:space="preserve"> </w:t>
            </w:r>
            <w:r w:rsidRPr="00712DC3">
              <w:rPr>
                <w:szCs w:val="24"/>
                <w:lang w:val="fr-FR"/>
              </w:rPr>
              <w:t>9</w:t>
            </w:r>
            <w:r w:rsidR="005A0AB8">
              <w:rPr>
                <w:szCs w:val="24"/>
                <w:lang w:val="fr-FR"/>
              </w:rPr>
              <w:t> </w:t>
            </w:r>
            <w:r w:rsidRPr="00712DC3">
              <w:rPr>
                <w:szCs w:val="24"/>
                <w:lang w:val="fr-FR"/>
              </w:rPr>
              <w:t>680</w:t>
            </w:r>
            <w:r w:rsidR="00836390">
              <w:rPr>
                <w:szCs w:val="24"/>
                <w:lang w:val="fr-FR"/>
              </w:rPr>
              <w:t xml:space="preserve"> </w:t>
            </w:r>
            <w:r w:rsidRPr="00712DC3">
              <w:rPr>
                <w:szCs w:val="24"/>
                <w:lang w:val="fr-FR"/>
              </w:rPr>
              <w:t xml:space="preserve">consultations du </w:t>
            </w:r>
            <w:r w:rsidRPr="00712DC3">
              <w:rPr>
                <w:lang w:val="fr-FR"/>
              </w:rPr>
              <w:t>site du bulletin d'actualité</w:t>
            </w:r>
            <w:r w:rsidR="00836390">
              <w:rPr>
                <w:lang w:val="fr-FR"/>
              </w:rPr>
              <w:t xml:space="preserve"> </w:t>
            </w:r>
            <w:r w:rsidR="00DA33D7">
              <w:rPr>
                <w:lang w:val="fr-FR"/>
              </w:rPr>
              <w:t>ainsi que</w:t>
            </w:r>
            <w:r w:rsidR="00836390">
              <w:rPr>
                <w:lang w:val="fr-FR"/>
              </w:rPr>
              <w:t xml:space="preserve"> </w:t>
            </w:r>
            <w:r w:rsidR="00DA33D7">
              <w:rPr>
                <w:lang w:val="fr-FR"/>
              </w:rPr>
              <w:t xml:space="preserve">74 649 consultations du site web </w:t>
            </w:r>
            <w:r w:rsidRPr="00712DC3">
              <w:rPr>
                <w:lang w:val="fr-FR"/>
              </w:rPr>
              <w:t>de l'UIT-D sur l'inclusion numérique</w:t>
            </w:r>
            <w:r w:rsidR="00DA33D7">
              <w:rPr>
                <w:lang w:val="fr-FR"/>
              </w:rPr>
              <w:t xml:space="preserve"> ont été enregistrées</w:t>
            </w:r>
            <w:r w:rsidR="00836390">
              <w:rPr>
                <w:lang w:val="fr-FR"/>
              </w:rPr>
              <w:t>.</w:t>
            </w:r>
          </w:p>
          <w:p w:rsidR="00712DC3" w:rsidRPr="00712DC3" w:rsidRDefault="00712DC3" w:rsidP="007B060C">
            <w:pPr>
              <w:rPr>
                <w:lang w:val="fr-FR"/>
              </w:rPr>
            </w:pPr>
            <w:r w:rsidRPr="00712DC3">
              <w:rPr>
                <w:lang w:val="fr-FR"/>
              </w:rPr>
              <w:t xml:space="preserve">Des centres d’accès à </w:t>
            </w:r>
            <w:r w:rsidR="005F5346">
              <w:rPr>
                <w:lang w:val="fr-FR"/>
              </w:rPr>
              <w:t>l’</w:t>
            </w:r>
            <w:r w:rsidRPr="00712DC3">
              <w:rPr>
                <w:lang w:val="fr-FR"/>
              </w:rPr>
              <w:t>Interne</w:t>
            </w:r>
            <w:r w:rsidR="005F5346">
              <w:rPr>
                <w:lang w:val="fr-FR"/>
              </w:rPr>
              <w:t>t ont</w:t>
            </w:r>
            <w:r w:rsidR="00836390">
              <w:rPr>
                <w:lang w:val="fr-FR"/>
              </w:rPr>
              <w:t xml:space="preserve"> </w:t>
            </w:r>
            <w:r w:rsidR="005F5346">
              <w:rPr>
                <w:lang w:val="fr-FR"/>
              </w:rPr>
              <w:t>été créés à Bishkek</w:t>
            </w:r>
            <w:r w:rsidR="00836390">
              <w:rPr>
                <w:lang w:val="fr-FR"/>
              </w:rPr>
              <w:t xml:space="preserve"> </w:t>
            </w:r>
            <w:r w:rsidR="005F5346">
              <w:rPr>
                <w:lang w:val="fr-FR"/>
              </w:rPr>
              <w:t>(</w:t>
            </w:r>
            <w:r w:rsidR="001347FB">
              <w:rPr>
                <w:lang w:val="fr-FR"/>
              </w:rPr>
              <w:t>République kirghize</w:t>
            </w:r>
            <w:r w:rsidR="005F5346">
              <w:rPr>
                <w:lang w:val="fr-FR"/>
              </w:rPr>
              <w:t>)</w:t>
            </w:r>
            <w:r w:rsidR="00836390">
              <w:rPr>
                <w:lang w:val="fr-FR"/>
              </w:rPr>
              <w:t>,</w:t>
            </w:r>
            <w:r w:rsidR="005A0AB8">
              <w:rPr>
                <w:lang w:val="fr-FR"/>
              </w:rPr>
              <w:t xml:space="preserve"> </w:t>
            </w:r>
            <w:r w:rsidR="005F5346">
              <w:rPr>
                <w:lang w:val="fr-FR"/>
              </w:rPr>
              <w:t>à Chisinau,</w:t>
            </w:r>
            <w:r w:rsidR="00836390">
              <w:rPr>
                <w:lang w:val="fr-FR"/>
              </w:rPr>
              <w:t xml:space="preserve"> </w:t>
            </w:r>
            <w:r w:rsidR="005F5346">
              <w:rPr>
                <w:lang w:val="fr-FR"/>
              </w:rPr>
              <w:t>(R</w:t>
            </w:r>
            <w:r w:rsidRPr="00712DC3">
              <w:rPr>
                <w:lang w:val="fr-FR"/>
              </w:rPr>
              <w:t>épublique de Moldova), à Minsk, (R</w:t>
            </w:r>
            <w:r w:rsidR="00E44423">
              <w:rPr>
                <w:lang w:val="fr-FR"/>
              </w:rPr>
              <w:t>é</w:t>
            </w:r>
            <w:r w:rsidRPr="00712DC3">
              <w:rPr>
                <w:lang w:val="fr-FR"/>
              </w:rPr>
              <w:t>publique du</w:t>
            </w:r>
            <w:r w:rsidR="00836390">
              <w:rPr>
                <w:lang w:val="fr-FR"/>
              </w:rPr>
              <w:t xml:space="preserve"> </w:t>
            </w:r>
            <w:r w:rsidR="00E44423" w:rsidRPr="00712DC3">
              <w:rPr>
                <w:lang w:val="fr-FR"/>
              </w:rPr>
              <w:t>B</w:t>
            </w:r>
            <w:r w:rsidR="00E44423">
              <w:rPr>
                <w:lang w:val="fr-FR"/>
              </w:rPr>
              <w:t>e</w:t>
            </w:r>
            <w:r w:rsidR="00E44423" w:rsidRPr="00712DC3">
              <w:rPr>
                <w:lang w:val="fr-FR"/>
              </w:rPr>
              <w:t>larus</w:t>
            </w:r>
            <w:r w:rsidRPr="00712DC3">
              <w:rPr>
                <w:lang w:val="fr-FR"/>
              </w:rPr>
              <w:t>) et à Yaku</w:t>
            </w:r>
            <w:r w:rsidR="005F5346">
              <w:rPr>
                <w:lang w:val="fr-FR"/>
              </w:rPr>
              <w:t>tsk, R</w:t>
            </w:r>
            <w:r w:rsidR="00E44423">
              <w:rPr>
                <w:lang w:val="fr-FR"/>
              </w:rPr>
              <w:t>é</w:t>
            </w:r>
            <w:r w:rsidR="005F5346">
              <w:rPr>
                <w:lang w:val="fr-FR"/>
              </w:rPr>
              <w:t>publique de</w:t>
            </w:r>
            <w:r w:rsidR="00836390">
              <w:rPr>
                <w:lang w:val="fr-FR"/>
              </w:rPr>
              <w:t xml:space="preserve"> </w:t>
            </w:r>
            <w:r w:rsidR="005F5346">
              <w:rPr>
                <w:lang w:val="fr-FR"/>
              </w:rPr>
              <w:t>Sakha (F</w:t>
            </w:r>
            <w:r w:rsidR="00E44423">
              <w:rPr>
                <w:lang w:val="fr-FR"/>
              </w:rPr>
              <w:t>é</w:t>
            </w:r>
            <w:r w:rsidRPr="00712DC3">
              <w:rPr>
                <w:lang w:val="fr-FR"/>
              </w:rPr>
              <w:t>d</w:t>
            </w:r>
            <w:r w:rsidR="00E44423">
              <w:rPr>
                <w:lang w:val="fr-FR"/>
              </w:rPr>
              <w:t>é</w:t>
            </w:r>
            <w:r w:rsidRPr="00712DC3">
              <w:rPr>
                <w:lang w:val="fr-FR"/>
              </w:rPr>
              <w:t>ration de Russie) et plusieurs</w:t>
            </w:r>
            <w:r w:rsidR="00836390">
              <w:rPr>
                <w:lang w:val="fr-FR"/>
              </w:rPr>
              <w:t xml:space="preserve"> </w:t>
            </w:r>
            <w:r w:rsidRPr="00712DC3">
              <w:rPr>
                <w:lang w:val="fr-FR"/>
              </w:rPr>
              <w:t>formations de formateurs handicapés ont été dispensées</w:t>
            </w:r>
            <w:r w:rsidR="00836390">
              <w:rPr>
                <w:lang w:val="fr-FR"/>
              </w:rPr>
              <w:t>;</w:t>
            </w:r>
            <w:r w:rsidRPr="00712DC3">
              <w:rPr>
                <w:lang w:val="fr-FR"/>
              </w:rPr>
              <w:t xml:space="preserve"> </w:t>
            </w:r>
            <w:r w:rsidR="00E44423" w:rsidRPr="00712DC3">
              <w:rPr>
                <w:lang w:val="fr-FR"/>
              </w:rPr>
              <w:t>présentation</w:t>
            </w:r>
            <w:r w:rsidRPr="00712DC3">
              <w:rPr>
                <w:lang w:val="fr-FR"/>
              </w:rPr>
              <w:t xml:space="preserve"> des projets à des responsables nationaux</w:t>
            </w:r>
            <w:r w:rsidR="005A0AB8">
              <w:rPr>
                <w:lang w:val="fr-FR"/>
              </w:rPr>
              <w:t>.</w:t>
            </w:r>
          </w:p>
          <w:p w:rsidR="00712DC3" w:rsidRPr="00712DC3" w:rsidRDefault="00712DC3" w:rsidP="005F5346">
            <w:pPr>
              <w:rPr>
                <w:szCs w:val="24"/>
                <w:lang w:val="fr-FR"/>
              </w:rPr>
            </w:pPr>
            <w:r w:rsidRPr="00712DC3">
              <w:rPr>
                <w:lang w:val="fr-FR"/>
              </w:rPr>
              <w:t>Une assistance directe a été fournie à des</w:t>
            </w:r>
            <w:r w:rsidR="00836390">
              <w:rPr>
                <w:lang w:val="fr-FR"/>
              </w:rPr>
              <w:t xml:space="preserve"> </w:t>
            </w:r>
            <w:r w:rsidRPr="00712DC3">
              <w:rPr>
                <w:lang w:val="fr-FR"/>
              </w:rPr>
              <w:t>pays d'Afrique pour les aider à organiser les célébrations entourant</w:t>
            </w:r>
            <w:r w:rsidR="00836390">
              <w:rPr>
                <w:lang w:val="fr-FR"/>
              </w:rPr>
              <w:t xml:space="preserve"> </w:t>
            </w:r>
            <w:r w:rsidRPr="00712DC3">
              <w:rPr>
                <w:lang w:val="fr-FR"/>
              </w:rPr>
              <w:t>la Journée des jeunes filles dans le secteur des TIC,</w:t>
            </w:r>
            <w:r w:rsidR="00836390">
              <w:rPr>
                <w:lang w:val="fr-FR"/>
              </w:rPr>
              <w:t xml:space="preserve"> </w:t>
            </w:r>
            <w:r w:rsidR="005F5346">
              <w:rPr>
                <w:lang w:val="fr-FR"/>
              </w:rPr>
              <w:t>et</w:t>
            </w:r>
            <w:r w:rsidR="00836390">
              <w:rPr>
                <w:lang w:val="fr-FR"/>
              </w:rPr>
              <w:t xml:space="preserve"> </w:t>
            </w:r>
            <w:r w:rsidRPr="00712DC3">
              <w:rPr>
                <w:lang w:val="fr-FR"/>
              </w:rPr>
              <w:t>un concours et une conférence</w:t>
            </w:r>
            <w:r w:rsidR="005F5346">
              <w:rPr>
                <w:lang w:val="fr-FR"/>
              </w:rPr>
              <w:t xml:space="preserve"> ont été organisés</w:t>
            </w:r>
            <w:r w:rsidR="00836390">
              <w:rPr>
                <w:lang w:val="fr-FR"/>
              </w:rPr>
              <w:t xml:space="preserve"> </w:t>
            </w:r>
            <w:r w:rsidRPr="00712DC3">
              <w:rPr>
                <w:lang w:val="fr-FR"/>
              </w:rPr>
              <w:t>à l'intention de la région Afrique.</w:t>
            </w:r>
          </w:p>
        </w:tc>
      </w:tr>
      <w:tr w:rsidR="00712DC3" w:rsidRPr="00712DC3" w:rsidTr="00DF5D1A">
        <w:tc>
          <w:tcPr>
            <w:tcW w:w="3256" w:type="dxa"/>
            <w:tcBorders>
              <w:top w:val="single" w:sz="4" w:space="0" w:color="auto"/>
              <w:bottom w:val="single" w:sz="4" w:space="0" w:color="auto"/>
              <w:right w:val="single" w:sz="4" w:space="0" w:color="auto"/>
            </w:tcBorders>
          </w:tcPr>
          <w:p w:rsidR="00712DC3" w:rsidRPr="00277952" w:rsidRDefault="00431AC4" w:rsidP="00712DC3">
            <w:pPr>
              <w:rPr>
                <w:i/>
                <w:iCs/>
                <w:szCs w:val="24"/>
              </w:rPr>
            </w:pPr>
            <w:r w:rsidRPr="00277952">
              <w:rPr>
                <w:i/>
                <w:iCs/>
              </w:rPr>
              <w:lastRenderedPageBreak/>
              <w:t xml:space="preserve">Contribution aux cibles des ODD </w:t>
            </w:r>
          </w:p>
        </w:tc>
        <w:tc>
          <w:tcPr>
            <w:tcW w:w="6373" w:type="dxa"/>
            <w:tcBorders>
              <w:top w:val="single" w:sz="4" w:space="0" w:color="auto"/>
              <w:left w:val="single" w:sz="4" w:space="0" w:color="auto"/>
              <w:bottom w:val="single" w:sz="4" w:space="0" w:color="auto"/>
            </w:tcBorders>
          </w:tcPr>
          <w:p w:rsidR="00712DC3" w:rsidRPr="00712DC3" w:rsidRDefault="00712DC3" w:rsidP="00712DC3">
            <w:pPr>
              <w:rPr>
                <w:lang w:val="en-US"/>
              </w:rPr>
            </w:pPr>
            <w:r w:rsidRPr="00712DC3">
              <w:rPr>
                <w:szCs w:val="24"/>
                <w:lang w:val="en-US"/>
              </w:rPr>
              <w:t>ODD</w:t>
            </w:r>
            <w:r w:rsidR="00836390">
              <w:rPr>
                <w:szCs w:val="24"/>
                <w:lang w:val="en-US"/>
              </w:rPr>
              <w:t>:</w:t>
            </w:r>
            <w:r w:rsidRPr="00712DC3">
              <w:rPr>
                <w:szCs w:val="24"/>
                <w:lang w:val="en-US"/>
              </w:rPr>
              <w:t xml:space="preserve"> 1 (cibles 1.2, 1.4, 1.a, 1.b), 4 (cibles 4.1, 4.2, 4.3, 4.4, 4.5, 4.a, 4.b), 5 (5.1, 5.5, 5.b, 5.c), 8 (cibles 8.2, 8.3, 8.5, 8.6, 8.10, </w:t>
            </w:r>
            <w:r w:rsidRPr="00712DC3">
              <w:rPr>
                <w:szCs w:val="24"/>
                <w:lang w:val="en-US"/>
              </w:rPr>
              <w:lastRenderedPageBreak/>
              <w:t>8.b), 9 (cible 9.c), 10 (cibles 10.2, 10.3), 11 (cibles 11.2, 11.7, 11.c), 16 (cible 16.b), 17 (cibles 17.6, 17.7, 17.8, 17.17)</w:t>
            </w:r>
          </w:p>
        </w:tc>
      </w:tr>
      <w:tr w:rsidR="00712DC3" w:rsidRPr="00712DC3" w:rsidTr="00DF5D1A">
        <w:trPr>
          <w:trHeight w:val="397"/>
        </w:trPr>
        <w:tc>
          <w:tcPr>
            <w:tcW w:w="3256" w:type="dxa"/>
            <w:tcBorders>
              <w:top w:val="single" w:sz="4" w:space="0" w:color="auto"/>
              <w:bottom w:val="single" w:sz="4" w:space="0" w:color="auto"/>
              <w:right w:val="single" w:sz="4" w:space="0" w:color="auto"/>
            </w:tcBorders>
          </w:tcPr>
          <w:p w:rsidR="00712DC3" w:rsidRPr="00277952" w:rsidRDefault="00712DC3" w:rsidP="00712DC3">
            <w:pPr>
              <w:rPr>
                <w:i/>
                <w:iCs/>
                <w:szCs w:val="24"/>
              </w:rPr>
            </w:pPr>
            <w:r w:rsidRPr="00277952">
              <w:rPr>
                <w:i/>
                <w:iCs/>
              </w:rPr>
              <w:lastRenderedPageBreak/>
              <w:t>Grandes orientations du SMSI</w:t>
            </w:r>
          </w:p>
        </w:tc>
        <w:tc>
          <w:tcPr>
            <w:tcW w:w="6373" w:type="dxa"/>
            <w:tcBorders>
              <w:top w:val="single" w:sz="4" w:space="0" w:color="auto"/>
              <w:left w:val="single" w:sz="4" w:space="0" w:color="auto"/>
              <w:bottom w:val="single" w:sz="4" w:space="0" w:color="auto"/>
            </w:tcBorders>
          </w:tcPr>
          <w:p w:rsidR="00712DC3" w:rsidRPr="00712DC3" w:rsidRDefault="009543A1" w:rsidP="00712DC3">
            <w:pPr>
              <w:rPr>
                <w:lang w:val="fr-FR"/>
              </w:rPr>
            </w:pPr>
            <w:r>
              <w:rPr>
                <w:lang w:val="fr-FR"/>
              </w:rPr>
              <w:t>G</w:t>
            </w:r>
            <w:r w:rsidR="00712DC3" w:rsidRPr="00712DC3">
              <w:rPr>
                <w:lang w:val="fr-FR"/>
              </w:rPr>
              <w:t>randes orientations C2, C4, C7 et C8 du SMSI figurant dans le Plan d'action de Genève et</w:t>
            </w:r>
            <w:r w:rsidR="00836390">
              <w:rPr>
                <w:lang w:val="fr-FR"/>
              </w:rPr>
              <w:t xml:space="preserve"> </w:t>
            </w:r>
            <w:r w:rsidR="00712DC3" w:rsidRPr="00712DC3">
              <w:rPr>
                <w:lang w:val="fr-FR"/>
              </w:rPr>
              <w:t xml:space="preserve">paragraphe 90 de l'Agenda de Tunis pour la société de l'information </w:t>
            </w:r>
          </w:p>
        </w:tc>
      </w:tr>
      <w:tr w:rsidR="00712DC3" w:rsidRPr="00712DC3" w:rsidTr="00DF5D1A">
        <w:tc>
          <w:tcPr>
            <w:tcW w:w="3256" w:type="dxa"/>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t>Résolutions:</w:t>
            </w:r>
          </w:p>
        </w:tc>
        <w:tc>
          <w:tcPr>
            <w:tcW w:w="6373" w:type="dxa"/>
            <w:tcBorders>
              <w:top w:val="single" w:sz="4" w:space="0" w:color="auto"/>
              <w:left w:val="single" w:sz="4" w:space="0" w:color="auto"/>
              <w:bottom w:val="single" w:sz="4" w:space="0" w:color="auto"/>
            </w:tcBorders>
          </w:tcPr>
          <w:p w:rsidR="00712DC3" w:rsidRPr="00712DC3" w:rsidRDefault="009543A1" w:rsidP="00712DC3">
            <w:pPr>
              <w:rPr>
                <w:lang w:val="fr-FR"/>
              </w:rPr>
            </w:pPr>
            <w:r>
              <w:rPr>
                <w:lang w:val="fr-FR"/>
              </w:rPr>
              <w:t>Décisions 5 et 13 de la PP</w:t>
            </w:r>
          </w:p>
          <w:p w:rsidR="00712DC3" w:rsidRPr="00712DC3" w:rsidRDefault="00712DC3" w:rsidP="00712DC3">
            <w:pPr>
              <w:rPr>
                <w:szCs w:val="24"/>
              </w:rPr>
            </w:pPr>
            <w:r w:rsidRPr="00712DC3">
              <w:rPr>
                <w:lang w:val="en-US"/>
              </w:rPr>
              <w:t>Résolutions 25, 30, 32, 33, 34, 36, 37, 64, 70, 71, 131, 139, 140, 175, 184, 198, 202 de la PP</w:t>
            </w:r>
          </w:p>
        </w:tc>
      </w:tr>
    </w:tbl>
    <w:p w:rsidR="00712DC3" w:rsidRPr="00712DC3" w:rsidRDefault="00712DC3" w:rsidP="009543A1">
      <w:pPr>
        <w:pStyle w:val="Heading2"/>
        <w:rPr>
          <w:lang w:val="fr-FR"/>
        </w:rPr>
      </w:pPr>
      <w:bookmarkStart w:id="35" w:name="_Toc467807705"/>
      <w:bookmarkStart w:id="36" w:name="_Toc468087104"/>
      <w:r w:rsidRPr="00712DC3">
        <w:rPr>
          <w:lang w:val="fr-FR"/>
        </w:rPr>
        <w:t>4.4</w:t>
      </w:r>
      <w:r w:rsidRPr="00712DC3">
        <w:rPr>
          <w:lang w:val="fr-FR"/>
        </w:rPr>
        <w:tab/>
        <w:t>Fourniture d'une assistance ciblée aux PMA, aux PEID et aux PDSL</w:t>
      </w:r>
      <w:bookmarkEnd w:id="35"/>
      <w:bookmarkEnd w:id="36"/>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712DC3" w:rsidRPr="00712DC3" w:rsidTr="009543A1">
        <w:tc>
          <w:tcPr>
            <w:tcW w:w="9629" w:type="dxa"/>
            <w:gridSpan w:val="2"/>
            <w:tcBorders>
              <w:bottom w:val="single" w:sz="4" w:space="0" w:color="auto"/>
            </w:tcBorders>
          </w:tcPr>
          <w:p w:rsidR="00712DC3" w:rsidRPr="00712DC3" w:rsidRDefault="00712DC3" w:rsidP="00712DC3">
            <w:pPr>
              <w:rPr>
                <w:lang w:val="fr-FR"/>
              </w:rPr>
            </w:pPr>
            <w:r w:rsidRPr="00712DC3">
              <w:rPr>
                <w:lang w:val="fr-FR"/>
              </w:rPr>
              <w:t>L'ensemble des activités, initiatives, programmes et projets liés aux TIC a permis à l'UIT de mieux faire connaître l'importance des TIC pour le développement durable, de fournir une assistance ciblée aux PMA, aux PDSL et aux PEID et de renforcer leurs capacités. Il s'agit notamment des réformes de la réglementation des marchés, des télécommunications d'urgence et des interventions en cas de catastrophe, de l'égalité des sexes, des infrastructures des TIC et de la gestion du spectre, et de l'adaptation aux changements climatiques. Tout cela a contribué à une sensibilisation accrue et au renforcement des capacités dans ces domaines.</w:t>
            </w:r>
          </w:p>
          <w:p w:rsidR="00712DC3" w:rsidRPr="00712DC3" w:rsidRDefault="00712DC3" w:rsidP="00712DC3">
            <w:pPr>
              <w:rPr>
                <w:lang w:val="fr-FR"/>
              </w:rPr>
            </w:pPr>
            <w:r w:rsidRPr="00712DC3">
              <w:rPr>
                <w:lang w:val="fr-FR"/>
              </w:rPr>
              <w:t>Depuis la CMDT-14, l'UIT mène dans 15 pays (y compris des pays en développement, des PMA, des PEID et des PDSL) des interventions d'urgence en cas de catastrophe, renforce leurs capacités et améliore les</w:t>
            </w:r>
            <w:r w:rsidR="005F5346">
              <w:rPr>
                <w:lang w:val="fr-FR"/>
              </w:rPr>
              <w:t xml:space="preserve"> </w:t>
            </w:r>
            <w:r w:rsidRPr="00712DC3">
              <w:rPr>
                <w:lang w:val="fr-FR"/>
              </w:rPr>
              <w:t>communications au service des opérations de secours.</w:t>
            </w:r>
          </w:p>
          <w:p w:rsidR="00712DC3" w:rsidRPr="00712DC3" w:rsidRDefault="00712DC3" w:rsidP="00712DC3">
            <w:pPr>
              <w:rPr>
                <w:lang w:val="fr-FR"/>
              </w:rPr>
            </w:pPr>
            <w:r w:rsidRPr="00712DC3">
              <w:rPr>
                <w:lang w:val="fr-FR"/>
              </w:rPr>
              <w:t>L'UIT a aidé les pays frappés par une catastrophe à rétablir leurs réseaux de communication, en fournissant une assistance directe: évaluations des dégâts subis par les équipements et les infrastructures, reconstruction et remise en état des infrastructures de télécommunication. Dans le cadre de ces interventions, plus de 150 utilisateurs ont été formés à l'utilisation du matériel de télécommunication par satellite lors de dix ateliers sur le renforcement des capacités. L'UIT renforce également les capacités des PMA à faire face aux catastrophes en élaborant et en mettant en place des systèmes d'alerte rapide.</w:t>
            </w:r>
          </w:p>
          <w:p w:rsidR="00712DC3" w:rsidRPr="00712DC3" w:rsidRDefault="00712DC3" w:rsidP="009543A1">
            <w:pPr>
              <w:rPr>
                <w:lang w:val="fr-FR"/>
              </w:rPr>
            </w:pPr>
            <w:r w:rsidRPr="00712DC3">
              <w:rPr>
                <w:lang w:val="fr-FR"/>
              </w:rPr>
              <w:t>En intégrant les TIC dans le débat général relatif au développement, l'UIT a davantage fait comprendre l'importance du rôle que jouent ces technologies</w:t>
            </w:r>
            <w:r w:rsidR="00836390">
              <w:rPr>
                <w:lang w:val="fr-FR"/>
              </w:rPr>
              <w:t xml:space="preserve"> </w:t>
            </w:r>
            <w:r w:rsidRPr="00712DC3">
              <w:rPr>
                <w:lang w:val="fr-FR"/>
              </w:rPr>
              <w:t>en la matière. L'UIT a inséré des références aux TIC dans le kit pratique élaboré en vue de promouvoir la mise en oeuvre du Programme d'action d'Istanbul pour les pays les moins a</w:t>
            </w:r>
            <w:r w:rsidR="005F5346">
              <w:rPr>
                <w:lang w:val="fr-FR"/>
              </w:rPr>
              <w:t xml:space="preserve">vancés. </w:t>
            </w:r>
            <w:r w:rsidR="009543A1">
              <w:rPr>
                <w:lang w:val="fr-FR"/>
              </w:rPr>
              <w:t>Elle</w:t>
            </w:r>
            <w:r w:rsidR="005F5346">
              <w:rPr>
                <w:lang w:val="fr-FR"/>
              </w:rPr>
              <w:t xml:space="preserve"> a également contribu</w:t>
            </w:r>
            <w:r w:rsidR="009543A1">
              <w:rPr>
                <w:lang w:val="fr-FR"/>
              </w:rPr>
              <w:t>é</w:t>
            </w:r>
            <w:r w:rsidRPr="00712DC3">
              <w:rPr>
                <w:lang w:val="fr-FR"/>
              </w:rPr>
              <w:t xml:space="preserve"> à</w:t>
            </w:r>
            <w:r w:rsidR="00836390">
              <w:rPr>
                <w:lang w:val="fr-FR"/>
              </w:rPr>
              <w:t xml:space="preserve"> </w:t>
            </w:r>
            <w:r w:rsidRPr="00712DC3">
              <w:rPr>
                <w:lang w:val="fr-FR"/>
              </w:rPr>
              <w:t>la mise en oeuvre complète (d'ici janvier 2017)</w:t>
            </w:r>
            <w:r w:rsidR="00836390">
              <w:rPr>
                <w:lang w:val="fr-FR"/>
              </w:rPr>
              <w:t xml:space="preserve"> </w:t>
            </w:r>
            <w:r w:rsidRPr="00712DC3">
              <w:rPr>
                <w:lang w:val="fr-FR"/>
              </w:rPr>
              <w:t>d'une Banque de technologies pour les PMA.</w:t>
            </w:r>
          </w:p>
          <w:p w:rsidR="00712DC3" w:rsidRPr="00712DC3" w:rsidRDefault="00712DC3" w:rsidP="009543A1">
            <w:pPr>
              <w:rPr>
                <w:lang w:val="fr-FR"/>
              </w:rPr>
            </w:pPr>
            <w:r w:rsidRPr="00712DC3">
              <w:rPr>
                <w:lang w:val="fr-FR"/>
              </w:rPr>
              <w:t>L'UIT a renforcé les capacités des pays ayant des besoins particuliers à lancer plusieurs projets nouveaux et innovants en fournissant des capitaux d'amorçage pour développer l'infrastructure, notamment dans les zones rurales, et renforcer le développement/la gestion des ressources humaines.</w:t>
            </w:r>
          </w:p>
        </w:tc>
      </w:tr>
      <w:tr w:rsidR="00712DC3" w:rsidRPr="00712DC3" w:rsidTr="009543A1">
        <w:tc>
          <w:tcPr>
            <w:tcW w:w="3256" w:type="dxa"/>
            <w:tcBorders>
              <w:top w:val="single" w:sz="4" w:space="0" w:color="auto"/>
              <w:bottom w:val="single" w:sz="4" w:space="0" w:color="auto"/>
              <w:right w:val="single" w:sz="4" w:space="0" w:color="auto"/>
            </w:tcBorders>
          </w:tcPr>
          <w:p w:rsidR="00712DC3" w:rsidRPr="00277952" w:rsidRDefault="00431AC4" w:rsidP="00712DC3">
            <w:pPr>
              <w:rPr>
                <w:i/>
                <w:iCs/>
                <w:szCs w:val="24"/>
              </w:rPr>
            </w:pPr>
            <w:r w:rsidRPr="00277952">
              <w:rPr>
                <w:i/>
                <w:iCs/>
              </w:rPr>
              <w:t xml:space="preserve">Contribution aux cibles des ODD </w:t>
            </w:r>
          </w:p>
        </w:tc>
        <w:tc>
          <w:tcPr>
            <w:tcW w:w="6373" w:type="dxa"/>
            <w:tcBorders>
              <w:top w:val="single" w:sz="4" w:space="0" w:color="auto"/>
              <w:left w:val="single" w:sz="4" w:space="0" w:color="auto"/>
              <w:bottom w:val="single" w:sz="4" w:space="0" w:color="auto"/>
            </w:tcBorders>
          </w:tcPr>
          <w:p w:rsidR="00712DC3" w:rsidRPr="00712DC3" w:rsidRDefault="00712DC3" w:rsidP="00277952">
            <w:pPr>
              <w:rPr>
                <w:lang w:val="en-US"/>
              </w:rPr>
            </w:pPr>
            <w:r w:rsidRPr="00712DC3">
              <w:rPr>
                <w:szCs w:val="24"/>
                <w:lang w:val="en-US"/>
              </w:rPr>
              <w:t>ODD</w:t>
            </w:r>
            <w:r w:rsidR="00836390">
              <w:rPr>
                <w:szCs w:val="24"/>
                <w:lang w:val="en-US"/>
              </w:rPr>
              <w:t>:</w:t>
            </w:r>
            <w:r w:rsidRPr="00712DC3">
              <w:rPr>
                <w:szCs w:val="24"/>
                <w:lang w:val="en-US"/>
              </w:rPr>
              <w:t xml:space="preserve"> 1 (cible 1.4), 3, 4 (cibles 4.3, 4.5, 4.6, 4.a, 4.b), 5 (cible 5.b), 6, 8 (cible 8.5), 9 (cibles 9.1, 9.2, 9.5, 9.a, 9.c), 10 (cibles 10.2, 10.b), 11 (cibles 11.1, 11.2, 11.7), 12 (cible 12.b), 13 (cible 13.b), 14, 15, 16, 17 (cibles 17.7, 17.8, 17.9, 17.18)</w:t>
            </w:r>
          </w:p>
        </w:tc>
      </w:tr>
      <w:tr w:rsidR="00712DC3" w:rsidRPr="00712DC3" w:rsidTr="009543A1">
        <w:trPr>
          <w:trHeight w:val="397"/>
        </w:trPr>
        <w:tc>
          <w:tcPr>
            <w:tcW w:w="3256" w:type="dxa"/>
            <w:tcBorders>
              <w:top w:val="single" w:sz="4" w:space="0" w:color="auto"/>
              <w:bottom w:val="single" w:sz="4" w:space="0" w:color="auto"/>
              <w:right w:val="single" w:sz="4" w:space="0" w:color="auto"/>
            </w:tcBorders>
          </w:tcPr>
          <w:p w:rsidR="00712DC3" w:rsidRPr="00277952" w:rsidRDefault="00712DC3" w:rsidP="00712DC3">
            <w:pPr>
              <w:rPr>
                <w:i/>
                <w:iCs/>
                <w:szCs w:val="24"/>
              </w:rPr>
            </w:pPr>
            <w:r w:rsidRPr="00277952">
              <w:rPr>
                <w:i/>
                <w:iCs/>
              </w:rPr>
              <w:t>Grandes orientations du SMSI</w:t>
            </w:r>
          </w:p>
        </w:tc>
        <w:tc>
          <w:tcPr>
            <w:tcW w:w="6373" w:type="dxa"/>
            <w:tcBorders>
              <w:top w:val="single" w:sz="4" w:space="0" w:color="auto"/>
              <w:left w:val="single" w:sz="4" w:space="0" w:color="auto"/>
              <w:bottom w:val="single" w:sz="4" w:space="0" w:color="auto"/>
            </w:tcBorders>
          </w:tcPr>
          <w:p w:rsidR="00712DC3" w:rsidRPr="00712DC3" w:rsidRDefault="00277952" w:rsidP="00712DC3">
            <w:pPr>
              <w:rPr>
                <w:lang w:val="fr-FR"/>
              </w:rPr>
            </w:pPr>
            <w:r w:rsidRPr="00712DC3">
              <w:rPr>
                <w:lang w:val="fr-FR"/>
              </w:rPr>
              <w:t>G</w:t>
            </w:r>
            <w:r w:rsidR="00712DC3" w:rsidRPr="00712DC3">
              <w:rPr>
                <w:lang w:val="fr-FR"/>
              </w:rPr>
              <w:t>randes orientations C4 et C7 du SMSI figurant dans le Plan d'action de Genève et</w:t>
            </w:r>
            <w:r w:rsidR="00836390">
              <w:rPr>
                <w:lang w:val="fr-FR"/>
              </w:rPr>
              <w:t xml:space="preserve"> </w:t>
            </w:r>
            <w:r w:rsidR="00712DC3" w:rsidRPr="00712DC3">
              <w:rPr>
                <w:lang w:val="fr-FR"/>
              </w:rPr>
              <w:t>paragraphes 9, 23, 26, 49, 59, 87 et 95 de l'Agenda de Tunis pour la société de l'information</w:t>
            </w:r>
          </w:p>
        </w:tc>
      </w:tr>
      <w:tr w:rsidR="00712DC3" w:rsidRPr="00712DC3" w:rsidTr="009543A1">
        <w:tc>
          <w:tcPr>
            <w:tcW w:w="3256" w:type="dxa"/>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lastRenderedPageBreak/>
              <w:t>Résolutions:</w:t>
            </w:r>
          </w:p>
        </w:tc>
        <w:tc>
          <w:tcPr>
            <w:tcW w:w="6373" w:type="dxa"/>
            <w:tcBorders>
              <w:top w:val="single" w:sz="4" w:space="0" w:color="auto"/>
              <w:left w:val="single" w:sz="4" w:space="0" w:color="auto"/>
              <w:bottom w:val="single" w:sz="4" w:space="0" w:color="auto"/>
            </w:tcBorders>
          </w:tcPr>
          <w:p w:rsidR="00712DC3" w:rsidRPr="00712DC3" w:rsidRDefault="00277952" w:rsidP="00712DC3">
            <w:pPr>
              <w:rPr>
                <w:lang w:val="fr-FR"/>
              </w:rPr>
            </w:pPr>
            <w:r>
              <w:rPr>
                <w:lang w:val="fr-FR"/>
              </w:rPr>
              <w:t>Décisions 5 et 13 de la PP</w:t>
            </w:r>
          </w:p>
          <w:p w:rsidR="00712DC3" w:rsidRPr="00712DC3" w:rsidRDefault="00712DC3" w:rsidP="00712DC3">
            <w:pPr>
              <w:rPr>
                <w:szCs w:val="24"/>
              </w:rPr>
            </w:pPr>
            <w:r w:rsidRPr="00712DC3">
              <w:rPr>
                <w:lang w:val="en-US"/>
              </w:rPr>
              <w:t>Résolutions 25, 30, 32, 33, 34, 36, 70, 71, 123, 124, 125, 126, 127, 135, 159, 160, 161, 172, 193, 202 de la PP</w:t>
            </w:r>
          </w:p>
        </w:tc>
      </w:tr>
    </w:tbl>
    <w:p w:rsidR="00712DC3" w:rsidRPr="00712DC3" w:rsidRDefault="00712DC3" w:rsidP="009543A1">
      <w:pPr>
        <w:pStyle w:val="Heading1"/>
      </w:pPr>
      <w:bookmarkStart w:id="37" w:name="_Toc467807706"/>
      <w:bookmarkStart w:id="38" w:name="_Toc468087105"/>
      <w:r w:rsidRPr="00712DC3">
        <w:t>5</w:t>
      </w:r>
      <w:r w:rsidRPr="00712DC3">
        <w:tab/>
        <w:t>Objectif 5</w:t>
      </w:r>
      <w:bookmarkStart w:id="39" w:name="_Toc467807707"/>
      <w:bookmarkStart w:id="40" w:name="_Toc468087106"/>
      <w:bookmarkEnd w:id="37"/>
      <w:bookmarkEnd w:id="38"/>
      <w:r w:rsidRPr="00712DC3">
        <w:t xml:space="preserve">: </w:t>
      </w:r>
      <w:r w:rsidRPr="009543A1">
        <w:rPr>
          <w:i/>
          <w:iCs/>
        </w:rPr>
        <w:t>"Renforcer les mesures relatives à la protection de l'environnement, à l'adaptation aux effets des changements climatiques et à l'atténuation de ces effets ainsi que les efforts déployés en matière de gestion des catastrophes au moyen des télécommunications/TIC</w:t>
      </w:r>
      <w:bookmarkEnd w:id="39"/>
      <w:bookmarkEnd w:id="40"/>
      <w:r w:rsidRPr="009543A1">
        <w:rPr>
          <w:i/>
          <w:iCs/>
        </w:rPr>
        <w:t>"</w:t>
      </w:r>
    </w:p>
    <w:p w:rsidR="00712DC3" w:rsidRPr="00712DC3" w:rsidRDefault="00712DC3" w:rsidP="009543A1">
      <w:pPr>
        <w:pStyle w:val="enumlev1"/>
        <w:rPr>
          <w:lang w:val="fr-FR"/>
        </w:rPr>
      </w:pPr>
      <w:r w:rsidRPr="00712DC3">
        <w:rPr>
          <w:lang w:val="fr-FR"/>
        </w:rPr>
        <w:t>•</w:t>
      </w:r>
      <w:r w:rsidRPr="00712DC3">
        <w:rPr>
          <w:lang w:val="fr-FR"/>
        </w:rPr>
        <w:tab/>
        <w:t>Cinq (5) pays ont bénéficié</w:t>
      </w:r>
      <w:r w:rsidR="00836390">
        <w:rPr>
          <w:lang w:val="fr-FR"/>
        </w:rPr>
        <w:t xml:space="preserve"> </w:t>
      </w:r>
      <w:r w:rsidRPr="00712DC3">
        <w:rPr>
          <w:lang w:val="fr-FR"/>
        </w:rPr>
        <w:t xml:space="preserve">d’une assistance en matière de </w:t>
      </w:r>
      <w:r w:rsidR="00E44423" w:rsidRPr="00712DC3">
        <w:rPr>
          <w:lang w:val="fr-FR"/>
        </w:rPr>
        <w:t>télécommunications</w:t>
      </w:r>
      <w:r w:rsidRPr="00712DC3">
        <w:rPr>
          <w:lang w:val="fr-FR"/>
        </w:rPr>
        <w:t xml:space="preserve"> d’urgence à la suite </w:t>
      </w:r>
      <w:r w:rsidRPr="009543A1">
        <w:t>de catastrophes</w:t>
      </w:r>
      <w:r w:rsidR="009543A1">
        <w:rPr>
          <w:lang w:val="fr-FR"/>
        </w:rPr>
        <w:t>.</w:t>
      </w:r>
    </w:p>
    <w:p w:rsidR="00712DC3" w:rsidRPr="00712DC3" w:rsidRDefault="00712DC3" w:rsidP="009543A1">
      <w:pPr>
        <w:pStyle w:val="enumlev1"/>
        <w:rPr>
          <w:lang w:val="fr-FR"/>
        </w:rPr>
      </w:pPr>
      <w:r w:rsidRPr="00712DC3">
        <w:rPr>
          <w:lang w:val="fr-FR"/>
        </w:rPr>
        <w:t>•</w:t>
      </w:r>
      <w:r w:rsidR="009543A1">
        <w:rPr>
          <w:lang w:val="fr-FR"/>
        </w:rPr>
        <w:tab/>
      </w:r>
      <w:r w:rsidRPr="00712DC3">
        <w:rPr>
          <w:lang w:val="fr-FR"/>
        </w:rPr>
        <w:t>Neuf</w:t>
      </w:r>
      <w:r w:rsidR="00836390">
        <w:rPr>
          <w:lang w:val="fr-FR"/>
        </w:rPr>
        <w:t xml:space="preserve"> </w:t>
      </w:r>
      <w:r w:rsidRPr="00712DC3">
        <w:rPr>
          <w:lang w:val="fr-FR"/>
        </w:rPr>
        <w:t>(9) pays ont bénéficié</w:t>
      </w:r>
      <w:r w:rsidR="00836390">
        <w:rPr>
          <w:lang w:val="fr-FR"/>
        </w:rPr>
        <w:t xml:space="preserve"> </w:t>
      </w:r>
      <w:r w:rsidRPr="00712DC3">
        <w:rPr>
          <w:lang w:val="fr-FR"/>
        </w:rPr>
        <w:t xml:space="preserve">d’activités de renforcement des </w:t>
      </w:r>
      <w:r w:rsidR="00E44423" w:rsidRPr="00712DC3">
        <w:rPr>
          <w:lang w:val="fr-FR"/>
        </w:rPr>
        <w:t>capacités</w:t>
      </w:r>
      <w:r w:rsidRPr="00712DC3">
        <w:rPr>
          <w:lang w:val="fr-FR"/>
        </w:rPr>
        <w:t xml:space="preserve"> dans le domaine des </w:t>
      </w:r>
      <w:r w:rsidR="00E44423" w:rsidRPr="00712DC3">
        <w:rPr>
          <w:lang w:val="fr-FR"/>
        </w:rPr>
        <w:t>télécommunications</w:t>
      </w:r>
      <w:r w:rsidRPr="00712DC3">
        <w:rPr>
          <w:lang w:val="fr-FR"/>
        </w:rPr>
        <w:t xml:space="preserve"> d’urgence</w:t>
      </w:r>
      <w:r w:rsidR="009543A1">
        <w:rPr>
          <w:lang w:val="fr-FR"/>
        </w:rPr>
        <w:t>.</w:t>
      </w:r>
    </w:p>
    <w:p w:rsidR="00712DC3" w:rsidRPr="00712DC3" w:rsidRDefault="005F5346" w:rsidP="009543A1">
      <w:pPr>
        <w:rPr>
          <w:lang w:val="fr-FR"/>
        </w:rPr>
      </w:pPr>
      <w:r w:rsidRPr="009543A1">
        <w:rPr>
          <w:lang w:val="fr-FR"/>
        </w:rPr>
        <w:t>Le 2ème F</w:t>
      </w:r>
      <w:r w:rsidR="00712DC3" w:rsidRPr="009543A1">
        <w:rPr>
          <w:lang w:val="fr-FR"/>
        </w:rPr>
        <w:t xml:space="preserve">orum mondial sur les </w:t>
      </w:r>
      <w:r w:rsidR="00E44423" w:rsidRPr="009543A1">
        <w:rPr>
          <w:lang w:val="fr-FR"/>
        </w:rPr>
        <w:t>télécommunications</w:t>
      </w:r>
      <w:r w:rsidR="00712DC3" w:rsidRPr="009543A1">
        <w:rPr>
          <w:lang w:val="fr-FR"/>
        </w:rPr>
        <w:t xml:space="preserve"> d’urgence (GET-2016):</w:t>
      </w:r>
      <w:r w:rsidR="009543A1" w:rsidRPr="009543A1">
        <w:t xml:space="preserve"> </w:t>
      </w:r>
      <w:r w:rsidR="00712DC3" w:rsidRPr="009543A1">
        <w:rPr>
          <w:lang w:val="fr-FR"/>
        </w:rPr>
        <w:t>SAUVER DES VIES</w:t>
      </w:r>
      <w:r w:rsidR="00836390" w:rsidRPr="009543A1">
        <w:rPr>
          <w:lang w:val="fr-FR"/>
        </w:rPr>
        <w:t xml:space="preserve"> </w:t>
      </w:r>
      <w:r w:rsidR="00712DC3" w:rsidRPr="009543A1">
        <w:rPr>
          <w:lang w:val="fr-FR"/>
        </w:rPr>
        <w:t>s’est tenu</w:t>
      </w:r>
      <w:r w:rsidR="00836390" w:rsidRPr="009543A1">
        <w:rPr>
          <w:lang w:val="fr-FR"/>
        </w:rPr>
        <w:t xml:space="preserve"> </w:t>
      </w:r>
      <w:r w:rsidR="00712DC3" w:rsidRPr="009543A1">
        <w:rPr>
          <w:lang w:val="fr-FR"/>
        </w:rPr>
        <w:t xml:space="preserve">en </w:t>
      </w:r>
      <w:r w:rsidR="00E44423" w:rsidRPr="009543A1">
        <w:rPr>
          <w:lang w:val="fr-FR"/>
        </w:rPr>
        <w:t>présence</w:t>
      </w:r>
      <w:r w:rsidR="00712DC3" w:rsidRPr="009543A1">
        <w:rPr>
          <w:lang w:val="fr-FR"/>
        </w:rPr>
        <w:t xml:space="preserve"> de plus de 500 participants de 70</w:t>
      </w:r>
      <w:r w:rsidR="00836390" w:rsidRPr="009543A1">
        <w:rPr>
          <w:lang w:val="fr-FR"/>
        </w:rPr>
        <w:t xml:space="preserve"> </w:t>
      </w:r>
      <w:r w:rsidR="00712DC3" w:rsidRPr="009543A1">
        <w:rPr>
          <w:lang w:val="fr-FR"/>
        </w:rPr>
        <w:t>pays</w:t>
      </w:r>
      <w:r w:rsidR="009543A1">
        <w:rPr>
          <w:lang w:val="fr-FR"/>
        </w:rPr>
        <w:t>.</w:t>
      </w:r>
    </w:p>
    <w:p w:rsidR="00712DC3" w:rsidRPr="00712DC3" w:rsidRDefault="00712DC3" w:rsidP="009543A1">
      <w:pPr>
        <w:pStyle w:val="Heading2"/>
        <w:rPr>
          <w:lang w:val="fr-FR"/>
        </w:rPr>
      </w:pPr>
      <w:bookmarkStart w:id="41" w:name="_Toc467807708"/>
      <w:bookmarkStart w:id="42" w:name="_Toc468087107"/>
      <w:r w:rsidRPr="00712DC3">
        <w:rPr>
          <w:lang w:val="fr-FR"/>
        </w:rPr>
        <w:t>5.1</w:t>
      </w:r>
      <w:r w:rsidRPr="00712DC3">
        <w:rPr>
          <w:lang w:val="fr-FR"/>
        </w:rPr>
        <w:tab/>
        <w:t>Les TIC et l'adaptation aux effets des changements climatiques et l'atténuation de ces effets</w:t>
      </w:r>
      <w:bookmarkEnd w:id="41"/>
      <w:bookmarkEnd w:id="42"/>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712DC3" w:rsidRPr="00712DC3" w:rsidTr="009543A1">
        <w:tc>
          <w:tcPr>
            <w:tcW w:w="9629" w:type="dxa"/>
            <w:gridSpan w:val="2"/>
            <w:tcBorders>
              <w:bottom w:val="single" w:sz="4" w:space="0" w:color="auto"/>
            </w:tcBorders>
          </w:tcPr>
          <w:p w:rsidR="00712DC3" w:rsidRPr="00712DC3" w:rsidRDefault="00712DC3" w:rsidP="005F5346">
            <w:pPr>
              <w:rPr>
                <w:lang w:val="fr-FR"/>
              </w:rPr>
            </w:pPr>
            <w:r w:rsidRPr="00712DC3">
              <w:rPr>
                <w:lang w:val="fr-FR"/>
              </w:rPr>
              <w:t>L'UIT a contribué à l'adaptation aux effets des changements climatiques et à l'atténuation de ces effets par la mise en place de systèmes de production d'électricité propres dans le cadre du projet</w:t>
            </w:r>
            <w:r w:rsidR="00836390">
              <w:rPr>
                <w:lang w:val="fr-FR"/>
              </w:rPr>
              <w:t xml:space="preserve"> </w:t>
            </w:r>
            <w:r w:rsidRPr="00712DC3">
              <w:rPr>
                <w:lang w:val="fr-FR"/>
              </w:rPr>
              <w:t xml:space="preserve">"Développement de capacités de communication et de solutions en matière de communications d'urgence par satellite pour les îles du Pacifique". Ce projet a contribué à réduire les émissions de GES grâce à la mise en place de systèmes à énergie solaire pour alimenter </w:t>
            </w:r>
            <w:r w:rsidR="005F5346">
              <w:rPr>
                <w:lang w:val="fr-FR"/>
              </w:rPr>
              <w:t>une vingtaine de</w:t>
            </w:r>
            <w:r w:rsidRPr="00712DC3">
              <w:rPr>
                <w:lang w:val="fr-FR"/>
              </w:rPr>
              <w:t> centres informatiques au moyen de systèmes de production d'électricité propres.</w:t>
            </w:r>
          </w:p>
          <w:p w:rsidR="00712DC3" w:rsidRPr="00712DC3" w:rsidRDefault="00712DC3" w:rsidP="00712DC3">
            <w:pPr>
              <w:rPr>
                <w:lang w:val="fr-FR"/>
              </w:rPr>
            </w:pPr>
            <w:r w:rsidRPr="00712DC3">
              <w:rPr>
                <w:lang w:val="fr-FR"/>
              </w:rPr>
              <w:t>L'UIT a permis aux Etats Membres d’approfondir leurs</w:t>
            </w:r>
            <w:r w:rsidR="00836390">
              <w:rPr>
                <w:lang w:val="fr-FR"/>
              </w:rPr>
              <w:t xml:space="preserve"> </w:t>
            </w:r>
            <w:r w:rsidRPr="00712DC3">
              <w:rPr>
                <w:lang w:val="fr-FR"/>
              </w:rPr>
              <w:t>connaissances</w:t>
            </w:r>
            <w:r w:rsidR="00836390">
              <w:rPr>
                <w:lang w:val="fr-FR"/>
              </w:rPr>
              <w:t xml:space="preserve"> </w:t>
            </w:r>
            <w:r w:rsidRPr="00712DC3">
              <w:rPr>
                <w:lang w:val="fr-FR"/>
              </w:rPr>
              <w:t>sur l'utilisation des télécommunications/TIC pour l'adaptation aux effets des changements climatiques et sur l'importance de</w:t>
            </w:r>
            <w:r w:rsidR="00836390">
              <w:rPr>
                <w:lang w:val="fr-FR"/>
              </w:rPr>
              <w:t xml:space="preserve"> </w:t>
            </w:r>
            <w:r w:rsidRPr="00712DC3">
              <w:rPr>
                <w:lang w:val="fr-FR"/>
              </w:rPr>
              <w:t>stratégies pour des TIC vertes, grâce à des ateliers organisés dans les 15 pays ayant reçu des équipements informatiques et une formation à la suite d'une catastrophe.</w:t>
            </w:r>
          </w:p>
          <w:p w:rsidR="00712DC3" w:rsidRPr="00712DC3" w:rsidRDefault="00712DC3" w:rsidP="009543A1">
            <w:pPr>
              <w:rPr>
                <w:rFonts w:eastAsiaTheme="majorEastAsia"/>
                <w:lang w:val="fr-FR"/>
              </w:rPr>
            </w:pPr>
            <w:r w:rsidRPr="00712DC3">
              <w:rPr>
                <w:rFonts w:eastAsiaTheme="majorEastAsia"/>
                <w:lang w:val="fr-FR"/>
              </w:rPr>
              <w:t xml:space="preserve">Forum </w:t>
            </w:r>
            <w:r w:rsidR="00E44423" w:rsidRPr="00712DC3">
              <w:rPr>
                <w:rFonts w:eastAsiaTheme="majorEastAsia"/>
                <w:lang w:val="fr-FR"/>
              </w:rPr>
              <w:t>régional</w:t>
            </w:r>
            <w:r w:rsidRPr="00712DC3">
              <w:rPr>
                <w:rFonts w:eastAsiaTheme="majorEastAsia"/>
                <w:lang w:val="fr-FR"/>
              </w:rPr>
              <w:t xml:space="preserve"> de l’UIT sur l’utilisation des</w:t>
            </w:r>
            <w:r w:rsidR="00836390">
              <w:rPr>
                <w:rFonts w:eastAsiaTheme="majorEastAsia"/>
                <w:lang w:val="fr-FR"/>
              </w:rPr>
              <w:t xml:space="preserve"> </w:t>
            </w:r>
            <w:r w:rsidRPr="00712DC3">
              <w:rPr>
                <w:rFonts w:eastAsiaTheme="majorEastAsia"/>
                <w:lang w:val="fr-FR"/>
              </w:rPr>
              <w:t>TIC pour la transition vers un développement</w:t>
            </w:r>
            <w:r w:rsidR="00836390">
              <w:rPr>
                <w:rFonts w:eastAsiaTheme="majorEastAsia"/>
                <w:lang w:val="fr-FR"/>
              </w:rPr>
              <w:t xml:space="preserve"> </w:t>
            </w:r>
            <w:r w:rsidRPr="00712DC3">
              <w:rPr>
                <w:rFonts w:eastAsiaTheme="majorEastAsia"/>
                <w:lang w:val="fr-FR"/>
              </w:rPr>
              <w:t>intelligent</w:t>
            </w:r>
            <w:r w:rsidR="00836390">
              <w:rPr>
                <w:rFonts w:eastAsiaTheme="majorEastAsia"/>
                <w:lang w:val="fr-FR"/>
              </w:rPr>
              <w:t xml:space="preserve"> </w:t>
            </w:r>
            <w:r w:rsidRPr="00712DC3">
              <w:rPr>
                <w:rFonts w:eastAsiaTheme="majorEastAsia"/>
                <w:lang w:val="fr-FR"/>
              </w:rPr>
              <w:t>et durable dans les Etats arabes</w:t>
            </w:r>
            <w:r w:rsidR="00836390">
              <w:rPr>
                <w:rFonts w:eastAsiaTheme="majorEastAsia"/>
                <w:lang w:val="fr-FR"/>
              </w:rPr>
              <w:t>:</w:t>
            </w:r>
            <w:r w:rsidRPr="00712DC3">
              <w:rPr>
                <w:rFonts w:eastAsiaTheme="majorEastAsia"/>
                <w:lang w:val="fr-FR"/>
              </w:rPr>
              <w:t xml:space="preserve"> </w:t>
            </w:r>
            <w:r w:rsidR="005F5346">
              <w:rPr>
                <w:rFonts w:eastAsiaTheme="majorEastAsia"/>
                <w:lang w:val="fr-FR"/>
              </w:rPr>
              <w:t>ce Forum</w:t>
            </w:r>
            <w:r w:rsidR="00836390">
              <w:rPr>
                <w:rFonts w:eastAsiaTheme="majorEastAsia"/>
                <w:lang w:val="fr-FR"/>
              </w:rPr>
              <w:t xml:space="preserve"> </w:t>
            </w:r>
            <w:r w:rsidR="005F5346">
              <w:rPr>
                <w:rFonts w:eastAsiaTheme="majorEastAsia"/>
                <w:lang w:val="fr-FR"/>
              </w:rPr>
              <w:t xml:space="preserve">a été un </w:t>
            </w:r>
            <w:r w:rsidR="00E44423">
              <w:rPr>
                <w:rFonts w:eastAsiaTheme="majorEastAsia"/>
                <w:lang w:val="fr-FR"/>
              </w:rPr>
              <w:t>succè</w:t>
            </w:r>
            <w:r w:rsidR="00E44423" w:rsidRPr="00712DC3">
              <w:rPr>
                <w:rFonts w:eastAsiaTheme="majorEastAsia"/>
                <w:lang w:val="fr-FR"/>
              </w:rPr>
              <w:t>s</w:t>
            </w:r>
            <w:r w:rsidR="00836390">
              <w:rPr>
                <w:rFonts w:eastAsiaTheme="majorEastAsia"/>
                <w:lang w:val="fr-FR"/>
              </w:rPr>
              <w:t xml:space="preserve"> </w:t>
            </w:r>
            <w:r w:rsidRPr="00712DC3">
              <w:rPr>
                <w:rFonts w:eastAsiaTheme="majorEastAsia"/>
                <w:lang w:val="fr-FR"/>
              </w:rPr>
              <w:t xml:space="preserve">sur le plan de la participation </w:t>
            </w:r>
            <w:r w:rsidR="00A27F03">
              <w:rPr>
                <w:rFonts w:eastAsiaTheme="majorEastAsia"/>
                <w:lang w:val="fr-FR"/>
              </w:rPr>
              <w:t>(</w:t>
            </w:r>
            <w:r w:rsidRPr="00712DC3">
              <w:rPr>
                <w:rFonts w:eastAsiaTheme="majorEastAsia"/>
                <w:lang w:val="fr-FR"/>
              </w:rPr>
              <w:t xml:space="preserve">120 participants environ), de la qualité des exposés </w:t>
            </w:r>
            <w:r w:rsidR="00E44423" w:rsidRPr="00712DC3">
              <w:rPr>
                <w:rFonts w:eastAsiaTheme="majorEastAsia"/>
                <w:lang w:val="fr-FR"/>
              </w:rPr>
              <w:t>présentés</w:t>
            </w:r>
            <w:r w:rsidR="00C87D58">
              <w:rPr>
                <w:rFonts w:eastAsiaTheme="majorEastAsia"/>
                <w:lang w:val="fr-FR"/>
              </w:rPr>
              <w:t xml:space="preserve"> (environ 30)</w:t>
            </w:r>
            <w:r w:rsidR="00836390">
              <w:rPr>
                <w:rFonts w:eastAsiaTheme="majorEastAsia"/>
                <w:lang w:val="fr-FR"/>
              </w:rPr>
              <w:t xml:space="preserve"> </w:t>
            </w:r>
            <w:r w:rsidRPr="00712DC3">
              <w:rPr>
                <w:rFonts w:eastAsiaTheme="majorEastAsia"/>
                <w:lang w:val="fr-FR"/>
              </w:rPr>
              <w:t xml:space="preserve">et des </w:t>
            </w:r>
            <w:r w:rsidR="00E44423" w:rsidRPr="00712DC3">
              <w:rPr>
                <w:rFonts w:eastAsiaTheme="majorEastAsia"/>
                <w:lang w:val="fr-FR"/>
              </w:rPr>
              <w:t>débats</w:t>
            </w:r>
            <w:r w:rsidR="00836390">
              <w:rPr>
                <w:rFonts w:eastAsiaTheme="majorEastAsia"/>
                <w:lang w:val="fr-FR"/>
              </w:rPr>
              <w:t xml:space="preserve"> </w:t>
            </w:r>
            <w:r w:rsidRPr="00712DC3">
              <w:rPr>
                <w:rFonts w:eastAsiaTheme="majorEastAsia"/>
                <w:lang w:val="fr-FR"/>
              </w:rPr>
              <w:t xml:space="preserve">ainsi que des </w:t>
            </w:r>
            <w:r w:rsidR="00E44423" w:rsidRPr="00712DC3">
              <w:rPr>
                <w:rFonts w:eastAsiaTheme="majorEastAsia"/>
                <w:lang w:val="fr-FR"/>
              </w:rPr>
              <w:t>compétenc</w:t>
            </w:r>
            <w:r w:rsidR="00E44423">
              <w:rPr>
                <w:rFonts w:eastAsiaTheme="majorEastAsia"/>
                <w:lang w:val="fr-FR"/>
              </w:rPr>
              <w:t>es</w:t>
            </w:r>
            <w:r w:rsidR="005F5346">
              <w:rPr>
                <w:rFonts w:eastAsiaTheme="majorEastAsia"/>
                <w:lang w:val="fr-FR"/>
              </w:rPr>
              <w:t xml:space="preserve"> des</w:t>
            </w:r>
            <w:r w:rsidR="00836390">
              <w:rPr>
                <w:rFonts w:eastAsiaTheme="majorEastAsia"/>
                <w:lang w:val="fr-FR"/>
              </w:rPr>
              <w:t xml:space="preserve"> </w:t>
            </w:r>
            <w:r w:rsidR="00C87D58">
              <w:rPr>
                <w:rFonts w:eastAsiaTheme="majorEastAsia"/>
                <w:lang w:val="fr-FR"/>
              </w:rPr>
              <w:t>experts de l’</w:t>
            </w:r>
            <w:r w:rsidR="005F5346">
              <w:rPr>
                <w:rFonts w:eastAsiaTheme="majorEastAsia"/>
                <w:lang w:val="fr-FR"/>
              </w:rPr>
              <w:t>UIT</w:t>
            </w:r>
            <w:r w:rsidR="00836390">
              <w:rPr>
                <w:rFonts w:eastAsiaTheme="majorEastAsia"/>
                <w:lang w:val="fr-FR"/>
              </w:rPr>
              <w:t xml:space="preserve"> </w:t>
            </w:r>
            <w:r w:rsidR="005F5346">
              <w:rPr>
                <w:rFonts w:eastAsiaTheme="majorEastAsia"/>
                <w:lang w:val="fr-FR"/>
              </w:rPr>
              <w:t>– U</w:t>
            </w:r>
            <w:r w:rsidRPr="00712DC3">
              <w:rPr>
                <w:rFonts w:eastAsiaTheme="majorEastAsia"/>
                <w:lang w:val="fr-FR"/>
              </w:rPr>
              <w:t>n rapport détaillé du forum,</w:t>
            </w:r>
            <w:r w:rsidR="00836390">
              <w:rPr>
                <w:rFonts w:eastAsiaTheme="majorEastAsia"/>
                <w:lang w:val="fr-FR"/>
              </w:rPr>
              <w:t xml:space="preserve"> </w:t>
            </w:r>
            <w:r w:rsidRPr="00712DC3">
              <w:rPr>
                <w:rFonts w:eastAsiaTheme="majorEastAsia"/>
                <w:lang w:val="fr-FR"/>
              </w:rPr>
              <w:t xml:space="preserve">présentant les principaux </w:t>
            </w:r>
            <w:r w:rsidR="00E44423" w:rsidRPr="00712DC3">
              <w:rPr>
                <w:rFonts w:eastAsiaTheme="majorEastAsia"/>
                <w:lang w:val="fr-FR"/>
              </w:rPr>
              <w:t>résultats</w:t>
            </w:r>
            <w:r w:rsidRPr="00712DC3">
              <w:rPr>
                <w:rFonts w:eastAsiaTheme="majorEastAsia"/>
                <w:lang w:val="fr-FR"/>
              </w:rPr>
              <w:t xml:space="preserve"> obtenus, assortis de recommandations</w:t>
            </w:r>
            <w:r w:rsidR="005F5346">
              <w:rPr>
                <w:rFonts w:eastAsiaTheme="majorEastAsia"/>
                <w:lang w:val="fr-FR"/>
              </w:rPr>
              <w:t>,</w:t>
            </w:r>
            <w:r w:rsidR="00836390">
              <w:rPr>
                <w:rFonts w:eastAsiaTheme="majorEastAsia"/>
                <w:lang w:val="fr-FR"/>
              </w:rPr>
              <w:t xml:space="preserve"> </w:t>
            </w:r>
            <w:r w:rsidRPr="00712DC3">
              <w:rPr>
                <w:rFonts w:eastAsiaTheme="majorEastAsia"/>
                <w:lang w:val="fr-FR"/>
              </w:rPr>
              <w:t>s</w:t>
            </w:r>
            <w:r w:rsidR="005F5346">
              <w:rPr>
                <w:rFonts w:eastAsiaTheme="majorEastAsia"/>
                <w:lang w:val="fr-FR"/>
              </w:rPr>
              <w:t>era posté</w:t>
            </w:r>
            <w:r w:rsidR="00836390">
              <w:rPr>
                <w:rFonts w:eastAsiaTheme="majorEastAsia"/>
                <w:lang w:val="fr-FR"/>
              </w:rPr>
              <w:t xml:space="preserve"> </w:t>
            </w:r>
            <w:r w:rsidR="005F5346">
              <w:rPr>
                <w:rFonts w:eastAsiaTheme="majorEastAsia"/>
                <w:lang w:val="fr-FR"/>
              </w:rPr>
              <w:t>sur le site web du F</w:t>
            </w:r>
            <w:r w:rsidRPr="00712DC3">
              <w:rPr>
                <w:rFonts w:eastAsiaTheme="majorEastAsia"/>
                <w:lang w:val="fr-FR"/>
              </w:rPr>
              <w:t>orum</w:t>
            </w:r>
            <w:r w:rsidR="009543A1">
              <w:rPr>
                <w:rFonts w:eastAsiaTheme="majorEastAsia"/>
                <w:lang w:val="fr-FR"/>
              </w:rPr>
              <w:t>.</w:t>
            </w:r>
          </w:p>
          <w:p w:rsidR="00712DC3" w:rsidRPr="00712DC3" w:rsidRDefault="00712DC3" w:rsidP="009543A1">
            <w:pPr>
              <w:rPr>
                <w:rFonts w:eastAsiaTheme="majorEastAsia"/>
                <w:lang w:val="fr-FR"/>
              </w:rPr>
            </w:pPr>
            <w:r w:rsidRPr="00712DC3">
              <w:rPr>
                <w:rFonts w:eastAsiaTheme="majorEastAsia"/>
                <w:lang w:val="fr-FR"/>
              </w:rPr>
              <w:t xml:space="preserve">Un atelier </w:t>
            </w:r>
            <w:r w:rsidR="00E44423" w:rsidRPr="00712DC3">
              <w:rPr>
                <w:rFonts w:eastAsiaTheme="majorEastAsia"/>
                <w:lang w:val="fr-FR"/>
              </w:rPr>
              <w:t>régional</w:t>
            </w:r>
            <w:r w:rsidRPr="00712DC3">
              <w:rPr>
                <w:rFonts w:eastAsiaTheme="majorEastAsia"/>
                <w:lang w:val="fr-FR"/>
              </w:rPr>
              <w:t xml:space="preserve"> sur les technologies permettant d’atténuer les effets des tremblements de terre et des tsunamis</w:t>
            </w:r>
            <w:r w:rsidR="00836390">
              <w:rPr>
                <w:rFonts w:eastAsiaTheme="majorEastAsia"/>
                <w:lang w:val="fr-FR"/>
              </w:rPr>
              <w:t xml:space="preserve"> </w:t>
            </w:r>
            <w:r w:rsidRPr="00712DC3">
              <w:rPr>
                <w:rFonts w:eastAsiaTheme="majorEastAsia"/>
                <w:lang w:val="fr-FR"/>
              </w:rPr>
              <w:t xml:space="preserve">a été organisé et une </w:t>
            </w:r>
            <w:r w:rsidR="00E44423" w:rsidRPr="00712DC3">
              <w:rPr>
                <w:rFonts w:eastAsiaTheme="majorEastAsia"/>
                <w:lang w:val="fr-FR"/>
              </w:rPr>
              <w:t>démonstration</w:t>
            </w:r>
            <w:r w:rsidRPr="00712DC3">
              <w:rPr>
                <w:rFonts w:eastAsiaTheme="majorEastAsia"/>
                <w:lang w:val="fr-FR"/>
              </w:rPr>
              <w:t xml:space="preserve"> d’un prototype de système</w:t>
            </w:r>
            <w:r w:rsidR="00836390">
              <w:rPr>
                <w:rFonts w:eastAsiaTheme="majorEastAsia"/>
                <w:lang w:val="fr-FR"/>
              </w:rPr>
              <w:t xml:space="preserve"> </w:t>
            </w:r>
            <w:r w:rsidRPr="00712DC3">
              <w:rPr>
                <w:lang w:val="fr-FR"/>
              </w:rPr>
              <w:t>de radiodiffusion d'alerte en cas d'urgence (EWBS) sur</w:t>
            </w:r>
            <w:r w:rsidR="00836390">
              <w:rPr>
                <w:lang w:val="fr-FR"/>
              </w:rPr>
              <w:t xml:space="preserve"> </w:t>
            </w:r>
            <w:r w:rsidRPr="00712DC3">
              <w:rPr>
                <w:lang w:val="fr-FR"/>
              </w:rPr>
              <w:t>l'alerte</w:t>
            </w:r>
            <w:r w:rsidR="00836390">
              <w:rPr>
                <w:lang w:val="fr-FR"/>
              </w:rPr>
              <w:t xml:space="preserve"> </w:t>
            </w:r>
            <w:r w:rsidRPr="00712DC3">
              <w:rPr>
                <w:lang w:val="fr-FR"/>
              </w:rPr>
              <w:t>aux tsunamis a été présentée</w:t>
            </w:r>
            <w:r w:rsidR="00836390">
              <w:rPr>
                <w:lang w:val="fr-FR"/>
              </w:rPr>
              <w:t>.</w:t>
            </w:r>
            <w:r w:rsidR="00836390">
              <w:rPr>
                <w:rFonts w:eastAsiaTheme="majorEastAsia"/>
                <w:lang w:val="fr-FR"/>
              </w:rPr>
              <w:t xml:space="preserve"> </w:t>
            </w:r>
          </w:p>
          <w:p w:rsidR="00712DC3" w:rsidRPr="00712DC3" w:rsidRDefault="00712DC3" w:rsidP="009543A1">
            <w:pPr>
              <w:rPr>
                <w:lang w:val="fr-FR"/>
              </w:rPr>
            </w:pPr>
            <w:r w:rsidRPr="00712DC3">
              <w:rPr>
                <w:lang w:val="fr-FR"/>
              </w:rPr>
              <w:t>L'UIT a contribué</w:t>
            </w:r>
            <w:r w:rsidR="00836390">
              <w:rPr>
                <w:lang w:val="fr-FR"/>
              </w:rPr>
              <w:t xml:space="preserve"> </w:t>
            </w:r>
            <w:r w:rsidRPr="00712DC3">
              <w:rPr>
                <w:lang w:val="fr-FR"/>
              </w:rPr>
              <w:t>à la mise au point d'un système d'alerte avancée respectueux de l'environnement, en mettant en place des sirènes et des centres de commande à énergie solaire</w:t>
            </w:r>
            <w:r w:rsidR="00836390">
              <w:rPr>
                <w:lang w:val="fr-FR"/>
              </w:rPr>
              <w:t xml:space="preserve"> </w:t>
            </w:r>
            <w:r w:rsidRPr="00712DC3">
              <w:rPr>
                <w:lang w:val="fr-FR"/>
              </w:rPr>
              <w:t>dans l'est de l'Ouganda. Le pays a ainsi pu déployer une solution durable face aux changements climatiques et aux risques accrus d'inondation.</w:t>
            </w:r>
          </w:p>
        </w:tc>
      </w:tr>
      <w:tr w:rsidR="00712DC3" w:rsidRPr="00712DC3" w:rsidTr="009543A1">
        <w:tc>
          <w:tcPr>
            <w:tcW w:w="3256" w:type="dxa"/>
            <w:tcBorders>
              <w:top w:val="single" w:sz="4" w:space="0" w:color="auto"/>
              <w:bottom w:val="single" w:sz="4" w:space="0" w:color="auto"/>
              <w:right w:val="single" w:sz="4" w:space="0" w:color="auto"/>
            </w:tcBorders>
          </w:tcPr>
          <w:p w:rsidR="00712DC3" w:rsidRPr="00C87D58" w:rsidRDefault="00431AC4" w:rsidP="00712DC3">
            <w:pPr>
              <w:rPr>
                <w:i/>
                <w:iCs/>
                <w:szCs w:val="24"/>
              </w:rPr>
            </w:pPr>
            <w:r w:rsidRPr="00C87D58">
              <w:rPr>
                <w:i/>
                <w:iCs/>
              </w:rPr>
              <w:t xml:space="preserve">Contribution aux cibles des ODD </w:t>
            </w:r>
          </w:p>
        </w:tc>
        <w:tc>
          <w:tcPr>
            <w:tcW w:w="6373" w:type="dxa"/>
            <w:tcBorders>
              <w:top w:val="single" w:sz="4" w:space="0" w:color="auto"/>
              <w:left w:val="single" w:sz="4" w:space="0" w:color="auto"/>
              <w:bottom w:val="single" w:sz="4" w:space="0" w:color="auto"/>
            </w:tcBorders>
          </w:tcPr>
          <w:p w:rsidR="00712DC3" w:rsidRPr="00C87D58" w:rsidRDefault="00712DC3" w:rsidP="00C87D58">
            <w:r w:rsidRPr="00C87D58">
              <w:rPr>
                <w:rFonts w:eastAsiaTheme="majorEastAsia"/>
                <w:szCs w:val="24"/>
              </w:rPr>
              <w:t>ODD</w:t>
            </w:r>
            <w:r w:rsidR="00836390" w:rsidRPr="00C87D58">
              <w:rPr>
                <w:rFonts w:eastAsiaTheme="majorEastAsia"/>
                <w:szCs w:val="24"/>
              </w:rPr>
              <w:t>:</w:t>
            </w:r>
            <w:r w:rsidRPr="00C87D58">
              <w:rPr>
                <w:rFonts w:eastAsiaTheme="majorEastAsia"/>
                <w:szCs w:val="24"/>
              </w:rPr>
              <w:t xml:space="preserve"> 3 (cible 3.9), 5 (cible 5b), 9, 11 (cible 11b), 13 (cibles 13.1, 13.2 </w:t>
            </w:r>
            <w:r w:rsidR="00C87D58" w:rsidRPr="00C87D58">
              <w:rPr>
                <w:rFonts w:eastAsiaTheme="majorEastAsia"/>
                <w:szCs w:val="24"/>
              </w:rPr>
              <w:t>et</w:t>
            </w:r>
            <w:r w:rsidRPr="00C87D58">
              <w:rPr>
                <w:rFonts w:eastAsiaTheme="majorEastAsia"/>
                <w:szCs w:val="24"/>
              </w:rPr>
              <w:t xml:space="preserve"> 13.3), 14,</w:t>
            </w:r>
            <w:r w:rsidR="00C87D58">
              <w:rPr>
                <w:rFonts w:eastAsiaTheme="majorEastAsia"/>
                <w:szCs w:val="24"/>
              </w:rPr>
              <w:t xml:space="preserve"> </w:t>
            </w:r>
            <w:r w:rsidRPr="00C87D58">
              <w:rPr>
                <w:rFonts w:eastAsiaTheme="majorEastAsia"/>
                <w:szCs w:val="24"/>
              </w:rPr>
              <w:t>15</w:t>
            </w:r>
          </w:p>
        </w:tc>
      </w:tr>
      <w:tr w:rsidR="00712DC3" w:rsidRPr="00712DC3" w:rsidTr="009543A1">
        <w:trPr>
          <w:trHeight w:val="397"/>
        </w:trPr>
        <w:tc>
          <w:tcPr>
            <w:tcW w:w="3256" w:type="dxa"/>
            <w:tcBorders>
              <w:top w:val="single" w:sz="4" w:space="0" w:color="auto"/>
              <w:bottom w:val="single" w:sz="4" w:space="0" w:color="auto"/>
              <w:right w:val="single" w:sz="4" w:space="0" w:color="auto"/>
            </w:tcBorders>
          </w:tcPr>
          <w:p w:rsidR="00712DC3" w:rsidRPr="00C87D58" w:rsidRDefault="00712DC3" w:rsidP="00712DC3">
            <w:pPr>
              <w:rPr>
                <w:i/>
                <w:iCs/>
                <w:szCs w:val="24"/>
              </w:rPr>
            </w:pPr>
            <w:r w:rsidRPr="00C87D58">
              <w:rPr>
                <w:i/>
                <w:iCs/>
              </w:rPr>
              <w:lastRenderedPageBreak/>
              <w:t>Grandes orientations du SMSI</w:t>
            </w:r>
          </w:p>
        </w:tc>
        <w:tc>
          <w:tcPr>
            <w:tcW w:w="6373" w:type="dxa"/>
            <w:tcBorders>
              <w:top w:val="single" w:sz="4" w:space="0" w:color="auto"/>
              <w:left w:val="single" w:sz="4" w:space="0" w:color="auto"/>
              <w:bottom w:val="single" w:sz="4" w:space="0" w:color="auto"/>
            </w:tcBorders>
          </w:tcPr>
          <w:p w:rsidR="00712DC3" w:rsidRPr="00712DC3" w:rsidRDefault="00712DC3" w:rsidP="00712DC3">
            <w:pPr>
              <w:rPr>
                <w:lang w:val="fr-FR"/>
              </w:rPr>
            </w:pPr>
            <w:r w:rsidRPr="00712DC3">
              <w:rPr>
                <w:lang w:val="fr-FR"/>
              </w:rPr>
              <w:t>La grande orientation C7 (cyberécologie) figurant dans le Plan d'action de Genève est étr</w:t>
            </w:r>
            <w:r w:rsidR="00C87D58">
              <w:rPr>
                <w:lang w:val="fr-FR"/>
              </w:rPr>
              <w:t>oitement liée au Produit D.</w:t>
            </w:r>
            <w:r w:rsidR="009543A1">
              <w:rPr>
                <w:lang w:val="fr-FR"/>
              </w:rPr>
              <w:t>5.1</w:t>
            </w:r>
          </w:p>
        </w:tc>
      </w:tr>
      <w:tr w:rsidR="00712DC3" w:rsidRPr="00712DC3" w:rsidTr="009543A1">
        <w:tc>
          <w:tcPr>
            <w:tcW w:w="3256" w:type="dxa"/>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t>Résolutions:</w:t>
            </w:r>
          </w:p>
        </w:tc>
        <w:tc>
          <w:tcPr>
            <w:tcW w:w="6373" w:type="dxa"/>
            <w:tcBorders>
              <w:top w:val="single" w:sz="4" w:space="0" w:color="auto"/>
              <w:left w:val="single" w:sz="4" w:space="0" w:color="auto"/>
              <w:bottom w:val="single" w:sz="4" w:space="0" w:color="auto"/>
            </w:tcBorders>
          </w:tcPr>
          <w:p w:rsidR="00712DC3" w:rsidRPr="00712DC3" w:rsidRDefault="009543A1" w:rsidP="00712DC3">
            <w:pPr>
              <w:rPr>
                <w:lang w:val="fr-FR"/>
              </w:rPr>
            </w:pPr>
            <w:r>
              <w:rPr>
                <w:lang w:val="fr-FR"/>
              </w:rPr>
              <w:t>Décisions 5 et 13 de la PP</w:t>
            </w:r>
          </w:p>
          <w:p w:rsidR="00712DC3" w:rsidRPr="00712DC3" w:rsidRDefault="00712DC3" w:rsidP="00C87D58">
            <w:pPr>
              <w:rPr>
                <w:lang w:val="en-US"/>
              </w:rPr>
            </w:pPr>
            <w:r w:rsidRPr="00712DC3">
              <w:rPr>
                <w:lang w:val="en-US"/>
              </w:rPr>
              <w:t>Résolutions 25, 71, 172, 182</w:t>
            </w:r>
            <w:r w:rsidR="00C87D58" w:rsidRPr="00712DC3">
              <w:rPr>
                <w:lang w:val="en-US"/>
              </w:rPr>
              <w:t xml:space="preserve"> </w:t>
            </w:r>
            <w:r w:rsidR="00C87D58" w:rsidRPr="00712DC3">
              <w:rPr>
                <w:lang w:val="en-US"/>
              </w:rPr>
              <w:t>de la PP</w:t>
            </w:r>
          </w:p>
        </w:tc>
      </w:tr>
    </w:tbl>
    <w:p w:rsidR="00712DC3" w:rsidRPr="00712DC3" w:rsidRDefault="00712DC3" w:rsidP="009543A1">
      <w:pPr>
        <w:pStyle w:val="Heading2"/>
        <w:rPr>
          <w:lang w:val="fr-FR"/>
        </w:rPr>
      </w:pPr>
      <w:bookmarkStart w:id="43" w:name="_Toc467807709"/>
      <w:bookmarkStart w:id="44" w:name="_Toc468087108"/>
      <w:r w:rsidRPr="00712DC3">
        <w:rPr>
          <w:lang w:val="fr-FR"/>
        </w:rPr>
        <w:t>5.2</w:t>
      </w:r>
      <w:r w:rsidRPr="00712DC3">
        <w:rPr>
          <w:lang w:val="fr-FR"/>
        </w:rPr>
        <w:tab/>
        <w:t>Télécommunications d'urgence</w:t>
      </w:r>
      <w:bookmarkEnd w:id="43"/>
      <w:bookmarkEnd w:id="44"/>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373"/>
      </w:tblGrid>
      <w:tr w:rsidR="00712DC3" w:rsidRPr="00712DC3" w:rsidTr="001347FB">
        <w:tc>
          <w:tcPr>
            <w:tcW w:w="9629" w:type="dxa"/>
            <w:gridSpan w:val="2"/>
            <w:tcBorders>
              <w:bottom w:val="single" w:sz="4" w:space="0" w:color="auto"/>
            </w:tcBorders>
          </w:tcPr>
          <w:p w:rsidR="00712DC3" w:rsidRPr="00712DC3" w:rsidRDefault="00712DC3" w:rsidP="00712DC3">
            <w:pPr>
              <w:rPr>
                <w:lang w:val="fr-FR"/>
              </w:rPr>
            </w:pPr>
            <w:r w:rsidRPr="00712DC3">
              <w:rPr>
                <w:lang w:val="fr-FR"/>
              </w:rPr>
              <w:t>L'UIT a facilité les interventions d'urgence en cas de catastrophe, renforcé les capacités et amélioré les communications pour les opérations de secours. Elle a aidé 15 Etats Membres frappés par une catastrophe à rétablir leurs réseaux de communication, en fournissant une assistance directe: évaluations des dégâts subis par les équipements et les infrastructures, reconstruction et remise en état des infrastructures de télécommunication. Dans le cadre de ces interventions, plus de 350 utilisateurs ont été formés à l'utilisation du matériel de télécommunication par satellite lors de 15 ateliers sur le renforcement des capacités.</w:t>
            </w:r>
          </w:p>
          <w:p w:rsidR="00712DC3" w:rsidRPr="00712DC3" w:rsidRDefault="00712DC3" w:rsidP="00712DC3">
            <w:pPr>
              <w:rPr>
                <w:lang w:val="fr-FR"/>
              </w:rPr>
            </w:pPr>
            <w:r w:rsidRPr="00712DC3">
              <w:rPr>
                <w:lang w:val="fr-FR"/>
              </w:rPr>
              <w:t xml:space="preserve">En organisant le deuxième Forum mondial sur les télécommunications d'urgence: </w:t>
            </w:r>
            <w:r w:rsidR="00C87D58" w:rsidRPr="00712DC3">
              <w:rPr>
                <w:lang w:val="fr-FR"/>
              </w:rPr>
              <w:t>SAUVER DES VIES</w:t>
            </w:r>
            <w:r w:rsidRPr="00712DC3">
              <w:rPr>
                <w:lang w:val="fr-FR"/>
              </w:rPr>
              <w:t xml:space="preserve"> (GET-2016), qui s'est tenu à Koweït (Koweït) du 26 au 28 janvier 2016, l'UIT a </w:t>
            </w:r>
            <w:r w:rsidR="00E44423" w:rsidRPr="00712DC3">
              <w:rPr>
                <w:lang w:val="fr-FR"/>
              </w:rPr>
              <w:t>contribué</w:t>
            </w:r>
            <w:r w:rsidRPr="00712DC3">
              <w:rPr>
                <w:lang w:val="fr-FR"/>
              </w:rPr>
              <w:t xml:space="preserve"> à</w:t>
            </w:r>
            <w:r w:rsidR="00836390">
              <w:rPr>
                <w:lang w:val="fr-FR"/>
              </w:rPr>
              <w:t xml:space="preserve"> </w:t>
            </w:r>
            <w:r w:rsidRPr="00712DC3">
              <w:rPr>
                <w:lang w:val="fr-FR"/>
              </w:rPr>
              <w:t>sensibiliser les pays et</w:t>
            </w:r>
            <w:r w:rsidR="00836390">
              <w:rPr>
                <w:lang w:val="fr-FR"/>
              </w:rPr>
              <w:t xml:space="preserve"> </w:t>
            </w:r>
            <w:r w:rsidRPr="00712DC3">
              <w:rPr>
                <w:lang w:val="fr-FR"/>
              </w:rPr>
              <w:t>à renforcer leurs capacités d’exploiter les TIC pour les télécommunications d'urgence et à améliorer</w:t>
            </w:r>
            <w:r w:rsidR="00836390">
              <w:rPr>
                <w:lang w:val="fr-FR"/>
              </w:rPr>
              <w:t xml:space="preserve"> </w:t>
            </w:r>
            <w:r w:rsidRPr="00712DC3">
              <w:rPr>
                <w:lang w:val="fr-FR"/>
              </w:rPr>
              <w:t>le dialogue entre experts de la gestion des catastrophes issus, notamment, d'organismes publics, du secteur privé, d'organisations internationales et d'organisations non gouvernementales, dont des organisations humanitaires. Plus de 500 personnes représentant des Etats Membres de l'UIT, le secteur privé, des institutions des Nations Unies, des ONG, les milieux universitaire</w:t>
            </w:r>
            <w:r w:rsidR="005F5346">
              <w:rPr>
                <w:lang w:val="fr-FR"/>
              </w:rPr>
              <w:t>s</w:t>
            </w:r>
            <w:r w:rsidRPr="00712DC3">
              <w:rPr>
                <w:lang w:val="fr-FR"/>
              </w:rPr>
              <w:t xml:space="preserve"> et des organisations humanitaires ont participé à ce Forum. La manifestation a permis de mettre en avant le rôle important des télécommunications/TIC dans la mise en oeuvre du Cadre de Sendai et de formuler des recommandations concrètes sur la manière d'utiliser les TIC pour aider les pays à atteindre les Objectifs de développement durable (ODD) convenus.</w:t>
            </w:r>
          </w:p>
        </w:tc>
      </w:tr>
      <w:tr w:rsidR="00712DC3" w:rsidRPr="00712DC3" w:rsidTr="001347FB">
        <w:tc>
          <w:tcPr>
            <w:tcW w:w="3256" w:type="dxa"/>
            <w:tcBorders>
              <w:top w:val="single" w:sz="4" w:space="0" w:color="auto"/>
              <w:bottom w:val="single" w:sz="4" w:space="0" w:color="auto"/>
              <w:right w:val="single" w:sz="4" w:space="0" w:color="auto"/>
            </w:tcBorders>
          </w:tcPr>
          <w:p w:rsidR="00712DC3" w:rsidRPr="00C87D58" w:rsidRDefault="00431AC4" w:rsidP="00712DC3">
            <w:pPr>
              <w:rPr>
                <w:i/>
                <w:iCs/>
                <w:szCs w:val="24"/>
              </w:rPr>
            </w:pPr>
            <w:r w:rsidRPr="00C87D58">
              <w:rPr>
                <w:i/>
                <w:iCs/>
              </w:rPr>
              <w:t xml:space="preserve">Contribution aux cibles des ODD </w:t>
            </w:r>
          </w:p>
        </w:tc>
        <w:tc>
          <w:tcPr>
            <w:tcW w:w="6373" w:type="dxa"/>
            <w:tcBorders>
              <w:top w:val="single" w:sz="4" w:space="0" w:color="auto"/>
              <w:left w:val="single" w:sz="4" w:space="0" w:color="auto"/>
              <w:bottom w:val="single" w:sz="4" w:space="0" w:color="auto"/>
            </w:tcBorders>
          </w:tcPr>
          <w:p w:rsidR="00712DC3" w:rsidRPr="00C87D58" w:rsidRDefault="00712DC3" w:rsidP="00C87D58">
            <w:r w:rsidRPr="00C87D58">
              <w:rPr>
                <w:szCs w:val="24"/>
              </w:rPr>
              <w:t>ODD</w:t>
            </w:r>
            <w:r w:rsidR="00836390" w:rsidRPr="00C87D58">
              <w:rPr>
                <w:szCs w:val="24"/>
              </w:rPr>
              <w:t>:</w:t>
            </w:r>
            <w:r w:rsidRPr="00C87D58">
              <w:rPr>
                <w:szCs w:val="24"/>
              </w:rPr>
              <w:t xml:space="preserve"> 3 (cible 3.9), 5 (cible 5b), 11 (cible 11b), 13 (cibles 13.1, 13.2 </w:t>
            </w:r>
            <w:r w:rsidR="00C87D58" w:rsidRPr="00C87D58">
              <w:rPr>
                <w:szCs w:val="24"/>
              </w:rPr>
              <w:t>et</w:t>
            </w:r>
            <w:r w:rsidRPr="00C87D58">
              <w:rPr>
                <w:szCs w:val="24"/>
              </w:rPr>
              <w:t xml:space="preserve"> 13.3), 14, 15</w:t>
            </w:r>
          </w:p>
        </w:tc>
      </w:tr>
      <w:tr w:rsidR="00712DC3" w:rsidRPr="00712DC3" w:rsidTr="001347FB">
        <w:trPr>
          <w:trHeight w:val="397"/>
        </w:trPr>
        <w:tc>
          <w:tcPr>
            <w:tcW w:w="3256" w:type="dxa"/>
            <w:tcBorders>
              <w:top w:val="single" w:sz="4" w:space="0" w:color="auto"/>
              <w:bottom w:val="single" w:sz="4" w:space="0" w:color="auto"/>
              <w:right w:val="single" w:sz="4" w:space="0" w:color="auto"/>
            </w:tcBorders>
          </w:tcPr>
          <w:p w:rsidR="00712DC3" w:rsidRPr="00C87D58" w:rsidRDefault="00712DC3" w:rsidP="00712DC3">
            <w:pPr>
              <w:rPr>
                <w:i/>
                <w:iCs/>
                <w:szCs w:val="24"/>
              </w:rPr>
            </w:pPr>
            <w:r w:rsidRPr="00C87D58">
              <w:rPr>
                <w:i/>
                <w:iCs/>
              </w:rPr>
              <w:t>Grandes orientations du SMSI</w:t>
            </w:r>
          </w:p>
        </w:tc>
        <w:tc>
          <w:tcPr>
            <w:tcW w:w="6373" w:type="dxa"/>
            <w:tcBorders>
              <w:top w:val="single" w:sz="4" w:space="0" w:color="auto"/>
              <w:left w:val="single" w:sz="4" w:space="0" w:color="auto"/>
              <w:bottom w:val="single" w:sz="4" w:space="0" w:color="auto"/>
            </w:tcBorders>
          </w:tcPr>
          <w:p w:rsidR="00712DC3" w:rsidRPr="00712DC3" w:rsidRDefault="00E44423" w:rsidP="00712DC3">
            <w:pPr>
              <w:rPr>
                <w:lang w:val="en-US"/>
              </w:rPr>
            </w:pPr>
            <w:r w:rsidRPr="00712DC3">
              <w:rPr>
                <w:lang w:val="en-US"/>
              </w:rPr>
              <w:t>Grande</w:t>
            </w:r>
            <w:r w:rsidR="00712DC3" w:rsidRPr="00712DC3">
              <w:rPr>
                <w:lang w:val="en-US"/>
              </w:rPr>
              <w:t xml:space="preserve"> orientation C7 </w:t>
            </w:r>
          </w:p>
        </w:tc>
      </w:tr>
      <w:tr w:rsidR="00712DC3" w:rsidRPr="00712DC3" w:rsidTr="001347FB">
        <w:tc>
          <w:tcPr>
            <w:tcW w:w="3256" w:type="dxa"/>
            <w:tcBorders>
              <w:top w:val="single" w:sz="4" w:space="0" w:color="auto"/>
              <w:bottom w:val="single" w:sz="4" w:space="0" w:color="auto"/>
              <w:right w:val="single" w:sz="4" w:space="0" w:color="auto"/>
            </w:tcBorders>
          </w:tcPr>
          <w:p w:rsidR="00712DC3" w:rsidRPr="00712DC3" w:rsidRDefault="00712DC3" w:rsidP="00712DC3">
            <w:pPr>
              <w:rPr>
                <w:i/>
                <w:iCs/>
                <w:szCs w:val="24"/>
              </w:rPr>
            </w:pPr>
            <w:r w:rsidRPr="00712DC3">
              <w:rPr>
                <w:i/>
                <w:iCs/>
                <w:szCs w:val="24"/>
              </w:rPr>
              <w:t>Résolutions:</w:t>
            </w:r>
          </w:p>
        </w:tc>
        <w:tc>
          <w:tcPr>
            <w:tcW w:w="6373" w:type="dxa"/>
            <w:tcBorders>
              <w:top w:val="single" w:sz="4" w:space="0" w:color="auto"/>
              <w:left w:val="single" w:sz="4" w:space="0" w:color="auto"/>
              <w:bottom w:val="single" w:sz="4" w:space="0" w:color="auto"/>
            </w:tcBorders>
          </w:tcPr>
          <w:p w:rsidR="00712DC3" w:rsidRPr="00712DC3" w:rsidRDefault="00712DC3" w:rsidP="00C87D58">
            <w:pPr>
              <w:rPr>
                <w:lang w:val="fr-FR"/>
              </w:rPr>
            </w:pPr>
            <w:r w:rsidRPr="00712DC3">
              <w:rPr>
                <w:lang w:val="fr-FR"/>
              </w:rPr>
              <w:t>Décisions</w:t>
            </w:r>
            <w:r w:rsidR="00836390">
              <w:rPr>
                <w:lang w:val="fr-FR"/>
              </w:rPr>
              <w:t>:</w:t>
            </w:r>
            <w:r w:rsidRPr="00712DC3">
              <w:rPr>
                <w:lang w:val="fr-FR"/>
              </w:rPr>
              <w:t xml:space="preserve"> 5</w:t>
            </w:r>
            <w:r w:rsidR="00C87D58">
              <w:rPr>
                <w:lang w:val="fr-FR"/>
              </w:rPr>
              <w:t xml:space="preserve"> </w:t>
            </w:r>
            <w:r w:rsidRPr="00712DC3">
              <w:rPr>
                <w:lang w:val="fr-FR"/>
              </w:rPr>
              <w:t>et 13 de la PP</w:t>
            </w:r>
          </w:p>
          <w:p w:rsidR="00712DC3" w:rsidRPr="00712DC3" w:rsidRDefault="00712DC3" w:rsidP="00712DC3">
            <w:pPr>
              <w:rPr>
                <w:lang w:val="fr-FR"/>
              </w:rPr>
            </w:pPr>
            <w:r w:rsidRPr="00712DC3">
              <w:rPr>
                <w:lang w:val="fr-FR"/>
              </w:rPr>
              <w:t xml:space="preserve">Résolutions 25, 37, 71, </w:t>
            </w:r>
            <w:r w:rsidR="001347FB">
              <w:rPr>
                <w:lang w:val="fr-FR"/>
              </w:rPr>
              <w:t>98, 136, 140, 182, 202 de la PP</w:t>
            </w:r>
          </w:p>
        </w:tc>
      </w:tr>
    </w:tbl>
    <w:p w:rsidR="00712DC3" w:rsidRPr="00712DC3" w:rsidRDefault="00712DC3" w:rsidP="00712DC3">
      <w:pPr>
        <w:rPr>
          <w:rFonts w:ascii="Times New Roman" w:hAnsi="Times New Roman"/>
          <w:lang w:val="fr-FR"/>
        </w:rPr>
      </w:pPr>
    </w:p>
    <w:p w:rsidR="00712DC3" w:rsidRPr="00712DC3" w:rsidRDefault="00712DC3" w:rsidP="00712DC3">
      <w:pPr>
        <w:jc w:val="center"/>
      </w:pPr>
      <w:r w:rsidRPr="00712DC3">
        <w:t>______________</w:t>
      </w:r>
    </w:p>
    <w:p w:rsidR="00712DC3" w:rsidRPr="00712DC3" w:rsidRDefault="00712DC3" w:rsidP="00712DC3"/>
    <w:p w:rsidR="00712DC3" w:rsidRPr="00712DC3" w:rsidRDefault="00712DC3" w:rsidP="00712DC3">
      <w:pPr>
        <w:spacing w:after="200" w:line="276" w:lineRule="auto"/>
        <w:rPr>
          <w:rFonts w:cs="Arial"/>
          <w:lang w:val="fr-FR"/>
        </w:rPr>
      </w:pPr>
    </w:p>
    <w:p w:rsidR="00421056" w:rsidRDefault="00421056"/>
    <w:sectPr w:rsidR="00421056" w:rsidSect="00431AC4">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390" w:rsidRDefault="00836390">
      <w:pPr>
        <w:spacing w:before="0"/>
      </w:pPr>
      <w:r>
        <w:separator/>
      </w:r>
    </w:p>
  </w:endnote>
  <w:endnote w:type="continuationSeparator" w:id="0">
    <w:p w:rsidR="00836390" w:rsidRDefault="0083639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90" w:rsidRPr="008F25E9" w:rsidRDefault="00836390" w:rsidP="00431AC4">
    <w:pPr>
      <w:pStyle w:val="Footer"/>
      <w:rPr>
        <w:lang w:val="es-ES_tradnl"/>
      </w:rPr>
    </w:pPr>
    <w:r>
      <w:fldChar w:fldCharType="begin"/>
    </w:r>
    <w:r w:rsidRPr="008F25E9">
      <w:rPr>
        <w:lang w:val="es-ES_tradnl"/>
      </w:rPr>
      <w:instrText xml:space="preserve"> FILENAME \p  \* MERGEFORMAT </w:instrText>
    </w:r>
    <w:r>
      <w:fldChar w:fldCharType="separate"/>
    </w:r>
    <w:r w:rsidRPr="008F25E9">
      <w:rPr>
        <w:lang w:val="es-ES_tradnl"/>
      </w:rPr>
      <w:t>P:\FRA\ITU-D\CONF-D\TDAG17\000\004F.docx</w:t>
    </w:r>
    <w:r>
      <w:fldChar w:fldCharType="end"/>
    </w:r>
    <w:r w:rsidRPr="008F25E9">
      <w:rPr>
        <w:lang w:val="es-ES_tradnl"/>
      </w:rPr>
      <w:t xml:space="preserve"> (413967</w:t>
    </w:r>
    <w:r w:rsidR="00A27F03">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90" w:rsidRDefault="00836390" w:rsidP="00431AC4">
    <w:pPr>
      <w:pStyle w:val="Footer"/>
      <w:jc w:val="center"/>
      <w:rPr>
        <w:rStyle w:val="Hyperlink"/>
        <w:caps w:val="0"/>
        <w:noProof w:val="0"/>
        <w:sz w:val="18"/>
        <w:szCs w:val="18"/>
        <w:lang w:val="en-US"/>
      </w:rPr>
    </w:pPr>
    <w:hyperlink r:id="rId1" w:history="1">
      <w:r w:rsidRPr="00E5750F">
        <w:rPr>
          <w:rStyle w:val="Hyperlink"/>
          <w:caps w:val="0"/>
          <w:noProof w:val="0"/>
          <w:sz w:val="18"/>
          <w:szCs w:val="18"/>
          <w:lang w:val="en-US"/>
        </w:rPr>
        <w:t>http://www.itu.int/ITU-D/TDAG/</w:t>
      </w:r>
    </w:hyperlink>
    <w:r>
      <w:rPr>
        <w:rStyle w:val="Hyperlink"/>
        <w:caps w:val="0"/>
        <w:noProof w:val="0"/>
        <w:sz w:val="18"/>
        <w:szCs w:val="18"/>
        <w:lang w:val="en-US"/>
      </w:rPr>
      <w:t xml:space="preserve"> </w:t>
    </w:r>
  </w:p>
  <w:p w:rsidR="00836390" w:rsidRDefault="00836390" w:rsidP="00431AC4">
    <w:pPr>
      <w:pStyle w:val="Footer"/>
    </w:pPr>
  </w:p>
  <w:p w:rsidR="00836390" w:rsidRPr="008F25E9" w:rsidRDefault="00836390" w:rsidP="00431AC4">
    <w:pPr>
      <w:pStyle w:val="Footer"/>
      <w:rPr>
        <w:lang w:val="es-ES_tradnl"/>
      </w:rPr>
    </w:pPr>
    <w:r>
      <w:fldChar w:fldCharType="begin"/>
    </w:r>
    <w:r w:rsidRPr="008F25E9">
      <w:rPr>
        <w:lang w:val="es-ES_tradnl"/>
      </w:rPr>
      <w:instrText xml:space="preserve"> FILENAME \p  \* MERGEFORMAT </w:instrText>
    </w:r>
    <w:r>
      <w:fldChar w:fldCharType="separate"/>
    </w:r>
    <w:r w:rsidRPr="008F25E9">
      <w:rPr>
        <w:lang w:val="es-ES_tradnl"/>
      </w:rPr>
      <w:t>P:\FRA\ITU-D\CONF-D\TDAG17\000\004F.docx</w:t>
    </w:r>
    <w:r>
      <w:fldChar w:fldCharType="end"/>
    </w:r>
    <w:r w:rsidRPr="008F25E9">
      <w:rPr>
        <w:lang w:val="es-ES_tradnl"/>
      </w:rPr>
      <w:t xml:space="preserve"> (413967)</w:t>
    </w:r>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390" w:rsidRDefault="00836390">
      <w:pPr>
        <w:spacing w:before="0"/>
      </w:pPr>
      <w:r>
        <w:separator/>
      </w:r>
    </w:p>
  </w:footnote>
  <w:footnote w:type="continuationSeparator" w:id="0">
    <w:p w:rsidR="00836390" w:rsidRDefault="0083639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90" w:rsidRPr="008F25E9" w:rsidRDefault="00836390" w:rsidP="00431AC4">
    <w:pPr>
      <w:tabs>
        <w:tab w:val="center" w:pos="4820"/>
        <w:tab w:val="right" w:pos="9639"/>
      </w:tabs>
      <w:ind w:right="1"/>
      <w:rPr>
        <w:smallCaps/>
        <w:spacing w:val="24"/>
      </w:rPr>
    </w:pPr>
    <w:r w:rsidRPr="00972BCD">
      <w:tab/>
    </w:r>
    <w:r>
      <w:tab/>
    </w:r>
    <w:r>
      <w:tab/>
    </w:r>
    <w:r>
      <w:tab/>
    </w:r>
    <w:r>
      <w:tab/>
    </w:r>
    <w:r w:rsidRPr="008F25E9">
      <w:t>ITU-D/TDAG17-22/4-F</w:t>
    </w:r>
    <w:r w:rsidRPr="008F25E9">
      <w:tab/>
      <w:t xml:space="preserve">Page </w:t>
    </w:r>
    <w:r w:rsidRPr="006D271A">
      <w:rPr>
        <w:lang w:val="de-CH"/>
      </w:rPr>
      <w:fldChar w:fldCharType="begin"/>
    </w:r>
    <w:r w:rsidRPr="008F25E9">
      <w:instrText xml:space="preserve"> PAGE </w:instrText>
    </w:r>
    <w:r w:rsidRPr="006D271A">
      <w:rPr>
        <w:lang w:val="de-CH"/>
      </w:rPr>
      <w:fldChar w:fldCharType="separate"/>
    </w:r>
    <w:r w:rsidR="00C87D58">
      <w:rPr>
        <w:noProof/>
      </w:rPr>
      <w:t>21</w:t>
    </w:r>
    <w:r w:rsidRPr="006D271A">
      <w:rPr>
        <w:lang w:val="de-CH"/>
      </w:rPr>
      <w:fldChar w:fldCharType="end"/>
    </w:r>
  </w:p>
  <w:p w:rsidR="00836390" w:rsidRPr="00A525CC" w:rsidRDefault="00836390" w:rsidP="00431AC4">
    <w:pPr>
      <w:pStyle w:val="Header"/>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C3"/>
    <w:rsid w:val="00096884"/>
    <w:rsid w:val="001347FB"/>
    <w:rsid w:val="0022438E"/>
    <w:rsid w:val="00240F29"/>
    <w:rsid w:val="00277952"/>
    <w:rsid w:val="002C7F7D"/>
    <w:rsid w:val="003035D2"/>
    <w:rsid w:val="00421056"/>
    <w:rsid w:val="00431AC4"/>
    <w:rsid w:val="004F7A68"/>
    <w:rsid w:val="005024F4"/>
    <w:rsid w:val="00542DBB"/>
    <w:rsid w:val="005A0AB8"/>
    <w:rsid w:val="005E67D0"/>
    <w:rsid w:val="005F5346"/>
    <w:rsid w:val="006151FD"/>
    <w:rsid w:val="006A2D50"/>
    <w:rsid w:val="00712DC3"/>
    <w:rsid w:val="007A5E17"/>
    <w:rsid w:val="007B060C"/>
    <w:rsid w:val="007D043A"/>
    <w:rsid w:val="0080433D"/>
    <w:rsid w:val="00836390"/>
    <w:rsid w:val="008F25E9"/>
    <w:rsid w:val="009543A1"/>
    <w:rsid w:val="009853E7"/>
    <w:rsid w:val="00A27F03"/>
    <w:rsid w:val="00C87D58"/>
    <w:rsid w:val="00CC128E"/>
    <w:rsid w:val="00CF78B8"/>
    <w:rsid w:val="00D476A5"/>
    <w:rsid w:val="00DA33D7"/>
    <w:rsid w:val="00DF5D1A"/>
    <w:rsid w:val="00E444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172CB-F504-4E6A-A8F2-A0A2408C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5E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fr-CH" w:eastAsia="en-US"/>
    </w:rPr>
  </w:style>
  <w:style w:type="paragraph" w:styleId="Heading1">
    <w:name w:val="heading 1"/>
    <w:basedOn w:val="Normal"/>
    <w:next w:val="Normal"/>
    <w:link w:val="Heading1Char"/>
    <w:qFormat/>
    <w:rsid w:val="008F25E9"/>
    <w:pPr>
      <w:keepNext/>
      <w:keepLines/>
      <w:spacing w:before="280"/>
      <w:ind w:left="794" w:hanging="794"/>
      <w:outlineLvl w:val="0"/>
    </w:pPr>
    <w:rPr>
      <w:b/>
      <w:sz w:val="28"/>
    </w:rPr>
  </w:style>
  <w:style w:type="paragraph" w:styleId="Heading2">
    <w:name w:val="heading 2"/>
    <w:basedOn w:val="Heading1"/>
    <w:next w:val="Normal"/>
    <w:link w:val="Heading2Char"/>
    <w:qFormat/>
    <w:rsid w:val="008F25E9"/>
    <w:pPr>
      <w:spacing w:before="200"/>
      <w:outlineLvl w:val="1"/>
    </w:pPr>
    <w:rPr>
      <w:sz w:val="24"/>
    </w:rPr>
  </w:style>
  <w:style w:type="paragraph" w:styleId="Heading3">
    <w:name w:val="heading 3"/>
    <w:basedOn w:val="Heading1"/>
    <w:next w:val="Normal"/>
    <w:link w:val="Heading3Char"/>
    <w:qFormat/>
    <w:rsid w:val="008F25E9"/>
    <w:pPr>
      <w:spacing w:before="200"/>
      <w:outlineLvl w:val="2"/>
    </w:pPr>
    <w:rPr>
      <w:sz w:val="24"/>
    </w:rPr>
  </w:style>
  <w:style w:type="paragraph" w:styleId="Heading4">
    <w:name w:val="heading 4"/>
    <w:basedOn w:val="Heading3"/>
    <w:next w:val="Normal"/>
    <w:link w:val="Heading4Char"/>
    <w:qFormat/>
    <w:rsid w:val="008F25E9"/>
    <w:pPr>
      <w:tabs>
        <w:tab w:val="clear" w:pos="794"/>
        <w:tab w:val="left" w:pos="992"/>
      </w:tabs>
      <w:ind w:left="992" w:hanging="992"/>
      <w:outlineLvl w:val="3"/>
    </w:pPr>
  </w:style>
  <w:style w:type="paragraph" w:styleId="Heading5">
    <w:name w:val="heading 5"/>
    <w:basedOn w:val="Heading4"/>
    <w:next w:val="Normal"/>
    <w:link w:val="Heading5Char"/>
    <w:qFormat/>
    <w:rsid w:val="008F25E9"/>
    <w:pPr>
      <w:outlineLvl w:val="4"/>
    </w:pPr>
  </w:style>
  <w:style w:type="paragraph" w:styleId="Heading6">
    <w:name w:val="heading 6"/>
    <w:basedOn w:val="Heading4"/>
    <w:next w:val="Normal"/>
    <w:link w:val="Heading6Char"/>
    <w:qFormat/>
    <w:rsid w:val="008F25E9"/>
    <w:pPr>
      <w:tabs>
        <w:tab w:val="clear" w:pos="992"/>
        <w:tab w:val="clear" w:pos="1191"/>
      </w:tabs>
      <w:ind w:left="1588" w:hanging="1588"/>
      <w:outlineLvl w:val="5"/>
    </w:pPr>
  </w:style>
  <w:style w:type="paragraph" w:styleId="Heading7">
    <w:name w:val="heading 7"/>
    <w:basedOn w:val="Heading6"/>
    <w:next w:val="Normal"/>
    <w:link w:val="Heading7Char"/>
    <w:qFormat/>
    <w:rsid w:val="008F25E9"/>
    <w:pPr>
      <w:outlineLvl w:val="6"/>
    </w:pPr>
  </w:style>
  <w:style w:type="paragraph" w:styleId="Heading8">
    <w:name w:val="heading 8"/>
    <w:basedOn w:val="Heading6"/>
    <w:next w:val="Normal"/>
    <w:link w:val="Heading8Char"/>
    <w:qFormat/>
    <w:rsid w:val="008F25E9"/>
    <w:pPr>
      <w:outlineLvl w:val="7"/>
    </w:pPr>
  </w:style>
  <w:style w:type="paragraph" w:styleId="Heading9">
    <w:name w:val="heading 9"/>
    <w:basedOn w:val="Heading6"/>
    <w:next w:val="Normal"/>
    <w:link w:val="Heading9Char"/>
    <w:qFormat/>
    <w:rsid w:val="008F25E9"/>
    <w:pPr>
      <w:outlineLvl w:val="8"/>
    </w:pPr>
  </w:style>
  <w:style w:type="character" w:default="1" w:styleId="DefaultParagraphFont">
    <w:name w:val="Default Paragraph Font"/>
    <w:uiPriority w:val="1"/>
    <w:unhideWhenUsed/>
    <w:rsid w:val="008F25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25E9"/>
  </w:style>
  <w:style w:type="character" w:customStyle="1" w:styleId="Heading1Char">
    <w:name w:val="Heading 1 Char"/>
    <w:basedOn w:val="DefaultParagraphFont"/>
    <w:link w:val="Heading1"/>
    <w:rsid w:val="00712DC3"/>
    <w:rPr>
      <w:rFonts w:eastAsia="Times New Roman" w:cs="Times New Roman"/>
      <w:b/>
      <w:sz w:val="28"/>
      <w:szCs w:val="20"/>
      <w:lang w:val="fr-CH" w:eastAsia="en-US"/>
    </w:rPr>
  </w:style>
  <w:style w:type="character" w:customStyle="1" w:styleId="Heading2Char">
    <w:name w:val="Heading 2 Char"/>
    <w:basedOn w:val="DefaultParagraphFont"/>
    <w:link w:val="Heading2"/>
    <w:rsid w:val="00712DC3"/>
    <w:rPr>
      <w:rFonts w:eastAsia="Times New Roman" w:cs="Times New Roman"/>
      <w:b/>
      <w:sz w:val="24"/>
      <w:szCs w:val="20"/>
      <w:lang w:val="fr-CH" w:eastAsia="en-US"/>
    </w:rPr>
  </w:style>
  <w:style w:type="character" w:customStyle="1" w:styleId="FooterChar">
    <w:name w:val="Footer Char"/>
    <w:basedOn w:val="DefaultParagraphFont"/>
    <w:link w:val="Footer"/>
    <w:rsid w:val="008F25E9"/>
    <w:rPr>
      <w:rFonts w:eastAsia="Times New Roman" w:cs="Times New Roman"/>
      <w:caps/>
      <w:noProof/>
      <w:sz w:val="16"/>
      <w:szCs w:val="20"/>
      <w:lang w:val="fr-FR" w:eastAsia="en-US"/>
    </w:rPr>
  </w:style>
  <w:style w:type="paragraph" w:styleId="Footer">
    <w:name w:val="footer"/>
    <w:basedOn w:val="Normal"/>
    <w:link w:val="FooterChar"/>
    <w:rsid w:val="008F25E9"/>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HeaderChar">
    <w:name w:val="Header Char"/>
    <w:basedOn w:val="DefaultParagraphFont"/>
    <w:link w:val="Header"/>
    <w:uiPriority w:val="99"/>
    <w:rsid w:val="008F25E9"/>
    <w:rPr>
      <w:rFonts w:eastAsia="Times New Roman" w:cs="Times New Roman"/>
      <w:sz w:val="18"/>
      <w:szCs w:val="20"/>
      <w:lang w:val="fr-FR" w:eastAsia="en-US"/>
    </w:rPr>
  </w:style>
  <w:style w:type="paragraph" w:styleId="Header">
    <w:name w:val="header"/>
    <w:basedOn w:val="Normal"/>
    <w:link w:val="HeaderChar"/>
    <w:uiPriority w:val="99"/>
    <w:rsid w:val="008F25E9"/>
    <w:pPr>
      <w:tabs>
        <w:tab w:val="clear" w:pos="794"/>
        <w:tab w:val="clear" w:pos="1191"/>
        <w:tab w:val="clear" w:pos="1588"/>
        <w:tab w:val="clear" w:pos="1985"/>
      </w:tabs>
      <w:spacing w:before="0"/>
      <w:jc w:val="center"/>
    </w:pPr>
    <w:rPr>
      <w:sz w:val="18"/>
      <w:lang w:val="fr-FR"/>
    </w:rPr>
  </w:style>
  <w:style w:type="character" w:styleId="PageNumber">
    <w:name w:val="page number"/>
    <w:basedOn w:val="DefaultParagraphFont"/>
    <w:rsid w:val="008F25E9"/>
    <w:rPr>
      <w:rFonts w:asciiTheme="minorHAnsi" w:hAnsiTheme="minorHAnsi"/>
    </w:rPr>
  </w:style>
  <w:style w:type="character" w:styleId="Hyperlink">
    <w:name w:val="Hyperlink"/>
    <w:basedOn w:val="DefaultParagraphFont"/>
    <w:rsid w:val="008F25E9"/>
    <w:rPr>
      <w:color w:val="0563C1" w:themeColor="hyperlink"/>
      <w:u w:val="single"/>
    </w:rPr>
  </w:style>
  <w:style w:type="paragraph" w:customStyle="1" w:styleId="AnnexNo">
    <w:name w:val="Annex_No"/>
    <w:basedOn w:val="Normal"/>
    <w:next w:val="Normal"/>
    <w:rsid w:val="008F25E9"/>
    <w:pPr>
      <w:keepNext/>
      <w:keepLines/>
      <w:spacing w:before="480" w:after="80"/>
      <w:jc w:val="center"/>
    </w:pPr>
    <w:rPr>
      <w:caps/>
      <w:sz w:val="28"/>
    </w:rPr>
  </w:style>
  <w:style w:type="paragraph" w:customStyle="1" w:styleId="Annexref">
    <w:name w:val="Annex_ref"/>
    <w:basedOn w:val="Normal"/>
    <w:next w:val="Normal"/>
    <w:rsid w:val="008F25E9"/>
    <w:pPr>
      <w:keepNext/>
      <w:keepLines/>
      <w:spacing w:after="280"/>
      <w:jc w:val="center"/>
    </w:pPr>
  </w:style>
  <w:style w:type="paragraph" w:customStyle="1" w:styleId="Annextitle">
    <w:name w:val="Annex_title"/>
    <w:basedOn w:val="Normal"/>
    <w:next w:val="Normal"/>
    <w:rsid w:val="008F25E9"/>
    <w:pPr>
      <w:keepNext/>
      <w:keepLines/>
      <w:spacing w:before="240" w:after="280"/>
      <w:jc w:val="center"/>
    </w:pPr>
    <w:rPr>
      <w:b/>
      <w:sz w:val="28"/>
    </w:rPr>
  </w:style>
  <w:style w:type="paragraph" w:customStyle="1" w:styleId="ArtNo">
    <w:name w:val="Art_No"/>
    <w:basedOn w:val="Normal"/>
    <w:next w:val="Normal"/>
    <w:rsid w:val="008F25E9"/>
    <w:pPr>
      <w:keepNext/>
      <w:keepLines/>
      <w:spacing w:before="480"/>
      <w:jc w:val="center"/>
    </w:pPr>
    <w:rPr>
      <w:caps/>
      <w:sz w:val="28"/>
    </w:rPr>
  </w:style>
  <w:style w:type="paragraph" w:customStyle="1" w:styleId="AppArtNo">
    <w:name w:val="App_Art_No"/>
    <w:basedOn w:val="ArtNo"/>
    <w:qFormat/>
    <w:rsid w:val="008F25E9"/>
    <w:pPr>
      <w:tabs>
        <w:tab w:val="clear" w:pos="794"/>
        <w:tab w:val="clear" w:pos="1191"/>
        <w:tab w:val="clear" w:pos="1588"/>
        <w:tab w:val="clear" w:pos="1985"/>
        <w:tab w:val="left" w:pos="1134"/>
        <w:tab w:val="left" w:pos="1871"/>
        <w:tab w:val="left" w:pos="2268"/>
      </w:tabs>
    </w:pPr>
  </w:style>
  <w:style w:type="paragraph" w:customStyle="1" w:styleId="Arttitle">
    <w:name w:val="Art_title"/>
    <w:basedOn w:val="Normal"/>
    <w:next w:val="Normal"/>
    <w:rsid w:val="008F25E9"/>
    <w:pPr>
      <w:keepNext/>
      <w:keepLines/>
      <w:spacing w:before="240"/>
      <w:jc w:val="center"/>
    </w:pPr>
    <w:rPr>
      <w:b/>
      <w:sz w:val="28"/>
    </w:rPr>
  </w:style>
  <w:style w:type="paragraph" w:customStyle="1" w:styleId="AppArttitle">
    <w:name w:val="App_Art_title"/>
    <w:basedOn w:val="Arttitle"/>
    <w:qFormat/>
    <w:rsid w:val="008F25E9"/>
    <w:pPr>
      <w:tabs>
        <w:tab w:val="clear" w:pos="794"/>
        <w:tab w:val="clear" w:pos="1191"/>
        <w:tab w:val="clear" w:pos="1588"/>
        <w:tab w:val="clear" w:pos="1985"/>
        <w:tab w:val="left" w:pos="1134"/>
        <w:tab w:val="left" w:pos="1871"/>
        <w:tab w:val="left" w:pos="2268"/>
      </w:tabs>
    </w:pPr>
  </w:style>
  <w:style w:type="character" w:customStyle="1" w:styleId="Appdef">
    <w:name w:val="App_def"/>
    <w:basedOn w:val="DefaultParagraphFont"/>
    <w:rsid w:val="008F25E9"/>
    <w:rPr>
      <w:rFonts w:asciiTheme="minorHAnsi" w:hAnsiTheme="minorHAnsi"/>
      <w:b/>
    </w:rPr>
  </w:style>
  <w:style w:type="character" w:customStyle="1" w:styleId="Appref">
    <w:name w:val="App_ref"/>
    <w:basedOn w:val="DefaultParagraphFont"/>
    <w:rsid w:val="008F25E9"/>
    <w:rPr>
      <w:rFonts w:asciiTheme="minorHAnsi" w:hAnsiTheme="minorHAnsi"/>
    </w:rPr>
  </w:style>
  <w:style w:type="paragraph" w:customStyle="1" w:styleId="AppendixNo">
    <w:name w:val="Appendix_No"/>
    <w:basedOn w:val="AnnexNo"/>
    <w:next w:val="Annexref"/>
    <w:rsid w:val="008F25E9"/>
  </w:style>
  <w:style w:type="paragraph" w:customStyle="1" w:styleId="ApptoAnnex">
    <w:name w:val="App_to_Annex"/>
    <w:basedOn w:val="AppendixNo"/>
    <w:next w:val="Normal"/>
    <w:qFormat/>
    <w:rsid w:val="008F25E9"/>
    <w:pPr>
      <w:tabs>
        <w:tab w:val="clear" w:pos="794"/>
        <w:tab w:val="clear" w:pos="1191"/>
        <w:tab w:val="clear" w:pos="1588"/>
        <w:tab w:val="clear" w:pos="1985"/>
        <w:tab w:val="left" w:pos="1134"/>
        <w:tab w:val="left" w:pos="1871"/>
        <w:tab w:val="left" w:pos="2268"/>
      </w:tabs>
    </w:pPr>
  </w:style>
  <w:style w:type="paragraph" w:customStyle="1" w:styleId="Appendixref">
    <w:name w:val="Appendix_ref"/>
    <w:basedOn w:val="Annexref"/>
    <w:next w:val="Annextitle"/>
    <w:rsid w:val="008F25E9"/>
  </w:style>
  <w:style w:type="paragraph" w:customStyle="1" w:styleId="Appendixtitle">
    <w:name w:val="Appendix_title"/>
    <w:basedOn w:val="Annextitle"/>
    <w:next w:val="Normal"/>
    <w:rsid w:val="008F25E9"/>
  </w:style>
  <w:style w:type="character" w:customStyle="1" w:styleId="Artdef">
    <w:name w:val="Art_def"/>
    <w:basedOn w:val="DefaultParagraphFont"/>
    <w:rsid w:val="008F25E9"/>
    <w:rPr>
      <w:rFonts w:asciiTheme="minorHAnsi" w:hAnsiTheme="minorHAnsi"/>
      <w:b/>
    </w:rPr>
  </w:style>
  <w:style w:type="paragraph" w:customStyle="1" w:styleId="Artheading">
    <w:name w:val="Art_heading"/>
    <w:basedOn w:val="Normal"/>
    <w:next w:val="Normal"/>
    <w:rsid w:val="008F25E9"/>
    <w:pPr>
      <w:spacing w:before="480"/>
      <w:jc w:val="center"/>
    </w:pPr>
    <w:rPr>
      <w:b/>
      <w:sz w:val="28"/>
    </w:rPr>
  </w:style>
  <w:style w:type="character" w:customStyle="1" w:styleId="Artref">
    <w:name w:val="Art_ref"/>
    <w:basedOn w:val="DefaultParagraphFont"/>
    <w:rsid w:val="008F25E9"/>
  </w:style>
  <w:style w:type="paragraph" w:customStyle="1" w:styleId="ASN1">
    <w:name w:val="ASN.1"/>
    <w:basedOn w:val="Normal"/>
    <w:rsid w:val="008F25E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BDTLogo">
    <w:name w:val="BDT_Logo"/>
    <w:uiPriority w:val="99"/>
    <w:rsid w:val="008F25E9"/>
    <w:pPr>
      <w:spacing w:after="0" w:line="240" w:lineRule="auto"/>
      <w:jc w:val="center"/>
    </w:pPr>
    <w:rPr>
      <w:rFonts w:ascii="Calibri" w:eastAsia="SimHei" w:hAnsi="Calibri" w:cs="Simplified Arabic"/>
      <w:szCs w:val="28"/>
      <w:lang w:val="en-GB" w:eastAsia="en-US"/>
    </w:rPr>
  </w:style>
  <w:style w:type="paragraph" w:customStyle="1" w:styleId="Call">
    <w:name w:val="Call"/>
    <w:basedOn w:val="Normal"/>
    <w:next w:val="Normal"/>
    <w:rsid w:val="008F25E9"/>
    <w:pPr>
      <w:keepNext/>
      <w:keepLines/>
      <w:spacing w:before="160"/>
      <w:ind w:left="794"/>
    </w:pPr>
    <w:rPr>
      <w:i/>
    </w:rPr>
  </w:style>
  <w:style w:type="paragraph" w:customStyle="1" w:styleId="ChapNo">
    <w:name w:val="Chap_No"/>
    <w:basedOn w:val="ArtNo"/>
    <w:next w:val="Normal"/>
    <w:rsid w:val="008F25E9"/>
    <w:rPr>
      <w:b/>
    </w:rPr>
  </w:style>
  <w:style w:type="paragraph" w:customStyle="1" w:styleId="Chaptitle">
    <w:name w:val="Chap_title"/>
    <w:basedOn w:val="Arttitle"/>
    <w:next w:val="Normal"/>
    <w:rsid w:val="008F25E9"/>
  </w:style>
  <w:style w:type="paragraph" w:customStyle="1" w:styleId="Committee">
    <w:name w:val="Committee"/>
    <w:basedOn w:val="Normal"/>
    <w:qFormat/>
    <w:rsid w:val="008F25E9"/>
    <w:rPr>
      <w:rFonts w:cs="Times New Roman Bold"/>
      <w:b/>
      <w:caps/>
    </w:rPr>
  </w:style>
  <w:style w:type="paragraph" w:customStyle="1" w:styleId="ddate">
    <w:name w:val="ddate"/>
    <w:basedOn w:val="Normal"/>
    <w:rsid w:val="008F25E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8F25E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8F25E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8F25E9"/>
    <w:rPr>
      <w:vertAlign w:val="superscript"/>
    </w:rPr>
  </w:style>
  <w:style w:type="paragraph" w:customStyle="1" w:styleId="enumlev1">
    <w:name w:val="enumlev1"/>
    <w:basedOn w:val="Normal"/>
    <w:rsid w:val="008F25E9"/>
    <w:pPr>
      <w:spacing w:before="80"/>
      <w:ind w:left="794" w:hanging="794"/>
    </w:pPr>
  </w:style>
  <w:style w:type="paragraph" w:customStyle="1" w:styleId="enumlev2">
    <w:name w:val="enumlev2"/>
    <w:basedOn w:val="enumlev1"/>
    <w:rsid w:val="008F25E9"/>
    <w:pPr>
      <w:ind w:left="1191" w:hanging="397"/>
    </w:pPr>
  </w:style>
  <w:style w:type="paragraph" w:customStyle="1" w:styleId="enumlev3">
    <w:name w:val="enumlev3"/>
    <w:basedOn w:val="enumlev2"/>
    <w:rsid w:val="008F25E9"/>
    <w:pPr>
      <w:ind w:left="1588"/>
    </w:pPr>
  </w:style>
  <w:style w:type="paragraph" w:customStyle="1" w:styleId="Equation">
    <w:name w:val="Equation"/>
    <w:basedOn w:val="Normal"/>
    <w:rsid w:val="008F25E9"/>
    <w:pPr>
      <w:tabs>
        <w:tab w:val="clear" w:pos="1191"/>
        <w:tab w:val="clear" w:pos="1588"/>
        <w:tab w:val="clear" w:pos="1985"/>
        <w:tab w:val="center" w:pos="4820"/>
        <w:tab w:val="right" w:pos="9639"/>
      </w:tabs>
    </w:pPr>
  </w:style>
  <w:style w:type="paragraph" w:customStyle="1" w:styleId="Equationlegend">
    <w:name w:val="Equation_legend"/>
    <w:basedOn w:val="Normal"/>
    <w:rsid w:val="008F25E9"/>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8F25E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8F25E9"/>
    <w:pPr>
      <w:keepNext/>
      <w:keepLines/>
      <w:spacing w:before="480" w:after="120"/>
      <w:jc w:val="center"/>
    </w:pPr>
    <w:rPr>
      <w:caps/>
    </w:rPr>
  </w:style>
  <w:style w:type="paragraph" w:customStyle="1" w:styleId="Tabletitle">
    <w:name w:val="Table_title"/>
    <w:basedOn w:val="Normal"/>
    <w:next w:val="Normal"/>
    <w:rsid w:val="008F25E9"/>
    <w:pPr>
      <w:keepNext/>
      <w:keepLines/>
      <w:spacing w:before="0" w:after="120"/>
      <w:jc w:val="center"/>
    </w:pPr>
    <w:rPr>
      <w:b/>
    </w:rPr>
  </w:style>
  <w:style w:type="paragraph" w:customStyle="1" w:styleId="Figuretitle">
    <w:name w:val="Figure_title"/>
    <w:basedOn w:val="Tabletitle"/>
    <w:next w:val="Normal"/>
    <w:rsid w:val="008F25E9"/>
    <w:pPr>
      <w:keepNext w:val="0"/>
      <w:spacing w:after="480"/>
    </w:pPr>
  </w:style>
  <w:style w:type="paragraph" w:customStyle="1" w:styleId="Figurewithouttitle">
    <w:name w:val="Figure_without_title"/>
    <w:basedOn w:val="FigureNo"/>
    <w:next w:val="Normal"/>
    <w:rsid w:val="008F25E9"/>
    <w:pPr>
      <w:keepNext w:val="0"/>
    </w:pPr>
  </w:style>
  <w:style w:type="paragraph" w:customStyle="1" w:styleId="FirstFooter">
    <w:name w:val="FirstFooter"/>
    <w:basedOn w:val="Footer"/>
    <w:rsid w:val="008F25E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5E9"/>
    <w:rPr>
      <w:rFonts w:asciiTheme="minorHAnsi" w:hAnsiTheme="minorHAnsi"/>
      <w:position w:val="6"/>
      <w:sz w:val="18"/>
    </w:rPr>
  </w:style>
  <w:style w:type="paragraph" w:styleId="FootnoteText">
    <w:name w:val="footnote text"/>
    <w:basedOn w:val="Normal"/>
    <w:link w:val="FootnoteTextChar"/>
    <w:rsid w:val="008F25E9"/>
    <w:pPr>
      <w:keepLines/>
      <w:tabs>
        <w:tab w:val="left" w:pos="255"/>
      </w:tabs>
      <w:ind w:left="255" w:hanging="255"/>
    </w:pPr>
  </w:style>
  <w:style w:type="character" w:customStyle="1" w:styleId="FootnoteTextChar">
    <w:name w:val="Footnote Text Char"/>
    <w:basedOn w:val="DefaultParagraphFont"/>
    <w:link w:val="FootnoteText"/>
    <w:rsid w:val="008F25E9"/>
    <w:rPr>
      <w:rFonts w:eastAsia="Times New Roman" w:cs="Times New Roman"/>
      <w:sz w:val="24"/>
      <w:szCs w:val="20"/>
      <w:lang w:val="fr-CH" w:eastAsia="en-US"/>
    </w:rPr>
  </w:style>
  <w:style w:type="character" w:customStyle="1" w:styleId="Heading3Char">
    <w:name w:val="Heading 3 Char"/>
    <w:basedOn w:val="DefaultParagraphFont"/>
    <w:link w:val="Heading3"/>
    <w:rsid w:val="008F25E9"/>
    <w:rPr>
      <w:rFonts w:eastAsia="Times New Roman" w:cs="Times New Roman"/>
      <w:b/>
      <w:sz w:val="24"/>
      <w:szCs w:val="20"/>
      <w:lang w:val="fr-CH" w:eastAsia="en-US"/>
    </w:rPr>
  </w:style>
  <w:style w:type="character" w:customStyle="1" w:styleId="Heading4Char">
    <w:name w:val="Heading 4 Char"/>
    <w:basedOn w:val="DefaultParagraphFont"/>
    <w:link w:val="Heading4"/>
    <w:rsid w:val="008F25E9"/>
    <w:rPr>
      <w:rFonts w:eastAsia="Times New Roman" w:cs="Times New Roman"/>
      <w:b/>
      <w:sz w:val="24"/>
      <w:szCs w:val="20"/>
      <w:lang w:val="fr-CH" w:eastAsia="en-US"/>
    </w:rPr>
  </w:style>
  <w:style w:type="character" w:customStyle="1" w:styleId="Heading5Char">
    <w:name w:val="Heading 5 Char"/>
    <w:basedOn w:val="DefaultParagraphFont"/>
    <w:link w:val="Heading5"/>
    <w:rsid w:val="008F25E9"/>
    <w:rPr>
      <w:rFonts w:eastAsia="Times New Roman" w:cs="Times New Roman"/>
      <w:b/>
      <w:sz w:val="24"/>
      <w:szCs w:val="20"/>
      <w:lang w:val="fr-CH" w:eastAsia="en-US"/>
    </w:rPr>
  </w:style>
  <w:style w:type="character" w:customStyle="1" w:styleId="Heading6Char">
    <w:name w:val="Heading 6 Char"/>
    <w:basedOn w:val="DefaultParagraphFont"/>
    <w:link w:val="Heading6"/>
    <w:rsid w:val="008F25E9"/>
    <w:rPr>
      <w:rFonts w:eastAsia="Times New Roman" w:cs="Times New Roman"/>
      <w:b/>
      <w:sz w:val="24"/>
      <w:szCs w:val="20"/>
      <w:lang w:val="fr-CH" w:eastAsia="en-US"/>
    </w:rPr>
  </w:style>
  <w:style w:type="character" w:customStyle="1" w:styleId="Heading7Char">
    <w:name w:val="Heading 7 Char"/>
    <w:basedOn w:val="DefaultParagraphFont"/>
    <w:link w:val="Heading7"/>
    <w:rsid w:val="008F25E9"/>
    <w:rPr>
      <w:rFonts w:eastAsia="Times New Roman" w:cs="Times New Roman"/>
      <w:b/>
      <w:sz w:val="24"/>
      <w:szCs w:val="20"/>
      <w:lang w:val="fr-CH" w:eastAsia="en-US"/>
    </w:rPr>
  </w:style>
  <w:style w:type="character" w:customStyle="1" w:styleId="Heading8Char">
    <w:name w:val="Heading 8 Char"/>
    <w:basedOn w:val="DefaultParagraphFont"/>
    <w:link w:val="Heading8"/>
    <w:rsid w:val="008F25E9"/>
    <w:rPr>
      <w:rFonts w:eastAsia="Times New Roman" w:cs="Times New Roman"/>
      <w:b/>
      <w:sz w:val="24"/>
      <w:szCs w:val="20"/>
      <w:lang w:val="fr-CH" w:eastAsia="en-US"/>
    </w:rPr>
  </w:style>
  <w:style w:type="character" w:customStyle="1" w:styleId="Heading9Char">
    <w:name w:val="Heading 9 Char"/>
    <w:basedOn w:val="DefaultParagraphFont"/>
    <w:link w:val="Heading9"/>
    <w:rsid w:val="008F25E9"/>
    <w:rPr>
      <w:rFonts w:eastAsia="Times New Roman" w:cs="Times New Roman"/>
      <w:b/>
      <w:sz w:val="24"/>
      <w:szCs w:val="20"/>
      <w:lang w:val="fr-CH" w:eastAsia="en-US"/>
    </w:rPr>
  </w:style>
  <w:style w:type="paragraph" w:customStyle="1" w:styleId="Headingb">
    <w:name w:val="Heading_b"/>
    <w:basedOn w:val="Normal"/>
    <w:next w:val="Normal"/>
    <w:rsid w:val="008F25E9"/>
    <w:pPr>
      <w:keepNext/>
      <w:spacing w:before="160"/>
    </w:pPr>
    <w:rPr>
      <w:b/>
    </w:rPr>
  </w:style>
  <w:style w:type="paragraph" w:customStyle="1" w:styleId="Headingi">
    <w:name w:val="Heading_i"/>
    <w:basedOn w:val="Normal"/>
    <w:next w:val="Normal"/>
    <w:rsid w:val="008F25E9"/>
    <w:pPr>
      <w:keepNext/>
      <w:spacing w:before="160"/>
    </w:pPr>
    <w:rPr>
      <w:i/>
    </w:rPr>
  </w:style>
  <w:style w:type="paragraph" w:styleId="Index1">
    <w:name w:val="index 1"/>
    <w:basedOn w:val="Normal"/>
    <w:next w:val="Normal"/>
    <w:semiHidden/>
    <w:rsid w:val="008F25E9"/>
  </w:style>
  <w:style w:type="paragraph" w:styleId="Index2">
    <w:name w:val="index 2"/>
    <w:basedOn w:val="Normal"/>
    <w:next w:val="Normal"/>
    <w:semiHidden/>
    <w:rsid w:val="008F25E9"/>
    <w:pPr>
      <w:ind w:left="283"/>
    </w:pPr>
  </w:style>
  <w:style w:type="paragraph" w:styleId="Index3">
    <w:name w:val="index 3"/>
    <w:basedOn w:val="Normal"/>
    <w:next w:val="Normal"/>
    <w:semiHidden/>
    <w:rsid w:val="008F25E9"/>
    <w:pPr>
      <w:ind w:left="566"/>
    </w:pPr>
  </w:style>
  <w:style w:type="paragraph" w:styleId="Index4">
    <w:name w:val="index 4"/>
    <w:basedOn w:val="Normal"/>
    <w:next w:val="Normal"/>
    <w:semiHidden/>
    <w:rsid w:val="008F25E9"/>
    <w:pPr>
      <w:ind w:left="849"/>
    </w:pPr>
  </w:style>
  <w:style w:type="paragraph" w:styleId="Index5">
    <w:name w:val="index 5"/>
    <w:basedOn w:val="Normal"/>
    <w:next w:val="Normal"/>
    <w:semiHidden/>
    <w:rsid w:val="008F25E9"/>
    <w:pPr>
      <w:ind w:left="1132"/>
    </w:pPr>
  </w:style>
  <w:style w:type="paragraph" w:styleId="Index6">
    <w:name w:val="index 6"/>
    <w:basedOn w:val="Normal"/>
    <w:next w:val="Normal"/>
    <w:semiHidden/>
    <w:rsid w:val="008F25E9"/>
    <w:pPr>
      <w:ind w:left="1415"/>
    </w:pPr>
  </w:style>
  <w:style w:type="paragraph" w:styleId="Index7">
    <w:name w:val="index 7"/>
    <w:basedOn w:val="Normal"/>
    <w:next w:val="Normal"/>
    <w:semiHidden/>
    <w:rsid w:val="008F25E9"/>
    <w:pPr>
      <w:ind w:left="1698"/>
    </w:pPr>
  </w:style>
  <w:style w:type="paragraph" w:styleId="IndexHeading">
    <w:name w:val="index heading"/>
    <w:basedOn w:val="Normal"/>
    <w:next w:val="Index1"/>
    <w:semiHidden/>
    <w:rsid w:val="008F25E9"/>
  </w:style>
  <w:style w:type="character" w:styleId="LineNumber">
    <w:name w:val="line number"/>
    <w:basedOn w:val="DefaultParagraphFont"/>
    <w:rsid w:val="008F25E9"/>
  </w:style>
  <w:style w:type="paragraph" w:styleId="ListParagraph">
    <w:name w:val="List Paragraph"/>
    <w:basedOn w:val="Normal"/>
    <w:uiPriority w:val="34"/>
    <w:qFormat/>
    <w:rsid w:val="008F25E9"/>
    <w:pPr>
      <w:tabs>
        <w:tab w:val="clear" w:pos="794"/>
        <w:tab w:val="clear" w:pos="1191"/>
        <w:tab w:val="clear" w:pos="1588"/>
        <w:tab w:val="clear" w:pos="1985"/>
        <w:tab w:val="left" w:pos="1134"/>
        <w:tab w:val="left" w:pos="1871"/>
        <w:tab w:val="left" w:pos="2268"/>
      </w:tabs>
      <w:ind w:left="720"/>
      <w:contextualSpacing/>
    </w:pPr>
  </w:style>
  <w:style w:type="paragraph" w:customStyle="1" w:styleId="Normalaftertitle">
    <w:name w:val="Normal after title"/>
    <w:basedOn w:val="Normal"/>
    <w:next w:val="Normal"/>
    <w:rsid w:val="008F25E9"/>
    <w:pPr>
      <w:spacing w:before="280"/>
    </w:pPr>
  </w:style>
  <w:style w:type="paragraph" w:styleId="NormalIndent">
    <w:name w:val="Normal Indent"/>
    <w:basedOn w:val="Normal"/>
    <w:rsid w:val="008F25E9"/>
    <w:pPr>
      <w:ind w:left="794"/>
    </w:pPr>
  </w:style>
  <w:style w:type="paragraph" w:customStyle="1" w:styleId="Note">
    <w:name w:val="Note"/>
    <w:basedOn w:val="Normal"/>
    <w:rsid w:val="008F25E9"/>
    <w:pPr>
      <w:spacing w:before="80"/>
    </w:pPr>
  </w:style>
  <w:style w:type="paragraph" w:customStyle="1" w:styleId="PartNo">
    <w:name w:val="Part_No"/>
    <w:basedOn w:val="AnnexNo"/>
    <w:next w:val="Normal"/>
    <w:rsid w:val="008F25E9"/>
  </w:style>
  <w:style w:type="paragraph" w:customStyle="1" w:styleId="Partref">
    <w:name w:val="Part_ref"/>
    <w:basedOn w:val="Annexref"/>
    <w:next w:val="Normal"/>
    <w:rsid w:val="008F25E9"/>
  </w:style>
  <w:style w:type="paragraph" w:customStyle="1" w:styleId="Parttitle">
    <w:name w:val="Part_title"/>
    <w:basedOn w:val="Annextitle"/>
    <w:next w:val="Normalaftertitle"/>
    <w:rsid w:val="008F25E9"/>
  </w:style>
  <w:style w:type="paragraph" w:customStyle="1" w:styleId="Proposal">
    <w:name w:val="Proposal"/>
    <w:basedOn w:val="Normal"/>
    <w:next w:val="Normal"/>
    <w:rsid w:val="008F25E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cNo">
    <w:name w:val="Rec_No"/>
    <w:basedOn w:val="Normal"/>
    <w:next w:val="Normal"/>
    <w:rsid w:val="008F25E9"/>
    <w:pPr>
      <w:keepNext/>
      <w:keepLines/>
      <w:spacing w:before="480"/>
      <w:jc w:val="center"/>
    </w:pPr>
    <w:rPr>
      <w:caps/>
      <w:sz w:val="28"/>
    </w:rPr>
  </w:style>
  <w:style w:type="paragraph" w:customStyle="1" w:styleId="Rectitle">
    <w:name w:val="Rec_title"/>
    <w:basedOn w:val="RecNo"/>
    <w:next w:val="Normal"/>
    <w:rsid w:val="008F25E9"/>
    <w:pPr>
      <w:spacing w:before="240"/>
    </w:pPr>
    <w:rPr>
      <w:b/>
      <w:caps w:val="0"/>
    </w:rPr>
  </w:style>
  <w:style w:type="paragraph" w:customStyle="1" w:styleId="Recref">
    <w:name w:val="Rec_ref"/>
    <w:basedOn w:val="Rectitle"/>
    <w:next w:val="Normal"/>
    <w:rsid w:val="008F25E9"/>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8F25E9"/>
    <w:pPr>
      <w:jc w:val="right"/>
    </w:pPr>
    <w:rPr>
      <w:sz w:val="22"/>
    </w:rPr>
  </w:style>
  <w:style w:type="paragraph" w:customStyle="1" w:styleId="Questiondate">
    <w:name w:val="Question_date"/>
    <w:basedOn w:val="Recdate"/>
    <w:next w:val="Normalaftertitle"/>
    <w:rsid w:val="008F25E9"/>
  </w:style>
  <w:style w:type="paragraph" w:customStyle="1" w:styleId="QuestionNo">
    <w:name w:val="Question_No"/>
    <w:basedOn w:val="RecNo"/>
    <w:next w:val="Normal"/>
    <w:rsid w:val="008F25E9"/>
  </w:style>
  <w:style w:type="paragraph" w:customStyle="1" w:styleId="Questionref">
    <w:name w:val="Question_ref"/>
    <w:basedOn w:val="Recref"/>
    <w:next w:val="Questiondate"/>
    <w:rsid w:val="008F25E9"/>
  </w:style>
  <w:style w:type="paragraph" w:customStyle="1" w:styleId="Questiontitle">
    <w:name w:val="Question_title"/>
    <w:basedOn w:val="Rectitle"/>
    <w:next w:val="Questionref"/>
    <w:rsid w:val="008F25E9"/>
  </w:style>
  <w:style w:type="character" w:customStyle="1" w:styleId="Recdef">
    <w:name w:val="Rec_def"/>
    <w:basedOn w:val="DefaultParagraphFont"/>
    <w:rsid w:val="008F25E9"/>
    <w:rPr>
      <w:rFonts w:asciiTheme="minorHAnsi" w:hAnsiTheme="minorHAnsi"/>
      <w:b/>
    </w:rPr>
  </w:style>
  <w:style w:type="paragraph" w:customStyle="1" w:styleId="Reftext">
    <w:name w:val="Ref_text"/>
    <w:basedOn w:val="Normal"/>
    <w:rsid w:val="008F25E9"/>
    <w:pPr>
      <w:ind w:left="794" w:hanging="794"/>
    </w:pPr>
  </w:style>
  <w:style w:type="paragraph" w:customStyle="1" w:styleId="Reftitle">
    <w:name w:val="Ref_title"/>
    <w:basedOn w:val="Normal"/>
    <w:next w:val="Reftext"/>
    <w:rsid w:val="008F25E9"/>
    <w:pPr>
      <w:spacing w:before="480"/>
      <w:jc w:val="center"/>
    </w:pPr>
    <w:rPr>
      <w:caps/>
    </w:rPr>
  </w:style>
  <w:style w:type="paragraph" w:customStyle="1" w:styleId="Repdate">
    <w:name w:val="Rep_date"/>
    <w:basedOn w:val="Recdate"/>
    <w:next w:val="Normalaftertitle"/>
    <w:rsid w:val="008F25E9"/>
  </w:style>
  <w:style w:type="paragraph" w:customStyle="1" w:styleId="RepNo">
    <w:name w:val="Rep_No"/>
    <w:basedOn w:val="RecNo"/>
    <w:next w:val="Normal"/>
    <w:rsid w:val="008F25E9"/>
  </w:style>
  <w:style w:type="paragraph" w:customStyle="1" w:styleId="Repref">
    <w:name w:val="Rep_ref"/>
    <w:basedOn w:val="Recref"/>
    <w:next w:val="Repdate"/>
    <w:rsid w:val="008F25E9"/>
  </w:style>
  <w:style w:type="paragraph" w:customStyle="1" w:styleId="Reptitle">
    <w:name w:val="Rep_title"/>
    <w:basedOn w:val="Rectitle"/>
    <w:next w:val="Repref"/>
    <w:rsid w:val="008F25E9"/>
  </w:style>
  <w:style w:type="paragraph" w:customStyle="1" w:styleId="Resdate">
    <w:name w:val="Res_date"/>
    <w:basedOn w:val="Recdate"/>
    <w:next w:val="Normalaftertitle"/>
    <w:rsid w:val="008F25E9"/>
  </w:style>
  <w:style w:type="character" w:customStyle="1" w:styleId="Resdef">
    <w:name w:val="Res_def"/>
    <w:basedOn w:val="DefaultParagraphFont"/>
    <w:rsid w:val="008F25E9"/>
    <w:rPr>
      <w:rFonts w:asciiTheme="minorHAnsi" w:hAnsiTheme="minorHAnsi"/>
      <w:b/>
    </w:rPr>
  </w:style>
  <w:style w:type="paragraph" w:customStyle="1" w:styleId="ResNo">
    <w:name w:val="Res_No"/>
    <w:basedOn w:val="RecNo"/>
    <w:next w:val="Normal"/>
    <w:rsid w:val="008F25E9"/>
  </w:style>
  <w:style w:type="paragraph" w:customStyle="1" w:styleId="Resref">
    <w:name w:val="Res_ref"/>
    <w:basedOn w:val="Recref"/>
    <w:next w:val="Resdate"/>
    <w:rsid w:val="008F25E9"/>
  </w:style>
  <w:style w:type="paragraph" w:customStyle="1" w:styleId="Restitle">
    <w:name w:val="Res_title"/>
    <w:basedOn w:val="Rectitle"/>
    <w:next w:val="Resref"/>
    <w:rsid w:val="008F25E9"/>
  </w:style>
  <w:style w:type="paragraph" w:customStyle="1" w:styleId="SectionNo">
    <w:name w:val="Section_No"/>
    <w:basedOn w:val="AnnexNo"/>
    <w:next w:val="Normal"/>
    <w:rsid w:val="008F25E9"/>
  </w:style>
  <w:style w:type="paragraph" w:customStyle="1" w:styleId="Sectiontitle">
    <w:name w:val="Section_title"/>
    <w:basedOn w:val="Annextitle"/>
    <w:next w:val="Normalaftertitle"/>
    <w:rsid w:val="008F25E9"/>
  </w:style>
  <w:style w:type="paragraph" w:customStyle="1" w:styleId="Source">
    <w:name w:val="Source"/>
    <w:basedOn w:val="Normal"/>
    <w:next w:val="Normalaftertitle"/>
    <w:rsid w:val="008F25E9"/>
    <w:pPr>
      <w:spacing w:before="840"/>
      <w:jc w:val="center"/>
    </w:pPr>
    <w:rPr>
      <w:b/>
      <w:sz w:val="28"/>
    </w:rPr>
  </w:style>
  <w:style w:type="paragraph" w:customStyle="1" w:styleId="SpecialFooter">
    <w:name w:val="Special Footer"/>
    <w:basedOn w:val="Footer"/>
    <w:rsid w:val="008F25E9"/>
    <w:pPr>
      <w:tabs>
        <w:tab w:val="left" w:pos="567"/>
        <w:tab w:val="left" w:pos="1134"/>
        <w:tab w:val="left" w:pos="1701"/>
        <w:tab w:val="left" w:pos="2268"/>
        <w:tab w:val="left" w:pos="2835"/>
      </w:tabs>
      <w:jc w:val="both"/>
    </w:pPr>
    <w:rPr>
      <w:caps w:val="0"/>
      <w:noProof w:val="0"/>
    </w:rPr>
  </w:style>
  <w:style w:type="table" w:styleId="TableGrid">
    <w:name w:val="Table Grid"/>
    <w:basedOn w:val="TableNormal"/>
    <w:uiPriority w:val="59"/>
    <w:rsid w:val="008F25E9"/>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freq">
    <w:name w:val="Table_freq"/>
    <w:basedOn w:val="DefaultParagraphFont"/>
    <w:rsid w:val="008F25E9"/>
    <w:rPr>
      <w:rFonts w:asciiTheme="minorHAnsi" w:hAnsiTheme="minorHAnsi"/>
      <w:b/>
      <w:color w:val="auto"/>
    </w:rPr>
  </w:style>
  <w:style w:type="paragraph" w:customStyle="1" w:styleId="Tabletext">
    <w:name w:val="Table_text"/>
    <w:basedOn w:val="Normal"/>
    <w:rsid w:val="008F25E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8F25E9"/>
    <w:pPr>
      <w:keepNext/>
      <w:spacing w:before="80" w:after="80"/>
      <w:jc w:val="center"/>
    </w:pPr>
    <w:rPr>
      <w:b/>
    </w:rPr>
  </w:style>
  <w:style w:type="paragraph" w:customStyle="1" w:styleId="Tablelegend">
    <w:name w:val="Table_legend"/>
    <w:basedOn w:val="Tabletext"/>
    <w:rsid w:val="008F25E9"/>
    <w:pPr>
      <w:spacing w:before="120"/>
    </w:pPr>
  </w:style>
  <w:style w:type="paragraph" w:customStyle="1" w:styleId="TableNo">
    <w:name w:val="Table_No"/>
    <w:basedOn w:val="Normal"/>
    <w:next w:val="Tabletitle"/>
    <w:rsid w:val="008F25E9"/>
    <w:pPr>
      <w:keepNext/>
      <w:spacing w:before="560" w:after="120"/>
      <w:jc w:val="center"/>
    </w:pPr>
    <w:rPr>
      <w:caps/>
    </w:rPr>
  </w:style>
  <w:style w:type="paragraph" w:customStyle="1" w:styleId="Tableref">
    <w:name w:val="Table_ref"/>
    <w:basedOn w:val="Normal"/>
    <w:next w:val="Tabletitle"/>
    <w:rsid w:val="008F25E9"/>
    <w:pPr>
      <w:keepNext/>
      <w:spacing w:before="0" w:after="120"/>
      <w:jc w:val="center"/>
    </w:pPr>
  </w:style>
  <w:style w:type="paragraph" w:customStyle="1" w:styleId="Title1">
    <w:name w:val="Title 1"/>
    <w:basedOn w:val="Source"/>
    <w:next w:val="Normal"/>
    <w:rsid w:val="008F25E9"/>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Normal"/>
    <w:rsid w:val="008F25E9"/>
  </w:style>
  <w:style w:type="paragraph" w:customStyle="1" w:styleId="Title3">
    <w:name w:val="Title 3"/>
    <w:basedOn w:val="Title2"/>
    <w:next w:val="Normal"/>
    <w:rsid w:val="008F25E9"/>
  </w:style>
  <w:style w:type="paragraph" w:customStyle="1" w:styleId="Title4">
    <w:name w:val="Title 4"/>
    <w:basedOn w:val="Title3"/>
    <w:next w:val="Heading1"/>
    <w:rsid w:val="008F25E9"/>
  </w:style>
  <w:style w:type="paragraph" w:customStyle="1" w:styleId="toc0">
    <w:name w:val="toc 0"/>
    <w:basedOn w:val="Normal"/>
    <w:next w:val="TOC1"/>
    <w:rsid w:val="008F25E9"/>
    <w:pPr>
      <w:tabs>
        <w:tab w:val="clear" w:pos="794"/>
        <w:tab w:val="clear" w:pos="1191"/>
        <w:tab w:val="clear" w:pos="1588"/>
        <w:tab w:val="clear" w:pos="1985"/>
        <w:tab w:val="right" w:pos="9781"/>
      </w:tabs>
    </w:pPr>
    <w:rPr>
      <w:b/>
    </w:rPr>
  </w:style>
  <w:style w:type="paragraph" w:styleId="TOC1">
    <w:name w:val="toc 1"/>
    <w:basedOn w:val="Normal"/>
    <w:rsid w:val="008F25E9"/>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8F25E9"/>
    <w:pPr>
      <w:spacing w:before="120"/>
    </w:pPr>
  </w:style>
  <w:style w:type="paragraph" w:styleId="TOC3">
    <w:name w:val="toc 3"/>
    <w:basedOn w:val="TOC2"/>
    <w:rsid w:val="008F25E9"/>
  </w:style>
  <w:style w:type="paragraph" w:styleId="TOC4">
    <w:name w:val="toc 4"/>
    <w:basedOn w:val="TOC3"/>
    <w:semiHidden/>
    <w:rsid w:val="008F25E9"/>
  </w:style>
  <w:style w:type="paragraph" w:styleId="TOC5">
    <w:name w:val="toc 5"/>
    <w:basedOn w:val="TOC4"/>
    <w:semiHidden/>
    <w:rsid w:val="008F25E9"/>
  </w:style>
  <w:style w:type="paragraph" w:styleId="TOC6">
    <w:name w:val="toc 6"/>
    <w:basedOn w:val="TOC4"/>
    <w:semiHidden/>
    <w:rsid w:val="008F25E9"/>
  </w:style>
  <w:style w:type="paragraph" w:styleId="TOC7">
    <w:name w:val="toc 7"/>
    <w:basedOn w:val="TOC4"/>
    <w:semiHidden/>
    <w:rsid w:val="008F25E9"/>
  </w:style>
  <w:style w:type="paragraph" w:styleId="TOC8">
    <w:name w:val="toc 8"/>
    <w:basedOn w:val="TOC4"/>
    <w:semiHidden/>
    <w:rsid w:val="008F25E9"/>
  </w:style>
  <w:style w:type="paragraph" w:styleId="TOC9">
    <w:name w:val="toc 9"/>
    <w:basedOn w:val="TOC3"/>
    <w:next w:val="Normal"/>
    <w:semiHidden/>
    <w:rsid w:val="008F25E9"/>
  </w:style>
  <w:style w:type="paragraph" w:customStyle="1" w:styleId="Volumetitle">
    <w:name w:val="Volume_title"/>
    <w:basedOn w:val="Normal"/>
    <w:qFormat/>
    <w:rsid w:val="008F25E9"/>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TIES_Protected/PerfReport2016.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igitalinclusionnewslog.itu.in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itu.int/en/ITU-D/Initiatives/m-Powering/Pages/ITU_UNESCO_MLW_PolicyForum.aspx" TargetMode="External"/><Relationship Id="rId4" Type="http://schemas.openxmlformats.org/officeDocument/2006/relationships/footnotes" Target="footnotes.xml"/><Relationship Id="rId9" Type="http://schemas.openxmlformats.org/officeDocument/2006/relationships/hyperlink" Target="https://www.itu.int/en/ITU-D/TIES_Protected/PerfReport2016.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DAG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PF_TDAG17.docx</Template>
  <TotalTime>278</TotalTime>
  <Pages>22</Pages>
  <Words>10067</Words>
  <Characters>57387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Deturche-Nazer, Anne-Marie</dc:creator>
  <cp:keywords/>
  <dc:description/>
  <cp:lastModifiedBy>Jones, Jacqueline</cp:lastModifiedBy>
  <cp:revision>7</cp:revision>
  <dcterms:created xsi:type="dcterms:W3CDTF">2017-04-19T11:00:00Z</dcterms:created>
  <dcterms:modified xsi:type="dcterms:W3CDTF">2017-04-19T15:46:00Z</dcterms:modified>
</cp:coreProperties>
</file>