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107E85">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0979F580" wp14:editId="26CBE8BF">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3105">
              <w:rPr>
                <w:rFonts w:ascii="Verdana" w:hAnsi="Verdana"/>
                <w:sz w:val="28"/>
                <w:szCs w:val="28"/>
              </w:rPr>
              <w:t>+</w:t>
            </w:r>
          </w:p>
        </w:tc>
        <w:tc>
          <w:tcPr>
            <w:tcW w:w="5387" w:type="dxa"/>
          </w:tcPr>
          <w:p w:rsidR="00B46DF3" w:rsidRDefault="00B46DF3" w:rsidP="00107E85">
            <w:pPr>
              <w:tabs>
                <w:tab w:val="clear" w:pos="1191"/>
                <w:tab w:val="clear" w:pos="1588"/>
                <w:tab w:val="clear" w:pos="1985"/>
              </w:tabs>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C64AF3">
            <w:pPr>
              <w:tabs>
                <w:tab w:val="clear" w:pos="1191"/>
                <w:tab w:val="clear" w:pos="1588"/>
                <w:tab w:val="clear" w:pos="1985"/>
              </w:tabs>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B46DF3" w:rsidP="00107E85">
            <w:pPr>
              <w:spacing w:before="0"/>
              <w:ind w:right="142"/>
              <w:jc w:val="right"/>
            </w:pPr>
            <w:r w:rsidRPr="004949B5">
              <w:rPr>
                <w:noProof/>
                <w:color w:val="189CD7"/>
                <w:lang w:eastAsia="zh-CN"/>
              </w:rPr>
              <w:drawing>
                <wp:anchor distT="0" distB="0" distL="114300" distR="114300" simplePos="0" relativeHeight="251669504" behindDoc="0" locked="0" layoutInCell="1" allowOverlap="1" wp14:anchorId="77ACB888" wp14:editId="38302EBF">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vMerge w:val="restart"/>
          </w:tcPr>
          <w:p w:rsidR="00683C32" w:rsidRPr="002E6963" w:rsidRDefault="00683C32" w:rsidP="00107E85">
            <w:pPr>
              <w:pStyle w:val="Committee"/>
              <w:rPr>
                <w:b w:val="0"/>
              </w:rPr>
            </w:pPr>
          </w:p>
        </w:tc>
        <w:tc>
          <w:tcPr>
            <w:tcW w:w="3225" w:type="dxa"/>
          </w:tcPr>
          <w:p w:rsidR="00683C32" w:rsidRPr="00002716" w:rsidRDefault="00380B71" w:rsidP="00D25727">
            <w:pPr>
              <w:spacing w:before="0"/>
              <w:jc w:val="both"/>
              <w:rPr>
                <w:bCs/>
                <w:lang w:val="en-US"/>
              </w:rPr>
            </w:pPr>
            <w:r w:rsidRPr="00002716">
              <w:rPr>
                <w:b/>
                <w:bCs/>
                <w:lang w:val="en-US"/>
              </w:rPr>
              <w:t>Document</w:t>
            </w:r>
            <w:r w:rsidRPr="00A54E72">
              <w:rPr>
                <w:b/>
                <w:bCs/>
                <w:lang w:val="en-US"/>
              </w:rPr>
              <w:t xml:space="preserve"> </w:t>
            </w:r>
            <w:bookmarkStart w:id="0" w:name="DocRef1"/>
            <w:bookmarkEnd w:id="0"/>
            <w:r w:rsidR="00107E85">
              <w:rPr>
                <w:b/>
                <w:bCs/>
                <w:lang w:val="en-US"/>
              </w:rPr>
              <w:t>TDAG17</w:t>
            </w:r>
            <w:r w:rsidR="003004A2">
              <w:rPr>
                <w:b/>
                <w:bCs/>
                <w:lang w:val="en-US"/>
              </w:rPr>
              <w:t>-22</w:t>
            </w:r>
            <w:r w:rsidRPr="00A54E72">
              <w:rPr>
                <w:b/>
                <w:bCs/>
                <w:lang w:val="en-US"/>
              </w:rPr>
              <w:t>/</w:t>
            </w:r>
            <w:bookmarkStart w:id="1" w:name="DocNo1"/>
            <w:bookmarkEnd w:id="1"/>
            <w:r w:rsidR="00D25727">
              <w:rPr>
                <w:b/>
                <w:bCs/>
                <w:lang w:val="en-US"/>
              </w:rPr>
              <w:t>16</w:t>
            </w:r>
            <w:r w:rsidR="00107E85">
              <w:rPr>
                <w:b/>
                <w:bCs/>
                <w:lang w:val="en-US"/>
              </w:rPr>
              <w:t>-E</w:t>
            </w:r>
          </w:p>
        </w:tc>
      </w:tr>
      <w:tr w:rsidR="00683C32" w:rsidTr="00107E85">
        <w:trPr>
          <w:cantSplit/>
        </w:trPr>
        <w:tc>
          <w:tcPr>
            <w:tcW w:w="6663" w:type="dxa"/>
            <w:gridSpan w:val="2"/>
            <w:vMerge/>
          </w:tcPr>
          <w:p w:rsidR="00683C32" w:rsidRPr="00002716" w:rsidRDefault="00683C32" w:rsidP="00107E85">
            <w:pPr>
              <w:spacing w:after="120"/>
              <w:rPr>
                <w:b/>
                <w:bCs/>
                <w:smallCaps/>
                <w:lang w:val="en-US"/>
              </w:rPr>
            </w:pPr>
          </w:p>
        </w:tc>
        <w:tc>
          <w:tcPr>
            <w:tcW w:w="3225" w:type="dxa"/>
          </w:tcPr>
          <w:p w:rsidR="00683C32" w:rsidRPr="002E6F8F" w:rsidRDefault="00E90C8A" w:rsidP="008B2DE8">
            <w:pPr>
              <w:spacing w:before="0"/>
              <w:rPr>
                <w:b/>
              </w:rPr>
            </w:pPr>
            <w:bookmarkStart w:id="2" w:name="CreationDate"/>
            <w:bookmarkEnd w:id="2"/>
            <w:r>
              <w:rPr>
                <w:b/>
                <w:szCs w:val="24"/>
              </w:rPr>
              <w:t>11</w:t>
            </w:r>
            <w:r w:rsidR="008B2DE8">
              <w:rPr>
                <w:b/>
                <w:szCs w:val="24"/>
              </w:rPr>
              <w:t xml:space="preserve"> March </w:t>
            </w:r>
            <w:r w:rsidR="004812B7">
              <w:rPr>
                <w:b/>
                <w:szCs w:val="24"/>
              </w:rPr>
              <w:t xml:space="preserve"> </w:t>
            </w:r>
            <w:r w:rsidR="004812B7" w:rsidRPr="00E4640E">
              <w:rPr>
                <w:b/>
                <w:szCs w:val="24"/>
              </w:rPr>
              <w:t>201</w:t>
            </w:r>
            <w:r w:rsidR="004812B7">
              <w:rPr>
                <w:b/>
                <w:szCs w:val="24"/>
              </w:rPr>
              <w:t>7</w:t>
            </w:r>
          </w:p>
        </w:tc>
      </w:tr>
      <w:tr w:rsidR="00683C32" w:rsidTr="00107E85">
        <w:trPr>
          <w:cantSplit/>
        </w:trPr>
        <w:tc>
          <w:tcPr>
            <w:tcW w:w="6663" w:type="dxa"/>
            <w:gridSpan w:val="2"/>
            <w:vMerge/>
          </w:tcPr>
          <w:p w:rsidR="00683C32" w:rsidRDefault="00683C32" w:rsidP="00107E85">
            <w:pPr>
              <w:spacing w:after="120"/>
              <w:rPr>
                <w:b/>
                <w:bCs/>
                <w:smallCaps/>
              </w:rPr>
            </w:pPr>
          </w:p>
        </w:tc>
        <w:tc>
          <w:tcPr>
            <w:tcW w:w="3225" w:type="dxa"/>
          </w:tcPr>
          <w:p w:rsidR="00514D2F" w:rsidRPr="00D34008" w:rsidRDefault="00683C32" w:rsidP="006E0C29">
            <w:pPr>
              <w:spacing w:before="0" w:after="240"/>
            </w:pPr>
            <w:r>
              <w:rPr>
                <w:b/>
              </w:rPr>
              <w:t>Original</w:t>
            </w:r>
            <w:r w:rsidR="00A525CC">
              <w:rPr>
                <w:b/>
              </w:rPr>
              <w:t>:</w:t>
            </w:r>
            <w:bookmarkStart w:id="3" w:name="Original"/>
            <w:bookmarkStart w:id="4" w:name="_GoBack"/>
            <w:bookmarkEnd w:id="3"/>
            <w:bookmarkEnd w:id="4"/>
            <w:r w:rsidR="004812B7" w:rsidRPr="00E4640E">
              <w:rPr>
                <w:b/>
                <w:szCs w:val="24"/>
              </w:rPr>
              <w:t xml:space="preserve"> English</w:t>
            </w:r>
          </w:p>
        </w:tc>
      </w:tr>
      <w:tr w:rsidR="00A13162" w:rsidRPr="003004A2" w:rsidTr="00107E85">
        <w:trPr>
          <w:cantSplit/>
          <w:trHeight w:val="852"/>
        </w:trPr>
        <w:tc>
          <w:tcPr>
            <w:tcW w:w="9888" w:type="dxa"/>
            <w:gridSpan w:val="3"/>
          </w:tcPr>
          <w:p w:rsidR="00A13162" w:rsidRPr="003004A2" w:rsidRDefault="000C7963" w:rsidP="000C7963">
            <w:pPr>
              <w:widowControl w:val="0"/>
              <w:spacing w:before="240" w:after="120"/>
              <w:jc w:val="center"/>
              <w:rPr>
                <w:sz w:val="28"/>
                <w:szCs w:val="28"/>
              </w:rPr>
            </w:pPr>
            <w:bookmarkStart w:id="5" w:name="Source"/>
            <w:bookmarkEnd w:id="5"/>
            <w:r>
              <w:rPr>
                <w:b/>
                <w:bCs/>
                <w:sz w:val="28"/>
                <w:szCs w:val="28"/>
              </w:rPr>
              <w:t xml:space="preserve">Director, </w:t>
            </w:r>
            <w:r w:rsidR="003004A2" w:rsidRPr="003004A2">
              <w:rPr>
                <w:b/>
                <w:bCs/>
                <w:sz w:val="28"/>
                <w:szCs w:val="28"/>
              </w:rPr>
              <w:t>Telecommunication Development Bureau</w:t>
            </w:r>
          </w:p>
        </w:tc>
      </w:tr>
      <w:tr w:rsidR="00AC6F14" w:rsidRPr="002E6963" w:rsidTr="00A457F7">
        <w:trPr>
          <w:cantSplit/>
        </w:trPr>
        <w:tc>
          <w:tcPr>
            <w:tcW w:w="9888" w:type="dxa"/>
            <w:gridSpan w:val="3"/>
          </w:tcPr>
          <w:p w:rsidR="00AC6F14" w:rsidRPr="003004A2" w:rsidRDefault="00F40A4A" w:rsidP="00363061">
            <w:pPr>
              <w:widowControl w:val="0"/>
              <w:spacing w:after="120"/>
              <w:jc w:val="center"/>
              <w:rPr>
                <w:bCs/>
                <w:sz w:val="28"/>
                <w:szCs w:val="28"/>
              </w:rPr>
            </w:pPr>
            <w:bookmarkStart w:id="6" w:name="Title"/>
            <w:bookmarkEnd w:id="6"/>
            <w:r w:rsidRPr="003004A2">
              <w:rPr>
                <w:sz w:val="28"/>
                <w:szCs w:val="28"/>
              </w:rPr>
              <w:t xml:space="preserve">STATUS ON THE </w:t>
            </w:r>
            <w:r w:rsidR="003E622D" w:rsidRPr="003004A2">
              <w:rPr>
                <w:sz w:val="28"/>
                <w:szCs w:val="28"/>
              </w:rPr>
              <w:t>PREPARATIONS FOR WORLD TELECOMMUNICATION DEVELOPMENT</w:t>
            </w:r>
            <w:r w:rsidR="003004A2">
              <w:rPr>
                <w:sz w:val="28"/>
                <w:szCs w:val="28"/>
              </w:rPr>
              <w:t xml:space="preserve"> </w:t>
            </w:r>
            <w:r w:rsidR="003E622D" w:rsidRPr="003004A2">
              <w:rPr>
                <w:sz w:val="28"/>
                <w:szCs w:val="28"/>
              </w:rPr>
              <w:t>CONFERENCE 2017</w:t>
            </w:r>
          </w:p>
        </w:tc>
      </w:tr>
      <w:tr w:rsidR="00A457F7" w:rsidRPr="002E6963" w:rsidTr="00A457F7">
        <w:trPr>
          <w:cantSplit/>
        </w:trPr>
        <w:tc>
          <w:tcPr>
            <w:tcW w:w="9888" w:type="dxa"/>
            <w:gridSpan w:val="3"/>
            <w:tcBorders>
              <w:bottom w:val="single" w:sz="4" w:space="0" w:color="auto"/>
            </w:tcBorders>
          </w:tcPr>
          <w:p w:rsidR="00A457F7" w:rsidRPr="003004A2" w:rsidRDefault="00A457F7" w:rsidP="00363061">
            <w:pPr>
              <w:widowControl w:val="0"/>
              <w:spacing w:after="120"/>
              <w:jc w:val="center"/>
              <w:rPr>
                <w:sz w:val="28"/>
                <w:szCs w:val="28"/>
              </w:rPr>
            </w:pPr>
          </w:p>
        </w:tc>
      </w:tr>
      <w:tr w:rsidR="00A457F7" w:rsidRPr="002E6963" w:rsidTr="00A457F7">
        <w:trPr>
          <w:cantSplit/>
        </w:trPr>
        <w:tc>
          <w:tcPr>
            <w:tcW w:w="9888" w:type="dxa"/>
            <w:gridSpan w:val="3"/>
            <w:tcBorders>
              <w:top w:val="single" w:sz="4" w:space="0" w:color="auto"/>
              <w:left w:val="single" w:sz="4" w:space="0" w:color="auto"/>
              <w:bottom w:val="single" w:sz="4" w:space="0" w:color="auto"/>
              <w:right w:val="single" w:sz="4" w:space="0" w:color="auto"/>
            </w:tcBorders>
          </w:tcPr>
          <w:p w:rsidR="00A457F7" w:rsidRPr="003004A2" w:rsidRDefault="00A457F7" w:rsidP="00A457F7">
            <w:pPr>
              <w:keepNext/>
              <w:ind w:right="-284"/>
              <w:rPr>
                <w:b/>
              </w:rPr>
            </w:pPr>
            <w:r w:rsidRPr="003004A2">
              <w:rPr>
                <w:b/>
              </w:rPr>
              <w:t>Summary</w:t>
            </w:r>
          </w:p>
          <w:p w:rsidR="00A457F7" w:rsidRPr="003004A2" w:rsidRDefault="00A457F7" w:rsidP="00A457F7">
            <w:pPr>
              <w:ind w:right="-284"/>
            </w:pPr>
            <w:r w:rsidRPr="003004A2">
              <w:t>This report is to inform TDAG of the status of preparations for World Telecommunication Development Conference 2017 (WTDC-17).</w:t>
            </w:r>
          </w:p>
          <w:p w:rsidR="00A457F7" w:rsidRPr="003004A2" w:rsidRDefault="00A457F7" w:rsidP="00A457F7">
            <w:pPr>
              <w:keepNext/>
              <w:ind w:right="-284"/>
              <w:rPr>
                <w:b/>
              </w:rPr>
            </w:pPr>
            <w:r w:rsidRPr="003004A2">
              <w:rPr>
                <w:b/>
              </w:rPr>
              <w:t>Action required</w:t>
            </w:r>
          </w:p>
          <w:p w:rsidR="00A457F7" w:rsidRPr="003004A2" w:rsidRDefault="00A457F7" w:rsidP="00A457F7">
            <w:pPr>
              <w:ind w:right="-284"/>
            </w:pPr>
            <w:r w:rsidRPr="003004A2">
              <w:t xml:space="preserve">TDAG is invited to </w:t>
            </w:r>
            <w:r>
              <w:t>note the action taken in preparation for WTDC-17 and to endorse the recommendation in the conclusion</w:t>
            </w:r>
            <w:r w:rsidRPr="003004A2">
              <w:t xml:space="preserve">. </w:t>
            </w:r>
          </w:p>
          <w:p w:rsidR="00A457F7" w:rsidRDefault="00A457F7" w:rsidP="00A457F7">
            <w:pPr>
              <w:keepNext/>
              <w:ind w:right="-284"/>
              <w:rPr>
                <w:b/>
              </w:rPr>
            </w:pPr>
            <w:r w:rsidRPr="003004A2">
              <w:rPr>
                <w:b/>
              </w:rPr>
              <w:t>References</w:t>
            </w:r>
          </w:p>
          <w:p w:rsidR="00A457F7" w:rsidRPr="003004A2" w:rsidRDefault="00A457F7" w:rsidP="00A457F7">
            <w:pPr>
              <w:ind w:right="-284"/>
              <w:rPr>
                <w:sz w:val="28"/>
                <w:szCs w:val="28"/>
              </w:rPr>
            </w:pPr>
            <w:hyperlink r:id="rId10" w:history="1">
              <w:r w:rsidRPr="002162A7">
                <w:rPr>
                  <w:rStyle w:val="Hyperlink"/>
                  <w:color w:val="auto"/>
                  <w:u w:val="none"/>
                </w:rPr>
                <w:t>No. 141 of the ITU Constitution</w:t>
              </w:r>
            </w:hyperlink>
            <w:r w:rsidRPr="002162A7">
              <w:t xml:space="preserve">, </w:t>
            </w:r>
            <w:hyperlink r:id="rId11" w:history="1">
              <w:r w:rsidRPr="002162A7">
                <w:rPr>
                  <w:rStyle w:val="Hyperlink"/>
                  <w:color w:val="auto"/>
                  <w:u w:val="none"/>
                </w:rPr>
                <w:t>Nos. 42, 213 of the ITU Convention, Chapter I of the General Rules of Conferences, Assemblies and Meetings of the Union,</w:t>
              </w:r>
            </w:hyperlink>
            <w:r w:rsidRPr="002162A7">
              <w:t xml:space="preserve"> </w:t>
            </w:r>
            <w:hyperlink r:id="rId12" w:history="1">
              <w:r w:rsidRPr="002162A7">
                <w:rPr>
                  <w:rStyle w:val="Hyperlink"/>
                  <w:color w:val="auto"/>
                  <w:u w:val="none"/>
                </w:rPr>
                <w:t>PP Resolutions 72, 77, 111 (Rev. Busan, 2014),</w:t>
              </w:r>
            </w:hyperlink>
            <w:r w:rsidRPr="002162A7">
              <w:t xml:space="preserve"> and </w:t>
            </w:r>
            <w:hyperlink r:id="rId13" w:history="1">
              <w:r w:rsidRPr="002162A7">
                <w:rPr>
                  <w:rStyle w:val="Hyperlink"/>
                  <w:color w:val="auto"/>
                  <w:u w:val="none"/>
                </w:rPr>
                <w:t>WTDC Resolution 31 (Rev. Hyderabad, 2010)</w:t>
              </w:r>
            </w:hyperlink>
            <w:r>
              <w:rPr>
                <w:rStyle w:val="Hyperlink"/>
                <w:color w:val="auto"/>
                <w:u w:val="none"/>
              </w:rPr>
              <w:t>.</w:t>
            </w:r>
          </w:p>
        </w:tc>
      </w:tr>
    </w:tbl>
    <w:p w:rsidR="004812B7" w:rsidRPr="00BB1C1B" w:rsidRDefault="004812B7" w:rsidP="00A457F7">
      <w:pPr>
        <w:pStyle w:val="Heading1"/>
        <w:keepLines w:val="0"/>
        <w:numPr>
          <w:ilvl w:val="0"/>
          <w:numId w:val="16"/>
        </w:numPr>
        <w:tabs>
          <w:tab w:val="clear" w:pos="794"/>
          <w:tab w:val="left" w:pos="851"/>
        </w:tabs>
        <w:snapToGrid w:val="0"/>
        <w:spacing w:before="240" w:after="120"/>
        <w:ind w:left="851" w:hanging="851"/>
        <w:rPr>
          <w:sz w:val="24"/>
          <w:szCs w:val="24"/>
        </w:rPr>
      </w:pPr>
      <w:bookmarkStart w:id="7" w:name="Proposal"/>
      <w:bookmarkEnd w:id="7"/>
      <w:r w:rsidRPr="00BB1C1B">
        <w:rPr>
          <w:sz w:val="24"/>
          <w:szCs w:val="24"/>
        </w:rPr>
        <w:t>Background</w:t>
      </w:r>
    </w:p>
    <w:p w:rsidR="004812B7" w:rsidRPr="004812B7" w:rsidRDefault="004812B7" w:rsidP="00D055C8">
      <w:pPr>
        <w:pStyle w:val="CEOMainDocParagraph"/>
        <w:numPr>
          <w:ilvl w:val="1"/>
          <w:numId w:val="4"/>
        </w:numPr>
        <w:tabs>
          <w:tab w:val="left" w:pos="851"/>
        </w:tabs>
        <w:snapToGrid w:val="0"/>
        <w:spacing w:after="0" w:line="240" w:lineRule="auto"/>
        <w:ind w:left="0" w:firstLine="0"/>
        <w:rPr>
          <w:sz w:val="24"/>
          <w:szCs w:val="24"/>
        </w:rPr>
      </w:pPr>
      <w:r w:rsidRPr="004812B7">
        <w:rPr>
          <w:sz w:val="24"/>
          <w:szCs w:val="24"/>
        </w:rPr>
        <w:t>No. 141 of the ITU Constitution stipulates that there shall be a World Telecommunication Development Conference (WTDC) between two Plenipotentiary Conferences.</w:t>
      </w:r>
    </w:p>
    <w:p w:rsidR="004812B7" w:rsidRPr="004812B7" w:rsidRDefault="004812B7" w:rsidP="00D055C8">
      <w:pPr>
        <w:pStyle w:val="CEOMainDocParagraph"/>
        <w:numPr>
          <w:ilvl w:val="1"/>
          <w:numId w:val="4"/>
        </w:numPr>
        <w:tabs>
          <w:tab w:val="left" w:pos="851"/>
        </w:tabs>
        <w:snapToGrid w:val="0"/>
        <w:spacing w:after="0" w:line="240" w:lineRule="auto"/>
        <w:ind w:left="0" w:firstLine="0"/>
        <w:rPr>
          <w:sz w:val="24"/>
          <w:szCs w:val="24"/>
        </w:rPr>
      </w:pPr>
      <w:r w:rsidRPr="004812B7">
        <w:rPr>
          <w:sz w:val="24"/>
          <w:szCs w:val="24"/>
        </w:rPr>
        <w:t>Resolution 77 (Rev. Busan, 2014) resolves to hold the WTDC in November-December</w:t>
      </w:r>
      <w:r w:rsidR="00BB1C1B">
        <w:rPr>
          <w:sz w:val="24"/>
          <w:szCs w:val="24"/>
        </w:rPr>
        <w:t> </w:t>
      </w:r>
      <w:r w:rsidRPr="004812B7">
        <w:rPr>
          <w:sz w:val="24"/>
          <w:szCs w:val="24"/>
        </w:rPr>
        <w:t xml:space="preserve">2017. </w:t>
      </w:r>
    </w:p>
    <w:p w:rsidR="004812B7" w:rsidRPr="004812B7" w:rsidRDefault="004812B7" w:rsidP="00D055C8">
      <w:pPr>
        <w:pStyle w:val="CEOMainDocParagraph"/>
        <w:numPr>
          <w:ilvl w:val="1"/>
          <w:numId w:val="4"/>
        </w:numPr>
        <w:tabs>
          <w:tab w:val="left" w:pos="851"/>
        </w:tabs>
        <w:snapToGrid w:val="0"/>
        <w:spacing w:after="0" w:line="240" w:lineRule="auto"/>
        <w:ind w:left="0" w:firstLine="0"/>
        <w:rPr>
          <w:sz w:val="24"/>
          <w:szCs w:val="24"/>
        </w:rPr>
      </w:pPr>
      <w:r w:rsidRPr="004812B7">
        <w:rPr>
          <w:sz w:val="24"/>
          <w:szCs w:val="24"/>
        </w:rPr>
        <w:t>Resolution 72 (Rev. Busan, 2014) underlines the importance of linking strategic, financial and operational plans as a basis for measuring progress in achieving the objectives and goals of ITU.</w:t>
      </w:r>
    </w:p>
    <w:p w:rsidR="004812B7" w:rsidRPr="004812B7" w:rsidRDefault="00E90C8A" w:rsidP="00D055C8">
      <w:pPr>
        <w:pStyle w:val="CEOMainDocParagraph"/>
        <w:numPr>
          <w:ilvl w:val="1"/>
          <w:numId w:val="4"/>
        </w:numPr>
        <w:tabs>
          <w:tab w:val="left" w:pos="851"/>
        </w:tabs>
        <w:snapToGrid w:val="0"/>
        <w:spacing w:after="0" w:line="240" w:lineRule="auto"/>
        <w:ind w:left="0" w:firstLine="0"/>
        <w:rPr>
          <w:iCs/>
          <w:snapToGrid w:val="0"/>
          <w:sz w:val="24"/>
          <w:szCs w:val="24"/>
          <w:lang w:eastAsia="fr-FR"/>
        </w:rPr>
      </w:pPr>
      <w:r>
        <w:rPr>
          <w:sz w:val="24"/>
          <w:szCs w:val="24"/>
        </w:rPr>
        <w:t xml:space="preserve">WTDC </w:t>
      </w:r>
      <w:r w:rsidR="004812B7" w:rsidRPr="004812B7">
        <w:rPr>
          <w:sz w:val="24"/>
          <w:szCs w:val="24"/>
        </w:rPr>
        <w:t>Resolution 31 (Rev. Hyderabad, 2010)</w:t>
      </w:r>
      <w:r w:rsidR="004812B7" w:rsidRPr="004812B7">
        <w:rPr>
          <w:iCs/>
          <w:snapToGrid w:val="0"/>
          <w:sz w:val="24"/>
          <w:szCs w:val="24"/>
          <w:lang w:eastAsia="fr-FR"/>
        </w:rPr>
        <w:t xml:space="preserve"> expresses the firm conviction</w:t>
      </w:r>
      <w:r w:rsidR="004812B7" w:rsidRPr="004812B7">
        <w:rPr>
          <w:i/>
          <w:snapToGrid w:val="0"/>
          <w:sz w:val="24"/>
          <w:szCs w:val="24"/>
          <w:lang w:eastAsia="fr-FR"/>
        </w:rPr>
        <w:t xml:space="preserve"> </w:t>
      </w:r>
      <w:r w:rsidR="004812B7" w:rsidRPr="004812B7">
        <w:rPr>
          <w:snapToGrid w:val="0"/>
          <w:sz w:val="24"/>
          <w:szCs w:val="24"/>
          <w:lang w:eastAsia="fr-FR"/>
        </w:rPr>
        <w:t>that the coordination of preparations at regional level for the six regions of the ITU Telecommunication Development Sector (ITU-D) are of great benefit to Member States.</w:t>
      </w:r>
    </w:p>
    <w:p w:rsidR="004812B7" w:rsidRPr="004812B7" w:rsidRDefault="004812B7" w:rsidP="00D055C8">
      <w:pPr>
        <w:pStyle w:val="Heading1"/>
        <w:keepLines w:val="0"/>
        <w:numPr>
          <w:ilvl w:val="0"/>
          <w:numId w:val="16"/>
        </w:numPr>
        <w:tabs>
          <w:tab w:val="clear" w:pos="794"/>
          <w:tab w:val="left" w:pos="851"/>
        </w:tabs>
        <w:snapToGrid w:val="0"/>
        <w:spacing w:before="240" w:after="120"/>
        <w:ind w:left="851" w:hanging="851"/>
        <w:rPr>
          <w:sz w:val="24"/>
          <w:szCs w:val="24"/>
        </w:rPr>
      </w:pPr>
      <w:bookmarkStart w:id="8" w:name="OLE_LINK5"/>
      <w:bookmarkStart w:id="9" w:name="OLE_LINK6"/>
      <w:r w:rsidRPr="004812B7">
        <w:rPr>
          <w:sz w:val="24"/>
          <w:szCs w:val="24"/>
        </w:rPr>
        <w:t>Place, duration, dates, theme and draft agenda for WTDC-17</w:t>
      </w:r>
    </w:p>
    <w:p w:rsidR="004812B7" w:rsidRPr="00A457F7" w:rsidRDefault="004812B7" w:rsidP="00B51DC3">
      <w:pPr>
        <w:pStyle w:val="CEOMainDocParagraph"/>
        <w:numPr>
          <w:ilvl w:val="1"/>
          <w:numId w:val="2"/>
        </w:numPr>
        <w:tabs>
          <w:tab w:val="clear" w:pos="937"/>
          <w:tab w:val="left" w:pos="851"/>
        </w:tabs>
        <w:snapToGrid w:val="0"/>
        <w:ind w:left="0" w:firstLine="0"/>
        <w:rPr>
          <w:sz w:val="24"/>
          <w:szCs w:val="24"/>
        </w:rPr>
      </w:pPr>
      <w:r w:rsidRPr="00A457F7">
        <w:rPr>
          <w:sz w:val="24"/>
          <w:szCs w:val="24"/>
        </w:rPr>
        <w:t>At its 2016 session, the ITU Council noted with appreciation the official invitation from the Government of Argentina to host WTDC</w:t>
      </w:r>
      <w:r w:rsidRPr="00A457F7">
        <w:rPr>
          <w:sz w:val="24"/>
          <w:szCs w:val="24"/>
        </w:rPr>
        <w:noBreakHyphen/>
        <w:t>17 in Buenos Aires from 9 to 20 October 2017 and approved the precise place and exact dates.</w:t>
      </w:r>
    </w:p>
    <w:p w:rsidR="004812B7" w:rsidRPr="00A457F7" w:rsidRDefault="004812B7" w:rsidP="00B51DC3">
      <w:pPr>
        <w:pStyle w:val="CEOMainDocParagraph"/>
        <w:numPr>
          <w:ilvl w:val="1"/>
          <w:numId w:val="2"/>
        </w:numPr>
        <w:tabs>
          <w:tab w:val="clear" w:pos="937"/>
          <w:tab w:val="left" w:pos="851"/>
        </w:tabs>
        <w:snapToGrid w:val="0"/>
        <w:ind w:left="0" w:firstLine="0"/>
        <w:rPr>
          <w:sz w:val="24"/>
          <w:szCs w:val="24"/>
        </w:rPr>
      </w:pPr>
      <w:r w:rsidRPr="00A457F7">
        <w:rPr>
          <w:sz w:val="24"/>
          <w:szCs w:val="24"/>
        </w:rPr>
        <w:lastRenderedPageBreak/>
        <w:t>In line with No. 213 of the ITU Convention, the Council also approved the draft agenda for</w:t>
      </w:r>
      <w:r w:rsidRPr="00A457F7">
        <w:rPr>
          <w:b/>
          <w:bCs/>
          <w:sz w:val="24"/>
          <w:szCs w:val="24"/>
        </w:rPr>
        <w:t xml:space="preserve"> </w:t>
      </w:r>
      <w:r w:rsidRPr="00A457F7">
        <w:rPr>
          <w:sz w:val="24"/>
          <w:szCs w:val="24"/>
        </w:rPr>
        <w:t>WTDC-17 as set out in Document C16/56</w:t>
      </w:r>
      <w:r w:rsidR="00E90C8A" w:rsidRPr="00A457F7">
        <w:rPr>
          <w:sz w:val="24"/>
          <w:szCs w:val="24"/>
        </w:rPr>
        <w:t>(</w:t>
      </w:r>
      <w:r w:rsidRPr="00A457F7">
        <w:rPr>
          <w:sz w:val="24"/>
          <w:szCs w:val="24"/>
        </w:rPr>
        <w:t>Rev.1</w:t>
      </w:r>
      <w:r w:rsidR="00E90C8A" w:rsidRPr="00A457F7">
        <w:rPr>
          <w:sz w:val="24"/>
          <w:szCs w:val="24"/>
        </w:rPr>
        <w:t>)</w:t>
      </w:r>
      <w:r w:rsidRPr="00A457F7">
        <w:rPr>
          <w:sz w:val="24"/>
          <w:szCs w:val="24"/>
        </w:rPr>
        <w:t>. The Council welcomed</w:t>
      </w:r>
      <w:r w:rsidRPr="00A457F7">
        <w:rPr>
          <w:b/>
          <w:bCs/>
          <w:sz w:val="24"/>
          <w:szCs w:val="24"/>
        </w:rPr>
        <w:t xml:space="preserve"> </w:t>
      </w:r>
      <w:r w:rsidRPr="00A457F7">
        <w:rPr>
          <w:sz w:val="24"/>
          <w:szCs w:val="24"/>
        </w:rPr>
        <w:t>“ICT for Sustainable Development Goals” (ICT</w:t>
      </w:r>
      <w:r w:rsidRPr="00A457F7">
        <w:rPr>
          <w:sz w:val="24"/>
          <w:szCs w:val="24"/>
        </w:rPr>
        <w:sym w:font="Wingdings" w:char="F084"/>
      </w:r>
      <w:r w:rsidRPr="00A457F7">
        <w:rPr>
          <w:sz w:val="24"/>
          <w:szCs w:val="24"/>
        </w:rPr>
        <w:t xml:space="preserve">SDGs) as the proposed theme for WTDC-17, noting how such a theme would send a message to the outside world about </w:t>
      </w:r>
      <w:r w:rsidR="00E90C8A" w:rsidRPr="00A457F7">
        <w:rPr>
          <w:sz w:val="24"/>
          <w:szCs w:val="24"/>
        </w:rPr>
        <w:t xml:space="preserve">ITU’s </w:t>
      </w:r>
      <w:r w:rsidRPr="00A457F7">
        <w:rPr>
          <w:sz w:val="24"/>
          <w:szCs w:val="24"/>
        </w:rPr>
        <w:t xml:space="preserve">alignment to the 2030 Sustainable Development Agenda agreed by </w:t>
      </w:r>
      <w:r w:rsidR="00E90C8A" w:rsidRPr="00A457F7">
        <w:rPr>
          <w:sz w:val="24"/>
          <w:szCs w:val="24"/>
        </w:rPr>
        <w:t xml:space="preserve">heads </w:t>
      </w:r>
      <w:r w:rsidRPr="00A457F7">
        <w:rPr>
          <w:sz w:val="24"/>
          <w:szCs w:val="24"/>
        </w:rPr>
        <w:t xml:space="preserve">of </w:t>
      </w:r>
      <w:r w:rsidR="00E90C8A" w:rsidRPr="00A457F7">
        <w:rPr>
          <w:sz w:val="24"/>
          <w:szCs w:val="24"/>
        </w:rPr>
        <w:t xml:space="preserve">state </w:t>
      </w:r>
      <w:r w:rsidRPr="00A457F7">
        <w:rPr>
          <w:sz w:val="24"/>
          <w:szCs w:val="24"/>
        </w:rPr>
        <w:t xml:space="preserve">and </w:t>
      </w:r>
      <w:r w:rsidR="00E90C8A" w:rsidRPr="00A457F7">
        <w:rPr>
          <w:sz w:val="24"/>
          <w:szCs w:val="24"/>
        </w:rPr>
        <w:t xml:space="preserve">government </w:t>
      </w:r>
      <w:r w:rsidRPr="00A457F7">
        <w:rPr>
          <w:sz w:val="24"/>
          <w:szCs w:val="24"/>
        </w:rPr>
        <w:t>at the United Nations General Assembly.</w:t>
      </w:r>
    </w:p>
    <w:p w:rsidR="004812B7" w:rsidRPr="00A457F7" w:rsidRDefault="00E90C8A" w:rsidP="00DA6441">
      <w:pPr>
        <w:pStyle w:val="CEOMainDocParagraph"/>
        <w:numPr>
          <w:ilvl w:val="1"/>
          <w:numId w:val="2"/>
        </w:numPr>
        <w:tabs>
          <w:tab w:val="clear" w:pos="937"/>
          <w:tab w:val="left" w:pos="851"/>
        </w:tabs>
        <w:snapToGrid w:val="0"/>
        <w:ind w:left="0" w:firstLine="0"/>
        <w:rPr>
          <w:sz w:val="24"/>
          <w:szCs w:val="24"/>
        </w:rPr>
      </w:pPr>
      <w:r w:rsidRPr="00A457F7">
        <w:rPr>
          <w:sz w:val="24"/>
          <w:szCs w:val="24"/>
          <w:lang w:val="en"/>
        </w:rPr>
        <w:t xml:space="preserve">By </w:t>
      </w:r>
      <w:hyperlink r:id="rId14" w:history="1">
        <w:r w:rsidRPr="00A457F7">
          <w:rPr>
            <w:rStyle w:val="Hyperlink"/>
            <w:sz w:val="24"/>
            <w:szCs w:val="24"/>
            <w:lang w:val="en"/>
          </w:rPr>
          <w:t>Circular Letter No. 16/23</w:t>
        </w:r>
      </w:hyperlink>
      <w:r w:rsidRPr="00A457F7">
        <w:rPr>
          <w:sz w:val="24"/>
          <w:szCs w:val="24"/>
          <w:lang w:val="en"/>
        </w:rPr>
        <w:t xml:space="preserve"> of 26 May 2016,</w:t>
      </w:r>
      <w:r w:rsidR="004812B7" w:rsidRPr="00A457F7">
        <w:rPr>
          <w:sz w:val="24"/>
          <w:szCs w:val="24"/>
          <w:lang w:val="en"/>
        </w:rPr>
        <w:t xml:space="preserve"> ITU Member States were invited to confirm, in writing, their agreement with the precise place, exact dates</w:t>
      </w:r>
      <w:r w:rsidRPr="00A457F7">
        <w:rPr>
          <w:sz w:val="24"/>
          <w:szCs w:val="24"/>
          <w:lang w:val="en"/>
        </w:rPr>
        <w:t>,</w:t>
      </w:r>
      <w:r w:rsidR="004812B7" w:rsidRPr="00A457F7">
        <w:rPr>
          <w:sz w:val="24"/>
          <w:szCs w:val="24"/>
          <w:lang w:val="en"/>
        </w:rPr>
        <w:t xml:space="preserve"> and draft agenda of WTDC-17 </w:t>
      </w:r>
      <w:r w:rsidR="004812B7" w:rsidRPr="00A457F7">
        <w:rPr>
          <w:rFonts w:cs="Arial"/>
          <w:sz w:val="24"/>
          <w:szCs w:val="24"/>
        </w:rPr>
        <w:t xml:space="preserve">by </w:t>
      </w:r>
      <w:r w:rsidR="004812B7" w:rsidRPr="00A457F7">
        <w:rPr>
          <w:rFonts w:cs="Calibri"/>
          <w:sz w:val="24"/>
          <w:szCs w:val="24"/>
        </w:rPr>
        <w:t xml:space="preserve">27 June 2016. </w:t>
      </w:r>
    </w:p>
    <w:p w:rsidR="004812B7" w:rsidRPr="00A457F7" w:rsidRDefault="00E90C8A" w:rsidP="00363061">
      <w:pPr>
        <w:pStyle w:val="CEOMainDocParagraph"/>
        <w:numPr>
          <w:ilvl w:val="1"/>
          <w:numId w:val="2"/>
        </w:numPr>
        <w:tabs>
          <w:tab w:val="clear" w:pos="937"/>
          <w:tab w:val="left" w:pos="851"/>
        </w:tabs>
        <w:snapToGrid w:val="0"/>
        <w:ind w:left="0" w:firstLine="0"/>
        <w:rPr>
          <w:sz w:val="24"/>
          <w:szCs w:val="24"/>
        </w:rPr>
      </w:pPr>
      <w:r w:rsidRPr="00A457F7">
        <w:rPr>
          <w:rFonts w:cstheme="minorHAnsi"/>
          <w:sz w:val="24"/>
          <w:szCs w:val="24"/>
        </w:rPr>
        <w:t xml:space="preserve">By </w:t>
      </w:r>
      <w:hyperlink r:id="rId15" w:history="1">
        <w:r w:rsidRPr="00A457F7">
          <w:rPr>
            <w:rStyle w:val="Hyperlink"/>
            <w:rFonts w:cstheme="minorHAnsi"/>
            <w:sz w:val="24"/>
            <w:szCs w:val="24"/>
          </w:rPr>
          <w:t xml:space="preserve">Circular Letter No. </w:t>
        </w:r>
        <w:r w:rsidRPr="00A457F7">
          <w:rPr>
            <w:rStyle w:val="Hyperlink"/>
            <w:rFonts w:cs="Calibri"/>
            <w:sz w:val="24"/>
            <w:szCs w:val="24"/>
          </w:rPr>
          <w:t>16/29</w:t>
        </w:r>
      </w:hyperlink>
      <w:r w:rsidRPr="00A457F7">
        <w:rPr>
          <w:rFonts w:cs="Calibri"/>
          <w:sz w:val="24"/>
          <w:szCs w:val="24"/>
        </w:rPr>
        <w:t xml:space="preserve"> of 30 June 2016</w:t>
      </w:r>
      <w:r w:rsidRPr="00A457F7">
        <w:rPr>
          <w:rFonts w:cstheme="minorHAnsi"/>
          <w:sz w:val="24"/>
          <w:szCs w:val="24"/>
        </w:rPr>
        <w:t>,</w:t>
      </w:r>
      <w:r w:rsidR="004812B7" w:rsidRPr="00A457F7">
        <w:rPr>
          <w:rFonts w:cs="Calibri"/>
          <w:sz w:val="24"/>
          <w:szCs w:val="24"/>
        </w:rPr>
        <w:t xml:space="preserve"> </w:t>
      </w:r>
      <w:r w:rsidRPr="00A457F7">
        <w:rPr>
          <w:rFonts w:cs="Calibri"/>
          <w:sz w:val="24"/>
          <w:szCs w:val="24"/>
        </w:rPr>
        <w:t>of 30 June 2016</w:t>
      </w:r>
      <w:r w:rsidRPr="00A457F7">
        <w:rPr>
          <w:rFonts w:cstheme="minorHAnsi"/>
          <w:sz w:val="24"/>
          <w:szCs w:val="24"/>
        </w:rPr>
        <w:t xml:space="preserve">, </w:t>
      </w:r>
      <w:r w:rsidR="004812B7" w:rsidRPr="00A457F7">
        <w:rPr>
          <w:rFonts w:cs="Calibri"/>
          <w:sz w:val="24"/>
          <w:szCs w:val="24"/>
        </w:rPr>
        <w:t xml:space="preserve">ITU Member States were informed that the consultation carried out as outlined above had received the agreement of the required majority of ITU Member States, in accordance with Nos.42 and 213 of the ITU Convention. </w:t>
      </w:r>
    </w:p>
    <w:p w:rsidR="004812B7" w:rsidRPr="00A457F7" w:rsidRDefault="004812B7" w:rsidP="00B51DC3">
      <w:pPr>
        <w:pStyle w:val="CEOMainDocParagraph"/>
        <w:numPr>
          <w:ilvl w:val="1"/>
          <w:numId w:val="2"/>
        </w:numPr>
        <w:tabs>
          <w:tab w:val="clear" w:pos="937"/>
          <w:tab w:val="left" w:pos="851"/>
        </w:tabs>
        <w:snapToGrid w:val="0"/>
        <w:ind w:left="0" w:firstLine="0"/>
        <w:rPr>
          <w:rFonts w:eastAsia="Times New Roman" w:cstheme="minorHAnsi"/>
          <w:sz w:val="24"/>
          <w:szCs w:val="24"/>
        </w:rPr>
      </w:pPr>
      <w:r w:rsidRPr="00A457F7">
        <w:rPr>
          <w:rFonts w:eastAsia="Times New Roman" w:cstheme="minorHAnsi"/>
          <w:sz w:val="24"/>
          <w:szCs w:val="24"/>
        </w:rPr>
        <w:t xml:space="preserve">By </w:t>
      </w:r>
      <w:hyperlink r:id="rId16" w:history="1">
        <w:r w:rsidRPr="00A457F7">
          <w:rPr>
            <w:rStyle w:val="Hyperlink"/>
            <w:rFonts w:eastAsia="Times New Roman" w:cstheme="minorHAnsi"/>
            <w:sz w:val="24"/>
            <w:szCs w:val="24"/>
          </w:rPr>
          <w:t>Circular Letter No.</w:t>
        </w:r>
        <w:r w:rsidRPr="00A457F7">
          <w:rPr>
            <w:rStyle w:val="Hyperlink"/>
            <w:rFonts w:cs="Calibri"/>
            <w:sz w:val="24"/>
            <w:szCs w:val="24"/>
          </w:rPr>
          <w:t>16/37-</w:t>
        </w:r>
        <w:r w:rsidRPr="00A457F7">
          <w:rPr>
            <w:rStyle w:val="Hyperlink"/>
            <w:sz w:val="24"/>
            <w:szCs w:val="24"/>
          </w:rPr>
          <w:t>SG/BDT</w:t>
        </w:r>
      </w:hyperlink>
      <w:r w:rsidR="00E90C8A" w:rsidRPr="00A457F7">
        <w:rPr>
          <w:sz w:val="24"/>
          <w:szCs w:val="24"/>
        </w:rPr>
        <w:t>,</w:t>
      </w:r>
      <w:r w:rsidRPr="00A457F7">
        <w:rPr>
          <w:sz w:val="24"/>
          <w:szCs w:val="24"/>
        </w:rPr>
        <w:t xml:space="preserve"> of 6 July 2016</w:t>
      </w:r>
      <w:r w:rsidRPr="00A457F7">
        <w:rPr>
          <w:rFonts w:eastAsia="Times New Roman" w:cstheme="minorHAnsi"/>
          <w:sz w:val="24"/>
          <w:szCs w:val="24"/>
        </w:rPr>
        <w:t>,</w:t>
      </w:r>
      <w:r w:rsidRPr="00A457F7">
        <w:rPr>
          <w:rFonts w:cstheme="minorHAnsi"/>
          <w:sz w:val="24"/>
          <w:szCs w:val="24"/>
        </w:rPr>
        <w:t xml:space="preserve"> </w:t>
      </w:r>
      <w:r w:rsidRPr="00A457F7">
        <w:rPr>
          <w:rFonts w:cs="Calibri"/>
          <w:sz w:val="24"/>
          <w:szCs w:val="24"/>
        </w:rPr>
        <w:t xml:space="preserve">ITU Member States were invited </w:t>
      </w:r>
      <w:r w:rsidRPr="00A457F7">
        <w:rPr>
          <w:rFonts w:cs="Arial"/>
          <w:sz w:val="24"/>
          <w:szCs w:val="24"/>
        </w:rPr>
        <w:t>to send</w:t>
      </w:r>
      <w:r w:rsidRPr="00A457F7">
        <w:rPr>
          <w:rFonts w:cs="Calibri"/>
          <w:sz w:val="24"/>
          <w:szCs w:val="24"/>
        </w:rPr>
        <w:t xml:space="preserve"> their delegations to WTDC-17 and </w:t>
      </w:r>
      <w:r w:rsidRPr="00A457F7">
        <w:rPr>
          <w:rFonts w:eastAsia="Times New Roman" w:cs="Calibri"/>
          <w:sz w:val="24"/>
          <w:szCs w:val="24"/>
        </w:rPr>
        <w:t xml:space="preserve">were informed that this invitation was also being sent to </w:t>
      </w:r>
      <w:r w:rsidR="00E90C8A" w:rsidRPr="00A457F7">
        <w:rPr>
          <w:rFonts w:eastAsia="Times New Roman" w:cs="Calibri"/>
          <w:sz w:val="24"/>
          <w:szCs w:val="24"/>
        </w:rPr>
        <w:t xml:space="preserve">ITU-D </w:t>
      </w:r>
      <w:r w:rsidRPr="00A457F7">
        <w:rPr>
          <w:rFonts w:eastAsia="Times New Roman" w:cs="Calibri"/>
          <w:sz w:val="24"/>
          <w:szCs w:val="24"/>
        </w:rPr>
        <w:t>Sector Members,</w:t>
      </w:r>
      <w:r w:rsidR="003E5621" w:rsidRPr="00A457F7">
        <w:rPr>
          <w:rFonts w:eastAsia="Times New Roman" w:cs="Calibri"/>
          <w:sz w:val="24"/>
          <w:szCs w:val="24"/>
        </w:rPr>
        <w:t xml:space="preserve"> and</w:t>
      </w:r>
      <w:r w:rsidRPr="00A457F7">
        <w:rPr>
          <w:rFonts w:eastAsia="Times New Roman" w:cs="Calibri"/>
          <w:sz w:val="24"/>
          <w:szCs w:val="24"/>
        </w:rPr>
        <w:t xml:space="preserve"> to ITU Academia, as well as to all concerned organizations, institutions</w:t>
      </w:r>
      <w:r w:rsidR="003E5621" w:rsidRPr="00A457F7">
        <w:rPr>
          <w:rFonts w:eastAsia="Times New Roman" w:cs="Calibri"/>
          <w:sz w:val="24"/>
          <w:szCs w:val="24"/>
        </w:rPr>
        <w:t>,</w:t>
      </w:r>
      <w:r w:rsidRPr="00A457F7">
        <w:rPr>
          <w:rFonts w:eastAsia="Times New Roman" w:cs="Calibri"/>
          <w:sz w:val="24"/>
          <w:szCs w:val="24"/>
        </w:rPr>
        <w:t xml:space="preserve"> and entities.</w:t>
      </w:r>
    </w:p>
    <w:p w:rsidR="004812B7" w:rsidRPr="00A457F7" w:rsidRDefault="004812B7" w:rsidP="00363061">
      <w:pPr>
        <w:pStyle w:val="CEOMainDocParagraph"/>
        <w:numPr>
          <w:ilvl w:val="1"/>
          <w:numId w:val="2"/>
        </w:numPr>
        <w:tabs>
          <w:tab w:val="clear" w:pos="937"/>
          <w:tab w:val="left" w:pos="851"/>
        </w:tabs>
        <w:snapToGrid w:val="0"/>
        <w:ind w:left="0" w:firstLine="0"/>
        <w:rPr>
          <w:sz w:val="24"/>
          <w:szCs w:val="24"/>
        </w:rPr>
      </w:pPr>
      <w:r w:rsidRPr="00A457F7">
        <w:rPr>
          <w:rFonts w:cstheme="minorHAnsi"/>
          <w:bCs/>
          <w:sz w:val="24"/>
          <w:szCs w:val="24"/>
        </w:rPr>
        <w:t>ITU and the Government of Argentina are currently negotiating the Host Country Agreement for holding WTDC</w:t>
      </w:r>
      <w:r w:rsidRPr="00A457F7">
        <w:rPr>
          <w:rFonts w:cstheme="minorHAnsi"/>
          <w:bCs/>
          <w:sz w:val="24"/>
          <w:szCs w:val="24"/>
        </w:rPr>
        <w:noBreakHyphen/>
        <w:t>17 in Buenos Aires.</w:t>
      </w:r>
    </w:p>
    <w:bookmarkEnd w:id="8"/>
    <w:bookmarkEnd w:id="9"/>
    <w:p w:rsidR="004812B7" w:rsidRPr="004812B7" w:rsidRDefault="004812B7" w:rsidP="00A457F7">
      <w:pPr>
        <w:pStyle w:val="Heading1"/>
        <w:keepLines w:val="0"/>
        <w:numPr>
          <w:ilvl w:val="0"/>
          <w:numId w:val="16"/>
        </w:numPr>
        <w:tabs>
          <w:tab w:val="clear" w:pos="794"/>
          <w:tab w:val="left" w:pos="851"/>
        </w:tabs>
        <w:snapToGrid w:val="0"/>
        <w:spacing w:before="240" w:after="120"/>
        <w:ind w:left="851" w:hanging="851"/>
        <w:rPr>
          <w:sz w:val="24"/>
          <w:szCs w:val="24"/>
        </w:rPr>
      </w:pPr>
      <w:r w:rsidRPr="004812B7">
        <w:rPr>
          <w:sz w:val="24"/>
          <w:szCs w:val="24"/>
        </w:rPr>
        <w:t>Regional preparatory meetings</w:t>
      </w:r>
    </w:p>
    <w:p w:rsidR="004812B7" w:rsidRPr="00A457F7" w:rsidRDefault="004812B7" w:rsidP="00DA6441">
      <w:pPr>
        <w:pStyle w:val="CEOMainDocParagraph"/>
        <w:numPr>
          <w:ilvl w:val="1"/>
          <w:numId w:val="3"/>
        </w:numPr>
        <w:tabs>
          <w:tab w:val="clear" w:pos="795"/>
          <w:tab w:val="left" w:pos="851"/>
        </w:tabs>
        <w:snapToGrid w:val="0"/>
        <w:ind w:left="0" w:firstLine="0"/>
        <w:rPr>
          <w:sz w:val="24"/>
          <w:szCs w:val="24"/>
        </w:rPr>
      </w:pPr>
      <w:r w:rsidRPr="00A457F7">
        <w:rPr>
          <w:sz w:val="24"/>
          <w:szCs w:val="24"/>
        </w:rPr>
        <w:t xml:space="preserve">In line with </w:t>
      </w:r>
      <w:r w:rsidR="003E5621" w:rsidRPr="00A457F7">
        <w:rPr>
          <w:sz w:val="24"/>
          <w:szCs w:val="24"/>
        </w:rPr>
        <w:t xml:space="preserve">WTDC </w:t>
      </w:r>
      <w:r w:rsidRPr="00A457F7">
        <w:rPr>
          <w:sz w:val="24"/>
          <w:szCs w:val="24"/>
        </w:rPr>
        <w:t>Resolution 31 (Rev. Hyderabad, 2010), the Telecommunication Development Bureau (BDT) organized one Regional Preparatory Meeting (RPM) per region</w:t>
      </w:r>
      <w:r w:rsidR="00D23E44" w:rsidRPr="00A457F7">
        <w:rPr>
          <w:sz w:val="24"/>
          <w:szCs w:val="24"/>
        </w:rPr>
        <w:t xml:space="preserve">. </w:t>
      </w:r>
    </w:p>
    <w:p w:rsidR="004812B7" w:rsidRPr="00A457F7" w:rsidRDefault="00363061" w:rsidP="00DA6441">
      <w:pPr>
        <w:pStyle w:val="CEOMainDocParagraph"/>
        <w:numPr>
          <w:ilvl w:val="1"/>
          <w:numId w:val="3"/>
        </w:numPr>
        <w:tabs>
          <w:tab w:val="clear" w:pos="795"/>
          <w:tab w:val="left" w:pos="851"/>
        </w:tabs>
        <w:snapToGrid w:val="0"/>
        <w:ind w:left="0" w:firstLine="0"/>
        <w:rPr>
          <w:b/>
          <w:bCs/>
          <w:sz w:val="24"/>
          <w:szCs w:val="24"/>
        </w:rPr>
      </w:pPr>
      <w:r w:rsidRPr="00A457F7">
        <w:rPr>
          <w:sz w:val="24"/>
          <w:szCs w:val="24"/>
        </w:rPr>
        <w:t>A</w:t>
      </w:r>
      <w:r w:rsidR="004812B7" w:rsidRPr="00A457F7">
        <w:rPr>
          <w:sz w:val="24"/>
          <w:szCs w:val="24"/>
        </w:rPr>
        <w:t>ll six RPMs were held with the objective to identify priorities at the regional level for the development of telecommunications and information and communication technologies (ICTs).</w:t>
      </w:r>
    </w:p>
    <w:p w:rsidR="004812B7" w:rsidRPr="00A457F7" w:rsidRDefault="004812B7" w:rsidP="00363061">
      <w:pPr>
        <w:pStyle w:val="CEOMainDocParagraph"/>
        <w:numPr>
          <w:ilvl w:val="1"/>
          <w:numId w:val="3"/>
        </w:numPr>
        <w:tabs>
          <w:tab w:val="clear" w:pos="795"/>
          <w:tab w:val="left" w:pos="851"/>
        </w:tabs>
        <w:snapToGrid w:val="0"/>
        <w:ind w:left="0" w:firstLine="0"/>
        <w:rPr>
          <w:sz w:val="24"/>
          <w:szCs w:val="24"/>
        </w:rPr>
      </w:pPr>
      <w:r w:rsidRPr="00A457F7">
        <w:rPr>
          <w:rFonts w:cstheme="minorHAnsi"/>
          <w:sz w:val="24"/>
          <w:szCs w:val="24"/>
        </w:rPr>
        <w:t>All RPMs gave careful consideration to the results of the implementation of the Dubai Action Plan since 2014 and mainly focused their discussions on the priority issues, topics and questions and regional initiatives to be included in the Buenos Aires Action Plan</w:t>
      </w:r>
      <w:r w:rsidR="00661EAB" w:rsidRPr="00A457F7">
        <w:rPr>
          <w:rFonts w:cstheme="minorHAnsi"/>
          <w:sz w:val="24"/>
          <w:szCs w:val="24"/>
        </w:rPr>
        <w:t xml:space="preserve"> (</w:t>
      </w:r>
      <w:proofErr w:type="spellStart"/>
      <w:r w:rsidR="00661EAB" w:rsidRPr="00A457F7">
        <w:rPr>
          <w:rFonts w:cstheme="minorHAnsi"/>
          <w:sz w:val="24"/>
          <w:szCs w:val="24"/>
        </w:rPr>
        <w:t>BaAP</w:t>
      </w:r>
      <w:proofErr w:type="spellEnd"/>
      <w:r w:rsidR="00661EAB" w:rsidRPr="00A457F7">
        <w:rPr>
          <w:rFonts w:cstheme="minorHAnsi"/>
          <w:sz w:val="24"/>
          <w:szCs w:val="24"/>
        </w:rPr>
        <w:t>)</w:t>
      </w:r>
      <w:r w:rsidRPr="00A457F7">
        <w:rPr>
          <w:sz w:val="24"/>
          <w:szCs w:val="24"/>
        </w:rPr>
        <w:t xml:space="preserve">. </w:t>
      </w:r>
    </w:p>
    <w:p w:rsidR="004812B7" w:rsidRPr="00A457F7" w:rsidRDefault="004812B7" w:rsidP="00DA6441">
      <w:pPr>
        <w:pStyle w:val="CEOMainDocParagraph"/>
        <w:numPr>
          <w:ilvl w:val="1"/>
          <w:numId w:val="3"/>
        </w:numPr>
        <w:tabs>
          <w:tab w:val="clear" w:pos="795"/>
          <w:tab w:val="left" w:pos="851"/>
        </w:tabs>
        <w:snapToGrid w:val="0"/>
        <w:ind w:left="0" w:firstLine="0"/>
        <w:rPr>
          <w:sz w:val="24"/>
          <w:szCs w:val="24"/>
        </w:rPr>
      </w:pPr>
      <w:r w:rsidRPr="00A457F7">
        <w:rPr>
          <w:sz w:val="24"/>
          <w:szCs w:val="24"/>
        </w:rPr>
        <w:t xml:space="preserve">With early preparations by BDT and TDAG in 2015 and 2016, the following key documents were submitted to all six RPMs for any further input: </w:t>
      </w:r>
    </w:p>
    <w:p w:rsidR="004812B7" w:rsidRPr="00A457F7" w:rsidRDefault="004812B7">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Preliminary Draft ITU-D Contribution to the ITU Strategic Plan for 2020-2023</w:t>
      </w:r>
    </w:p>
    <w:p w:rsidR="004812B7" w:rsidRPr="00A457F7" w:rsidRDefault="004812B7">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Preliminary Draft ITU-D Action Plan</w:t>
      </w:r>
    </w:p>
    <w:p w:rsidR="004812B7" w:rsidRPr="00A457F7" w:rsidRDefault="004812B7">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Preliminary Draft WTDC-17 Declaration</w:t>
      </w:r>
    </w:p>
    <w:p w:rsidR="004812B7" w:rsidRPr="00A457F7" w:rsidRDefault="004812B7">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Rules of Procedure of ITU-D (WTDC Resolution 1)</w:t>
      </w:r>
    </w:p>
    <w:p w:rsidR="004812B7" w:rsidRPr="00A457F7" w:rsidRDefault="004812B7">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Report on streamlining WTDC Resolutions</w:t>
      </w:r>
    </w:p>
    <w:p w:rsidR="004812B7" w:rsidRPr="00A457F7" w:rsidRDefault="004812B7" w:rsidP="00DA6441">
      <w:pPr>
        <w:pStyle w:val="CEOMainDocParagraph"/>
        <w:numPr>
          <w:ilvl w:val="1"/>
          <w:numId w:val="3"/>
        </w:numPr>
        <w:tabs>
          <w:tab w:val="left" w:pos="851"/>
        </w:tabs>
        <w:snapToGrid w:val="0"/>
        <w:ind w:left="0" w:firstLine="0"/>
        <w:rPr>
          <w:sz w:val="24"/>
          <w:szCs w:val="24"/>
        </w:rPr>
      </w:pPr>
      <w:r w:rsidRPr="00A457F7">
        <w:rPr>
          <w:sz w:val="24"/>
          <w:szCs w:val="24"/>
        </w:rPr>
        <w:t xml:space="preserve">The </w:t>
      </w:r>
      <w:r w:rsidRPr="00A457F7">
        <w:rPr>
          <w:b/>
          <w:bCs/>
          <w:sz w:val="24"/>
          <w:szCs w:val="24"/>
        </w:rPr>
        <w:t>Regional Preparatory Meeting for the Commonwealth of Independent States (RPM-CIS)</w:t>
      </w:r>
      <w:r w:rsidRPr="00A457F7">
        <w:rPr>
          <w:sz w:val="24"/>
          <w:szCs w:val="24"/>
        </w:rPr>
        <w:t xml:space="preserve"> was organized by BDT in collaboration with the </w:t>
      </w:r>
      <w:r w:rsidR="00661EAB" w:rsidRPr="00A457F7">
        <w:rPr>
          <w:sz w:val="24"/>
          <w:szCs w:val="24"/>
        </w:rPr>
        <w:t>State Committee of Information Technologies and Communications of the Kyrgyz Republic</w:t>
      </w:r>
      <w:r w:rsidRPr="00A457F7">
        <w:rPr>
          <w:sz w:val="24"/>
          <w:szCs w:val="24"/>
        </w:rPr>
        <w:t xml:space="preserve">, in Bishkek, Kyrgyz Republic, from 9 to 11 November 2016, at the invitation of the Government of the Kyrgyz Republic. </w:t>
      </w:r>
    </w:p>
    <w:p w:rsidR="004812B7" w:rsidRPr="00A457F7" w:rsidRDefault="004812B7" w:rsidP="00363061">
      <w:pPr>
        <w:pStyle w:val="CEOMainDocParagraph"/>
        <w:numPr>
          <w:ilvl w:val="1"/>
          <w:numId w:val="3"/>
        </w:numPr>
        <w:tabs>
          <w:tab w:val="clear" w:pos="795"/>
          <w:tab w:val="left" w:pos="851"/>
        </w:tabs>
        <w:snapToGrid w:val="0"/>
        <w:ind w:left="0" w:firstLine="0"/>
        <w:rPr>
          <w:sz w:val="24"/>
          <w:szCs w:val="24"/>
        </w:rPr>
      </w:pPr>
      <w:r w:rsidRPr="00A457F7">
        <w:rPr>
          <w:sz w:val="24"/>
          <w:szCs w:val="24"/>
        </w:rPr>
        <w:lastRenderedPageBreak/>
        <w:t>One of the main outcomes of RPM-CIS was its agreeme</w:t>
      </w:r>
      <w:r w:rsidR="003004A2" w:rsidRPr="00A457F7">
        <w:rPr>
          <w:sz w:val="24"/>
          <w:szCs w:val="24"/>
        </w:rPr>
        <w:t xml:space="preserve">nt on the following five draft </w:t>
      </w:r>
      <w:r w:rsidRPr="00A457F7">
        <w:rPr>
          <w:sz w:val="24"/>
          <w:szCs w:val="24"/>
        </w:rPr>
        <w:t xml:space="preserve">regional initiatives: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Development of e-health to ensure healthy lives and promote well-being for all, at all ages. </w:t>
      </w:r>
    </w:p>
    <w:p w:rsidR="004812B7" w:rsidRPr="00A457F7" w:rsidRDefault="004812B7">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Use of telecommunications/ICT to ensure inclusive, equitable, quality and safe education, including the enhancement of </w:t>
      </w:r>
      <w:r w:rsidR="003E5621" w:rsidRPr="00A457F7">
        <w:rPr>
          <w:rFonts w:eastAsia="Times New Roman"/>
          <w:sz w:val="24"/>
          <w:szCs w:val="24"/>
        </w:rPr>
        <w:t xml:space="preserve">women’s </w:t>
      </w:r>
      <w:r w:rsidRPr="00A457F7">
        <w:rPr>
          <w:rFonts w:eastAsia="Times New Roman"/>
          <w:sz w:val="24"/>
          <w:szCs w:val="24"/>
        </w:rPr>
        <w:t xml:space="preserve">knowledge of ICTs and e-government.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Development and regulation of </w:t>
      </w:r>
      <w:proofErr w:type="spellStart"/>
      <w:r w:rsidRPr="00A457F7">
        <w:rPr>
          <w:rFonts w:eastAsia="Times New Roman"/>
          <w:sz w:val="24"/>
          <w:szCs w:val="24"/>
        </w:rPr>
        <w:t>infocommunication</w:t>
      </w:r>
      <w:proofErr w:type="spellEnd"/>
      <w:r w:rsidRPr="00A457F7">
        <w:rPr>
          <w:rFonts w:eastAsia="Times New Roman"/>
          <w:sz w:val="24"/>
          <w:szCs w:val="24"/>
        </w:rPr>
        <w:t xml:space="preserve"> infrastructure to make cities and human settlements inclusive, safe and resilient.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Monitoring of the ecological status and of the presence and rational use of natural resources.</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Fostering innovative solutions and partnership for the implementation of Internet of Things technologies and their interaction in telecommunication networks, including 4G, IMT-2020 and next-generation networks, in the interests of sustainable development.</w:t>
      </w:r>
    </w:p>
    <w:p w:rsidR="004812B7" w:rsidRPr="00A457F7" w:rsidRDefault="004812B7" w:rsidP="00363061">
      <w:pPr>
        <w:pStyle w:val="CEOMainDocParagraph"/>
        <w:numPr>
          <w:ilvl w:val="1"/>
          <w:numId w:val="3"/>
        </w:numPr>
        <w:tabs>
          <w:tab w:val="clear" w:pos="795"/>
          <w:tab w:val="left" w:pos="851"/>
        </w:tabs>
        <w:snapToGrid w:val="0"/>
        <w:ind w:left="0" w:firstLine="0"/>
        <w:rPr>
          <w:sz w:val="24"/>
          <w:szCs w:val="24"/>
        </w:rPr>
      </w:pPr>
      <w:r w:rsidRPr="00A457F7">
        <w:rPr>
          <w:sz w:val="24"/>
          <w:szCs w:val="24"/>
        </w:rPr>
        <w:t xml:space="preserve">The </w:t>
      </w:r>
      <w:r w:rsidRPr="00A457F7">
        <w:rPr>
          <w:b/>
          <w:bCs/>
          <w:sz w:val="24"/>
          <w:szCs w:val="24"/>
        </w:rPr>
        <w:t>Regional Preparatory Meeting for Africa (RPM-AFR)</w:t>
      </w:r>
      <w:r w:rsidRPr="00A457F7">
        <w:rPr>
          <w:sz w:val="24"/>
          <w:szCs w:val="24"/>
        </w:rPr>
        <w:t xml:space="preserve"> was organized by BDT in collaboration with the Ministry of Youth and ICT, in Kigali, Republic of Rwanda, from 6 to 8 December 2016, at the invitation of the Government of the Republic of Rwanda. </w:t>
      </w:r>
    </w:p>
    <w:p w:rsidR="004812B7" w:rsidRPr="00A457F7" w:rsidRDefault="004812B7" w:rsidP="00363061">
      <w:pPr>
        <w:pStyle w:val="CEOMainDocParagraph"/>
        <w:numPr>
          <w:ilvl w:val="1"/>
          <w:numId w:val="3"/>
        </w:numPr>
        <w:tabs>
          <w:tab w:val="clear" w:pos="795"/>
          <w:tab w:val="left" w:pos="851"/>
        </w:tabs>
        <w:snapToGrid w:val="0"/>
        <w:ind w:left="0" w:firstLine="0"/>
        <w:rPr>
          <w:sz w:val="24"/>
          <w:szCs w:val="24"/>
        </w:rPr>
      </w:pPr>
      <w:r w:rsidRPr="00A457F7">
        <w:rPr>
          <w:sz w:val="24"/>
          <w:szCs w:val="24"/>
        </w:rPr>
        <w:t xml:space="preserve">RPM-AFR made several proposals to update its existing regional initiatives to include emerging trends and technologies. The proposals focused on the following areas and priorities: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Strengthening human and institutional capacity building.</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Strengthening and harmonizing policy and regulatory frameworks.</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Smart and sustainable broadband infrastructure and interconnectivity for equitable access for all in Africa.</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Spectrum management and transition to digital broadcasting.</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Strengthening the security of ICT infrastructure and building confidence in the use of telecommunications/ICT applications.</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Support for ICT-centric innovation clusters in Africa.</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Policy, regulatory and technical support, as well as specialized training </w:t>
      </w:r>
      <w:proofErr w:type="spellStart"/>
      <w:r w:rsidRPr="00A457F7">
        <w:rPr>
          <w:rFonts w:eastAsia="Times New Roman"/>
          <w:sz w:val="24"/>
          <w:szCs w:val="24"/>
        </w:rPr>
        <w:t>programmes</w:t>
      </w:r>
      <w:proofErr w:type="spellEnd"/>
      <w:r w:rsidRPr="00A457F7">
        <w:rPr>
          <w:rFonts w:eastAsia="Times New Roman"/>
          <w:sz w:val="24"/>
          <w:szCs w:val="24"/>
        </w:rPr>
        <w:t xml:space="preserve"> for human capacity building in selected flagship initiatives related to Smart Africa.</w:t>
      </w:r>
    </w:p>
    <w:p w:rsidR="004812B7" w:rsidRPr="00A457F7" w:rsidRDefault="004812B7" w:rsidP="00DA6441">
      <w:pPr>
        <w:pStyle w:val="CEOMainDocParagraph"/>
        <w:numPr>
          <w:ilvl w:val="1"/>
          <w:numId w:val="3"/>
        </w:numPr>
        <w:tabs>
          <w:tab w:val="clear" w:pos="795"/>
          <w:tab w:val="left" w:pos="851"/>
        </w:tabs>
        <w:snapToGrid w:val="0"/>
        <w:ind w:left="0" w:firstLine="0"/>
        <w:rPr>
          <w:sz w:val="24"/>
          <w:szCs w:val="24"/>
        </w:rPr>
      </w:pPr>
      <w:r w:rsidRPr="00A457F7">
        <w:rPr>
          <w:sz w:val="24"/>
          <w:szCs w:val="24"/>
        </w:rPr>
        <w:t xml:space="preserve">The </w:t>
      </w:r>
      <w:r w:rsidRPr="00A457F7">
        <w:rPr>
          <w:b/>
          <w:bCs/>
          <w:sz w:val="24"/>
          <w:szCs w:val="24"/>
        </w:rPr>
        <w:t>Regional Preparatory Meeting for the Arab region (RPM-ARB)</w:t>
      </w:r>
      <w:r w:rsidRPr="00A457F7">
        <w:rPr>
          <w:sz w:val="24"/>
          <w:szCs w:val="24"/>
        </w:rPr>
        <w:t xml:space="preserve"> was organized by BDT </w:t>
      </w:r>
      <w:r w:rsidR="00661EAB" w:rsidRPr="00A457F7">
        <w:rPr>
          <w:sz w:val="24"/>
          <w:szCs w:val="24"/>
        </w:rPr>
        <w:t xml:space="preserve">in collaboration with the Ministry of Communication and Information Technology and the National Telecommunications Corporation of Sudan </w:t>
      </w:r>
      <w:r w:rsidRPr="00A457F7">
        <w:rPr>
          <w:sz w:val="24"/>
          <w:szCs w:val="24"/>
        </w:rPr>
        <w:t>in Khartoum, Sudan, from 30 January to 1 February 2017, at the invitation of the</w:t>
      </w:r>
      <w:r w:rsidR="00661EAB" w:rsidRPr="00A457F7">
        <w:rPr>
          <w:sz w:val="24"/>
          <w:szCs w:val="24"/>
        </w:rPr>
        <w:t xml:space="preserve"> of the Government of </w:t>
      </w:r>
      <w:r w:rsidR="00016FA5" w:rsidRPr="00A457F7">
        <w:rPr>
          <w:sz w:val="24"/>
          <w:szCs w:val="24"/>
        </w:rPr>
        <w:t xml:space="preserve">the Republic of </w:t>
      </w:r>
      <w:r w:rsidR="00661EAB" w:rsidRPr="00A457F7">
        <w:rPr>
          <w:sz w:val="24"/>
          <w:szCs w:val="24"/>
        </w:rPr>
        <w:t>Sudan</w:t>
      </w:r>
      <w:r w:rsidRPr="00A457F7">
        <w:rPr>
          <w:sz w:val="24"/>
          <w:szCs w:val="24"/>
        </w:rPr>
        <w:t xml:space="preserve">. </w:t>
      </w:r>
    </w:p>
    <w:p w:rsidR="004812B7" w:rsidRPr="00A457F7" w:rsidRDefault="004812B7" w:rsidP="00363061">
      <w:pPr>
        <w:pStyle w:val="CEOMainDocParagraph"/>
        <w:numPr>
          <w:ilvl w:val="1"/>
          <w:numId w:val="3"/>
        </w:numPr>
        <w:tabs>
          <w:tab w:val="clear" w:pos="795"/>
          <w:tab w:val="left" w:pos="851"/>
        </w:tabs>
        <w:snapToGrid w:val="0"/>
        <w:ind w:left="0" w:firstLine="0"/>
        <w:rPr>
          <w:sz w:val="24"/>
          <w:szCs w:val="24"/>
        </w:rPr>
      </w:pPr>
      <w:r w:rsidRPr="00A457F7">
        <w:rPr>
          <w:sz w:val="24"/>
          <w:szCs w:val="24"/>
        </w:rPr>
        <w:t xml:space="preserve">One of the main outcomes of RPM-ARB was its agreement on the following five draft regional initiatives: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Environment, climate change and emergency telecommunications.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Confidence and security in the use of ICTs.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Digital financial inclusion.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Internet of Things, smart cities and big data.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Innovation and entrepreneurship.</w:t>
      </w:r>
    </w:p>
    <w:p w:rsidR="004812B7" w:rsidRPr="00A457F7" w:rsidRDefault="004812B7" w:rsidP="00DA6441">
      <w:pPr>
        <w:pStyle w:val="CEOMainDocParagraph"/>
        <w:numPr>
          <w:ilvl w:val="1"/>
          <w:numId w:val="3"/>
        </w:numPr>
        <w:tabs>
          <w:tab w:val="clear" w:pos="795"/>
          <w:tab w:val="left" w:pos="851"/>
        </w:tabs>
        <w:snapToGrid w:val="0"/>
        <w:ind w:left="0" w:firstLine="0"/>
        <w:jc w:val="both"/>
        <w:rPr>
          <w:sz w:val="24"/>
          <w:szCs w:val="24"/>
        </w:rPr>
      </w:pPr>
      <w:r w:rsidRPr="00A457F7">
        <w:rPr>
          <w:sz w:val="24"/>
          <w:szCs w:val="24"/>
        </w:rPr>
        <w:t xml:space="preserve">The </w:t>
      </w:r>
      <w:r w:rsidRPr="00A457F7">
        <w:rPr>
          <w:b/>
          <w:bCs/>
          <w:sz w:val="24"/>
          <w:szCs w:val="24"/>
        </w:rPr>
        <w:t>Regional Preparatory Meeting for the Americas region (RPM-AMS)</w:t>
      </w:r>
      <w:r w:rsidRPr="00A457F7">
        <w:rPr>
          <w:sz w:val="24"/>
          <w:szCs w:val="24"/>
        </w:rPr>
        <w:t xml:space="preserve"> was organized by BDT </w:t>
      </w:r>
      <w:r w:rsidR="00016FA5" w:rsidRPr="00A457F7">
        <w:rPr>
          <w:sz w:val="24"/>
          <w:szCs w:val="24"/>
        </w:rPr>
        <w:t xml:space="preserve">in collaboration with the </w:t>
      </w:r>
      <w:proofErr w:type="spellStart"/>
      <w:r w:rsidR="00016FA5" w:rsidRPr="00A457F7">
        <w:rPr>
          <w:i/>
          <w:iCs/>
          <w:sz w:val="24"/>
          <w:szCs w:val="24"/>
        </w:rPr>
        <w:t>Comisión</w:t>
      </w:r>
      <w:proofErr w:type="spellEnd"/>
      <w:r w:rsidR="00016FA5" w:rsidRPr="00A457F7">
        <w:rPr>
          <w:i/>
          <w:iCs/>
          <w:sz w:val="24"/>
          <w:szCs w:val="24"/>
        </w:rPr>
        <w:t xml:space="preserve"> Nacional de </w:t>
      </w:r>
      <w:proofErr w:type="spellStart"/>
      <w:r w:rsidR="00016FA5" w:rsidRPr="00A457F7">
        <w:rPr>
          <w:i/>
          <w:iCs/>
          <w:sz w:val="24"/>
          <w:szCs w:val="24"/>
        </w:rPr>
        <w:t>Telecomunicaciones</w:t>
      </w:r>
      <w:proofErr w:type="spellEnd"/>
      <w:r w:rsidR="00016FA5" w:rsidRPr="00A457F7">
        <w:rPr>
          <w:i/>
          <w:iCs/>
          <w:sz w:val="24"/>
          <w:szCs w:val="24"/>
        </w:rPr>
        <w:t xml:space="preserve"> </w:t>
      </w:r>
      <w:r w:rsidR="00016FA5" w:rsidRPr="00A457F7">
        <w:rPr>
          <w:sz w:val="24"/>
          <w:szCs w:val="24"/>
        </w:rPr>
        <w:t xml:space="preserve">(CONATEL) of Paraguay </w:t>
      </w:r>
      <w:r w:rsidRPr="00A457F7">
        <w:rPr>
          <w:sz w:val="24"/>
          <w:szCs w:val="24"/>
        </w:rPr>
        <w:t xml:space="preserve">in Asunción, Paraguay, from 22 to 24 February 2017, at the invitation of the </w:t>
      </w:r>
      <w:r w:rsidR="00016FA5" w:rsidRPr="00A457F7">
        <w:rPr>
          <w:sz w:val="24"/>
          <w:szCs w:val="24"/>
        </w:rPr>
        <w:t>Government</w:t>
      </w:r>
      <w:r w:rsidR="00016FA5" w:rsidRPr="00A457F7">
        <w:rPr>
          <w:i/>
          <w:iCs/>
          <w:sz w:val="24"/>
          <w:szCs w:val="24"/>
        </w:rPr>
        <w:t xml:space="preserve"> </w:t>
      </w:r>
      <w:r w:rsidRPr="00A457F7">
        <w:rPr>
          <w:sz w:val="24"/>
          <w:szCs w:val="24"/>
        </w:rPr>
        <w:t xml:space="preserve">of </w:t>
      </w:r>
      <w:r w:rsidR="00016FA5" w:rsidRPr="00A457F7">
        <w:rPr>
          <w:sz w:val="24"/>
          <w:szCs w:val="24"/>
        </w:rPr>
        <w:t xml:space="preserve">the Republic of </w:t>
      </w:r>
      <w:r w:rsidRPr="00A457F7">
        <w:rPr>
          <w:sz w:val="24"/>
          <w:szCs w:val="24"/>
        </w:rPr>
        <w:t xml:space="preserve">Paraguay. </w:t>
      </w:r>
    </w:p>
    <w:p w:rsidR="004812B7" w:rsidRPr="00A457F7" w:rsidRDefault="004812B7" w:rsidP="00363061">
      <w:pPr>
        <w:pStyle w:val="CEOMainDocParagraph"/>
        <w:numPr>
          <w:ilvl w:val="1"/>
          <w:numId w:val="3"/>
        </w:numPr>
        <w:tabs>
          <w:tab w:val="clear" w:pos="795"/>
          <w:tab w:val="left" w:pos="851"/>
        </w:tabs>
        <w:snapToGrid w:val="0"/>
        <w:ind w:left="0" w:firstLine="0"/>
        <w:jc w:val="both"/>
        <w:rPr>
          <w:sz w:val="24"/>
          <w:szCs w:val="24"/>
        </w:rPr>
      </w:pPr>
      <w:r w:rsidRPr="00A457F7">
        <w:rPr>
          <w:sz w:val="24"/>
          <w:szCs w:val="24"/>
        </w:rPr>
        <w:lastRenderedPageBreak/>
        <w:t>One of the main outcomes of RPM-AMS was its approval of the following five draft regional initiatives:</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Disaster risk reduction and management communications.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Spectrum management and transition to digital broadcasting.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Deployment of broadband infrastructure, especially in rural and neglected areas, and strengthening of broadband access to services and applications.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Accessibility and affordability for an inclusive and sustainable Americas region.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Development of the digital economy, smart cities and communities (SCC) and Internet of Things (</w:t>
      </w:r>
      <w:proofErr w:type="spellStart"/>
      <w:r w:rsidRPr="00A457F7">
        <w:rPr>
          <w:rFonts w:eastAsia="Times New Roman"/>
          <w:sz w:val="24"/>
          <w:szCs w:val="24"/>
        </w:rPr>
        <w:t>IoT</w:t>
      </w:r>
      <w:proofErr w:type="spellEnd"/>
      <w:r w:rsidRPr="00A457F7">
        <w:rPr>
          <w:rFonts w:eastAsia="Times New Roman"/>
          <w:sz w:val="24"/>
          <w:szCs w:val="24"/>
        </w:rPr>
        <w:t>), promoting innovation.</w:t>
      </w:r>
    </w:p>
    <w:p w:rsidR="00363061" w:rsidRPr="00A457F7" w:rsidRDefault="004812B7" w:rsidP="00363061">
      <w:pPr>
        <w:pStyle w:val="CEOMainDocParagraph"/>
        <w:numPr>
          <w:ilvl w:val="1"/>
          <w:numId w:val="3"/>
        </w:numPr>
        <w:tabs>
          <w:tab w:val="clear" w:pos="795"/>
          <w:tab w:val="left" w:pos="851"/>
        </w:tabs>
        <w:snapToGrid w:val="0"/>
        <w:ind w:left="0" w:firstLine="0"/>
        <w:jc w:val="both"/>
        <w:rPr>
          <w:sz w:val="24"/>
          <w:szCs w:val="24"/>
        </w:rPr>
      </w:pPr>
      <w:r w:rsidRPr="00A457F7">
        <w:rPr>
          <w:rFonts w:cstheme="minorHAnsi"/>
          <w:sz w:val="24"/>
          <w:szCs w:val="24"/>
        </w:rPr>
        <w:t xml:space="preserve">The </w:t>
      </w:r>
      <w:r w:rsidRPr="00A457F7">
        <w:rPr>
          <w:rFonts w:cstheme="minorHAnsi"/>
          <w:b/>
          <w:bCs/>
          <w:sz w:val="24"/>
          <w:szCs w:val="24"/>
        </w:rPr>
        <w:t>Regional Preparatory Meeting for Asia and the Pacific (</w:t>
      </w:r>
      <w:r w:rsidRPr="00A457F7">
        <w:rPr>
          <w:rStyle w:val="Strong"/>
          <w:rFonts w:cstheme="minorHAnsi"/>
          <w:sz w:val="24"/>
          <w:szCs w:val="24"/>
        </w:rPr>
        <w:t>RPM-ASP</w:t>
      </w:r>
      <w:r w:rsidRPr="00A457F7">
        <w:rPr>
          <w:rFonts w:cstheme="minorHAnsi"/>
          <w:b/>
          <w:bCs/>
          <w:sz w:val="24"/>
          <w:szCs w:val="24"/>
        </w:rPr>
        <w:t>)</w:t>
      </w:r>
      <w:r w:rsidRPr="00A457F7">
        <w:rPr>
          <w:rFonts w:cstheme="minorHAnsi"/>
          <w:sz w:val="24"/>
          <w:szCs w:val="24"/>
        </w:rPr>
        <w:t xml:space="preserve"> </w:t>
      </w:r>
      <w:r w:rsidR="002162A7" w:rsidRPr="00A457F7">
        <w:rPr>
          <w:rFonts w:cstheme="minorHAnsi"/>
          <w:sz w:val="24"/>
          <w:szCs w:val="24"/>
        </w:rPr>
        <w:t>was organized by BDT</w:t>
      </w:r>
      <w:r w:rsidR="002162A7" w:rsidRPr="00A457F7">
        <w:rPr>
          <w:sz w:val="24"/>
          <w:szCs w:val="24"/>
        </w:rPr>
        <w:t xml:space="preserve"> </w:t>
      </w:r>
      <w:r w:rsidR="002162A7" w:rsidRPr="00A457F7">
        <w:rPr>
          <w:rFonts w:cstheme="minorHAnsi"/>
          <w:sz w:val="24"/>
          <w:szCs w:val="24"/>
        </w:rPr>
        <w:t>in collaboration with the Ministry of Communication and Information Technology,</w:t>
      </w:r>
      <w:r w:rsidRPr="00A457F7">
        <w:rPr>
          <w:rFonts w:cstheme="minorHAnsi"/>
          <w:sz w:val="24"/>
          <w:szCs w:val="24"/>
        </w:rPr>
        <w:t xml:space="preserve"> in</w:t>
      </w:r>
      <w:r w:rsidRPr="00A457F7">
        <w:rPr>
          <w:rFonts w:cstheme="minorHAnsi"/>
          <w:b/>
          <w:bCs/>
          <w:sz w:val="24"/>
          <w:szCs w:val="24"/>
        </w:rPr>
        <w:t xml:space="preserve"> </w:t>
      </w:r>
      <w:r w:rsidRPr="00A457F7">
        <w:rPr>
          <w:rStyle w:val="Strong"/>
          <w:rFonts w:cstheme="minorHAnsi"/>
          <w:b w:val="0"/>
          <w:bCs w:val="0"/>
          <w:sz w:val="24"/>
          <w:szCs w:val="24"/>
        </w:rPr>
        <w:t>Bali, Indonesia,</w:t>
      </w:r>
      <w:r w:rsidRPr="00A457F7">
        <w:rPr>
          <w:rFonts w:cstheme="minorHAnsi"/>
          <w:b/>
          <w:bCs/>
          <w:sz w:val="24"/>
          <w:szCs w:val="24"/>
        </w:rPr>
        <w:t xml:space="preserve"> </w:t>
      </w:r>
      <w:r w:rsidRPr="00A457F7">
        <w:rPr>
          <w:rStyle w:val="Strong"/>
          <w:rFonts w:cstheme="minorHAnsi"/>
          <w:b w:val="0"/>
          <w:bCs w:val="0"/>
          <w:sz w:val="24"/>
          <w:szCs w:val="24"/>
        </w:rPr>
        <w:t>from 21 to 23 March 2017,</w:t>
      </w:r>
      <w:r w:rsidRPr="00A457F7">
        <w:rPr>
          <w:rStyle w:val="Strong"/>
          <w:rFonts w:cstheme="minorHAnsi"/>
          <w:sz w:val="24"/>
          <w:szCs w:val="24"/>
        </w:rPr>
        <w:t xml:space="preserve"> </w:t>
      </w:r>
      <w:r w:rsidR="007B362B" w:rsidRPr="00A457F7">
        <w:rPr>
          <w:rFonts w:cstheme="minorHAnsi"/>
          <w:sz w:val="24"/>
          <w:szCs w:val="24"/>
        </w:rPr>
        <w:t xml:space="preserve">at the </w:t>
      </w:r>
      <w:r w:rsidR="007B362B" w:rsidRPr="00A457F7">
        <w:rPr>
          <w:sz w:val="24"/>
          <w:szCs w:val="24"/>
        </w:rPr>
        <w:t xml:space="preserve">invitation of the Government </w:t>
      </w:r>
      <w:r w:rsidRPr="00A457F7">
        <w:rPr>
          <w:rFonts w:cstheme="minorHAnsi"/>
          <w:sz w:val="24"/>
          <w:szCs w:val="24"/>
        </w:rPr>
        <w:t xml:space="preserve">of the Republic of Indonesia. </w:t>
      </w:r>
    </w:p>
    <w:p w:rsidR="00363061" w:rsidRPr="00A457F7" w:rsidRDefault="004812B7" w:rsidP="00363061">
      <w:pPr>
        <w:pStyle w:val="CEOMainDocParagraph"/>
        <w:numPr>
          <w:ilvl w:val="1"/>
          <w:numId w:val="3"/>
        </w:numPr>
        <w:tabs>
          <w:tab w:val="clear" w:pos="795"/>
          <w:tab w:val="left" w:pos="851"/>
        </w:tabs>
        <w:snapToGrid w:val="0"/>
        <w:ind w:left="0" w:firstLine="0"/>
        <w:jc w:val="both"/>
        <w:rPr>
          <w:sz w:val="24"/>
          <w:szCs w:val="24"/>
        </w:rPr>
      </w:pPr>
      <w:r w:rsidRPr="00A457F7">
        <w:rPr>
          <w:sz w:val="24"/>
          <w:szCs w:val="24"/>
        </w:rPr>
        <w:t>One of the main outcomes of RPM-</w:t>
      </w:r>
      <w:r w:rsidR="00BB28E1" w:rsidRPr="00A457F7">
        <w:rPr>
          <w:sz w:val="24"/>
          <w:szCs w:val="24"/>
        </w:rPr>
        <w:t>ASP</w:t>
      </w:r>
      <w:r w:rsidRPr="00A457F7">
        <w:rPr>
          <w:sz w:val="24"/>
          <w:szCs w:val="24"/>
        </w:rPr>
        <w:t xml:space="preserve"> was its approval of the following five draft regional initiatives:</w:t>
      </w:r>
      <w:r w:rsidR="00363061" w:rsidRPr="00A457F7">
        <w:rPr>
          <w:sz w:val="24"/>
          <w:szCs w:val="24"/>
        </w:rPr>
        <w:t xml:space="preserve"> </w:t>
      </w:r>
    </w:p>
    <w:p w:rsidR="007B362B" w:rsidRPr="00A457F7" w:rsidRDefault="007B362B"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Addressing special needs of least developed countries, small island developing states, including Pacific island countries, and landlocked developing countries. </w:t>
      </w:r>
    </w:p>
    <w:p w:rsidR="007B362B" w:rsidRPr="00A457F7" w:rsidRDefault="007B362B"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Harnessing ICTs to support the digital economy and an inclusive digital society.</w:t>
      </w:r>
    </w:p>
    <w:p w:rsidR="007B362B" w:rsidRPr="00A457F7" w:rsidRDefault="007B362B"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Fostering development of infrastructure to enhance digital connectivity. </w:t>
      </w:r>
    </w:p>
    <w:p w:rsidR="007B362B" w:rsidRPr="00A457F7" w:rsidRDefault="007B362B"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Enabling policy and regulatory environments.</w:t>
      </w:r>
    </w:p>
    <w:p w:rsidR="007B362B" w:rsidRPr="00A457F7" w:rsidRDefault="007B362B"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Contributing to secure and resilient environment. </w:t>
      </w:r>
    </w:p>
    <w:p w:rsidR="00B71EA5" w:rsidRPr="00A457F7" w:rsidRDefault="004812B7" w:rsidP="00B51DC3">
      <w:pPr>
        <w:pStyle w:val="CEOMainDocParagraph"/>
        <w:numPr>
          <w:ilvl w:val="1"/>
          <w:numId w:val="3"/>
        </w:numPr>
        <w:tabs>
          <w:tab w:val="clear" w:pos="795"/>
          <w:tab w:val="left" w:pos="851"/>
        </w:tabs>
        <w:snapToGrid w:val="0"/>
        <w:ind w:left="0" w:firstLine="0"/>
        <w:jc w:val="both"/>
        <w:rPr>
          <w:sz w:val="24"/>
          <w:szCs w:val="24"/>
        </w:rPr>
      </w:pPr>
      <w:r w:rsidRPr="00A457F7">
        <w:rPr>
          <w:rFonts w:cstheme="minorHAnsi"/>
          <w:sz w:val="24"/>
          <w:szCs w:val="24"/>
        </w:rPr>
        <w:t xml:space="preserve">The </w:t>
      </w:r>
      <w:r w:rsidRPr="00A457F7">
        <w:rPr>
          <w:rFonts w:cstheme="minorHAnsi"/>
          <w:b/>
          <w:bCs/>
          <w:sz w:val="24"/>
          <w:szCs w:val="24"/>
        </w:rPr>
        <w:t>Regional Preparatory Meeting for Europe (</w:t>
      </w:r>
      <w:r w:rsidRPr="00A457F7">
        <w:rPr>
          <w:rStyle w:val="Strong"/>
          <w:rFonts w:cstheme="minorHAnsi"/>
          <w:sz w:val="24"/>
          <w:szCs w:val="24"/>
        </w:rPr>
        <w:t>RPM-EUR</w:t>
      </w:r>
      <w:r w:rsidRPr="00A457F7">
        <w:rPr>
          <w:rFonts w:cstheme="minorHAnsi"/>
          <w:b/>
          <w:bCs/>
          <w:sz w:val="24"/>
          <w:szCs w:val="24"/>
        </w:rPr>
        <w:t>)</w:t>
      </w:r>
      <w:r w:rsidRPr="00A457F7">
        <w:rPr>
          <w:rFonts w:cstheme="minorHAnsi"/>
          <w:sz w:val="24"/>
          <w:szCs w:val="24"/>
        </w:rPr>
        <w:t xml:space="preserve"> </w:t>
      </w:r>
      <w:r w:rsidR="003E5621" w:rsidRPr="00A457F7">
        <w:rPr>
          <w:rFonts w:cstheme="minorHAnsi"/>
          <w:sz w:val="24"/>
          <w:szCs w:val="24"/>
        </w:rPr>
        <w:t>will be</w:t>
      </w:r>
      <w:r w:rsidR="003E5621" w:rsidRPr="00A457F7">
        <w:rPr>
          <w:sz w:val="24"/>
          <w:szCs w:val="24"/>
        </w:rPr>
        <w:t xml:space="preserve"> </w:t>
      </w:r>
      <w:r w:rsidR="002162A7" w:rsidRPr="00A457F7">
        <w:rPr>
          <w:rFonts w:cstheme="minorHAnsi"/>
          <w:sz w:val="24"/>
          <w:szCs w:val="24"/>
        </w:rPr>
        <w:t>organized by BDT,</w:t>
      </w:r>
      <w:r w:rsidRPr="00A457F7">
        <w:rPr>
          <w:rFonts w:cstheme="minorHAnsi"/>
          <w:sz w:val="24"/>
          <w:szCs w:val="24"/>
        </w:rPr>
        <w:t xml:space="preserve"> in </w:t>
      </w:r>
      <w:r w:rsidRPr="00A457F7">
        <w:rPr>
          <w:rStyle w:val="Strong"/>
          <w:rFonts w:cstheme="minorHAnsi"/>
          <w:b w:val="0"/>
          <w:bCs w:val="0"/>
          <w:sz w:val="24"/>
          <w:szCs w:val="24"/>
        </w:rPr>
        <w:t>Vilnius,</w:t>
      </w:r>
      <w:r w:rsidRPr="00A457F7">
        <w:rPr>
          <w:rStyle w:val="Strong"/>
          <w:rFonts w:cstheme="minorHAnsi"/>
          <w:sz w:val="24"/>
          <w:szCs w:val="24"/>
        </w:rPr>
        <w:t xml:space="preserve"> </w:t>
      </w:r>
      <w:r w:rsidRPr="00A457F7">
        <w:rPr>
          <w:rStyle w:val="Strong"/>
          <w:rFonts w:cstheme="minorHAnsi"/>
          <w:b w:val="0"/>
          <w:bCs w:val="0"/>
          <w:sz w:val="24"/>
          <w:szCs w:val="24"/>
        </w:rPr>
        <w:t>Lithuania,</w:t>
      </w:r>
      <w:r w:rsidRPr="00A457F7">
        <w:rPr>
          <w:rFonts w:cstheme="minorHAnsi"/>
          <w:b/>
          <w:sz w:val="24"/>
          <w:szCs w:val="24"/>
        </w:rPr>
        <w:t xml:space="preserve"> </w:t>
      </w:r>
      <w:r w:rsidRPr="00A457F7">
        <w:rPr>
          <w:rStyle w:val="Strong"/>
          <w:rFonts w:cstheme="minorHAnsi"/>
          <w:b w:val="0"/>
          <w:bCs w:val="0"/>
          <w:sz w:val="24"/>
          <w:szCs w:val="24"/>
        </w:rPr>
        <w:t>from 27 to 28 April 2017,</w:t>
      </w:r>
      <w:r w:rsidRPr="00A457F7">
        <w:rPr>
          <w:rStyle w:val="Strong"/>
          <w:rFonts w:cstheme="minorHAnsi"/>
          <w:sz w:val="24"/>
          <w:szCs w:val="24"/>
        </w:rPr>
        <w:t xml:space="preserve"> </w:t>
      </w:r>
      <w:r w:rsidRPr="00A457F7">
        <w:rPr>
          <w:rFonts w:cstheme="minorHAnsi"/>
          <w:sz w:val="24"/>
          <w:szCs w:val="24"/>
        </w:rPr>
        <w:t>at the invitation of the Communications Regulatory Authority of the Republic of Lithuania. </w:t>
      </w:r>
    </w:p>
    <w:p w:rsidR="00B71EA5" w:rsidRPr="00A457F7" w:rsidRDefault="004812B7" w:rsidP="00B71EA5">
      <w:pPr>
        <w:pStyle w:val="CEOMainDocParagraph"/>
        <w:numPr>
          <w:ilvl w:val="1"/>
          <w:numId w:val="3"/>
        </w:numPr>
        <w:tabs>
          <w:tab w:val="clear" w:pos="795"/>
          <w:tab w:val="left" w:pos="851"/>
        </w:tabs>
        <w:snapToGrid w:val="0"/>
        <w:ind w:left="0" w:firstLine="0"/>
        <w:jc w:val="both"/>
        <w:rPr>
          <w:sz w:val="24"/>
          <w:szCs w:val="24"/>
        </w:rPr>
      </w:pPr>
      <w:r w:rsidRPr="00A457F7">
        <w:rPr>
          <w:sz w:val="24"/>
          <w:szCs w:val="24"/>
        </w:rPr>
        <w:t>All RPMs recognized that ITU-D regional initiatives constitute an effective mechanism for fostering implementation of the WSIS outcomes and 2030 Agenda for Sustainable Development, including achievement of the Sustainable Development Goals.</w:t>
      </w:r>
      <w:r w:rsidR="00B71EA5" w:rsidRPr="00A457F7">
        <w:rPr>
          <w:sz w:val="24"/>
          <w:szCs w:val="24"/>
        </w:rPr>
        <w:t xml:space="preserve"> </w:t>
      </w:r>
    </w:p>
    <w:p w:rsidR="00B71EA5" w:rsidRPr="00A457F7" w:rsidRDefault="004812B7" w:rsidP="00B71EA5">
      <w:pPr>
        <w:pStyle w:val="CEOMainDocParagraph"/>
        <w:numPr>
          <w:ilvl w:val="1"/>
          <w:numId w:val="3"/>
        </w:numPr>
        <w:tabs>
          <w:tab w:val="clear" w:pos="795"/>
          <w:tab w:val="left" w:pos="851"/>
        </w:tabs>
        <w:snapToGrid w:val="0"/>
        <w:ind w:left="0" w:firstLine="0"/>
        <w:jc w:val="both"/>
        <w:rPr>
          <w:sz w:val="24"/>
          <w:szCs w:val="24"/>
        </w:rPr>
      </w:pPr>
      <w:r w:rsidRPr="00A457F7">
        <w:rPr>
          <w:rFonts w:eastAsia="Times New Roman" w:cs="Times New Roman"/>
          <w:sz w:val="24"/>
          <w:szCs w:val="24"/>
          <w:lang w:val="en-GB" w:eastAsia="en-US"/>
        </w:rPr>
        <w:t>All RPMs arrived at a set of proposals on priority issues for their respective regions that will serve as a basis for the formulation of contributions to WTDC</w:t>
      </w:r>
      <w:r w:rsidRPr="00A457F7">
        <w:rPr>
          <w:rFonts w:eastAsia="Times New Roman" w:cs="Times New Roman"/>
          <w:sz w:val="24"/>
          <w:szCs w:val="24"/>
          <w:lang w:val="en-GB" w:eastAsia="en-US"/>
        </w:rPr>
        <w:noBreakHyphen/>
        <w:t>17, which will consider the ITU</w:t>
      </w:r>
      <w:r w:rsidRPr="00A457F7">
        <w:rPr>
          <w:rFonts w:eastAsia="Times New Roman" w:cs="Times New Roman"/>
          <w:sz w:val="24"/>
          <w:szCs w:val="24"/>
          <w:lang w:val="en-GB" w:eastAsia="en-US"/>
        </w:rPr>
        <w:noBreakHyphen/>
        <w:t>D activities to be carried</w:t>
      </w:r>
      <w:r w:rsidRPr="00A457F7">
        <w:rPr>
          <w:sz w:val="24"/>
          <w:szCs w:val="24"/>
        </w:rPr>
        <w:t xml:space="preserve"> out over the next four-year period (2018-2021).</w:t>
      </w:r>
      <w:r w:rsidR="00B71EA5" w:rsidRPr="00A457F7">
        <w:rPr>
          <w:sz w:val="24"/>
          <w:szCs w:val="24"/>
        </w:rPr>
        <w:t xml:space="preserve"> </w:t>
      </w:r>
    </w:p>
    <w:p w:rsidR="00B71EA5" w:rsidRPr="00A457F7" w:rsidRDefault="004812B7" w:rsidP="00B51DC3">
      <w:pPr>
        <w:pStyle w:val="CEOMainDocParagraph"/>
        <w:numPr>
          <w:ilvl w:val="1"/>
          <w:numId w:val="3"/>
        </w:numPr>
        <w:tabs>
          <w:tab w:val="clear" w:pos="795"/>
          <w:tab w:val="left" w:pos="851"/>
        </w:tabs>
        <w:snapToGrid w:val="0"/>
        <w:ind w:left="0" w:firstLine="0"/>
        <w:jc w:val="both"/>
        <w:rPr>
          <w:sz w:val="24"/>
          <w:szCs w:val="24"/>
        </w:rPr>
      </w:pPr>
      <w:r w:rsidRPr="00A457F7">
        <w:rPr>
          <w:rFonts w:cstheme="minorHAnsi"/>
          <w:sz w:val="24"/>
          <w:szCs w:val="24"/>
        </w:rPr>
        <w:t xml:space="preserve">A Coordination Meeting of the Regional Preparatory Meetings </w:t>
      </w:r>
      <w:r w:rsidR="003E5621" w:rsidRPr="00A457F7">
        <w:rPr>
          <w:rFonts w:cstheme="minorHAnsi"/>
          <w:sz w:val="24"/>
          <w:szCs w:val="24"/>
        </w:rPr>
        <w:t>will be held in Geneva on 8 </w:t>
      </w:r>
      <w:r w:rsidRPr="00A457F7">
        <w:rPr>
          <w:rFonts w:cstheme="minorHAnsi"/>
          <w:sz w:val="24"/>
          <w:szCs w:val="24"/>
        </w:rPr>
        <w:t xml:space="preserve">May 2017 to consolidate the outcomes of the RPMs into a single report. The consolidated report </w:t>
      </w:r>
      <w:r w:rsidR="003E5621" w:rsidRPr="00A457F7">
        <w:rPr>
          <w:rFonts w:cstheme="minorHAnsi"/>
          <w:sz w:val="24"/>
          <w:szCs w:val="24"/>
        </w:rPr>
        <w:t xml:space="preserve">will be </w:t>
      </w:r>
      <w:r w:rsidRPr="00A457F7">
        <w:rPr>
          <w:rFonts w:cstheme="minorHAnsi"/>
          <w:sz w:val="24"/>
          <w:szCs w:val="24"/>
        </w:rPr>
        <w:t>submitted to the TDAG meeting on 9-12 May 2017</w:t>
      </w:r>
      <w:r w:rsidR="000313EA" w:rsidRPr="00A457F7">
        <w:rPr>
          <w:rFonts w:cstheme="minorHAnsi"/>
          <w:sz w:val="24"/>
          <w:szCs w:val="24"/>
        </w:rPr>
        <w:t xml:space="preserve">. </w:t>
      </w:r>
    </w:p>
    <w:p w:rsidR="00B71EA5" w:rsidRPr="00A457F7" w:rsidRDefault="004812B7" w:rsidP="00B71EA5">
      <w:pPr>
        <w:pStyle w:val="CEOMainDocParagraph"/>
        <w:numPr>
          <w:ilvl w:val="1"/>
          <w:numId w:val="3"/>
        </w:numPr>
        <w:tabs>
          <w:tab w:val="clear" w:pos="795"/>
          <w:tab w:val="left" w:pos="851"/>
        </w:tabs>
        <w:snapToGrid w:val="0"/>
        <w:ind w:left="0" w:firstLine="0"/>
        <w:jc w:val="both"/>
        <w:rPr>
          <w:sz w:val="24"/>
          <w:szCs w:val="24"/>
        </w:rPr>
      </w:pPr>
      <w:r w:rsidRPr="00A457F7">
        <w:rPr>
          <w:rFonts w:cstheme="minorHAnsi"/>
          <w:sz w:val="24"/>
          <w:szCs w:val="24"/>
        </w:rPr>
        <w:t xml:space="preserve">All documents relating to each RPM and RDF, including invitations, meeting agendas, contributions received and meeting reports are available on the website for each event at </w:t>
      </w:r>
      <w:hyperlink r:id="rId17" w:history="1">
        <w:r w:rsidR="00214B14" w:rsidRPr="00A457F7">
          <w:rPr>
            <w:rStyle w:val="Hyperlink"/>
            <w:rFonts w:cstheme="minorHAnsi"/>
            <w:sz w:val="24"/>
            <w:szCs w:val="24"/>
          </w:rPr>
          <w:t>http://www.itu.int/en/itu-d/conferences/wtdc/wtdc17/pages/rpm.aspx</w:t>
        </w:r>
      </w:hyperlink>
      <w:r w:rsidR="00214B14" w:rsidRPr="00A457F7">
        <w:rPr>
          <w:rFonts w:cstheme="minorHAnsi"/>
          <w:sz w:val="24"/>
          <w:szCs w:val="24"/>
        </w:rPr>
        <w:t>.</w:t>
      </w:r>
      <w:r w:rsidR="00B71EA5" w:rsidRPr="00A457F7">
        <w:rPr>
          <w:sz w:val="24"/>
          <w:szCs w:val="24"/>
        </w:rPr>
        <w:t xml:space="preserve"> </w:t>
      </w:r>
    </w:p>
    <w:p w:rsidR="00B71EA5" w:rsidRPr="00A457F7" w:rsidRDefault="004812B7" w:rsidP="00B71EA5">
      <w:pPr>
        <w:pStyle w:val="CEOMainDocParagraph"/>
        <w:numPr>
          <w:ilvl w:val="1"/>
          <w:numId w:val="3"/>
        </w:numPr>
        <w:tabs>
          <w:tab w:val="clear" w:pos="795"/>
          <w:tab w:val="left" w:pos="851"/>
        </w:tabs>
        <w:snapToGrid w:val="0"/>
        <w:ind w:left="0" w:firstLine="0"/>
        <w:jc w:val="both"/>
        <w:rPr>
          <w:sz w:val="24"/>
          <w:szCs w:val="24"/>
        </w:rPr>
      </w:pPr>
      <w:r w:rsidRPr="00A457F7">
        <w:rPr>
          <w:rFonts w:cstheme="minorHAnsi"/>
          <w:sz w:val="24"/>
          <w:szCs w:val="24"/>
        </w:rPr>
        <w:t xml:space="preserve">The draft structure of WTDC-17 was also discussed at all RPMs and </w:t>
      </w:r>
      <w:r w:rsidR="00550A07" w:rsidRPr="00A457F7">
        <w:rPr>
          <w:rFonts w:cstheme="minorHAnsi"/>
          <w:sz w:val="24"/>
          <w:szCs w:val="24"/>
        </w:rPr>
        <w:t xml:space="preserve">an updated version, based on these discussions, </w:t>
      </w:r>
      <w:r w:rsidR="000156F5" w:rsidRPr="00A457F7">
        <w:rPr>
          <w:rFonts w:cstheme="minorHAnsi"/>
          <w:sz w:val="24"/>
          <w:szCs w:val="24"/>
        </w:rPr>
        <w:t xml:space="preserve">has been published as Document TDAG17-22/12. </w:t>
      </w:r>
    </w:p>
    <w:p w:rsidR="004812B7" w:rsidRPr="004F6EB2" w:rsidRDefault="00A44C3C" w:rsidP="00DA6441">
      <w:pPr>
        <w:pStyle w:val="Heading1"/>
        <w:keepLines w:val="0"/>
        <w:numPr>
          <w:ilvl w:val="0"/>
          <w:numId w:val="16"/>
        </w:numPr>
        <w:tabs>
          <w:tab w:val="clear" w:pos="794"/>
          <w:tab w:val="left" w:pos="851"/>
        </w:tabs>
        <w:snapToGrid w:val="0"/>
        <w:spacing w:before="240" w:after="120"/>
        <w:ind w:left="851" w:hanging="851"/>
        <w:rPr>
          <w:sz w:val="24"/>
          <w:szCs w:val="24"/>
        </w:rPr>
      </w:pPr>
      <w:r>
        <w:rPr>
          <w:sz w:val="24"/>
          <w:szCs w:val="24"/>
        </w:rPr>
        <w:lastRenderedPageBreak/>
        <w:t>H</w:t>
      </w:r>
      <w:r w:rsidRPr="00D055C8">
        <w:rPr>
          <w:sz w:val="24"/>
          <w:szCs w:val="24"/>
        </w:rPr>
        <w:t xml:space="preserve">igh-Level Segment </w:t>
      </w:r>
      <w:r>
        <w:rPr>
          <w:sz w:val="24"/>
          <w:szCs w:val="24"/>
        </w:rPr>
        <w:t>Policy Statements</w:t>
      </w:r>
    </w:p>
    <w:p w:rsidR="004812B7" w:rsidRPr="00A457F7" w:rsidRDefault="00A44C3C" w:rsidP="00DA6441">
      <w:pPr>
        <w:pStyle w:val="CEOMainDocParagraph"/>
        <w:tabs>
          <w:tab w:val="left" w:pos="851"/>
        </w:tabs>
        <w:snapToGrid w:val="0"/>
        <w:spacing w:after="0"/>
        <w:rPr>
          <w:sz w:val="24"/>
          <w:szCs w:val="24"/>
        </w:rPr>
      </w:pPr>
      <w:r w:rsidRPr="00A457F7">
        <w:rPr>
          <w:sz w:val="24"/>
          <w:szCs w:val="24"/>
        </w:rPr>
        <w:t xml:space="preserve">The </w:t>
      </w:r>
      <w:r w:rsidR="004812B7" w:rsidRPr="00A457F7">
        <w:rPr>
          <w:sz w:val="24"/>
          <w:szCs w:val="24"/>
        </w:rPr>
        <w:t xml:space="preserve">High-Level Segment at WTDC provides a unique platform for high-ranking officials from Member States to express their views on emerging trends and on matters of strategic importance to the development of the telecommunication and information and communication technology sector. </w:t>
      </w:r>
      <w:r w:rsidRPr="00A457F7">
        <w:rPr>
          <w:sz w:val="24"/>
          <w:szCs w:val="24"/>
        </w:rPr>
        <w:t>It is suggested that</w:t>
      </w:r>
      <w:r w:rsidR="004812B7" w:rsidRPr="00A457F7">
        <w:rPr>
          <w:sz w:val="24"/>
          <w:szCs w:val="24"/>
        </w:rPr>
        <w:t xml:space="preserve"> </w:t>
      </w:r>
      <w:r w:rsidR="00960E9C" w:rsidRPr="00A457F7">
        <w:rPr>
          <w:b/>
          <w:bCs/>
          <w:sz w:val="24"/>
          <w:szCs w:val="24"/>
        </w:rPr>
        <w:t>Policy statements at WTDC-17 should be limited to ministers, vice, deputy or assistant ministers or cabinet secretaries and speaking time should be limited to</w:t>
      </w:r>
      <w:r w:rsidR="00A07524" w:rsidRPr="00A457F7">
        <w:rPr>
          <w:b/>
          <w:bCs/>
          <w:sz w:val="24"/>
          <w:szCs w:val="24"/>
        </w:rPr>
        <w:t xml:space="preserve"> preferably three minutes and not more than</w:t>
      </w:r>
      <w:r w:rsidR="00960E9C" w:rsidRPr="00A457F7">
        <w:rPr>
          <w:b/>
          <w:bCs/>
          <w:sz w:val="24"/>
          <w:szCs w:val="24"/>
        </w:rPr>
        <w:t xml:space="preserve"> five minutes with the understanding that the full statement will be posted on the website of the conference.</w:t>
      </w:r>
      <w:r w:rsidR="00E50564" w:rsidRPr="00A457F7">
        <w:rPr>
          <w:b/>
          <w:bCs/>
          <w:sz w:val="24"/>
          <w:szCs w:val="24"/>
        </w:rPr>
        <w:t xml:space="preserve"> </w:t>
      </w:r>
    </w:p>
    <w:p w:rsidR="00B71EA5" w:rsidRPr="00A457F7" w:rsidRDefault="00A44C3C" w:rsidP="00A457F7">
      <w:pPr>
        <w:pStyle w:val="Heading1"/>
        <w:keepLines w:val="0"/>
        <w:numPr>
          <w:ilvl w:val="0"/>
          <w:numId w:val="16"/>
        </w:numPr>
        <w:tabs>
          <w:tab w:val="clear" w:pos="794"/>
          <w:tab w:val="left" w:pos="851"/>
        </w:tabs>
        <w:snapToGrid w:val="0"/>
        <w:spacing w:before="240" w:after="120"/>
        <w:ind w:left="851" w:hanging="851"/>
        <w:rPr>
          <w:sz w:val="24"/>
          <w:szCs w:val="24"/>
        </w:rPr>
      </w:pPr>
      <w:r w:rsidRPr="00A457F7">
        <w:rPr>
          <w:bCs/>
          <w:sz w:val="24"/>
          <w:szCs w:val="24"/>
        </w:rPr>
        <w:t>Side events</w:t>
      </w:r>
    </w:p>
    <w:p w:rsidR="002D7765" w:rsidRPr="00A457F7" w:rsidRDefault="00A44C3C" w:rsidP="000E10FC">
      <w:pPr>
        <w:rPr>
          <w:szCs w:val="24"/>
        </w:rPr>
      </w:pPr>
      <w:r w:rsidRPr="00A457F7">
        <w:rPr>
          <w:szCs w:val="24"/>
        </w:rPr>
        <w:t>Side events will be organized around the WTDC-17 theme of ICT</w:t>
      </w:r>
      <w:r w:rsidRPr="00A457F7">
        <w:rPr>
          <w:szCs w:val="24"/>
        </w:rPr>
        <w:sym w:font="Wingdings" w:char="F084"/>
      </w:r>
      <w:r w:rsidRPr="00A457F7">
        <w:rPr>
          <w:szCs w:val="24"/>
        </w:rPr>
        <w:t>SDGs.  More details on these events will be provided as the conference draw</w:t>
      </w:r>
      <w:r w:rsidR="004B46F1" w:rsidRPr="00A457F7">
        <w:rPr>
          <w:szCs w:val="24"/>
        </w:rPr>
        <w:t>s</w:t>
      </w:r>
      <w:r w:rsidRPr="00A457F7">
        <w:rPr>
          <w:szCs w:val="24"/>
        </w:rPr>
        <w:t xml:space="preserve"> nearer.</w:t>
      </w:r>
    </w:p>
    <w:p w:rsidR="004812B7" w:rsidRPr="00A457F7" w:rsidRDefault="004812B7" w:rsidP="00A457F7">
      <w:pPr>
        <w:pStyle w:val="Heading1"/>
        <w:keepLines w:val="0"/>
        <w:numPr>
          <w:ilvl w:val="0"/>
          <w:numId w:val="16"/>
        </w:numPr>
        <w:tabs>
          <w:tab w:val="clear" w:pos="794"/>
          <w:tab w:val="left" w:pos="851"/>
        </w:tabs>
        <w:snapToGrid w:val="0"/>
        <w:spacing w:before="240" w:after="120"/>
        <w:ind w:left="851" w:hanging="851"/>
        <w:rPr>
          <w:bCs/>
          <w:sz w:val="24"/>
          <w:szCs w:val="24"/>
        </w:rPr>
      </w:pPr>
      <w:r w:rsidRPr="00A457F7">
        <w:rPr>
          <w:bCs/>
          <w:sz w:val="24"/>
          <w:szCs w:val="24"/>
        </w:rPr>
        <w:t>Celebrating ITU-D’s 25th Anniversary</w:t>
      </w:r>
    </w:p>
    <w:p w:rsidR="00A82D54" w:rsidRPr="00A457F7" w:rsidRDefault="003E5621" w:rsidP="00BF18AA">
      <w:pPr>
        <w:rPr>
          <w:szCs w:val="24"/>
        </w:rPr>
      </w:pPr>
      <w:r w:rsidRPr="00A457F7">
        <w:rPr>
          <w:rFonts w:cstheme="minorHAnsi"/>
          <w:szCs w:val="24"/>
        </w:rPr>
        <w:t>At</w:t>
      </w:r>
      <w:r w:rsidR="004812B7" w:rsidRPr="00A457F7">
        <w:rPr>
          <w:rFonts w:cstheme="minorHAnsi"/>
          <w:szCs w:val="24"/>
        </w:rPr>
        <w:t xml:space="preserve"> its meeting in </w:t>
      </w:r>
      <w:r w:rsidR="00BC1A90" w:rsidRPr="00A457F7">
        <w:rPr>
          <w:rFonts w:cstheme="minorHAnsi"/>
          <w:szCs w:val="24"/>
        </w:rPr>
        <w:t>March</w:t>
      </w:r>
      <w:r w:rsidR="004812B7" w:rsidRPr="00A457F7">
        <w:rPr>
          <w:rFonts w:cstheme="minorHAnsi"/>
          <w:szCs w:val="24"/>
        </w:rPr>
        <w:t xml:space="preserve"> 2016</w:t>
      </w:r>
      <w:r w:rsidRPr="00A457F7">
        <w:rPr>
          <w:rFonts w:cstheme="minorHAnsi"/>
          <w:szCs w:val="24"/>
        </w:rPr>
        <w:t>, TDAG</w:t>
      </w:r>
      <w:r w:rsidR="004812B7" w:rsidRPr="00A457F7">
        <w:rPr>
          <w:rFonts w:cstheme="minorHAnsi"/>
          <w:szCs w:val="24"/>
        </w:rPr>
        <w:t xml:space="preserve"> recalled that the year 2017 is particularly important for ITU-D as it marks </w:t>
      </w:r>
      <w:r w:rsidR="00574970" w:rsidRPr="00A457F7">
        <w:rPr>
          <w:rFonts w:cstheme="minorHAnsi"/>
          <w:szCs w:val="24"/>
        </w:rPr>
        <w:t>the Sector’s</w:t>
      </w:r>
      <w:r w:rsidR="004812B7" w:rsidRPr="00A457F7">
        <w:rPr>
          <w:rFonts w:cstheme="minorHAnsi"/>
          <w:szCs w:val="24"/>
        </w:rPr>
        <w:t xml:space="preserve"> 25th Anniversary. Established in 1992 by the Additional Plenipotentiary Conference</w:t>
      </w:r>
      <w:r w:rsidR="008C3879" w:rsidRPr="00A457F7">
        <w:rPr>
          <w:rFonts w:cstheme="minorHAnsi"/>
          <w:szCs w:val="24"/>
        </w:rPr>
        <w:t xml:space="preserve"> held in Geneva</w:t>
      </w:r>
      <w:r w:rsidR="004812B7" w:rsidRPr="00A457F7">
        <w:rPr>
          <w:rFonts w:cstheme="minorHAnsi"/>
          <w:szCs w:val="24"/>
        </w:rPr>
        <w:t>, ITU-D has over the past 25 years spearheaded the rapid growth and expansion of telecommunication</w:t>
      </w:r>
      <w:r w:rsidR="008C3879" w:rsidRPr="00A457F7">
        <w:rPr>
          <w:rFonts w:cstheme="minorHAnsi"/>
          <w:szCs w:val="24"/>
        </w:rPr>
        <w:t xml:space="preserve"> and </w:t>
      </w:r>
      <w:r w:rsidR="004812B7" w:rsidRPr="00A457F7">
        <w:rPr>
          <w:rFonts w:cstheme="minorHAnsi"/>
          <w:szCs w:val="24"/>
        </w:rPr>
        <w:t xml:space="preserve">ICT networks and services.  </w:t>
      </w:r>
      <w:r w:rsidR="00A82D54" w:rsidRPr="00A457F7">
        <w:rPr>
          <w:szCs w:val="24"/>
        </w:rPr>
        <w:t>Several activities are planned to celebrate the anniversary and a</w:t>
      </w:r>
      <w:r w:rsidR="00BF18AA" w:rsidRPr="00A457F7">
        <w:rPr>
          <w:szCs w:val="24"/>
        </w:rPr>
        <w:t>re outlined in Document TDAG-17-</w:t>
      </w:r>
      <w:r w:rsidR="00A82D54" w:rsidRPr="00A457F7">
        <w:rPr>
          <w:szCs w:val="24"/>
        </w:rPr>
        <w:t>22</w:t>
      </w:r>
      <w:r w:rsidR="00BF18AA" w:rsidRPr="00A457F7">
        <w:rPr>
          <w:szCs w:val="24"/>
        </w:rPr>
        <w:t>/19.</w:t>
      </w:r>
    </w:p>
    <w:p w:rsidR="004B46F1" w:rsidRPr="00A457F7" w:rsidRDefault="000E10FC" w:rsidP="00A457F7">
      <w:pPr>
        <w:pStyle w:val="Heading1"/>
        <w:keepLines w:val="0"/>
        <w:numPr>
          <w:ilvl w:val="0"/>
          <w:numId w:val="16"/>
        </w:numPr>
        <w:tabs>
          <w:tab w:val="clear" w:pos="794"/>
          <w:tab w:val="left" w:pos="851"/>
        </w:tabs>
        <w:snapToGrid w:val="0"/>
        <w:spacing w:before="240" w:after="120"/>
        <w:ind w:left="851" w:hanging="851"/>
        <w:rPr>
          <w:bCs/>
          <w:sz w:val="24"/>
          <w:szCs w:val="24"/>
        </w:rPr>
      </w:pPr>
      <w:r w:rsidRPr="00A457F7">
        <w:rPr>
          <w:bCs/>
          <w:sz w:val="24"/>
          <w:szCs w:val="24"/>
        </w:rPr>
        <w:t>Sponsorship opportunities</w:t>
      </w:r>
    </w:p>
    <w:p w:rsidR="005B4170" w:rsidRPr="00A457F7" w:rsidRDefault="005B4170">
      <w:pPr>
        <w:rPr>
          <w:rStyle w:val="Strong"/>
          <w:rFonts w:eastAsia="SimSun" w:cstheme="minorBidi"/>
          <w:b w:val="0"/>
          <w:bCs w:val="0"/>
          <w:i/>
          <w:iCs/>
          <w:szCs w:val="24"/>
          <w:lang w:val="en-US" w:eastAsia="zh-CN"/>
        </w:rPr>
      </w:pPr>
      <w:r w:rsidRPr="00A457F7">
        <w:rPr>
          <w:szCs w:val="24"/>
          <w:lang w:val="en-US"/>
        </w:rPr>
        <w:t xml:space="preserve">BDT offers its </w:t>
      </w:r>
      <w:r w:rsidR="003E5621" w:rsidRPr="00A457F7">
        <w:rPr>
          <w:szCs w:val="24"/>
          <w:lang w:val="en-US"/>
        </w:rPr>
        <w:t xml:space="preserve">membership </w:t>
      </w:r>
      <w:r w:rsidRPr="00A457F7">
        <w:rPr>
          <w:szCs w:val="24"/>
          <w:lang w:val="en-US"/>
        </w:rPr>
        <w:t xml:space="preserve">a number of sponsorship packages in support of the 25th Anniversary of the ITU Telecommunication Development Sector as well as for side events at WTDC-17. Each sponsorship package features a wide range of benefits and offers a unique opportunity to enhance sponsor visibility. </w:t>
      </w:r>
      <w:r w:rsidRPr="00A457F7">
        <w:rPr>
          <w:rStyle w:val="Strong"/>
          <w:b w:val="0"/>
          <w:bCs w:val="0"/>
          <w:color w:val="000000"/>
          <w:szCs w:val="24"/>
          <w:lang w:val="en-US"/>
        </w:rPr>
        <w:t>All resources mobilized will be used to organize the activities of the sponsorship packages as well as to implement projects and initiatives, in particular the Regional Initiatives that will be adopted at WTDC-17. Details of all sponsorship benefits can be found at</w:t>
      </w:r>
      <w:r w:rsidRPr="00A457F7">
        <w:rPr>
          <w:rStyle w:val="Strong"/>
          <w:b w:val="0"/>
          <w:bCs w:val="0"/>
          <w:szCs w:val="24"/>
          <w:lang w:val="en-US"/>
        </w:rPr>
        <w:t>:</w:t>
      </w:r>
      <w:r w:rsidRPr="00A457F7">
        <w:rPr>
          <w:rStyle w:val="Strong"/>
          <w:i/>
          <w:iCs/>
          <w:szCs w:val="24"/>
          <w:lang w:val="en-US"/>
        </w:rPr>
        <w:t xml:space="preserve"> </w:t>
      </w:r>
      <w:hyperlink r:id="rId18" w:history="1">
        <w:r w:rsidRPr="00A457F7">
          <w:rPr>
            <w:rStyle w:val="Hyperlink"/>
            <w:i/>
            <w:iCs/>
            <w:szCs w:val="24"/>
            <w:lang w:val="en-US"/>
          </w:rPr>
          <w:t>www.itu.int/go/en/itudsponsorships</w:t>
        </w:r>
      </w:hyperlink>
    </w:p>
    <w:p w:rsidR="00B71EA5" w:rsidRPr="00A457F7" w:rsidRDefault="001A25F4" w:rsidP="00A457F7">
      <w:pPr>
        <w:pStyle w:val="Heading1"/>
        <w:keepLines w:val="0"/>
        <w:numPr>
          <w:ilvl w:val="0"/>
          <w:numId w:val="16"/>
        </w:numPr>
        <w:tabs>
          <w:tab w:val="clear" w:pos="794"/>
          <w:tab w:val="left" w:pos="851"/>
        </w:tabs>
        <w:snapToGrid w:val="0"/>
        <w:spacing w:before="240" w:after="120"/>
        <w:ind w:left="851" w:hanging="851"/>
        <w:rPr>
          <w:bCs/>
          <w:sz w:val="24"/>
          <w:szCs w:val="24"/>
        </w:rPr>
      </w:pPr>
      <w:r w:rsidRPr="00A457F7">
        <w:rPr>
          <w:rFonts w:cstheme="minorHAnsi"/>
          <w:bCs/>
          <w:sz w:val="24"/>
          <w:szCs w:val="24"/>
        </w:rPr>
        <w:t>Conclusion</w:t>
      </w:r>
    </w:p>
    <w:p w:rsidR="00CF3895" w:rsidRPr="00A457F7" w:rsidRDefault="004812B7">
      <w:pPr>
        <w:keepNext/>
        <w:tabs>
          <w:tab w:val="left" w:pos="851"/>
        </w:tabs>
        <w:adjustRightInd/>
        <w:snapToGrid w:val="0"/>
        <w:spacing w:after="240"/>
        <w:rPr>
          <w:szCs w:val="24"/>
        </w:rPr>
      </w:pPr>
      <w:r w:rsidRPr="00A457F7">
        <w:rPr>
          <w:szCs w:val="24"/>
        </w:rPr>
        <w:t>Work continues a</w:t>
      </w:r>
      <w:r w:rsidRPr="00A457F7">
        <w:rPr>
          <w:rFonts w:cstheme="minorHAnsi"/>
          <w:spacing w:val="-2"/>
          <w:szCs w:val="24"/>
        </w:rPr>
        <w:t>t the secretariat level</w:t>
      </w:r>
      <w:r w:rsidRPr="00A457F7">
        <w:rPr>
          <w:szCs w:val="24"/>
        </w:rPr>
        <w:t xml:space="preserve"> to </w:t>
      </w:r>
      <w:r w:rsidRPr="00A457F7">
        <w:rPr>
          <w:rFonts w:cstheme="minorHAnsi"/>
          <w:spacing w:val="-2"/>
          <w:szCs w:val="24"/>
        </w:rPr>
        <w:t>ensure an efficient and effective preparatory process</w:t>
      </w:r>
      <w:r w:rsidRPr="00A457F7">
        <w:rPr>
          <w:szCs w:val="24"/>
        </w:rPr>
        <w:t xml:space="preserve"> that will produce a successful conference.</w:t>
      </w:r>
      <w:r w:rsidR="00C94AAB" w:rsidRPr="00A457F7">
        <w:rPr>
          <w:szCs w:val="24"/>
        </w:rPr>
        <w:t xml:space="preserve"> </w:t>
      </w:r>
      <w:r w:rsidR="003E5621" w:rsidRPr="00A457F7">
        <w:rPr>
          <w:szCs w:val="24"/>
        </w:rPr>
        <w:t xml:space="preserve">The Council </w:t>
      </w:r>
      <w:r w:rsidR="00CF3895" w:rsidRPr="00A457F7">
        <w:rPr>
          <w:szCs w:val="24"/>
        </w:rPr>
        <w:t>is i</w:t>
      </w:r>
      <w:r w:rsidR="00C94AAB" w:rsidRPr="00A457F7">
        <w:rPr>
          <w:szCs w:val="24"/>
        </w:rPr>
        <w:t>nvited to</w:t>
      </w:r>
      <w:r w:rsidR="005B4170" w:rsidRPr="00A457F7">
        <w:rPr>
          <w:szCs w:val="24"/>
        </w:rPr>
        <w:t xml:space="preserve"> take note of the WTDC-17 preparations</w:t>
      </w:r>
      <w:r w:rsidR="00C94AAB" w:rsidRPr="00A457F7">
        <w:rPr>
          <w:szCs w:val="24"/>
        </w:rPr>
        <w:t xml:space="preserve"> </w:t>
      </w:r>
      <w:r w:rsidR="005B4170" w:rsidRPr="00A457F7">
        <w:rPr>
          <w:szCs w:val="24"/>
        </w:rPr>
        <w:t xml:space="preserve">and to </w:t>
      </w:r>
      <w:r w:rsidR="00C94AAB" w:rsidRPr="00A457F7">
        <w:rPr>
          <w:szCs w:val="24"/>
        </w:rPr>
        <w:t xml:space="preserve">endorse the following </w:t>
      </w:r>
      <w:r w:rsidR="00CF3895" w:rsidRPr="00A457F7">
        <w:rPr>
          <w:szCs w:val="24"/>
        </w:rPr>
        <w:t xml:space="preserve">recommendation: </w:t>
      </w:r>
      <w:r w:rsidR="00FF284E" w:rsidRPr="00A457F7">
        <w:rPr>
          <w:b/>
          <w:bCs/>
          <w:szCs w:val="24"/>
        </w:rPr>
        <w:t>P</w:t>
      </w:r>
      <w:r w:rsidR="00CF3895" w:rsidRPr="00A457F7">
        <w:rPr>
          <w:b/>
          <w:bCs/>
          <w:szCs w:val="24"/>
        </w:rPr>
        <w:t>olicy statements at WTDC-17 should be limited to ministers, vice, deputy or assistant min</w:t>
      </w:r>
      <w:r w:rsidR="005B4170" w:rsidRPr="00A457F7">
        <w:rPr>
          <w:b/>
          <w:bCs/>
          <w:szCs w:val="24"/>
        </w:rPr>
        <w:t>i</w:t>
      </w:r>
      <w:r w:rsidR="00CF3895" w:rsidRPr="00A457F7">
        <w:rPr>
          <w:b/>
          <w:bCs/>
          <w:szCs w:val="24"/>
        </w:rPr>
        <w:t xml:space="preserve">sters or cabinet secretaries and speaking time </w:t>
      </w:r>
      <w:r w:rsidR="00960E9C" w:rsidRPr="00A457F7">
        <w:rPr>
          <w:b/>
          <w:bCs/>
          <w:szCs w:val="24"/>
        </w:rPr>
        <w:t>should be limited</w:t>
      </w:r>
      <w:r w:rsidR="00A07524" w:rsidRPr="00A457F7">
        <w:rPr>
          <w:b/>
          <w:bCs/>
          <w:szCs w:val="24"/>
        </w:rPr>
        <w:t xml:space="preserve"> </w:t>
      </w:r>
      <w:r w:rsidR="003E5621" w:rsidRPr="00A457F7">
        <w:rPr>
          <w:b/>
          <w:bCs/>
          <w:szCs w:val="24"/>
        </w:rPr>
        <w:t xml:space="preserve">to </w:t>
      </w:r>
      <w:r w:rsidR="00A07524" w:rsidRPr="00A457F7">
        <w:rPr>
          <w:b/>
          <w:bCs/>
          <w:szCs w:val="24"/>
        </w:rPr>
        <w:t>preferably three minutes and not more than</w:t>
      </w:r>
      <w:r w:rsidR="00CF3895" w:rsidRPr="00A457F7">
        <w:rPr>
          <w:b/>
          <w:bCs/>
          <w:szCs w:val="24"/>
        </w:rPr>
        <w:t xml:space="preserve"> five minutes</w:t>
      </w:r>
      <w:r w:rsidR="00E50564" w:rsidRPr="00A457F7">
        <w:rPr>
          <w:b/>
          <w:bCs/>
          <w:szCs w:val="24"/>
        </w:rPr>
        <w:t xml:space="preserve"> with the understanding that </w:t>
      </w:r>
      <w:r w:rsidR="00016FA5" w:rsidRPr="00A457F7">
        <w:rPr>
          <w:b/>
          <w:bCs/>
          <w:szCs w:val="24"/>
        </w:rPr>
        <w:t xml:space="preserve">the </w:t>
      </w:r>
      <w:r w:rsidR="00E50564" w:rsidRPr="00A457F7">
        <w:rPr>
          <w:b/>
          <w:bCs/>
          <w:szCs w:val="24"/>
        </w:rPr>
        <w:t>full statement will be posted on the website o</w:t>
      </w:r>
      <w:r w:rsidR="00960E9C" w:rsidRPr="00A457F7">
        <w:rPr>
          <w:b/>
          <w:bCs/>
          <w:szCs w:val="24"/>
        </w:rPr>
        <w:t>f</w:t>
      </w:r>
      <w:r w:rsidR="00E50564" w:rsidRPr="00A457F7">
        <w:rPr>
          <w:b/>
          <w:bCs/>
          <w:szCs w:val="24"/>
        </w:rPr>
        <w:t xml:space="preserve"> the conference.</w:t>
      </w:r>
    </w:p>
    <w:p w:rsidR="003C58BF" w:rsidRPr="004812B7" w:rsidRDefault="003C58BF" w:rsidP="003004A2">
      <w:pPr>
        <w:tabs>
          <w:tab w:val="clear" w:pos="794"/>
          <w:tab w:val="clear" w:pos="1191"/>
          <w:tab w:val="clear" w:pos="1588"/>
          <w:tab w:val="clear" w:pos="1985"/>
        </w:tabs>
        <w:spacing w:before="360" w:after="120"/>
        <w:jc w:val="center"/>
        <w:rPr>
          <w:szCs w:val="24"/>
        </w:rPr>
      </w:pPr>
      <w:r w:rsidRPr="004812B7">
        <w:rPr>
          <w:szCs w:val="24"/>
        </w:rPr>
        <w:t>_____________</w:t>
      </w:r>
      <w:r w:rsidR="004122C5" w:rsidRPr="004812B7">
        <w:rPr>
          <w:szCs w:val="24"/>
        </w:rPr>
        <w:t>_</w:t>
      </w:r>
      <w:r w:rsidR="00922EC1" w:rsidRPr="004812B7">
        <w:rPr>
          <w:szCs w:val="24"/>
        </w:rPr>
        <w:t>_</w:t>
      </w:r>
      <w:r w:rsidR="003004A2">
        <w:rPr>
          <w:szCs w:val="24"/>
        </w:rPr>
        <w:t>____</w:t>
      </w:r>
    </w:p>
    <w:sectPr w:rsidR="003C58BF" w:rsidRPr="004812B7" w:rsidSect="00AA69FC">
      <w:headerReference w:type="default" r:id="rId19"/>
      <w:footerReference w:type="first" r:id="rId20"/>
      <w:pgSz w:w="11907" w:h="16834" w:code="9"/>
      <w:pgMar w:top="1418" w:right="1276" w:bottom="1134"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54C" w:rsidRDefault="009C254C">
      <w:r>
        <w:separator/>
      </w:r>
    </w:p>
  </w:endnote>
  <w:endnote w:type="continuationSeparator" w:id="0">
    <w:p w:rsidR="009C254C" w:rsidRDefault="009C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6E0C29"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54C" w:rsidRDefault="009C254C">
      <w:r>
        <w:t>____________________</w:t>
      </w:r>
    </w:p>
  </w:footnote>
  <w:footnote w:type="continuationSeparator" w:id="0">
    <w:p w:rsidR="009C254C" w:rsidRDefault="009C2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D25727">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sidR="00D25727">
      <w:rPr>
        <w:sz w:val="22"/>
        <w:szCs w:val="22"/>
        <w:lang w:val="de-CH"/>
      </w:rPr>
      <w:t>17</w:t>
    </w:r>
    <w:r w:rsidRPr="00A54E72">
      <w:rPr>
        <w:sz w:val="22"/>
        <w:szCs w:val="22"/>
        <w:lang w:val="de-CH"/>
      </w:rPr>
      <w:t>-</w:t>
    </w:r>
    <w:r>
      <w:rPr>
        <w:sz w:val="22"/>
        <w:szCs w:val="22"/>
        <w:lang w:val="de-CH"/>
      </w:rPr>
      <w:t>2</w:t>
    </w:r>
    <w:r w:rsidR="00D25727">
      <w:rPr>
        <w:sz w:val="22"/>
        <w:szCs w:val="22"/>
        <w:lang w:val="de-CH"/>
      </w:rPr>
      <w:t>2</w:t>
    </w:r>
    <w:r w:rsidRPr="00A54E72">
      <w:rPr>
        <w:sz w:val="22"/>
        <w:szCs w:val="22"/>
        <w:lang w:val="de-CH"/>
      </w:rPr>
      <w:t>/</w:t>
    </w:r>
    <w:r w:rsidR="00D25727">
      <w:rPr>
        <w:sz w:val="22"/>
        <w:szCs w:val="22"/>
        <w:lang w:val="de-CH"/>
      </w:rPr>
      <w:t>16</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E0C29">
      <w:rPr>
        <w:noProof/>
        <w:sz w:val="22"/>
        <w:szCs w:val="22"/>
        <w:lang w:val="de-CH"/>
      </w:rPr>
      <w:t>5</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313CC"/>
    <w:multiLevelType w:val="hybridMultilevel"/>
    <w:tmpl w:val="A53A54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986DD3"/>
    <w:multiLevelType w:val="hybridMultilevel"/>
    <w:tmpl w:val="26ACDE3C"/>
    <w:lvl w:ilvl="0" w:tplc="870A0282">
      <w:start w:val="1"/>
      <w:numFmt w:val="decimal"/>
      <w:lvlText w:val="4.%1"/>
      <w:lvlJc w:val="left"/>
      <w:pPr>
        <w:ind w:left="360" w:hanging="360"/>
      </w:pPr>
      <w:rPr>
        <w:rFonts w:hint="default"/>
      </w:rPr>
    </w:lvl>
    <w:lvl w:ilvl="1" w:tplc="870A0282">
      <w:start w:val="1"/>
      <w:numFmt w:val="decimal"/>
      <w:lvlText w:val="4.%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FB7DC8"/>
    <w:multiLevelType w:val="hybridMultilevel"/>
    <w:tmpl w:val="723C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F7429"/>
    <w:multiLevelType w:val="multilevel"/>
    <w:tmpl w:val="674656F2"/>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937"/>
        </w:tabs>
        <w:ind w:left="937" w:hanging="795"/>
      </w:pPr>
      <w:rPr>
        <w:rFonts w:hint="default"/>
        <w:b w:val="0"/>
        <w:bCs w:val="0"/>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28C7256"/>
    <w:multiLevelType w:val="hybridMultilevel"/>
    <w:tmpl w:val="1854A1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A9806D7"/>
    <w:multiLevelType w:val="multilevel"/>
    <w:tmpl w:val="24C0502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F1D6A1B"/>
    <w:multiLevelType w:val="multilevel"/>
    <w:tmpl w:val="747C4B26"/>
    <w:lvl w:ilvl="0">
      <w:start w:val="3"/>
      <w:numFmt w:val="decimal"/>
      <w:lvlText w:val="%1"/>
      <w:lvlJc w:val="left"/>
      <w:pPr>
        <w:tabs>
          <w:tab w:val="num" w:pos="795"/>
        </w:tabs>
        <w:ind w:left="795" w:hanging="795"/>
      </w:pPr>
      <w:rPr>
        <w:rFonts w:hint="default"/>
      </w:rPr>
    </w:lvl>
    <w:lvl w:ilvl="1">
      <w:start w:val="1"/>
      <w:numFmt w:val="decimal"/>
      <w:lvlText w:val="3.%2"/>
      <w:lvlJc w:val="left"/>
      <w:pPr>
        <w:tabs>
          <w:tab w:val="num" w:pos="795"/>
        </w:tabs>
        <w:ind w:left="795" w:hanging="795"/>
      </w:pPr>
      <w:rPr>
        <w:rFonts w:ascii="Calibri" w:hAnsi="Calibri" w:cs="c" w:hint="default"/>
        <w:b w:val="0"/>
        <w:i w:val="0"/>
        <w:sz w:val="24"/>
        <w:szCs w:val="28"/>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703B3"/>
    <w:multiLevelType w:val="hybridMultilevel"/>
    <w:tmpl w:val="4A6099E4"/>
    <w:lvl w:ilvl="0" w:tplc="870A0282">
      <w:start w:val="1"/>
      <w:numFmt w:val="decimal"/>
      <w:lvlText w:val="4.%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1C2E86"/>
    <w:multiLevelType w:val="hybridMultilevel"/>
    <w:tmpl w:val="061A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07449"/>
    <w:multiLevelType w:val="hybridMultilevel"/>
    <w:tmpl w:val="B3404966"/>
    <w:lvl w:ilvl="0" w:tplc="04090001">
      <w:start w:val="1"/>
      <w:numFmt w:val="bullet"/>
      <w:lvlText w:val=""/>
      <w:lvlJc w:val="left"/>
      <w:pPr>
        <w:ind w:left="458" w:hanging="360"/>
      </w:pPr>
      <w:rPr>
        <w:rFonts w:ascii="Symbol" w:hAnsi="Symbol" w:hint="default"/>
      </w:rPr>
    </w:lvl>
    <w:lvl w:ilvl="1" w:tplc="04090003" w:tentative="1">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10" w15:restartNumberingAfterBreak="0">
    <w:nsid w:val="482B5F8A"/>
    <w:multiLevelType w:val="hybridMultilevel"/>
    <w:tmpl w:val="282EF4E2"/>
    <w:lvl w:ilvl="0" w:tplc="4148FB3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B7013"/>
    <w:multiLevelType w:val="multilevel"/>
    <w:tmpl w:val="A48059B4"/>
    <w:lvl w:ilvl="0">
      <w:start w:val="3"/>
      <w:numFmt w:val="decimal"/>
      <w:lvlText w:val="%1"/>
      <w:lvlJc w:val="left"/>
      <w:pPr>
        <w:ind w:left="375" w:hanging="375"/>
      </w:pPr>
      <w:rPr>
        <w:rFonts w:hint="default"/>
      </w:rPr>
    </w:lvl>
    <w:lvl w:ilvl="1">
      <w:start w:val="1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EE856DF"/>
    <w:multiLevelType w:val="hybridMultilevel"/>
    <w:tmpl w:val="2AFC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60F27FD3"/>
    <w:multiLevelType w:val="hybridMultilevel"/>
    <w:tmpl w:val="1030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54183A"/>
    <w:multiLevelType w:val="hybridMultilevel"/>
    <w:tmpl w:val="DB46C4F4"/>
    <w:lvl w:ilvl="0" w:tplc="A1C221D8">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854451"/>
    <w:multiLevelType w:val="hybridMultilevel"/>
    <w:tmpl w:val="14BA8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D02077D"/>
    <w:multiLevelType w:val="multilevel"/>
    <w:tmpl w:val="24CCF2D8"/>
    <w:lvl w:ilvl="0">
      <w:start w:val="1"/>
      <w:numFmt w:val="decimal"/>
      <w:lvlText w:val="%1."/>
      <w:lvlJc w:val="left"/>
      <w:pPr>
        <w:ind w:left="360" w:hanging="360"/>
      </w:pPr>
      <w:rPr>
        <w:rFonts w:hint="default"/>
      </w:rPr>
    </w:lvl>
    <w:lvl w:ilvl="1">
      <w:start w:val="1"/>
      <w:numFmt w:val="decimal"/>
      <w:isLgl/>
      <w:lvlText w:val="%1.%2"/>
      <w:lvlJc w:val="left"/>
      <w:pPr>
        <w:ind w:left="795" w:hanging="795"/>
      </w:pPr>
      <w:rPr>
        <w:rFonts w:hint="default"/>
      </w:rPr>
    </w:lvl>
    <w:lvl w:ilvl="2">
      <w:start w:val="1"/>
      <w:numFmt w:val="decimal"/>
      <w:isLgl/>
      <w:lvlText w:val="%1.%2.%3"/>
      <w:lvlJc w:val="left"/>
      <w:pPr>
        <w:ind w:left="795" w:hanging="795"/>
      </w:pPr>
      <w:rPr>
        <w:rFonts w:hint="default"/>
      </w:rPr>
    </w:lvl>
    <w:lvl w:ilvl="3">
      <w:start w:val="1"/>
      <w:numFmt w:val="decimal"/>
      <w:isLgl/>
      <w:lvlText w:val="%1.%2.%3.%4"/>
      <w:lvlJc w:val="left"/>
      <w:pPr>
        <w:ind w:left="795" w:hanging="79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D661174"/>
    <w:multiLevelType w:val="hybridMultilevel"/>
    <w:tmpl w:val="7ADA8A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6"/>
  </w:num>
  <w:num w:numId="4">
    <w:abstractNumId w:val="5"/>
  </w:num>
  <w:num w:numId="5">
    <w:abstractNumId w:val="12"/>
  </w:num>
  <w:num w:numId="6">
    <w:abstractNumId w:val="8"/>
  </w:num>
  <w:num w:numId="7">
    <w:abstractNumId w:val="9"/>
  </w:num>
  <w:num w:numId="8">
    <w:abstractNumId w:val="14"/>
  </w:num>
  <w:num w:numId="9">
    <w:abstractNumId w:val="2"/>
  </w:num>
  <w:num w:numId="10">
    <w:abstractNumId w:val="11"/>
  </w:num>
  <w:num w:numId="11">
    <w:abstractNumId w:val="10"/>
  </w:num>
  <w:num w:numId="12">
    <w:abstractNumId w:val="0"/>
  </w:num>
  <w:num w:numId="13">
    <w:abstractNumId w:val="18"/>
  </w:num>
  <w:num w:numId="14">
    <w:abstractNumId w:val="4"/>
  </w:num>
  <w:num w:numId="15">
    <w:abstractNumId w:val="16"/>
  </w:num>
  <w:num w:numId="16">
    <w:abstractNumId w:val="17"/>
  </w:num>
  <w:num w:numId="17">
    <w:abstractNumId w:val="15"/>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4F76"/>
    <w:rsid w:val="00005791"/>
    <w:rsid w:val="000060A0"/>
    <w:rsid w:val="00010827"/>
    <w:rsid w:val="00015089"/>
    <w:rsid w:val="000156F5"/>
    <w:rsid w:val="00016FA5"/>
    <w:rsid w:val="0002520B"/>
    <w:rsid w:val="000313EA"/>
    <w:rsid w:val="00037A9E"/>
    <w:rsid w:val="00037F91"/>
    <w:rsid w:val="00040D34"/>
    <w:rsid w:val="000539F1"/>
    <w:rsid w:val="00054747"/>
    <w:rsid w:val="00055A2A"/>
    <w:rsid w:val="000615C1"/>
    <w:rsid w:val="00061675"/>
    <w:rsid w:val="000743AA"/>
    <w:rsid w:val="0009225C"/>
    <w:rsid w:val="000A17C4"/>
    <w:rsid w:val="000A36A4"/>
    <w:rsid w:val="000B2352"/>
    <w:rsid w:val="000C7963"/>
    <w:rsid w:val="000C7B84"/>
    <w:rsid w:val="000D261B"/>
    <w:rsid w:val="000D58A3"/>
    <w:rsid w:val="000E10FC"/>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25F4"/>
    <w:rsid w:val="001A441E"/>
    <w:rsid w:val="001A6733"/>
    <w:rsid w:val="001B357F"/>
    <w:rsid w:val="001C3444"/>
    <w:rsid w:val="001C3702"/>
    <w:rsid w:val="001C4656"/>
    <w:rsid w:val="001C46BC"/>
    <w:rsid w:val="001F23E6"/>
    <w:rsid w:val="001F4238"/>
    <w:rsid w:val="00200A38"/>
    <w:rsid w:val="00200A46"/>
    <w:rsid w:val="002032F2"/>
    <w:rsid w:val="00211B6F"/>
    <w:rsid w:val="00214B14"/>
    <w:rsid w:val="002162A7"/>
    <w:rsid w:val="00217CC3"/>
    <w:rsid w:val="00220AB6"/>
    <w:rsid w:val="0022120F"/>
    <w:rsid w:val="0022754A"/>
    <w:rsid w:val="00236560"/>
    <w:rsid w:val="0023662E"/>
    <w:rsid w:val="00245D0F"/>
    <w:rsid w:val="002548C3"/>
    <w:rsid w:val="00257ACD"/>
    <w:rsid w:val="00260BF8"/>
    <w:rsid w:val="00262908"/>
    <w:rsid w:val="002650F4"/>
    <w:rsid w:val="002715FD"/>
    <w:rsid w:val="00285B33"/>
    <w:rsid w:val="00287A3C"/>
    <w:rsid w:val="00297BB9"/>
    <w:rsid w:val="002A2FC6"/>
    <w:rsid w:val="002A7FCF"/>
    <w:rsid w:val="002C1EC7"/>
    <w:rsid w:val="002C4342"/>
    <w:rsid w:val="002C7EA3"/>
    <w:rsid w:val="002D20AE"/>
    <w:rsid w:val="002D6C61"/>
    <w:rsid w:val="002D7765"/>
    <w:rsid w:val="002E2104"/>
    <w:rsid w:val="002E2DAC"/>
    <w:rsid w:val="002E6963"/>
    <w:rsid w:val="002E6F8F"/>
    <w:rsid w:val="002F05D8"/>
    <w:rsid w:val="002F2DE0"/>
    <w:rsid w:val="002F5E25"/>
    <w:rsid w:val="003004A2"/>
    <w:rsid w:val="003125C3"/>
    <w:rsid w:val="00312AE6"/>
    <w:rsid w:val="00317D1A"/>
    <w:rsid w:val="003211FF"/>
    <w:rsid w:val="00327247"/>
    <w:rsid w:val="00327A9D"/>
    <w:rsid w:val="0033130E"/>
    <w:rsid w:val="0033269C"/>
    <w:rsid w:val="0035516C"/>
    <w:rsid w:val="00355A4C"/>
    <w:rsid w:val="003604FB"/>
    <w:rsid w:val="00360B73"/>
    <w:rsid w:val="00363061"/>
    <w:rsid w:val="00380B71"/>
    <w:rsid w:val="0038365A"/>
    <w:rsid w:val="00386A89"/>
    <w:rsid w:val="0039648E"/>
    <w:rsid w:val="003A5AFE"/>
    <w:rsid w:val="003A5D5F"/>
    <w:rsid w:val="003A7FFE"/>
    <w:rsid w:val="003B0A63"/>
    <w:rsid w:val="003B50E1"/>
    <w:rsid w:val="003C1746"/>
    <w:rsid w:val="003C2AA9"/>
    <w:rsid w:val="003C58BF"/>
    <w:rsid w:val="003D451D"/>
    <w:rsid w:val="003E12FD"/>
    <w:rsid w:val="003E5621"/>
    <w:rsid w:val="003E622D"/>
    <w:rsid w:val="003F2DD8"/>
    <w:rsid w:val="003F3F2D"/>
    <w:rsid w:val="003F50B2"/>
    <w:rsid w:val="00401BFF"/>
    <w:rsid w:val="00404424"/>
    <w:rsid w:val="0040479D"/>
    <w:rsid w:val="0041156B"/>
    <w:rsid w:val="004122C5"/>
    <w:rsid w:val="00413B78"/>
    <w:rsid w:val="00416DDE"/>
    <w:rsid w:val="0044411E"/>
    <w:rsid w:val="00453435"/>
    <w:rsid w:val="00466398"/>
    <w:rsid w:val="004713AC"/>
    <w:rsid w:val="0047306D"/>
    <w:rsid w:val="00476E48"/>
    <w:rsid w:val="004812B7"/>
    <w:rsid w:val="00481DE9"/>
    <w:rsid w:val="0049128B"/>
    <w:rsid w:val="00493B49"/>
    <w:rsid w:val="00495501"/>
    <w:rsid w:val="004A070A"/>
    <w:rsid w:val="004A320E"/>
    <w:rsid w:val="004A4E9C"/>
    <w:rsid w:val="004B1A3C"/>
    <w:rsid w:val="004B46F1"/>
    <w:rsid w:val="004D2CC3"/>
    <w:rsid w:val="004D35CB"/>
    <w:rsid w:val="004E20E5"/>
    <w:rsid w:val="004E64EA"/>
    <w:rsid w:val="004E7828"/>
    <w:rsid w:val="004F46AA"/>
    <w:rsid w:val="004F5B72"/>
    <w:rsid w:val="004F6A70"/>
    <w:rsid w:val="004F6EB2"/>
    <w:rsid w:val="00502ABF"/>
    <w:rsid w:val="00504DB0"/>
    <w:rsid w:val="00507C35"/>
    <w:rsid w:val="00510735"/>
    <w:rsid w:val="00514D2F"/>
    <w:rsid w:val="00521E72"/>
    <w:rsid w:val="0054420E"/>
    <w:rsid w:val="00544D1B"/>
    <w:rsid w:val="00545DC0"/>
    <w:rsid w:val="00545F6C"/>
    <w:rsid w:val="00550A07"/>
    <w:rsid w:val="005558F0"/>
    <w:rsid w:val="0055720C"/>
    <w:rsid w:val="005632DD"/>
    <w:rsid w:val="0056423B"/>
    <w:rsid w:val="00573424"/>
    <w:rsid w:val="00573CCA"/>
    <w:rsid w:val="0057402F"/>
    <w:rsid w:val="00574970"/>
    <w:rsid w:val="005849D6"/>
    <w:rsid w:val="00585367"/>
    <w:rsid w:val="005871A1"/>
    <w:rsid w:val="0058737E"/>
    <w:rsid w:val="00592518"/>
    <w:rsid w:val="00592E87"/>
    <w:rsid w:val="00594C4D"/>
    <w:rsid w:val="005A144C"/>
    <w:rsid w:val="005A33B0"/>
    <w:rsid w:val="005B4170"/>
    <w:rsid w:val="005C2DC2"/>
    <w:rsid w:val="005C304A"/>
    <w:rsid w:val="005C3D69"/>
    <w:rsid w:val="005C7C98"/>
    <w:rsid w:val="005D55A4"/>
    <w:rsid w:val="005D57C8"/>
    <w:rsid w:val="005D7761"/>
    <w:rsid w:val="005E0278"/>
    <w:rsid w:val="005E090D"/>
    <w:rsid w:val="005E3105"/>
    <w:rsid w:val="005E3CA0"/>
    <w:rsid w:val="005E44B1"/>
    <w:rsid w:val="005E67B0"/>
    <w:rsid w:val="005E7047"/>
    <w:rsid w:val="005E777F"/>
    <w:rsid w:val="005F1CA7"/>
    <w:rsid w:val="005F43DD"/>
    <w:rsid w:val="005F51A9"/>
    <w:rsid w:val="005F6BE1"/>
    <w:rsid w:val="005F7416"/>
    <w:rsid w:val="00600C11"/>
    <w:rsid w:val="00606B89"/>
    <w:rsid w:val="00611EAF"/>
    <w:rsid w:val="00616921"/>
    <w:rsid w:val="00623F30"/>
    <w:rsid w:val="00625FB8"/>
    <w:rsid w:val="006261BD"/>
    <w:rsid w:val="00635EDB"/>
    <w:rsid w:val="0064734E"/>
    <w:rsid w:val="00650137"/>
    <w:rsid w:val="006509D7"/>
    <w:rsid w:val="00651CE8"/>
    <w:rsid w:val="0065521B"/>
    <w:rsid w:val="00661EAB"/>
    <w:rsid w:val="00671EF6"/>
    <w:rsid w:val="0067205B"/>
    <w:rsid w:val="006748F8"/>
    <w:rsid w:val="00674D15"/>
    <w:rsid w:val="00680489"/>
    <w:rsid w:val="00683C32"/>
    <w:rsid w:val="00690BB2"/>
    <w:rsid w:val="00693D09"/>
    <w:rsid w:val="006A6549"/>
    <w:rsid w:val="006A7710"/>
    <w:rsid w:val="006A7A61"/>
    <w:rsid w:val="006B1E59"/>
    <w:rsid w:val="006B2FFB"/>
    <w:rsid w:val="006C10A2"/>
    <w:rsid w:val="006C1F18"/>
    <w:rsid w:val="006D40D5"/>
    <w:rsid w:val="006E0C29"/>
    <w:rsid w:val="006F009A"/>
    <w:rsid w:val="006F3D93"/>
    <w:rsid w:val="007019B1"/>
    <w:rsid w:val="00721657"/>
    <w:rsid w:val="007279A8"/>
    <w:rsid w:val="00727B1A"/>
    <w:rsid w:val="0073066A"/>
    <w:rsid w:val="00741337"/>
    <w:rsid w:val="00752258"/>
    <w:rsid w:val="00762880"/>
    <w:rsid w:val="00762AD6"/>
    <w:rsid w:val="00762E02"/>
    <w:rsid w:val="00772290"/>
    <w:rsid w:val="00772E2B"/>
    <w:rsid w:val="00777265"/>
    <w:rsid w:val="007805E7"/>
    <w:rsid w:val="0078222A"/>
    <w:rsid w:val="00787D48"/>
    <w:rsid w:val="00795294"/>
    <w:rsid w:val="007A4E50"/>
    <w:rsid w:val="007A745C"/>
    <w:rsid w:val="007B18A7"/>
    <w:rsid w:val="007B250E"/>
    <w:rsid w:val="007B362B"/>
    <w:rsid w:val="007C27FC"/>
    <w:rsid w:val="007C51FF"/>
    <w:rsid w:val="007D50E4"/>
    <w:rsid w:val="007E013C"/>
    <w:rsid w:val="007E7B64"/>
    <w:rsid w:val="007F7B42"/>
    <w:rsid w:val="008027AC"/>
    <w:rsid w:val="008028CE"/>
    <w:rsid w:val="0080332E"/>
    <w:rsid w:val="008141E0"/>
    <w:rsid w:val="00816EE1"/>
    <w:rsid w:val="00816F88"/>
    <w:rsid w:val="00822323"/>
    <w:rsid w:val="008300AD"/>
    <w:rsid w:val="00833024"/>
    <w:rsid w:val="008419B1"/>
    <w:rsid w:val="00844A56"/>
    <w:rsid w:val="00845B11"/>
    <w:rsid w:val="00852081"/>
    <w:rsid w:val="00872B6E"/>
    <w:rsid w:val="00874DFD"/>
    <w:rsid w:val="008802F9"/>
    <w:rsid w:val="00883086"/>
    <w:rsid w:val="008879FD"/>
    <w:rsid w:val="00894C37"/>
    <w:rsid w:val="0089600A"/>
    <w:rsid w:val="008979A3"/>
    <w:rsid w:val="008A00EA"/>
    <w:rsid w:val="008A3F93"/>
    <w:rsid w:val="008A6236"/>
    <w:rsid w:val="008A6E1C"/>
    <w:rsid w:val="008A72FD"/>
    <w:rsid w:val="008B2DE8"/>
    <w:rsid w:val="008B2EDF"/>
    <w:rsid w:val="008B5141"/>
    <w:rsid w:val="008B54CB"/>
    <w:rsid w:val="008B5A3D"/>
    <w:rsid w:val="008B6F38"/>
    <w:rsid w:val="008C3879"/>
    <w:rsid w:val="008C4010"/>
    <w:rsid w:val="008C4FDF"/>
    <w:rsid w:val="008C6B1F"/>
    <w:rsid w:val="008C6F53"/>
    <w:rsid w:val="008D5E4F"/>
    <w:rsid w:val="008F14F5"/>
    <w:rsid w:val="008F71C1"/>
    <w:rsid w:val="0090003B"/>
    <w:rsid w:val="00902D41"/>
    <w:rsid w:val="00902F49"/>
    <w:rsid w:val="00914004"/>
    <w:rsid w:val="00922EC1"/>
    <w:rsid w:val="009301F1"/>
    <w:rsid w:val="009307DF"/>
    <w:rsid w:val="009359B8"/>
    <w:rsid w:val="00935FF0"/>
    <w:rsid w:val="009431F8"/>
    <w:rsid w:val="00947A35"/>
    <w:rsid w:val="00960E9C"/>
    <w:rsid w:val="00962081"/>
    <w:rsid w:val="00966CB5"/>
    <w:rsid w:val="00975786"/>
    <w:rsid w:val="00977D17"/>
    <w:rsid w:val="00981CB7"/>
    <w:rsid w:val="00983E1F"/>
    <w:rsid w:val="00993668"/>
    <w:rsid w:val="00993F46"/>
    <w:rsid w:val="00997358"/>
    <w:rsid w:val="009A452B"/>
    <w:rsid w:val="009B050C"/>
    <w:rsid w:val="009B087F"/>
    <w:rsid w:val="009B2AF4"/>
    <w:rsid w:val="009C110B"/>
    <w:rsid w:val="009C254C"/>
    <w:rsid w:val="009C5441"/>
    <w:rsid w:val="009D119F"/>
    <w:rsid w:val="009D49A2"/>
    <w:rsid w:val="009F3940"/>
    <w:rsid w:val="009F3A65"/>
    <w:rsid w:val="009F3EB2"/>
    <w:rsid w:val="009F6EB1"/>
    <w:rsid w:val="00A07524"/>
    <w:rsid w:val="00A11D05"/>
    <w:rsid w:val="00A13162"/>
    <w:rsid w:val="00A20267"/>
    <w:rsid w:val="00A3158C"/>
    <w:rsid w:val="00A32DF3"/>
    <w:rsid w:val="00A33E32"/>
    <w:rsid w:val="00A35E20"/>
    <w:rsid w:val="00A36F6D"/>
    <w:rsid w:val="00A44C3C"/>
    <w:rsid w:val="00A457F7"/>
    <w:rsid w:val="00A5150C"/>
    <w:rsid w:val="00A525CC"/>
    <w:rsid w:val="00A53E7C"/>
    <w:rsid w:val="00A60087"/>
    <w:rsid w:val="00A705E8"/>
    <w:rsid w:val="00A721F4"/>
    <w:rsid w:val="00A82D54"/>
    <w:rsid w:val="00A9392C"/>
    <w:rsid w:val="00A9462B"/>
    <w:rsid w:val="00A97D59"/>
    <w:rsid w:val="00AA3E09"/>
    <w:rsid w:val="00AA4BEF"/>
    <w:rsid w:val="00AA69FC"/>
    <w:rsid w:val="00AB1659"/>
    <w:rsid w:val="00AB4962"/>
    <w:rsid w:val="00AB734E"/>
    <w:rsid w:val="00AB740F"/>
    <w:rsid w:val="00AC6F14"/>
    <w:rsid w:val="00AC7221"/>
    <w:rsid w:val="00AD4A40"/>
    <w:rsid w:val="00AD7D29"/>
    <w:rsid w:val="00AE5961"/>
    <w:rsid w:val="00AF0745"/>
    <w:rsid w:val="00AF4971"/>
    <w:rsid w:val="00AF5276"/>
    <w:rsid w:val="00B01046"/>
    <w:rsid w:val="00B17EA7"/>
    <w:rsid w:val="00B310F9"/>
    <w:rsid w:val="00B37866"/>
    <w:rsid w:val="00B412FB"/>
    <w:rsid w:val="00B4576B"/>
    <w:rsid w:val="00B46350"/>
    <w:rsid w:val="00B46DF3"/>
    <w:rsid w:val="00B51DC3"/>
    <w:rsid w:val="00B66E8F"/>
    <w:rsid w:val="00B71EA5"/>
    <w:rsid w:val="00B80157"/>
    <w:rsid w:val="00B83D5E"/>
    <w:rsid w:val="00B8460A"/>
    <w:rsid w:val="00B8650D"/>
    <w:rsid w:val="00B879B4"/>
    <w:rsid w:val="00B90F07"/>
    <w:rsid w:val="00B97BB9"/>
    <w:rsid w:val="00BA0009"/>
    <w:rsid w:val="00BB1863"/>
    <w:rsid w:val="00BB1C1B"/>
    <w:rsid w:val="00BB25EE"/>
    <w:rsid w:val="00BB28E1"/>
    <w:rsid w:val="00BB363A"/>
    <w:rsid w:val="00BC10A0"/>
    <w:rsid w:val="00BC1A90"/>
    <w:rsid w:val="00BC7BA2"/>
    <w:rsid w:val="00BD297B"/>
    <w:rsid w:val="00BD426B"/>
    <w:rsid w:val="00BD79F0"/>
    <w:rsid w:val="00BE2B4D"/>
    <w:rsid w:val="00BF18AA"/>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3879"/>
    <w:rsid w:val="00C848EF"/>
    <w:rsid w:val="00C86600"/>
    <w:rsid w:val="00C87BCA"/>
    <w:rsid w:val="00C87EED"/>
    <w:rsid w:val="00C94506"/>
    <w:rsid w:val="00C94AAB"/>
    <w:rsid w:val="00C954BC"/>
    <w:rsid w:val="00CA1F0B"/>
    <w:rsid w:val="00CB110F"/>
    <w:rsid w:val="00CB2A2E"/>
    <w:rsid w:val="00CB338A"/>
    <w:rsid w:val="00CB3470"/>
    <w:rsid w:val="00CB79C5"/>
    <w:rsid w:val="00CC411F"/>
    <w:rsid w:val="00CC4B75"/>
    <w:rsid w:val="00CC732E"/>
    <w:rsid w:val="00CD7207"/>
    <w:rsid w:val="00CE0DBE"/>
    <w:rsid w:val="00CE5E4D"/>
    <w:rsid w:val="00CF02C4"/>
    <w:rsid w:val="00CF167F"/>
    <w:rsid w:val="00CF3895"/>
    <w:rsid w:val="00CF72E5"/>
    <w:rsid w:val="00D013EE"/>
    <w:rsid w:val="00D01F54"/>
    <w:rsid w:val="00D040F7"/>
    <w:rsid w:val="00D04A76"/>
    <w:rsid w:val="00D055C8"/>
    <w:rsid w:val="00D10FC7"/>
    <w:rsid w:val="00D1519F"/>
    <w:rsid w:val="00D20E99"/>
    <w:rsid w:val="00D21C83"/>
    <w:rsid w:val="00D23E44"/>
    <w:rsid w:val="00D25727"/>
    <w:rsid w:val="00D35BDD"/>
    <w:rsid w:val="00D607CA"/>
    <w:rsid w:val="00D63006"/>
    <w:rsid w:val="00D72301"/>
    <w:rsid w:val="00D911DE"/>
    <w:rsid w:val="00D91B97"/>
    <w:rsid w:val="00D93ACC"/>
    <w:rsid w:val="00D93C08"/>
    <w:rsid w:val="00D95A80"/>
    <w:rsid w:val="00D95DAC"/>
    <w:rsid w:val="00DA0B53"/>
    <w:rsid w:val="00DA6441"/>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27697"/>
    <w:rsid w:val="00E32596"/>
    <w:rsid w:val="00E368F7"/>
    <w:rsid w:val="00E36EB8"/>
    <w:rsid w:val="00E37A97"/>
    <w:rsid w:val="00E37FB8"/>
    <w:rsid w:val="00E40B07"/>
    <w:rsid w:val="00E42326"/>
    <w:rsid w:val="00E43544"/>
    <w:rsid w:val="00E44D89"/>
    <w:rsid w:val="00E477EA"/>
    <w:rsid w:val="00E50564"/>
    <w:rsid w:val="00E55807"/>
    <w:rsid w:val="00E63B14"/>
    <w:rsid w:val="00E65CA0"/>
    <w:rsid w:val="00E70D9F"/>
    <w:rsid w:val="00E83810"/>
    <w:rsid w:val="00E86933"/>
    <w:rsid w:val="00E90C8A"/>
    <w:rsid w:val="00E9605B"/>
    <w:rsid w:val="00E97298"/>
    <w:rsid w:val="00E97753"/>
    <w:rsid w:val="00EA7DE7"/>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0A4A"/>
    <w:rsid w:val="00F41B1C"/>
    <w:rsid w:val="00F42E13"/>
    <w:rsid w:val="00F42F1C"/>
    <w:rsid w:val="00F43B44"/>
    <w:rsid w:val="00F440E5"/>
    <w:rsid w:val="00F448F6"/>
    <w:rsid w:val="00F52741"/>
    <w:rsid w:val="00F53D8A"/>
    <w:rsid w:val="00F54E3F"/>
    <w:rsid w:val="00F626F7"/>
    <w:rsid w:val="00F73833"/>
    <w:rsid w:val="00F9211C"/>
    <w:rsid w:val="00FA095D"/>
    <w:rsid w:val="00FA6C8B"/>
    <w:rsid w:val="00FA7C89"/>
    <w:rsid w:val="00FB4139"/>
    <w:rsid w:val="00FB476E"/>
    <w:rsid w:val="00FC0485"/>
    <w:rsid w:val="00FC0D90"/>
    <w:rsid w:val="00FC7D8C"/>
    <w:rsid w:val="00FD190F"/>
    <w:rsid w:val="00FD3980"/>
    <w:rsid w:val="00FD431E"/>
    <w:rsid w:val="00FD5A2C"/>
    <w:rsid w:val="00FE0D47"/>
    <w:rsid w:val="00FE1D5C"/>
    <w:rsid w:val="00FE2F8B"/>
    <w:rsid w:val="00FE3669"/>
    <w:rsid w:val="00FE5204"/>
    <w:rsid w:val="00FF284E"/>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CEOMainDocParagraph">
    <w:name w:val="CEO_MainDoc_Paragraph"/>
    <w:basedOn w:val="Normal"/>
    <w:qFormat/>
    <w:rsid w:val="004812B7"/>
    <w:pPr>
      <w:tabs>
        <w:tab w:val="clear" w:pos="794"/>
        <w:tab w:val="clear" w:pos="1191"/>
        <w:tab w:val="clear" w:pos="1588"/>
        <w:tab w:val="clear" w:pos="1985"/>
      </w:tabs>
      <w:overflowPunct/>
      <w:autoSpaceDE/>
      <w:autoSpaceDN/>
      <w:adjustRightInd/>
      <w:spacing w:after="120" w:line="259" w:lineRule="auto"/>
      <w:textAlignment w:val="auto"/>
    </w:pPr>
    <w:rPr>
      <w:rFonts w:eastAsia="SimSun" w:cstheme="minorBidi"/>
      <w:sz w:val="22"/>
      <w:szCs w:val="19"/>
      <w:lang w:val="en-US" w:eastAsia="zh-CN"/>
    </w:rPr>
  </w:style>
  <w:style w:type="character" w:styleId="Strong">
    <w:name w:val="Strong"/>
    <w:basedOn w:val="DefaultParagraphFont"/>
    <w:uiPriority w:val="22"/>
    <w:qFormat/>
    <w:rsid w:val="004812B7"/>
    <w:rPr>
      <w:b/>
      <w:bCs/>
    </w:rPr>
  </w:style>
  <w:style w:type="paragraph" w:styleId="NormalWeb">
    <w:name w:val="Normal (Web)"/>
    <w:basedOn w:val="Normal"/>
    <w:uiPriority w:val="99"/>
    <w:semiHidden/>
    <w:unhideWhenUsed/>
    <w:rsid w:val="004812B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styleId="FollowedHyperlink">
    <w:name w:val="FollowedHyperlink"/>
    <w:basedOn w:val="DefaultParagraphFont"/>
    <w:semiHidden/>
    <w:unhideWhenUsed/>
    <w:rsid w:val="00214B14"/>
    <w:rPr>
      <w:color w:val="800080" w:themeColor="followedHyperlink"/>
      <w:u w:val="single"/>
    </w:rPr>
  </w:style>
  <w:style w:type="paragraph" w:styleId="BalloonText">
    <w:name w:val="Balloon Text"/>
    <w:basedOn w:val="Normal"/>
    <w:link w:val="BalloonTextChar"/>
    <w:semiHidden/>
    <w:unhideWhenUsed/>
    <w:rsid w:val="003E12F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E12FD"/>
    <w:rPr>
      <w:rFonts w:ascii="Segoe UI" w:hAnsi="Segoe UI" w:cs="Segoe UI"/>
      <w:sz w:val="18"/>
      <w:szCs w:val="18"/>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7B362B"/>
    <w:rPr>
      <w:rFonts w:asciiTheme="minorHAnsi" w:hAnsiTheme="minorHAnsi"/>
      <w:sz w:val="24"/>
      <w:lang w:val="en-GB" w:eastAsia="en-US"/>
    </w:rPr>
  </w:style>
  <w:style w:type="paragraph" w:customStyle="1" w:styleId="StyleListParagraphListParagraph1RecommendationListParagraph1">
    <w:name w:val="Style List ParagraphList Paragraph1RecommendationList Paragraph1..."/>
    <w:basedOn w:val="ListParagraph"/>
    <w:rsid w:val="000C7963"/>
    <w:pPr>
      <w:spacing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589029">
      <w:bodyDiv w:val="1"/>
      <w:marLeft w:val="0"/>
      <w:marRight w:val="0"/>
      <w:marTop w:val="0"/>
      <w:marBottom w:val="0"/>
      <w:divBdr>
        <w:top w:val="none" w:sz="0" w:space="0" w:color="auto"/>
        <w:left w:val="none" w:sz="0" w:space="0" w:color="auto"/>
        <w:bottom w:val="none" w:sz="0" w:space="0" w:color="auto"/>
        <w:right w:val="none" w:sz="0" w:space="0" w:color="auto"/>
      </w:divBdr>
    </w:div>
    <w:div w:id="422068704">
      <w:bodyDiv w:val="1"/>
      <w:marLeft w:val="0"/>
      <w:marRight w:val="0"/>
      <w:marTop w:val="0"/>
      <w:marBottom w:val="0"/>
      <w:divBdr>
        <w:top w:val="none" w:sz="0" w:space="0" w:color="auto"/>
        <w:left w:val="none" w:sz="0" w:space="0" w:color="auto"/>
        <w:bottom w:val="none" w:sz="0" w:space="0" w:color="auto"/>
        <w:right w:val="none" w:sz="0" w:space="0" w:color="auto"/>
      </w:divBdr>
    </w:div>
    <w:div w:id="11472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D/TIES_Protected/WTDC14/WTDC14-FinalReport-E.pdf" TargetMode="External"/><Relationship Id="rId18" Type="http://schemas.openxmlformats.org/officeDocument/2006/relationships/hyperlink" Target="http://www.itu.int/go/en/itudsponsorship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hyperlink" Target="http://www.itu.int/en/itu-d/conferences/wtdc/wtdc17/pages/rpm.aspx" TargetMode="External"/><Relationship Id="rId2" Type="http://schemas.openxmlformats.org/officeDocument/2006/relationships/numbering" Target="numbering.xml"/><Relationship Id="rId16" Type="http://schemas.openxmlformats.org/officeDocument/2006/relationships/hyperlink" Target="https://www.itu.int/md/S16-SG-CIR-0037/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5" Type="http://schemas.openxmlformats.org/officeDocument/2006/relationships/webSettings" Target="webSettings.xml"/><Relationship Id="rId15" Type="http://schemas.openxmlformats.org/officeDocument/2006/relationships/hyperlink" Target="https://www.itu.int/md/S16-SG-CIR-0029/en" TargetMode="External"/><Relationship Id="rId10" Type="http://schemas.openxmlformats.org/officeDocument/2006/relationships/hyperlink" Target="http://www.itu.int/pub/S-CONF-PLEN-201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S16-SG-CIR-0029/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39B77-D740-4BD3-8D5C-EF77A433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TDAG_en_v3.dotm</Template>
  <TotalTime>3</TotalTime>
  <Pages>5</Pages>
  <Words>1896</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BDT</dc:creator>
  <cp:lastModifiedBy>BDT, mcb</cp:lastModifiedBy>
  <cp:revision>5</cp:revision>
  <cp:lastPrinted>2017-03-30T07:28:00Z</cp:lastPrinted>
  <dcterms:created xsi:type="dcterms:W3CDTF">2017-04-11T07:34:00Z</dcterms:created>
  <dcterms:modified xsi:type="dcterms:W3CDTF">2017-04-11T07:37:00Z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