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1F7A84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D53B1C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D53B1C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D53B1C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D53B1C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D53B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D53B1C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53B1C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D53B1C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 w:rsidRPr="00D53B1C"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1F7A84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D53B1C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D53B1C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D53B1C" w:rsidTr="004B7893">
        <w:trPr>
          <w:cantSplit/>
        </w:trPr>
        <w:tc>
          <w:tcPr>
            <w:tcW w:w="6663" w:type="dxa"/>
            <w:gridSpan w:val="2"/>
          </w:tcPr>
          <w:p w:rsidR="004B7893" w:rsidRPr="00D53B1C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D53B1C" w:rsidRDefault="005637B9" w:rsidP="004B7893">
            <w:pPr>
              <w:spacing w:before="0"/>
              <w:rPr>
                <w:bCs/>
                <w:lang w:val="es-ES_tradnl"/>
              </w:rPr>
            </w:pPr>
            <w:r w:rsidRPr="00D53B1C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D53B1C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466076" w:rsidRPr="00D53B1C">
              <w:rPr>
                <w:b/>
                <w:bCs/>
                <w:lang w:val="es-ES_tradnl"/>
              </w:rPr>
              <w:t>16</w:t>
            </w:r>
            <w:r w:rsidRPr="00D53B1C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D53B1C" w:rsidTr="004B7893">
        <w:trPr>
          <w:cantSplit/>
        </w:trPr>
        <w:tc>
          <w:tcPr>
            <w:tcW w:w="6663" w:type="dxa"/>
            <w:gridSpan w:val="2"/>
          </w:tcPr>
          <w:p w:rsidR="004B7893" w:rsidRPr="00D53B1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D53B1C" w:rsidRDefault="00466076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D53B1C">
              <w:rPr>
                <w:b/>
                <w:bCs/>
                <w:szCs w:val="28"/>
                <w:lang w:val="es-ES_tradnl"/>
              </w:rPr>
              <w:t>11 de marzo de</w:t>
            </w:r>
            <w:r w:rsidR="00BC7208" w:rsidRPr="00D53B1C">
              <w:rPr>
                <w:b/>
                <w:bCs/>
                <w:szCs w:val="28"/>
                <w:lang w:val="es-ES_tradnl"/>
              </w:rPr>
              <w:t xml:space="preserve"> 2017</w:t>
            </w:r>
          </w:p>
        </w:tc>
      </w:tr>
      <w:tr w:rsidR="004B7893" w:rsidRPr="00D53B1C" w:rsidTr="004B7893">
        <w:trPr>
          <w:cantSplit/>
        </w:trPr>
        <w:tc>
          <w:tcPr>
            <w:tcW w:w="6663" w:type="dxa"/>
            <w:gridSpan w:val="2"/>
          </w:tcPr>
          <w:p w:rsidR="004B7893" w:rsidRPr="00D53B1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D53B1C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D53B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D53B1C">
              <w:rPr>
                <w:b/>
                <w:lang w:val="es-ES_tradnl"/>
              </w:rPr>
              <w:t xml:space="preserve"> </w:t>
            </w:r>
            <w:r w:rsidR="00466076" w:rsidRPr="00D53B1C">
              <w:rPr>
                <w:b/>
                <w:lang w:val="es-ES_tradnl"/>
              </w:rPr>
              <w:t>inglés</w:t>
            </w:r>
          </w:p>
        </w:tc>
      </w:tr>
      <w:tr w:rsidR="004B7893" w:rsidRPr="001F7A84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D53B1C" w:rsidRDefault="000B15C6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D53B1C">
              <w:rPr>
                <w:lang w:val="es-ES_tradnl"/>
              </w:rPr>
              <w:t>Director, Oficina de Desarrollo de las Telecomunicaciones</w:t>
            </w:r>
          </w:p>
        </w:tc>
      </w:tr>
      <w:tr w:rsidR="004B7893" w:rsidRPr="001F7A84" w:rsidTr="004B7893">
        <w:trPr>
          <w:cantSplit/>
        </w:trPr>
        <w:tc>
          <w:tcPr>
            <w:tcW w:w="9888" w:type="dxa"/>
            <w:gridSpan w:val="3"/>
          </w:tcPr>
          <w:p w:rsidR="004B7893" w:rsidRPr="00D53B1C" w:rsidRDefault="000B15C6" w:rsidP="00D4202A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D53B1C">
              <w:rPr>
                <w:lang w:val="es-ES_tradnl"/>
              </w:rPr>
              <w:t>PREPARATIVOS DE LA CONFERENCIA MUNDIAL DE DESARROLLO</w:t>
            </w:r>
            <w:r w:rsidRPr="00D53B1C">
              <w:rPr>
                <w:lang w:val="es-ES_tradnl"/>
              </w:rPr>
              <w:br/>
              <w:t>DE LAS TELECOMUNICACIONES (CMDT-17)</w:t>
            </w:r>
          </w:p>
        </w:tc>
      </w:tr>
      <w:tr w:rsidR="004B7893" w:rsidRPr="001F7A84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D53B1C" w:rsidRDefault="004B7893" w:rsidP="00BC7208">
            <w:pPr>
              <w:rPr>
                <w:lang w:val="es-ES_tradnl"/>
              </w:rPr>
            </w:pPr>
          </w:p>
        </w:tc>
      </w:tr>
      <w:tr w:rsidR="004B7893" w:rsidRPr="001F7A84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D53B1C" w:rsidRDefault="004B7893" w:rsidP="00D53B1C">
            <w:pPr>
              <w:spacing w:before="240"/>
              <w:rPr>
                <w:b/>
                <w:bCs/>
                <w:lang w:val="es-ES_tradnl"/>
              </w:rPr>
            </w:pPr>
            <w:r w:rsidRPr="00D53B1C">
              <w:rPr>
                <w:b/>
                <w:bCs/>
                <w:lang w:val="es-ES_tradnl"/>
              </w:rPr>
              <w:t>Resumen:</w:t>
            </w:r>
          </w:p>
          <w:p w:rsidR="004B7893" w:rsidRPr="00D53B1C" w:rsidRDefault="00435C80" w:rsidP="00D53B1C">
            <w:pPr>
              <w:rPr>
                <w:b/>
                <w:bCs/>
                <w:lang w:val="es-ES_tradnl"/>
              </w:rPr>
            </w:pPr>
            <w:r w:rsidRPr="00D53B1C">
              <w:rPr>
                <w:rFonts w:cstheme="minorHAnsi"/>
                <w:szCs w:val="24"/>
                <w:lang w:val="es-ES_tradnl"/>
              </w:rPr>
              <w:t xml:space="preserve">El propósito del presente Informe es dar cuenta al </w:t>
            </w:r>
            <w:r w:rsidR="00D53B1C" w:rsidRPr="00D53B1C">
              <w:rPr>
                <w:rFonts w:cstheme="minorHAnsi"/>
                <w:szCs w:val="24"/>
                <w:lang w:val="es-ES_tradnl"/>
              </w:rPr>
              <w:t>GADT</w:t>
            </w:r>
            <w:r w:rsidRPr="00D53B1C">
              <w:rPr>
                <w:rFonts w:cstheme="minorHAnsi"/>
                <w:szCs w:val="24"/>
                <w:lang w:val="es-ES_tradnl"/>
              </w:rPr>
              <w:t xml:space="preserve"> </w:t>
            </w:r>
            <w:r w:rsidRPr="00D53B1C">
              <w:rPr>
                <w:bCs/>
                <w:lang w:val="es-ES_tradnl"/>
              </w:rPr>
              <w:t xml:space="preserve">sobre los preparativos de la Conferencia Mundial de Desarrollo de las Telecomunicaciones </w:t>
            </w:r>
            <w:r w:rsidR="00D53B1C" w:rsidRPr="00D53B1C">
              <w:rPr>
                <w:bCs/>
                <w:lang w:val="es-ES_tradnl"/>
              </w:rPr>
              <w:t xml:space="preserve">de 2017 </w:t>
            </w:r>
            <w:r w:rsidRPr="00D53B1C">
              <w:rPr>
                <w:bCs/>
                <w:lang w:val="es-ES_tradnl"/>
              </w:rPr>
              <w:t>(CMDT-17).</w:t>
            </w:r>
          </w:p>
          <w:p w:rsidR="004B7893" w:rsidRPr="00D53B1C" w:rsidRDefault="00C1338D" w:rsidP="00D53B1C">
            <w:pPr>
              <w:rPr>
                <w:b/>
                <w:bCs/>
                <w:lang w:val="es-ES_tradnl"/>
              </w:rPr>
            </w:pPr>
            <w:r w:rsidRPr="00D53B1C">
              <w:rPr>
                <w:b/>
                <w:bCs/>
                <w:lang w:val="es-ES_tradnl"/>
              </w:rPr>
              <w:t>Acción solicitada:</w:t>
            </w:r>
          </w:p>
          <w:p w:rsidR="004B7893" w:rsidRPr="00D53B1C" w:rsidRDefault="00C1338D" w:rsidP="00D53B1C">
            <w:pPr>
              <w:rPr>
                <w:b/>
                <w:bCs/>
                <w:lang w:val="es-ES_tradnl"/>
              </w:rPr>
            </w:pPr>
            <w:r w:rsidRPr="00D53B1C">
              <w:rPr>
                <w:lang w:val="es-ES_tradnl"/>
              </w:rPr>
              <w:t xml:space="preserve">Se invita al Consejo a </w:t>
            </w:r>
            <w:r w:rsidRPr="00D53B1C">
              <w:rPr>
                <w:b/>
                <w:bCs/>
                <w:lang w:val="es-ES_tradnl"/>
              </w:rPr>
              <w:t>tom</w:t>
            </w:r>
            <w:r w:rsidR="00D53B1C" w:rsidRPr="00D53B1C">
              <w:rPr>
                <w:b/>
                <w:bCs/>
                <w:lang w:val="es-ES_tradnl"/>
              </w:rPr>
              <w:t>ar</w:t>
            </w:r>
            <w:r w:rsidRPr="00D53B1C">
              <w:rPr>
                <w:b/>
                <w:bCs/>
                <w:lang w:val="es-ES_tradnl"/>
              </w:rPr>
              <w:t xml:space="preserve"> nota </w:t>
            </w:r>
            <w:r w:rsidRPr="00D53B1C">
              <w:rPr>
                <w:lang w:val="es-ES_tradnl"/>
              </w:rPr>
              <w:t>de las acciones realizadas en los preparativos de la CMDT</w:t>
            </w:r>
            <w:r w:rsidRPr="00D53B1C">
              <w:rPr>
                <w:lang w:val="es-ES_tradnl"/>
              </w:rPr>
              <w:noBreakHyphen/>
              <w:t>17</w:t>
            </w:r>
            <w:r w:rsidR="00D53B1C" w:rsidRPr="00D53B1C">
              <w:rPr>
                <w:lang w:val="es-ES_tradnl"/>
              </w:rPr>
              <w:t xml:space="preserve"> y a </w:t>
            </w:r>
            <w:r w:rsidR="00D53B1C" w:rsidRPr="00D53B1C">
              <w:rPr>
                <w:b/>
                <w:bCs/>
                <w:lang w:val="es-ES_tradnl"/>
              </w:rPr>
              <w:t>refrendar</w:t>
            </w:r>
            <w:r w:rsidR="00D53B1C" w:rsidRPr="00D53B1C">
              <w:rPr>
                <w:lang w:val="es-ES_tradnl"/>
              </w:rPr>
              <w:t xml:space="preserve"> la recomendación de la conclusión</w:t>
            </w:r>
            <w:r w:rsidRPr="00D53B1C">
              <w:rPr>
                <w:lang w:val="es-ES_tradnl"/>
              </w:rPr>
              <w:t>.</w:t>
            </w:r>
          </w:p>
          <w:p w:rsidR="004B7893" w:rsidRPr="00D53B1C" w:rsidRDefault="004B7893" w:rsidP="004B7893">
            <w:pPr>
              <w:rPr>
                <w:b/>
                <w:bCs/>
                <w:lang w:val="es-ES_tradnl"/>
              </w:rPr>
            </w:pPr>
            <w:r w:rsidRPr="00D53B1C">
              <w:rPr>
                <w:b/>
                <w:bCs/>
                <w:lang w:val="es-ES_tradnl"/>
              </w:rPr>
              <w:t>Referencias:</w:t>
            </w:r>
          </w:p>
          <w:p w:rsidR="004B7893" w:rsidRPr="00D53B1C" w:rsidRDefault="001F6077" w:rsidP="00435C80">
            <w:pPr>
              <w:spacing w:after="120"/>
              <w:rPr>
                <w:b/>
                <w:bCs/>
                <w:lang w:val="es-ES_tradnl"/>
              </w:rPr>
            </w:pPr>
            <w:hyperlink r:id="rId10" w:history="1">
              <w:r w:rsidR="00435C80" w:rsidRPr="00D53B1C">
                <w:rPr>
                  <w:rStyle w:val="Hyperlink"/>
                  <w:i/>
                  <w:iCs/>
                  <w:lang w:val="es-ES_tradnl"/>
                </w:rPr>
                <w:t>Número 141 de la Constitución de la UIT</w:t>
              </w:r>
            </w:hyperlink>
            <w:r w:rsidR="00435C80" w:rsidRPr="00D53B1C">
              <w:rPr>
                <w:i/>
                <w:iCs/>
                <w:lang w:val="es-ES_tradnl"/>
              </w:rPr>
              <w:t xml:space="preserve">, </w:t>
            </w:r>
            <w:hyperlink r:id="rId11" w:history="1">
              <w:r w:rsidR="00435C80" w:rsidRPr="00D53B1C">
                <w:rPr>
                  <w:rStyle w:val="Hyperlink"/>
                  <w:i/>
                  <w:iCs/>
                  <w:lang w:val="es-ES_tradnl"/>
                </w:rPr>
                <w:t>números 42, 213 del Convenio de la UIT</w:t>
              </w:r>
            </w:hyperlink>
            <w:r w:rsidR="00435C80" w:rsidRPr="00D53B1C">
              <w:rPr>
                <w:i/>
                <w:iCs/>
                <w:lang w:val="es-ES_tradnl"/>
              </w:rPr>
              <w:t xml:space="preserve">, </w:t>
            </w:r>
            <w:hyperlink r:id="rId12" w:history="1">
              <w:r w:rsidR="00435C80" w:rsidRPr="00D53B1C">
                <w:rPr>
                  <w:rStyle w:val="Hyperlink"/>
                  <w:i/>
                  <w:iCs/>
                  <w:lang w:val="es-ES_tradnl"/>
                </w:rPr>
                <w:t>Capítulo 1 del Reglamento General de las Conferencias, Asambleas y Reuniones de la Unión</w:t>
              </w:r>
            </w:hyperlink>
            <w:r w:rsidR="00435C80" w:rsidRPr="00D53B1C">
              <w:rPr>
                <w:i/>
                <w:iCs/>
                <w:lang w:val="es-ES_tradnl"/>
              </w:rPr>
              <w:t xml:space="preserve">, </w:t>
            </w:r>
            <w:hyperlink r:id="rId13" w:history="1">
              <w:r w:rsidR="00435C80" w:rsidRPr="00D53B1C">
                <w:rPr>
                  <w:rStyle w:val="Hyperlink"/>
                  <w:i/>
                  <w:iCs/>
                  <w:lang w:val="es-ES_tradnl"/>
                </w:rPr>
                <w:t>Resoluciones 72, 77, 111 (Rev. Busán, 2014) de la PP</w:t>
              </w:r>
            </w:hyperlink>
            <w:r w:rsidR="00435C80" w:rsidRPr="00D53B1C">
              <w:rPr>
                <w:i/>
                <w:iCs/>
                <w:lang w:val="es-ES_tradnl"/>
              </w:rPr>
              <w:t xml:space="preserve"> y </w:t>
            </w:r>
            <w:hyperlink r:id="rId14" w:history="1">
              <w:r w:rsidR="00435C80" w:rsidRPr="00D53B1C">
                <w:rPr>
                  <w:rStyle w:val="Hyperlink"/>
                  <w:i/>
                  <w:iCs/>
                  <w:lang w:val="es-ES_tradnl"/>
                </w:rPr>
                <w:t>Resolución 31 (Rev. Hyderabad, 2010) de la CMDT</w:t>
              </w:r>
            </w:hyperlink>
          </w:p>
        </w:tc>
      </w:tr>
    </w:tbl>
    <w:p w:rsidR="00A70F2A" w:rsidRPr="00596213" w:rsidRDefault="00A70F2A" w:rsidP="00D4202A">
      <w:pPr>
        <w:pStyle w:val="Heading1"/>
        <w:spacing w:before="360"/>
        <w:rPr>
          <w:sz w:val="24"/>
          <w:szCs w:val="24"/>
          <w:lang w:val="es-ES_tradnl"/>
        </w:rPr>
      </w:pPr>
      <w:r w:rsidRPr="00596213">
        <w:rPr>
          <w:sz w:val="24"/>
          <w:szCs w:val="24"/>
          <w:lang w:val="es-ES_tradnl"/>
        </w:rPr>
        <w:t>1</w:t>
      </w:r>
      <w:r w:rsidRPr="00596213">
        <w:rPr>
          <w:sz w:val="24"/>
          <w:szCs w:val="24"/>
          <w:lang w:val="es-ES_tradnl"/>
        </w:rPr>
        <w:tab/>
        <w:t>Antecedentes</w:t>
      </w:r>
    </w:p>
    <w:p w:rsidR="00A70F2A" w:rsidRPr="00D53B1C" w:rsidRDefault="00A70F2A" w:rsidP="00A70F2A">
      <w:pPr>
        <w:rPr>
          <w:rFonts w:eastAsia="SimSun"/>
          <w:lang w:val="es-ES_tradnl"/>
        </w:rPr>
      </w:pPr>
      <w:r w:rsidRPr="00D53B1C">
        <w:rPr>
          <w:rFonts w:eastAsia="SimSun"/>
          <w:lang w:val="es-ES_tradnl"/>
        </w:rPr>
        <w:t>1.1</w:t>
      </w:r>
      <w:r w:rsidRPr="00D53B1C">
        <w:rPr>
          <w:rFonts w:eastAsia="SimSun"/>
          <w:lang w:val="es-ES_tradnl"/>
        </w:rPr>
        <w:tab/>
        <w:t>En el número 141 del Artículo 22 de la Constitución de la UIT se estipula que habrá una Conferencia Mundial de Desarrollo de las Telecomunicaciones entre dos Conferencias de Plenipotenciarios.</w:t>
      </w:r>
    </w:p>
    <w:p w:rsidR="00A70F2A" w:rsidRPr="00D53B1C" w:rsidRDefault="00A70F2A" w:rsidP="00A70F2A">
      <w:pPr>
        <w:rPr>
          <w:rFonts w:eastAsia="SimSun"/>
          <w:lang w:val="es-ES_tradnl"/>
        </w:rPr>
      </w:pPr>
      <w:r w:rsidRPr="00D53B1C">
        <w:rPr>
          <w:rFonts w:eastAsia="SimSun"/>
          <w:lang w:val="es-ES_tradnl"/>
        </w:rPr>
        <w:t>1.2</w:t>
      </w:r>
      <w:r w:rsidRPr="00D53B1C">
        <w:rPr>
          <w:rFonts w:eastAsia="SimSun"/>
          <w:lang w:val="es-ES_tradnl"/>
        </w:rPr>
        <w:tab/>
        <w:t>En la Resolución 77 (Rev. Busán, 2014) se resuelve celebrar la Conferencia Mundial de Desarrollo de las Telecomunicaciones (CMDT) en el periodo noviembre-diciembre de 2017.</w:t>
      </w:r>
    </w:p>
    <w:p w:rsidR="00A70F2A" w:rsidRPr="00D53B1C" w:rsidRDefault="00A70F2A" w:rsidP="00A70F2A">
      <w:pPr>
        <w:rPr>
          <w:rFonts w:eastAsia="SimSun"/>
          <w:lang w:val="es-ES_tradnl"/>
        </w:rPr>
      </w:pPr>
      <w:r w:rsidRPr="00D53B1C">
        <w:rPr>
          <w:rFonts w:eastAsia="SimSun"/>
          <w:lang w:val="es-ES_tradnl"/>
        </w:rPr>
        <w:t>1.3</w:t>
      </w:r>
      <w:r w:rsidRPr="00D53B1C">
        <w:rPr>
          <w:rFonts w:eastAsia="SimSun"/>
          <w:lang w:val="es-ES_tradnl"/>
        </w:rPr>
        <w:tab/>
        <w:t>En la Resolución 72 (Rev. Busán, 2014) se subraya la importancia de los vínculos entre la planificación estratégica, financiera y operacional como base para medir los avances en el logro de los objetivos y metas de la UIT.</w:t>
      </w:r>
    </w:p>
    <w:p w:rsidR="00A70F2A" w:rsidRPr="00D53B1C" w:rsidRDefault="00A70F2A" w:rsidP="009160D9">
      <w:pPr>
        <w:rPr>
          <w:lang w:val="es-ES_tradnl"/>
        </w:rPr>
      </w:pPr>
      <w:r w:rsidRPr="00D53B1C">
        <w:rPr>
          <w:rFonts w:eastAsia="SimSun"/>
          <w:lang w:val="es-ES_tradnl"/>
        </w:rPr>
        <w:t>1.4</w:t>
      </w:r>
      <w:r w:rsidRPr="00D53B1C">
        <w:rPr>
          <w:rFonts w:eastAsia="SimSun"/>
          <w:lang w:val="es-ES_tradnl"/>
        </w:rPr>
        <w:tab/>
        <w:t>En la Resolución 31 (Rev. Hyderabad, 2010) se expresa</w:t>
      </w:r>
      <w:r w:rsidRPr="00D53B1C">
        <w:rPr>
          <w:lang w:val="es-ES_tradnl"/>
        </w:rPr>
        <w:t xml:space="preserve"> </w:t>
      </w:r>
      <w:r w:rsidRPr="00D53B1C">
        <w:rPr>
          <w:rFonts w:eastAsia="SimSun"/>
          <w:lang w:val="es-ES_tradnl"/>
        </w:rPr>
        <w:t>la firme convicción de que resulta muy beneficioso para los Miembros que los preparativos se coordinen a nivel regional para las seis regiones del Sector de Desarrollo de las telecomunicaciones de la UIT (UIT-D).</w:t>
      </w:r>
    </w:p>
    <w:p w:rsidR="00310236" w:rsidRPr="00596213" w:rsidRDefault="00310236" w:rsidP="00310236">
      <w:pPr>
        <w:pStyle w:val="Heading1"/>
        <w:rPr>
          <w:sz w:val="24"/>
          <w:szCs w:val="24"/>
          <w:lang w:val="es-ES_tradnl"/>
        </w:rPr>
      </w:pPr>
      <w:r w:rsidRPr="00596213">
        <w:rPr>
          <w:sz w:val="24"/>
          <w:szCs w:val="24"/>
          <w:lang w:val="es-ES_tradnl"/>
        </w:rPr>
        <w:lastRenderedPageBreak/>
        <w:t>2</w:t>
      </w:r>
      <w:r w:rsidRPr="00596213">
        <w:rPr>
          <w:sz w:val="24"/>
          <w:szCs w:val="24"/>
          <w:lang w:val="es-ES_tradnl"/>
        </w:rPr>
        <w:tab/>
        <w:t>Lugar, duración, fechas, tema y proyecto de orden del día para la CMDT-17</w:t>
      </w:r>
    </w:p>
    <w:p w:rsidR="001D7E02" w:rsidRPr="00D53B1C" w:rsidRDefault="001D7E02" w:rsidP="00D53B1C">
      <w:pPr>
        <w:rPr>
          <w:rFonts w:eastAsia="SimSun"/>
          <w:lang w:val="es-ES_tradnl"/>
        </w:rPr>
      </w:pPr>
      <w:bookmarkStart w:id="6" w:name="lt_pId026"/>
      <w:r w:rsidRPr="00D53B1C">
        <w:rPr>
          <w:rFonts w:eastAsia="SimSun"/>
          <w:lang w:val="es-ES_tradnl"/>
        </w:rPr>
        <w:t>2.1</w:t>
      </w:r>
      <w:r w:rsidRPr="00D53B1C">
        <w:rPr>
          <w:rFonts w:eastAsia="SimSun"/>
          <w:lang w:val="es-ES_tradnl"/>
        </w:rPr>
        <w:tab/>
      </w:r>
      <w:r w:rsidR="00D53B1C" w:rsidRPr="00D53B1C">
        <w:rPr>
          <w:rFonts w:eastAsia="SimSun"/>
          <w:lang w:val="es-ES_tradnl"/>
        </w:rPr>
        <w:t xml:space="preserve">En su reunión de 2016, el Consejo de la UIT agradeció y tomó nota de la invitación oficial del Gobierno de Argentina para acoger la CMDT-17 en Buenos Aires del 9 al 20 de </w:t>
      </w:r>
      <w:r w:rsidR="00325E7C">
        <w:rPr>
          <w:rFonts w:eastAsia="SimSun"/>
          <w:lang w:val="es-ES_tradnl"/>
        </w:rPr>
        <w:t>octubre de </w:t>
      </w:r>
      <w:r w:rsidR="00D53B1C" w:rsidRPr="00D53B1C">
        <w:rPr>
          <w:rFonts w:eastAsia="SimSun"/>
          <w:lang w:val="es-ES_tradnl"/>
        </w:rPr>
        <w:t>2017, y aprobó el lugar preciso y las fechas exactas.</w:t>
      </w:r>
      <w:bookmarkEnd w:id="6"/>
    </w:p>
    <w:p w:rsidR="0045076A" w:rsidRPr="00D53B1C" w:rsidRDefault="00F57F24" w:rsidP="00E95B1E">
      <w:pPr>
        <w:rPr>
          <w:rFonts w:eastAsia="SimSun"/>
          <w:lang w:val="es-ES_tradnl"/>
        </w:rPr>
      </w:pPr>
      <w:r w:rsidRPr="00D53B1C">
        <w:rPr>
          <w:rFonts w:eastAsia="SimSun"/>
          <w:lang w:val="es-ES_tradnl"/>
        </w:rPr>
        <w:t>2.2</w:t>
      </w:r>
      <w:r w:rsidRPr="00D53B1C">
        <w:rPr>
          <w:rFonts w:eastAsia="SimSun"/>
          <w:lang w:val="es-ES_tradnl"/>
        </w:rPr>
        <w:tab/>
      </w:r>
      <w:bookmarkStart w:id="7" w:name="lt_pId027"/>
      <w:r w:rsidR="00D53B1C" w:rsidRPr="00D53B1C">
        <w:rPr>
          <w:rFonts w:eastAsia="SimSun"/>
          <w:lang w:val="es-ES_tradnl"/>
        </w:rPr>
        <w:t xml:space="preserve">Con arreglo a lo dispuesto en el número 213 del </w:t>
      </w:r>
      <w:r w:rsidR="00D53B1C">
        <w:rPr>
          <w:rFonts w:eastAsia="SimSun"/>
          <w:lang w:val="es-ES_tradnl"/>
        </w:rPr>
        <w:t>Convenio de la UIT, el Consejo también aprobó el proyecto de orden del día para la CMDT-17 tal y como figuraba en el Documento</w:t>
      </w:r>
      <w:r w:rsidR="00E56AD0">
        <w:rPr>
          <w:rFonts w:eastAsia="SimSun"/>
          <w:lang w:val="es-ES_tradnl"/>
        </w:rPr>
        <w:t> </w:t>
      </w:r>
      <w:r w:rsidRPr="00D53B1C">
        <w:rPr>
          <w:szCs w:val="24"/>
          <w:lang w:val="es-ES_tradnl"/>
        </w:rPr>
        <w:t>C16/56(Rev.1).</w:t>
      </w:r>
      <w:bookmarkEnd w:id="7"/>
      <w:r w:rsidRPr="00D53B1C">
        <w:rPr>
          <w:szCs w:val="24"/>
          <w:lang w:val="es-ES_tradnl"/>
        </w:rPr>
        <w:t xml:space="preserve"> </w:t>
      </w:r>
      <w:r w:rsidR="00D53B1C">
        <w:rPr>
          <w:szCs w:val="24"/>
          <w:lang w:val="es-ES_tradnl"/>
        </w:rPr>
        <w:t>El Consejo acogió con agrado</w:t>
      </w:r>
      <w:r w:rsidRPr="00D53B1C">
        <w:rPr>
          <w:szCs w:val="24"/>
          <w:lang w:val="es-ES_tradnl"/>
        </w:rPr>
        <w:t xml:space="preserve"> "</w:t>
      </w:r>
      <w:r w:rsidR="00D53B1C">
        <w:rPr>
          <w:rFonts w:eastAsia="SimSun"/>
          <w:lang w:val="es-ES_tradnl"/>
        </w:rPr>
        <w:t>L</w:t>
      </w:r>
      <w:r w:rsidR="00117942" w:rsidRPr="00D53B1C">
        <w:rPr>
          <w:rFonts w:eastAsia="SimSun"/>
          <w:lang w:val="es-ES_tradnl"/>
        </w:rPr>
        <w:t>as TIC para los Objetivos de Desarrollo Sostenible</w:t>
      </w:r>
      <w:r w:rsidR="00E95B1E">
        <w:rPr>
          <w:rFonts w:eastAsia="SimSun"/>
          <w:lang w:val="es-ES_tradnl"/>
        </w:rPr>
        <w:t>"</w:t>
      </w:r>
      <w:r w:rsidR="00117942" w:rsidRPr="00D53B1C">
        <w:rPr>
          <w:rFonts w:eastAsia="SimSun"/>
          <w:lang w:val="es-ES_tradnl"/>
        </w:rPr>
        <w:t xml:space="preserve"> (</w:t>
      </w:r>
      <w:proofErr w:type="spellStart"/>
      <w:r w:rsidR="00AE264B" w:rsidRPr="00E95B1E">
        <w:rPr>
          <w:szCs w:val="24"/>
          <w:lang w:val="es-ES_tradnl"/>
        </w:rPr>
        <w:t>ICT</w:t>
      </w:r>
      <w:proofErr w:type="spellEnd"/>
      <w:r w:rsidR="00AE264B" w:rsidRPr="00E95B1E">
        <w:rPr>
          <w:rFonts w:ascii="Wingdings" w:hAnsi="Wingdings"/>
          <w:szCs w:val="24"/>
        </w:rPr>
        <w:sym w:font="Wingdings" w:char="F084"/>
      </w:r>
      <w:proofErr w:type="spellStart"/>
      <w:r w:rsidR="00AE264B" w:rsidRPr="00E95B1E">
        <w:rPr>
          <w:szCs w:val="24"/>
          <w:lang w:val="es-ES_tradnl"/>
        </w:rPr>
        <w:t>SDGs</w:t>
      </w:r>
      <w:bookmarkStart w:id="8" w:name="_GoBack"/>
      <w:bookmarkEnd w:id="8"/>
      <w:proofErr w:type="spellEnd"/>
      <w:r w:rsidR="00E95B1E">
        <w:rPr>
          <w:rFonts w:eastAsia="SimSun"/>
          <w:lang w:val="es-ES_tradnl"/>
        </w:rPr>
        <w:t>)</w:t>
      </w:r>
      <w:r w:rsidR="00117942" w:rsidRPr="00D53B1C">
        <w:rPr>
          <w:rFonts w:eastAsia="SimSun"/>
          <w:lang w:val="es-ES_tradnl"/>
        </w:rPr>
        <w:t xml:space="preserve"> como</w:t>
      </w:r>
      <w:r w:rsidR="005C2EC1" w:rsidRPr="00D53B1C">
        <w:rPr>
          <w:rFonts w:eastAsia="SimSun"/>
          <w:lang w:val="es-ES_tradnl"/>
        </w:rPr>
        <w:t xml:space="preserve"> tema propuesto para la CMDT-17</w:t>
      </w:r>
      <w:r w:rsidR="00D53B1C">
        <w:rPr>
          <w:rFonts w:eastAsia="SimSun"/>
          <w:lang w:val="es-ES_tradnl"/>
        </w:rPr>
        <w:t>, indicando que este tema iba a enviar</w:t>
      </w:r>
      <w:r w:rsidR="005C2EC1" w:rsidRPr="00D53B1C">
        <w:rPr>
          <w:rFonts w:eastAsia="SimSun"/>
          <w:lang w:val="es-ES_tradnl"/>
        </w:rPr>
        <w:t xml:space="preserve"> un mensaje al mundo exterior respecto de la adaptación de la UIT a la Agenda de Desarrollo Sostenible para 2030, acordada por los Jefes de Estado y de Gobierno en la Asamblea General de las Naciones Unidas.</w:t>
      </w:r>
      <w:bookmarkStart w:id="9" w:name="lt_pId029"/>
      <w:r w:rsidR="001F6077">
        <w:rPr>
          <w:rFonts w:eastAsia="SimSun"/>
          <w:lang w:val="es-ES_tradnl"/>
        </w:rPr>
        <w:t xml:space="preserve"> </w:t>
      </w:r>
    </w:p>
    <w:p w:rsidR="0045076A" w:rsidRPr="00D53B1C" w:rsidRDefault="0045076A" w:rsidP="008F6EF3">
      <w:pPr>
        <w:rPr>
          <w:rFonts w:eastAsia="SimSun"/>
          <w:lang w:val="es-ES_tradnl"/>
        </w:rPr>
      </w:pPr>
      <w:r w:rsidRPr="00D53B1C">
        <w:rPr>
          <w:rFonts w:eastAsia="SimSun"/>
          <w:lang w:val="es-ES_tradnl"/>
        </w:rPr>
        <w:t>2.3</w:t>
      </w:r>
      <w:r w:rsidRPr="00D53B1C">
        <w:rPr>
          <w:rFonts w:eastAsia="SimSun"/>
          <w:lang w:val="es-ES_tradnl"/>
        </w:rPr>
        <w:tab/>
      </w:r>
      <w:r w:rsidR="00D53B1C">
        <w:rPr>
          <w:rFonts w:eastAsia="SimSun"/>
          <w:lang w:val="es-ES_tradnl"/>
        </w:rPr>
        <w:t xml:space="preserve">A través de la </w:t>
      </w:r>
      <w:hyperlink r:id="rId15" w:history="1">
        <w:r w:rsidRPr="00D53B1C">
          <w:rPr>
            <w:rStyle w:val="Hyperlink"/>
            <w:szCs w:val="24"/>
            <w:lang w:val="es-ES_tradnl"/>
          </w:rPr>
          <w:t>C</w:t>
        </w:r>
        <w:r w:rsidR="00D53B1C">
          <w:rPr>
            <w:rStyle w:val="Hyperlink"/>
            <w:szCs w:val="24"/>
            <w:lang w:val="es-ES_tradnl"/>
          </w:rPr>
          <w:t>arta C</w:t>
        </w:r>
        <w:r w:rsidRPr="00D53B1C">
          <w:rPr>
            <w:rStyle w:val="Hyperlink"/>
            <w:szCs w:val="24"/>
            <w:lang w:val="es-ES_tradnl"/>
          </w:rPr>
          <w:t xml:space="preserve">ircular </w:t>
        </w:r>
        <w:r w:rsidR="00D53B1C">
          <w:rPr>
            <w:rStyle w:val="Hyperlink"/>
            <w:szCs w:val="24"/>
            <w:lang w:val="es-ES_tradnl"/>
          </w:rPr>
          <w:t>núm.</w:t>
        </w:r>
        <w:r w:rsidRPr="00D53B1C">
          <w:rPr>
            <w:rStyle w:val="Hyperlink"/>
            <w:szCs w:val="24"/>
            <w:lang w:val="es-ES_tradnl"/>
          </w:rPr>
          <w:t xml:space="preserve"> 16/23</w:t>
        </w:r>
      </w:hyperlink>
      <w:r w:rsidRPr="00D53B1C">
        <w:rPr>
          <w:szCs w:val="24"/>
          <w:lang w:val="es-ES_tradnl"/>
        </w:rPr>
        <w:t xml:space="preserve"> </w:t>
      </w:r>
      <w:r w:rsidR="00D53B1C">
        <w:rPr>
          <w:szCs w:val="24"/>
          <w:lang w:val="es-ES_tradnl"/>
        </w:rPr>
        <w:t>de fecha</w:t>
      </w:r>
      <w:r w:rsidRPr="00D53B1C">
        <w:rPr>
          <w:szCs w:val="24"/>
          <w:lang w:val="es-ES_tradnl"/>
        </w:rPr>
        <w:t xml:space="preserve"> 26 </w:t>
      </w:r>
      <w:r w:rsidR="00D53B1C">
        <w:rPr>
          <w:szCs w:val="24"/>
          <w:lang w:val="es-ES_tradnl"/>
        </w:rPr>
        <w:t>de mayo de</w:t>
      </w:r>
      <w:r w:rsidRPr="00D53B1C">
        <w:rPr>
          <w:szCs w:val="24"/>
          <w:lang w:val="es-ES_tradnl"/>
        </w:rPr>
        <w:t xml:space="preserve"> 2016, </w:t>
      </w:r>
      <w:r w:rsidR="00D53B1C">
        <w:rPr>
          <w:szCs w:val="24"/>
          <w:lang w:val="es-ES_tradnl"/>
        </w:rPr>
        <w:t xml:space="preserve">se invitó a los Estados Miembros de la UIT a confirmar, por escrito, su acuerdo respecto del </w:t>
      </w:r>
      <w:r w:rsidR="00D53B1C" w:rsidRPr="00D53B1C">
        <w:rPr>
          <w:szCs w:val="24"/>
          <w:lang w:val="es-ES_tradnl"/>
        </w:rPr>
        <w:t>lugar preciso</w:t>
      </w:r>
      <w:r w:rsidR="00D53B1C">
        <w:rPr>
          <w:szCs w:val="24"/>
          <w:lang w:val="es-ES_tradnl"/>
        </w:rPr>
        <w:t>,</w:t>
      </w:r>
      <w:r w:rsidR="00D53B1C" w:rsidRPr="00D53B1C">
        <w:rPr>
          <w:szCs w:val="24"/>
          <w:lang w:val="es-ES_tradnl"/>
        </w:rPr>
        <w:t xml:space="preserve"> las fechas exactas </w:t>
      </w:r>
      <w:r w:rsidR="00D53B1C">
        <w:rPr>
          <w:szCs w:val="24"/>
          <w:lang w:val="es-ES_tradnl"/>
        </w:rPr>
        <w:t>y el proyecto de orden del día de la CMDT-17 hasta del 27 de junio de 2016.</w:t>
      </w:r>
      <w:bookmarkEnd w:id="9"/>
    </w:p>
    <w:p w:rsidR="0045076A" w:rsidRPr="00D53B1C" w:rsidRDefault="0045076A" w:rsidP="008F6EF3">
      <w:pPr>
        <w:rPr>
          <w:szCs w:val="24"/>
          <w:lang w:val="es-ES_tradnl"/>
        </w:rPr>
      </w:pPr>
      <w:bookmarkStart w:id="10" w:name="lt_pId030"/>
      <w:r w:rsidRPr="00D53B1C">
        <w:rPr>
          <w:rFonts w:cstheme="minorHAnsi"/>
          <w:szCs w:val="24"/>
          <w:lang w:val="es-ES_tradnl"/>
        </w:rPr>
        <w:t>2.4</w:t>
      </w:r>
      <w:r w:rsidRPr="00D53B1C">
        <w:rPr>
          <w:rFonts w:cstheme="minorHAnsi"/>
          <w:szCs w:val="24"/>
          <w:lang w:val="es-ES_tradnl"/>
        </w:rPr>
        <w:tab/>
      </w:r>
      <w:r w:rsidR="00D53B1C">
        <w:rPr>
          <w:rFonts w:cstheme="minorHAnsi"/>
          <w:szCs w:val="24"/>
          <w:lang w:val="es-ES_tradnl"/>
        </w:rPr>
        <w:t>A través de la</w:t>
      </w:r>
      <w:r w:rsidRPr="00D53B1C">
        <w:rPr>
          <w:rFonts w:cstheme="minorHAnsi"/>
          <w:szCs w:val="24"/>
          <w:lang w:val="es-ES_tradnl"/>
        </w:rPr>
        <w:t xml:space="preserve"> </w:t>
      </w:r>
      <w:hyperlink r:id="rId16" w:history="1">
        <w:r w:rsidRPr="00D53B1C">
          <w:rPr>
            <w:rStyle w:val="Hyperlink"/>
            <w:rFonts w:cstheme="minorHAnsi"/>
            <w:szCs w:val="24"/>
            <w:lang w:val="es-ES_tradnl"/>
          </w:rPr>
          <w:t>C</w:t>
        </w:r>
        <w:r w:rsidR="00D53B1C">
          <w:rPr>
            <w:rStyle w:val="Hyperlink"/>
            <w:rFonts w:cstheme="minorHAnsi"/>
            <w:szCs w:val="24"/>
            <w:lang w:val="es-ES_tradnl"/>
          </w:rPr>
          <w:t>arta C</w:t>
        </w:r>
        <w:r w:rsidRPr="00D53B1C">
          <w:rPr>
            <w:rStyle w:val="Hyperlink"/>
            <w:rFonts w:cstheme="minorHAnsi"/>
            <w:szCs w:val="24"/>
            <w:lang w:val="es-ES_tradnl"/>
          </w:rPr>
          <w:t xml:space="preserve">ircular </w:t>
        </w:r>
        <w:r w:rsidR="00D53B1C">
          <w:rPr>
            <w:rStyle w:val="Hyperlink"/>
            <w:rFonts w:cstheme="minorHAnsi"/>
            <w:szCs w:val="24"/>
            <w:lang w:val="es-ES_tradnl"/>
          </w:rPr>
          <w:t>núm</w:t>
        </w:r>
        <w:r w:rsidRPr="00D53B1C">
          <w:rPr>
            <w:rStyle w:val="Hyperlink"/>
            <w:rFonts w:cstheme="minorHAnsi"/>
            <w:szCs w:val="24"/>
            <w:lang w:val="es-ES_tradnl"/>
          </w:rPr>
          <w:t xml:space="preserve">. </w:t>
        </w:r>
        <w:r w:rsidRPr="00D53B1C">
          <w:rPr>
            <w:rStyle w:val="Hyperlink"/>
            <w:rFonts w:cs="Calibri"/>
            <w:szCs w:val="24"/>
            <w:lang w:val="es-ES_tradnl"/>
          </w:rPr>
          <w:t>16/29</w:t>
        </w:r>
      </w:hyperlink>
      <w:r w:rsidRPr="00D53B1C">
        <w:rPr>
          <w:rFonts w:cs="Calibri"/>
          <w:szCs w:val="24"/>
          <w:lang w:val="es-ES_tradnl"/>
        </w:rPr>
        <w:t xml:space="preserve"> </w:t>
      </w:r>
      <w:r w:rsidR="00D53B1C">
        <w:rPr>
          <w:rFonts w:cs="Calibri"/>
          <w:szCs w:val="24"/>
          <w:lang w:val="es-ES_tradnl"/>
        </w:rPr>
        <w:t>de fecha 30 de junio de 2016, se informó a los Estados Miembros que la consulta llevada a cabo según se describe más arriba había recibido el acuerdo de la mayoría necesaria de Estados Miembros de la UIT, de acuerdo con lo dispuesto en los números 42 y 213 del Convenio de la UIT.</w:t>
      </w:r>
      <w:bookmarkEnd w:id="10"/>
    </w:p>
    <w:p w:rsidR="001D7E02" w:rsidRPr="00D53B1C" w:rsidRDefault="0045076A" w:rsidP="004C5FAD">
      <w:pPr>
        <w:rPr>
          <w:rFonts w:eastAsia="SimSun"/>
          <w:lang w:val="es-ES_tradnl"/>
        </w:rPr>
      </w:pPr>
      <w:bookmarkStart w:id="11" w:name="lt_pId031"/>
      <w:r w:rsidRPr="00D53B1C">
        <w:rPr>
          <w:rFonts w:cstheme="minorHAnsi"/>
          <w:szCs w:val="24"/>
          <w:lang w:val="es-ES_tradnl"/>
        </w:rPr>
        <w:t>2.5</w:t>
      </w:r>
      <w:r w:rsidRPr="00D53B1C">
        <w:rPr>
          <w:rFonts w:cstheme="minorHAnsi"/>
          <w:szCs w:val="24"/>
          <w:lang w:val="es-ES_tradnl"/>
        </w:rPr>
        <w:tab/>
      </w:r>
      <w:r w:rsidR="008F6EF3">
        <w:rPr>
          <w:rFonts w:cstheme="minorHAnsi"/>
          <w:szCs w:val="24"/>
          <w:lang w:val="es-ES_tradnl"/>
        </w:rPr>
        <w:t>Mediante la</w:t>
      </w:r>
      <w:r w:rsidRPr="00D53B1C">
        <w:rPr>
          <w:rFonts w:cstheme="minorHAnsi"/>
          <w:szCs w:val="24"/>
          <w:lang w:val="es-ES_tradnl"/>
        </w:rPr>
        <w:t xml:space="preserve"> </w:t>
      </w:r>
      <w:hyperlink r:id="rId17" w:history="1">
        <w:r w:rsidRPr="00D53B1C">
          <w:rPr>
            <w:rStyle w:val="Hyperlink"/>
            <w:rFonts w:cstheme="minorHAnsi"/>
            <w:szCs w:val="24"/>
            <w:lang w:val="es-ES_tradnl"/>
          </w:rPr>
          <w:t>C</w:t>
        </w:r>
        <w:r w:rsidR="008F6EF3">
          <w:rPr>
            <w:rStyle w:val="Hyperlink"/>
            <w:rFonts w:cstheme="minorHAnsi"/>
            <w:szCs w:val="24"/>
            <w:lang w:val="es-ES_tradnl"/>
          </w:rPr>
          <w:t>arta C</w:t>
        </w:r>
        <w:r w:rsidRPr="00D53B1C">
          <w:rPr>
            <w:rStyle w:val="Hyperlink"/>
            <w:rFonts w:cstheme="minorHAnsi"/>
            <w:szCs w:val="24"/>
            <w:lang w:val="es-ES_tradnl"/>
          </w:rPr>
          <w:t xml:space="preserve">ircular </w:t>
        </w:r>
        <w:r w:rsidR="008F6EF3">
          <w:rPr>
            <w:rStyle w:val="Hyperlink"/>
            <w:rFonts w:cstheme="minorHAnsi"/>
            <w:szCs w:val="24"/>
            <w:lang w:val="es-ES_tradnl"/>
          </w:rPr>
          <w:t>núm</w:t>
        </w:r>
        <w:r w:rsidRPr="00D53B1C">
          <w:rPr>
            <w:rStyle w:val="Hyperlink"/>
            <w:rFonts w:cstheme="minorHAnsi"/>
            <w:szCs w:val="24"/>
            <w:lang w:val="es-ES_tradnl"/>
          </w:rPr>
          <w:t>.</w:t>
        </w:r>
        <w:r w:rsidR="008F6EF3">
          <w:rPr>
            <w:rStyle w:val="Hyperlink"/>
            <w:rFonts w:cstheme="minorHAnsi"/>
            <w:szCs w:val="24"/>
            <w:lang w:val="es-ES_tradnl"/>
          </w:rPr>
          <w:t xml:space="preserve"> </w:t>
        </w:r>
        <w:r w:rsidRPr="00D53B1C">
          <w:rPr>
            <w:rStyle w:val="Hyperlink"/>
            <w:rFonts w:cs="Calibri"/>
            <w:szCs w:val="24"/>
            <w:lang w:val="es-ES_tradnl"/>
          </w:rPr>
          <w:t>16/37-</w:t>
        </w:r>
        <w:r w:rsidRPr="00D53B1C">
          <w:rPr>
            <w:rStyle w:val="Hyperlink"/>
            <w:szCs w:val="24"/>
            <w:lang w:val="es-ES_tradnl"/>
          </w:rPr>
          <w:t>SG/BDT</w:t>
        </w:r>
      </w:hyperlink>
      <w:r w:rsidRPr="00D53B1C">
        <w:rPr>
          <w:szCs w:val="24"/>
          <w:lang w:val="es-ES_tradnl"/>
        </w:rPr>
        <w:t xml:space="preserve">, </w:t>
      </w:r>
      <w:r w:rsidR="008F6EF3">
        <w:rPr>
          <w:szCs w:val="24"/>
          <w:lang w:val="es-ES_tradnl"/>
        </w:rPr>
        <w:t xml:space="preserve">de fecha 6 de julio de 2016, se invitó a los Estados Miembros de la UIT a enviar sus delegaciones a la CMDT-17 y se informó que esta invitación se remitía también a los Miembros de Sector del UIT-D y a las </w:t>
      </w:r>
      <w:r w:rsidR="004C5FAD">
        <w:rPr>
          <w:szCs w:val="24"/>
          <w:lang w:val="es-ES_tradnl"/>
        </w:rPr>
        <w:t>Instituciones A</w:t>
      </w:r>
      <w:r w:rsidR="008F6EF3">
        <w:rPr>
          <w:szCs w:val="24"/>
          <w:lang w:val="es-ES_tradnl"/>
        </w:rPr>
        <w:t>cadémicas de la UIT, así como a todas las organizaciones, instituciones y entidades interesadas.</w:t>
      </w:r>
      <w:bookmarkEnd w:id="11"/>
    </w:p>
    <w:p w:rsidR="005935BC" w:rsidRPr="00596213" w:rsidRDefault="005935BC" w:rsidP="005935BC">
      <w:pPr>
        <w:pStyle w:val="Heading1"/>
        <w:rPr>
          <w:sz w:val="24"/>
          <w:szCs w:val="24"/>
          <w:lang w:val="es-ES_tradnl"/>
        </w:rPr>
      </w:pPr>
      <w:r w:rsidRPr="00596213">
        <w:rPr>
          <w:sz w:val="24"/>
          <w:szCs w:val="24"/>
          <w:lang w:val="es-ES_tradnl"/>
        </w:rPr>
        <w:t>3</w:t>
      </w:r>
      <w:r w:rsidRPr="00596213">
        <w:rPr>
          <w:sz w:val="24"/>
          <w:szCs w:val="24"/>
          <w:lang w:val="es-ES_tradnl"/>
        </w:rPr>
        <w:tab/>
        <w:t>Reuniones Preparatorias Regionales</w:t>
      </w:r>
    </w:p>
    <w:p w:rsidR="008D55BB" w:rsidRPr="00D53B1C" w:rsidRDefault="00CE6988" w:rsidP="008F6EF3">
      <w:pPr>
        <w:rPr>
          <w:szCs w:val="24"/>
          <w:lang w:val="es-ES_tradnl"/>
        </w:rPr>
      </w:pPr>
      <w:bookmarkStart w:id="12" w:name="lt_pId034"/>
      <w:r w:rsidRPr="00D53B1C">
        <w:rPr>
          <w:szCs w:val="24"/>
          <w:lang w:val="es-ES_tradnl"/>
        </w:rPr>
        <w:t>3.1</w:t>
      </w:r>
      <w:r w:rsidRPr="00D53B1C">
        <w:rPr>
          <w:szCs w:val="24"/>
          <w:lang w:val="es-ES_tradnl"/>
        </w:rPr>
        <w:tab/>
      </w:r>
      <w:r w:rsidR="008F6EF3">
        <w:rPr>
          <w:szCs w:val="24"/>
          <w:lang w:val="es-ES_tradnl"/>
        </w:rPr>
        <w:t xml:space="preserve">De acuerdo con lo dispuesto en la </w:t>
      </w:r>
      <w:r w:rsidR="008F6EF3" w:rsidRPr="00D53B1C">
        <w:rPr>
          <w:szCs w:val="24"/>
          <w:lang w:val="es-ES_tradnl"/>
        </w:rPr>
        <w:t>Resolución</w:t>
      </w:r>
      <w:r w:rsidR="008D55BB" w:rsidRPr="00D53B1C">
        <w:rPr>
          <w:szCs w:val="24"/>
          <w:lang w:val="es-ES_tradnl"/>
        </w:rPr>
        <w:t xml:space="preserve"> 31 (Rev. Hyderabad, 2010)</w:t>
      </w:r>
      <w:r w:rsidR="008F6EF3">
        <w:rPr>
          <w:szCs w:val="24"/>
          <w:lang w:val="es-ES_tradnl"/>
        </w:rPr>
        <w:t xml:space="preserve"> de la CMDT</w:t>
      </w:r>
      <w:r w:rsidR="008D55BB" w:rsidRPr="00D53B1C">
        <w:rPr>
          <w:szCs w:val="24"/>
          <w:lang w:val="es-ES_tradnl"/>
        </w:rPr>
        <w:t xml:space="preserve">, </w:t>
      </w:r>
      <w:r w:rsidR="008F6EF3">
        <w:rPr>
          <w:szCs w:val="24"/>
          <w:lang w:val="es-ES_tradnl"/>
        </w:rPr>
        <w:t>la Oficina de Desarrollo de las Telecomunicaciones (BDT) organizó una Reunión Preparatoria Regional (RPR) en cada Región.</w:t>
      </w:r>
      <w:bookmarkEnd w:id="12"/>
    </w:p>
    <w:p w:rsidR="008D55BB" w:rsidRPr="00D53B1C" w:rsidRDefault="00CE6988" w:rsidP="008F6EF3">
      <w:pPr>
        <w:rPr>
          <w:szCs w:val="24"/>
          <w:lang w:val="es-ES_tradnl"/>
        </w:rPr>
      </w:pPr>
      <w:bookmarkStart w:id="13" w:name="lt_pId035"/>
      <w:r w:rsidRPr="00D53B1C">
        <w:rPr>
          <w:szCs w:val="24"/>
          <w:lang w:val="es-ES_tradnl"/>
        </w:rPr>
        <w:t>3.2</w:t>
      </w:r>
      <w:r w:rsidRPr="00D53B1C">
        <w:rPr>
          <w:szCs w:val="24"/>
          <w:lang w:val="es-ES_tradnl"/>
        </w:rPr>
        <w:tab/>
      </w:r>
      <w:r w:rsidR="008F6EF3">
        <w:rPr>
          <w:szCs w:val="24"/>
          <w:lang w:val="es-ES_tradnl"/>
        </w:rPr>
        <w:t>Las seis RPR se celebraron con el objetivo de identificar prioridades a nivel regional para el desarrollo de las tecnologías de la información y la comunicación (TIC).</w:t>
      </w:r>
      <w:bookmarkEnd w:id="13"/>
    </w:p>
    <w:p w:rsidR="00E32220" w:rsidRPr="00D53B1C" w:rsidRDefault="00C54B89" w:rsidP="008F6EF3">
      <w:pPr>
        <w:rPr>
          <w:rFonts w:cstheme="minorHAnsi"/>
          <w:szCs w:val="24"/>
          <w:lang w:val="es-ES_tradnl"/>
        </w:rPr>
      </w:pPr>
      <w:bookmarkStart w:id="14" w:name="lt_pId036"/>
      <w:r w:rsidRPr="00D53B1C">
        <w:rPr>
          <w:rFonts w:cstheme="minorHAnsi"/>
          <w:szCs w:val="24"/>
          <w:lang w:val="es-ES_tradnl"/>
        </w:rPr>
        <w:t>3.3</w:t>
      </w:r>
      <w:r w:rsidRPr="00D53B1C">
        <w:rPr>
          <w:rFonts w:cstheme="minorHAnsi"/>
          <w:szCs w:val="24"/>
          <w:lang w:val="es-ES_tradnl"/>
        </w:rPr>
        <w:tab/>
      </w:r>
      <w:r w:rsidR="008F6EF3">
        <w:rPr>
          <w:rFonts w:cstheme="minorHAnsi"/>
          <w:szCs w:val="24"/>
          <w:lang w:val="es-ES_tradnl"/>
        </w:rPr>
        <w:t>Todas las RPR</w:t>
      </w:r>
      <w:r w:rsidR="007073ED" w:rsidRPr="00D53B1C">
        <w:rPr>
          <w:rFonts w:cstheme="minorHAnsi"/>
          <w:szCs w:val="24"/>
          <w:lang w:val="es-ES_tradnl"/>
        </w:rPr>
        <w:t xml:space="preserve"> </w:t>
      </w:r>
      <w:r w:rsidR="00D03205" w:rsidRPr="00D53B1C">
        <w:rPr>
          <w:rFonts w:cstheme="minorHAnsi"/>
          <w:szCs w:val="24"/>
          <w:lang w:val="es-ES_tradnl"/>
        </w:rPr>
        <w:t>examin</w:t>
      </w:r>
      <w:r w:rsidR="008F6EF3">
        <w:rPr>
          <w:rFonts w:cstheme="minorHAnsi"/>
          <w:szCs w:val="24"/>
          <w:lang w:val="es-ES_tradnl"/>
        </w:rPr>
        <w:t>aron</w:t>
      </w:r>
      <w:r w:rsidR="00D03205" w:rsidRPr="00D53B1C">
        <w:rPr>
          <w:rFonts w:cstheme="minorHAnsi"/>
          <w:szCs w:val="24"/>
          <w:lang w:val="es-ES_tradnl"/>
        </w:rPr>
        <w:t xml:space="preserve"> detalladamente los resultados de la aplicación del Plan de Acción de </w:t>
      </w:r>
      <w:r w:rsidR="0012619F" w:rsidRPr="00D53B1C">
        <w:rPr>
          <w:rFonts w:cstheme="minorHAnsi"/>
          <w:szCs w:val="24"/>
          <w:lang w:val="es-ES_tradnl"/>
        </w:rPr>
        <w:t>Dubái desde 2014</w:t>
      </w:r>
      <w:r w:rsidR="00D03205" w:rsidRPr="00D53B1C">
        <w:rPr>
          <w:rFonts w:cstheme="minorHAnsi"/>
          <w:szCs w:val="24"/>
          <w:lang w:val="es-ES_tradnl"/>
        </w:rPr>
        <w:t>, centrando principalmente las discusiones en los asuntos prioritarios, los temas y cuestiones y las iniciativas regionales que deb</w:t>
      </w:r>
      <w:r w:rsidR="008F6EF3">
        <w:rPr>
          <w:rFonts w:cstheme="minorHAnsi"/>
          <w:szCs w:val="24"/>
          <w:lang w:val="es-ES_tradnl"/>
        </w:rPr>
        <w:t>ía</w:t>
      </w:r>
      <w:r w:rsidR="00D03205" w:rsidRPr="00D53B1C">
        <w:rPr>
          <w:rFonts w:cstheme="minorHAnsi"/>
          <w:szCs w:val="24"/>
          <w:lang w:val="es-ES_tradnl"/>
        </w:rPr>
        <w:t>n incluirse en el Plan de Acción</w:t>
      </w:r>
      <w:r w:rsidR="007073ED" w:rsidRPr="00D53B1C">
        <w:rPr>
          <w:rFonts w:cstheme="minorHAnsi"/>
          <w:szCs w:val="24"/>
          <w:lang w:val="es-ES_tradnl"/>
        </w:rPr>
        <w:t xml:space="preserve"> </w:t>
      </w:r>
      <w:r w:rsidR="008F6EF3">
        <w:rPr>
          <w:rFonts w:cstheme="minorHAnsi"/>
          <w:szCs w:val="24"/>
          <w:lang w:val="es-ES_tradnl"/>
        </w:rPr>
        <w:t>de</w:t>
      </w:r>
      <w:r w:rsidR="007073ED" w:rsidRPr="00D53B1C">
        <w:rPr>
          <w:rFonts w:cstheme="minorHAnsi"/>
          <w:szCs w:val="24"/>
          <w:lang w:val="es-ES_tradnl"/>
        </w:rPr>
        <w:t xml:space="preserve"> Buenos Aires (BaAP).</w:t>
      </w:r>
      <w:bookmarkEnd w:id="14"/>
    </w:p>
    <w:p w:rsidR="004A135B" w:rsidRPr="00D53B1C" w:rsidRDefault="004A135B" w:rsidP="008F6EF3">
      <w:pPr>
        <w:rPr>
          <w:szCs w:val="24"/>
          <w:lang w:val="es-ES_tradnl"/>
        </w:rPr>
      </w:pPr>
      <w:bookmarkStart w:id="15" w:name="lt_pId037"/>
      <w:r w:rsidRPr="00D53B1C">
        <w:rPr>
          <w:szCs w:val="24"/>
          <w:lang w:val="es-ES_tradnl"/>
        </w:rPr>
        <w:t>3.4</w:t>
      </w:r>
      <w:r w:rsidRPr="00D53B1C">
        <w:rPr>
          <w:szCs w:val="24"/>
          <w:lang w:val="es-ES_tradnl"/>
        </w:rPr>
        <w:tab/>
      </w:r>
      <w:r w:rsidR="008F6EF3">
        <w:rPr>
          <w:szCs w:val="24"/>
          <w:lang w:val="es-ES_tradnl"/>
        </w:rPr>
        <w:t>Gracias a los preparativos iniciados anticipadamente por la BDT y el GADT en 2015 y 2016, se presentaron los siguientes documentos a las seis RPR, para ulteriores contribuciones:</w:t>
      </w:r>
      <w:bookmarkEnd w:id="15"/>
    </w:p>
    <w:p w:rsidR="00F17846" w:rsidRPr="00D53B1C" w:rsidRDefault="00F17846" w:rsidP="00F17846">
      <w:pPr>
        <w:pStyle w:val="enumlev1"/>
        <w:rPr>
          <w:lang w:val="es-ES_tradnl"/>
        </w:rPr>
      </w:pPr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Anteproyecto de Contribución del UIT-D al Plan Estratégico de la UIT para 2020-2023.</w:t>
      </w:r>
    </w:p>
    <w:p w:rsidR="00F17846" w:rsidRPr="00D53B1C" w:rsidRDefault="00F17846" w:rsidP="00F17846">
      <w:pPr>
        <w:pStyle w:val="enumlev1"/>
        <w:rPr>
          <w:lang w:val="es-ES_tradnl"/>
        </w:rPr>
      </w:pPr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Anteproyecto de Plan de Acción del UIT-D.</w:t>
      </w:r>
    </w:p>
    <w:p w:rsidR="00F17846" w:rsidRPr="00D53B1C" w:rsidRDefault="00F17846" w:rsidP="00F17846">
      <w:pPr>
        <w:pStyle w:val="enumlev1"/>
        <w:rPr>
          <w:lang w:val="es-ES_tradnl"/>
        </w:rPr>
      </w:pPr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Anteproyecto de Declaración de la CMDT-17.</w:t>
      </w:r>
    </w:p>
    <w:p w:rsidR="00F17846" w:rsidRPr="00D53B1C" w:rsidRDefault="00F17846" w:rsidP="00F17846">
      <w:pPr>
        <w:pStyle w:val="enumlev1"/>
        <w:rPr>
          <w:lang w:val="es-ES_tradnl"/>
        </w:rPr>
      </w:pPr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Reglamento interno del UIT-D (Resolución 1 de la CMDT).</w:t>
      </w:r>
    </w:p>
    <w:p w:rsidR="00F17846" w:rsidRPr="00D53B1C" w:rsidRDefault="00F17846" w:rsidP="00F17846">
      <w:pPr>
        <w:pStyle w:val="enumlev1"/>
        <w:rPr>
          <w:lang w:val="es-ES_tradnl"/>
        </w:rPr>
      </w:pPr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Informe sobre la racionalización de las Resoluciones de la CMDT.</w:t>
      </w:r>
    </w:p>
    <w:p w:rsidR="00F363E3" w:rsidRPr="00D53B1C" w:rsidRDefault="00F363E3" w:rsidP="004C5FAD">
      <w:pPr>
        <w:keepLines/>
        <w:rPr>
          <w:rFonts w:cstheme="minorHAnsi"/>
          <w:szCs w:val="24"/>
          <w:lang w:val="es-ES_tradnl"/>
        </w:rPr>
      </w:pPr>
      <w:bookmarkStart w:id="16" w:name="lt_pId043"/>
      <w:r w:rsidRPr="00D53B1C">
        <w:rPr>
          <w:rFonts w:cstheme="minorHAnsi"/>
          <w:szCs w:val="24"/>
          <w:lang w:val="es-ES_tradnl"/>
        </w:rPr>
        <w:lastRenderedPageBreak/>
        <w:t>3.5</w:t>
      </w:r>
      <w:r w:rsidRPr="00D53B1C">
        <w:rPr>
          <w:rFonts w:cstheme="minorHAnsi"/>
          <w:szCs w:val="24"/>
          <w:lang w:val="es-ES_tradnl"/>
        </w:rPr>
        <w:tab/>
        <w:t xml:space="preserve">La </w:t>
      </w:r>
      <w:r w:rsidRPr="004C5FAD">
        <w:rPr>
          <w:rFonts w:cstheme="minorHAnsi"/>
          <w:b/>
          <w:bCs/>
          <w:szCs w:val="24"/>
          <w:lang w:val="es-ES_tradnl"/>
        </w:rPr>
        <w:t xml:space="preserve">Reunión Preparatoria </w:t>
      </w:r>
      <w:r w:rsidR="008F6EF3" w:rsidRPr="004C5FAD">
        <w:rPr>
          <w:rFonts w:cstheme="minorHAnsi"/>
          <w:b/>
          <w:bCs/>
          <w:szCs w:val="24"/>
          <w:lang w:val="es-ES_tradnl"/>
        </w:rPr>
        <w:t xml:space="preserve">Regional </w:t>
      </w:r>
      <w:r w:rsidRPr="004C5FAD">
        <w:rPr>
          <w:rFonts w:cstheme="minorHAnsi"/>
          <w:b/>
          <w:bCs/>
          <w:szCs w:val="24"/>
          <w:lang w:val="es-ES_tradnl"/>
        </w:rPr>
        <w:t xml:space="preserve">para </w:t>
      </w:r>
      <w:r w:rsidR="008F6EF3" w:rsidRPr="004C5FAD">
        <w:rPr>
          <w:rFonts w:cstheme="minorHAnsi"/>
          <w:b/>
          <w:bCs/>
          <w:szCs w:val="24"/>
          <w:lang w:val="es-ES_tradnl"/>
        </w:rPr>
        <w:t>la Comunidad de Estados Independientes</w:t>
      </w:r>
      <w:r w:rsidRPr="004C5FAD">
        <w:rPr>
          <w:rFonts w:cstheme="minorHAnsi"/>
          <w:b/>
          <w:bCs/>
          <w:szCs w:val="24"/>
          <w:lang w:val="es-ES_tradnl"/>
        </w:rPr>
        <w:t xml:space="preserve"> (RP</w:t>
      </w:r>
      <w:r w:rsidR="008F6EF3" w:rsidRPr="004C5FAD">
        <w:rPr>
          <w:rFonts w:cstheme="minorHAnsi"/>
          <w:b/>
          <w:bCs/>
          <w:szCs w:val="24"/>
          <w:lang w:val="es-ES_tradnl"/>
        </w:rPr>
        <w:t>R</w:t>
      </w:r>
      <w:r w:rsidR="004C5FAD">
        <w:rPr>
          <w:rFonts w:cstheme="minorHAnsi"/>
          <w:b/>
          <w:bCs/>
          <w:szCs w:val="24"/>
          <w:lang w:val="es-ES_tradnl"/>
        </w:rPr>
        <w:noBreakHyphen/>
      </w:r>
      <w:r w:rsidRPr="004C5FAD">
        <w:rPr>
          <w:rFonts w:cstheme="minorHAnsi"/>
          <w:b/>
          <w:bCs/>
          <w:szCs w:val="24"/>
          <w:lang w:val="es-ES_tradnl"/>
        </w:rPr>
        <w:t>C</w:t>
      </w:r>
      <w:r w:rsidR="008F6EF3" w:rsidRPr="004C5FAD">
        <w:rPr>
          <w:rFonts w:cstheme="minorHAnsi"/>
          <w:b/>
          <w:bCs/>
          <w:szCs w:val="24"/>
          <w:lang w:val="es-ES_tradnl"/>
        </w:rPr>
        <w:t>EI</w:t>
      </w:r>
      <w:r w:rsidRPr="004C5FAD">
        <w:rPr>
          <w:rFonts w:cstheme="minorHAnsi"/>
          <w:b/>
          <w:bCs/>
          <w:szCs w:val="24"/>
          <w:lang w:val="es-ES_tradnl"/>
        </w:rPr>
        <w:t>)</w:t>
      </w:r>
      <w:r w:rsidRPr="00D53B1C">
        <w:rPr>
          <w:rFonts w:cstheme="minorHAnsi"/>
          <w:szCs w:val="24"/>
          <w:lang w:val="es-ES_tradnl"/>
        </w:rPr>
        <w:t xml:space="preserve"> fue organizada por la Oficina de Desarrollo de las Telecomunicaciones (BDT) de la UIT, en </w:t>
      </w:r>
      <w:r w:rsidR="00E56AD0">
        <w:rPr>
          <w:rFonts w:cstheme="minorHAnsi"/>
          <w:szCs w:val="24"/>
          <w:lang w:val="es-ES_tradnl"/>
        </w:rPr>
        <w:t>colaboración con la</w:t>
      </w:r>
      <w:r w:rsidRPr="00D53B1C">
        <w:rPr>
          <w:rFonts w:cstheme="minorHAnsi"/>
          <w:szCs w:val="24"/>
          <w:lang w:val="es-ES_tradnl"/>
        </w:rPr>
        <w:t xml:space="preserve"> Com</w:t>
      </w:r>
      <w:r w:rsidR="004C5FAD">
        <w:rPr>
          <w:rFonts w:cstheme="minorHAnsi"/>
          <w:szCs w:val="24"/>
          <w:lang w:val="es-ES_tradnl"/>
        </w:rPr>
        <w:t>isión Estatal de Tecnologías de la I</w:t>
      </w:r>
      <w:r w:rsidR="008F6EF3">
        <w:rPr>
          <w:rFonts w:cstheme="minorHAnsi"/>
          <w:szCs w:val="24"/>
          <w:lang w:val="es-ES_tradnl"/>
        </w:rPr>
        <w:t xml:space="preserve">nformación y la </w:t>
      </w:r>
      <w:r w:rsidR="004C5FAD">
        <w:rPr>
          <w:rFonts w:cstheme="minorHAnsi"/>
          <w:szCs w:val="24"/>
          <w:lang w:val="es-ES_tradnl"/>
        </w:rPr>
        <w:t>C</w:t>
      </w:r>
      <w:r w:rsidR="008F6EF3">
        <w:rPr>
          <w:rFonts w:cstheme="minorHAnsi"/>
          <w:szCs w:val="24"/>
          <w:lang w:val="es-ES_tradnl"/>
        </w:rPr>
        <w:t xml:space="preserve">omunicación de la República Kirguisa </w:t>
      </w:r>
      <w:r w:rsidRPr="00D53B1C">
        <w:rPr>
          <w:rFonts w:cstheme="minorHAnsi"/>
          <w:szCs w:val="24"/>
          <w:lang w:val="es-ES_tradnl"/>
        </w:rPr>
        <w:t>en Bishkek (República Kirguisa)</w:t>
      </w:r>
      <w:r w:rsidR="008F6EF3">
        <w:rPr>
          <w:rFonts w:cstheme="minorHAnsi"/>
          <w:szCs w:val="24"/>
          <w:lang w:val="es-ES_tradnl"/>
        </w:rPr>
        <w:t>,</w:t>
      </w:r>
      <w:r w:rsidRPr="00D53B1C">
        <w:rPr>
          <w:rFonts w:cstheme="minorHAnsi"/>
          <w:szCs w:val="24"/>
          <w:lang w:val="es-ES_tradnl"/>
        </w:rPr>
        <w:t xml:space="preserve"> del 9 al 11 de noviembre de 2016, por invitación del Gobierno de la República Kirguisa.</w:t>
      </w:r>
      <w:bookmarkEnd w:id="16"/>
    </w:p>
    <w:p w:rsidR="00F363E3" w:rsidRPr="00D53B1C" w:rsidRDefault="00CD06E0" w:rsidP="002E740D">
      <w:pPr>
        <w:rPr>
          <w:rFonts w:cstheme="minorHAnsi"/>
          <w:szCs w:val="24"/>
          <w:lang w:val="es-ES_tradnl"/>
        </w:rPr>
      </w:pPr>
      <w:bookmarkStart w:id="17" w:name="lt_pId044"/>
      <w:r w:rsidRPr="00D53B1C">
        <w:rPr>
          <w:rFonts w:cstheme="minorHAnsi"/>
          <w:szCs w:val="24"/>
          <w:lang w:val="es-ES_tradnl"/>
        </w:rPr>
        <w:t>3.6</w:t>
      </w:r>
      <w:r w:rsidRPr="00D53B1C">
        <w:rPr>
          <w:rFonts w:cstheme="minorHAnsi"/>
          <w:szCs w:val="24"/>
          <w:lang w:val="es-ES_tradnl"/>
        </w:rPr>
        <w:tab/>
      </w:r>
      <w:r w:rsidR="008F6EF3">
        <w:rPr>
          <w:rFonts w:cstheme="minorHAnsi"/>
          <w:szCs w:val="24"/>
          <w:lang w:val="es-ES_tradnl"/>
        </w:rPr>
        <w:t>Uno de los principales resultados de la RPR-CEI fue su acuerdo respecto de los cinco proyectos de iniciativa regional siguientes:</w:t>
      </w:r>
      <w:bookmarkEnd w:id="17"/>
    </w:p>
    <w:p w:rsidR="00F363E3" w:rsidRPr="00D53B1C" w:rsidRDefault="00E4171C" w:rsidP="00E4171C">
      <w:pPr>
        <w:pStyle w:val="enumlev1"/>
        <w:rPr>
          <w:highlight w:val="yellow"/>
          <w:lang w:val="es-ES_tradnl"/>
        </w:rPr>
      </w:pPr>
      <w:bookmarkStart w:id="18" w:name="lt_pId045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Desarrollo de cibersalud para garantizar una vida sana y promover el bienestar de las personas de todas las edades</w:t>
      </w:r>
      <w:bookmarkEnd w:id="18"/>
      <w:r w:rsidRPr="00D53B1C">
        <w:rPr>
          <w:lang w:val="es-ES_tradnl"/>
        </w:rPr>
        <w:t>.</w:t>
      </w:r>
    </w:p>
    <w:p w:rsidR="00F363E3" w:rsidRPr="00D53B1C" w:rsidRDefault="00E4171C" w:rsidP="002F1638">
      <w:pPr>
        <w:pStyle w:val="enumlev1"/>
        <w:rPr>
          <w:highlight w:val="yellow"/>
          <w:lang w:val="es-ES_tradnl"/>
        </w:rPr>
      </w:pPr>
      <w:bookmarkStart w:id="19" w:name="lt_pId046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2F1638" w:rsidRPr="00D53B1C">
        <w:rPr>
          <w:lang w:val="es-ES_tradnl"/>
        </w:rPr>
        <w:t>Utilización de las telecomunicaciones/TIC para garantizar una educación integradora, equitativa, de calidad y segura, en particular el aumento de los conocimientos sobre TIC de las mujeres y del gobierno electrónico</w:t>
      </w:r>
      <w:bookmarkEnd w:id="19"/>
      <w:r w:rsidR="002F1638" w:rsidRPr="00D53B1C">
        <w:rPr>
          <w:lang w:val="es-ES_tradnl"/>
        </w:rPr>
        <w:t>.</w:t>
      </w:r>
    </w:p>
    <w:p w:rsidR="00F363E3" w:rsidRPr="00D53B1C" w:rsidRDefault="00E4171C" w:rsidP="008F6B39">
      <w:pPr>
        <w:pStyle w:val="enumlev1"/>
        <w:rPr>
          <w:lang w:val="es-ES_tradnl"/>
        </w:rPr>
      </w:pPr>
      <w:bookmarkStart w:id="20" w:name="lt_pId047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8F6B39" w:rsidRPr="00D53B1C">
        <w:rPr>
          <w:lang w:val="es-ES_tradnl"/>
        </w:rPr>
        <w:t>Desarrollo y regulación de infraestructura de infocomunicación para hacer más seguras y resilientes las ciudades y asentamientos humanos</w:t>
      </w:r>
      <w:bookmarkEnd w:id="20"/>
      <w:r w:rsidR="008F6B39" w:rsidRPr="00D53B1C">
        <w:rPr>
          <w:lang w:val="es-ES_tradnl"/>
        </w:rPr>
        <w:t>.</w:t>
      </w:r>
    </w:p>
    <w:p w:rsidR="00F363E3" w:rsidRPr="00D53B1C" w:rsidRDefault="00E4171C" w:rsidP="003C1746">
      <w:pPr>
        <w:pStyle w:val="enumlev1"/>
        <w:rPr>
          <w:lang w:val="es-ES_tradnl"/>
        </w:rPr>
      </w:pPr>
      <w:bookmarkStart w:id="21" w:name="lt_pId048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bookmarkEnd w:id="21"/>
      <w:r w:rsidR="003C1746" w:rsidRPr="00D53B1C">
        <w:rPr>
          <w:lang w:val="es-ES_tradnl"/>
        </w:rPr>
        <w:t>Supervisión de la situación ecológica y de la presencia y utilización racional de recursos naturales.</w:t>
      </w:r>
    </w:p>
    <w:p w:rsidR="00F363E3" w:rsidRPr="00D53B1C" w:rsidRDefault="00E4171C" w:rsidP="00AE758A">
      <w:pPr>
        <w:pStyle w:val="enumlev1"/>
        <w:rPr>
          <w:lang w:val="es-ES_tradnl"/>
        </w:rPr>
      </w:pPr>
      <w:bookmarkStart w:id="22" w:name="lt_pId049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bookmarkEnd w:id="22"/>
      <w:r w:rsidR="00AE758A" w:rsidRPr="00D53B1C">
        <w:rPr>
          <w:lang w:val="es-ES_tradnl"/>
        </w:rPr>
        <w:t>Fomento de soluciones innovadoras y alianzas para la implementación de tecnologías de Internet de las cosas y su interacción con las redes de telecomunicaciones, incluidas las redes 4G, IMT-2020 y las de la próxima generación, en pro del desarrollo sostenible.</w:t>
      </w:r>
    </w:p>
    <w:p w:rsidR="00F363E3" w:rsidRPr="00D53B1C" w:rsidRDefault="00F00BDF" w:rsidP="00510771">
      <w:pPr>
        <w:rPr>
          <w:rFonts w:cstheme="minorHAnsi"/>
          <w:szCs w:val="24"/>
          <w:lang w:val="es-ES_tradnl"/>
        </w:rPr>
      </w:pPr>
      <w:bookmarkStart w:id="23" w:name="lt_pId050"/>
      <w:r w:rsidRPr="00D53B1C">
        <w:rPr>
          <w:rFonts w:cstheme="minorHAnsi"/>
          <w:szCs w:val="24"/>
          <w:lang w:val="es-ES_tradnl"/>
        </w:rPr>
        <w:t>3.7</w:t>
      </w:r>
      <w:r w:rsidRPr="00D53B1C">
        <w:rPr>
          <w:rFonts w:cstheme="minorHAnsi"/>
          <w:szCs w:val="24"/>
          <w:lang w:val="es-ES_tradnl"/>
        </w:rPr>
        <w:tab/>
      </w:r>
      <w:r w:rsidR="0096325C" w:rsidRPr="00D53B1C">
        <w:rPr>
          <w:rFonts w:cstheme="minorHAnsi"/>
          <w:szCs w:val="24"/>
          <w:lang w:val="es-ES_tradnl"/>
        </w:rPr>
        <w:t xml:space="preserve">La </w:t>
      </w:r>
      <w:r w:rsidR="0096325C" w:rsidRPr="00D53B1C">
        <w:rPr>
          <w:rFonts w:cstheme="minorHAnsi"/>
          <w:b/>
          <w:bCs/>
          <w:szCs w:val="24"/>
          <w:lang w:val="es-ES_tradnl"/>
        </w:rPr>
        <w:t>Reunión Preparatoria Regional para África (RPR-AFR)</w:t>
      </w:r>
      <w:r w:rsidR="0096325C" w:rsidRPr="00D53B1C">
        <w:rPr>
          <w:rFonts w:cstheme="minorHAnsi"/>
          <w:szCs w:val="24"/>
          <w:lang w:val="es-ES_tradnl"/>
        </w:rPr>
        <w:t xml:space="preserve"> fue organizada por la BDT en colaboración con el Ministerio de la Juventud y las TIC, y se celebró en Kigali (República de </w:t>
      </w:r>
      <w:r w:rsidR="00510771">
        <w:rPr>
          <w:rFonts w:cstheme="minorHAnsi"/>
          <w:szCs w:val="24"/>
          <w:lang w:val="es-ES_tradnl"/>
        </w:rPr>
        <w:t>Rwanda</w:t>
      </w:r>
      <w:r w:rsidR="0096325C" w:rsidRPr="00D53B1C">
        <w:rPr>
          <w:rFonts w:cstheme="minorHAnsi"/>
          <w:szCs w:val="24"/>
          <w:lang w:val="es-ES_tradnl"/>
        </w:rPr>
        <w:t>) del 6 al 8 de diciembre de 2016, por invitación del Gobierno de la República de Rwanda</w:t>
      </w:r>
      <w:bookmarkEnd w:id="23"/>
      <w:r w:rsidR="0096325C" w:rsidRPr="00D53B1C">
        <w:rPr>
          <w:rFonts w:cstheme="minorHAnsi"/>
          <w:szCs w:val="24"/>
          <w:lang w:val="es-ES_tradnl"/>
        </w:rPr>
        <w:t>.</w:t>
      </w:r>
    </w:p>
    <w:p w:rsidR="00F363E3" w:rsidRPr="00D53B1C" w:rsidRDefault="000179C2" w:rsidP="00207BFC">
      <w:pPr>
        <w:rPr>
          <w:rFonts w:cstheme="minorHAnsi"/>
          <w:szCs w:val="24"/>
          <w:lang w:val="es-ES_tradnl"/>
        </w:rPr>
      </w:pPr>
      <w:bookmarkStart w:id="24" w:name="lt_pId051"/>
      <w:r w:rsidRPr="00D53B1C">
        <w:rPr>
          <w:rFonts w:cstheme="minorHAnsi"/>
          <w:szCs w:val="24"/>
          <w:lang w:val="es-ES_tradnl"/>
        </w:rPr>
        <w:t>3.8</w:t>
      </w:r>
      <w:r w:rsidRPr="00D53B1C">
        <w:rPr>
          <w:rFonts w:cstheme="minorHAnsi"/>
          <w:szCs w:val="24"/>
          <w:lang w:val="es-ES_tradnl"/>
        </w:rPr>
        <w:tab/>
      </w:r>
      <w:r w:rsidR="00207BFC">
        <w:rPr>
          <w:rFonts w:cstheme="minorHAnsi"/>
          <w:szCs w:val="24"/>
          <w:lang w:val="es-ES_tradnl"/>
        </w:rPr>
        <w:t xml:space="preserve">La </w:t>
      </w:r>
      <w:r w:rsidR="00F363E3" w:rsidRPr="00D53B1C">
        <w:rPr>
          <w:rFonts w:cstheme="minorHAnsi"/>
          <w:szCs w:val="24"/>
          <w:lang w:val="es-ES_tradnl"/>
        </w:rPr>
        <w:t>RP</w:t>
      </w:r>
      <w:r w:rsidR="00207BFC">
        <w:rPr>
          <w:rFonts w:cstheme="minorHAnsi"/>
          <w:szCs w:val="24"/>
          <w:lang w:val="es-ES_tradnl"/>
        </w:rPr>
        <w:t>R</w:t>
      </w:r>
      <w:r w:rsidR="00F363E3" w:rsidRPr="00D53B1C">
        <w:rPr>
          <w:rFonts w:cstheme="minorHAnsi"/>
          <w:szCs w:val="24"/>
          <w:lang w:val="es-ES_tradnl"/>
        </w:rPr>
        <w:t xml:space="preserve">-AFR </w:t>
      </w:r>
      <w:r w:rsidRPr="00D53B1C">
        <w:rPr>
          <w:rFonts w:cstheme="minorHAnsi"/>
          <w:szCs w:val="24"/>
          <w:lang w:val="es-ES_tradnl"/>
        </w:rPr>
        <w:t>present</w:t>
      </w:r>
      <w:r w:rsidR="00207BFC">
        <w:rPr>
          <w:rFonts w:cstheme="minorHAnsi"/>
          <w:szCs w:val="24"/>
          <w:lang w:val="es-ES_tradnl"/>
        </w:rPr>
        <w:t>ó</w:t>
      </w:r>
      <w:r w:rsidRPr="00D53B1C">
        <w:rPr>
          <w:rFonts w:cstheme="minorHAnsi"/>
          <w:szCs w:val="24"/>
          <w:lang w:val="es-ES_tradnl"/>
        </w:rPr>
        <w:t xml:space="preserve"> varias propuestas de puesta al día de las Iniciativas Regionales para incluir las tecnologías y tendencias emergentes</w:t>
      </w:r>
      <w:r w:rsidR="00F363E3" w:rsidRPr="00D53B1C">
        <w:rPr>
          <w:rFonts w:cstheme="minorHAnsi"/>
          <w:szCs w:val="24"/>
          <w:lang w:val="es-ES_tradnl"/>
        </w:rPr>
        <w:t>.</w:t>
      </w:r>
      <w:bookmarkEnd w:id="24"/>
      <w:r w:rsidR="00F363E3" w:rsidRPr="00D53B1C">
        <w:rPr>
          <w:rFonts w:cstheme="minorHAnsi"/>
          <w:szCs w:val="24"/>
          <w:lang w:val="es-ES_tradnl"/>
        </w:rPr>
        <w:t xml:space="preserve"> </w:t>
      </w:r>
      <w:bookmarkStart w:id="25" w:name="lt_pId052"/>
      <w:r w:rsidRPr="00D53B1C">
        <w:rPr>
          <w:rFonts w:cstheme="minorHAnsi"/>
          <w:szCs w:val="24"/>
          <w:lang w:val="es-ES_tradnl"/>
        </w:rPr>
        <w:t>Estas propuestas se centra</w:t>
      </w:r>
      <w:r w:rsidR="00207BFC">
        <w:rPr>
          <w:rFonts w:cstheme="minorHAnsi"/>
          <w:szCs w:val="24"/>
          <w:lang w:val="es-ES_tradnl"/>
        </w:rPr>
        <w:t>ron</w:t>
      </w:r>
      <w:r w:rsidRPr="00D53B1C">
        <w:rPr>
          <w:rFonts w:cstheme="minorHAnsi"/>
          <w:szCs w:val="24"/>
          <w:lang w:val="es-ES_tradnl"/>
        </w:rPr>
        <w:t xml:space="preserve"> en las siguientes áreas y prioridades</w:t>
      </w:r>
      <w:r w:rsidR="00F363E3" w:rsidRPr="00D53B1C">
        <w:rPr>
          <w:rFonts w:cstheme="minorHAnsi"/>
          <w:szCs w:val="24"/>
          <w:lang w:val="es-ES_tradnl"/>
        </w:rPr>
        <w:t>:</w:t>
      </w:r>
      <w:bookmarkEnd w:id="25"/>
    </w:p>
    <w:p w:rsidR="00F363E3" w:rsidRPr="00D53B1C" w:rsidRDefault="0051678C" w:rsidP="0051678C">
      <w:pPr>
        <w:pStyle w:val="enumlev1"/>
        <w:rPr>
          <w:lang w:val="es-ES_tradnl"/>
        </w:rPr>
      </w:pPr>
      <w:bookmarkStart w:id="26" w:name="lt_pId053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Fortalecimiento de la capacitación humana e institucional</w:t>
      </w:r>
      <w:r w:rsidR="00F363E3" w:rsidRPr="00D53B1C">
        <w:rPr>
          <w:lang w:val="es-ES_tradnl"/>
        </w:rPr>
        <w:t>.</w:t>
      </w:r>
      <w:bookmarkEnd w:id="26"/>
    </w:p>
    <w:p w:rsidR="00F363E3" w:rsidRPr="00D53B1C" w:rsidRDefault="0051678C" w:rsidP="0051678C">
      <w:pPr>
        <w:pStyle w:val="enumlev1"/>
        <w:rPr>
          <w:lang w:val="es-ES_tradnl"/>
        </w:rPr>
      </w:pPr>
      <w:bookmarkStart w:id="27" w:name="lt_pId054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Fortalecimiento y armonización de los marcos políticos y reglamentarios</w:t>
      </w:r>
      <w:r w:rsidR="00F363E3" w:rsidRPr="00D53B1C">
        <w:rPr>
          <w:lang w:val="es-ES_tradnl"/>
        </w:rPr>
        <w:t>.</w:t>
      </w:r>
      <w:bookmarkEnd w:id="27"/>
    </w:p>
    <w:p w:rsidR="00F363E3" w:rsidRPr="00D53B1C" w:rsidRDefault="0051678C" w:rsidP="0051678C">
      <w:pPr>
        <w:pStyle w:val="enumlev1"/>
        <w:rPr>
          <w:lang w:val="es-ES_tradnl"/>
        </w:rPr>
      </w:pPr>
      <w:bookmarkStart w:id="28" w:name="lt_pId055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Infraestructura de banda ancha e interconectividad inteligentes y sostenibles para un acceso equitativo para todos en África</w:t>
      </w:r>
      <w:r w:rsidR="00F363E3" w:rsidRPr="00D53B1C">
        <w:rPr>
          <w:lang w:val="es-ES_tradnl"/>
        </w:rPr>
        <w:t>.</w:t>
      </w:r>
      <w:bookmarkEnd w:id="28"/>
    </w:p>
    <w:p w:rsidR="00F363E3" w:rsidRPr="00D53B1C" w:rsidRDefault="0051678C" w:rsidP="0051678C">
      <w:pPr>
        <w:pStyle w:val="enumlev1"/>
        <w:rPr>
          <w:lang w:val="es-ES_tradnl"/>
        </w:rPr>
      </w:pPr>
      <w:bookmarkStart w:id="29" w:name="lt_pId056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Gestión del espectro y transición a la radiodifusión digital</w:t>
      </w:r>
      <w:r w:rsidR="00F363E3" w:rsidRPr="00D53B1C">
        <w:rPr>
          <w:lang w:val="es-ES_tradnl"/>
        </w:rPr>
        <w:t>.</w:t>
      </w:r>
      <w:bookmarkEnd w:id="29"/>
    </w:p>
    <w:p w:rsidR="00F363E3" w:rsidRPr="00D53B1C" w:rsidRDefault="0051678C" w:rsidP="0051678C">
      <w:pPr>
        <w:pStyle w:val="enumlev1"/>
        <w:rPr>
          <w:lang w:val="es-ES_tradnl"/>
        </w:rPr>
      </w:pPr>
      <w:bookmarkStart w:id="30" w:name="lt_pId057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Fortalecimiento de la seguridad de la infraestructura TIC y creación de confianza en la utilización de las aplicaciones de telecomunicaciones/TIC</w:t>
      </w:r>
      <w:r w:rsidR="00F363E3" w:rsidRPr="00D53B1C">
        <w:rPr>
          <w:lang w:val="es-ES_tradnl"/>
        </w:rPr>
        <w:t>.</w:t>
      </w:r>
      <w:bookmarkEnd w:id="30"/>
    </w:p>
    <w:p w:rsidR="00F363E3" w:rsidRPr="00D53B1C" w:rsidRDefault="0051678C" w:rsidP="0051678C">
      <w:pPr>
        <w:pStyle w:val="enumlev1"/>
        <w:rPr>
          <w:lang w:val="es-ES_tradnl"/>
        </w:rPr>
      </w:pPr>
      <w:bookmarkStart w:id="31" w:name="lt_pId058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Apoyo a las agrupaciones para la innovación de las TIC en África</w:t>
      </w:r>
      <w:r w:rsidR="00F363E3" w:rsidRPr="00D53B1C">
        <w:rPr>
          <w:lang w:val="es-ES_tradnl"/>
        </w:rPr>
        <w:t>.</w:t>
      </w:r>
      <w:bookmarkEnd w:id="31"/>
    </w:p>
    <w:p w:rsidR="00F363E3" w:rsidRPr="00D53B1C" w:rsidRDefault="0051678C" w:rsidP="0051678C">
      <w:pPr>
        <w:pStyle w:val="enumlev1"/>
        <w:rPr>
          <w:lang w:val="es-ES_tradnl"/>
        </w:rPr>
      </w:pPr>
      <w:bookmarkStart w:id="32" w:name="lt_pId059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Apoyo político, reglamentario y técnico, así como programas de formación especializados para la creación de capacidad de recursos humanos en una selección de iniciativas emblemáticas relacionadas con Smart Africa</w:t>
      </w:r>
      <w:r w:rsidR="00F363E3" w:rsidRPr="00D53B1C">
        <w:rPr>
          <w:lang w:val="es-ES_tradnl"/>
        </w:rPr>
        <w:t>.</w:t>
      </w:r>
      <w:bookmarkEnd w:id="32"/>
    </w:p>
    <w:p w:rsidR="00F363E3" w:rsidRPr="00D53B1C" w:rsidRDefault="00927635" w:rsidP="00CC0BBF">
      <w:pPr>
        <w:rPr>
          <w:szCs w:val="24"/>
          <w:lang w:val="es-ES_tradnl"/>
        </w:rPr>
      </w:pPr>
      <w:bookmarkStart w:id="33" w:name="lt_pId060"/>
      <w:r w:rsidRPr="00D53B1C">
        <w:rPr>
          <w:szCs w:val="24"/>
          <w:lang w:val="es-ES_tradnl"/>
        </w:rPr>
        <w:t>3.9</w:t>
      </w:r>
      <w:r w:rsidR="003F785A" w:rsidRPr="00D53B1C">
        <w:rPr>
          <w:szCs w:val="24"/>
          <w:lang w:val="es-ES_tradnl"/>
        </w:rPr>
        <w:tab/>
      </w:r>
      <w:r w:rsidR="00207BFC">
        <w:rPr>
          <w:szCs w:val="24"/>
          <w:lang w:val="es-ES_tradnl"/>
        </w:rPr>
        <w:t>La</w:t>
      </w:r>
      <w:r w:rsidR="00F363E3" w:rsidRPr="00D53B1C">
        <w:rPr>
          <w:szCs w:val="24"/>
          <w:lang w:val="es-ES_tradnl"/>
        </w:rPr>
        <w:t xml:space="preserve"> </w:t>
      </w:r>
      <w:r w:rsidR="00207BFC">
        <w:rPr>
          <w:b/>
          <w:bCs/>
          <w:szCs w:val="24"/>
          <w:lang w:val="es-ES_tradnl"/>
        </w:rPr>
        <w:t xml:space="preserve">Reunión Preparatoria Regional para la Región Árabe (RPR-ARB) </w:t>
      </w:r>
      <w:r w:rsidR="001B053C">
        <w:rPr>
          <w:szCs w:val="24"/>
          <w:lang w:val="es-ES_tradnl"/>
        </w:rPr>
        <w:t>fue organizada por la </w:t>
      </w:r>
      <w:r w:rsidR="00207BFC">
        <w:rPr>
          <w:szCs w:val="24"/>
          <w:lang w:val="es-ES_tradnl"/>
        </w:rPr>
        <w:t xml:space="preserve">BDT en colaboración con el Ministerio de Tecnologías de la Información y la Comunicación y la Empresa Nacional de Telecomunicaciones de Sudán en </w:t>
      </w:r>
      <w:r w:rsidR="00F363E3" w:rsidRPr="00D53B1C">
        <w:rPr>
          <w:szCs w:val="24"/>
          <w:lang w:val="es-ES_tradnl"/>
        </w:rPr>
        <w:t>Khartoum</w:t>
      </w:r>
      <w:r w:rsidR="00207BFC">
        <w:rPr>
          <w:szCs w:val="24"/>
          <w:lang w:val="es-ES_tradnl"/>
        </w:rPr>
        <w:t xml:space="preserve"> (Sudán), del 30 de enero al 1</w:t>
      </w:r>
      <w:r w:rsidR="00827F35">
        <w:rPr>
          <w:szCs w:val="24"/>
          <w:lang w:val="es-ES_tradnl"/>
        </w:rPr>
        <w:t xml:space="preserve"> </w:t>
      </w:r>
      <w:r w:rsidR="00207BFC">
        <w:rPr>
          <w:szCs w:val="24"/>
          <w:lang w:val="es-ES_tradnl"/>
        </w:rPr>
        <w:t>de febrero de 2017, por invitación del Gobierno de la República de Sudán.</w:t>
      </w:r>
      <w:bookmarkEnd w:id="33"/>
    </w:p>
    <w:p w:rsidR="00F363E3" w:rsidRPr="00D53B1C" w:rsidRDefault="00927635" w:rsidP="00BD65C2">
      <w:pPr>
        <w:keepNext/>
        <w:rPr>
          <w:szCs w:val="24"/>
          <w:lang w:val="es-ES_tradnl"/>
        </w:rPr>
      </w:pPr>
      <w:bookmarkStart w:id="34" w:name="lt_pId061"/>
      <w:r w:rsidRPr="00D53B1C">
        <w:rPr>
          <w:szCs w:val="24"/>
          <w:lang w:val="es-ES_tradnl"/>
        </w:rPr>
        <w:t>3.10</w:t>
      </w:r>
      <w:r w:rsidRPr="00D53B1C">
        <w:rPr>
          <w:szCs w:val="24"/>
          <w:lang w:val="es-ES_tradnl"/>
        </w:rPr>
        <w:tab/>
      </w:r>
      <w:r w:rsidR="00207BFC">
        <w:rPr>
          <w:szCs w:val="24"/>
          <w:lang w:val="es-ES_tradnl"/>
        </w:rPr>
        <w:t>Uno de los principales resultados de la RPR-ARB fue su acuerdo respecto de cinco proyectos de iniciativa regional:</w:t>
      </w:r>
      <w:bookmarkEnd w:id="34"/>
    </w:p>
    <w:p w:rsidR="00F363E3" w:rsidRPr="00D53B1C" w:rsidRDefault="00F67047" w:rsidP="00F67047">
      <w:pPr>
        <w:pStyle w:val="enumlev1"/>
        <w:rPr>
          <w:lang w:val="es-ES_tradnl"/>
        </w:rPr>
      </w:pPr>
      <w:bookmarkStart w:id="35" w:name="lt_pId062"/>
      <w:r w:rsidRPr="00D53B1C">
        <w:rPr>
          <w:lang w:val="es-ES_tradnl"/>
        </w:rPr>
        <w:lastRenderedPageBreak/>
        <w:t>•</w:t>
      </w:r>
      <w:r w:rsidRPr="00D53B1C">
        <w:rPr>
          <w:lang w:val="es-ES_tradnl"/>
        </w:rPr>
        <w:tab/>
      </w:r>
      <w:r w:rsidR="00D72E05" w:rsidRPr="00D53B1C">
        <w:rPr>
          <w:lang w:val="es-ES_tradnl"/>
        </w:rPr>
        <w:t>Medioambiente, cambio climático y telecomunicaciones de emergencia</w:t>
      </w:r>
      <w:r w:rsidR="00F363E3" w:rsidRPr="00D53B1C">
        <w:rPr>
          <w:lang w:val="es-ES_tradnl"/>
        </w:rPr>
        <w:t>.</w:t>
      </w:r>
      <w:bookmarkEnd w:id="35"/>
    </w:p>
    <w:p w:rsidR="00F363E3" w:rsidRPr="00D53B1C" w:rsidRDefault="00F67047" w:rsidP="00F67047">
      <w:pPr>
        <w:pStyle w:val="enumlev1"/>
        <w:rPr>
          <w:lang w:val="es-ES_tradnl"/>
        </w:rPr>
      </w:pPr>
      <w:bookmarkStart w:id="36" w:name="lt_pId063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D72E05" w:rsidRPr="00D53B1C">
        <w:rPr>
          <w:lang w:val="es-ES_tradnl"/>
        </w:rPr>
        <w:t>Confianza y seguridad en la utilización de las TIC</w:t>
      </w:r>
      <w:r w:rsidR="00F363E3" w:rsidRPr="00D53B1C">
        <w:rPr>
          <w:lang w:val="es-ES_tradnl"/>
        </w:rPr>
        <w:t>.</w:t>
      </w:r>
      <w:bookmarkEnd w:id="36"/>
    </w:p>
    <w:p w:rsidR="00F363E3" w:rsidRPr="00D53B1C" w:rsidRDefault="00F67047" w:rsidP="00F67047">
      <w:pPr>
        <w:pStyle w:val="enumlev1"/>
        <w:rPr>
          <w:lang w:val="es-ES_tradnl"/>
        </w:rPr>
      </w:pPr>
      <w:bookmarkStart w:id="37" w:name="lt_pId064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D72E05" w:rsidRPr="00D53B1C">
        <w:rPr>
          <w:lang w:val="es-ES_tradnl"/>
        </w:rPr>
        <w:t>Integración financiera digital</w:t>
      </w:r>
      <w:r w:rsidR="00F363E3" w:rsidRPr="00D53B1C">
        <w:rPr>
          <w:lang w:val="es-ES_tradnl"/>
        </w:rPr>
        <w:t>.</w:t>
      </w:r>
      <w:bookmarkEnd w:id="37"/>
    </w:p>
    <w:p w:rsidR="00F363E3" w:rsidRPr="00D53B1C" w:rsidRDefault="00F67047" w:rsidP="00F67047">
      <w:pPr>
        <w:pStyle w:val="enumlev1"/>
        <w:rPr>
          <w:lang w:val="es-ES_tradnl"/>
        </w:rPr>
      </w:pPr>
      <w:bookmarkStart w:id="38" w:name="lt_pId065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D72E05" w:rsidRPr="00D53B1C">
        <w:rPr>
          <w:lang w:val="es-ES_tradnl"/>
        </w:rPr>
        <w:t>Internet de las cosas, ciudades inteligentes y macrodatos</w:t>
      </w:r>
      <w:r w:rsidR="00F363E3" w:rsidRPr="00D53B1C">
        <w:rPr>
          <w:lang w:val="es-ES_tradnl"/>
        </w:rPr>
        <w:t>.</w:t>
      </w:r>
      <w:bookmarkEnd w:id="38"/>
    </w:p>
    <w:p w:rsidR="00F363E3" w:rsidRPr="00D53B1C" w:rsidRDefault="00F67047" w:rsidP="00F67047">
      <w:pPr>
        <w:pStyle w:val="enumlev1"/>
        <w:rPr>
          <w:lang w:val="es-ES_tradnl"/>
        </w:rPr>
      </w:pPr>
      <w:bookmarkStart w:id="39" w:name="lt_pId066"/>
      <w:r w:rsidRPr="00D53B1C">
        <w:rPr>
          <w:lang w:val="es-ES_tradnl"/>
        </w:rPr>
        <w:t>•</w:t>
      </w:r>
      <w:r w:rsidRPr="00D53B1C">
        <w:rPr>
          <w:lang w:val="es-ES_tradnl"/>
        </w:rPr>
        <w:tab/>
      </w:r>
      <w:r w:rsidR="00D72E05" w:rsidRPr="00D53B1C">
        <w:rPr>
          <w:lang w:val="es-ES_tradnl"/>
        </w:rPr>
        <w:t>Innovación y espíritu emprendedor</w:t>
      </w:r>
      <w:r w:rsidR="00F363E3" w:rsidRPr="00D53B1C">
        <w:rPr>
          <w:lang w:val="es-ES_tradnl"/>
        </w:rPr>
        <w:t>.</w:t>
      </w:r>
      <w:bookmarkEnd w:id="39"/>
    </w:p>
    <w:p w:rsidR="00F363E3" w:rsidRPr="00D53B1C" w:rsidRDefault="008B24A2" w:rsidP="00207BFC">
      <w:pPr>
        <w:rPr>
          <w:szCs w:val="24"/>
          <w:lang w:val="es-ES_tradnl"/>
        </w:rPr>
      </w:pPr>
      <w:bookmarkStart w:id="40" w:name="lt_pId067"/>
      <w:r w:rsidRPr="00D53B1C">
        <w:rPr>
          <w:szCs w:val="24"/>
          <w:lang w:val="es-ES_tradnl"/>
        </w:rPr>
        <w:t>3.11</w:t>
      </w:r>
      <w:r w:rsidRPr="00D53B1C">
        <w:rPr>
          <w:szCs w:val="24"/>
          <w:lang w:val="es-ES_tradnl"/>
        </w:rPr>
        <w:tab/>
      </w:r>
      <w:r w:rsidR="00207BFC">
        <w:rPr>
          <w:szCs w:val="24"/>
          <w:lang w:val="es-ES_tradnl"/>
        </w:rPr>
        <w:t>La</w:t>
      </w:r>
      <w:r w:rsidR="00F363E3" w:rsidRPr="00D53B1C">
        <w:rPr>
          <w:szCs w:val="24"/>
          <w:lang w:val="es-ES_tradnl"/>
        </w:rPr>
        <w:t xml:space="preserve"> </w:t>
      </w:r>
      <w:r w:rsidR="00207BFC">
        <w:rPr>
          <w:b/>
          <w:bCs/>
          <w:szCs w:val="24"/>
          <w:lang w:val="es-ES_tradnl"/>
        </w:rPr>
        <w:t xml:space="preserve">Reunión Preparatoria Regional para la Región de las Américas (RPR-AMS) </w:t>
      </w:r>
      <w:r w:rsidR="00207BFC">
        <w:rPr>
          <w:szCs w:val="24"/>
          <w:lang w:val="es-ES_tradnl"/>
        </w:rPr>
        <w:t xml:space="preserve">fue organizada por la BDT en colaboración con la </w:t>
      </w:r>
      <w:r w:rsidR="00F363E3" w:rsidRPr="00D53B1C">
        <w:rPr>
          <w:rFonts w:cstheme="minorHAnsi"/>
          <w:i/>
          <w:iCs/>
          <w:szCs w:val="24"/>
          <w:lang w:val="es-ES_tradnl"/>
        </w:rPr>
        <w:t>Comisión Nacional de Telecomunicaciones</w:t>
      </w:r>
      <w:r w:rsidR="00F363E3" w:rsidRPr="00D53B1C">
        <w:rPr>
          <w:rFonts w:cstheme="minorHAnsi"/>
          <w:szCs w:val="24"/>
          <w:lang w:val="es-ES_tradnl"/>
        </w:rPr>
        <w:t xml:space="preserve"> (CONATEL) </w:t>
      </w:r>
      <w:r w:rsidR="000B7704" w:rsidRPr="00D53B1C">
        <w:rPr>
          <w:rFonts w:cstheme="minorHAnsi"/>
          <w:szCs w:val="24"/>
          <w:lang w:val="es-ES_tradnl"/>
        </w:rPr>
        <w:t>de</w:t>
      </w:r>
      <w:r w:rsidR="00F363E3" w:rsidRPr="00D53B1C">
        <w:rPr>
          <w:rFonts w:cstheme="minorHAnsi"/>
          <w:szCs w:val="24"/>
          <w:lang w:val="es-ES_tradnl"/>
        </w:rPr>
        <w:t xml:space="preserve"> Paraguay</w:t>
      </w:r>
      <w:r w:rsidR="00207BFC">
        <w:rPr>
          <w:rFonts w:cstheme="minorHAnsi"/>
          <w:szCs w:val="24"/>
          <w:lang w:val="es-ES_tradnl"/>
        </w:rPr>
        <w:t xml:space="preserve"> en</w:t>
      </w:r>
      <w:r w:rsidR="00F363E3" w:rsidRPr="00D53B1C">
        <w:rPr>
          <w:szCs w:val="24"/>
          <w:lang w:val="es-ES_tradnl"/>
        </w:rPr>
        <w:t xml:space="preserve"> Asunción</w:t>
      </w:r>
      <w:r w:rsidR="00207BFC">
        <w:rPr>
          <w:szCs w:val="24"/>
          <w:lang w:val="es-ES_tradnl"/>
        </w:rPr>
        <w:t xml:space="preserve"> (</w:t>
      </w:r>
      <w:r w:rsidR="00F363E3" w:rsidRPr="00D53B1C">
        <w:rPr>
          <w:szCs w:val="24"/>
          <w:lang w:val="es-ES_tradnl"/>
        </w:rPr>
        <w:t>Paraguay</w:t>
      </w:r>
      <w:r w:rsidR="00207BFC">
        <w:rPr>
          <w:szCs w:val="24"/>
          <w:lang w:val="es-ES_tradnl"/>
        </w:rPr>
        <w:t>) del 22 al 24 de febrero de 2017, por invitación del Gobierno de la República del Paraguay.</w:t>
      </w:r>
      <w:bookmarkEnd w:id="40"/>
    </w:p>
    <w:p w:rsidR="00F363E3" w:rsidRPr="00D53B1C" w:rsidRDefault="00EF644D" w:rsidP="00207BFC">
      <w:pPr>
        <w:rPr>
          <w:szCs w:val="24"/>
          <w:lang w:val="es-ES_tradnl"/>
        </w:rPr>
      </w:pPr>
      <w:bookmarkStart w:id="41" w:name="lt_pId068"/>
      <w:r w:rsidRPr="00D53B1C">
        <w:rPr>
          <w:szCs w:val="24"/>
          <w:lang w:val="es-ES_tradnl"/>
        </w:rPr>
        <w:t>3.12</w:t>
      </w:r>
      <w:r w:rsidRPr="00D53B1C">
        <w:rPr>
          <w:szCs w:val="24"/>
          <w:lang w:val="es-ES_tradnl"/>
        </w:rPr>
        <w:tab/>
      </w:r>
      <w:r w:rsidR="00207BFC" w:rsidRPr="00207BFC">
        <w:rPr>
          <w:szCs w:val="24"/>
          <w:lang w:val="es-ES_tradnl"/>
        </w:rPr>
        <w:t>Uno de los principales resultados de la RPR-</w:t>
      </w:r>
      <w:r w:rsidR="00207BFC">
        <w:rPr>
          <w:szCs w:val="24"/>
          <w:lang w:val="es-ES_tradnl"/>
        </w:rPr>
        <w:t>AMS</w:t>
      </w:r>
      <w:r w:rsidR="00207BFC" w:rsidRPr="00207BFC">
        <w:rPr>
          <w:szCs w:val="24"/>
          <w:lang w:val="es-ES_tradnl"/>
        </w:rPr>
        <w:t xml:space="preserve"> fue su acuerdo respecto de cinco proyectos de iniciativa regional:</w:t>
      </w:r>
      <w:bookmarkEnd w:id="41"/>
    </w:p>
    <w:p w:rsidR="00F363E3" w:rsidRPr="00D53B1C" w:rsidRDefault="00424A7A" w:rsidP="00424A7A">
      <w:pPr>
        <w:pStyle w:val="enumlev1"/>
        <w:rPr>
          <w:lang w:val="es-ES_tradnl"/>
        </w:rPr>
      </w:pPr>
      <w:bookmarkStart w:id="42" w:name="lt_pId069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Comunicaciones para la reducción del riesgo de catástrofe</w:t>
      </w:r>
      <w:r w:rsidR="00F363E3" w:rsidRPr="00D53B1C">
        <w:rPr>
          <w:lang w:val="es-ES_tradnl"/>
        </w:rPr>
        <w:t>.</w:t>
      </w:r>
      <w:bookmarkEnd w:id="42"/>
    </w:p>
    <w:p w:rsidR="00F363E3" w:rsidRPr="00D53B1C" w:rsidRDefault="00424A7A" w:rsidP="00424A7A">
      <w:pPr>
        <w:pStyle w:val="enumlev1"/>
        <w:rPr>
          <w:lang w:val="es-ES_tradnl"/>
        </w:rPr>
      </w:pPr>
      <w:bookmarkStart w:id="43" w:name="lt_pId070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Gestión del espectro y transición a la radiodifusión digital</w:t>
      </w:r>
      <w:r w:rsidR="00F363E3" w:rsidRPr="00D53B1C">
        <w:rPr>
          <w:lang w:val="es-ES_tradnl"/>
        </w:rPr>
        <w:t>.</w:t>
      </w:r>
      <w:bookmarkEnd w:id="43"/>
    </w:p>
    <w:p w:rsidR="00F363E3" w:rsidRPr="00D53B1C" w:rsidRDefault="00424A7A" w:rsidP="00424A7A">
      <w:pPr>
        <w:pStyle w:val="enumlev1"/>
        <w:rPr>
          <w:lang w:val="es-ES_tradnl"/>
        </w:rPr>
      </w:pPr>
      <w:bookmarkStart w:id="44" w:name="lt_pId071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Despliegue de la infraestructura de banda ancha, especialmente en las zonas rurales y desfavorecidas, y fortalecimiento del acceso a la banda ancha para los servicios y aplicaciones</w:t>
      </w:r>
      <w:r w:rsidR="00F363E3" w:rsidRPr="00D53B1C">
        <w:rPr>
          <w:lang w:val="es-ES_tradnl"/>
        </w:rPr>
        <w:t>.</w:t>
      </w:r>
      <w:bookmarkEnd w:id="44"/>
    </w:p>
    <w:p w:rsidR="00F363E3" w:rsidRPr="00D53B1C" w:rsidRDefault="00424A7A" w:rsidP="00424A7A">
      <w:pPr>
        <w:pStyle w:val="enumlev1"/>
        <w:rPr>
          <w:lang w:val="es-ES_tradnl"/>
        </w:rPr>
      </w:pPr>
      <w:bookmarkStart w:id="45" w:name="lt_pId072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Accesibilidad y asequibilidad para una Región de las Américas inclusiva y sostenible</w:t>
      </w:r>
      <w:r w:rsidR="00F363E3" w:rsidRPr="00D53B1C">
        <w:rPr>
          <w:lang w:val="es-ES_tradnl"/>
        </w:rPr>
        <w:t>.</w:t>
      </w:r>
      <w:bookmarkEnd w:id="45"/>
    </w:p>
    <w:p w:rsidR="00F363E3" w:rsidRPr="00D53B1C" w:rsidRDefault="00424A7A" w:rsidP="00424A7A">
      <w:pPr>
        <w:pStyle w:val="enumlev1"/>
        <w:rPr>
          <w:lang w:val="es-ES_tradnl"/>
        </w:rPr>
      </w:pPr>
      <w:bookmarkStart w:id="46" w:name="lt_pId073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Desarrollo de la economía digital, las ciudades y comunidades inteligentes e Internet de las Cosas, promoción de la innovación</w:t>
      </w:r>
      <w:r w:rsidR="00F363E3" w:rsidRPr="00D53B1C">
        <w:rPr>
          <w:lang w:val="es-ES_tradnl"/>
        </w:rPr>
        <w:t>.</w:t>
      </w:r>
      <w:bookmarkEnd w:id="46"/>
    </w:p>
    <w:p w:rsidR="00F363E3" w:rsidRPr="00D53B1C" w:rsidRDefault="00F62CD5" w:rsidP="00CC0BBF">
      <w:pPr>
        <w:rPr>
          <w:szCs w:val="24"/>
          <w:lang w:val="es-ES_tradnl"/>
        </w:rPr>
      </w:pPr>
      <w:bookmarkStart w:id="47" w:name="lt_pId074"/>
      <w:r w:rsidRPr="00D53B1C">
        <w:rPr>
          <w:rFonts w:cstheme="minorHAnsi"/>
          <w:szCs w:val="24"/>
          <w:lang w:val="es-ES_tradnl"/>
        </w:rPr>
        <w:t>3.13</w:t>
      </w:r>
      <w:r w:rsidRPr="00D53B1C">
        <w:rPr>
          <w:rFonts w:cstheme="minorHAnsi"/>
          <w:szCs w:val="24"/>
          <w:lang w:val="es-ES_tradnl"/>
        </w:rPr>
        <w:tab/>
      </w:r>
      <w:r w:rsidR="00207BFC">
        <w:rPr>
          <w:rFonts w:cstheme="minorHAnsi"/>
          <w:szCs w:val="24"/>
          <w:lang w:val="es-ES_tradnl"/>
        </w:rPr>
        <w:t>La</w:t>
      </w:r>
      <w:r w:rsidR="00F363E3" w:rsidRPr="00D53B1C">
        <w:rPr>
          <w:rFonts w:cstheme="minorHAnsi"/>
          <w:szCs w:val="24"/>
          <w:lang w:val="es-ES_tradnl"/>
        </w:rPr>
        <w:t xml:space="preserve"> </w:t>
      </w:r>
      <w:r w:rsidR="00207BFC">
        <w:rPr>
          <w:rFonts w:cstheme="minorHAnsi"/>
          <w:b/>
          <w:bCs/>
          <w:szCs w:val="24"/>
          <w:lang w:val="es-ES_tradnl"/>
        </w:rPr>
        <w:t>Reunión Preparatoria Regional para Asia y el Pacífico (RPR</w:t>
      </w:r>
      <w:r w:rsidR="00F363E3" w:rsidRPr="00D53B1C">
        <w:rPr>
          <w:rStyle w:val="Strong"/>
          <w:rFonts w:cstheme="minorHAnsi"/>
          <w:szCs w:val="24"/>
          <w:lang w:val="es-ES_tradnl"/>
        </w:rPr>
        <w:t>-ASP</w:t>
      </w:r>
      <w:r w:rsidR="00F363E3" w:rsidRPr="00D53B1C">
        <w:rPr>
          <w:rFonts w:cstheme="minorHAnsi"/>
          <w:b/>
          <w:bCs/>
          <w:szCs w:val="24"/>
          <w:lang w:val="es-ES_tradnl"/>
        </w:rPr>
        <w:t>)</w:t>
      </w:r>
      <w:r w:rsidR="00F363E3" w:rsidRPr="00D53B1C">
        <w:rPr>
          <w:rFonts w:cstheme="minorHAnsi"/>
          <w:szCs w:val="24"/>
          <w:lang w:val="es-ES_tradnl"/>
        </w:rPr>
        <w:t xml:space="preserve"> </w:t>
      </w:r>
      <w:r w:rsidR="001F7A84">
        <w:rPr>
          <w:rFonts w:cstheme="minorHAnsi"/>
          <w:szCs w:val="24"/>
          <w:lang w:val="es-ES_tradnl"/>
        </w:rPr>
        <w:t>fue organizada por la </w:t>
      </w:r>
      <w:r w:rsidR="00207BFC" w:rsidRPr="00207BFC">
        <w:rPr>
          <w:rFonts w:cstheme="minorHAnsi"/>
          <w:szCs w:val="24"/>
          <w:lang w:val="es-ES_tradnl"/>
        </w:rPr>
        <w:t xml:space="preserve">BDT en colaboración con </w:t>
      </w:r>
      <w:r w:rsidR="00207BFC">
        <w:rPr>
          <w:rFonts w:cstheme="minorHAnsi"/>
          <w:szCs w:val="24"/>
          <w:lang w:val="es-ES_tradnl"/>
        </w:rPr>
        <w:t>el Ministerio de Tecnologías de la Información y la Comunicación</w:t>
      </w:r>
      <w:r w:rsidR="00207BFC" w:rsidRPr="00D53B1C">
        <w:rPr>
          <w:rFonts w:cstheme="minorHAnsi"/>
          <w:szCs w:val="24"/>
          <w:lang w:val="es-ES_tradnl"/>
        </w:rPr>
        <w:t xml:space="preserve"> </w:t>
      </w:r>
      <w:r w:rsidR="00207BFC">
        <w:rPr>
          <w:rFonts w:cstheme="minorHAnsi"/>
          <w:szCs w:val="24"/>
          <w:lang w:val="es-ES_tradnl"/>
        </w:rPr>
        <w:t>en</w:t>
      </w:r>
      <w:r w:rsidR="00F363E3" w:rsidRPr="00D53B1C">
        <w:rPr>
          <w:rFonts w:cstheme="minorHAnsi"/>
          <w:b/>
          <w:bCs/>
          <w:szCs w:val="24"/>
          <w:lang w:val="es-ES_tradnl"/>
        </w:rPr>
        <w:t xml:space="preserve"> </w:t>
      </w:r>
      <w:r w:rsidR="00F363E3" w:rsidRPr="001F7A84">
        <w:rPr>
          <w:rStyle w:val="Strong"/>
          <w:rFonts w:cstheme="minorHAnsi"/>
          <w:b w:val="0"/>
          <w:bCs w:val="0"/>
          <w:szCs w:val="24"/>
          <w:lang w:val="es-ES_tradnl"/>
        </w:rPr>
        <w:t>Bali</w:t>
      </w:r>
      <w:r w:rsidR="00CC0BBF" w:rsidRPr="001F7A8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(</w:t>
      </w:r>
      <w:r w:rsidR="00F363E3" w:rsidRPr="001F7A84">
        <w:rPr>
          <w:rStyle w:val="Strong"/>
          <w:rFonts w:cstheme="minorHAnsi"/>
          <w:b w:val="0"/>
          <w:bCs w:val="0"/>
          <w:szCs w:val="24"/>
          <w:lang w:val="es-ES_tradnl"/>
        </w:rPr>
        <w:t>Indonesia</w:t>
      </w:r>
      <w:r w:rsidR="00CC0BBF" w:rsidRPr="001F7A84">
        <w:rPr>
          <w:rStyle w:val="Strong"/>
          <w:rFonts w:cstheme="minorHAnsi"/>
          <w:b w:val="0"/>
          <w:bCs w:val="0"/>
          <w:szCs w:val="24"/>
          <w:lang w:val="es-ES_tradnl"/>
        </w:rPr>
        <w:t>) del 21 al 23 de marzo de 2017,</w:t>
      </w:r>
      <w:r w:rsidR="00F363E3" w:rsidRPr="001F7A84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</w:t>
      </w:r>
      <w:r w:rsidR="00CC0BBF">
        <w:rPr>
          <w:rFonts w:cstheme="minorHAnsi"/>
          <w:szCs w:val="24"/>
          <w:lang w:val="es-ES_tradnl"/>
        </w:rPr>
        <w:t>por invitación del Gobierno de la República de Indonesia</w:t>
      </w:r>
      <w:r w:rsidR="00F363E3" w:rsidRPr="00D53B1C">
        <w:rPr>
          <w:rFonts w:cstheme="minorHAnsi"/>
          <w:szCs w:val="24"/>
          <w:lang w:val="es-ES_tradnl"/>
        </w:rPr>
        <w:t>.</w:t>
      </w:r>
      <w:bookmarkEnd w:id="47"/>
    </w:p>
    <w:p w:rsidR="00F363E3" w:rsidRPr="00D53B1C" w:rsidRDefault="00981576" w:rsidP="00CC0BBF">
      <w:pPr>
        <w:rPr>
          <w:szCs w:val="24"/>
          <w:lang w:val="es-ES_tradnl"/>
        </w:rPr>
      </w:pPr>
      <w:bookmarkStart w:id="48" w:name="lt_pId075"/>
      <w:r w:rsidRPr="00D53B1C">
        <w:rPr>
          <w:szCs w:val="24"/>
          <w:lang w:val="es-ES_tradnl"/>
        </w:rPr>
        <w:t>3.14</w:t>
      </w:r>
      <w:r w:rsidRPr="00D53B1C">
        <w:rPr>
          <w:szCs w:val="24"/>
          <w:lang w:val="es-ES_tradnl"/>
        </w:rPr>
        <w:tab/>
      </w:r>
      <w:r w:rsidR="00CC0BBF" w:rsidRPr="00CC0BBF">
        <w:rPr>
          <w:szCs w:val="24"/>
          <w:lang w:val="es-ES_tradnl"/>
        </w:rPr>
        <w:t>Uno de los principales resultados de la RPR-</w:t>
      </w:r>
      <w:r w:rsidR="00CC0BBF">
        <w:rPr>
          <w:szCs w:val="24"/>
          <w:lang w:val="es-ES_tradnl"/>
        </w:rPr>
        <w:t>ASP</w:t>
      </w:r>
      <w:r w:rsidR="00CC0BBF" w:rsidRPr="00CC0BBF">
        <w:rPr>
          <w:szCs w:val="24"/>
          <w:lang w:val="es-ES_tradnl"/>
        </w:rPr>
        <w:t xml:space="preserve"> fue su acuerdo respecto de cinco proyectos de iniciativa regional</w:t>
      </w:r>
      <w:r w:rsidR="00F363E3" w:rsidRPr="00D53B1C">
        <w:rPr>
          <w:szCs w:val="24"/>
          <w:lang w:val="es-ES_tradnl"/>
        </w:rPr>
        <w:t>:</w:t>
      </w:r>
      <w:bookmarkEnd w:id="48"/>
    </w:p>
    <w:p w:rsidR="00F363E3" w:rsidRPr="00D53B1C" w:rsidRDefault="006C0452" w:rsidP="006C0452">
      <w:pPr>
        <w:pStyle w:val="enumlev1"/>
        <w:rPr>
          <w:lang w:val="es-ES_tradnl"/>
        </w:rPr>
      </w:pPr>
      <w:bookmarkStart w:id="49" w:name="lt_pId076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Abordar las necesidades específicas de los países menos adelantados, los pequeños estados insulares en desarrollo, incluidos los países insulares del Pacífico, y los países en desarrollo sin litoral</w:t>
      </w:r>
      <w:r w:rsidR="00F363E3" w:rsidRPr="00D53B1C">
        <w:rPr>
          <w:lang w:val="es-ES_tradnl"/>
        </w:rPr>
        <w:t>.</w:t>
      </w:r>
      <w:bookmarkEnd w:id="49"/>
    </w:p>
    <w:p w:rsidR="00F363E3" w:rsidRPr="00D53B1C" w:rsidRDefault="006C0452" w:rsidP="006C0452">
      <w:pPr>
        <w:pStyle w:val="enumlev1"/>
        <w:rPr>
          <w:lang w:val="es-ES_tradnl"/>
        </w:rPr>
      </w:pPr>
      <w:bookmarkStart w:id="50" w:name="lt_pId077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Aprovechar las TIC para apoyar la economía digital y una sociedad digital inclusiva</w:t>
      </w:r>
      <w:r w:rsidR="00F363E3" w:rsidRPr="00D53B1C">
        <w:rPr>
          <w:lang w:val="es-ES_tradnl"/>
        </w:rPr>
        <w:t>.</w:t>
      </w:r>
      <w:bookmarkEnd w:id="50"/>
    </w:p>
    <w:p w:rsidR="00F363E3" w:rsidRPr="00D53B1C" w:rsidRDefault="006C0452" w:rsidP="006C0452">
      <w:pPr>
        <w:pStyle w:val="enumlev1"/>
        <w:rPr>
          <w:lang w:val="es-ES_tradnl"/>
        </w:rPr>
      </w:pPr>
      <w:bookmarkStart w:id="51" w:name="lt_pId078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Fomentar el desarrollo de infraestructuras para mejorar la conectividad digital</w:t>
      </w:r>
      <w:r w:rsidR="00F363E3" w:rsidRPr="00D53B1C">
        <w:rPr>
          <w:lang w:val="es-ES_tradnl"/>
        </w:rPr>
        <w:t>.</w:t>
      </w:r>
      <w:bookmarkEnd w:id="51"/>
    </w:p>
    <w:p w:rsidR="00F363E3" w:rsidRPr="00D53B1C" w:rsidRDefault="006C0452" w:rsidP="006C0452">
      <w:pPr>
        <w:pStyle w:val="enumlev1"/>
        <w:rPr>
          <w:lang w:val="es-ES_tradnl"/>
        </w:rPr>
      </w:pPr>
      <w:bookmarkStart w:id="52" w:name="lt_pId079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Entornos políticos y reglamentarios habilitadores</w:t>
      </w:r>
      <w:r w:rsidR="00F363E3" w:rsidRPr="00D53B1C">
        <w:rPr>
          <w:lang w:val="es-ES_tradnl"/>
        </w:rPr>
        <w:t>.</w:t>
      </w:r>
      <w:bookmarkEnd w:id="52"/>
    </w:p>
    <w:p w:rsidR="00F363E3" w:rsidRPr="00D53B1C" w:rsidRDefault="006C0452" w:rsidP="006C0452">
      <w:pPr>
        <w:pStyle w:val="enumlev1"/>
        <w:rPr>
          <w:lang w:val="es-ES_tradnl"/>
        </w:rPr>
      </w:pPr>
      <w:bookmarkStart w:id="53" w:name="lt_pId080"/>
      <w:r w:rsidRPr="00D53B1C">
        <w:rPr>
          <w:lang w:val="es-ES_tradnl"/>
        </w:rPr>
        <w:t>•</w:t>
      </w:r>
      <w:r w:rsidRPr="00D53B1C">
        <w:rPr>
          <w:lang w:val="es-ES_tradnl"/>
        </w:rPr>
        <w:tab/>
        <w:t>Contribuir a un ecosistema de TIC seguro y resistente</w:t>
      </w:r>
      <w:r w:rsidR="00F363E3" w:rsidRPr="00D53B1C">
        <w:rPr>
          <w:lang w:val="es-ES_tradnl"/>
        </w:rPr>
        <w:t>.</w:t>
      </w:r>
      <w:bookmarkEnd w:id="53"/>
    </w:p>
    <w:p w:rsidR="00F363E3" w:rsidRPr="00D53B1C" w:rsidRDefault="00C8117E" w:rsidP="00CC0BBF">
      <w:pPr>
        <w:rPr>
          <w:szCs w:val="24"/>
          <w:lang w:val="es-ES_tradnl"/>
        </w:rPr>
      </w:pPr>
      <w:bookmarkStart w:id="54" w:name="lt_pId081"/>
      <w:r w:rsidRPr="00D53B1C">
        <w:rPr>
          <w:rFonts w:cstheme="minorHAnsi"/>
          <w:szCs w:val="24"/>
          <w:lang w:val="es-ES_tradnl"/>
        </w:rPr>
        <w:t>3.15</w:t>
      </w:r>
      <w:r w:rsidRPr="00D53B1C">
        <w:rPr>
          <w:rFonts w:cstheme="minorHAnsi"/>
          <w:szCs w:val="24"/>
          <w:lang w:val="es-ES_tradnl"/>
        </w:rPr>
        <w:tab/>
      </w:r>
      <w:r w:rsidR="00CC0BBF">
        <w:rPr>
          <w:rFonts w:cstheme="minorHAnsi"/>
          <w:szCs w:val="24"/>
          <w:lang w:val="es-ES_tradnl"/>
        </w:rPr>
        <w:t>La</w:t>
      </w:r>
      <w:r w:rsidR="00F363E3" w:rsidRPr="00D53B1C">
        <w:rPr>
          <w:rFonts w:cstheme="minorHAnsi"/>
          <w:szCs w:val="24"/>
          <w:lang w:val="es-ES_tradnl"/>
        </w:rPr>
        <w:t xml:space="preserve"> </w:t>
      </w:r>
      <w:r w:rsidR="00CC0BBF">
        <w:rPr>
          <w:rFonts w:cstheme="minorHAnsi"/>
          <w:b/>
          <w:bCs/>
          <w:szCs w:val="24"/>
          <w:lang w:val="es-ES_tradnl"/>
        </w:rPr>
        <w:t xml:space="preserve">Reunión Preparatoria Regional para Europa (RPR-EUR) </w:t>
      </w:r>
      <w:r w:rsidR="00CC0BBF">
        <w:rPr>
          <w:rFonts w:cstheme="minorHAnsi"/>
          <w:szCs w:val="24"/>
          <w:lang w:val="es-ES_tradnl"/>
        </w:rPr>
        <w:t>será organizada por la</w:t>
      </w:r>
      <w:r w:rsidR="00F363E3" w:rsidRPr="00D53B1C">
        <w:rPr>
          <w:rFonts w:cstheme="minorHAnsi"/>
          <w:szCs w:val="24"/>
          <w:lang w:val="es-ES_tradnl"/>
        </w:rPr>
        <w:t xml:space="preserve"> BDT, </w:t>
      </w:r>
      <w:r w:rsidR="00CC0BBF">
        <w:rPr>
          <w:rFonts w:cstheme="minorHAnsi"/>
          <w:szCs w:val="24"/>
          <w:lang w:val="es-ES_tradnl"/>
        </w:rPr>
        <w:t>en</w:t>
      </w:r>
      <w:r w:rsidR="00F363E3" w:rsidRPr="00D53B1C">
        <w:rPr>
          <w:rFonts w:cstheme="minorHAnsi"/>
          <w:szCs w:val="24"/>
          <w:lang w:val="es-ES_tradnl"/>
        </w:rPr>
        <w:t xml:space="preserve"> </w:t>
      </w:r>
      <w:r w:rsidR="00F363E3" w:rsidRPr="008C1F1E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Vilnius, </w:t>
      </w:r>
      <w:r w:rsidR="00CC0BBF" w:rsidRPr="008C1F1E">
        <w:rPr>
          <w:rStyle w:val="Strong"/>
          <w:rFonts w:cstheme="minorHAnsi"/>
          <w:b w:val="0"/>
          <w:bCs w:val="0"/>
          <w:szCs w:val="24"/>
          <w:lang w:val="es-ES_tradnl"/>
        </w:rPr>
        <w:t>Lituania</w:t>
      </w:r>
      <w:r w:rsidR="00F363E3" w:rsidRPr="008C1F1E">
        <w:rPr>
          <w:rStyle w:val="Strong"/>
          <w:rFonts w:cstheme="minorHAnsi"/>
          <w:b w:val="0"/>
          <w:bCs w:val="0"/>
          <w:szCs w:val="24"/>
          <w:lang w:val="es-ES_tradnl"/>
        </w:rPr>
        <w:t>,</w:t>
      </w:r>
      <w:r w:rsidR="00F363E3" w:rsidRPr="00D53B1C">
        <w:rPr>
          <w:rFonts w:cstheme="minorHAnsi"/>
          <w:b/>
          <w:szCs w:val="24"/>
          <w:lang w:val="es-ES_tradnl"/>
        </w:rPr>
        <w:t xml:space="preserve"> </w:t>
      </w:r>
      <w:r w:rsidR="00CC0BBF" w:rsidRPr="00CC0BBF">
        <w:rPr>
          <w:rStyle w:val="Strong"/>
          <w:rFonts w:cstheme="minorHAnsi"/>
          <w:b w:val="0"/>
          <w:bCs w:val="0"/>
          <w:szCs w:val="24"/>
          <w:lang w:val="es-ES_tradnl"/>
        </w:rPr>
        <w:t>los días 27 y 28 de abril de</w:t>
      </w:r>
      <w:r w:rsidR="00F363E3" w:rsidRPr="00CC0BBF">
        <w:rPr>
          <w:rStyle w:val="Strong"/>
          <w:rFonts w:cstheme="minorHAnsi"/>
          <w:b w:val="0"/>
          <w:bCs w:val="0"/>
          <w:szCs w:val="24"/>
          <w:lang w:val="es-ES_tradnl"/>
        </w:rPr>
        <w:t xml:space="preserve"> 2017, </w:t>
      </w:r>
      <w:r w:rsidR="00CC0BBF" w:rsidRPr="00CC0BBF">
        <w:rPr>
          <w:rStyle w:val="Strong"/>
          <w:rFonts w:cstheme="minorHAnsi"/>
          <w:b w:val="0"/>
          <w:bCs w:val="0"/>
          <w:szCs w:val="24"/>
          <w:lang w:val="es-ES_tradnl"/>
        </w:rPr>
        <w:t>por invitación del Organismo Regulador de las Comunicaciones de la República de Lituania.</w:t>
      </w:r>
      <w:bookmarkEnd w:id="54"/>
    </w:p>
    <w:p w:rsidR="00F363E3" w:rsidRPr="00D53B1C" w:rsidRDefault="009D5283" w:rsidP="004631E9">
      <w:pPr>
        <w:keepNext/>
        <w:rPr>
          <w:szCs w:val="24"/>
          <w:lang w:val="es-ES_tradnl"/>
        </w:rPr>
      </w:pPr>
      <w:bookmarkStart w:id="55" w:name="lt_pId082"/>
      <w:r w:rsidRPr="00D53B1C">
        <w:rPr>
          <w:szCs w:val="24"/>
          <w:lang w:val="es-ES_tradnl"/>
        </w:rPr>
        <w:t>3.16</w:t>
      </w:r>
      <w:r w:rsidRPr="00D53B1C">
        <w:rPr>
          <w:szCs w:val="24"/>
          <w:lang w:val="es-ES_tradnl"/>
        </w:rPr>
        <w:tab/>
      </w:r>
      <w:r w:rsidR="00CC0BBF">
        <w:rPr>
          <w:szCs w:val="24"/>
          <w:lang w:val="es-ES_tradnl"/>
        </w:rPr>
        <w:t>En todas las RPR se reconoció</w:t>
      </w:r>
      <w:r w:rsidR="00F363E3" w:rsidRPr="00D53B1C">
        <w:rPr>
          <w:szCs w:val="24"/>
          <w:lang w:val="es-ES_tradnl"/>
        </w:rPr>
        <w:t xml:space="preserve"> </w:t>
      </w:r>
      <w:r w:rsidR="005C44B8" w:rsidRPr="00D53B1C">
        <w:rPr>
          <w:szCs w:val="24"/>
          <w:lang w:val="es-ES_tradnl"/>
        </w:rPr>
        <w:t>que las Iniciativas Regionales del UIT-D constituyen un eficaz mecanismo de impulso de la aplicación de los resultados de la CMSI y la Agenda 2030 para el Desarrollo Sostenible, incluidos los logros de los Objetivos de Desarrollo Sostenible</w:t>
      </w:r>
      <w:r w:rsidR="00F363E3" w:rsidRPr="00D53B1C">
        <w:rPr>
          <w:szCs w:val="24"/>
          <w:lang w:val="es-ES_tradnl"/>
        </w:rPr>
        <w:t>.</w:t>
      </w:r>
      <w:bookmarkEnd w:id="55"/>
    </w:p>
    <w:p w:rsidR="00F363E3" w:rsidRPr="00D53B1C" w:rsidRDefault="007632FC" w:rsidP="006D5978">
      <w:pPr>
        <w:keepLines/>
        <w:rPr>
          <w:szCs w:val="24"/>
          <w:lang w:val="es-ES_tradnl"/>
        </w:rPr>
      </w:pPr>
      <w:bookmarkStart w:id="56" w:name="lt_pId083"/>
      <w:r w:rsidRPr="00D53B1C">
        <w:rPr>
          <w:szCs w:val="24"/>
          <w:lang w:val="es-ES_tradnl"/>
        </w:rPr>
        <w:lastRenderedPageBreak/>
        <w:t>3.17</w:t>
      </w:r>
      <w:r w:rsidRPr="00D53B1C">
        <w:rPr>
          <w:szCs w:val="24"/>
          <w:lang w:val="es-ES_tradnl"/>
        </w:rPr>
        <w:tab/>
      </w:r>
      <w:r w:rsidR="00CC0BBF">
        <w:rPr>
          <w:szCs w:val="24"/>
          <w:lang w:val="es-ES_tradnl"/>
        </w:rPr>
        <w:t>En todas las RPR se</w:t>
      </w:r>
      <w:r w:rsidR="00F363E3" w:rsidRPr="00D53B1C">
        <w:rPr>
          <w:szCs w:val="24"/>
          <w:lang w:val="es-ES_tradnl"/>
        </w:rPr>
        <w:t xml:space="preserve"> </w:t>
      </w:r>
      <w:r w:rsidRPr="00D53B1C">
        <w:rPr>
          <w:szCs w:val="24"/>
          <w:lang w:val="es-ES_tradnl"/>
        </w:rPr>
        <w:t xml:space="preserve">formuló un conjunto de propuestas sobre cuestiones prioritarias para la región que </w:t>
      </w:r>
      <w:r w:rsidR="00CC0BBF">
        <w:rPr>
          <w:szCs w:val="24"/>
          <w:lang w:val="es-ES_tradnl"/>
        </w:rPr>
        <w:t>iba a servir</w:t>
      </w:r>
      <w:r w:rsidRPr="00D53B1C">
        <w:rPr>
          <w:szCs w:val="24"/>
          <w:lang w:val="es-ES_tradnl"/>
        </w:rPr>
        <w:t xml:space="preserve"> de base para la formulación de contribuciones a la CMDT-17, que examinará las actividades del UIT-D </w:t>
      </w:r>
      <w:r w:rsidR="00CC0BBF">
        <w:rPr>
          <w:szCs w:val="24"/>
          <w:lang w:val="es-ES_tradnl"/>
        </w:rPr>
        <w:t>que habrán de llevarse a cabo durante</w:t>
      </w:r>
      <w:r w:rsidR="00AE264B">
        <w:rPr>
          <w:szCs w:val="24"/>
          <w:lang w:val="es-ES_tradnl"/>
        </w:rPr>
        <w:t xml:space="preserve"> el siguiente cuatrienio </w:t>
      </w:r>
      <w:r w:rsidRPr="00D53B1C">
        <w:rPr>
          <w:szCs w:val="24"/>
          <w:lang w:val="es-ES_tradnl"/>
        </w:rPr>
        <w:t>(2018-2021)</w:t>
      </w:r>
      <w:r w:rsidR="00F363E3" w:rsidRPr="00D53B1C">
        <w:rPr>
          <w:szCs w:val="24"/>
          <w:lang w:val="es-ES_tradnl"/>
        </w:rPr>
        <w:t>.</w:t>
      </w:r>
      <w:bookmarkEnd w:id="56"/>
    </w:p>
    <w:p w:rsidR="00F363E3" w:rsidRPr="00D53B1C" w:rsidRDefault="008E335D" w:rsidP="00CC0BBF">
      <w:pPr>
        <w:rPr>
          <w:szCs w:val="24"/>
          <w:lang w:val="es-ES_tradnl"/>
        </w:rPr>
      </w:pPr>
      <w:bookmarkStart w:id="57" w:name="lt_pId084"/>
      <w:r w:rsidRPr="00D53B1C">
        <w:rPr>
          <w:rFonts w:cstheme="minorHAnsi"/>
          <w:szCs w:val="24"/>
          <w:lang w:val="es-ES_tradnl"/>
        </w:rPr>
        <w:t>3.18</w:t>
      </w:r>
      <w:r w:rsidRPr="00D53B1C">
        <w:rPr>
          <w:rFonts w:cstheme="minorHAnsi"/>
          <w:szCs w:val="24"/>
          <w:lang w:val="es-ES_tradnl"/>
        </w:rPr>
        <w:tab/>
      </w:r>
      <w:r w:rsidR="00CC0BBF">
        <w:rPr>
          <w:rFonts w:cstheme="minorHAnsi"/>
          <w:szCs w:val="24"/>
          <w:lang w:val="es-ES_tradnl"/>
        </w:rPr>
        <w:t>El día 8 de mayo de 2017 se celebrará una Reunión de Coordinación de las Reuniones Preparatorias Regionales a fin de consolidar los resultados de las RPR en un mismo informe. El informe consolidado se someterá a la reunión del GADT del 9 al 12 de mayo de 2017.</w:t>
      </w:r>
      <w:bookmarkEnd w:id="57"/>
    </w:p>
    <w:p w:rsidR="00F363E3" w:rsidRPr="00D53B1C" w:rsidRDefault="008E335D" w:rsidP="00CC0BBF">
      <w:pPr>
        <w:rPr>
          <w:szCs w:val="24"/>
          <w:lang w:val="es-ES_tradnl"/>
        </w:rPr>
      </w:pPr>
      <w:bookmarkStart w:id="58" w:name="lt_pId086"/>
      <w:r w:rsidRPr="00D53B1C">
        <w:rPr>
          <w:rFonts w:cstheme="minorHAnsi"/>
          <w:szCs w:val="24"/>
          <w:lang w:val="es-ES_tradnl"/>
        </w:rPr>
        <w:t>3.19</w:t>
      </w:r>
      <w:r w:rsidRPr="00D53B1C">
        <w:rPr>
          <w:rFonts w:cstheme="minorHAnsi"/>
          <w:szCs w:val="24"/>
          <w:lang w:val="es-ES_tradnl"/>
        </w:rPr>
        <w:tab/>
      </w:r>
      <w:r w:rsidR="00CC0BBF">
        <w:rPr>
          <w:rFonts w:cstheme="minorHAnsi"/>
          <w:szCs w:val="24"/>
          <w:lang w:val="es-ES_tradnl"/>
        </w:rPr>
        <w:t xml:space="preserve">Todos los documentos relacionados con cada RPR y FRD, incluidas las invitaciones, los </w:t>
      </w:r>
      <w:r w:rsidR="00EC0896">
        <w:rPr>
          <w:rFonts w:cstheme="minorHAnsi"/>
          <w:szCs w:val="24"/>
          <w:lang w:val="es-ES_tradnl"/>
        </w:rPr>
        <w:t>órdenes</w:t>
      </w:r>
      <w:r w:rsidR="00CC0BBF">
        <w:rPr>
          <w:rFonts w:cstheme="minorHAnsi"/>
          <w:szCs w:val="24"/>
          <w:lang w:val="es-ES_tradnl"/>
        </w:rPr>
        <w:t xml:space="preserve"> del día de las reuniones, las contribuciones recibidas y los informes de reunión están disponibles en el sitio web de cada uno de los eventos en la dirección </w:t>
      </w:r>
      <w:hyperlink r:id="rId18" w:history="1">
        <w:r w:rsidR="00F363E3" w:rsidRPr="00D53B1C">
          <w:rPr>
            <w:rStyle w:val="Hyperlink"/>
            <w:rFonts w:cstheme="minorHAnsi"/>
            <w:szCs w:val="24"/>
            <w:lang w:val="es-ES_tradnl"/>
          </w:rPr>
          <w:t>http://www.itu.</w:t>
        </w:r>
        <w:r w:rsidR="00F363E3" w:rsidRPr="00D53B1C">
          <w:rPr>
            <w:rStyle w:val="Hyperlink"/>
            <w:rFonts w:cstheme="minorHAnsi"/>
            <w:szCs w:val="24"/>
            <w:lang w:val="es-ES_tradnl"/>
          </w:rPr>
          <w:t>i</w:t>
        </w:r>
        <w:r w:rsidR="00F363E3" w:rsidRPr="00D53B1C">
          <w:rPr>
            <w:rStyle w:val="Hyperlink"/>
            <w:rFonts w:cstheme="minorHAnsi"/>
            <w:szCs w:val="24"/>
            <w:lang w:val="es-ES_tradnl"/>
          </w:rPr>
          <w:t>nt/en/itu-d/conferences/wtdc/wtdc17/pages/rpm.aspx</w:t>
        </w:r>
      </w:hyperlink>
      <w:r w:rsidR="00F363E3" w:rsidRPr="00D53B1C">
        <w:rPr>
          <w:rFonts w:cstheme="minorHAnsi"/>
          <w:szCs w:val="24"/>
          <w:lang w:val="es-ES_tradnl"/>
        </w:rPr>
        <w:t>.</w:t>
      </w:r>
      <w:bookmarkEnd w:id="58"/>
    </w:p>
    <w:p w:rsidR="00F363E3" w:rsidRPr="00D53B1C" w:rsidRDefault="008E335D" w:rsidP="00EC0896">
      <w:pPr>
        <w:rPr>
          <w:szCs w:val="24"/>
          <w:lang w:val="es-ES_tradnl"/>
        </w:rPr>
      </w:pPr>
      <w:bookmarkStart w:id="59" w:name="lt_pId087"/>
      <w:r w:rsidRPr="00D53B1C">
        <w:rPr>
          <w:rFonts w:cstheme="minorHAnsi"/>
          <w:szCs w:val="24"/>
          <w:lang w:val="es-ES_tradnl"/>
        </w:rPr>
        <w:t>3.20</w:t>
      </w:r>
      <w:r w:rsidRPr="00D53B1C">
        <w:rPr>
          <w:rFonts w:cstheme="minorHAnsi"/>
          <w:szCs w:val="24"/>
          <w:lang w:val="es-ES_tradnl"/>
        </w:rPr>
        <w:tab/>
      </w:r>
      <w:r w:rsidR="00CC0BBF">
        <w:rPr>
          <w:rFonts w:cstheme="minorHAnsi"/>
          <w:szCs w:val="24"/>
          <w:lang w:val="es-ES_tradnl"/>
        </w:rPr>
        <w:t>También se discutió el proyecto de estructura de la CMDT-17 en todas las RPR y una versión actualizada</w:t>
      </w:r>
      <w:r w:rsidR="00EC0896">
        <w:rPr>
          <w:rFonts w:cstheme="minorHAnsi"/>
          <w:szCs w:val="24"/>
          <w:lang w:val="es-ES_tradnl"/>
        </w:rPr>
        <w:t>, basada en dichas disc</w:t>
      </w:r>
      <w:r w:rsidR="00E56AD0">
        <w:rPr>
          <w:rFonts w:cstheme="minorHAnsi"/>
          <w:szCs w:val="24"/>
          <w:lang w:val="es-ES_tradnl"/>
        </w:rPr>
        <w:t>usiones, se ha publicado en el Documento TDAG17</w:t>
      </w:r>
      <w:r w:rsidR="00E56AD0">
        <w:rPr>
          <w:rFonts w:cstheme="minorHAnsi"/>
          <w:szCs w:val="24"/>
          <w:lang w:val="es-ES_tradnl"/>
        </w:rPr>
        <w:noBreakHyphen/>
      </w:r>
      <w:r w:rsidR="00F363E3" w:rsidRPr="00D53B1C">
        <w:rPr>
          <w:rFonts w:cstheme="minorHAnsi"/>
          <w:szCs w:val="24"/>
          <w:lang w:val="es-ES_tradnl"/>
        </w:rPr>
        <w:t>22/12.</w:t>
      </w:r>
      <w:bookmarkEnd w:id="59"/>
    </w:p>
    <w:p w:rsidR="00F363E3" w:rsidRPr="00596213" w:rsidRDefault="00352FFF" w:rsidP="00EC0896">
      <w:pPr>
        <w:pStyle w:val="Heading1"/>
        <w:rPr>
          <w:sz w:val="24"/>
          <w:szCs w:val="24"/>
          <w:lang w:val="es-ES_tradnl"/>
        </w:rPr>
      </w:pPr>
      <w:bookmarkStart w:id="60" w:name="lt_pId088"/>
      <w:r w:rsidRPr="00596213">
        <w:rPr>
          <w:sz w:val="24"/>
          <w:szCs w:val="24"/>
          <w:lang w:val="es-ES_tradnl"/>
        </w:rPr>
        <w:t>4</w:t>
      </w:r>
      <w:r w:rsidRPr="00596213">
        <w:rPr>
          <w:sz w:val="24"/>
          <w:szCs w:val="24"/>
          <w:lang w:val="es-ES_tradnl"/>
        </w:rPr>
        <w:tab/>
      </w:r>
      <w:bookmarkEnd w:id="60"/>
      <w:r w:rsidR="00F07B7B" w:rsidRPr="00596213">
        <w:rPr>
          <w:sz w:val="24"/>
          <w:szCs w:val="24"/>
          <w:lang w:val="es-ES_tradnl"/>
        </w:rPr>
        <w:t>Declaraciones políticas de la serie de Sesiones de Alto Nivel</w:t>
      </w:r>
    </w:p>
    <w:p w:rsidR="00F363E3" w:rsidRPr="00D53B1C" w:rsidRDefault="00EC0896" w:rsidP="00EC0896">
      <w:pPr>
        <w:rPr>
          <w:lang w:val="es-ES_tradnl"/>
        </w:rPr>
      </w:pPr>
      <w:bookmarkStart w:id="61" w:name="lt_pId089"/>
      <w:r>
        <w:rPr>
          <w:lang w:val="es-ES_tradnl"/>
        </w:rPr>
        <w:t xml:space="preserve">La Serie de Sesiones de Alto Nivel </w:t>
      </w:r>
      <w:r w:rsidR="006748D6" w:rsidRPr="00D53B1C">
        <w:rPr>
          <w:lang w:val="es-ES_tradnl"/>
        </w:rPr>
        <w:t>constituye una plataforma especial en la que los altos funcionarios de los Estados Miembros y Miembros de Sector pueden expresar sus puntos de vista sobre nuevas tendencias y asuntos de importancia estratégica para el desarrollo de</w:t>
      </w:r>
      <w:r>
        <w:rPr>
          <w:lang w:val="es-ES_tradnl"/>
        </w:rPr>
        <w:t xml:space="preserve">l sector de las </w:t>
      </w:r>
      <w:r w:rsidR="006748D6" w:rsidRPr="00D53B1C">
        <w:rPr>
          <w:lang w:val="es-ES_tradnl"/>
        </w:rPr>
        <w:t>telecomunicaciones y las tecnologías de la información y la comunicación</w:t>
      </w:r>
      <w:bookmarkStart w:id="62" w:name="lt_pId090"/>
      <w:bookmarkEnd w:id="61"/>
      <w:r w:rsidR="006748D6" w:rsidRPr="00D53B1C">
        <w:rPr>
          <w:lang w:val="es-ES_tradnl"/>
        </w:rPr>
        <w:t xml:space="preserve">. </w:t>
      </w:r>
      <w:r>
        <w:rPr>
          <w:lang w:val="es-ES_tradnl"/>
        </w:rPr>
        <w:t xml:space="preserve">Se sugiere que </w:t>
      </w:r>
      <w:r w:rsidRPr="00EC0896">
        <w:rPr>
          <w:b/>
          <w:bCs/>
          <w:lang w:val="es-ES_tradnl"/>
        </w:rPr>
        <w:t xml:space="preserve">las declaraciones políticas en la CMDT-17 se limiten a los ministros, viceministros o ministros adjuntos o secretarios de gabinete, y </w:t>
      </w:r>
      <w:r>
        <w:rPr>
          <w:b/>
          <w:bCs/>
          <w:lang w:val="es-ES_tradnl"/>
        </w:rPr>
        <w:t xml:space="preserve">que </w:t>
      </w:r>
      <w:r w:rsidRPr="00EC0896">
        <w:rPr>
          <w:b/>
          <w:bCs/>
          <w:lang w:val="es-ES_tradnl"/>
        </w:rPr>
        <w:t xml:space="preserve">el tiempo de las intervenciones </w:t>
      </w:r>
      <w:r>
        <w:rPr>
          <w:b/>
          <w:bCs/>
          <w:lang w:val="es-ES_tradnl"/>
        </w:rPr>
        <w:t>se limite</w:t>
      </w:r>
      <w:r w:rsidRPr="00EC0896">
        <w:rPr>
          <w:b/>
          <w:bCs/>
          <w:lang w:val="es-ES_tradnl"/>
        </w:rPr>
        <w:t xml:space="preserve"> de preferencia a 3 minutos, </w:t>
      </w:r>
      <w:r>
        <w:rPr>
          <w:b/>
          <w:bCs/>
          <w:lang w:val="es-ES_tradnl"/>
        </w:rPr>
        <w:t>pero</w:t>
      </w:r>
      <w:r w:rsidRPr="00EC0896">
        <w:rPr>
          <w:b/>
          <w:bCs/>
          <w:lang w:val="es-ES_tradnl"/>
        </w:rPr>
        <w:t xml:space="preserve"> no más de cinco minutos, quedando entendido que la declaración completa se publicará en el sitio web de la Conferencia.</w:t>
      </w:r>
      <w:bookmarkEnd w:id="62"/>
    </w:p>
    <w:p w:rsidR="00F363E3" w:rsidRPr="00EB45DA" w:rsidRDefault="002A1DB9" w:rsidP="00EC0896">
      <w:pPr>
        <w:pStyle w:val="Heading1"/>
        <w:rPr>
          <w:sz w:val="24"/>
          <w:szCs w:val="24"/>
          <w:lang w:val="es-ES_tradnl"/>
        </w:rPr>
      </w:pPr>
      <w:bookmarkStart w:id="63" w:name="lt_pId091"/>
      <w:r w:rsidRPr="00EB45DA">
        <w:rPr>
          <w:sz w:val="24"/>
          <w:szCs w:val="24"/>
          <w:lang w:val="es-ES_tradnl"/>
        </w:rPr>
        <w:t>5</w:t>
      </w:r>
      <w:r w:rsidRPr="00EB45DA">
        <w:rPr>
          <w:sz w:val="24"/>
          <w:szCs w:val="24"/>
          <w:lang w:val="es-ES_tradnl"/>
        </w:rPr>
        <w:tab/>
      </w:r>
      <w:bookmarkEnd w:id="63"/>
      <w:r w:rsidR="00EC0896" w:rsidRPr="00EB45DA">
        <w:rPr>
          <w:sz w:val="24"/>
          <w:szCs w:val="24"/>
          <w:lang w:val="es-ES_tradnl"/>
        </w:rPr>
        <w:t>Eventos paralelos</w:t>
      </w:r>
    </w:p>
    <w:p w:rsidR="00F363E3" w:rsidRPr="00D53B1C" w:rsidRDefault="00EC0896" w:rsidP="00D831FB">
      <w:pPr>
        <w:rPr>
          <w:szCs w:val="24"/>
          <w:lang w:val="es-ES_tradnl"/>
        </w:rPr>
      </w:pPr>
      <w:bookmarkStart w:id="64" w:name="lt_pId092"/>
      <w:r>
        <w:rPr>
          <w:szCs w:val="24"/>
          <w:lang w:val="es-ES_tradnl"/>
        </w:rPr>
        <w:t>Se organizarán eventos paralelos en to</w:t>
      </w:r>
      <w:r w:rsidR="005F516A">
        <w:rPr>
          <w:szCs w:val="24"/>
          <w:lang w:val="es-ES_tradnl"/>
        </w:rPr>
        <w:t>rno al tema</w:t>
      </w:r>
      <w:r w:rsidR="00AE264B">
        <w:rPr>
          <w:szCs w:val="24"/>
          <w:lang w:val="es-ES_tradnl"/>
        </w:rPr>
        <w:t xml:space="preserve"> de</w:t>
      </w:r>
      <w:r>
        <w:rPr>
          <w:szCs w:val="24"/>
          <w:lang w:val="es-ES_tradnl"/>
        </w:rPr>
        <w:t xml:space="preserve"> la CMDT-17, las Tic para los ODS. A medida que se acerque la fecha de inicio de la Conferencia se facilitarán más detalles de estos eventos.</w:t>
      </w:r>
      <w:bookmarkEnd w:id="64"/>
    </w:p>
    <w:p w:rsidR="00F363E3" w:rsidRPr="00EB45DA" w:rsidRDefault="002A1DB9" w:rsidP="00E80D18">
      <w:pPr>
        <w:pStyle w:val="Heading1"/>
        <w:rPr>
          <w:sz w:val="24"/>
          <w:szCs w:val="24"/>
          <w:lang w:val="es-ES_tradnl"/>
        </w:rPr>
      </w:pPr>
      <w:bookmarkStart w:id="65" w:name="lt_pId094"/>
      <w:r w:rsidRPr="00EB45DA">
        <w:rPr>
          <w:sz w:val="24"/>
          <w:szCs w:val="24"/>
          <w:lang w:val="es-ES_tradnl"/>
        </w:rPr>
        <w:t>6</w:t>
      </w:r>
      <w:r w:rsidRPr="00EB45DA">
        <w:rPr>
          <w:sz w:val="24"/>
          <w:szCs w:val="24"/>
          <w:lang w:val="es-ES_tradnl"/>
        </w:rPr>
        <w:tab/>
      </w:r>
      <w:r w:rsidR="00F363E3" w:rsidRPr="00EB45DA">
        <w:rPr>
          <w:sz w:val="24"/>
          <w:szCs w:val="24"/>
          <w:lang w:val="es-ES_tradnl"/>
        </w:rPr>
        <w:t>Celebra</w:t>
      </w:r>
      <w:r w:rsidR="00EC0896" w:rsidRPr="00EB45DA">
        <w:rPr>
          <w:sz w:val="24"/>
          <w:szCs w:val="24"/>
          <w:lang w:val="es-ES_tradnl"/>
        </w:rPr>
        <w:t>ción del 25º Aniversario del UIT-D</w:t>
      </w:r>
      <w:bookmarkEnd w:id="65"/>
    </w:p>
    <w:p w:rsidR="00F363E3" w:rsidRPr="00D53B1C" w:rsidRDefault="00EC0896" w:rsidP="00E80D18">
      <w:pPr>
        <w:rPr>
          <w:szCs w:val="24"/>
          <w:lang w:val="es-ES_tradnl"/>
        </w:rPr>
      </w:pPr>
      <w:bookmarkStart w:id="66" w:name="lt_pId095"/>
      <w:r>
        <w:rPr>
          <w:rFonts w:cstheme="minorHAnsi"/>
          <w:szCs w:val="24"/>
          <w:lang w:val="es-ES_tradnl"/>
        </w:rPr>
        <w:t>En su reunión de marzo de 2016, el GADT recordó que el año 2017 era especialmente importante para el UIT-D ya que se celebra el 25º Aniversario del Sector. Cread</w:t>
      </w:r>
      <w:r w:rsidR="00F31B0B">
        <w:rPr>
          <w:rFonts w:cstheme="minorHAnsi"/>
          <w:szCs w:val="24"/>
          <w:lang w:val="es-ES_tradnl"/>
        </w:rPr>
        <w:t>o en 1992 por la Conferencia de </w:t>
      </w:r>
      <w:r>
        <w:rPr>
          <w:rFonts w:cstheme="minorHAnsi"/>
          <w:szCs w:val="24"/>
          <w:lang w:val="es-ES_tradnl"/>
        </w:rPr>
        <w:t>Plenipotenciarios Adicional celebrada en Ginebra, el UIT-D ha</w:t>
      </w:r>
      <w:r w:rsidR="00F31B0B">
        <w:rPr>
          <w:rFonts w:cstheme="minorHAnsi"/>
          <w:szCs w:val="24"/>
          <w:lang w:val="es-ES_tradnl"/>
        </w:rPr>
        <w:t xml:space="preserve"> encabezado durante los últimos </w:t>
      </w:r>
      <w:r>
        <w:rPr>
          <w:rFonts w:cstheme="minorHAnsi"/>
          <w:szCs w:val="24"/>
          <w:lang w:val="es-ES_tradnl"/>
        </w:rPr>
        <w:t>25 años el rápido crecimiento y la expansión</w:t>
      </w:r>
      <w:r w:rsidR="00E80D18">
        <w:rPr>
          <w:rFonts w:cstheme="minorHAnsi"/>
          <w:szCs w:val="24"/>
          <w:lang w:val="es-ES_tradnl"/>
        </w:rPr>
        <w:t xml:space="preserve"> de las redes y los servicios de telecomunicaciones</w:t>
      </w:r>
      <w:r w:rsidR="009160D9">
        <w:rPr>
          <w:rFonts w:cstheme="minorHAnsi"/>
          <w:szCs w:val="24"/>
          <w:lang w:val="es-ES_tradnl"/>
        </w:rPr>
        <w:t xml:space="preserve"> y de </w:t>
      </w:r>
      <w:r w:rsidR="00E80D18">
        <w:rPr>
          <w:rFonts w:cstheme="minorHAnsi"/>
          <w:szCs w:val="24"/>
          <w:lang w:val="es-ES_tradnl"/>
        </w:rPr>
        <w:t xml:space="preserve">TIC. </w:t>
      </w:r>
      <w:bookmarkEnd w:id="66"/>
      <w:r w:rsidR="00E80D18">
        <w:rPr>
          <w:rFonts w:cstheme="minorHAnsi"/>
          <w:szCs w:val="24"/>
          <w:lang w:val="es-ES_tradnl"/>
        </w:rPr>
        <w:t xml:space="preserve">Están previstas diversas actividades para celebrar el Aniversario y las mismas se describen en el </w:t>
      </w:r>
      <w:bookmarkStart w:id="67" w:name="lt_pId097"/>
      <w:r w:rsidR="00E80D18" w:rsidRPr="00D53B1C">
        <w:rPr>
          <w:szCs w:val="24"/>
          <w:lang w:val="es-ES_tradnl"/>
        </w:rPr>
        <w:t>Documento</w:t>
      </w:r>
      <w:r w:rsidR="00F363E3" w:rsidRPr="00D53B1C">
        <w:rPr>
          <w:szCs w:val="24"/>
          <w:lang w:val="es-ES_tradnl"/>
        </w:rPr>
        <w:t xml:space="preserve"> TDAG-17-22/19.</w:t>
      </w:r>
      <w:bookmarkEnd w:id="67"/>
    </w:p>
    <w:p w:rsidR="00F363E3" w:rsidRPr="00EB45DA" w:rsidRDefault="002A1DB9" w:rsidP="005539A9">
      <w:pPr>
        <w:pStyle w:val="Heading1"/>
        <w:rPr>
          <w:sz w:val="24"/>
          <w:szCs w:val="24"/>
          <w:lang w:val="es-ES_tradnl"/>
        </w:rPr>
      </w:pPr>
      <w:bookmarkStart w:id="68" w:name="lt_pId098"/>
      <w:r w:rsidRPr="00EB45DA">
        <w:rPr>
          <w:sz w:val="24"/>
          <w:szCs w:val="24"/>
          <w:lang w:val="es-ES_tradnl"/>
        </w:rPr>
        <w:t>7</w:t>
      </w:r>
      <w:r w:rsidRPr="00EB45DA">
        <w:rPr>
          <w:sz w:val="24"/>
          <w:szCs w:val="24"/>
          <w:lang w:val="es-ES_tradnl"/>
        </w:rPr>
        <w:tab/>
      </w:r>
      <w:r w:rsidR="00E80D18" w:rsidRPr="00EB45DA">
        <w:rPr>
          <w:sz w:val="24"/>
          <w:szCs w:val="24"/>
          <w:lang w:val="es-ES_tradnl"/>
        </w:rPr>
        <w:t>Oportunidades de patrocinio</w:t>
      </w:r>
      <w:bookmarkEnd w:id="68"/>
    </w:p>
    <w:p w:rsidR="00F363E3" w:rsidRPr="00D53B1C" w:rsidRDefault="00E80D18" w:rsidP="004631E9">
      <w:pPr>
        <w:keepNext/>
        <w:keepLines/>
        <w:rPr>
          <w:rStyle w:val="Strong"/>
          <w:rFonts w:eastAsia="SimSun" w:cstheme="minorBidi"/>
          <w:b w:val="0"/>
          <w:bCs w:val="0"/>
          <w:i/>
          <w:iCs/>
          <w:szCs w:val="24"/>
          <w:lang w:val="es-ES_tradnl" w:eastAsia="zh-CN"/>
        </w:rPr>
      </w:pPr>
      <w:bookmarkStart w:id="69" w:name="lt_pId099"/>
      <w:r w:rsidRPr="00E80D18">
        <w:rPr>
          <w:szCs w:val="24"/>
          <w:lang w:val="es-ES_tradnl"/>
        </w:rPr>
        <w:t>La Oficina de Desarrollo de las Telecomunicaciones (BDT) de la UIT ofrece varios paquetes de pat</w:t>
      </w:r>
      <w:r>
        <w:rPr>
          <w:szCs w:val="24"/>
          <w:lang w:val="es-ES_tradnl"/>
        </w:rPr>
        <w:t xml:space="preserve">rocinio para el 25º aniversario del Sector de Desarrollo de las Telecomunicaciones y para los eventos paralelos de la CMDT-17. </w:t>
      </w:r>
      <w:bookmarkStart w:id="70" w:name="lt_pId100"/>
      <w:bookmarkEnd w:id="69"/>
      <w:r w:rsidRPr="00E80D18">
        <w:rPr>
          <w:szCs w:val="24"/>
          <w:lang w:val="es-ES_tradnl"/>
        </w:rPr>
        <w:t xml:space="preserve">Cada uno de estos paquetes </w:t>
      </w:r>
      <w:r>
        <w:rPr>
          <w:szCs w:val="24"/>
          <w:lang w:val="es-ES_tradnl"/>
        </w:rPr>
        <w:t xml:space="preserve">de patrocinio </w:t>
      </w:r>
      <w:r w:rsidRPr="00E80D18">
        <w:rPr>
          <w:szCs w:val="24"/>
          <w:lang w:val="es-ES_tradnl"/>
        </w:rPr>
        <w:t>entraña una amplia gama de beneficios</w:t>
      </w:r>
      <w:r w:rsidR="00F363E3" w:rsidRPr="00D53B1C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y ofrece una oportunidad única para mejorar la visibilidad del patrocinio</w:t>
      </w:r>
      <w:r w:rsidRPr="008A5AE1">
        <w:rPr>
          <w:b/>
          <w:bCs/>
          <w:szCs w:val="24"/>
          <w:lang w:val="es-ES_tradnl"/>
        </w:rPr>
        <w:t xml:space="preserve">. </w:t>
      </w:r>
      <w:bookmarkStart w:id="71" w:name="lt_pId101"/>
      <w:bookmarkEnd w:id="70"/>
      <w:r w:rsidRPr="008A5AE1">
        <w:rPr>
          <w:rStyle w:val="Strong"/>
          <w:b w:val="0"/>
          <w:bCs w:val="0"/>
          <w:color w:val="000000"/>
          <w:szCs w:val="24"/>
          <w:lang w:val="es-ES_tradnl"/>
        </w:rPr>
        <w:t>Los recursos movilizados se utilizarán para organizar las actividades patrocinadas y para implementar proyectos e iniciativas, especialmente las iniciativas regionales que adopte l</w:t>
      </w:r>
      <w:r w:rsidR="009160D9" w:rsidRPr="008A5AE1">
        <w:rPr>
          <w:rStyle w:val="Strong"/>
          <w:b w:val="0"/>
          <w:bCs w:val="0"/>
          <w:color w:val="000000"/>
          <w:szCs w:val="24"/>
          <w:lang w:val="es-ES_tradnl"/>
        </w:rPr>
        <w:t>a </w:t>
      </w:r>
      <w:r w:rsidRPr="008A5AE1">
        <w:rPr>
          <w:rStyle w:val="Strong"/>
          <w:b w:val="0"/>
          <w:bCs w:val="0"/>
          <w:color w:val="000000"/>
          <w:szCs w:val="24"/>
          <w:lang w:val="es-ES_tradnl"/>
        </w:rPr>
        <w:t>CMDT-17.</w:t>
      </w:r>
      <w:bookmarkEnd w:id="71"/>
      <w:r w:rsidR="00F363E3" w:rsidRPr="008A5AE1">
        <w:rPr>
          <w:rStyle w:val="Strong"/>
          <w:b w:val="0"/>
          <w:bCs w:val="0"/>
          <w:color w:val="000000"/>
          <w:szCs w:val="24"/>
          <w:lang w:val="es-ES_tradnl"/>
        </w:rPr>
        <w:t xml:space="preserve"> </w:t>
      </w:r>
      <w:bookmarkStart w:id="72" w:name="lt_pId102"/>
      <w:r w:rsidRPr="008A5AE1">
        <w:rPr>
          <w:rStyle w:val="Strong"/>
          <w:b w:val="0"/>
          <w:bCs w:val="0"/>
          <w:color w:val="000000"/>
          <w:szCs w:val="24"/>
          <w:lang w:val="es-ES_tradnl"/>
        </w:rPr>
        <w:t xml:space="preserve">Los </w:t>
      </w:r>
      <w:r w:rsidRPr="008A5AE1">
        <w:rPr>
          <w:rStyle w:val="Strong"/>
          <w:b w:val="0"/>
          <w:bCs w:val="0"/>
          <w:color w:val="000000"/>
          <w:szCs w:val="24"/>
          <w:lang w:val="es-ES_tradnl"/>
        </w:rPr>
        <w:lastRenderedPageBreak/>
        <w:t>detalles relativos a los beneficios del patrocinio pueden consultarse en la dirección</w:t>
      </w:r>
      <w:r w:rsidR="00F363E3" w:rsidRPr="008A5AE1">
        <w:rPr>
          <w:rStyle w:val="Strong"/>
          <w:b w:val="0"/>
          <w:bCs w:val="0"/>
          <w:szCs w:val="24"/>
          <w:lang w:val="es-ES_tradnl"/>
        </w:rPr>
        <w:t>:</w:t>
      </w:r>
      <w:bookmarkEnd w:id="72"/>
      <w:r w:rsidR="00F363E3" w:rsidRPr="00D53B1C">
        <w:rPr>
          <w:rStyle w:val="Strong"/>
          <w:i/>
          <w:iCs/>
          <w:szCs w:val="24"/>
          <w:lang w:val="es-ES_tradnl"/>
        </w:rPr>
        <w:t xml:space="preserve"> </w:t>
      </w:r>
      <w:hyperlink r:id="rId19" w:history="1">
        <w:bookmarkStart w:id="73" w:name="lt_pId103"/>
        <w:r w:rsidR="00F363E3" w:rsidRPr="00D53B1C">
          <w:rPr>
            <w:rStyle w:val="Hyperlink"/>
            <w:i/>
            <w:iCs/>
            <w:szCs w:val="24"/>
            <w:lang w:val="es-ES_tradnl"/>
          </w:rPr>
          <w:t>www.itu.int/go/en/itudspon</w:t>
        </w:r>
        <w:r w:rsidR="00F363E3" w:rsidRPr="00D53B1C">
          <w:rPr>
            <w:rStyle w:val="Hyperlink"/>
            <w:i/>
            <w:iCs/>
            <w:szCs w:val="24"/>
            <w:lang w:val="es-ES_tradnl"/>
          </w:rPr>
          <w:t>s</w:t>
        </w:r>
        <w:r w:rsidR="00F363E3" w:rsidRPr="00D53B1C">
          <w:rPr>
            <w:rStyle w:val="Hyperlink"/>
            <w:i/>
            <w:iCs/>
            <w:szCs w:val="24"/>
            <w:lang w:val="es-ES_tradnl"/>
          </w:rPr>
          <w:t>orships</w:t>
        </w:r>
        <w:bookmarkEnd w:id="73"/>
      </w:hyperlink>
    </w:p>
    <w:p w:rsidR="00F363E3" w:rsidRPr="00EB45DA" w:rsidRDefault="002A1DB9" w:rsidP="005539A9">
      <w:pPr>
        <w:pStyle w:val="Heading1"/>
        <w:rPr>
          <w:sz w:val="24"/>
          <w:szCs w:val="24"/>
          <w:lang w:val="es-ES_tradnl"/>
        </w:rPr>
      </w:pPr>
      <w:bookmarkStart w:id="74" w:name="lt_pId104"/>
      <w:r w:rsidRPr="00EB45DA">
        <w:rPr>
          <w:sz w:val="24"/>
          <w:szCs w:val="24"/>
          <w:lang w:val="es-ES_tradnl"/>
        </w:rPr>
        <w:t>8</w:t>
      </w:r>
      <w:r w:rsidRPr="00EB45DA">
        <w:rPr>
          <w:sz w:val="24"/>
          <w:szCs w:val="24"/>
          <w:lang w:val="es-ES_tradnl"/>
        </w:rPr>
        <w:tab/>
      </w:r>
      <w:bookmarkEnd w:id="74"/>
      <w:r w:rsidR="00E80D18" w:rsidRPr="00EB45DA">
        <w:rPr>
          <w:sz w:val="24"/>
          <w:szCs w:val="24"/>
          <w:lang w:val="es-ES_tradnl"/>
        </w:rPr>
        <w:t>Conclusión</w:t>
      </w:r>
    </w:p>
    <w:p w:rsidR="00F363E3" w:rsidRPr="00D53B1C" w:rsidRDefault="00E80D18" w:rsidP="005539A9">
      <w:pPr>
        <w:keepNext/>
        <w:tabs>
          <w:tab w:val="left" w:pos="851"/>
        </w:tabs>
        <w:adjustRightInd/>
        <w:snapToGrid w:val="0"/>
        <w:spacing w:after="240"/>
        <w:rPr>
          <w:szCs w:val="24"/>
          <w:lang w:val="es-ES_tradnl"/>
        </w:rPr>
      </w:pPr>
      <w:bookmarkStart w:id="75" w:name="lt_pId105"/>
      <w:r>
        <w:rPr>
          <w:szCs w:val="24"/>
          <w:lang w:val="es-ES_tradnl"/>
        </w:rPr>
        <w:t>Prosiguen los trabajos a nivel de la secretaría para garantizar un proceso preparatorio eficiente y efectivo que garantice el éxito de la Conferencia. Se invita al Consejo a tomar nota de los preparativos de la CMDT-17</w:t>
      </w:r>
      <w:r w:rsidR="005539A9">
        <w:rPr>
          <w:szCs w:val="24"/>
          <w:lang w:val="es-ES_tradnl"/>
        </w:rPr>
        <w:t xml:space="preserve"> y a refrendar la siguiente recomendación: </w:t>
      </w:r>
      <w:bookmarkStart w:id="76" w:name="lt_pId107"/>
      <w:bookmarkEnd w:id="75"/>
      <w:r w:rsidRPr="005539A9">
        <w:rPr>
          <w:b/>
          <w:bCs/>
          <w:szCs w:val="24"/>
          <w:lang w:val="es-ES_tradnl"/>
        </w:rPr>
        <w:t>las declaraciones políticas en la CMDT-17 deberán limitarse a los ministros, viceministros o ministros adjuntos o secretarios de gabinete, y el tiempo de las intervenciones deberá limitarse de preferencia a 3 minutos, pero no más de cinco minutos, quedando entendido que la declaración completa se publicará en el sitio web de la Conferencia</w:t>
      </w:r>
      <w:r w:rsidR="00F363E3" w:rsidRPr="00D53B1C">
        <w:rPr>
          <w:b/>
          <w:bCs/>
          <w:szCs w:val="24"/>
          <w:lang w:val="es-ES_tradnl"/>
        </w:rPr>
        <w:t>.</w:t>
      </w:r>
      <w:bookmarkEnd w:id="76"/>
    </w:p>
    <w:p w:rsidR="00F363E3" w:rsidRPr="00D53B1C" w:rsidRDefault="00F363E3" w:rsidP="005539A9">
      <w:pPr>
        <w:pStyle w:val="Reasons"/>
        <w:rPr>
          <w:lang w:val="es-ES_tradnl"/>
        </w:rPr>
      </w:pPr>
    </w:p>
    <w:p w:rsidR="00F363E3" w:rsidRPr="00D53B1C" w:rsidRDefault="00F363E3" w:rsidP="005539A9">
      <w:pPr>
        <w:jc w:val="center"/>
        <w:rPr>
          <w:lang w:val="es-ES_tradnl"/>
        </w:rPr>
      </w:pPr>
      <w:r w:rsidRPr="00D53B1C">
        <w:rPr>
          <w:lang w:val="es-ES_tradnl"/>
        </w:rPr>
        <w:t>______________</w:t>
      </w:r>
    </w:p>
    <w:sectPr w:rsidR="00F363E3" w:rsidRPr="00D53B1C" w:rsidSect="004B7893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9" w:rsidRDefault="00241CB9" w:rsidP="0088106F">
      <w:r>
        <w:separator/>
      </w:r>
    </w:p>
  </w:endnote>
  <w:endnote w:type="continuationSeparator" w:id="0">
    <w:p w:rsidR="00241CB9" w:rsidRDefault="00241CB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7E" w:rsidRPr="00177C97" w:rsidRDefault="00177C97" w:rsidP="00177C97">
    <w:pPr>
      <w:pStyle w:val="Footer"/>
      <w:rPr>
        <w:szCs w:val="16"/>
        <w:lang w:val="en-US"/>
      </w:rPr>
    </w:pPr>
    <w:r w:rsidRPr="00177C97">
      <w:rPr>
        <w:noProof w:val="0"/>
        <w:szCs w:val="16"/>
      </w:rPr>
      <w:fldChar w:fldCharType="begin"/>
    </w:r>
    <w:r w:rsidRPr="00177C97">
      <w:rPr>
        <w:noProof w:val="0"/>
        <w:szCs w:val="16"/>
      </w:rPr>
      <w:instrText xml:space="preserve"> FILENAME \p  \* MERGEFORMAT </w:instrText>
    </w:r>
    <w:r w:rsidRPr="00177C97">
      <w:rPr>
        <w:noProof w:val="0"/>
        <w:szCs w:val="16"/>
      </w:rPr>
      <w:fldChar w:fldCharType="separate"/>
    </w:r>
    <w:r w:rsidR="00BD65C2">
      <w:rPr>
        <w:szCs w:val="16"/>
      </w:rPr>
      <w:t>P:\ESP\ITU-D\CONF-D\TDAG17\000\016S.docx</w:t>
    </w:r>
    <w:r w:rsidRPr="00177C97">
      <w:rPr>
        <w:szCs w:val="16"/>
      </w:rPr>
      <w:fldChar w:fldCharType="end"/>
    </w:r>
    <w:r w:rsidRPr="00177C97">
      <w:rPr>
        <w:szCs w:val="16"/>
      </w:rPr>
      <w:t xml:space="preserve"> (413979)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B5" w:rsidRDefault="001F6077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9" w:rsidRDefault="00241CB9" w:rsidP="0088106F">
      <w:r>
        <w:separator/>
      </w:r>
    </w:p>
  </w:footnote>
  <w:footnote w:type="continuationSeparator" w:id="0">
    <w:p w:rsidR="00241CB9" w:rsidRDefault="00241CB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D8777E" w:rsidRDefault="009A6FC4" w:rsidP="00D8777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="00A70F2A">
      <w:rPr>
        <w:sz w:val="22"/>
        <w:szCs w:val="22"/>
        <w:lang w:val="en-US"/>
      </w:rPr>
      <w:t>/16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F6077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2E38"/>
    <w:multiLevelType w:val="multilevel"/>
    <w:tmpl w:val="9E2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F1D6A1B"/>
    <w:multiLevelType w:val="multilevel"/>
    <w:tmpl w:val="747C4B2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5854451"/>
    <w:multiLevelType w:val="hybridMultilevel"/>
    <w:tmpl w:val="14BA81CE"/>
    <w:lvl w:ilvl="0" w:tplc="D0840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06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486F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2A6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8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04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E2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D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04442"/>
    <w:rsid w:val="000135AE"/>
    <w:rsid w:val="000179C2"/>
    <w:rsid w:val="00033D49"/>
    <w:rsid w:val="00041709"/>
    <w:rsid w:val="00071130"/>
    <w:rsid w:val="000731F0"/>
    <w:rsid w:val="000B15C6"/>
    <w:rsid w:val="000B7704"/>
    <w:rsid w:val="000C0AA7"/>
    <w:rsid w:val="000E3A07"/>
    <w:rsid w:val="000E7A0A"/>
    <w:rsid w:val="0011180D"/>
    <w:rsid w:val="00117942"/>
    <w:rsid w:val="0012619F"/>
    <w:rsid w:val="001334CC"/>
    <w:rsid w:val="00147F2E"/>
    <w:rsid w:val="00177C97"/>
    <w:rsid w:val="001940A6"/>
    <w:rsid w:val="00194CB2"/>
    <w:rsid w:val="001B053C"/>
    <w:rsid w:val="001D7E02"/>
    <w:rsid w:val="001F6077"/>
    <w:rsid w:val="001F7A84"/>
    <w:rsid w:val="00207BFC"/>
    <w:rsid w:val="00213302"/>
    <w:rsid w:val="002163B4"/>
    <w:rsid w:val="00221C14"/>
    <w:rsid w:val="00225B8C"/>
    <w:rsid w:val="00241CB9"/>
    <w:rsid w:val="00293037"/>
    <w:rsid w:val="002A1DB9"/>
    <w:rsid w:val="002A7FAB"/>
    <w:rsid w:val="002D4BE6"/>
    <w:rsid w:val="002D6772"/>
    <w:rsid w:val="002E740D"/>
    <w:rsid w:val="002F1638"/>
    <w:rsid w:val="00302736"/>
    <w:rsid w:val="00302939"/>
    <w:rsid w:val="00310236"/>
    <w:rsid w:val="00325E7C"/>
    <w:rsid w:val="00331584"/>
    <w:rsid w:val="0033649F"/>
    <w:rsid w:val="00352FFF"/>
    <w:rsid w:val="00360762"/>
    <w:rsid w:val="00390391"/>
    <w:rsid w:val="003C1746"/>
    <w:rsid w:val="003D4CFB"/>
    <w:rsid w:val="003F785A"/>
    <w:rsid w:val="00424A7A"/>
    <w:rsid w:val="00435C80"/>
    <w:rsid w:val="0045076A"/>
    <w:rsid w:val="004631E9"/>
    <w:rsid w:val="00466076"/>
    <w:rsid w:val="00482632"/>
    <w:rsid w:val="004A135B"/>
    <w:rsid w:val="004A7806"/>
    <w:rsid w:val="004B5D88"/>
    <w:rsid w:val="004B7893"/>
    <w:rsid w:val="004C5FAD"/>
    <w:rsid w:val="00510771"/>
    <w:rsid w:val="0051678C"/>
    <w:rsid w:val="00535C50"/>
    <w:rsid w:val="005539A9"/>
    <w:rsid w:val="005557A3"/>
    <w:rsid w:val="005637B9"/>
    <w:rsid w:val="005643DC"/>
    <w:rsid w:val="005935BC"/>
    <w:rsid w:val="00596213"/>
    <w:rsid w:val="005C2EC1"/>
    <w:rsid w:val="005C44B8"/>
    <w:rsid w:val="005F516A"/>
    <w:rsid w:val="00623FC6"/>
    <w:rsid w:val="006339E7"/>
    <w:rsid w:val="00635A62"/>
    <w:rsid w:val="006377EB"/>
    <w:rsid w:val="006748D6"/>
    <w:rsid w:val="006C0452"/>
    <w:rsid w:val="006D5978"/>
    <w:rsid w:val="006E4AB3"/>
    <w:rsid w:val="006F39EB"/>
    <w:rsid w:val="007073ED"/>
    <w:rsid w:val="0072617D"/>
    <w:rsid w:val="00747829"/>
    <w:rsid w:val="007632FC"/>
    <w:rsid w:val="007641C8"/>
    <w:rsid w:val="00780746"/>
    <w:rsid w:val="00785367"/>
    <w:rsid w:val="007B478A"/>
    <w:rsid w:val="007C3061"/>
    <w:rsid w:val="007E471D"/>
    <w:rsid w:val="00827F35"/>
    <w:rsid w:val="008335F5"/>
    <w:rsid w:val="00835A77"/>
    <w:rsid w:val="00866528"/>
    <w:rsid w:val="008717B5"/>
    <w:rsid w:val="0088106F"/>
    <w:rsid w:val="00887BE7"/>
    <w:rsid w:val="008A5AE1"/>
    <w:rsid w:val="008B24A2"/>
    <w:rsid w:val="008C1852"/>
    <w:rsid w:val="008C1F1E"/>
    <w:rsid w:val="008D55BB"/>
    <w:rsid w:val="008D789A"/>
    <w:rsid w:val="008E335D"/>
    <w:rsid w:val="008F6B39"/>
    <w:rsid w:val="008F6EF3"/>
    <w:rsid w:val="009160D9"/>
    <w:rsid w:val="00917B12"/>
    <w:rsid w:val="00927635"/>
    <w:rsid w:val="0096325C"/>
    <w:rsid w:val="009752D2"/>
    <w:rsid w:val="00981576"/>
    <w:rsid w:val="009952F6"/>
    <w:rsid w:val="009A6FC4"/>
    <w:rsid w:val="009D5283"/>
    <w:rsid w:val="009E69E5"/>
    <w:rsid w:val="00A27D7A"/>
    <w:rsid w:val="00A33516"/>
    <w:rsid w:val="00A33D4A"/>
    <w:rsid w:val="00A40299"/>
    <w:rsid w:val="00A52044"/>
    <w:rsid w:val="00A70F2A"/>
    <w:rsid w:val="00A87DD9"/>
    <w:rsid w:val="00AE1BA7"/>
    <w:rsid w:val="00AE264B"/>
    <w:rsid w:val="00AE758A"/>
    <w:rsid w:val="00B0204B"/>
    <w:rsid w:val="00B03C9D"/>
    <w:rsid w:val="00B4080B"/>
    <w:rsid w:val="00B51347"/>
    <w:rsid w:val="00BC7208"/>
    <w:rsid w:val="00BD65C2"/>
    <w:rsid w:val="00C019B2"/>
    <w:rsid w:val="00C1338D"/>
    <w:rsid w:val="00C54B89"/>
    <w:rsid w:val="00C8117E"/>
    <w:rsid w:val="00CC0BBF"/>
    <w:rsid w:val="00CD06E0"/>
    <w:rsid w:val="00CE6988"/>
    <w:rsid w:val="00D03205"/>
    <w:rsid w:val="00D16175"/>
    <w:rsid w:val="00D241B1"/>
    <w:rsid w:val="00D4202A"/>
    <w:rsid w:val="00D53B1C"/>
    <w:rsid w:val="00D72E05"/>
    <w:rsid w:val="00D831FB"/>
    <w:rsid w:val="00D8777E"/>
    <w:rsid w:val="00D97314"/>
    <w:rsid w:val="00DB6044"/>
    <w:rsid w:val="00E17138"/>
    <w:rsid w:val="00E204A0"/>
    <w:rsid w:val="00E32220"/>
    <w:rsid w:val="00E3519F"/>
    <w:rsid w:val="00E4171C"/>
    <w:rsid w:val="00E51C72"/>
    <w:rsid w:val="00E56AD0"/>
    <w:rsid w:val="00E80D18"/>
    <w:rsid w:val="00E827C2"/>
    <w:rsid w:val="00E95B1E"/>
    <w:rsid w:val="00EA4C0C"/>
    <w:rsid w:val="00EB45DA"/>
    <w:rsid w:val="00EB6D19"/>
    <w:rsid w:val="00EC0896"/>
    <w:rsid w:val="00ED2681"/>
    <w:rsid w:val="00EF644D"/>
    <w:rsid w:val="00F00BDF"/>
    <w:rsid w:val="00F01E28"/>
    <w:rsid w:val="00F07B7B"/>
    <w:rsid w:val="00F12690"/>
    <w:rsid w:val="00F17846"/>
    <w:rsid w:val="00F31B0B"/>
    <w:rsid w:val="00F363E3"/>
    <w:rsid w:val="00F57F24"/>
    <w:rsid w:val="00F62CD5"/>
    <w:rsid w:val="00F67047"/>
    <w:rsid w:val="00F9778D"/>
    <w:rsid w:val="00FA043B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CEOMainDocParagraph">
    <w:name w:val="CEO_MainDoc_Paragraph"/>
    <w:basedOn w:val="Normal"/>
    <w:qFormat/>
    <w:rsid w:val="001D7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character" w:styleId="Strong">
    <w:name w:val="Strong"/>
    <w:basedOn w:val="DefaultParagraphFont"/>
    <w:uiPriority w:val="22"/>
    <w:qFormat/>
    <w:rsid w:val="00F363E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6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S-CONF-PLEN-2015/es" TargetMode="External"/><Relationship Id="rId18" Type="http://schemas.openxmlformats.org/officeDocument/2006/relationships/hyperlink" Target="http://www.itu.int/en/itu-d/conferences/wtdc/wtdc17/pages/rpm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/es" TargetMode="External"/><Relationship Id="rId17" Type="http://schemas.openxmlformats.org/officeDocument/2006/relationships/hyperlink" Target="https://www.itu.int/md/S16-SG-CIR-003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29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29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S-CONF-PLEN-2015/es" TargetMode="External"/><Relationship Id="rId19" Type="http://schemas.openxmlformats.org/officeDocument/2006/relationships/hyperlink" Target="http://www.itu.int/go/en/itudsponsorsh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ITU-D/TIES_Protected/WTDC14/WTDC14-FinalReport-S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575B-34B7-48A8-82B5-9E91095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Spanish</cp:lastModifiedBy>
  <cp:revision>46</cp:revision>
  <cp:lastPrinted>2017-04-28T06:42:00Z</cp:lastPrinted>
  <dcterms:created xsi:type="dcterms:W3CDTF">2017-04-28T06:25:00Z</dcterms:created>
  <dcterms:modified xsi:type="dcterms:W3CDTF">2017-04-28T09:30:00Z</dcterms:modified>
</cp:coreProperties>
</file>