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2A7AC1" w:rsidTr="00F356E6">
        <w:trPr>
          <w:trHeight w:val="1134"/>
        </w:trPr>
        <w:tc>
          <w:tcPr>
            <w:tcW w:w="1276" w:type="dxa"/>
          </w:tcPr>
          <w:p w:rsidR="00CD34AE" w:rsidRPr="002A7AC1" w:rsidRDefault="00CD34AE" w:rsidP="00F356E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2A7AC1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524E5A37" wp14:editId="22E7C21B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2A7AC1" w:rsidRDefault="00AA2F24" w:rsidP="00F356E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2A7AC1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</w:t>
            </w:r>
            <w:r w:rsidR="00CD34AE" w:rsidRPr="002A7AC1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развитию электросвязи (</w:t>
            </w:r>
            <w:proofErr w:type="spellStart"/>
            <w:r w:rsidR="00CD34AE" w:rsidRPr="002A7AC1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="00CD34AE" w:rsidRPr="002A7AC1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CD34AE" w:rsidRPr="002A7AC1" w:rsidRDefault="00CD34AE" w:rsidP="00F356E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2A7AC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2A7AC1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2A7AC1" w:rsidRDefault="00CD34AE" w:rsidP="00F356E6">
            <w:pPr>
              <w:widowControl w:val="0"/>
              <w:spacing w:before="40"/>
              <w:rPr>
                <w:szCs w:val="22"/>
              </w:rPr>
            </w:pPr>
            <w:r w:rsidRPr="002A7AC1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4A75D1B4" wp14:editId="24FAC973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2A7AC1" w:rsidTr="00F356E6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2A7AC1" w:rsidRDefault="00CD34AE" w:rsidP="00F356E6">
            <w:pPr>
              <w:widowControl w:val="0"/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2A7AC1" w:rsidRDefault="00CD34AE" w:rsidP="00F356E6">
            <w:pPr>
              <w:widowControl w:val="0"/>
              <w:spacing w:before="0"/>
              <w:rPr>
                <w:szCs w:val="22"/>
              </w:rPr>
            </w:pPr>
          </w:p>
        </w:tc>
      </w:tr>
      <w:tr w:rsidR="00CD34AE" w:rsidRPr="002A7AC1" w:rsidTr="00F356E6">
        <w:tc>
          <w:tcPr>
            <w:tcW w:w="6662" w:type="dxa"/>
            <w:gridSpan w:val="2"/>
          </w:tcPr>
          <w:p w:rsidR="00CD34AE" w:rsidRPr="002A7AC1" w:rsidRDefault="00CD34AE" w:rsidP="00F356E6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2A7AC1" w:rsidRDefault="00571333" w:rsidP="00571333">
            <w:pPr>
              <w:widowControl w:val="0"/>
              <w:spacing w:before="0"/>
              <w:rPr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Пересмотр 1</w:t>
            </w:r>
            <w:r>
              <w:rPr>
                <w:rFonts w:cstheme="minorHAnsi"/>
                <w:b/>
                <w:bCs/>
                <w:szCs w:val="22"/>
              </w:rPr>
              <w:br/>
            </w:r>
            <w:r w:rsidR="003E6E87" w:rsidRPr="002A7AC1">
              <w:rPr>
                <w:rFonts w:cstheme="minorHAnsi"/>
                <w:b/>
                <w:bCs/>
                <w:szCs w:val="22"/>
              </w:rPr>
              <w:t>Документ</w:t>
            </w:r>
            <w:r>
              <w:rPr>
                <w:rFonts w:cstheme="minorHAnsi"/>
                <w:b/>
                <w:bCs/>
                <w:szCs w:val="22"/>
              </w:rPr>
              <w:t>а</w:t>
            </w:r>
            <w:r w:rsidR="003E6E87" w:rsidRPr="002A7AC1">
              <w:rPr>
                <w:rFonts w:cstheme="minorHAnsi"/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proofErr w:type="spellStart"/>
            <w:r w:rsidR="003E6E87" w:rsidRPr="002A7AC1">
              <w:rPr>
                <w:rFonts w:cstheme="minorHAnsi"/>
                <w:b/>
                <w:bCs/>
                <w:szCs w:val="22"/>
              </w:rPr>
              <w:t>TDAG17</w:t>
            </w:r>
            <w:proofErr w:type="spellEnd"/>
            <w:r>
              <w:rPr>
                <w:rFonts w:cstheme="minorHAnsi"/>
                <w:b/>
                <w:bCs/>
                <w:szCs w:val="22"/>
              </w:rPr>
              <w:t>-22</w:t>
            </w:r>
            <w:r w:rsidR="003E6E87" w:rsidRPr="002A7AC1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>
              <w:rPr>
                <w:rFonts w:cstheme="minorHAnsi"/>
                <w:b/>
                <w:bCs/>
                <w:szCs w:val="22"/>
              </w:rPr>
              <w:t>17</w:t>
            </w:r>
            <w:r w:rsidR="003E6E87" w:rsidRPr="002A7AC1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2A7AC1" w:rsidTr="00F356E6">
        <w:tc>
          <w:tcPr>
            <w:tcW w:w="6662" w:type="dxa"/>
            <w:gridSpan w:val="2"/>
          </w:tcPr>
          <w:p w:rsidR="00CD34AE" w:rsidRPr="002A7AC1" w:rsidRDefault="00CD34AE" w:rsidP="00F356E6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2A7AC1" w:rsidRDefault="00571333" w:rsidP="00F356E6">
            <w:pPr>
              <w:widowControl w:val="0"/>
              <w:spacing w:before="0"/>
              <w:rPr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  <w:bCs/>
                <w:szCs w:val="22"/>
              </w:rPr>
              <w:t>8 мая</w:t>
            </w:r>
            <w:r w:rsidR="00A73D91" w:rsidRPr="002A7AC1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CD34AE" w:rsidRPr="002A7AC1" w:rsidTr="00F356E6">
        <w:tc>
          <w:tcPr>
            <w:tcW w:w="6662" w:type="dxa"/>
            <w:gridSpan w:val="2"/>
          </w:tcPr>
          <w:p w:rsidR="00CD34AE" w:rsidRPr="002A7AC1" w:rsidRDefault="00CD34AE" w:rsidP="00F356E6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2A7AC1" w:rsidRDefault="003E6E87" w:rsidP="00F356E6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2A7AC1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2A7AC1">
              <w:rPr>
                <w:rFonts w:cstheme="minorHAnsi"/>
                <w:b/>
                <w:bCs/>
                <w:szCs w:val="22"/>
              </w:rPr>
              <w:t xml:space="preserve"> </w:t>
            </w:r>
            <w:r w:rsidR="00F92B51" w:rsidRPr="002A7AC1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2A7AC1" w:rsidTr="00F356E6">
        <w:trPr>
          <w:trHeight w:val="850"/>
        </w:trPr>
        <w:tc>
          <w:tcPr>
            <w:tcW w:w="9923" w:type="dxa"/>
            <w:gridSpan w:val="3"/>
          </w:tcPr>
          <w:p w:rsidR="00CD34AE" w:rsidRPr="002A7AC1" w:rsidRDefault="00F92B51" w:rsidP="00F356E6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2A7AC1">
              <w:t xml:space="preserve">Председатель Координационного собрания </w:t>
            </w:r>
            <w:proofErr w:type="spellStart"/>
            <w:r w:rsidRPr="002A7AC1">
              <w:t>РПС</w:t>
            </w:r>
            <w:proofErr w:type="spellEnd"/>
          </w:p>
        </w:tc>
      </w:tr>
      <w:tr w:rsidR="00CD34AE" w:rsidRPr="002A7AC1" w:rsidTr="00F356E6">
        <w:tc>
          <w:tcPr>
            <w:tcW w:w="9923" w:type="dxa"/>
            <w:gridSpan w:val="3"/>
          </w:tcPr>
          <w:p w:rsidR="00CD34AE" w:rsidRPr="002A7AC1" w:rsidRDefault="00F92B51" w:rsidP="00F356E6">
            <w:pPr>
              <w:pStyle w:val="Title1"/>
              <w:framePr w:wrap="auto" w:xAlign="left"/>
            </w:pPr>
            <w:bookmarkStart w:id="5" w:name="Title"/>
            <w:bookmarkEnd w:id="5"/>
            <w:r w:rsidRPr="002A7AC1">
              <w:t xml:space="preserve">Отчет председателя Координационного собрания </w:t>
            </w:r>
            <w:proofErr w:type="spellStart"/>
            <w:r w:rsidRPr="002A7AC1">
              <w:t>РПС</w:t>
            </w:r>
            <w:proofErr w:type="spellEnd"/>
            <w:r w:rsidRPr="002A7AC1">
              <w:t xml:space="preserve"> для </w:t>
            </w:r>
            <w:proofErr w:type="spellStart"/>
            <w:r w:rsidRPr="002A7AC1">
              <w:t>КГРЭ</w:t>
            </w:r>
            <w:proofErr w:type="spellEnd"/>
          </w:p>
        </w:tc>
      </w:tr>
    </w:tbl>
    <w:p w:rsidR="00BA64D4" w:rsidRPr="002A7AC1" w:rsidRDefault="00BA64D4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2A7AC1" w:rsidTr="00F356E6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2A7AC1" w:rsidRDefault="00CD34AE" w:rsidP="00F356E6">
            <w:pPr>
              <w:pStyle w:val="Headingb"/>
            </w:pPr>
            <w:r w:rsidRPr="002A7AC1">
              <w:t>Резюме</w:t>
            </w:r>
          </w:p>
          <w:p w:rsidR="00F92B51" w:rsidRPr="002A7AC1" w:rsidRDefault="00134099" w:rsidP="00134099">
            <w:bookmarkStart w:id="6" w:name="lt_pId012"/>
            <w:r w:rsidRPr="002A7AC1">
              <w:t>В настоящем документе представлены главные заключения региональных подготовительных собраний (</w:t>
            </w:r>
            <w:proofErr w:type="spellStart"/>
            <w:r w:rsidRPr="002A7AC1">
              <w:t>РПС</w:t>
            </w:r>
            <w:proofErr w:type="spellEnd"/>
            <w:r w:rsidRPr="002A7AC1">
              <w:t xml:space="preserve">) к </w:t>
            </w:r>
            <w:r w:rsidR="00F356E6" w:rsidRPr="002A7AC1">
              <w:t>ВКРЭ</w:t>
            </w:r>
            <w:r w:rsidR="00F92B51" w:rsidRPr="002A7AC1">
              <w:t>-17.</w:t>
            </w:r>
            <w:bookmarkEnd w:id="6"/>
            <w:r w:rsidRPr="002A7AC1">
              <w:t xml:space="preserve"> В нем рассматриваются все вопросы, которые обсуждались в ходе </w:t>
            </w:r>
            <w:proofErr w:type="spellStart"/>
            <w:r w:rsidRPr="002A7AC1">
              <w:t>РПС</w:t>
            </w:r>
            <w:bookmarkStart w:id="7" w:name="lt_pId013"/>
            <w:proofErr w:type="spellEnd"/>
            <w:r w:rsidR="00F92B51" w:rsidRPr="002A7AC1">
              <w:t>:</w:t>
            </w:r>
            <w:bookmarkEnd w:id="7"/>
          </w:p>
          <w:p w:rsidR="00F92B51" w:rsidRPr="002A7AC1" w:rsidRDefault="008F040B" w:rsidP="00F356E6">
            <w:pPr>
              <w:pStyle w:val="enumlev1"/>
            </w:pPr>
            <w:r w:rsidRPr="002A7AC1">
              <w:t>A</w:t>
            </w:r>
            <w:r w:rsidR="00816E86" w:rsidRPr="002A7AC1">
              <w:t>)</w:t>
            </w:r>
            <w:r w:rsidR="00F92B51" w:rsidRPr="002A7AC1">
              <w:tab/>
            </w:r>
            <w:r w:rsidR="00F01EC0" w:rsidRPr="002A7AC1">
              <w:t>Р</w:t>
            </w:r>
            <w:r w:rsidR="008609B2" w:rsidRPr="002A7AC1">
              <w:t>егиональные инициативы</w:t>
            </w:r>
            <w:r w:rsidR="00F92B51" w:rsidRPr="002A7AC1">
              <w:t>;</w:t>
            </w:r>
          </w:p>
          <w:p w:rsidR="00F92B51" w:rsidRPr="002A7AC1" w:rsidRDefault="008F040B" w:rsidP="00F356E6">
            <w:pPr>
              <w:pStyle w:val="enumlev1"/>
            </w:pPr>
            <w:r w:rsidRPr="002A7AC1">
              <w:t>B</w:t>
            </w:r>
            <w:r w:rsidR="00816E86" w:rsidRPr="002A7AC1">
              <w:t>)</w:t>
            </w:r>
            <w:r w:rsidR="00F01EC0" w:rsidRPr="002A7AC1">
              <w:tab/>
              <w:t>П</w:t>
            </w:r>
            <w:r w:rsidR="00F92B51" w:rsidRPr="002A7AC1">
              <w:t>редварительный проект вклада МСЭ-D в Стратегический план МСЭ на 2020–2023 годы, предварительный проект Плана действий МСЭ-D и предварительный проект Декларации ВКРЭ</w:t>
            </w:r>
            <w:r w:rsidR="00F92B51" w:rsidRPr="002A7AC1">
              <w:noBreakHyphen/>
              <w:t>17;</w:t>
            </w:r>
          </w:p>
          <w:p w:rsidR="00F92B51" w:rsidRPr="002A7AC1" w:rsidRDefault="008F040B" w:rsidP="00F356E6">
            <w:pPr>
              <w:pStyle w:val="enumlev1"/>
            </w:pPr>
            <w:r w:rsidRPr="002A7AC1">
              <w:t>C</w:t>
            </w:r>
            <w:r w:rsidR="00816E86" w:rsidRPr="002A7AC1">
              <w:t>)</w:t>
            </w:r>
            <w:r w:rsidR="00F92B51" w:rsidRPr="002A7AC1">
              <w:tab/>
            </w:r>
            <w:r w:rsidR="00AA2F24" w:rsidRPr="002A7AC1">
              <w:rPr>
                <w:rFonts w:cs="Calibri"/>
              </w:rPr>
              <w:t xml:space="preserve">Правила </w:t>
            </w:r>
            <w:r w:rsidR="00F92B51" w:rsidRPr="002A7AC1">
              <w:rPr>
                <w:rFonts w:cs="Calibri"/>
              </w:rPr>
              <w:t>процедуры МСЭ-D (Резолюция 1 ВКРЭ);</w:t>
            </w:r>
          </w:p>
          <w:p w:rsidR="00F92B51" w:rsidRPr="002A7AC1" w:rsidRDefault="008F040B" w:rsidP="00F356E6">
            <w:pPr>
              <w:pStyle w:val="enumlev1"/>
            </w:pPr>
            <w:r w:rsidRPr="002A7AC1">
              <w:t>D</w:t>
            </w:r>
            <w:r w:rsidR="00816E86" w:rsidRPr="002A7AC1">
              <w:t>)</w:t>
            </w:r>
            <w:r w:rsidR="00F92B51" w:rsidRPr="002A7AC1">
              <w:tab/>
            </w:r>
            <w:bookmarkStart w:id="8" w:name="lt_pId021"/>
            <w:r w:rsidR="00F01EC0" w:rsidRPr="002A7AC1">
              <w:t>У</w:t>
            </w:r>
            <w:r w:rsidR="00F92B51" w:rsidRPr="002A7AC1">
              <w:t>порядочение Резолюций ВКРЭ</w:t>
            </w:r>
            <w:r w:rsidR="00F356E6" w:rsidRPr="002A7AC1">
              <w:t>;</w:t>
            </w:r>
            <w:r w:rsidR="00F92B51" w:rsidRPr="002A7AC1">
              <w:t xml:space="preserve"> </w:t>
            </w:r>
            <w:bookmarkEnd w:id="8"/>
            <w:r w:rsidR="00F92B51" w:rsidRPr="002A7AC1">
              <w:t>и</w:t>
            </w:r>
          </w:p>
          <w:p w:rsidR="00F92B51" w:rsidRPr="002A7AC1" w:rsidRDefault="008F040B" w:rsidP="00816E86">
            <w:pPr>
              <w:pStyle w:val="enumlev1"/>
            </w:pPr>
            <w:r w:rsidRPr="002A7AC1">
              <w:t>E</w:t>
            </w:r>
            <w:r w:rsidR="00816E86" w:rsidRPr="002A7AC1">
              <w:t>)</w:t>
            </w:r>
            <w:r w:rsidR="00F92B51" w:rsidRPr="002A7AC1">
              <w:tab/>
            </w:r>
            <w:bookmarkStart w:id="9" w:name="lt_pId023"/>
            <w:r w:rsidR="00F01EC0" w:rsidRPr="002A7AC1">
              <w:t>П</w:t>
            </w:r>
            <w:r w:rsidR="00134099" w:rsidRPr="002A7AC1">
              <w:t xml:space="preserve">редложения </w:t>
            </w:r>
            <w:r w:rsidR="00816E86" w:rsidRPr="002A7AC1">
              <w:t>по</w:t>
            </w:r>
            <w:r w:rsidR="00134099" w:rsidRPr="002A7AC1">
              <w:t xml:space="preserve"> новы</w:t>
            </w:r>
            <w:r w:rsidR="00816E86" w:rsidRPr="002A7AC1">
              <w:t>м</w:t>
            </w:r>
            <w:r w:rsidR="00134099" w:rsidRPr="002A7AC1">
              <w:t xml:space="preserve"> или пересмотренны</w:t>
            </w:r>
            <w:r w:rsidR="00816E86" w:rsidRPr="002A7AC1">
              <w:t xml:space="preserve">м </w:t>
            </w:r>
            <w:r w:rsidR="002A7AC1" w:rsidRPr="002A7AC1">
              <w:t>Резолюциям</w:t>
            </w:r>
            <w:r w:rsidR="00F92B51" w:rsidRPr="002A7AC1">
              <w:t>.</w:t>
            </w:r>
            <w:bookmarkEnd w:id="9"/>
          </w:p>
          <w:p w:rsidR="00CD34AE" w:rsidRPr="002A7AC1" w:rsidRDefault="00CD34AE" w:rsidP="00F356E6">
            <w:pPr>
              <w:pStyle w:val="Headingb"/>
            </w:pPr>
            <w:r w:rsidRPr="002A7AC1">
              <w:t>Необходимые действия</w:t>
            </w:r>
          </w:p>
          <w:p w:rsidR="00CD34AE" w:rsidRPr="002A7AC1" w:rsidRDefault="00D723BE" w:rsidP="00F356E6">
            <w:proofErr w:type="spellStart"/>
            <w:r w:rsidRPr="002A7AC1">
              <w:t>КГРЭ</w:t>
            </w:r>
            <w:proofErr w:type="spellEnd"/>
            <w:r w:rsidRPr="002A7AC1">
              <w:t xml:space="preserve"> предлагается рассмотреть настоящий Отчет и дать указания, которые она сочтет необходимыми.</w:t>
            </w:r>
          </w:p>
          <w:p w:rsidR="00CD34AE" w:rsidRPr="002A7AC1" w:rsidRDefault="00CD34AE" w:rsidP="00F356E6">
            <w:pPr>
              <w:pStyle w:val="Headingb"/>
            </w:pPr>
            <w:r w:rsidRPr="002A7AC1">
              <w:t>Справочные материалы</w:t>
            </w:r>
          </w:p>
          <w:p w:rsidR="00CD34AE" w:rsidRPr="002A7AC1" w:rsidRDefault="00D723BE" w:rsidP="00F356E6">
            <w:pPr>
              <w:spacing w:after="120"/>
            </w:pPr>
            <w:bookmarkStart w:id="10" w:name="lt_pId027"/>
            <w:r w:rsidRPr="002A7AC1">
              <w:t>Резолюция 31 (</w:t>
            </w:r>
            <w:proofErr w:type="spellStart"/>
            <w:r w:rsidRPr="002A7AC1">
              <w:t>Пересм</w:t>
            </w:r>
            <w:proofErr w:type="spellEnd"/>
            <w:r w:rsidRPr="002A7AC1">
              <w:t>. Хайдарабад, 2010 г.)</w:t>
            </w:r>
            <w:bookmarkEnd w:id="10"/>
          </w:p>
        </w:tc>
      </w:tr>
    </w:tbl>
    <w:p w:rsidR="005E6797" w:rsidRPr="002A7AC1" w:rsidRDefault="00F356E6" w:rsidP="00F356E6">
      <w:pPr>
        <w:pStyle w:val="Headingb"/>
        <w:spacing w:before="480"/>
      </w:pPr>
      <w:r w:rsidRPr="002A7AC1">
        <w:t>Введение</w:t>
      </w:r>
    </w:p>
    <w:p w:rsidR="005E6797" w:rsidRPr="002A7AC1" w:rsidRDefault="00134099" w:rsidP="00134099">
      <w:bookmarkStart w:id="11" w:name="lt_pId029"/>
      <w:r w:rsidRPr="002A7AC1">
        <w:t>В соответствии с Резолюцией</w:t>
      </w:r>
      <w:r w:rsidR="005E6797" w:rsidRPr="002A7AC1">
        <w:t xml:space="preserve"> 31 (</w:t>
      </w:r>
      <w:proofErr w:type="spellStart"/>
      <w:r w:rsidR="00AA2F24" w:rsidRPr="002A7AC1">
        <w:t>Пересм</w:t>
      </w:r>
      <w:proofErr w:type="spellEnd"/>
      <w:r w:rsidR="00AA2F24" w:rsidRPr="002A7AC1">
        <w:t>. Хайдарабад, 2010 г.</w:t>
      </w:r>
      <w:r w:rsidR="00571333">
        <w:t>)</w:t>
      </w:r>
      <w:r w:rsidR="005E6797" w:rsidRPr="002A7AC1">
        <w:t xml:space="preserve"> </w:t>
      </w:r>
      <w:r w:rsidRPr="002A7AC1">
        <w:t xml:space="preserve">было проведено координационное собрание </w:t>
      </w:r>
      <w:proofErr w:type="spellStart"/>
      <w:r w:rsidRPr="002A7AC1">
        <w:t>РПС</w:t>
      </w:r>
      <w:proofErr w:type="spellEnd"/>
      <w:r w:rsidRPr="002A7AC1">
        <w:t xml:space="preserve"> в связи с организацией </w:t>
      </w:r>
      <w:r w:rsidR="00AA2F24" w:rsidRPr="002A7AC1">
        <w:t>Всемирной конференции по развитию электросвязи</w:t>
      </w:r>
      <w:r w:rsidR="005E6797" w:rsidRPr="002A7AC1">
        <w:t xml:space="preserve"> 2017</w:t>
      </w:r>
      <w:r w:rsidR="00AA2F24" w:rsidRPr="002A7AC1">
        <w:t> года</w:t>
      </w:r>
      <w:r w:rsidR="005E6797" w:rsidRPr="002A7AC1">
        <w:t xml:space="preserve"> (</w:t>
      </w:r>
      <w:r w:rsidR="00AA2F24" w:rsidRPr="002A7AC1">
        <w:t>ВКРЭ</w:t>
      </w:r>
      <w:r w:rsidR="005E6797" w:rsidRPr="002A7AC1">
        <w:t>-17)</w:t>
      </w:r>
      <w:r w:rsidRPr="002A7AC1">
        <w:t>, которая будет проходить с</w:t>
      </w:r>
      <w:r w:rsidR="005E6797" w:rsidRPr="002A7AC1">
        <w:t xml:space="preserve"> 9 </w:t>
      </w:r>
      <w:r w:rsidR="00AA2F24" w:rsidRPr="002A7AC1">
        <w:t>по</w:t>
      </w:r>
      <w:r w:rsidR="005E6797" w:rsidRPr="002A7AC1">
        <w:t xml:space="preserve"> 20</w:t>
      </w:r>
      <w:r w:rsidR="00AA2F24" w:rsidRPr="002A7AC1">
        <w:t> октября</w:t>
      </w:r>
      <w:r w:rsidR="005E6797" w:rsidRPr="002A7AC1">
        <w:t xml:space="preserve"> 2017</w:t>
      </w:r>
      <w:r w:rsidR="00AA2F24" w:rsidRPr="002A7AC1">
        <w:t> года в Буэнос-Айресе, Аргентина</w:t>
      </w:r>
      <w:r w:rsidR="005E6797" w:rsidRPr="002A7AC1">
        <w:t>.</w:t>
      </w:r>
      <w:bookmarkEnd w:id="11"/>
    </w:p>
    <w:p w:rsidR="005E6797" w:rsidRPr="002A7AC1" w:rsidRDefault="005E6797" w:rsidP="005E6797">
      <w:pPr>
        <w:spacing w:after="120"/>
      </w:pPr>
      <w:bookmarkStart w:id="12" w:name="lt_pId030"/>
      <w:r w:rsidRPr="002A7AC1">
        <w:t>Были проведены следующие шесть региональных подготовительных собраний (</w:t>
      </w:r>
      <w:proofErr w:type="spellStart"/>
      <w:r w:rsidRPr="002A7AC1">
        <w:t>РПС</w:t>
      </w:r>
      <w:proofErr w:type="spellEnd"/>
      <w:r w:rsidRPr="002A7AC1">
        <w:t>):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E6797" w:rsidRPr="002A7AC1" w:rsidTr="008B7779">
        <w:tc>
          <w:tcPr>
            <w:tcW w:w="3256" w:type="dxa"/>
          </w:tcPr>
          <w:p w:rsidR="005E6797" w:rsidRPr="002A7AC1" w:rsidRDefault="005E6797" w:rsidP="00AA2F24">
            <w:pPr>
              <w:pStyle w:val="Tabletext"/>
            </w:pPr>
            <w:bookmarkStart w:id="13" w:name="lt_pId031"/>
            <w:r w:rsidRPr="002A7AC1">
              <w:t>9–11 ноября 2016</w:t>
            </w:r>
            <w:bookmarkEnd w:id="13"/>
            <w:r w:rsidRPr="002A7AC1">
              <w:t xml:space="preserve"> г.</w:t>
            </w:r>
          </w:p>
        </w:tc>
        <w:tc>
          <w:tcPr>
            <w:tcW w:w="6372" w:type="dxa"/>
          </w:tcPr>
          <w:p w:rsidR="005E6797" w:rsidRPr="002A7AC1" w:rsidRDefault="00AA2F24" w:rsidP="00AA2F24">
            <w:pPr>
              <w:pStyle w:val="Tabletext"/>
            </w:pPr>
            <w:bookmarkStart w:id="14" w:name="lt_pId032"/>
            <w:r w:rsidRPr="002A7AC1">
              <w:t>Региональное подготовительное собрание для Содружества Независимых Государств</w:t>
            </w:r>
            <w:r w:rsidR="005E6797" w:rsidRPr="002A7AC1">
              <w:t xml:space="preserve"> </w:t>
            </w:r>
            <w:r w:rsidR="00816E86" w:rsidRPr="002A7AC1">
              <w:t xml:space="preserve">(СНГ) </w:t>
            </w:r>
            <w:r w:rsidR="005E6797" w:rsidRPr="002A7AC1">
              <w:t>(</w:t>
            </w:r>
            <w:proofErr w:type="spellStart"/>
            <w:r w:rsidR="005E6797" w:rsidRPr="002A7AC1">
              <w:t>РПС</w:t>
            </w:r>
            <w:proofErr w:type="spellEnd"/>
            <w:r w:rsidR="008609B2" w:rsidRPr="002A7AC1">
              <w:t>-</w:t>
            </w:r>
            <w:r w:rsidR="005E6797" w:rsidRPr="002A7AC1">
              <w:t xml:space="preserve">СНГ), </w:t>
            </w:r>
            <w:r w:rsidRPr="002A7AC1">
              <w:t>Бишкек</w:t>
            </w:r>
            <w:r w:rsidR="005E6797" w:rsidRPr="002A7AC1">
              <w:t xml:space="preserve">, </w:t>
            </w:r>
            <w:proofErr w:type="spellStart"/>
            <w:r w:rsidRPr="002A7AC1">
              <w:t>Кыргызская</w:t>
            </w:r>
            <w:proofErr w:type="spellEnd"/>
            <w:r w:rsidRPr="002A7AC1">
              <w:t xml:space="preserve"> Республика</w:t>
            </w:r>
            <w:bookmarkEnd w:id="14"/>
            <w:r w:rsidR="005E6797" w:rsidRPr="002A7AC1">
              <w:br/>
            </w:r>
            <w:hyperlink r:id="rId10" w:history="1">
              <w:r w:rsidR="00354512" w:rsidRPr="0063539E">
                <w:rPr>
                  <w:rStyle w:val="Hyperlink"/>
                </w:rPr>
                <w:t>http://www.itu.int/md/D14-RPMCIS-C-0044/</w:t>
              </w:r>
            </w:hyperlink>
            <w:r w:rsidR="00354512">
              <w:t xml:space="preserve">, </w:t>
            </w:r>
            <w:hyperlink r:id="rId11" w:history="1">
              <w:proofErr w:type="spellStart"/>
              <w:r w:rsidR="00354512" w:rsidRPr="00251DAC">
                <w:rPr>
                  <w:rStyle w:val="Hyperlink"/>
                </w:rPr>
                <w:t>TDAG17</w:t>
              </w:r>
              <w:proofErr w:type="spellEnd"/>
              <w:r w:rsidR="00354512" w:rsidRPr="00251DAC">
                <w:rPr>
                  <w:rStyle w:val="Hyperlink"/>
                </w:rPr>
                <w:t>-22/38</w:t>
              </w:r>
            </w:hyperlink>
          </w:p>
        </w:tc>
      </w:tr>
      <w:tr w:rsidR="005E6797" w:rsidRPr="002A7AC1" w:rsidTr="008B7779">
        <w:tc>
          <w:tcPr>
            <w:tcW w:w="3256" w:type="dxa"/>
          </w:tcPr>
          <w:p w:rsidR="005E6797" w:rsidRPr="002A7AC1" w:rsidRDefault="005E6797" w:rsidP="00AA2F24">
            <w:pPr>
              <w:pStyle w:val="Tabletext"/>
            </w:pPr>
            <w:bookmarkStart w:id="15" w:name="lt_pId034"/>
            <w:r w:rsidRPr="002A7AC1">
              <w:t>6–8 декабря 2016</w:t>
            </w:r>
            <w:bookmarkEnd w:id="15"/>
            <w:r w:rsidRPr="002A7AC1">
              <w:t xml:space="preserve"> г.</w:t>
            </w:r>
          </w:p>
        </w:tc>
        <w:tc>
          <w:tcPr>
            <w:tcW w:w="6372" w:type="dxa"/>
          </w:tcPr>
          <w:p w:rsidR="005E6797" w:rsidRPr="002A7AC1" w:rsidRDefault="005E6797" w:rsidP="00AA2F24">
            <w:pPr>
              <w:pStyle w:val="Tabletext"/>
            </w:pPr>
            <w:bookmarkStart w:id="16" w:name="lt_pId035"/>
            <w:r w:rsidRPr="002A7AC1">
              <w:t>Региональное подготовительное собрание для Африканского региона (</w:t>
            </w:r>
            <w:proofErr w:type="spellStart"/>
            <w:r w:rsidRPr="002A7AC1">
              <w:t>РПС-АФР</w:t>
            </w:r>
            <w:proofErr w:type="spellEnd"/>
            <w:r w:rsidRPr="002A7AC1">
              <w:t xml:space="preserve">), </w:t>
            </w:r>
            <w:r w:rsidR="00AA2F24" w:rsidRPr="002A7AC1">
              <w:t>Кигали</w:t>
            </w:r>
            <w:r w:rsidRPr="002A7AC1">
              <w:t xml:space="preserve">, </w:t>
            </w:r>
            <w:r w:rsidR="00AA2F24" w:rsidRPr="002A7AC1">
              <w:t>Руанда</w:t>
            </w:r>
            <w:bookmarkEnd w:id="16"/>
            <w:r w:rsidRPr="002A7AC1">
              <w:br/>
            </w:r>
            <w:hyperlink r:id="rId12" w:history="1">
              <w:r w:rsidR="00354512" w:rsidRPr="00F82D88">
                <w:rPr>
                  <w:rStyle w:val="Hyperlink"/>
                </w:rPr>
                <w:t>http://www.itu.int/md/D14-RPMAFR-C-0025</w:t>
              </w:r>
            </w:hyperlink>
            <w:r w:rsidR="00354512">
              <w:t xml:space="preserve">, </w:t>
            </w:r>
            <w:hyperlink r:id="rId13" w:history="1">
              <w:proofErr w:type="spellStart"/>
              <w:r w:rsidR="00354512" w:rsidRPr="00251DAC">
                <w:rPr>
                  <w:rStyle w:val="Hyperlink"/>
                </w:rPr>
                <w:t>TDAG17</w:t>
              </w:r>
              <w:proofErr w:type="spellEnd"/>
              <w:r w:rsidR="00354512" w:rsidRPr="00251DAC">
                <w:rPr>
                  <w:rStyle w:val="Hyperlink"/>
                </w:rPr>
                <w:t>-22/39</w:t>
              </w:r>
            </w:hyperlink>
          </w:p>
        </w:tc>
      </w:tr>
      <w:tr w:rsidR="005E6797" w:rsidRPr="002A7AC1" w:rsidTr="008B7779">
        <w:tc>
          <w:tcPr>
            <w:tcW w:w="3256" w:type="dxa"/>
          </w:tcPr>
          <w:p w:rsidR="005E6797" w:rsidRPr="002A7AC1" w:rsidRDefault="005E6797" w:rsidP="00AA2F24">
            <w:pPr>
              <w:pStyle w:val="Tabletext"/>
            </w:pPr>
            <w:bookmarkStart w:id="17" w:name="lt_pId037"/>
            <w:r w:rsidRPr="002A7AC1">
              <w:lastRenderedPageBreak/>
              <w:t>30 января – 1 февраля 2017</w:t>
            </w:r>
            <w:bookmarkEnd w:id="17"/>
            <w:r w:rsidRPr="002A7AC1">
              <w:t xml:space="preserve"> г.</w:t>
            </w:r>
          </w:p>
        </w:tc>
        <w:tc>
          <w:tcPr>
            <w:tcW w:w="6372" w:type="dxa"/>
          </w:tcPr>
          <w:p w:rsidR="005E6797" w:rsidRPr="002A7AC1" w:rsidRDefault="005E6797" w:rsidP="00816E86">
            <w:pPr>
              <w:pStyle w:val="Tabletext"/>
            </w:pPr>
            <w:bookmarkStart w:id="18" w:name="lt_pId038"/>
            <w:r w:rsidRPr="002A7AC1">
              <w:t>Региональное подготовительное собрание для арабских государств (</w:t>
            </w:r>
            <w:proofErr w:type="spellStart"/>
            <w:r w:rsidRPr="002A7AC1">
              <w:t>РПС</w:t>
            </w:r>
            <w:proofErr w:type="spellEnd"/>
            <w:r w:rsidRPr="002A7AC1">
              <w:t xml:space="preserve">-АРБ), </w:t>
            </w:r>
            <w:r w:rsidR="00AA2F24" w:rsidRPr="002A7AC1">
              <w:t>Хартум</w:t>
            </w:r>
            <w:r w:rsidRPr="002A7AC1">
              <w:t xml:space="preserve">, </w:t>
            </w:r>
            <w:r w:rsidR="00AA2F24" w:rsidRPr="002A7AC1">
              <w:t>Судан</w:t>
            </w:r>
            <w:bookmarkEnd w:id="18"/>
            <w:r w:rsidRPr="002A7AC1">
              <w:br/>
            </w:r>
            <w:hyperlink r:id="rId14" w:history="1">
              <w:r w:rsidR="00354512" w:rsidRPr="0063539E">
                <w:rPr>
                  <w:rStyle w:val="Hyperlink"/>
                </w:rPr>
                <w:t>https://www.itu.int/md/D14-RPMARB-C-0046/</w:t>
              </w:r>
            </w:hyperlink>
            <w:r w:rsidR="00354512">
              <w:t xml:space="preserve">, </w:t>
            </w:r>
            <w:hyperlink r:id="rId15" w:history="1">
              <w:proofErr w:type="spellStart"/>
              <w:r w:rsidR="00354512" w:rsidRPr="00251DAC">
                <w:rPr>
                  <w:rStyle w:val="Hyperlink"/>
                </w:rPr>
                <w:t>TDAG17</w:t>
              </w:r>
              <w:proofErr w:type="spellEnd"/>
              <w:r w:rsidR="00354512" w:rsidRPr="00251DAC">
                <w:rPr>
                  <w:rStyle w:val="Hyperlink"/>
                </w:rPr>
                <w:t>-22/40</w:t>
              </w:r>
            </w:hyperlink>
          </w:p>
        </w:tc>
      </w:tr>
      <w:tr w:rsidR="005E6797" w:rsidRPr="002A7AC1" w:rsidTr="008B7779">
        <w:tc>
          <w:tcPr>
            <w:tcW w:w="3256" w:type="dxa"/>
          </w:tcPr>
          <w:p w:rsidR="005E6797" w:rsidRPr="002A7AC1" w:rsidRDefault="005E6797" w:rsidP="00AA2F24">
            <w:pPr>
              <w:pStyle w:val="Tabletext"/>
            </w:pPr>
            <w:bookmarkStart w:id="19" w:name="lt_pId040"/>
            <w:r w:rsidRPr="002A7AC1">
              <w:t>22–24 февраля 2017</w:t>
            </w:r>
            <w:bookmarkEnd w:id="19"/>
            <w:r w:rsidRPr="002A7AC1">
              <w:t xml:space="preserve"> г.</w:t>
            </w:r>
          </w:p>
        </w:tc>
        <w:tc>
          <w:tcPr>
            <w:tcW w:w="6372" w:type="dxa"/>
          </w:tcPr>
          <w:p w:rsidR="005E6797" w:rsidRPr="002A7AC1" w:rsidRDefault="005E6797" w:rsidP="00816E86">
            <w:pPr>
              <w:pStyle w:val="Tabletext"/>
            </w:pPr>
            <w:bookmarkStart w:id="20" w:name="lt_pId041"/>
            <w:r w:rsidRPr="002A7AC1">
              <w:rPr>
                <w:rFonts w:asciiTheme="minorHAnsi" w:hAnsiTheme="minorHAnsi"/>
              </w:rPr>
              <w:t>Региональное подготовительное собрание для Северной и Южной Америки (</w:t>
            </w:r>
            <w:proofErr w:type="spellStart"/>
            <w:r w:rsidRPr="002A7AC1">
              <w:rPr>
                <w:rFonts w:asciiTheme="minorHAnsi" w:hAnsiTheme="minorHAnsi"/>
              </w:rPr>
              <w:t>РПС-АМР</w:t>
            </w:r>
            <w:proofErr w:type="spellEnd"/>
            <w:r w:rsidRPr="002A7AC1">
              <w:rPr>
                <w:rFonts w:asciiTheme="minorHAnsi" w:hAnsiTheme="minorHAnsi"/>
              </w:rPr>
              <w:t>)</w:t>
            </w:r>
            <w:r w:rsidRPr="002A7AC1">
              <w:t xml:space="preserve">, </w:t>
            </w:r>
            <w:r w:rsidR="00AA2F24" w:rsidRPr="002A7AC1">
              <w:t>Асунсьон</w:t>
            </w:r>
            <w:r w:rsidRPr="002A7AC1">
              <w:t xml:space="preserve">, </w:t>
            </w:r>
            <w:bookmarkEnd w:id="20"/>
            <w:r w:rsidR="00AA2F24" w:rsidRPr="002A7AC1">
              <w:t>Парагвай</w:t>
            </w:r>
            <w:r w:rsidRPr="002A7AC1">
              <w:br/>
            </w:r>
            <w:hyperlink r:id="rId16" w:history="1">
              <w:r w:rsidR="00354512" w:rsidRPr="0063539E">
                <w:rPr>
                  <w:rStyle w:val="Hyperlink"/>
                </w:rPr>
                <w:t>https://www.itu.int/md/D14-RPMAMS-C-0041/</w:t>
              </w:r>
            </w:hyperlink>
            <w:r w:rsidR="00354512">
              <w:t xml:space="preserve">, </w:t>
            </w:r>
            <w:hyperlink r:id="rId17" w:history="1">
              <w:proofErr w:type="spellStart"/>
              <w:r w:rsidR="00354512" w:rsidRPr="00251DAC">
                <w:rPr>
                  <w:rStyle w:val="Hyperlink"/>
                </w:rPr>
                <w:t>TDAG17</w:t>
              </w:r>
              <w:proofErr w:type="spellEnd"/>
              <w:r w:rsidR="00354512" w:rsidRPr="00251DAC">
                <w:rPr>
                  <w:rStyle w:val="Hyperlink"/>
                </w:rPr>
                <w:t>-22/41</w:t>
              </w:r>
            </w:hyperlink>
          </w:p>
        </w:tc>
      </w:tr>
      <w:tr w:rsidR="005E6797" w:rsidRPr="002A7AC1" w:rsidTr="008B7779">
        <w:tc>
          <w:tcPr>
            <w:tcW w:w="3256" w:type="dxa"/>
          </w:tcPr>
          <w:p w:rsidR="005E6797" w:rsidRPr="002A7AC1" w:rsidRDefault="005E6797" w:rsidP="00AA2F24">
            <w:pPr>
              <w:pStyle w:val="Tabletext"/>
            </w:pPr>
            <w:bookmarkStart w:id="21" w:name="lt_pId043"/>
            <w:r w:rsidRPr="002A7AC1">
              <w:t>21–23 марта 2017</w:t>
            </w:r>
            <w:bookmarkEnd w:id="21"/>
            <w:r w:rsidRPr="002A7AC1">
              <w:t xml:space="preserve"> г.</w:t>
            </w:r>
          </w:p>
        </w:tc>
        <w:tc>
          <w:tcPr>
            <w:tcW w:w="6372" w:type="dxa"/>
          </w:tcPr>
          <w:p w:rsidR="005E6797" w:rsidRPr="002A7AC1" w:rsidRDefault="005E6797" w:rsidP="00AA2F24">
            <w:pPr>
              <w:pStyle w:val="Tabletext"/>
            </w:pPr>
            <w:bookmarkStart w:id="22" w:name="lt_pId044"/>
            <w:r w:rsidRPr="002A7AC1">
              <w:t>Региональное подготовительное собрание для Азиатско-Тихоокеанского региона (</w:t>
            </w:r>
            <w:proofErr w:type="spellStart"/>
            <w:r w:rsidRPr="002A7AC1">
              <w:t>РПС-АТР</w:t>
            </w:r>
            <w:proofErr w:type="spellEnd"/>
            <w:r w:rsidRPr="002A7AC1">
              <w:t xml:space="preserve">), </w:t>
            </w:r>
            <w:r w:rsidR="00AA2F24" w:rsidRPr="002A7AC1">
              <w:t>Бали</w:t>
            </w:r>
            <w:r w:rsidRPr="002A7AC1">
              <w:t xml:space="preserve">, </w:t>
            </w:r>
            <w:r w:rsidR="00AA2F24" w:rsidRPr="002A7AC1">
              <w:t>Индонезия</w:t>
            </w:r>
            <w:bookmarkEnd w:id="22"/>
            <w:r w:rsidRPr="002A7AC1">
              <w:br/>
            </w:r>
            <w:hyperlink r:id="rId18" w:history="1">
              <w:r w:rsidR="00354512" w:rsidRPr="00980065">
                <w:rPr>
                  <w:rStyle w:val="Hyperlink"/>
                </w:rPr>
                <w:t>https://www.itu.int/md/D14-RPMASP-C-0036/</w:t>
              </w:r>
            </w:hyperlink>
            <w:r w:rsidR="00354512">
              <w:t xml:space="preserve">, </w:t>
            </w:r>
            <w:hyperlink r:id="rId19" w:history="1">
              <w:proofErr w:type="spellStart"/>
              <w:r w:rsidR="00354512" w:rsidRPr="00251DAC">
                <w:rPr>
                  <w:rStyle w:val="Hyperlink"/>
                </w:rPr>
                <w:t>TDAG17</w:t>
              </w:r>
              <w:proofErr w:type="spellEnd"/>
              <w:r w:rsidR="00354512" w:rsidRPr="00251DAC">
                <w:rPr>
                  <w:rStyle w:val="Hyperlink"/>
                </w:rPr>
                <w:t>-22/42</w:t>
              </w:r>
            </w:hyperlink>
          </w:p>
        </w:tc>
      </w:tr>
      <w:tr w:rsidR="005E6797" w:rsidRPr="002A7AC1" w:rsidTr="008B7779">
        <w:tc>
          <w:tcPr>
            <w:tcW w:w="3256" w:type="dxa"/>
          </w:tcPr>
          <w:p w:rsidR="005E6797" w:rsidRPr="002A7AC1" w:rsidRDefault="005E6797" w:rsidP="00AA2F24">
            <w:pPr>
              <w:pStyle w:val="Tabletext"/>
            </w:pPr>
            <w:bookmarkStart w:id="23" w:name="lt_pId046"/>
            <w:r w:rsidRPr="002A7AC1">
              <w:t>27–28 апреля 2017</w:t>
            </w:r>
            <w:bookmarkEnd w:id="23"/>
            <w:r w:rsidRPr="002A7AC1">
              <w:t xml:space="preserve"> г.</w:t>
            </w:r>
          </w:p>
        </w:tc>
        <w:tc>
          <w:tcPr>
            <w:tcW w:w="6372" w:type="dxa"/>
          </w:tcPr>
          <w:p w:rsidR="005E6797" w:rsidRPr="002A7AC1" w:rsidRDefault="005E6797" w:rsidP="00285A75">
            <w:pPr>
              <w:pStyle w:val="Tabletext"/>
            </w:pPr>
            <w:bookmarkStart w:id="24" w:name="lt_pId047"/>
            <w:r w:rsidRPr="002A7AC1">
              <w:t xml:space="preserve">Региональное подготовительное собрание для </w:t>
            </w:r>
            <w:r w:rsidR="00AA2F24" w:rsidRPr="002A7AC1">
              <w:t>Европы (</w:t>
            </w:r>
            <w:proofErr w:type="spellStart"/>
            <w:r w:rsidR="00AA2F24" w:rsidRPr="002A7AC1">
              <w:t>РПС</w:t>
            </w:r>
            <w:r w:rsidR="00285A75">
              <w:t>-</w:t>
            </w:r>
            <w:r w:rsidRPr="002A7AC1">
              <w:t>ЕВР</w:t>
            </w:r>
            <w:proofErr w:type="spellEnd"/>
            <w:r w:rsidRPr="002A7AC1">
              <w:t xml:space="preserve">), </w:t>
            </w:r>
            <w:r w:rsidR="00AA2F24" w:rsidRPr="002A7AC1">
              <w:t>Вильнюс</w:t>
            </w:r>
            <w:r w:rsidRPr="002A7AC1">
              <w:t xml:space="preserve">, </w:t>
            </w:r>
            <w:r w:rsidR="00AA2F24" w:rsidRPr="002A7AC1">
              <w:t>Литва</w:t>
            </w:r>
            <w:bookmarkEnd w:id="24"/>
            <w:r w:rsidR="00571333">
              <w:br/>
            </w:r>
            <w:hyperlink r:id="rId20" w:history="1">
              <w:r w:rsidR="00354512" w:rsidRPr="00BA7C85">
                <w:rPr>
                  <w:rStyle w:val="Hyperlink"/>
                  <w:szCs w:val="24"/>
                </w:rPr>
                <w:t>https://www.itu.int/md/D14-RPMEUR-C-0038/</w:t>
              </w:r>
            </w:hyperlink>
            <w:r w:rsidR="00354512">
              <w:t xml:space="preserve">, </w:t>
            </w:r>
            <w:hyperlink r:id="rId21" w:history="1">
              <w:proofErr w:type="spellStart"/>
              <w:r w:rsidR="00354512" w:rsidRPr="00251DAC">
                <w:rPr>
                  <w:rStyle w:val="Hyperlink"/>
                </w:rPr>
                <w:t>TDAG17</w:t>
              </w:r>
              <w:proofErr w:type="spellEnd"/>
              <w:r w:rsidR="00354512" w:rsidRPr="00251DAC">
                <w:rPr>
                  <w:rStyle w:val="Hyperlink"/>
                </w:rPr>
                <w:t>-22/43</w:t>
              </w:r>
            </w:hyperlink>
          </w:p>
        </w:tc>
      </w:tr>
    </w:tbl>
    <w:p w:rsidR="00C71A6F" w:rsidRPr="002A7AC1" w:rsidRDefault="00BC3F8D" w:rsidP="00571333">
      <w:pPr>
        <w:pStyle w:val="Normalaftertitle"/>
      </w:pPr>
      <w:r w:rsidRPr="002A7AC1">
        <w:t xml:space="preserve">Собрание избрало </w:t>
      </w:r>
      <w:r w:rsidR="00571333">
        <w:t xml:space="preserve">г-жу </w:t>
      </w:r>
      <w:proofErr w:type="spellStart"/>
      <w:r w:rsidR="00571333">
        <w:t>Тереситу</w:t>
      </w:r>
      <w:proofErr w:type="spellEnd"/>
      <w:r w:rsidR="00571333">
        <w:t xml:space="preserve"> </w:t>
      </w:r>
      <w:proofErr w:type="spellStart"/>
      <w:r w:rsidR="00571333">
        <w:t>Паласиос</w:t>
      </w:r>
      <w:proofErr w:type="spellEnd"/>
      <w:r w:rsidR="00571333">
        <w:t xml:space="preserve"> (Парагвай)</w:t>
      </w:r>
      <w:r w:rsidRPr="002A7AC1">
        <w:t xml:space="preserve"> Председателем и приняло повестку дня в том виде, в каком она представлена в Документе </w:t>
      </w:r>
      <w:r w:rsidRPr="002A7AC1">
        <w:rPr>
          <w:cs/>
        </w:rPr>
        <w:t>‎</w:t>
      </w:r>
      <w:proofErr w:type="spellStart"/>
      <w:r w:rsidRPr="002A7AC1">
        <w:t>TDAG17</w:t>
      </w:r>
      <w:proofErr w:type="spellEnd"/>
      <w:r w:rsidRPr="002A7AC1">
        <w:t>/</w:t>
      </w:r>
      <w:proofErr w:type="spellStart"/>
      <w:r w:rsidRPr="002A7AC1">
        <w:t>CM</w:t>
      </w:r>
      <w:proofErr w:type="spellEnd"/>
      <w:r w:rsidRPr="002A7AC1">
        <w:t>/1.</w:t>
      </w:r>
    </w:p>
    <w:p w:rsidR="00BC3F8D" w:rsidRPr="002A7AC1" w:rsidRDefault="0084197D" w:rsidP="00BC3F8D">
      <w:r w:rsidRPr="002A7AC1">
        <w:t xml:space="preserve">Результаты по каждому </w:t>
      </w:r>
      <w:proofErr w:type="spellStart"/>
      <w:r w:rsidRPr="002A7AC1">
        <w:t>РПС</w:t>
      </w:r>
      <w:proofErr w:type="spellEnd"/>
      <w:r w:rsidRPr="002A7AC1">
        <w:t xml:space="preserve"> представлены на основе одной и </w:t>
      </w:r>
      <w:proofErr w:type="gramStart"/>
      <w:r w:rsidRPr="002A7AC1">
        <w:t>той же структуры</w:t>
      </w:r>
      <w:proofErr w:type="gramEnd"/>
      <w:r w:rsidRPr="002A7AC1">
        <w:t xml:space="preserve"> и одинаковых подходов: </w:t>
      </w:r>
    </w:p>
    <w:p w:rsidR="0084197D" w:rsidRPr="002A7AC1" w:rsidRDefault="008F040B" w:rsidP="00EB2EDA">
      <w:pPr>
        <w:pStyle w:val="enumlev1"/>
        <w:spacing w:before="60"/>
      </w:pPr>
      <w:r w:rsidRPr="002A7AC1">
        <w:t>A</w:t>
      </w:r>
      <w:r w:rsidR="00816E86" w:rsidRPr="002A7AC1">
        <w:t>)</w:t>
      </w:r>
      <w:r w:rsidR="0084197D" w:rsidRPr="002A7AC1">
        <w:tab/>
      </w:r>
      <w:r w:rsidR="003B524D" w:rsidRPr="002A7AC1">
        <w:t>Р</w:t>
      </w:r>
      <w:r w:rsidR="008609B2" w:rsidRPr="002A7AC1">
        <w:t>егиональные инициативы</w:t>
      </w:r>
      <w:r w:rsidR="0084197D" w:rsidRPr="002A7AC1">
        <w:t>;</w:t>
      </w:r>
    </w:p>
    <w:p w:rsidR="0084197D" w:rsidRPr="002A7AC1" w:rsidRDefault="008F040B" w:rsidP="00EB2EDA">
      <w:pPr>
        <w:pStyle w:val="enumlev1"/>
        <w:spacing w:before="60"/>
      </w:pPr>
      <w:r w:rsidRPr="002A7AC1">
        <w:t>B</w:t>
      </w:r>
      <w:r w:rsidR="00816E86" w:rsidRPr="002A7AC1">
        <w:t>)</w:t>
      </w:r>
      <w:r w:rsidR="003B524D" w:rsidRPr="002A7AC1">
        <w:tab/>
        <w:t>П</w:t>
      </w:r>
      <w:r w:rsidR="0084197D" w:rsidRPr="002A7AC1">
        <w:t>редварительный проект вклада МСЭ-D в Стратегический план МСЭ на 2020–2023 годы, предварительный проект Плана действий МСЭ-D и предварительный проект Декларации ВКРЭ</w:t>
      </w:r>
      <w:r w:rsidR="0084197D" w:rsidRPr="002A7AC1">
        <w:noBreakHyphen/>
        <w:t>17;</w:t>
      </w:r>
    </w:p>
    <w:p w:rsidR="0084197D" w:rsidRPr="002A7AC1" w:rsidRDefault="008F040B" w:rsidP="00EB2EDA">
      <w:pPr>
        <w:pStyle w:val="enumlev1"/>
        <w:spacing w:before="60"/>
      </w:pPr>
      <w:r w:rsidRPr="002A7AC1">
        <w:t>C</w:t>
      </w:r>
      <w:r w:rsidR="00816E86" w:rsidRPr="002A7AC1">
        <w:t>)</w:t>
      </w:r>
      <w:r w:rsidR="0084197D" w:rsidRPr="002A7AC1">
        <w:tab/>
      </w:r>
      <w:r w:rsidR="003B524D" w:rsidRPr="002A7AC1">
        <w:rPr>
          <w:rFonts w:cs="Calibri"/>
        </w:rPr>
        <w:t>П</w:t>
      </w:r>
      <w:r w:rsidR="0084197D" w:rsidRPr="002A7AC1">
        <w:rPr>
          <w:rFonts w:cs="Calibri"/>
        </w:rPr>
        <w:t>равила процедуры МСЭ-D (Резолюция 1 ВКРЭ);</w:t>
      </w:r>
    </w:p>
    <w:p w:rsidR="0084197D" w:rsidRPr="002A7AC1" w:rsidRDefault="008F040B" w:rsidP="00EB2EDA">
      <w:pPr>
        <w:pStyle w:val="enumlev1"/>
        <w:spacing w:before="60"/>
      </w:pPr>
      <w:r w:rsidRPr="002A7AC1">
        <w:t>D</w:t>
      </w:r>
      <w:r w:rsidR="00816E86" w:rsidRPr="002A7AC1">
        <w:t>)</w:t>
      </w:r>
      <w:r w:rsidR="0084197D" w:rsidRPr="002A7AC1">
        <w:tab/>
      </w:r>
      <w:r w:rsidR="003B524D" w:rsidRPr="002A7AC1">
        <w:t>У</w:t>
      </w:r>
      <w:r w:rsidR="0084197D" w:rsidRPr="002A7AC1">
        <w:t>порядочение Резолюций ВКРЭ</w:t>
      </w:r>
      <w:r w:rsidR="003B524D" w:rsidRPr="002A7AC1">
        <w:t>;</w:t>
      </w:r>
      <w:r w:rsidR="0084197D" w:rsidRPr="002A7AC1">
        <w:t xml:space="preserve"> и</w:t>
      </w:r>
    </w:p>
    <w:p w:rsidR="0084197D" w:rsidRPr="002A7AC1" w:rsidRDefault="008F040B" w:rsidP="00EB2EDA">
      <w:pPr>
        <w:pStyle w:val="enumlev1"/>
        <w:spacing w:before="60"/>
      </w:pPr>
      <w:r w:rsidRPr="002A7AC1">
        <w:t>E</w:t>
      </w:r>
      <w:r w:rsidR="00816E86" w:rsidRPr="002A7AC1">
        <w:t>)</w:t>
      </w:r>
      <w:r w:rsidR="0084197D" w:rsidRPr="002A7AC1">
        <w:tab/>
      </w:r>
      <w:r w:rsidR="003B524D" w:rsidRPr="002A7AC1">
        <w:t>П</w:t>
      </w:r>
      <w:r w:rsidR="00AA1C35" w:rsidRPr="002A7AC1">
        <w:t xml:space="preserve">редложения </w:t>
      </w:r>
      <w:r w:rsidR="00816E86" w:rsidRPr="002A7AC1">
        <w:t>по новым</w:t>
      </w:r>
      <w:r w:rsidR="00AA1C35" w:rsidRPr="002A7AC1">
        <w:t xml:space="preserve"> или пересмотренны</w:t>
      </w:r>
      <w:r w:rsidR="00816E86" w:rsidRPr="002A7AC1">
        <w:t xml:space="preserve">м </w:t>
      </w:r>
      <w:r w:rsidR="002A7AC1" w:rsidRPr="002A7AC1">
        <w:t>Резолюциям</w:t>
      </w:r>
      <w:r w:rsidR="0084197D" w:rsidRPr="002A7AC1">
        <w:t>.</w:t>
      </w:r>
    </w:p>
    <w:p w:rsidR="00BC3F8D" w:rsidRPr="002A7AC1" w:rsidRDefault="008F040B" w:rsidP="008609B2">
      <w:pPr>
        <w:pStyle w:val="Heading1"/>
        <w:rPr>
          <w:szCs w:val="26"/>
        </w:rPr>
      </w:pPr>
      <w:r w:rsidRPr="002A7AC1">
        <w:rPr>
          <w:szCs w:val="26"/>
        </w:rPr>
        <w:t>A</w:t>
      </w:r>
      <w:r w:rsidRPr="002A7AC1">
        <w:rPr>
          <w:szCs w:val="26"/>
        </w:rPr>
        <w:tab/>
      </w:r>
      <w:r w:rsidR="008609B2" w:rsidRPr="002A7AC1">
        <w:rPr>
          <w:szCs w:val="26"/>
        </w:rPr>
        <w:t>Региональные инициативы</w:t>
      </w:r>
    </w:p>
    <w:p w:rsidR="00BC3F8D" w:rsidRPr="002A7AC1" w:rsidRDefault="00816E86" w:rsidP="00816E86">
      <w:r w:rsidRPr="002A7AC1">
        <w:t xml:space="preserve">Для каждого </w:t>
      </w:r>
      <w:proofErr w:type="spellStart"/>
      <w:r w:rsidRPr="002A7AC1">
        <w:t>РПС</w:t>
      </w:r>
      <w:proofErr w:type="spellEnd"/>
      <w:r w:rsidRPr="002A7AC1">
        <w:t xml:space="preserve"> был предоставлен информационный документ, содержащий ряд предложений Ди</w:t>
      </w:r>
      <w:r w:rsidR="008F040B" w:rsidRPr="002A7AC1">
        <w:t xml:space="preserve">ректора </w:t>
      </w:r>
      <w:r w:rsidRPr="002A7AC1">
        <w:t>Бюро развития электросвязи (</w:t>
      </w:r>
      <w:proofErr w:type="spellStart"/>
      <w:r w:rsidR="008F040B" w:rsidRPr="002A7AC1">
        <w:t>БРЭ</w:t>
      </w:r>
      <w:proofErr w:type="spellEnd"/>
      <w:r w:rsidRPr="002A7AC1">
        <w:t>)</w:t>
      </w:r>
      <w:r w:rsidR="008F040B" w:rsidRPr="002A7AC1">
        <w:t xml:space="preserve"> к региональным организациям электросвязи на основе опыта </w:t>
      </w:r>
      <w:proofErr w:type="spellStart"/>
      <w:r w:rsidR="008F040B" w:rsidRPr="002A7AC1">
        <w:t>БРЭ</w:t>
      </w:r>
      <w:proofErr w:type="spellEnd"/>
      <w:r w:rsidR="008F040B" w:rsidRPr="002A7AC1">
        <w:t xml:space="preserve"> в осуществлении региональных инициатив. Документ был представлен региональным организациям электросвязи для изучения, если они сочтут это целесообразным, при рассмотрении региональных инициатив на период 2018–2021 годов.</w:t>
      </w:r>
    </w:p>
    <w:p w:rsidR="00BC3F8D" w:rsidRPr="002A7AC1" w:rsidRDefault="008609B2" w:rsidP="00354512">
      <w:pPr>
        <w:keepNext/>
        <w:keepLines/>
      </w:pPr>
      <w:r w:rsidRPr="002A7AC1">
        <w:t xml:space="preserve">На каждом </w:t>
      </w:r>
      <w:proofErr w:type="spellStart"/>
      <w:r w:rsidRPr="002A7AC1">
        <w:t>РПС</w:t>
      </w:r>
      <w:proofErr w:type="spellEnd"/>
      <w:r w:rsidRPr="002A7AC1">
        <w:t xml:space="preserve"> были приняты следующие региональные инициативы: </w:t>
      </w:r>
    </w:p>
    <w:p w:rsidR="008609B2" w:rsidRPr="002A7AC1" w:rsidRDefault="00C70CC0" w:rsidP="008609B2">
      <w:pPr>
        <w:pStyle w:val="Headingb"/>
        <w:pBdr>
          <w:bottom w:val="single" w:sz="12" w:space="1" w:color="auto"/>
        </w:pBdr>
      </w:pPr>
      <w:r w:rsidRPr="002A7AC1">
        <w:t>Региональные инициативы СНГ</w:t>
      </w:r>
    </w:p>
    <w:p w:rsidR="008609B2" w:rsidRPr="002A7AC1" w:rsidRDefault="008609B2" w:rsidP="008609B2">
      <w:r w:rsidRPr="002A7AC1">
        <w:t>Региональные инициативы СНГ рассчитаны на работу в конкретных приоритетных областях электросвязи/ИКТ с помощью партнерских отношений и мобилизации ресурсов для выполнения мелко-, средне- и крупномасштабных проектов. В рамках каждой региональной инициативы будут разрабатываться и осуществляться проекты в целях удовлетворения потребностей стран.</w:t>
      </w:r>
    </w:p>
    <w:p w:rsidR="008609B2" w:rsidRDefault="008609B2" w:rsidP="004E5E4C">
      <w:pPr>
        <w:spacing w:after="120"/>
      </w:pPr>
      <w:r w:rsidRPr="002A7AC1">
        <w:t xml:space="preserve">Ниже приводится обобщенная информация из Заключительного отчета Председателя </w:t>
      </w:r>
      <w:proofErr w:type="spellStart"/>
      <w:r w:rsidRPr="002A7AC1">
        <w:t>РПС</w:t>
      </w:r>
      <w:proofErr w:type="spellEnd"/>
      <w:r w:rsidRPr="002A7AC1">
        <w:t xml:space="preserve">-СНГ. Полная версия отчета представлена в Документе </w:t>
      </w:r>
      <w:hyperlink r:id="rId22" w:history="1">
        <w:proofErr w:type="spellStart"/>
        <w:r w:rsidRPr="002A7AC1">
          <w:rPr>
            <w:rStyle w:val="Hyperlink"/>
            <w:bCs/>
            <w:szCs w:val="24"/>
          </w:rPr>
          <w:t>RPM-CIS16</w:t>
        </w:r>
        <w:proofErr w:type="spellEnd"/>
        <w:r w:rsidRPr="002A7AC1">
          <w:rPr>
            <w:rStyle w:val="Hyperlink"/>
            <w:bCs/>
            <w:szCs w:val="24"/>
          </w:rPr>
          <w:t>/44</w:t>
        </w:r>
      </w:hyperlink>
      <w:r w:rsidRPr="002A7AC1">
        <w:t>.</w:t>
      </w:r>
    </w:p>
    <w:p w:rsidR="00320BC1" w:rsidRDefault="00320B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tbl>
      <w:tblPr>
        <w:tblStyle w:val="TableGrid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654"/>
      </w:tblGrid>
      <w:tr w:rsidR="004E5E4C" w:rsidRPr="002A7AC1" w:rsidTr="00BA64D4">
        <w:trPr>
          <w:tblHeader/>
          <w:jc w:val="center"/>
        </w:trPr>
        <w:tc>
          <w:tcPr>
            <w:tcW w:w="1980" w:type="dxa"/>
            <w:gridSpan w:val="2"/>
            <w:shd w:val="clear" w:color="auto" w:fill="D6E3BC" w:themeFill="accent3" w:themeFillTint="66"/>
            <w:vAlign w:val="center"/>
          </w:tcPr>
          <w:p w:rsidR="004E5E4C" w:rsidRPr="002A7AC1" w:rsidRDefault="00264956" w:rsidP="00264956">
            <w:pPr>
              <w:pStyle w:val="Tablehead"/>
            </w:pPr>
            <w:bookmarkStart w:id="25" w:name="lt_pId070"/>
            <w:proofErr w:type="spellStart"/>
            <w:r w:rsidRPr="002A7AC1">
              <w:lastRenderedPageBreak/>
              <w:t>РИ</w:t>
            </w:r>
            <w:proofErr w:type="spellEnd"/>
            <w:r w:rsidRPr="002A7AC1">
              <w:t xml:space="preserve"> </w:t>
            </w:r>
            <w:r w:rsidR="004E5E4C" w:rsidRPr="002A7AC1">
              <w:t>1</w:t>
            </w:r>
            <w:bookmarkEnd w:id="25"/>
          </w:p>
        </w:tc>
        <w:tc>
          <w:tcPr>
            <w:tcW w:w="7654" w:type="dxa"/>
            <w:shd w:val="clear" w:color="auto" w:fill="D6E3BC" w:themeFill="accent3" w:themeFillTint="66"/>
            <w:vAlign w:val="center"/>
          </w:tcPr>
          <w:p w:rsidR="004E5E4C" w:rsidRPr="002A7AC1" w:rsidRDefault="004E5E4C" w:rsidP="00C70CC0">
            <w:pPr>
              <w:pStyle w:val="Tablehead"/>
              <w:jc w:val="left"/>
            </w:pPr>
            <w:bookmarkStart w:id="26" w:name="lt_pId071"/>
            <w:r w:rsidRPr="002A7AC1">
              <w:t>Развитие электронного здравоохранения для обеспечения здорового образа жизни и содействия благополучию для всех в любом возрасте</w:t>
            </w:r>
            <w:bookmarkEnd w:id="26"/>
          </w:p>
        </w:tc>
      </w:tr>
      <w:tr w:rsidR="004E5E4C" w:rsidRPr="002A7AC1" w:rsidTr="00315106">
        <w:trPr>
          <w:jc w:val="center"/>
        </w:trPr>
        <w:tc>
          <w:tcPr>
            <w:tcW w:w="1980" w:type="dxa"/>
            <w:gridSpan w:val="2"/>
            <w:vAlign w:val="center"/>
          </w:tcPr>
          <w:p w:rsidR="004E5E4C" w:rsidRPr="002A7AC1" w:rsidRDefault="004E5E4C" w:rsidP="00BA64D4">
            <w:pPr>
              <w:pStyle w:val="Tabletext"/>
              <w:jc w:val="center"/>
              <w:rPr>
                <w:b/>
                <w:bCs/>
              </w:rPr>
            </w:pPr>
            <w:bookmarkStart w:id="27" w:name="lt_pId072"/>
            <w:r w:rsidRPr="002A7AC1">
              <w:rPr>
                <w:b/>
                <w:bCs/>
              </w:rPr>
              <w:t>Задача</w:t>
            </w:r>
            <w:bookmarkEnd w:id="27"/>
          </w:p>
        </w:tc>
        <w:tc>
          <w:tcPr>
            <w:tcW w:w="7654" w:type="dxa"/>
            <w:vAlign w:val="center"/>
          </w:tcPr>
          <w:p w:rsidR="004E5E4C" w:rsidRPr="002A7AC1" w:rsidRDefault="00027B9C" w:rsidP="00315106">
            <w:pPr>
              <w:pStyle w:val="Tabletext"/>
            </w:pPr>
            <w:bookmarkStart w:id="28" w:name="lt_pId073"/>
            <w:r w:rsidRPr="002A7AC1">
              <w:t>Оказывать помощь</w:t>
            </w:r>
            <w:r w:rsidR="004E5E4C" w:rsidRPr="002A7AC1">
              <w:t xml:space="preserve"> Государствам − Членам МСЭ в регионе при разработке нормативных документов, технических решений и специализированных учебных программ в области электронного здравоохранения (включая телемедицину), направленных на улучшение медицинского обслуживания населения через использование </w:t>
            </w:r>
            <w:proofErr w:type="spellStart"/>
            <w:r w:rsidR="004E5E4C" w:rsidRPr="002A7AC1">
              <w:t>инфокоммуникаций</w:t>
            </w:r>
            <w:proofErr w:type="spellEnd"/>
            <w:r w:rsidR="004E5E4C" w:rsidRPr="002A7AC1">
              <w:t>.</w:t>
            </w:r>
            <w:bookmarkEnd w:id="28"/>
          </w:p>
        </w:tc>
      </w:tr>
      <w:tr w:rsidR="004E5E4C" w:rsidRPr="002A7AC1" w:rsidTr="00315106">
        <w:trPr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4E5E4C" w:rsidRPr="002A7AC1" w:rsidRDefault="004E5E4C" w:rsidP="00BA64D4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1276" w:type="dxa"/>
            <w:vAlign w:val="center"/>
          </w:tcPr>
          <w:p w:rsidR="004E5E4C" w:rsidRPr="002A7AC1" w:rsidRDefault="004E5E4C" w:rsidP="00BA64D4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7654" w:type="dxa"/>
            <w:vAlign w:val="center"/>
          </w:tcPr>
          <w:p w:rsidR="004E5E4C" w:rsidRPr="002A7AC1" w:rsidRDefault="004E5E4C" w:rsidP="00315106">
            <w:pPr>
              <w:pStyle w:val="Tabletext"/>
            </w:pPr>
            <w:bookmarkStart w:id="29" w:name="lt_pId076"/>
            <w:r w:rsidRPr="002A7AC1">
              <w:t>Предоставление более полной информации представителям администраций связи, органам государственной власти в области здравоохранения, медицинских учреждений и частного сектора о текущем состоянии нормативно-правовой и организационно-технической базы в области электронного здравоохранения.</w:t>
            </w:r>
            <w:bookmarkEnd w:id="29"/>
          </w:p>
        </w:tc>
      </w:tr>
      <w:tr w:rsidR="004E5E4C" w:rsidRPr="002A7AC1" w:rsidTr="00315106">
        <w:trPr>
          <w:jc w:val="center"/>
        </w:trPr>
        <w:tc>
          <w:tcPr>
            <w:tcW w:w="704" w:type="dxa"/>
            <w:vMerge/>
            <w:vAlign w:val="center"/>
          </w:tcPr>
          <w:p w:rsidR="004E5E4C" w:rsidRPr="002A7AC1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2A7AC1" w:rsidRDefault="004E5E4C" w:rsidP="00BA64D4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7654" w:type="dxa"/>
            <w:vAlign w:val="center"/>
          </w:tcPr>
          <w:p w:rsidR="004E5E4C" w:rsidRPr="002A7AC1" w:rsidRDefault="004E5E4C" w:rsidP="00315106">
            <w:pPr>
              <w:pStyle w:val="Tabletext"/>
            </w:pPr>
            <w:r w:rsidRPr="002A7AC1">
              <w:t>Создание пилотных телемедицинских пунктов с гарантированным обеспечением электроэнергией за счет солнечной энергии.</w:t>
            </w:r>
          </w:p>
        </w:tc>
      </w:tr>
      <w:tr w:rsidR="004E5E4C" w:rsidRPr="002A7AC1" w:rsidTr="00315106">
        <w:trPr>
          <w:jc w:val="center"/>
        </w:trPr>
        <w:tc>
          <w:tcPr>
            <w:tcW w:w="704" w:type="dxa"/>
            <w:vMerge/>
            <w:vAlign w:val="center"/>
          </w:tcPr>
          <w:p w:rsidR="004E5E4C" w:rsidRPr="002A7AC1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2A7AC1" w:rsidRDefault="004E5E4C" w:rsidP="00BA64D4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7654" w:type="dxa"/>
            <w:vAlign w:val="center"/>
          </w:tcPr>
          <w:p w:rsidR="004E5E4C" w:rsidRPr="002A7AC1" w:rsidRDefault="004E5E4C" w:rsidP="00315106">
            <w:pPr>
              <w:pStyle w:val="Tabletext"/>
            </w:pPr>
            <w:r w:rsidRPr="002A7AC1">
              <w:t>Разработка технических решений в области электронного здравоохранения, включая телемедицину, обработку цифровой медицинской информации, персонифицированный учет медицинских услуг, электронную амбулаторную карту, электронную историю болезни пациентов и т. д.</w:t>
            </w:r>
          </w:p>
        </w:tc>
      </w:tr>
      <w:tr w:rsidR="004E5E4C" w:rsidRPr="002A7AC1" w:rsidTr="00315106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4E5E4C" w:rsidRPr="002A7AC1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2A7AC1" w:rsidRDefault="004E5E4C" w:rsidP="00BA64D4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7654" w:type="dxa"/>
            <w:vAlign w:val="center"/>
          </w:tcPr>
          <w:p w:rsidR="004E5E4C" w:rsidRPr="002A7AC1" w:rsidRDefault="004E5E4C" w:rsidP="00315106">
            <w:pPr>
              <w:pStyle w:val="Tabletext"/>
            </w:pPr>
            <w:r w:rsidRPr="002A7AC1">
              <w:t>Рекомендации по применению современных технических решений при проектировании систем электронного здравоохранения, включая телемедицинские сети.</w:t>
            </w:r>
          </w:p>
        </w:tc>
      </w:tr>
      <w:tr w:rsidR="004E5E4C" w:rsidRPr="002A7AC1" w:rsidTr="00315106">
        <w:trPr>
          <w:jc w:val="center"/>
        </w:trPr>
        <w:tc>
          <w:tcPr>
            <w:tcW w:w="704" w:type="dxa"/>
            <w:vMerge/>
            <w:vAlign w:val="center"/>
          </w:tcPr>
          <w:p w:rsidR="004E5E4C" w:rsidRPr="002A7AC1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2A7AC1" w:rsidRDefault="004E5E4C" w:rsidP="00BA64D4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7654" w:type="dxa"/>
            <w:vAlign w:val="center"/>
          </w:tcPr>
          <w:p w:rsidR="004E5E4C" w:rsidRPr="002A7AC1" w:rsidRDefault="004E5E4C" w:rsidP="00315106">
            <w:pPr>
              <w:pStyle w:val="Tabletext"/>
            </w:pPr>
            <w:r w:rsidRPr="002A7AC1">
              <w:t>Учебные курсы по подготовке студентов-медиков, а также по повышению квалификации практикующего медицинского персонала в сфере использования ИКТ в здравоохранении, включая телемедицин</w:t>
            </w:r>
            <w:r w:rsidR="00756581" w:rsidRPr="002A7AC1">
              <w:t xml:space="preserve">у, а также учебные курсы для </w:t>
            </w:r>
            <w:proofErr w:type="spellStart"/>
            <w:r w:rsidR="00756581" w:rsidRPr="002A7AC1">
              <w:t>ИТ</w:t>
            </w:r>
            <w:proofErr w:type="spellEnd"/>
            <w:r w:rsidR="00756581" w:rsidRPr="002A7AC1">
              <w:noBreakHyphen/>
            </w:r>
            <w:r w:rsidRPr="002A7AC1">
              <w:t>специалистов по обслуживанию специализированных медицинских информационных систем.</w:t>
            </w:r>
          </w:p>
        </w:tc>
      </w:tr>
      <w:tr w:rsidR="004E5E4C" w:rsidRPr="002A7AC1" w:rsidTr="00315106">
        <w:tblPrEx>
          <w:jc w:val="left"/>
        </w:tblPrEx>
        <w:tc>
          <w:tcPr>
            <w:tcW w:w="704" w:type="dxa"/>
            <w:vMerge w:val="restart"/>
            <w:textDirection w:val="btLr"/>
            <w:vAlign w:val="center"/>
          </w:tcPr>
          <w:p w:rsidR="004E5E4C" w:rsidRPr="002A7AC1" w:rsidRDefault="00D51B65" w:rsidP="00BA64D4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Соответствующие задачи МСЭ-D</w:t>
            </w:r>
          </w:p>
        </w:tc>
        <w:tc>
          <w:tcPr>
            <w:tcW w:w="1276" w:type="dxa"/>
            <w:vAlign w:val="center"/>
          </w:tcPr>
          <w:p w:rsidR="004E5E4C" w:rsidRPr="002A7AC1" w:rsidRDefault="00D51B65" w:rsidP="00BA64D4">
            <w:pPr>
              <w:pStyle w:val="Tabletext"/>
              <w:jc w:val="center"/>
            </w:pPr>
            <w:bookmarkStart w:id="30" w:name="lt_pId086"/>
            <w:r w:rsidRPr="002A7AC1">
              <w:t xml:space="preserve">Задача </w:t>
            </w:r>
            <w:r w:rsidR="004E5E4C" w:rsidRPr="002A7AC1">
              <w:t>3</w:t>
            </w:r>
            <w:bookmarkEnd w:id="30"/>
          </w:p>
        </w:tc>
        <w:tc>
          <w:tcPr>
            <w:tcW w:w="7654" w:type="dxa"/>
            <w:vAlign w:val="center"/>
          </w:tcPr>
          <w:p w:rsidR="004E5E4C" w:rsidRPr="002A7AC1" w:rsidRDefault="00D51B65" w:rsidP="00315106">
            <w:pPr>
              <w:pStyle w:val="Tabletext"/>
            </w:pPr>
            <w:r w:rsidRPr="002A7AC1">
              <w:t>Благоприятная среда: Содействовать благоприятной политике и условиям регулирования, способствующим устойчивому развитию электросвязи/ИКТ.</w:t>
            </w:r>
          </w:p>
        </w:tc>
      </w:tr>
      <w:tr w:rsidR="004E5E4C" w:rsidRPr="002A7AC1" w:rsidTr="00315106">
        <w:tblPrEx>
          <w:jc w:val="left"/>
        </w:tblPrEx>
        <w:tc>
          <w:tcPr>
            <w:tcW w:w="704" w:type="dxa"/>
            <w:vMerge/>
          </w:tcPr>
          <w:p w:rsidR="004E5E4C" w:rsidRPr="002A7AC1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2A7AC1" w:rsidRDefault="004E5E4C" w:rsidP="00BA64D4">
            <w:pPr>
              <w:pStyle w:val="Tabletext"/>
              <w:jc w:val="center"/>
            </w:pPr>
            <w:r w:rsidRPr="002A7AC1">
              <w:t>3.3</w:t>
            </w:r>
          </w:p>
        </w:tc>
        <w:tc>
          <w:tcPr>
            <w:tcW w:w="7654" w:type="dxa"/>
            <w:vAlign w:val="center"/>
          </w:tcPr>
          <w:p w:rsidR="004E5E4C" w:rsidRPr="002A7AC1" w:rsidRDefault="00D51B65" w:rsidP="00315106">
            <w:pPr>
              <w:pStyle w:val="Tabletext"/>
            </w:pPr>
            <w:r w:rsidRPr="002A7AC1">
              <w:t>Повышение человеческого и институционального потенциала членов МСЭ в полной мере задействовать потенциал электросвязи/ИКТ.</w:t>
            </w:r>
          </w:p>
        </w:tc>
      </w:tr>
      <w:tr w:rsidR="004E5E4C" w:rsidRPr="002A7AC1" w:rsidTr="00315106">
        <w:tblPrEx>
          <w:jc w:val="left"/>
        </w:tblPrEx>
        <w:tc>
          <w:tcPr>
            <w:tcW w:w="704" w:type="dxa"/>
            <w:vMerge/>
          </w:tcPr>
          <w:p w:rsidR="004E5E4C" w:rsidRPr="002A7AC1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2A7AC1" w:rsidRDefault="00D51B65" w:rsidP="00BA64D4">
            <w:pPr>
              <w:pStyle w:val="Tabletext"/>
              <w:jc w:val="center"/>
            </w:pPr>
            <w:bookmarkStart w:id="31" w:name="lt_pId090"/>
            <w:r w:rsidRPr="002A7AC1">
              <w:t xml:space="preserve">Задача </w:t>
            </w:r>
            <w:r w:rsidR="004E5E4C" w:rsidRPr="002A7AC1">
              <w:t>4</w:t>
            </w:r>
            <w:bookmarkEnd w:id="31"/>
          </w:p>
        </w:tc>
        <w:tc>
          <w:tcPr>
            <w:tcW w:w="7654" w:type="dxa"/>
            <w:vAlign w:val="center"/>
          </w:tcPr>
          <w:p w:rsidR="004E5E4C" w:rsidRPr="002A7AC1" w:rsidRDefault="00D51B65" w:rsidP="00315106">
            <w:pPr>
              <w:pStyle w:val="Tabletext"/>
            </w:pPr>
            <w:r w:rsidRPr="002A7AC1">
              <w:t>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среды.</w:t>
            </w:r>
          </w:p>
        </w:tc>
      </w:tr>
      <w:tr w:rsidR="004E5E4C" w:rsidRPr="002A7AC1" w:rsidTr="00315106">
        <w:tblPrEx>
          <w:jc w:val="left"/>
        </w:tblPrEx>
        <w:tc>
          <w:tcPr>
            <w:tcW w:w="704" w:type="dxa"/>
            <w:vMerge/>
          </w:tcPr>
          <w:p w:rsidR="004E5E4C" w:rsidRPr="002A7AC1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2A7AC1" w:rsidRDefault="004E5E4C" w:rsidP="00BA64D4">
            <w:pPr>
              <w:pStyle w:val="Tabletext"/>
              <w:jc w:val="center"/>
            </w:pPr>
            <w:r w:rsidRPr="002A7AC1">
              <w:t>4.1</w:t>
            </w:r>
          </w:p>
        </w:tc>
        <w:tc>
          <w:tcPr>
            <w:tcW w:w="7654" w:type="dxa"/>
            <w:vAlign w:val="center"/>
          </w:tcPr>
          <w:p w:rsidR="004E5E4C" w:rsidRPr="002A7AC1" w:rsidRDefault="00D51B65" w:rsidP="00315106">
            <w:pPr>
              <w:pStyle w:val="Tabletext"/>
            </w:pPr>
            <w:bookmarkStart w:id="32" w:name="lt_pId093"/>
            <w:r w:rsidRPr="002A7AC1">
              <w:t>Расширение доступа и использования электросвязи/ИКТ в наименее развитых странах (</w:t>
            </w:r>
            <w:proofErr w:type="spellStart"/>
            <w:r w:rsidRPr="002A7AC1">
              <w:t>НРС</w:t>
            </w:r>
            <w:proofErr w:type="spellEnd"/>
            <w:r w:rsidRPr="002A7AC1">
              <w:t>), малых островных развивающихся государствах (</w:t>
            </w:r>
            <w:proofErr w:type="spellStart"/>
            <w:r w:rsidRPr="002A7AC1">
              <w:t>СИДС</w:t>
            </w:r>
            <w:proofErr w:type="spellEnd"/>
            <w:r w:rsidRPr="002A7AC1">
              <w:t>) и развивающихся странах, не имеющих выхода к морю (</w:t>
            </w:r>
            <w:proofErr w:type="spellStart"/>
            <w:r w:rsidRPr="002A7AC1">
              <w:t>ЛЛДС</w:t>
            </w:r>
            <w:proofErr w:type="spellEnd"/>
            <w:r w:rsidRPr="002A7AC1">
              <w:t>)</w:t>
            </w:r>
            <w:r w:rsidR="00027B9C" w:rsidRPr="002A7AC1">
              <w:t>,</w:t>
            </w:r>
            <w:r w:rsidRPr="002A7AC1">
              <w:t xml:space="preserve"> и в странах с переходной экономикой.</w:t>
            </w:r>
            <w:bookmarkEnd w:id="32"/>
          </w:p>
        </w:tc>
      </w:tr>
      <w:tr w:rsidR="004E5E4C" w:rsidRPr="002A7AC1" w:rsidTr="00315106">
        <w:tblPrEx>
          <w:jc w:val="left"/>
        </w:tblPrEx>
        <w:tc>
          <w:tcPr>
            <w:tcW w:w="704" w:type="dxa"/>
            <w:vMerge/>
          </w:tcPr>
          <w:p w:rsidR="004E5E4C" w:rsidRPr="002A7AC1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2A7AC1" w:rsidRDefault="004E5E4C" w:rsidP="00BA64D4">
            <w:pPr>
              <w:pStyle w:val="Tabletext"/>
              <w:jc w:val="center"/>
            </w:pPr>
            <w:r w:rsidRPr="002A7AC1">
              <w:t>4.2</w:t>
            </w:r>
          </w:p>
        </w:tc>
        <w:tc>
          <w:tcPr>
            <w:tcW w:w="7654" w:type="dxa"/>
            <w:vAlign w:val="center"/>
          </w:tcPr>
          <w:p w:rsidR="004E5E4C" w:rsidRPr="002A7AC1" w:rsidRDefault="00D51B65" w:rsidP="00315106">
            <w:pPr>
              <w:pStyle w:val="Tabletext"/>
            </w:pPr>
            <w:r w:rsidRPr="002A7AC1">
              <w:t>Повышение потенциала членов МСЭ для мобилизации применений ИКТ, включая подвижную связь, в высокоприоритетных областях (например, здравоохранение, сельское хозяйство, торговля, управление, образование и финансы).</w:t>
            </w:r>
          </w:p>
        </w:tc>
      </w:tr>
      <w:tr w:rsidR="004E5E4C" w:rsidRPr="002A7AC1" w:rsidTr="00315106">
        <w:tblPrEx>
          <w:jc w:val="left"/>
        </w:tblPrEx>
        <w:trPr>
          <w:trHeight w:val="1532"/>
        </w:trPr>
        <w:tc>
          <w:tcPr>
            <w:tcW w:w="704" w:type="dxa"/>
            <w:vMerge w:val="restart"/>
            <w:textDirection w:val="btLr"/>
            <w:vAlign w:val="center"/>
          </w:tcPr>
          <w:p w:rsidR="004E5E4C" w:rsidRPr="002A7AC1" w:rsidRDefault="006F4F18" w:rsidP="00BA64D4">
            <w:pPr>
              <w:pStyle w:val="Tabletext"/>
              <w:jc w:val="center"/>
              <w:rPr>
                <w:b/>
                <w:bCs/>
              </w:rPr>
            </w:pPr>
            <w:bookmarkStart w:id="33" w:name="lt_pId096"/>
            <w:r w:rsidRPr="00354512">
              <w:rPr>
                <w:b/>
                <w:bCs/>
              </w:rPr>
              <w:t>Соответствующие направления</w:t>
            </w:r>
            <w:r w:rsidRPr="002A7AC1">
              <w:rPr>
                <w:b/>
                <w:bCs/>
              </w:rPr>
              <w:t xml:space="preserve"> деятельности </w:t>
            </w:r>
            <w:proofErr w:type="spellStart"/>
            <w:r w:rsidRPr="002A7AC1">
              <w:rPr>
                <w:b/>
                <w:bCs/>
              </w:rPr>
              <w:t>ВВУИО</w:t>
            </w:r>
            <w:bookmarkEnd w:id="33"/>
            <w:proofErr w:type="spellEnd"/>
          </w:p>
        </w:tc>
        <w:tc>
          <w:tcPr>
            <w:tcW w:w="1276" w:type="dxa"/>
            <w:vAlign w:val="center"/>
          </w:tcPr>
          <w:p w:rsidR="004E5E4C" w:rsidRPr="002A7AC1" w:rsidRDefault="004E5E4C" w:rsidP="00BA64D4">
            <w:pPr>
              <w:pStyle w:val="Tabletext"/>
              <w:jc w:val="center"/>
            </w:pPr>
            <w:bookmarkStart w:id="34" w:name="lt_pId097"/>
            <w:proofErr w:type="spellStart"/>
            <w:r w:rsidRPr="002A7AC1">
              <w:t>C4</w:t>
            </w:r>
            <w:bookmarkEnd w:id="34"/>
            <w:proofErr w:type="spellEnd"/>
          </w:p>
        </w:tc>
        <w:tc>
          <w:tcPr>
            <w:tcW w:w="7654" w:type="dxa"/>
            <w:vAlign w:val="center"/>
          </w:tcPr>
          <w:p w:rsidR="004E5E4C" w:rsidRPr="002A7AC1" w:rsidRDefault="006F4F18" w:rsidP="00315106">
            <w:pPr>
              <w:pStyle w:val="Tabletext"/>
            </w:pPr>
            <w:r w:rsidRPr="002A7AC1">
              <w:t>Создание потенциала</w:t>
            </w:r>
          </w:p>
        </w:tc>
      </w:tr>
      <w:tr w:rsidR="004E5E4C" w:rsidRPr="002A7AC1" w:rsidTr="007E551D">
        <w:tblPrEx>
          <w:jc w:val="left"/>
        </w:tblPrEx>
        <w:trPr>
          <w:trHeight w:val="1532"/>
        </w:trPr>
        <w:tc>
          <w:tcPr>
            <w:tcW w:w="704" w:type="dxa"/>
            <w:vMerge/>
          </w:tcPr>
          <w:p w:rsidR="004E5E4C" w:rsidRPr="002A7AC1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2A7AC1" w:rsidRDefault="004E5E4C" w:rsidP="00BA64D4">
            <w:pPr>
              <w:pStyle w:val="Tabletext"/>
              <w:jc w:val="center"/>
            </w:pPr>
            <w:bookmarkStart w:id="35" w:name="lt_pId099"/>
            <w:proofErr w:type="spellStart"/>
            <w:r w:rsidRPr="002A7AC1">
              <w:t>C7</w:t>
            </w:r>
            <w:bookmarkEnd w:id="35"/>
            <w:proofErr w:type="spellEnd"/>
          </w:p>
        </w:tc>
        <w:tc>
          <w:tcPr>
            <w:tcW w:w="7654" w:type="dxa"/>
            <w:vAlign w:val="center"/>
          </w:tcPr>
          <w:p w:rsidR="004E5E4C" w:rsidRPr="002A7AC1" w:rsidRDefault="006F4F18" w:rsidP="00C70CC0">
            <w:pPr>
              <w:pStyle w:val="Tabletext"/>
            </w:pPr>
            <w:r w:rsidRPr="002A7AC1">
              <w:t>Приложения на базе ИКТ: Электронное здравоохранение</w:t>
            </w:r>
          </w:p>
        </w:tc>
      </w:tr>
      <w:tr w:rsidR="004E5E4C" w:rsidRPr="002A7AC1" w:rsidTr="007E551D">
        <w:tblPrEx>
          <w:jc w:val="left"/>
        </w:tblPrEx>
        <w:trPr>
          <w:trHeight w:val="1612"/>
        </w:trPr>
        <w:tc>
          <w:tcPr>
            <w:tcW w:w="704" w:type="dxa"/>
            <w:vMerge w:val="restart"/>
            <w:textDirection w:val="btLr"/>
          </w:tcPr>
          <w:p w:rsidR="004E5E4C" w:rsidRPr="002A7AC1" w:rsidRDefault="006F4F18" w:rsidP="00BA64D4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lastRenderedPageBreak/>
              <w:t>Соответствующие Цели в области устойчивого развития</w:t>
            </w:r>
          </w:p>
        </w:tc>
        <w:tc>
          <w:tcPr>
            <w:tcW w:w="1276" w:type="dxa"/>
            <w:vAlign w:val="center"/>
          </w:tcPr>
          <w:p w:rsidR="004E5E4C" w:rsidRPr="002A7AC1" w:rsidRDefault="004E5E4C" w:rsidP="00BA64D4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7654" w:type="dxa"/>
            <w:vAlign w:val="center"/>
          </w:tcPr>
          <w:p w:rsidR="004E5E4C" w:rsidRPr="002A7AC1" w:rsidRDefault="006F4F18" w:rsidP="00C70CC0">
            <w:pPr>
              <w:pStyle w:val="Tabletext"/>
            </w:pPr>
            <w:r w:rsidRPr="002A7AC1">
              <w:t>Хорошее здоровье и благополучие</w:t>
            </w:r>
          </w:p>
        </w:tc>
      </w:tr>
      <w:tr w:rsidR="004E5E4C" w:rsidRPr="002A7AC1" w:rsidTr="007E551D">
        <w:tblPrEx>
          <w:jc w:val="left"/>
        </w:tblPrEx>
        <w:trPr>
          <w:trHeight w:val="1612"/>
        </w:trPr>
        <w:tc>
          <w:tcPr>
            <w:tcW w:w="704" w:type="dxa"/>
            <w:vMerge/>
          </w:tcPr>
          <w:p w:rsidR="004E5E4C" w:rsidRPr="002A7AC1" w:rsidRDefault="004E5E4C" w:rsidP="00C70CC0">
            <w:pPr>
              <w:pStyle w:val="Tabletext"/>
            </w:pPr>
          </w:p>
        </w:tc>
        <w:tc>
          <w:tcPr>
            <w:tcW w:w="1276" w:type="dxa"/>
            <w:vAlign w:val="center"/>
          </w:tcPr>
          <w:p w:rsidR="004E5E4C" w:rsidRPr="002A7AC1" w:rsidRDefault="004E5E4C" w:rsidP="00BA64D4">
            <w:pPr>
              <w:pStyle w:val="Tabletext"/>
              <w:jc w:val="center"/>
            </w:pPr>
            <w:r w:rsidRPr="002A7AC1">
              <w:t>16</w:t>
            </w:r>
          </w:p>
        </w:tc>
        <w:tc>
          <w:tcPr>
            <w:tcW w:w="7654" w:type="dxa"/>
            <w:vAlign w:val="center"/>
          </w:tcPr>
          <w:p w:rsidR="004E5E4C" w:rsidRPr="002A7AC1" w:rsidRDefault="006F4F18" w:rsidP="00C70CC0">
            <w:pPr>
              <w:pStyle w:val="Tabletext"/>
            </w:pPr>
            <w:r w:rsidRPr="002A7AC1">
              <w:t>Уменьшение неравенства</w:t>
            </w:r>
          </w:p>
        </w:tc>
      </w:tr>
    </w:tbl>
    <w:p w:rsidR="001B1242" w:rsidRPr="002A7AC1" w:rsidRDefault="001B1242" w:rsidP="00EB2EDA"/>
    <w:tbl>
      <w:tblPr>
        <w:tblStyle w:val="TableGrid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65"/>
        <w:gridCol w:w="7676"/>
      </w:tblGrid>
      <w:tr w:rsidR="00A81471" w:rsidRPr="002A7AC1" w:rsidTr="00756581">
        <w:trPr>
          <w:tblHeader/>
          <w:jc w:val="center"/>
        </w:trPr>
        <w:tc>
          <w:tcPr>
            <w:tcW w:w="1969" w:type="dxa"/>
            <w:gridSpan w:val="2"/>
            <w:shd w:val="clear" w:color="auto" w:fill="D6E3BC" w:themeFill="accent3" w:themeFillTint="66"/>
            <w:vAlign w:val="center"/>
          </w:tcPr>
          <w:p w:rsidR="00A81471" w:rsidRPr="002A7AC1" w:rsidRDefault="00264956" w:rsidP="00264956">
            <w:pPr>
              <w:pStyle w:val="Tablehead"/>
            </w:pPr>
            <w:bookmarkStart w:id="36" w:name="lt_pId106"/>
            <w:proofErr w:type="spellStart"/>
            <w:r w:rsidRPr="002A7AC1">
              <w:t>РИ</w:t>
            </w:r>
            <w:proofErr w:type="spellEnd"/>
            <w:r w:rsidRPr="002A7AC1">
              <w:t xml:space="preserve"> </w:t>
            </w:r>
            <w:r w:rsidR="00A81471" w:rsidRPr="002A7AC1">
              <w:t>2</w:t>
            </w:r>
            <w:bookmarkEnd w:id="36"/>
          </w:p>
        </w:tc>
        <w:tc>
          <w:tcPr>
            <w:tcW w:w="7676" w:type="dxa"/>
            <w:shd w:val="clear" w:color="auto" w:fill="D6E3BC" w:themeFill="accent3" w:themeFillTint="66"/>
            <w:vAlign w:val="center"/>
          </w:tcPr>
          <w:p w:rsidR="00A81471" w:rsidRPr="002A7AC1" w:rsidRDefault="00A81471" w:rsidP="00756581">
            <w:pPr>
              <w:pStyle w:val="Tablehead"/>
              <w:jc w:val="left"/>
            </w:pPr>
            <w:r w:rsidRPr="002A7AC1">
              <w:t>Использование электросвязи/ИКТ для обеспечения всеохватного, справедливого, качественного и безопасного образования, включая повышение уровня знаний женщин в сфере И</w:t>
            </w:r>
            <w:r w:rsidR="00320BC1">
              <w:t>КТ и электронного правительства</w:t>
            </w:r>
          </w:p>
        </w:tc>
      </w:tr>
      <w:tr w:rsidR="00A81471" w:rsidRPr="002A7AC1" w:rsidTr="00315106">
        <w:trPr>
          <w:jc w:val="center"/>
        </w:trPr>
        <w:tc>
          <w:tcPr>
            <w:tcW w:w="1969" w:type="dxa"/>
            <w:gridSpan w:val="2"/>
            <w:vAlign w:val="center"/>
          </w:tcPr>
          <w:p w:rsidR="00A81471" w:rsidRPr="002A7AC1" w:rsidRDefault="00A81471" w:rsidP="00756581">
            <w:pPr>
              <w:pStyle w:val="Tabletext"/>
              <w:jc w:val="center"/>
              <w:rPr>
                <w:b/>
                <w:bCs/>
              </w:rPr>
            </w:pPr>
            <w:bookmarkStart w:id="37" w:name="lt_pId108"/>
            <w:r w:rsidRPr="002A7AC1">
              <w:rPr>
                <w:b/>
                <w:bCs/>
              </w:rPr>
              <w:t>Задача</w:t>
            </w:r>
            <w:bookmarkEnd w:id="37"/>
          </w:p>
        </w:tc>
        <w:tc>
          <w:tcPr>
            <w:tcW w:w="7676" w:type="dxa"/>
            <w:vAlign w:val="center"/>
          </w:tcPr>
          <w:p w:rsidR="00A81471" w:rsidRPr="002A7AC1" w:rsidRDefault="00A81471" w:rsidP="00315106">
            <w:pPr>
              <w:pStyle w:val="Tabletext"/>
            </w:pPr>
            <w:bookmarkStart w:id="38" w:name="lt_pId109"/>
            <w:r w:rsidRPr="002A7AC1">
              <w:t>Обеспечить Государства − Члены МСЭ в регионе централизованной консультационной и технической помощью по различным аспектам использования электросвязи/ИКТ в образовании, а также по вопросам повышения уровня грамотности населения в сфере ИКТ с целью развития человеческого потенциала и обеспечения гендерного и социального равенства.</w:t>
            </w:r>
            <w:bookmarkEnd w:id="38"/>
          </w:p>
        </w:tc>
      </w:tr>
      <w:tr w:rsidR="00A81471" w:rsidRPr="002A7AC1" w:rsidTr="00315106">
        <w:trPr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A81471" w:rsidRPr="002A7AC1" w:rsidRDefault="00A81471" w:rsidP="00756581">
            <w:pPr>
              <w:pStyle w:val="Tabletext"/>
              <w:jc w:val="center"/>
              <w:rPr>
                <w:b/>
                <w:bCs/>
              </w:rPr>
            </w:pPr>
            <w:bookmarkStart w:id="39" w:name="lt_pId110"/>
            <w:r w:rsidRPr="002A7AC1">
              <w:rPr>
                <w:b/>
                <w:bCs/>
              </w:rPr>
              <w:t>Ожидаемые результаты</w:t>
            </w:r>
            <w:bookmarkEnd w:id="39"/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7676" w:type="dxa"/>
            <w:vAlign w:val="center"/>
          </w:tcPr>
          <w:p w:rsidR="00A81471" w:rsidRPr="002A7AC1" w:rsidRDefault="00A81471" w:rsidP="00315106">
            <w:pPr>
              <w:pStyle w:val="Tabletext"/>
            </w:pPr>
            <w:bookmarkStart w:id="40" w:name="lt_pId112"/>
            <w:r w:rsidRPr="002A7AC1">
              <w:t>Предоставление консультационной и технической поддержки представителям образовательных учреждений в отношении происходящего в настоящее время прогресса в сфере использования электросвязи/ИКТ в образовании.</w:t>
            </w:r>
            <w:bookmarkEnd w:id="40"/>
          </w:p>
        </w:tc>
      </w:tr>
      <w:tr w:rsidR="00A81471" w:rsidRPr="002A7AC1" w:rsidTr="00315106">
        <w:trPr>
          <w:jc w:val="center"/>
        </w:trPr>
        <w:tc>
          <w:tcPr>
            <w:tcW w:w="704" w:type="dxa"/>
            <w:vMerge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7676" w:type="dxa"/>
            <w:vAlign w:val="center"/>
          </w:tcPr>
          <w:p w:rsidR="00A81471" w:rsidRPr="002A7AC1" w:rsidRDefault="00A81471" w:rsidP="00315106">
            <w:pPr>
              <w:pStyle w:val="Tabletext"/>
            </w:pPr>
            <w:bookmarkStart w:id="41" w:name="lt_pId114"/>
            <w:r w:rsidRPr="002A7AC1">
              <w:t>Создание учебных центров по повышению уровня знаний женщин в сфере ИКТ и электронного правительства.</w:t>
            </w:r>
            <w:bookmarkEnd w:id="41"/>
          </w:p>
        </w:tc>
      </w:tr>
      <w:tr w:rsidR="00A81471" w:rsidRPr="002A7AC1" w:rsidTr="00315106">
        <w:trPr>
          <w:jc w:val="center"/>
        </w:trPr>
        <w:tc>
          <w:tcPr>
            <w:tcW w:w="704" w:type="dxa"/>
            <w:vMerge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7676" w:type="dxa"/>
            <w:vAlign w:val="center"/>
          </w:tcPr>
          <w:p w:rsidR="00A81471" w:rsidRPr="002A7AC1" w:rsidRDefault="00A81471" w:rsidP="00315106">
            <w:pPr>
              <w:pStyle w:val="Tabletext"/>
            </w:pPr>
            <w:bookmarkStart w:id="42" w:name="lt_pId116"/>
            <w:r w:rsidRPr="002A7AC1">
              <w:t>Развитие технологий и методов образования с использованием электросвязи/ИКТ.</w:t>
            </w:r>
            <w:bookmarkEnd w:id="42"/>
          </w:p>
        </w:tc>
      </w:tr>
      <w:tr w:rsidR="00A81471" w:rsidRPr="002A7AC1" w:rsidTr="00315106">
        <w:trPr>
          <w:jc w:val="center"/>
        </w:trPr>
        <w:tc>
          <w:tcPr>
            <w:tcW w:w="704" w:type="dxa"/>
            <w:vMerge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7676" w:type="dxa"/>
            <w:vAlign w:val="center"/>
          </w:tcPr>
          <w:p w:rsidR="00A81471" w:rsidRPr="002A7AC1" w:rsidRDefault="00A81471" w:rsidP="00315106">
            <w:pPr>
              <w:pStyle w:val="Tabletext"/>
            </w:pPr>
            <w:bookmarkStart w:id="43" w:name="lt_pId118"/>
            <w:r w:rsidRPr="002A7AC1">
              <w:t>Развитие систем информационного обеспечения учеников, родителей и учителей в сфере безопасного использования ресурсов интернета.</w:t>
            </w:r>
            <w:bookmarkEnd w:id="43"/>
          </w:p>
        </w:tc>
      </w:tr>
      <w:tr w:rsidR="00A81471" w:rsidRPr="002A7AC1" w:rsidTr="00315106">
        <w:trPr>
          <w:jc w:val="center"/>
        </w:trPr>
        <w:tc>
          <w:tcPr>
            <w:tcW w:w="704" w:type="dxa"/>
            <w:vMerge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7676" w:type="dxa"/>
            <w:vAlign w:val="center"/>
          </w:tcPr>
          <w:p w:rsidR="00A81471" w:rsidRPr="002A7AC1" w:rsidRDefault="00A81471" w:rsidP="00315106">
            <w:pPr>
              <w:pStyle w:val="Tabletext"/>
            </w:pPr>
            <w:bookmarkStart w:id="44" w:name="lt_pId120"/>
            <w:r w:rsidRPr="002A7AC1">
              <w:t>Курсы повышения квалификации, тренинги, семинары по внедрению электросвязи/ИКТ в образование и развитие человеческого потенциала, в том числе в сельских районах, а также для лиц с ограниченными возможностями здоровья.</w:t>
            </w:r>
            <w:bookmarkEnd w:id="44"/>
          </w:p>
        </w:tc>
      </w:tr>
      <w:tr w:rsidR="00A81471" w:rsidRPr="002A7AC1" w:rsidTr="00315106">
        <w:tblPrEx>
          <w:jc w:val="left"/>
        </w:tblPrEx>
        <w:tc>
          <w:tcPr>
            <w:tcW w:w="704" w:type="dxa"/>
            <w:vMerge w:val="restart"/>
            <w:textDirection w:val="btLr"/>
            <w:vAlign w:val="center"/>
          </w:tcPr>
          <w:p w:rsidR="00A81471" w:rsidRPr="002A7AC1" w:rsidRDefault="00A81471" w:rsidP="003545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Соответствующие задачи МСЭ-D</w:t>
            </w: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bookmarkStart w:id="45" w:name="lt_pId122"/>
            <w:r w:rsidRPr="002A7AC1">
              <w:t>Задача 2</w:t>
            </w:r>
            <w:bookmarkEnd w:id="45"/>
          </w:p>
        </w:tc>
        <w:tc>
          <w:tcPr>
            <w:tcW w:w="7676" w:type="dxa"/>
            <w:vAlign w:val="center"/>
          </w:tcPr>
          <w:p w:rsidR="00A81471" w:rsidRPr="002A7AC1" w:rsidRDefault="00767334" w:rsidP="00315106">
            <w:pPr>
              <w:pStyle w:val="Tabletext"/>
            </w:pPr>
            <w:bookmarkStart w:id="46" w:name="lt_pId123"/>
            <w:r w:rsidRPr="002A7AC1">
              <w:t>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</w:t>
            </w:r>
            <w:r w:rsidR="00A81471" w:rsidRPr="002A7AC1">
              <w:t>.</w:t>
            </w:r>
            <w:bookmarkEnd w:id="46"/>
          </w:p>
        </w:tc>
      </w:tr>
      <w:tr w:rsidR="00A81471" w:rsidRPr="002A7AC1" w:rsidTr="00315106">
        <w:tblPrEx>
          <w:jc w:val="left"/>
        </w:tblPrEx>
        <w:tc>
          <w:tcPr>
            <w:tcW w:w="704" w:type="dxa"/>
            <w:vMerge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r w:rsidRPr="002A7AC1">
              <w:t>2.2</w:t>
            </w:r>
          </w:p>
        </w:tc>
        <w:tc>
          <w:tcPr>
            <w:tcW w:w="7676" w:type="dxa"/>
            <w:vAlign w:val="center"/>
          </w:tcPr>
          <w:p w:rsidR="00A81471" w:rsidRPr="002A7AC1" w:rsidRDefault="00767334" w:rsidP="00FE3B77">
            <w:pPr>
              <w:pStyle w:val="Tabletext"/>
            </w:pPr>
            <w:bookmarkStart w:id="47" w:name="lt_pId125"/>
            <w:r w:rsidRPr="002A7AC1">
              <w:rPr>
                <w:szCs w:val="22"/>
              </w:rPr>
              <w:t xml:space="preserve">Повышение потенциала членов МСЭ для эффективного реагирования на </w:t>
            </w:r>
            <w:proofErr w:type="spellStart"/>
            <w:r w:rsidRPr="002A7AC1">
              <w:rPr>
                <w:szCs w:val="22"/>
              </w:rPr>
              <w:t>киберугрозы</w:t>
            </w:r>
            <w:proofErr w:type="spellEnd"/>
            <w:r w:rsidRPr="002A7AC1">
              <w:rPr>
                <w:szCs w:val="22"/>
              </w:rPr>
              <w:t xml:space="preserve"> и разработки национальных стратегий для обеспечения </w:t>
            </w:r>
            <w:proofErr w:type="spellStart"/>
            <w:r w:rsidRPr="002A7AC1">
              <w:rPr>
                <w:szCs w:val="22"/>
              </w:rPr>
              <w:t>кибербезопасности</w:t>
            </w:r>
            <w:proofErr w:type="spellEnd"/>
            <w:r w:rsidR="00A81471" w:rsidRPr="002A7AC1">
              <w:t>.</w:t>
            </w:r>
            <w:bookmarkEnd w:id="47"/>
          </w:p>
        </w:tc>
      </w:tr>
      <w:tr w:rsidR="00A81471" w:rsidRPr="002A7AC1" w:rsidTr="00315106">
        <w:tblPrEx>
          <w:jc w:val="left"/>
        </w:tblPrEx>
        <w:tc>
          <w:tcPr>
            <w:tcW w:w="704" w:type="dxa"/>
            <w:vMerge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bookmarkStart w:id="48" w:name="lt_pId126"/>
            <w:r w:rsidRPr="002A7AC1">
              <w:t>Задача 3</w:t>
            </w:r>
            <w:bookmarkEnd w:id="48"/>
          </w:p>
        </w:tc>
        <w:tc>
          <w:tcPr>
            <w:tcW w:w="7676" w:type="dxa"/>
            <w:vAlign w:val="center"/>
          </w:tcPr>
          <w:p w:rsidR="00A81471" w:rsidRPr="002A7AC1" w:rsidRDefault="00315106" w:rsidP="00315106">
            <w:pPr>
              <w:pStyle w:val="Tabletext"/>
            </w:pPr>
            <w:bookmarkStart w:id="49" w:name="lt_pId127"/>
            <w:r w:rsidRPr="002A7AC1">
              <w:t>Благоприятная среда: Содействовать благоприятной политике и условиям регулирования, способствующим устойчивому развитию электросвязи/ИКТ</w:t>
            </w:r>
            <w:r w:rsidR="00A81471" w:rsidRPr="002A7AC1">
              <w:t>.</w:t>
            </w:r>
            <w:bookmarkEnd w:id="49"/>
          </w:p>
        </w:tc>
      </w:tr>
      <w:tr w:rsidR="00A81471" w:rsidRPr="002A7AC1" w:rsidTr="00315106">
        <w:tblPrEx>
          <w:jc w:val="left"/>
        </w:tblPrEx>
        <w:tc>
          <w:tcPr>
            <w:tcW w:w="704" w:type="dxa"/>
            <w:vMerge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r w:rsidRPr="002A7AC1">
              <w:t>3.3</w:t>
            </w:r>
          </w:p>
        </w:tc>
        <w:tc>
          <w:tcPr>
            <w:tcW w:w="7676" w:type="dxa"/>
            <w:vAlign w:val="center"/>
          </w:tcPr>
          <w:p w:rsidR="00A81471" w:rsidRPr="002A7AC1" w:rsidRDefault="001D17C0" w:rsidP="001D17C0">
            <w:pPr>
              <w:pStyle w:val="Tabletext"/>
              <w:rPr>
                <w:highlight w:val="cyan"/>
              </w:rPr>
            </w:pPr>
            <w:bookmarkStart w:id="50" w:name="lt_pId129"/>
            <w:r w:rsidRPr="002A7AC1">
              <w:rPr>
                <w:szCs w:val="22"/>
              </w:rPr>
              <w:t xml:space="preserve">Повышение потенциала членов МСЭ для эффективного реагирования на </w:t>
            </w:r>
            <w:proofErr w:type="spellStart"/>
            <w:r w:rsidRPr="002A7AC1">
              <w:rPr>
                <w:szCs w:val="22"/>
              </w:rPr>
              <w:t>киберугрозы</w:t>
            </w:r>
            <w:proofErr w:type="spellEnd"/>
            <w:r w:rsidRPr="002A7AC1">
              <w:rPr>
                <w:szCs w:val="22"/>
              </w:rPr>
              <w:t xml:space="preserve"> и разработки национальных стратегий для обеспечения </w:t>
            </w:r>
            <w:proofErr w:type="spellStart"/>
            <w:r w:rsidRPr="002A7AC1">
              <w:rPr>
                <w:szCs w:val="22"/>
              </w:rPr>
              <w:t>кибербезопасности</w:t>
            </w:r>
            <w:bookmarkEnd w:id="50"/>
            <w:proofErr w:type="spellEnd"/>
            <w:r w:rsidRPr="002A7AC1">
              <w:rPr>
                <w:szCs w:val="22"/>
              </w:rPr>
              <w:t>.</w:t>
            </w:r>
          </w:p>
        </w:tc>
      </w:tr>
      <w:tr w:rsidR="00A81471" w:rsidRPr="002A7AC1" w:rsidTr="00315106">
        <w:tblPrEx>
          <w:jc w:val="left"/>
        </w:tblPrEx>
        <w:tc>
          <w:tcPr>
            <w:tcW w:w="704" w:type="dxa"/>
            <w:vMerge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bookmarkStart w:id="51" w:name="lt_pId130"/>
            <w:r w:rsidRPr="002A7AC1">
              <w:t>Задача 4</w:t>
            </w:r>
            <w:bookmarkEnd w:id="51"/>
          </w:p>
        </w:tc>
        <w:tc>
          <w:tcPr>
            <w:tcW w:w="7676" w:type="dxa"/>
            <w:vAlign w:val="center"/>
          </w:tcPr>
          <w:p w:rsidR="00A81471" w:rsidRPr="002A7AC1" w:rsidRDefault="00315106" w:rsidP="00315106">
            <w:pPr>
              <w:pStyle w:val="Tabletext"/>
            </w:pPr>
            <w:bookmarkStart w:id="52" w:name="lt_pId131"/>
            <w:r w:rsidRPr="002A7AC1">
              <w:t>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      </w:r>
            <w:r w:rsidR="00A81471" w:rsidRPr="002A7AC1">
              <w:t>.</w:t>
            </w:r>
            <w:bookmarkEnd w:id="52"/>
          </w:p>
        </w:tc>
      </w:tr>
      <w:tr w:rsidR="00A81471" w:rsidRPr="002A7AC1" w:rsidTr="00315106">
        <w:tblPrEx>
          <w:jc w:val="left"/>
        </w:tblPrEx>
        <w:tc>
          <w:tcPr>
            <w:tcW w:w="704" w:type="dxa"/>
            <w:vMerge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r w:rsidRPr="002A7AC1">
              <w:t>4.2</w:t>
            </w:r>
          </w:p>
        </w:tc>
        <w:tc>
          <w:tcPr>
            <w:tcW w:w="7676" w:type="dxa"/>
            <w:vAlign w:val="center"/>
          </w:tcPr>
          <w:p w:rsidR="00A81471" w:rsidRPr="002A7AC1" w:rsidRDefault="00315106" w:rsidP="00315106">
            <w:pPr>
              <w:pStyle w:val="Tabletext"/>
            </w:pPr>
            <w:bookmarkStart w:id="53" w:name="lt_pId133"/>
            <w:r w:rsidRPr="002A7AC1">
              <w:t>Повышение потенциала членов МСЭ для мобилизации применений ИКТ, включая подвижную связь, в высокоприоритетных областях (например, здравоохранение, сельское хозяйство, торговля, управление, образование и финансы)</w:t>
            </w:r>
            <w:r w:rsidR="00A81471" w:rsidRPr="002A7AC1">
              <w:t>.</w:t>
            </w:r>
            <w:bookmarkEnd w:id="53"/>
          </w:p>
        </w:tc>
      </w:tr>
      <w:tr w:rsidR="00A81471" w:rsidRPr="002A7AC1" w:rsidTr="00315106">
        <w:tblPrEx>
          <w:jc w:val="left"/>
        </w:tblPrEx>
        <w:tc>
          <w:tcPr>
            <w:tcW w:w="704" w:type="dxa"/>
            <w:vMerge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r w:rsidRPr="002A7AC1">
              <w:t>4.3</w:t>
            </w:r>
          </w:p>
        </w:tc>
        <w:tc>
          <w:tcPr>
            <w:tcW w:w="7676" w:type="dxa"/>
            <w:vAlign w:val="center"/>
          </w:tcPr>
          <w:p w:rsidR="00A81471" w:rsidRPr="002A7AC1" w:rsidRDefault="00315106" w:rsidP="00315106">
            <w:pPr>
              <w:pStyle w:val="Tabletext"/>
            </w:pPr>
            <w:bookmarkStart w:id="54" w:name="lt_pId135"/>
            <w:r w:rsidRPr="002A7AC1">
              <w:rPr>
                <w:szCs w:val="22"/>
              </w:rPr>
              <w:t>Повышение потенциала членов МСЭ для разработки стратегий, политики и практики с целью охвата цифровыми технологиями, в частности лиц с особыми потребностями</w:t>
            </w:r>
            <w:r w:rsidR="00A81471" w:rsidRPr="002A7AC1">
              <w:t>.</w:t>
            </w:r>
            <w:bookmarkEnd w:id="54"/>
          </w:p>
        </w:tc>
      </w:tr>
      <w:tr w:rsidR="00A81471" w:rsidRPr="002A7AC1" w:rsidTr="00315106">
        <w:tblPrEx>
          <w:jc w:val="left"/>
        </w:tblPrEx>
        <w:trPr>
          <w:trHeight w:val="754"/>
        </w:trPr>
        <w:tc>
          <w:tcPr>
            <w:tcW w:w="704" w:type="dxa"/>
            <w:vMerge w:val="restart"/>
            <w:textDirection w:val="btLr"/>
            <w:vAlign w:val="center"/>
          </w:tcPr>
          <w:p w:rsidR="00A81471" w:rsidRPr="002A7AC1" w:rsidRDefault="004A465F" w:rsidP="00756581">
            <w:pPr>
              <w:pStyle w:val="Tabletext"/>
              <w:jc w:val="center"/>
            </w:pPr>
            <w:r w:rsidRPr="002A7AC1">
              <w:rPr>
                <w:b/>
                <w:bCs/>
              </w:rPr>
              <w:t xml:space="preserve">Соответствующие направления деятельности </w:t>
            </w:r>
            <w:proofErr w:type="spellStart"/>
            <w:r w:rsidRPr="002A7AC1">
              <w:rPr>
                <w:b/>
                <w:bCs/>
              </w:rPr>
              <w:t>ВВУИО</w:t>
            </w:r>
            <w:proofErr w:type="spellEnd"/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bookmarkStart w:id="55" w:name="lt_pId137"/>
            <w:proofErr w:type="spellStart"/>
            <w:r w:rsidRPr="002A7AC1">
              <w:t>C3</w:t>
            </w:r>
            <w:bookmarkEnd w:id="55"/>
            <w:proofErr w:type="spellEnd"/>
          </w:p>
        </w:tc>
        <w:tc>
          <w:tcPr>
            <w:tcW w:w="7676" w:type="dxa"/>
            <w:vAlign w:val="center"/>
          </w:tcPr>
          <w:p w:rsidR="00A81471" w:rsidRPr="002A7AC1" w:rsidRDefault="00315106" w:rsidP="00315106">
            <w:pPr>
              <w:pStyle w:val="Tabletext"/>
            </w:pPr>
            <w:r w:rsidRPr="002A7AC1">
              <w:t>Доступ к информации и знаниям</w:t>
            </w:r>
          </w:p>
        </w:tc>
      </w:tr>
      <w:tr w:rsidR="00A81471" w:rsidRPr="002A7AC1" w:rsidTr="00315106">
        <w:tblPrEx>
          <w:jc w:val="left"/>
        </w:tblPrEx>
        <w:trPr>
          <w:trHeight w:val="754"/>
        </w:trPr>
        <w:tc>
          <w:tcPr>
            <w:tcW w:w="704" w:type="dxa"/>
            <w:vMerge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bookmarkStart w:id="56" w:name="lt_pId139"/>
            <w:proofErr w:type="spellStart"/>
            <w:r w:rsidRPr="002A7AC1">
              <w:t>C4</w:t>
            </w:r>
            <w:bookmarkEnd w:id="56"/>
            <w:proofErr w:type="spellEnd"/>
          </w:p>
        </w:tc>
        <w:tc>
          <w:tcPr>
            <w:tcW w:w="7676" w:type="dxa"/>
            <w:vAlign w:val="center"/>
          </w:tcPr>
          <w:p w:rsidR="00A81471" w:rsidRPr="002A7AC1" w:rsidRDefault="00315106" w:rsidP="00315106">
            <w:pPr>
              <w:pStyle w:val="Tabletext"/>
            </w:pPr>
            <w:r w:rsidRPr="002A7AC1">
              <w:t>Создание потенциала</w:t>
            </w:r>
          </w:p>
        </w:tc>
      </w:tr>
      <w:tr w:rsidR="00A81471" w:rsidRPr="002A7AC1" w:rsidTr="00315106">
        <w:tblPrEx>
          <w:jc w:val="left"/>
        </w:tblPrEx>
        <w:trPr>
          <w:cantSplit/>
          <w:trHeight w:val="754"/>
        </w:trPr>
        <w:tc>
          <w:tcPr>
            <w:tcW w:w="704" w:type="dxa"/>
            <w:vMerge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bookmarkStart w:id="57" w:name="lt_pId141"/>
            <w:proofErr w:type="spellStart"/>
            <w:r w:rsidRPr="002A7AC1">
              <w:t>C5</w:t>
            </w:r>
            <w:bookmarkEnd w:id="57"/>
            <w:proofErr w:type="spellEnd"/>
          </w:p>
        </w:tc>
        <w:tc>
          <w:tcPr>
            <w:tcW w:w="7676" w:type="dxa"/>
            <w:vAlign w:val="center"/>
          </w:tcPr>
          <w:p w:rsidR="00A81471" w:rsidRPr="002A7AC1" w:rsidRDefault="001B1242" w:rsidP="00315106">
            <w:pPr>
              <w:pStyle w:val="Tabletext"/>
            </w:pPr>
            <w:r w:rsidRPr="002A7AC1">
              <w:t>Укрепление доверия и безопасности при использовании ИКТ</w:t>
            </w:r>
          </w:p>
        </w:tc>
      </w:tr>
      <w:tr w:rsidR="00A81471" w:rsidRPr="002A7AC1" w:rsidTr="00315106">
        <w:tblPrEx>
          <w:jc w:val="left"/>
        </w:tblPrEx>
        <w:trPr>
          <w:trHeight w:val="754"/>
        </w:trPr>
        <w:tc>
          <w:tcPr>
            <w:tcW w:w="704" w:type="dxa"/>
            <w:vMerge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bookmarkStart w:id="58" w:name="lt_pId143"/>
            <w:proofErr w:type="spellStart"/>
            <w:r w:rsidRPr="002A7AC1">
              <w:t>C7</w:t>
            </w:r>
            <w:bookmarkEnd w:id="58"/>
            <w:proofErr w:type="spellEnd"/>
          </w:p>
        </w:tc>
        <w:tc>
          <w:tcPr>
            <w:tcW w:w="7676" w:type="dxa"/>
            <w:vAlign w:val="center"/>
          </w:tcPr>
          <w:p w:rsidR="00A81471" w:rsidRPr="002A7AC1" w:rsidRDefault="001B1242" w:rsidP="00315106">
            <w:pPr>
              <w:pStyle w:val="Tabletext"/>
            </w:pPr>
            <w:r w:rsidRPr="002A7AC1">
              <w:t>Приложения на базе ИКТ: Электронное обучение</w:t>
            </w:r>
          </w:p>
        </w:tc>
      </w:tr>
      <w:tr w:rsidR="00A81471" w:rsidRPr="002A7AC1" w:rsidTr="00315106">
        <w:tblPrEx>
          <w:jc w:val="left"/>
        </w:tblPrEx>
        <w:trPr>
          <w:trHeight w:val="1613"/>
        </w:trPr>
        <w:tc>
          <w:tcPr>
            <w:tcW w:w="704" w:type="dxa"/>
            <w:vMerge w:val="restart"/>
            <w:textDirection w:val="btLr"/>
          </w:tcPr>
          <w:p w:rsidR="00A81471" w:rsidRPr="002A7AC1" w:rsidRDefault="004A465F" w:rsidP="0075658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Соответствующие Цели в области устойчивого развития</w:t>
            </w: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7676" w:type="dxa"/>
            <w:vAlign w:val="center"/>
          </w:tcPr>
          <w:p w:rsidR="00A81471" w:rsidRPr="002A7AC1" w:rsidRDefault="001B1242" w:rsidP="00315106">
            <w:pPr>
              <w:pStyle w:val="Tabletext"/>
            </w:pPr>
            <w:r w:rsidRPr="002A7AC1">
              <w:t>Качественное образование</w:t>
            </w:r>
          </w:p>
        </w:tc>
      </w:tr>
      <w:tr w:rsidR="00A81471" w:rsidRPr="002A7AC1" w:rsidTr="00315106">
        <w:tblPrEx>
          <w:jc w:val="left"/>
        </w:tblPrEx>
        <w:trPr>
          <w:trHeight w:val="1613"/>
        </w:trPr>
        <w:tc>
          <w:tcPr>
            <w:tcW w:w="704" w:type="dxa"/>
            <w:vMerge/>
          </w:tcPr>
          <w:p w:rsidR="00A81471" w:rsidRPr="002A7AC1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2A7AC1" w:rsidRDefault="00A81471" w:rsidP="00756581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7676" w:type="dxa"/>
            <w:vAlign w:val="center"/>
          </w:tcPr>
          <w:p w:rsidR="00A81471" w:rsidRPr="002A7AC1" w:rsidRDefault="001B1242" w:rsidP="00315106">
            <w:pPr>
              <w:pStyle w:val="Tabletext"/>
            </w:pPr>
            <w:r w:rsidRPr="002A7AC1">
              <w:t>Гендерное равенство</w:t>
            </w:r>
          </w:p>
        </w:tc>
      </w:tr>
    </w:tbl>
    <w:p w:rsidR="008609B2" w:rsidRPr="002A7AC1" w:rsidRDefault="008609B2" w:rsidP="00EB2EDA"/>
    <w:tbl>
      <w:tblPr>
        <w:tblStyle w:val="TableGrid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654"/>
      </w:tblGrid>
      <w:tr w:rsidR="00850181" w:rsidRPr="002A7AC1" w:rsidTr="00CF5991">
        <w:trPr>
          <w:tblHeader/>
          <w:jc w:val="center"/>
        </w:trPr>
        <w:tc>
          <w:tcPr>
            <w:tcW w:w="1980" w:type="dxa"/>
            <w:gridSpan w:val="2"/>
            <w:shd w:val="clear" w:color="auto" w:fill="D6E3BC" w:themeFill="accent3" w:themeFillTint="66"/>
            <w:vAlign w:val="center"/>
          </w:tcPr>
          <w:p w:rsidR="00850181" w:rsidRPr="002A7AC1" w:rsidRDefault="00264956" w:rsidP="00264956">
            <w:pPr>
              <w:pStyle w:val="Tablehead"/>
            </w:pPr>
            <w:proofErr w:type="spellStart"/>
            <w:r w:rsidRPr="002A7AC1">
              <w:t>РИ</w:t>
            </w:r>
            <w:proofErr w:type="spellEnd"/>
            <w:r w:rsidRPr="002A7AC1">
              <w:t xml:space="preserve"> </w:t>
            </w:r>
            <w:r w:rsidR="00850181" w:rsidRPr="002A7AC1">
              <w:t>3</w:t>
            </w:r>
          </w:p>
        </w:tc>
        <w:tc>
          <w:tcPr>
            <w:tcW w:w="7654" w:type="dxa"/>
            <w:shd w:val="clear" w:color="auto" w:fill="D6E3BC" w:themeFill="accent3" w:themeFillTint="66"/>
            <w:vAlign w:val="center"/>
          </w:tcPr>
          <w:p w:rsidR="00850181" w:rsidRPr="002A7AC1" w:rsidRDefault="001B1242" w:rsidP="001B1242">
            <w:pPr>
              <w:pStyle w:val="Tablehead"/>
              <w:jc w:val="left"/>
            </w:pPr>
            <w:r w:rsidRPr="002A7AC1">
              <w:t>Развитие и регулирование инфокоммуникационной инфраструктуры для обеспечения открытости, безопасности и жизнестойкости городов и населенных пунктов</w:t>
            </w:r>
          </w:p>
        </w:tc>
      </w:tr>
      <w:tr w:rsidR="00850181" w:rsidRPr="002A7AC1" w:rsidTr="00315106">
        <w:trPr>
          <w:jc w:val="center"/>
        </w:trPr>
        <w:tc>
          <w:tcPr>
            <w:tcW w:w="1980" w:type="dxa"/>
            <w:gridSpan w:val="2"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7654" w:type="dxa"/>
            <w:vAlign w:val="center"/>
          </w:tcPr>
          <w:p w:rsidR="00850181" w:rsidRPr="002A7AC1" w:rsidRDefault="00E3353C" w:rsidP="00315106">
            <w:pPr>
              <w:pStyle w:val="Tabletext"/>
            </w:pPr>
            <w:r w:rsidRPr="002A7AC1">
              <w:t>Оказывать содействие Государствам – Членам МСЭ в регионе при разработке нормативных документов и технических решений, направленных на создание благоприятных условий развития инфокоммуникационной инфраструктуры городов и населенных пунктов, включая использование "умных" устройств.</w:t>
            </w:r>
          </w:p>
        </w:tc>
      </w:tr>
      <w:tr w:rsidR="00850181" w:rsidRPr="002A7AC1" w:rsidTr="00315106">
        <w:trPr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7654" w:type="dxa"/>
            <w:vAlign w:val="center"/>
          </w:tcPr>
          <w:p w:rsidR="00850181" w:rsidRPr="002A7AC1" w:rsidRDefault="00E3353C" w:rsidP="00315106">
            <w:pPr>
              <w:pStyle w:val="Tabletext"/>
            </w:pPr>
            <w:r w:rsidRPr="002A7AC1">
              <w:t>Рекомендации по развитию инфокоммуникационной инфраструктуры, включая использование электросвязи и других средств установления соединений для поддержки устойчивого развития и содействия формированию "умных" городов в развивающихся странах.</w:t>
            </w:r>
          </w:p>
        </w:tc>
      </w:tr>
      <w:tr w:rsidR="00850181" w:rsidRPr="002A7AC1" w:rsidTr="00315106">
        <w:trPr>
          <w:jc w:val="center"/>
        </w:trPr>
        <w:tc>
          <w:tcPr>
            <w:tcW w:w="704" w:type="dxa"/>
            <w:vMerge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7654" w:type="dxa"/>
            <w:vAlign w:val="center"/>
          </w:tcPr>
          <w:p w:rsidR="00850181" w:rsidRPr="002A7AC1" w:rsidRDefault="00E3353C" w:rsidP="00315106">
            <w:pPr>
              <w:pStyle w:val="Tabletext"/>
            </w:pPr>
            <w:r w:rsidRPr="002A7AC1">
              <w:t>Рекомендации по развитию нормативно-правовой базы, регламентирующей процесс построения и обслуживания инфокоммуникационной инфраструктуры на объектах различных форм собственности, включая использование "умных" устройств для развития городской инфраструктуры.</w:t>
            </w:r>
          </w:p>
        </w:tc>
      </w:tr>
      <w:tr w:rsidR="00850181" w:rsidRPr="002A7AC1" w:rsidTr="00315106">
        <w:trPr>
          <w:jc w:val="center"/>
        </w:trPr>
        <w:tc>
          <w:tcPr>
            <w:tcW w:w="704" w:type="dxa"/>
            <w:vMerge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7654" w:type="dxa"/>
            <w:vAlign w:val="center"/>
          </w:tcPr>
          <w:p w:rsidR="00850181" w:rsidRPr="002A7AC1" w:rsidRDefault="00E3353C" w:rsidP="00315106">
            <w:pPr>
              <w:pStyle w:val="Tabletext"/>
            </w:pPr>
            <w:r w:rsidRPr="002A7AC1">
              <w:t>Реализация пилотных проектов по внедрению "умных" устройств для обеспечения безопасности дорожного движения, организации освещения улиц, экономии электроэнергии, управлении снабжением воды и т. д.</w:t>
            </w:r>
          </w:p>
        </w:tc>
      </w:tr>
      <w:tr w:rsidR="00850181" w:rsidRPr="002A7AC1" w:rsidTr="00315106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7654" w:type="dxa"/>
            <w:vAlign w:val="center"/>
          </w:tcPr>
          <w:p w:rsidR="00850181" w:rsidRPr="002A7AC1" w:rsidRDefault="00E3353C" w:rsidP="00EB2EDA">
            <w:pPr>
              <w:pStyle w:val="Tabletext"/>
              <w:keepNext/>
              <w:keepLines/>
            </w:pPr>
            <w:r w:rsidRPr="002A7AC1">
              <w:t xml:space="preserve">Повышение информированности администраций связи, регуляторных органов, разработчиков, производителей и поставщиков телекоммуникационного оборудования </w:t>
            </w:r>
            <w:r w:rsidR="00FE3B77" w:rsidRPr="002A7AC1">
              <w:t xml:space="preserve">в </w:t>
            </w:r>
            <w:r w:rsidRPr="002A7AC1">
              <w:t>отношении принятия стратегий в области пос</w:t>
            </w:r>
            <w:r w:rsidR="00C00253" w:rsidRPr="002A7AC1">
              <w:t>троения и реализации концепции "умных"</w:t>
            </w:r>
            <w:r w:rsidRPr="002A7AC1">
              <w:t xml:space="preserve"> городов в странах СНГ.</w:t>
            </w:r>
          </w:p>
        </w:tc>
      </w:tr>
      <w:tr w:rsidR="00850181" w:rsidRPr="002A7AC1" w:rsidTr="00315106">
        <w:trPr>
          <w:jc w:val="center"/>
        </w:trPr>
        <w:tc>
          <w:tcPr>
            <w:tcW w:w="704" w:type="dxa"/>
            <w:vMerge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7654" w:type="dxa"/>
            <w:vAlign w:val="center"/>
          </w:tcPr>
          <w:p w:rsidR="00850181" w:rsidRPr="002A7AC1" w:rsidRDefault="00E3353C" w:rsidP="00315106">
            <w:pPr>
              <w:pStyle w:val="Tabletext"/>
            </w:pPr>
            <w:r w:rsidRPr="002A7AC1">
              <w:t>Курсы повышения квалификации, тренинги, семинары по вопросам инфраструктуры городов и населенных пунктов.</w:t>
            </w:r>
          </w:p>
        </w:tc>
      </w:tr>
      <w:tr w:rsidR="00850181" w:rsidRPr="002A7AC1" w:rsidTr="00315106">
        <w:tblPrEx>
          <w:jc w:val="left"/>
        </w:tblPrEx>
        <w:tc>
          <w:tcPr>
            <w:tcW w:w="704" w:type="dxa"/>
            <w:vMerge w:val="restart"/>
            <w:textDirection w:val="btLr"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Соответствующие задачи МСЭ-D</w:t>
            </w: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Задача 2</w:t>
            </w:r>
          </w:p>
        </w:tc>
        <w:tc>
          <w:tcPr>
            <w:tcW w:w="7654" w:type="dxa"/>
            <w:vAlign w:val="center"/>
          </w:tcPr>
          <w:p w:rsidR="00850181" w:rsidRPr="002A7AC1" w:rsidRDefault="00E3353C" w:rsidP="00315106">
            <w:pPr>
              <w:pStyle w:val="Tabletext"/>
            </w:pPr>
            <w:r w:rsidRPr="002A7AC1">
              <w:t>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электросвязи/ИКТ.</w:t>
            </w:r>
          </w:p>
        </w:tc>
      </w:tr>
      <w:tr w:rsidR="00850181" w:rsidRPr="002A7AC1" w:rsidTr="00315106">
        <w:tblPrEx>
          <w:jc w:val="left"/>
        </w:tblPrEx>
        <w:tc>
          <w:tcPr>
            <w:tcW w:w="704" w:type="dxa"/>
            <w:vMerge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850181">
            <w:pPr>
              <w:pStyle w:val="Tabletext"/>
              <w:jc w:val="center"/>
            </w:pPr>
            <w:r w:rsidRPr="002A7AC1">
              <w:t>2.1</w:t>
            </w:r>
          </w:p>
        </w:tc>
        <w:tc>
          <w:tcPr>
            <w:tcW w:w="7654" w:type="dxa"/>
            <w:vAlign w:val="center"/>
          </w:tcPr>
          <w:p w:rsidR="00850181" w:rsidRPr="002A7AC1" w:rsidRDefault="00E3353C" w:rsidP="00315106">
            <w:pPr>
              <w:pStyle w:val="Tabletext"/>
            </w:pPr>
            <w:r w:rsidRPr="002A7AC1">
              <w:rPr>
                <w:szCs w:val="22"/>
              </w:rPr>
              <w:t xml:space="preserve">Укрепление </w:t>
            </w:r>
            <w:r w:rsidRPr="002A7AC1">
              <w:t>потенциала</w:t>
            </w:r>
            <w:r w:rsidRPr="002A7AC1">
              <w:rPr>
                <w:szCs w:val="22"/>
              </w:rPr>
              <w:t xml:space="preserve"> членов МСЭ для формирования надежной инфраструктуры и услуг электросвязи/ИКТ, включая широкополосную связь и радиовещание, преодоление цифрового разрыва в стандартизации, соответствие и </w:t>
            </w:r>
            <w:proofErr w:type="gramStart"/>
            <w:r w:rsidRPr="002A7AC1">
              <w:rPr>
                <w:szCs w:val="22"/>
              </w:rPr>
              <w:t>функциональную совместимость</w:t>
            </w:r>
            <w:proofErr w:type="gramEnd"/>
            <w:r w:rsidRPr="002A7AC1">
              <w:rPr>
                <w:szCs w:val="22"/>
              </w:rPr>
              <w:t xml:space="preserve"> и управление использованием спектра.</w:t>
            </w:r>
          </w:p>
        </w:tc>
      </w:tr>
      <w:tr w:rsidR="00E3353C" w:rsidRPr="002A7AC1" w:rsidTr="00315106">
        <w:tblPrEx>
          <w:jc w:val="left"/>
        </w:tblPrEx>
        <w:tc>
          <w:tcPr>
            <w:tcW w:w="704" w:type="dxa"/>
            <w:vMerge/>
          </w:tcPr>
          <w:p w:rsidR="00E3353C" w:rsidRPr="002A7AC1" w:rsidRDefault="00E3353C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3353C" w:rsidRPr="002A7AC1" w:rsidRDefault="00E3353C" w:rsidP="00CF5991">
            <w:pPr>
              <w:pStyle w:val="Tabletext"/>
              <w:jc w:val="center"/>
            </w:pPr>
            <w:r w:rsidRPr="002A7AC1">
              <w:t>2.2</w:t>
            </w:r>
          </w:p>
        </w:tc>
        <w:tc>
          <w:tcPr>
            <w:tcW w:w="7654" w:type="dxa"/>
            <w:vAlign w:val="center"/>
          </w:tcPr>
          <w:p w:rsidR="00E3353C" w:rsidRPr="002A7AC1" w:rsidRDefault="00E3353C" w:rsidP="00315106">
            <w:pPr>
              <w:pStyle w:val="Tabletext"/>
            </w:pPr>
            <w:r w:rsidRPr="002A7AC1">
              <w:rPr>
                <w:szCs w:val="22"/>
              </w:rPr>
              <w:t xml:space="preserve">Повышение потенциала членов МСЭ для эффективного реагирования на </w:t>
            </w:r>
            <w:proofErr w:type="spellStart"/>
            <w:r w:rsidRPr="002A7AC1">
              <w:rPr>
                <w:szCs w:val="22"/>
              </w:rPr>
              <w:t>киберугрозы</w:t>
            </w:r>
            <w:proofErr w:type="spellEnd"/>
            <w:r w:rsidRPr="002A7AC1">
              <w:rPr>
                <w:szCs w:val="22"/>
              </w:rPr>
              <w:t xml:space="preserve"> и </w:t>
            </w:r>
            <w:r w:rsidRPr="002A7AC1">
              <w:t>разработки</w:t>
            </w:r>
            <w:r w:rsidRPr="002A7AC1">
              <w:rPr>
                <w:szCs w:val="22"/>
              </w:rPr>
              <w:t xml:space="preserve"> национальных стратегий и развития потенциала для обеспечения </w:t>
            </w:r>
            <w:proofErr w:type="spellStart"/>
            <w:r w:rsidRPr="002A7AC1">
              <w:rPr>
                <w:szCs w:val="22"/>
              </w:rPr>
              <w:t>кибербезопасности</w:t>
            </w:r>
            <w:proofErr w:type="spellEnd"/>
            <w:r w:rsidRPr="002A7AC1">
              <w:rPr>
                <w:szCs w:val="22"/>
              </w:rPr>
              <w:t>, включая создание потенциала.</w:t>
            </w:r>
          </w:p>
        </w:tc>
      </w:tr>
      <w:tr w:rsidR="00850181" w:rsidRPr="002A7AC1" w:rsidTr="00315106">
        <w:tblPrEx>
          <w:jc w:val="left"/>
        </w:tblPrEx>
        <w:tc>
          <w:tcPr>
            <w:tcW w:w="704" w:type="dxa"/>
            <w:vMerge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Задача 3</w:t>
            </w:r>
          </w:p>
        </w:tc>
        <w:tc>
          <w:tcPr>
            <w:tcW w:w="7654" w:type="dxa"/>
            <w:vAlign w:val="center"/>
          </w:tcPr>
          <w:p w:rsidR="00850181" w:rsidRPr="002A7AC1" w:rsidRDefault="00E3353C" w:rsidP="00315106">
            <w:pPr>
              <w:pStyle w:val="Tabletext"/>
            </w:pPr>
            <w:r w:rsidRPr="002A7AC1">
              <w:t>Благоприятная среда: Содействовать благоприятной политике и условиям регулирования, способствующим устойчивому развитию электросвязи/ИКТ.</w:t>
            </w:r>
          </w:p>
        </w:tc>
      </w:tr>
      <w:tr w:rsidR="00850181" w:rsidRPr="002A7AC1" w:rsidTr="00315106">
        <w:tblPrEx>
          <w:jc w:val="left"/>
        </w:tblPrEx>
        <w:tc>
          <w:tcPr>
            <w:tcW w:w="704" w:type="dxa"/>
            <w:vMerge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3.1</w:t>
            </w:r>
          </w:p>
        </w:tc>
        <w:tc>
          <w:tcPr>
            <w:tcW w:w="7654" w:type="dxa"/>
            <w:vAlign w:val="center"/>
          </w:tcPr>
          <w:p w:rsidR="00850181" w:rsidRPr="002A7AC1" w:rsidRDefault="00E3353C" w:rsidP="00315106">
            <w:pPr>
              <w:pStyle w:val="Tabletext"/>
            </w:pPr>
            <w:r w:rsidRPr="002A7AC1">
              <w:rPr>
                <w:szCs w:val="22"/>
              </w:rPr>
              <w:t>Укрепление потенциала Государств Членов для разработки благоприятной политики, нормативных и правовых основ, способствующих развитию электросвязи/ИКТ. Инновации в области электросвязи/ИКТ.</w:t>
            </w:r>
          </w:p>
        </w:tc>
      </w:tr>
      <w:tr w:rsidR="00850181" w:rsidRPr="002A7AC1" w:rsidTr="00315106">
        <w:tblPrEx>
          <w:jc w:val="left"/>
        </w:tblPrEx>
        <w:tc>
          <w:tcPr>
            <w:tcW w:w="704" w:type="dxa"/>
            <w:vMerge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3.4</w:t>
            </w:r>
          </w:p>
        </w:tc>
        <w:tc>
          <w:tcPr>
            <w:tcW w:w="7654" w:type="dxa"/>
            <w:vAlign w:val="center"/>
          </w:tcPr>
          <w:p w:rsidR="00850181" w:rsidRPr="002A7AC1" w:rsidRDefault="00E3353C" w:rsidP="00315106">
            <w:pPr>
              <w:pStyle w:val="Tabletext"/>
            </w:pPr>
            <w:r w:rsidRPr="002A7AC1">
              <w:rPr>
                <w:szCs w:val="22"/>
              </w:rPr>
              <w:t>Укрепление потенциала членов МСЭ для интеграции инноваций в области электросвязи/ИКТ в национальные программы развития.</w:t>
            </w:r>
          </w:p>
        </w:tc>
      </w:tr>
      <w:tr w:rsidR="00850181" w:rsidRPr="002A7AC1" w:rsidTr="002A701D">
        <w:tblPrEx>
          <w:jc w:val="left"/>
        </w:tblPrEx>
        <w:trPr>
          <w:trHeight w:val="1420"/>
        </w:trPr>
        <w:tc>
          <w:tcPr>
            <w:tcW w:w="704" w:type="dxa"/>
            <w:vMerge w:val="restart"/>
            <w:textDirection w:val="btLr"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 xml:space="preserve">Соответствующие направления деятельности </w:t>
            </w:r>
            <w:proofErr w:type="spellStart"/>
            <w:r w:rsidRPr="002A7AC1">
              <w:rPr>
                <w:b/>
                <w:bCs/>
              </w:rPr>
              <w:t>ВВУИО</w:t>
            </w:r>
            <w:proofErr w:type="spellEnd"/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proofErr w:type="spellStart"/>
            <w:r w:rsidRPr="002A7AC1">
              <w:t>C2</w:t>
            </w:r>
            <w:proofErr w:type="spellEnd"/>
          </w:p>
        </w:tc>
        <w:tc>
          <w:tcPr>
            <w:tcW w:w="7654" w:type="dxa"/>
            <w:vAlign w:val="center"/>
          </w:tcPr>
          <w:p w:rsidR="00850181" w:rsidRPr="002A7AC1" w:rsidRDefault="00E3353C" w:rsidP="00CF5991">
            <w:pPr>
              <w:pStyle w:val="Tabletext"/>
            </w:pPr>
            <w:r w:rsidRPr="002A7AC1">
              <w:t>Информационная и коммуникационная инфраструктура</w:t>
            </w:r>
          </w:p>
        </w:tc>
      </w:tr>
      <w:tr w:rsidR="00850181" w:rsidRPr="002A7AC1" w:rsidTr="002A701D">
        <w:tblPrEx>
          <w:jc w:val="left"/>
        </w:tblPrEx>
        <w:trPr>
          <w:trHeight w:val="1420"/>
        </w:trPr>
        <w:tc>
          <w:tcPr>
            <w:tcW w:w="704" w:type="dxa"/>
            <w:vMerge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proofErr w:type="spellStart"/>
            <w:r w:rsidRPr="002A7AC1">
              <w:t>C7</w:t>
            </w:r>
            <w:proofErr w:type="spellEnd"/>
          </w:p>
        </w:tc>
        <w:tc>
          <w:tcPr>
            <w:tcW w:w="7654" w:type="dxa"/>
            <w:vAlign w:val="center"/>
          </w:tcPr>
          <w:p w:rsidR="00850181" w:rsidRPr="002A7AC1" w:rsidRDefault="00853BF4" w:rsidP="00CF5991">
            <w:pPr>
              <w:pStyle w:val="Tabletext"/>
            </w:pPr>
            <w:r w:rsidRPr="002A7AC1">
              <w:t>Приложения на базе ИКТ: Электронное обучение</w:t>
            </w:r>
          </w:p>
        </w:tc>
      </w:tr>
      <w:tr w:rsidR="00850181" w:rsidRPr="002A7AC1" w:rsidTr="002A701D">
        <w:tblPrEx>
          <w:jc w:val="left"/>
        </w:tblPrEx>
        <w:trPr>
          <w:trHeight w:val="3060"/>
        </w:trPr>
        <w:tc>
          <w:tcPr>
            <w:tcW w:w="704" w:type="dxa"/>
            <w:textDirection w:val="btL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Соответствующие Цели в области устойчивого развития</w:t>
            </w:r>
          </w:p>
        </w:tc>
        <w:tc>
          <w:tcPr>
            <w:tcW w:w="1276" w:type="dxa"/>
            <w:vAlign w:val="center"/>
          </w:tcPr>
          <w:p w:rsidR="00850181" w:rsidRPr="002A7AC1" w:rsidRDefault="00850181" w:rsidP="00850181">
            <w:pPr>
              <w:pStyle w:val="Tabletext"/>
              <w:jc w:val="center"/>
            </w:pPr>
            <w:r w:rsidRPr="002A7AC1">
              <w:t>11</w:t>
            </w:r>
          </w:p>
        </w:tc>
        <w:tc>
          <w:tcPr>
            <w:tcW w:w="7654" w:type="dxa"/>
            <w:vAlign w:val="center"/>
          </w:tcPr>
          <w:p w:rsidR="00850181" w:rsidRPr="002A7AC1" w:rsidRDefault="009963F2" w:rsidP="00CF5991">
            <w:pPr>
              <w:pStyle w:val="Tabletext"/>
            </w:pPr>
            <w:r w:rsidRPr="002A7AC1">
              <w:t>Устойчивые города и населенные пункты</w:t>
            </w:r>
          </w:p>
        </w:tc>
      </w:tr>
    </w:tbl>
    <w:p w:rsidR="00EB2EDA" w:rsidRPr="002A7AC1" w:rsidRDefault="00EB2EDA" w:rsidP="00EB2EDA"/>
    <w:tbl>
      <w:tblPr>
        <w:tblStyle w:val="TableGrid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654"/>
      </w:tblGrid>
      <w:tr w:rsidR="00850181" w:rsidRPr="002A7AC1" w:rsidTr="00CF5991">
        <w:trPr>
          <w:tblHeader/>
          <w:jc w:val="center"/>
        </w:trPr>
        <w:tc>
          <w:tcPr>
            <w:tcW w:w="1980" w:type="dxa"/>
            <w:gridSpan w:val="2"/>
            <w:shd w:val="clear" w:color="auto" w:fill="D6E3BC" w:themeFill="accent3" w:themeFillTint="66"/>
            <w:vAlign w:val="center"/>
          </w:tcPr>
          <w:p w:rsidR="00850181" w:rsidRPr="002A7AC1" w:rsidRDefault="00264956" w:rsidP="00264956">
            <w:pPr>
              <w:pStyle w:val="Tablehead"/>
            </w:pPr>
            <w:proofErr w:type="spellStart"/>
            <w:r w:rsidRPr="002A7AC1">
              <w:lastRenderedPageBreak/>
              <w:t>РИ</w:t>
            </w:r>
            <w:proofErr w:type="spellEnd"/>
            <w:r w:rsidRPr="002A7AC1">
              <w:t xml:space="preserve"> </w:t>
            </w:r>
            <w:r w:rsidR="00850181" w:rsidRPr="002A7AC1">
              <w:t>4</w:t>
            </w:r>
          </w:p>
        </w:tc>
        <w:tc>
          <w:tcPr>
            <w:tcW w:w="7654" w:type="dxa"/>
            <w:shd w:val="clear" w:color="auto" w:fill="D6E3BC" w:themeFill="accent3" w:themeFillTint="66"/>
            <w:vAlign w:val="center"/>
          </w:tcPr>
          <w:p w:rsidR="00850181" w:rsidRPr="002A7AC1" w:rsidRDefault="00131631" w:rsidP="00CF5991">
            <w:pPr>
              <w:pStyle w:val="Tablehead"/>
              <w:jc w:val="left"/>
            </w:pPr>
            <w:r w:rsidRPr="002A7AC1">
              <w:t>Мониторинг экологического состояния, наличия и рационального использования природных ресурсов</w:t>
            </w:r>
          </w:p>
        </w:tc>
      </w:tr>
      <w:tr w:rsidR="00850181" w:rsidRPr="002A7AC1" w:rsidTr="00315106">
        <w:trPr>
          <w:jc w:val="center"/>
        </w:trPr>
        <w:tc>
          <w:tcPr>
            <w:tcW w:w="1980" w:type="dxa"/>
            <w:gridSpan w:val="2"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7654" w:type="dxa"/>
            <w:vAlign w:val="center"/>
          </w:tcPr>
          <w:p w:rsidR="00850181" w:rsidRPr="002A7AC1" w:rsidRDefault="00131631" w:rsidP="00315106">
            <w:pPr>
              <w:pStyle w:val="Tabletext"/>
            </w:pPr>
            <w:r w:rsidRPr="002A7AC1">
              <w:t>Помогать Государствам − Членам МСЭ в регионе осуществлять мониторинг экологического состояния, наличия и рационального использования природных ресурсов.</w:t>
            </w:r>
          </w:p>
        </w:tc>
      </w:tr>
      <w:tr w:rsidR="00850181" w:rsidRPr="002A7AC1" w:rsidTr="00315106">
        <w:trPr>
          <w:trHeight w:val="461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7654" w:type="dxa"/>
            <w:vAlign w:val="center"/>
          </w:tcPr>
          <w:p w:rsidR="00850181" w:rsidRPr="002A7AC1" w:rsidRDefault="00131631" w:rsidP="00315106">
            <w:pPr>
              <w:pStyle w:val="Tabletext"/>
            </w:pPr>
            <w:r w:rsidRPr="002A7AC1">
              <w:t>Разработка информационных систем поддержки принятия решений в сфере мониторинга экологического состояния, наличия и рационального использования природных ресурсов, включая создание инфраструктуры пространственных данных.</w:t>
            </w:r>
          </w:p>
        </w:tc>
      </w:tr>
      <w:tr w:rsidR="00850181" w:rsidRPr="002A7AC1" w:rsidTr="00315106">
        <w:trPr>
          <w:trHeight w:val="461"/>
          <w:jc w:val="center"/>
        </w:trPr>
        <w:tc>
          <w:tcPr>
            <w:tcW w:w="704" w:type="dxa"/>
            <w:vMerge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7654" w:type="dxa"/>
            <w:vAlign w:val="center"/>
          </w:tcPr>
          <w:p w:rsidR="00850181" w:rsidRPr="002A7AC1" w:rsidRDefault="00131631" w:rsidP="00315106">
            <w:pPr>
              <w:pStyle w:val="Tabletext"/>
            </w:pPr>
            <w:r w:rsidRPr="002A7AC1">
              <w:t>Создание информационных архивов метаданных по результатам исследований экологического состояния природных ресурсов региона.</w:t>
            </w:r>
          </w:p>
        </w:tc>
      </w:tr>
      <w:tr w:rsidR="00850181" w:rsidRPr="002A7AC1" w:rsidTr="00315106">
        <w:trPr>
          <w:trHeight w:val="461"/>
          <w:jc w:val="center"/>
        </w:trPr>
        <w:tc>
          <w:tcPr>
            <w:tcW w:w="704" w:type="dxa"/>
            <w:vMerge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7654" w:type="dxa"/>
            <w:vAlign w:val="center"/>
          </w:tcPr>
          <w:p w:rsidR="00850181" w:rsidRPr="002A7AC1" w:rsidRDefault="00131631" w:rsidP="00315106">
            <w:pPr>
              <w:pStyle w:val="Tabletext"/>
            </w:pPr>
            <w:r w:rsidRPr="002A7AC1">
              <w:t>Предоставление органам государственной власти в области охраны природных ресурсов высококачественной структурированной согласованной пространственной информации для анализа и прогнозирования состояния окружающей среды.</w:t>
            </w:r>
          </w:p>
        </w:tc>
      </w:tr>
      <w:tr w:rsidR="00850181" w:rsidRPr="002A7AC1" w:rsidTr="00315106">
        <w:trPr>
          <w:trHeight w:val="461"/>
          <w:jc w:val="center"/>
        </w:trPr>
        <w:tc>
          <w:tcPr>
            <w:tcW w:w="704" w:type="dxa"/>
            <w:vMerge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850181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7654" w:type="dxa"/>
            <w:vAlign w:val="center"/>
          </w:tcPr>
          <w:p w:rsidR="00850181" w:rsidRPr="002A7AC1" w:rsidRDefault="00131631" w:rsidP="00315106">
            <w:pPr>
              <w:pStyle w:val="Tabletext"/>
            </w:pPr>
            <w:r w:rsidRPr="002A7AC1">
              <w:t>Курсы повышения квалификации, тренинги, семинары по вопросам мониторинга экологического состояния, наличия и рационального использования природных ресурсов.</w:t>
            </w:r>
          </w:p>
        </w:tc>
      </w:tr>
      <w:tr w:rsidR="00850181" w:rsidRPr="002A7AC1" w:rsidTr="008D701F">
        <w:tblPrEx>
          <w:jc w:val="left"/>
        </w:tblPrEx>
        <w:trPr>
          <w:trHeight w:val="849"/>
        </w:trPr>
        <w:tc>
          <w:tcPr>
            <w:tcW w:w="704" w:type="dxa"/>
            <w:vMerge w:val="restart"/>
            <w:textDirection w:val="btLr"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Соответствующие задачи МСЭ-D</w:t>
            </w: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Задача 4</w:t>
            </w:r>
          </w:p>
        </w:tc>
        <w:tc>
          <w:tcPr>
            <w:tcW w:w="7654" w:type="dxa"/>
            <w:vAlign w:val="center"/>
          </w:tcPr>
          <w:p w:rsidR="00850181" w:rsidRPr="002A7AC1" w:rsidRDefault="00131631" w:rsidP="00315106">
            <w:pPr>
              <w:pStyle w:val="Tabletext"/>
            </w:pPr>
            <w:r w:rsidRPr="002A7AC1">
              <w:t>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среды.</w:t>
            </w:r>
          </w:p>
        </w:tc>
      </w:tr>
      <w:tr w:rsidR="00850181" w:rsidRPr="002A7AC1" w:rsidTr="008D701F">
        <w:tblPrEx>
          <w:jc w:val="left"/>
        </w:tblPrEx>
        <w:trPr>
          <w:trHeight w:val="849"/>
        </w:trPr>
        <w:tc>
          <w:tcPr>
            <w:tcW w:w="704" w:type="dxa"/>
            <w:vMerge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4.1</w:t>
            </w:r>
          </w:p>
        </w:tc>
        <w:tc>
          <w:tcPr>
            <w:tcW w:w="7654" w:type="dxa"/>
            <w:vAlign w:val="center"/>
          </w:tcPr>
          <w:p w:rsidR="00850181" w:rsidRPr="002A7AC1" w:rsidRDefault="00131631" w:rsidP="00315106">
            <w:pPr>
              <w:pStyle w:val="Tabletext"/>
            </w:pPr>
            <w:r w:rsidRPr="002A7AC1">
              <w:t>Расширение доступа и использования электросвязи/ИКТ в наименее развитых странах (</w:t>
            </w:r>
            <w:proofErr w:type="spellStart"/>
            <w:r w:rsidRPr="002A7AC1">
              <w:t>НРС</w:t>
            </w:r>
            <w:proofErr w:type="spellEnd"/>
            <w:r w:rsidRPr="002A7AC1">
              <w:t>), малых островных развивающихся государствах (</w:t>
            </w:r>
            <w:proofErr w:type="spellStart"/>
            <w:r w:rsidRPr="002A7AC1">
              <w:t>СИДС</w:t>
            </w:r>
            <w:proofErr w:type="spellEnd"/>
            <w:r w:rsidRPr="002A7AC1">
              <w:t>) и развивающихся странах, не имеющих выхода к морю (</w:t>
            </w:r>
            <w:proofErr w:type="spellStart"/>
            <w:r w:rsidRPr="002A7AC1">
              <w:t>ЛЛДС</w:t>
            </w:r>
            <w:proofErr w:type="spellEnd"/>
            <w:r w:rsidRPr="002A7AC1">
              <w:t>)</w:t>
            </w:r>
            <w:r w:rsidR="00FE3B77" w:rsidRPr="002A7AC1">
              <w:t>,</w:t>
            </w:r>
            <w:r w:rsidRPr="002A7AC1">
              <w:t xml:space="preserve"> и в странах с переходной экономикой.</w:t>
            </w:r>
          </w:p>
        </w:tc>
      </w:tr>
      <w:tr w:rsidR="00850181" w:rsidRPr="002A7AC1" w:rsidTr="008D701F">
        <w:tblPrEx>
          <w:jc w:val="left"/>
        </w:tblPrEx>
        <w:trPr>
          <w:trHeight w:val="849"/>
        </w:trPr>
        <w:tc>
          <w:tcPr>
            <w:tcW w:w="704" w:type="dxa"/>
            <w:vMerge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4.4</w:t>
            </w:r>
          </w:p>
        </w:tc>
        <w:tc>
          <w:tcPr>
            <w:tcW w:w="7654" w:type="dxa"/>
            <w:vAlign w:val="center"/>
          </w:tcPr>
          <w:p w:rsidR="00850181" w:rsidRPr="002A7AC1" w:rsidRDefault="008D701F" w:rsidP="00315106">
            <w:pPr>
              <w:pStyle w:val="Tabletext"/>
            </w:pPr>
            <w:r w:rsidRPr="002A7AC1">
              <w:t>Укрепление потенциала членов МСЭ для разработки стратегий ИКТ и решений по адаптации к изменению климата и смягчению его последствий.</w:t>
            </w:r>
          </w:p>
        </w:tc>
      </w:tr>
      <w:tr w:rsidR="00850181" w:rsidRPr="002A7AC1" w:rsidTr="00CF5991">
        <w:tblPrEx>
          <w:jc w:val="left"/>
        </w:tblPrEx>
        <w:trPr>
          <w:trHeight w:val="3074"/>
        </w:trPr>
        <w:tc>
          <w:tcPr>
            <w:tcW w:w="704" w:type="dxa"/>
            <w:textDirection w:val="btLr"/>
            <w:vAlign w:val="cente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 xml:space="preserve">Соответствующие направления деятельности </w:t>
            </w:r>
            <w:proofErr w:type="spellStart"/>
            <w:r w:rsidRPr="002A7AC1">
              <w:rPr>
                <w:b/>
                <w:bCs/>
              </w:rPr>
              <w:t>ВВУИО</w:t>
            </w:r>
            <w:proofErr w:type="spellEnd"/>
          </w:p>
        </w:tc>
        <w:tc>
          <w:tcPr>
            <w:tcW w:w="1276" w:type="dxa"/>
            <w:vAlign w:val="center"/>
          </w:tcPr>
          <w:p w:rsidR="00850181" w:rsidRPr="002A7AC1" w:rsidRDefault="00850181" w:rsidP="00850181">
            <w:pPr>
              <w:pStyle w:val="Tabletext"/>
              <w:jc w:val="center"/>
            </w:pPr>
            <w:proofErr w:type="spellStart"/>
            <w:r w:rsidRPr="002A7AC1">
              <w:t>C7</w:t>
            </w:r>
            <w:proofErr w:type="spellEnd"/>
          </w:p>
        </w:tc>
        <w:tc>
          <w:tcPr>
            <w:tcW w:w="7654" w:type="dxa"/>
            <w:vAlign w:val="center"/>
          </w:tcPr>
          <w:p w:rsidR="00850181" w:rsidRPr="002A7AC1" w:rsidRDefault="008D701F" w:rsidP="00CF5991">
            <w:pPr>
              <w:pStyle w:val="Tabletext"/>
            </w:pPr>
            <w:r w:rsidRPr="002A7AC1">
              <w:t>Приложения на базе ИКТ: Электронное сельское хозяйство, электронная окружающая среда</w:t>
            </w:r>
          </w:p>
        </w:tc>
      </w:tr>
      <w:tr w:rsidR="00850181" w:rsidRPr="002A7AC1" w:rsidTr="00CF5991">
        <w:tblPrEx>
          <w:jc w:val="left"/>
        </w:tblPrEx>
        <w:trPr>
          <w:trHeight w:val="1612"/>
        </w:trPr>
        <w:tc>
          <w:tcPr>
            <w:tcW w:w="704" w:type="dxa"/>
            <w:vMerge w:val="restart"/>
            <w:textDirection w:val="btLr"/>
          </w:tcPr>
          <w:p w:rsidR="00850181" w:rsidRPr="002A7AC1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Соответствующие Цели в области устойчивого развития</w:t>
            </w: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6</w:t>
            </w:r>
          </w:p>
        </w:tc>
        <w:tc>
          <w:tcPr>
            <w:tcW w:w="7654" w:type="dxa"/>
            <w:vAlign w:val="center"/>
          </w:tcPr>
          <w:p w:rsidR="00850181" w:rsidRPr="002A7AC1" w:rsidRDefault="008D701F" w:rsidP="00CF5991">
            <w:pPr>
              <w:pStyle w:val="Tabletext"/>
            </w:pPr>
            <w:r w:rsidRPr="002A7AC1">
              <w:t>Чистая вода и санитария</w:t>
            </w:r>
          </w:p>
        </w:tc>
      </w:tr>
      <w:tr w:rsidR="00850181" w:rsidRPr="002A7AC1" w:rsidTr="00CF5991">
        <w:tblPrEx>
          <w:jc w:val="left"/>
        </w:tblPrEx>
        <w:trPr>
          <w:trHeight w:val="1612"/>
        </w:trPr>
        <w:tc>
          <w:tcPr>
            <w:tcW w:w="704" w:type="dxa"/>
            <w:vMerge/>
          </w:tcPr>
          <w:p w:rsidR="00850181" w:rsidRPr="002A7AC1" w:rsidRDefault="00850181" w:rsidP="00CF5991">
            <w:pPr>
              <w:pStyle w:val="Tabletext"/>
            </w:pPr>
          </w:p>
        </w:tc>
        <w:tc>
          <w:tcPr>
            <w:tcW w:w="1276" w:type="dxa"/>
            <w:vAlign w:val="center"/>
          </w:tcPr>
          <w:p w:rsidR="00850181" w:rsidRPr="002A7AC1" w:rsidRDefault="00850181" w:rsidP="00CF5991">
            <w:pPr>
              <w:pStyle w:val="Tabletext"/>
              <w:jc w:val="center"/>
            </w:pPr>
            <w:r w:rsidRPr="002A7AC1">
              <w:t>13</w:t>
            </w:r>
          </w:p>
        </w:tc>
        <w:tc>
          <w:tcPr>
            <w:tcW w:w="7654" w:type="dxa"/>
            <w:vAlign w:val="center"/>
          </w:tcPr>
          <w:p w:rsidR="00850181" w:rsidRPr="002A7AC1" w:rsidRDefault="008D701F" w:rsidP="00CF5991">
            <w:pPr>
              <w:pStyle w:val="Tabletext"/>
            </w:pPr>
            <w:r w:rsidRPr="002A7AC1">
              <w:t>Борьба с изменением климата</w:t>
            </w:r>
          </w:p>
        </w:tc>
      </w:tr>
    </w:tbl>
    <w:p w:rsidR="00A81471" w:rsidRPr="002A7AC1" w:rsidRDefault="00A81471" w:rsidP="00BC3F8D"/>
    <w:tbl>
      <w:tblPr>
        <w:tblStyle w:val="TableGrid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65"/>
        <w:gridCol w:w="7676"/>
      </w:tblGrid>
      <w:tr w:rsidR="00E45363" w:rsidRPr="002A7AC1" w:rsidTr="00CF5991">
        <w:trPr>
          <w:tblHeader/>
          <w:jc w:val="center"/>
        </w:trPr>
        <w:tc>
          <w:tcPr>
            <w:tcW w:w="1969" w:type="dxa"/>
            <w:gridSpan w:val="2"/>
            <w:shd w:val="clear" w:color="auto" w:fill="D6E3BC" w:themeFill="accent3" w:themeFillTint="66"/>
            <w:vAlign w:val="center"/>
          </w:tcPr>
          <w:p w:rsidR="00E45363" w:rsidRPr="002A7AC1" w:rsidRDefault="00264956" w:rsidP="00264956">
            <w:pPr>
              <w:pStyle w:val="Tablehead"/>
            </w:pPr>
            <w:proofErr w:type="spellStart"/>
            <w:r w:rsidRPr="002A7AC1">
              <w:lastRenderedPageBreak/>
              <w:t>РИ</w:t>
            </w:r>
            <w:proofErr w:type="spellEnd"/>
            <w:r w:rsidRPr="002A7AC1">
              <w:t xml:space="preserve"> </w:t>
            </w:r>
            <w:r w:rsidR="00E45363" w:rsidRPr="002A7AC1">
              <w:t>5</w:t>
            </w:r>
          </w:p>
        </w:tc>
        <w:tc>
          <w:tcPr>
            <w:tcW w:w="7676" w:type="dxa"/>
            <w:shd w:val="clear" w:color="auto" w:fill="D6E3BC" w:themeFill="accent3" w:themeFillTint="66"/>
            <w:vAlign w:val="center"/>
          </w:tcPr>
          <w:p w:rsidR="00E45363" w:rsidRPr="002A7AC1" w:rsidRDefault="00E45363" w:rsidP="00285A75">
            <w:pPr>
              <w:pStyle w:val="Tablehead"/>
              <w:jc w:val="left"/>
            </w:pPr>
            <w:r w:rsidRPr="002A7AC1">
              <w:rPr>
                <w:bCs/>
              </w:rPr>
              <w:t>Содействие инновациям и партн</w:t>
            </w:r>
            <w:r w:rsidR="002A7AC1" w:rsidRPr="002A7AC1">
              <w:rPr>
                <w:bCs/>
              </w:rPr>
              <w:t>е</w:t>
            </w:r>
            <w:r w:rsidRPr="002A7AC1">
              <w:rPr>
                <w:bCs/>
              </w:rPr>
              <w:t>рству в сфере внедрения технологий "</w:t>
            </w:r>
            <w:r w:rsidR="00285A75">
              <w:rPr>
                <w:bCs/>
              </w:rPr>
              <w:t>и</w:t>
            </w:r>
            <w:r w:rsidRPr="002A7AC1">
              <w:rPr>
                <w:bCs/>
              </w:rPr>
              <w:t xml:space="preserve">нтернета вещей" и их взаимодействие в сетях электросвязи, включая сети </w:t>
            </w:r>
            <w:proofErr w:type="spellStart"/>
            <w:r w:rsidRPr="002A7AC1">
              <w:rPr>
                <w:bCs/>
              </w:rPr>
              <w:t>4G</w:t>
            </w:r>
            <w:proofErr w:type="spellEnd"/>
            <w:r w:rsidRPr="002A7AC1">
              <w:rPr>
                <w:bCs/>
              </w:rPr>
              <w:t xml:space="preserve">, </w:t>
            </w:r>
            <w:proofErr w:type="spellStart"/>
            <w:r w:rsidRPr="002A7AC1">
              <w:rPr>
                <w:bCs/>
              </w:rPr>
              <w:t>IMT</w:t>
            </w:r>
            <w:proofErr w:type="spellEnd"/>
            <w:r w:rsidRPr="002A7AC1">
              <w:rPr>
                <w:bCs/>
              </w:rPr>
              <w:t>-2020 и сети последующих поколений, в интересах устойчивого развития</w:t>
            </w:r>
          </w:p>
        </w:tc>
      </w:tr>
      <w:tr w:rsidR="00E45363" w:rsidRPr="002A7AC1" w:rsidTr="00CF5991">
        <w:trPr>
          <w:jc w:val="center"/>
        </w:trPr>
        <w:tc>
          <w:tcPr>
            <w:tcW w:w="1969" w:type="dxa"/>
            <w:gridSpan w:val="2"/>
            <w:vAlign w:val="center"/>
          </w:tcPr>
          <w:p w:rsidR="00E45363" w:rsidRPr="002A7AC1" w:rsidRDefault="00E45363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7676" w:type="dxa"/>
            <w:vAlign w:val="center"/>
          </w:tcPr>
          <w:p w:rsidR="00E45363" w:rsidRPr="002A7AC1" w:rsidRDefault="00B93ACF" w:rsidP="00A53F84">
            <w:pPr>
              <w:pStyle w:val="Tabletext"/>
            </w:pPr>
            <w:r w:rsidRPr="002A7AC1">
              <w:t xml:space="preserve">Оказывать содействие Государствам – Членам МСЭ в регионе при обеспечении гармоничной трансформации телекоммуникационного рынка и переходу операторов электросвязи к оказанию инновационных услуг пользователям при обеспечении устойчивости и повышении качества функционирования сетей электросвязи, включая сети </w:t>
            </w:r>
            <w:proofErr w:type="spellStart"/>
            <w:r w:rsidRPr="002A7AC1">
              <w:t>4G</w:t>
            </w:r>
            <w:proofErr w:type="spellEnd"/>
            <w:r w:rsidRPr="002A7AC1">
              <w:t xml:space="preserve">, </w:t>
            </w:r>
            <w:proofErr w:type="spellStart"/>
            <w:r w:rsidRPr="002A7AC1">
              <w:t>IMT</w:t>
            </w:r>
            <w:proofErr w:type="spellEnd"/>
            <w:r w:rsidRPr="002A7AC1">
              <w:t>-2020 и сет</w:t>
            </w:r>
            <w:r w:rsidR="00A53F84" w:rsidRPr="002A7AC1">
              <w:t>и</w:t>
            </w:r>
            <w:r w:rsidRPr="002A7AC1">
              <w:t xml:space="preserve"> последующих поколений (далее – сети электросвязи), в условиях повсеместного вне</w:t>
            </w:r>
            <w:r w:rsidR="00285A75">
              <w:t>дрения концепции и технологий "и</w:t>
            </w:r>
            <w:r w:rsidRPr="002A7AC1">
              <w:t>нтернета вещей".</w:t>
            </w:r>
          </w:p>
        </w:tc>
      </w:tr>
      <w:tr w:rsidR="00E45363" w:rsidRPr="002A7AC1" w:rsidTr="00CF5991">
        <w:trPr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E45363" w:rsidRPr="002A7AC1" w:rsidRDefault="00E45363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1265" w:type="dxa"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7676" w:type="dxa"/>
            <w:vAlign w:val="center"/>
          </w:tcPr>
          <w:p w:rsidR="00E45363" w:rsidRPr="002A7AC1" w:rsidRDefault="00B93ACF" w:rsidP="00CF5991">
            <w:pPr>
              <w:pStyle w:val="Tabletext"/>
            </w:pPr>
            <w:r w:rsidRPr="002A7AC1">
              <w:t xml:space="preserve">Разработка рекомендаций в сфере использования современных технологий и перспективных концепций функционирования рынка телекоммуникаций, включая принципы взаимодействия сетей электросвязи, </w:t>
            </w:r>
            <w:proofErr w:type="spellStart"/>
            <w:r w:rsidRPr="002A7AC1">
              <w:t>тарифообразования</w:t>
            </w:r>
            <w:proofErr w:type="spellEnd"/>
            <w:r w:rsidRPr="002A7AC1">
              <w:t xml:space="preserve"> услуг, нумерации, адресации и идентификации, а также вопросы обеспечения качества, безопасности и надежности услуг, управления трафиком, включая аспекты сетевого нейтралитета.</w:t>
            </w:r>
          </w:p>
        </w:tc>
      </w:tr>
      <w:tr w:rsidR="00E45363" w:rsidRPr="002A7AC1" w:rsidTr="00CF5991">
        <w:trPr>
          <w:jc w:val="center"/>
        </w:trPr>
        <w:tc>
          <w:tcPr>
            <w:tcW w:w="704" w:type="dxa"/>
            <w:vMerge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7676" w:type="dxa"/>
            <w:vAlign w:val="center"/>
          </w:tcPr>
          <w:p w:rsidR="00E45363" w:rsidRPr="002A7AC1" w:rsidRDefault="00B93ACF" w:rsidP="00CF5991">
            <w:pPr>
              <w:pStyle w:val="Tabletext"/>
            </w:pPr>
            <w:r w:rsidRPr="002A7AC1">
              <w:t>Повышение совместимости сетей электросвязи, услуг и устр</w:t>
            </w:r>
            <w:r w:rsidR="00285A75">
              <w:t>ойств при внедрении концепции "и</w:t>
            </w:r>
            <w:r w:rsidRPr="002A7AC1">
              <w:t>нтернета вещ</w:t>
            </w:r>
            <w:r w:rsidR="00285A75">
              <w:t>ей", включая индустриальный "и</w:t>
            </w:r>
            <w:r w:rsidRPr="002A7AC1">
              <w:t>нтернет вещей".</w:t>
            </w:r>
          </w:p>
        </w:tc>
      </w:tr>
      <w:tr w:rsidR="00E45363" w:rsidRPr="002A7AC1" w:rsidTr="00CF5991">
        <w:trPr>
          <w:jc w:val="center"/>
        </w:trPr>
        <w:tc>
          <w:tcPr>
            <w:tcW w:w="704" w:type="dxa"/>
            <w:vMerge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7676" w:type="dxa"/>
            <w:vAlign w:val="center"/>
          </w:tcPr>
          <w:p w:rsidR="00E45363" w:rsidRPr="002A7AC1" w:rsidRDefault="00B93ACF" w:rsidP="00CF5991">
            <w:pPr>
              <w:pStyle w:val="Tabletext"/>
            </w:pPr>
            <w:r w:rsidRPr="002A7AC1">
              <w:t>Содействие обеспечению требуемого уровня доверия и безопасности при широкомасштабном преобразовании сетей электросвязи в</w:t>
            </w:r>
            <w:r w:rsidR="00285A75">
              <w:t xml:space="preserve"> условиях внедрения концепции "и</w:t>
            </w:r>
            <w:r w:rsidRPr="002A7AC1">
              <w:t>нтернета в</w:t>
            </w:r>
            <w:r w:rsidR="00285A75">
              <w:t>ещей", включая индустриальный "и</w:t>
            </w:r>
            <w:r w:rsidRPr="002A7AC1">
              <w:t>нтернет вещей".</w:t>
            </w:r>
          </w:p>
        </w:tc>
      </w:tr>
      <w:tr w:rsidR="00E45363" w:rsidRPr="002A7AC1" w:rsidTr="00CF5991">
        <w:trPr>
          <w:jc w:val="center"/>
        </w:trPr>
        <w:tc>
          <w:tcPr>
            <w:tcW w:w="704" w:type="dxa"/>
            <w:vMerge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7676" w:type="dxa"/>
            <w:vAlign w:val="center"/>
          </w:tcPr>
          <w:p w:rsidR="00E45363" w:rsidRPr="002A7AC1" w:rsidRDefault="00B93ACF" w:rsidP="00285A75">
            <w:pPr>
              <w:pStyle w:val="Tabletext"/>
            </w:pPr>
            <w:r w:rsidRPr="002A7AC1">
              <w:t xml:space="preserve">Формирование единого инструментария и спецификаций для тестирования устройств, сетей электросвязи и их </w:t>
            </w:r>
            <w:r w:rsidR="00285A75">
              <w:t>фрагментов в рамках концепции "и</w:t>
            </w:r>
            <w:r w:rsidRPr="002A7AC1">
              <w:t>нтернета вещей", включая индустриальный "</w:t>
            </w:r>
            <w:r w:rsidR="00285A75">
              <w:t>и</w:t>
            </w:r>
            <w:r w:rsidRPr="002A7AC1">
              <w:t>нтернет вещей" на базе региональных лабораторий.</w:t>
            </w:r>
          </w:p>
        </w:tc>
      </w:tr>
      <w:tr w:rsidR="00E45363" w:rsidRPr="002A7AC1" w:rsidTr="00CF5991">
        <w:trPr>
          <w:jc w:val="center"/>
        </w:trPr>
        <w:tc>
          <w:tcPr>
            <w:tcW w:w="704" w:type="dxa"/>
            <w:vMerge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7676" w:type="dxa"/>
            <w:vAlign w:val="center"/>
          </w:tcPr>
          <w:p w:rsidR="00E45363" w:rsidRPr="002A7AC1" w:rsidRDefault="00B93ACF" w:rsidP="00CF5991">
            <w:pPr>
              <w:pStyle w:val="Tabletext"/>
            </w:pPr>
            <w:r w:rsidRPr="002A7AC1">
              <w:t>Разработка рекомендаций по созданию и эксплуат</w:t>
            </w:r>
            <w:r w:rsidR="00285A75">
              <w:t>ации региональных лабораторий "и</w:t>
            </w:r>
            <w:r w:rsidRPr="002A7AC1">
              <w:t>нтернета вещей" в интересах устойчивого развития.</w:t>
            </w:r>
          </w:p>
        </w:tc>
      </w:tr>
      <w:tr w:rsidR="00E45363" w:rsidRPr="002A7AC1" w:rsidTr="00CF5991">
        <w:tblPrEx>
          <w:jc w:val="left"/>
        </w:tblPrEx>
        <w:tc>
          <w:tcPr>
            <w:tcW w:w="704" w:type="dxa"/>
            <w:vMerge w:val="restart"/>
            <w:textDirection w:val="btLr"/>
            <w:vAlign w:val="center"/>
          </w:tcPr>
          <w:p w:rsidR="00E45363" w:rsidRPr="002A7AC1" w:rsidRDefault="00E45363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Соответствующие задачи МСЭ-D</w:t>
            </w:r>
          </w:p>
        </w:tc>
        <w:tc>
          <w:tcPr>
            <w:tcW w:w="1265" w:type="dxa"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  <w:r w:rsidRPr="002A7AC1">
              <w:t>Задача 2</w:t>
            </w:r>
          </w:p>
        </w:tc>
        <w:tc>
          <w:tcPr>
            <w:tcW w:w="7676" w:type="dxa"/>
            <w:vAlign w:val="center"/>
          </w:tcPr>
          <w:p w:rsidR="00E45363" w:rsidRPr="002A7AC1" w:rsidRDefault="00D51201" w:rsidP="00CF5991">
            <w:pPr>
              <w:pStyle w:val="Tabletext"/>
            </w:pPr>
            <w:r w:rsidRPr="002A7AC1">
              <w:t>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электросвязи/ИКТ.</w:t>
            </w:r>
          </w:p>
        </w:tc>
      </w:tr>
      <w:tr w:rsidR="00E45363" w:rsidRPr="002A7AC1" w:rsidTr="00CF5991">
        <w:tblPrEx>
          <w:jc w:val="left"/>
        </w:tblPrEx>
        <w:tc>
          <w:tcPr>
            <w:tcW w:w="704" w:type="dxa"/>
            <w:vMerge/>
          </w:tcPr>
          <w:p w:rsidR="00E45363" w:rsidRPr="002A7AC1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  <w:r w:rsidRPr="002A7AC1">
              <w:t>2.1</w:t>
            </w:r>
          </w:p>
        </w:tc>
        <w:tc>
          <w:tcPr>
            <w:tcW w:w="7676" w:type="dxa"/>
            <w:vAlign w:val="center"/>
          </w:tcPr>
          <w:p w:rsidR="00E45363" w:rsidRPr="002A7AC1" w:rsidRDefault="00D51201" w:rsidP="00CF5991">
            <w:pPr>
              <w:pStyle w:val="Tabletext"/>
            </w:pPr>
            <w:r w:rsidRPr="002A7AC1">
              <w:rPr>
                <w:szCs w:val="22"/>
              </w:rPr>
              <w:t xml:space="preserve">Укрепление потенциала членов МСЭ для формирования надежной инфраструктуры и услуг электросвязи/ИКТ, включая широкополосную связь и радиовещание, преодоление цифрового разрыва в </w:t>
            </w:r>
            <w:r w:rsidRPr="002A7AC1">
              <w:t>стандартизации</w:t>
            </w:r>
            <w:r w:rsidRPr="002A7AC1">
              <w:rPr>
                <w:szCs w:val="22"/>
              </w:rPr>
              <w:t xml:space="preserve">, соответствие и </w:t>
            </w:r>
            <w:proofErr w:type="gramStart"/>
            <w:r w:rsidRPr="002A7AC1">
              <w:rPr>
                <w:szCs w:val="22"/>
              </w:rPr>
              <w:t>функциональную совместимость</w:t>
            </w:r>
            <w:proofErr w:type="gramEnd"/>
            <w:r w:rsidRPr="002A7AC1">
              <w:rPr>
                <w:szCs w:val="22"/>
              </w:rPr>
              <w:t xml:space="preserve"> и управление использованием спектра.</w:t>
            </w:r>
          </w:p>
        </w:tc>
      </w:tr>
      <w:tr w:rsidR="00E45363" w:rsidRPr="002A7AC1" w:rsidTr="00CF5991">
        <w:tblPrEx>
          <w:jc w:val="left"/>
        </w:tblPrEx>
        <w:tc>
          <w:tcPr>
            <w:tcW w:w="704" w:type="dxa"/>
            <w:vMerge/>
          </w:tcPr>
          <w:p w:rsidR="00E45363" w:rsidRPr="002A7AC1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  <w:r w:rsidRPr="002A7AC1">
              <w:t>Задача 3</w:t>
            </w:r>
          </w:p>
        </w:tc>
        <w:tc>
          <w:tcPr>
            <w:tcW w:w="7676" w:type="dxa"/>
            <w:vAlign w:val="center"/>
          </w:tcPr>
          <w:p w:rsidR="00E45363" w:rsidRPr="002A7AC1" w:rsidRDefault="00D51201" w:rsidP="00CF5991">
            <w:pPr>
              <w:pStyle w:val="Tabletext"/>
            </w:pPr>
            <w:r w:rsidRPr="002A7AC1">
              <w:t>Благоприятная среда: Содействовать благоприятной политике и условиям регулирования, способствующим устойчивому развитию электросвязи/ИКТ.</w:t>
            </w:r>
          </w:p>
        </w:tc>
      </w:tr>
      <w:tr w:rsidR="00E45363" w:rsidRPr="002A7AC1" w:rsidTr="00CF5991">
        <w:tblPrEx>
          <w:jc w:val="left"/>
        </w:tblPrEx>
        <w:tc>
          <w:tcPr>
            <w:tcW w:w="704" w:type="dxa"/>
            <w:vMerge/>
          </w:tcPr>
          <w:p w:rsidR="00E45363" w:rsidRPr="002A7AC1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  <w:r w:rsidRPr="002A7AC1">
              <w:t>3.4</w:t>
            </w:r>
          </w:p>
        </w:tc>
        <w:tc>
          <w:tcPr>
            <w:tcW w:w="7676" w:type="dxa"/>
            <w:vAlign w:val="center"/>
          </w:tcPr>
          <w:p w:rsidR="00E45363" w:rsidRPr="002A7AC1" w:rsidRDefault="00D51201" w:rsidP="00CF5991">
            <w:pPr>
              <w:pStyle w:val="Tabletext"/>
              <w:rPr>
                <w:highlight w:val="cyan"/>
              </w:rPr>
            </w:pPr>
            <w:r w:rsidRPr="002A7AC1">
              <w:t>Укрепление</w:t>
            </w:r>
            <w:r w:rsidRPr="002A7AC1">
              <w:rPr>
                <w:szCs w:val="22"/>
              </w:rPr>
              <w:t xml:space="preserve"> потенциала членов МСЭ для интеграции инноваций в области электросвязи/ИКТ в национальные программы развития.</w:t>
            </w:r>
          </w:p>
        </w:tc>
      </w:tr>
      <w:tr w:rsidR="00E45363" w:rsidRPr="002A7AC1" w:rsidTr="00CF5991">
        <w:tblPrEx>
          <w:jc w:val="left"/>
        </w:tblPrEx>
        <w:trPr>
          <w:trHeight w:val="3046"/>
        </w:trPr>
        <w:tc>
          <w:tcPr>
            <w:tcW w:w="704" w:type="dxa"/>
            <w:textDirection w:val="btLr"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  <w:r w:rsidRPr="002A7AC1">
              <w:rPr>
                <w:b/>
                <w:bCs/>
              </w:rPr>
              <w:t xml:space="preserve">Соответствующие направления деятельности </w:t>
            </w:r>
            <w:proofErr w:type="spellStart"/>
            <w:r w:rsidRPr="002A7AC1">
              <w:rPr>
                <w:b/>
                <w:bCs/>
              </w:rPr>
              <w:t>ВВУИО</w:t>
            </w:r>
            <w:proofErr w:type="spellEnd"/>
          </w:p>
        </w:tc>
        <w:tc>
          <w:tcPr>
            <w:tcW w:w="1265" w:type="dxa"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  <w:proofErr w:type="spellStart"/>
            <w:r w:rsidRPr="002A7AC1">
              <w:t>C6</w:t>
            </w:r>
            <w:proofErr w:type="spellEnd"/>
          </w:p>
        </w:tc>
        <w:tc>
          <w:tcPr>
            <w:tcW w:w="7676" w:type="dxa"/>
            <w:vAlign w:val="center"/>
          </w:tcPr>
          <w:p w:rsidR="00E45363" w:rsidRPr="002A7AC1" w:rsidRDefault="00D51201" w:rsidP="00CF5991">
            <w:pPr>
              <w:pStyle w:val="Tabletext"/>
            </w:pPr>
            <w:r w:rsidRPr="002A7AC1">
              <w:t>Благоприятная среда</w:t>
            </w:r>
          </w:p>
        </w:tc>
      </w:tr>
      <w:tr w:rsidR="00E45363" w:rsidRPr="002A7AC1" w:rsidTr="00CF5991">
        <w:tblPrEx>
          <w:jc w:val="left"/>
        </w:tblPrEx>
        <w:trPr>
          <w:trHeight w:val="1613"/>
        </w:trPr>
        <w:tc>
          <w:tcPr>
            <w:tcW w:w="704" w:type="dxa"/>
            <w:vMerge w:val="restart"/>
            <w:textDirection w:val="btLr"/>
          </w:tcPr>
          <w:p w:rsidR="00E45363" w:rsidRPr="002A7AC1" w:rsidRDefault="00E45363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lastRenderedPageBreak/>
              <w:t>Соответствующие Цели в области устойчивого развития</w:t>
            </w:r>
          </w:p>
        </w:tc>
        <w:tc>
          <w:tcPr>
            <w:tcW w:w="1265" w:type="dxa"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  <w:r w:rsidRPr="002A7AC1">
              <w:t>9</w:t>
            </w:r>
          </w:p>
        </w:tc>
        <w:tc>
          <w:tcPr>
            <w:tcW w:w="7676" w:type="dxa"/>
            <w:vAlign w:val="center"/>
          </w:tcPr>
          <w:p w:rsidR="00E45363" w:rsidRPr="002A7AC1" w:rsidRDefault="00A53F84" w:rsidP="00CF5991">
            <w:pPr>
              <w:pStyle w:val="Tabletext"/>
            </w:pPr>
            <w:r w:rsidRPr="002A7AC1">
              <w:t>Отрасль</w:t>
            </w:r>
            <w:r w:rsidR="00D51201" w:rsidRPr="002A7AC1">
              <w:t>, инновации и инфраструктура</w:t>
            </w:r>
          </w:p>
        </w:tc>
      </w:tr>
      <w:tr w:rsidR="00E45363" w:rsidRPr="002A7AC1" w:rsidTr="00CF5991">
        <w:tblPrEx>
          <w:jc w:val="left"/>
        </w:tblPrEx>
        <w:trPr>
          <w:trHeight w:val="1613"/>
        </w:trPr>
        <w:tc>
          <w:tcPr>
            <w:tcW w:w="704" w:type="dxa"/>
            <w:vMerge/>
          </w:tcPr>
          <w:p w:rsidR="00E45363" w:rsidRPr="002A7AC1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2A7AC1" w:rsidRDefault="00E45363" w:rsidP="00CF5991">
            <w:pPr>
              <w:pStyle w:val="Tabletext"/>
              <w:jc w:val="center"/>
            </w:pPr>
            <w:r w:rsidRPr="002A7AC1">
              <w:t>17</w:t>
            </w:r>
          </w:p>
        </w:tc>
        <w:tc>
          <w:tcPr>
            <w:tcW w:w="7676" w:type="dxa"/>
            <w:vAlign w:val="center"/>
          </w:tcPr>
          <w:p w:rsidR="00E45363" w:rsidRPr="002A7AC1" w:rsidRDefault="00D51201" w:rsidP="00CF5991">
            <w:pPr>
              <w:pStyle w:val="Tabletext"/>
            </w:pPr>
            <w:r w:rsidRPr="002A7AC1">
              <w:t>Партнерство в интересах устойчивого развития</w:t>
            </w:r>
          </w:p>
        </w:tc>
      </w:tr>
    </w:tbl>
    <w:p w:rsidR="00944635" w:rsidRPr="002A7AC1" w:rsidRDefault="00944635" w:rsidP="00944635">
      <w:pPr>
        <w:pStyle w:val="Headingb"/>
        <w:pBdr>
          <w:bottom w:val="single" w:sz="12" w:space="1" w:color="auto"/>
        </w:pBdr>
        <w:spacing w:before="480"/>
      </w:pPr>
      <w:r w:rsidRPr="002A7AC1">
        <w:t>Африканские региональные инициативы</w:t>
      </w:r>
    </w:p>
    <w:p w:rsidR="00E07760" w:rsidRPr="002A7AC1" w:rsidRDefault="00E07760" w:rsidP="00E07760">
      <w:r w:rsidRPr="002A7AC1">
        <w:t>Африканские региональные инициативы рассчитаны на работу в конкретных приоритетных областях электросвязи/ИКТ с помощью партнерских отношений и мобилизации ресурсов для выполнения мелко-, средне- и крупномасштабных проектов. В рамках каждой региональной инициативы будут разрабатываться и осуществляться проекты в целях удовлетворения потребностей стран.</w:t>
      </w:r>
    </w:p>
    <w:p w:rsidR="008609B2" w:rsidRPr="002A7AC1" w:rsidRDefault="00E07760" w:rsidP="00E07760">
      <w:r w:rsidRPr="002A7AC1">
        <w:t xml:space="preserve">Ниже приводится обобщенная информация из Заключительного отчета Председателя </w:t>
      </w:r>
      <w:proofErr w:type="spellStart"/>
      <w:r w:rsidRPr="002A7AC1">
        <w:t>РПС</w:t>
      </w:r>
      <w:proofErr w:type="spellEnd"/>
      <w:r w:rsidRPr="002A7AC1">
        <w:t xml:space="preserve">-АФР. Полная версия отчета представлена в Документе </w:t>
      </w:r>
      <w:hyperlink r:id="rId23" w:history="1">
        <w:proofErr w:type="spellStart"/>
        <w:r w:rsidRPr="002A7AC1">
          <w:rPr>
            <w:rStyle w:val="Hyperlink"/>
            <w:szCs w:val="24"/>
          </w:rPr>
          <w:t>RPM-AFR16</w:t>
        </w:r>
        <w:proofErr w:type="spellEnd"/>
        <w:r w:rsidRPr="002A7AC1">
          <w:rPr>
            <w:rStyle w:val="Hyperlink"/>
            <w:szCs w:val="24"/>
          </w:rPr>
          <w:t>/25</w:t>
        </w:r>
      </w:hyperlink>
      <w:r w:rsidRPr="002A7AC1">
        <w:t>.</w:t>
      </w:r>
    </w:p>
    <w:p w:rsidR="00E07760" w:rsidRPr="002A7AC1" w:rsidRDefault="00E07760" w:rsidP="00E07760">
      <w:r w:rsidRPr="002A7AC1">
        <w:t xml:space="preserve">Представлен ряд предложений по обновлению существующих региональных инициатив с целью включения формирующихся тенденций и появляющихся технологий, а также предложены две новые региональные инициативы. В предложениях признается, что ИКТ в конечном счете ориентированы на человека, </w:t>
      </w:r>
      <w:r w:rsidRPr="002A7AC1">
        <w:rPr>
          <w:rFonts w:cs="Arial"/>
        </w:rPr>
        <w:t>сектор ИКТ стремительно развивается и необходимо изменить парадигму подходов, для того чтобы регион получил пользу от этих изменений</w:t>
      </w:r>
      <w:r w:rsidRPr="002A7AC1">
        <w:t xml:space="preserve">. Предложения относились к следующим областям и приоритетам: </w:t>
      </w:r>
    </w:p>
    <w:p w:rsidR="00E07760" w:rsidRPr="002A7AC1" w:rsidRDefault="00E07760" w:rsidP="00EB2EDA">
      <w:pPr>
        <w:pStyle w:val="enumlev1"/>
        <w:spacing w:before="60"/>
      </w:pPr>
      <w:r w:rsidRPr="002A7AC1">
        <w:t>•</w:t>
      </w:r>
      <w:r w:rsidRPr="002A7AC1">
        <w:tab/>
        <w:t>расширение создания человеческого и институционального потенциала;</w:t>
      </w:r>
    </w:p>
    <w:p w:rsidR="00E07760" w:rsidRPr="002A7AC1" w:rsidRDefault="00E07760" w:rsidP="00EB2EDA">
      <w:pPr>
        <w:pStyle w:val="enumlev1"/>
        <w:spacing w:before="60"/>
      </w:pPr>
      <w:r w:rsidRPr="002A7AC1">
        <w:t>•</w:t>
      </w:r>
      <w:r w:rsidRPr="002A7AC1">
        <w:tab/>
        <w:t>укрепление и согласование политики и нормативно-правовых баз;</w:t>
      </w:r>
    </w:p>
    <w:p w:rsidR="00E07760" w:rsidRPr="002A7AC1" w:rsidRDefault="00E07760" w:rsidP="00EB2EDA">
      <w:pPr>
        <w:pStyle w:val="enumlev1"/>
        <w:spacing w:before="60"/>
      </w:pPr>
      <w:r w:rsidRPr="002A7AC1">
        <w:t>•</w:t>
      </w:r>
      <w:r w:rsidRPr="002A7AC1">
        <w:tab/>
        <w:t>"умная" и устойчивая инфраструктура широкополосной связи и возможность присоединения с целью обеспечения справедливого доступа для всех в Африке;</w:t>
      </w:r>
    </w:p>
    <w:p w:rsidR="00E07760" w:rsidRPr="002A7AC1" w:rsidRDefault="00E07760" w:rsidP="00EB2EDA">
      <w:pPr>
        <w:pStyle w:val="enumlev1"/>
        <w:spacing w:before="60"/>
      </w:pPr>
      <w:r w:rsidRPr="002A7AC1">
        <w:t>•</w:t>
      </w:r>
      <w:r w:rsidRPr="002A7AC1">
        <w:tab/>
        <w:t>управление использованием спектра и переход на цифровое радиовещание;</w:t>
      </w:r>
    </w:p>
    <w:p w:rsidR="00E07760" w:rsidRPr="002A7AC1" w:rsidRDefault="00E07760" w:rsidP="00EB2EDA">
      <w:pPr>
        <w:pStyle w:val="enumlev1"/>
        <w:spacing w:before="60"/>
      </w:pPr>
      <w:r w:rsidRPr="002A7AC1">
        <w:t>•</w:t>
      </w:r>
      <w:r w:rsidRPr="002A7AC1">
        <w:tab/>
        <w:t>усиление безопасности инфраструктуры ИКТ и укрепление доверия при использовании приложений электросвязи/ИКТ;</w:t>
      </w:r>
    </w:p>
    <w:p w:rsidR="00E07760" w:rsidRPr="002A7AC1" w:rsidRDefault="00E07760" w:rsidP="00EB2EDA">
      <w:pPr>
        <w:pStyle w:val="enumlev1"/>
        <w:spacing w:before="60"/>
      </w:pPr>
      <w:r w:rsidRPr="002A7AC1">
        <w:t>•</w:t>
      </w:r>
      <w:r w:rsidRPr="002A7AC1">
        <w:tab/>
        <w:t>поддержка ориентированных на ИКТ инновационных кластеров в Африке;</w:t>
      </w:r>
    </w:p>
    <w:p w:rsidR="00E07760" w:rsidRPr="002A7AC1" w:rsidRDefault="00E07760" w:rsidP="00EB2EDA">
      <w:pPr>
        <w:pStyle w:val="enumlev1"/>
        <w:spacing w:before="60"/>
      </w:pPr>
      <w:r w:rsidRPr="002A7AC1">
        <w:t>•</w:t>
      </w:r>
      <w:r w:rsidRPr="002A7AC1">
        <w:tab/>
      </w:r>
      <w:r w:rsidRPr="002A7AC1">
        <w:rPr>
          <w:rFonts w:eastAsia="SimSun"/>
        </w:rPr>
        <w:t>помощь в политической, регуляторной и технической сферах, а также специализированные учебные программы для создания человеческого потенциала в рамках выбранных флагманских инициатив, относящихся к "Умной Африке".</w:t>
      </w:r>
    </w:p>
    <w:p w:rsidR="00944635" w:rsidRPr="002A7AC1" w:rsidRDefault="00E07760" w:rsidP="00E07760">
      <w:r w:rsidRPr="002A7AC1">
        <w:t xml:space="preserve">Для разработки общих предложений по региональным инициативам, которые будут представлены на ВКРЭ-17, </w:t>
      </w:r>
      <w:proofErr w:type="spellStart"/>
      <w:r w:rsidRPr="002A7AC1">
        <w:t>РПС-АФР</w:t>
      </w:r>
      <w:proofErr w:type="spellEnd"/>
      <w:r w:rsidRPr="002A7AC1">
        <w:t xml:space="preserve"> приняло решение использовать </w:t>
      </w:r>
      <w:r w:rsidR="009703B5" w:rsidRPr="002A7AC1">
        <w:t xml:space="preserve">предоставленный Директором </w:t>
      </w:r>
      <w:proofErr w:type="spellStart"/>
      <w:r w:rsidR="009703B5" w:rsidRPr="002A7AC1">
        <w:t>БРЭ</w:t>
      </w:r>
      <w:proofErr w:type="spellEnd"/>
      <w:r w:rsidR="009703B5" w:rsidRPr="002A7AC1">
        <w:t xml:space="preserve"> информационный </w:t>
      </w:r>
      <w:r w:rsidRPr="002A7AC1">
        <w:t xml:space="preserve">документ </w:t>
      </w:r>
      <w:r w:rsidRPr="002A7AC1">
        <w:rPr>
          <w:szCs w:val="24"/>
        </w:rPr>
        <w:t>(</w:t>
      </w:r>
      <w:proofErr w:type="spellStart"/>
      <w:r w:rsidR="00ED0FEB">
        <w:fldChar w:fldCharType="begin"/>
      </w:r>
      <w:r w:rsidR="00ED0FEB">
        <w:instrText xml:space="preserve"> HYPERLINK "https://www.itu.int/md/D</w:instrText>
      </w:r>
      <w:r w:rsidR="00ED0FEB">
        <w:instrText xml:space="preserve">14-RPMAFR-INF-0006/" </w:instrText>
      </w:r>
      <w:r w:rsidR="00ED0FEB">
        <w:fldChar w:fldCharType="separate"/>
      </w:r>
      <w:r w:rsidRPr="002A7AC1">
        <w:rPr>
          <w:rStyle w:val="Hyperlink"/>
          <w:szCs w:val="24"/>
        </w:rPr>
        <w:t>RPM-AFR16</w:t>
      </w:r>
      <w:proofErr w:type="spellEnd"/>
      <w:r w:rsidRPr="002A7AC1">
        <w:rPr>
          <w:rStyle w:val="Hyperlink"/>
          <w:szCs w:val="24"/>
        </w:rPr>
        <w:t>/</w:t>
      </w:r>
      <w:proofErr w:type="spellStart"/>
      <w:r w:rsidRPr="002A7AC1">
        <w:rPr>
          <w:rStyle w:val="Hyperlink"/>
          <w:szCs w:val="24"/>
        </w:rPr>
        <w:t>INF</w:t>
      </w:r>
      <w:proofErr w:type="spellEnd"/>
      <w:r w:rsidRPr="002A7AC1">
        <w:rPr>
          <w:rStyle w:val="Hyperlink"/>
          <w:szCs w:val="24"/>
        </w:rPr>
        <w:t>/6</w:t>
      </w:r>
      <w:r w:rsidR="00ED0FEB">
        <w:rPr>
          <w:rStyle w:val="Hyperlink"/>
          <w:szCs w:val="24"/>
        </w:rPr>
        <w:fldChar w:fldCharType="end"/>
      </w:r>
      <w:r w:rsidRPr="002A7AC1">
        <w:rPr>
          <w:szCs w:val="24"/>
        </w:rPr>
        <w:t>)</w:t>
      </w:r>
      <w:r w:rsidRPr="002A7AC1">
        <w:t xml:space="preserve"> в качестве общей основы, которую возможно впоследствии дорабатывать в соответствии с потребностями Государств-Членов, а также Резолюцию 17 (ВКРЭ-14, Дубай) в качестве справочного документа по методам реализации. Было также принято решение, что </w:t>
      </w:r>
      <w:proofErr w:type="spellStart"/>
      <w:r w:rsidRPr="002A7AC1">
        <w:t>АСЭ</w:t>
      </w:r>
      <w:proofErr w:type="spellEnd"/>
      <w:r w:rsidRPr="002A7AC1">
        <w:t xml:space="preserve"> будет координировать процесс сбора предложений от Государств-Членов в целях выработки общего предложения Африки для ВКРЭ-17.</w:t>
      </w:r>
    </w:p>
    <w:p w:rsidR="00DF4175" w:rsidRPr="002A7AC1" w:rsidRDefault="009703B5" w:rsidP="00DF4175">
      <w:pPr>
        <w:pStyle w:val="Headingb"/>
        <w:pBdr>
          <w:bottom w:val="single" w:sz="12" w:space="1" w:color="auto"/>
        </w:pBdr>
        <w:spacing w:before="480"/>
      </w:pPr>
      <w:r w:rsidRPr="002A7AC1">
        <w:lastRenderedPageBreak/>
        <w:t xml:space="preserve">Региональные </w:t>
      </w:r>
      <w:r w:rsidR="00DF4175" w:rsidRPr="002A7AC1">
        <w:t>инициативы</w:t>
      </w:r>
      <w:r w:rsidRPr="002A7AC1">
        <w:t xml:space="preserve"> арабских государств</w:t>
      </w:r>
    </w:p>
    <w:p w:rsidR="00DF4175" w:rsidRPr="002A7AC1" w:rsidRDefault="009703B5" w:rsidP="00DF4175">
      <w:r w:rsidRPr="002A7AC1">
        <w:rPr>
          <w:lang w:eastAsia="ru-RU"/>
        </w:rPr>
        <w:t xml:space="preserve">Региональные </w:t>
      </w:r>
      <w:r w:rsidR="00DF4175" w:rsidRPr="002A7AC1">
        <w:rPr>
          <w:lang w:eastAsia="ru-RU"/>
        </w:rPr>
        <w:t xml:space="preserve">инициативы </w:t>
      </w:r>
      <w:r w:rsidRPr="002A7AC1">
        <w:rPr>
          <w:lang w:eastAsia="ru-RU"/>
        </w:rPr>
        <w:t xml:space="preserve">арабских государств </w:t>
      </w:r>
      <w:r w:rsidR="00DF4175" w:rsidRPr="002A7AC1">
        <w:t xml:space="preserve">рассчитаны на работу в конкретных приоритетных областях ИКТ с помощью партнерских отношений и мобилизации ресурсов для выполнения мелко-, средне- и крупномасштабных проектов. В рамках каждой региональной инициативы будут разрабатываться и осуществляться проекты в целях удовлетворения потребностей данного региона. </w:t>
      </w:r>
    </w:p>
    <w:p w:rsidR="00DF4175" w:rsidRPr="002A7AC1" w:rsidRDefault="00DF4175" w:rsidP="00701C5C">
      <w:pPr>
        <w:rPr>
          <w:lang w:eastAsia="ru-RU"/>
        </w:rPr>
      </w:pPr>
      <w:r w:rsidRPr="002A7AC1">
        <w:t xml:space="preserve">Ниже приводится обобщенная информация из Заключительного отчета Председателя </w:t>
      </w:r>
      <w:proofErr w:type="spellStart"/>
      <w:r w:rsidRPr="002A7AC1">
        <w:t>РПС</w:t>
      </w:r>
      <w:proofErr w:type="spellEnd"/>
      <w:r w:rsidRPr="002A7AC1">
        <w:t>-АРБ. Полная версия отчета представлена</w:t>
      </w:r>
      <w:r w:rsidR="00701C5C" w:rsidRPr="002A7AC1">
        <w:t xml:space="preserve"> в Документе </w:t>
      </w:r>
      <w:hyperlink r:id="rId24" w:history="1">
        <w:proofErr w:type="spellStart"/>
        <w:r w:rsidR="00701C5C" w:rsidRPr="002A7AC1">
          <w:rPr>
            <w:rStyle w:val="Hyperlink"/>
            <w:bCs/>
            <w:szCs w:val="24"/>
          </w:rPr>
          <w:t>RPM-ARB17</w:t>
        </w:r>
        <w:proofErr w:type="spellEnd"/>
        <w:r w:rsidR="00701C5C" w:rsidRPr="002A7AC1">
          <w:rPr>
            <w:rStyle w:val="Hyperlink"/>
            <w:bCs/>
            <w:szCs w:val="24"/>
          </w:rPr>
          <w:t>/46</w:t>
        </w:r>
      </w:hyperlink>
      <w:r w:rsidRPr="002A7AC1">
        <w:t>.</w:t>
      </w:r>
    </w:p>
    <w:p w:rsidR="00701C5C" w:rsidRPr="002A7AC1" w:rsidRDefault="009224F7" w:rsidP="009703B5">
      <w:pPr>
        <w:spacing w:after="240"/>
        <w:rPr>
          <w:bCs/>
          <w:szCs w:val="24"/>
        </w:rPr>
      </w:pPr>
      <w:bookmarkStart w:id="59" w:name="lt_pId269"/>
      <w:r w:rsidRPr="002A7AC1">
        <w:rPr>
          <w:bCs/>
          <w:szCs w:val="24"/>
        </w:rPr>
        <w:t>Председатель Подготовительной группы арабских стран к</w:t>
      </w:r>
      <w:r w:rsidR="00701C5C" w:rsidRPr="002A7AC1">
        <w:rPr>
          <w:bCs/>
          <w:szCs w:val="24"/>
        </w:rPr>
        <w:t xml:space="preserve"> ВКРЭ-17 </w:t>
      </w:r>
      <w:r w:rsidRPr="002A7AC1">
        <w:rPr>
          <w:bCs/>
          <w:szCs w:val="24"/>
        </w:rPr>
        <w:t xml:space="preserve">отметил, что Группа продолжит дальнейшую разработку </w:t>
      </w:r>
      <w:r w:rsidR="009703B5" w:rsidRPr="002A7AC1">
        <w:rPr>
          <w:bCs/>
          <w:szCs w:val="24"/>
        </w:rPr>
        <w:t>предложений по региональным</w:t>
      </w:r>
      <w:r w:rsidRPr="002A7AC1">
        <w:rPr>
          <w:bCs/>
          <w:szCs w:val="24"/>
        </w:rPr>
        <w:t xml:space="preserve"> инициатив</w:t>
      </w:r>
      <w:r w:rsidR="009703B5" w:rsidRPr="002A7AC1">
        <w:rPr>
          <w:bCs/>
          <w:szCs w:val="24"/>
        </w:rPr>
        <w:t>ам</w:t>
      </w:r>
      <w:r w:rsidR="00701C5C" w:rsidRPr="002A7AC1">
        <w:rPr>
          <w:bCs/>
          <w:szCs w:val="24"/>
        </w:rPr>
        <w:t>.</w:t>
      </w:r>
      <w:bookmarkEnd w:id="59"/>
    </w:p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576"/>
        <w:gridCol w:w="8064"/>
      </w:tblGrid>
      <w:tr w:rsidR="00701C5C" w:rsidRPr="002A7AC1" w:rsidTr="00701C5C">
        <w:tc>
          <w:tcPr>
            <w:tcW w:w="1576" w:type="dxa"/>
            <w:shd w:val="clear" w:color="auto" w:fill="D6E3BC" w:themeFill="accent3" w:themeFillTint="66"/>
            <w:vAlign w:val="center"/>
          </w:tcPr>
          <w:p w:rsidR="00701C5C" w:rsidRPr="002A7AC1" w:rsidRDefault="00264956" w:rsidP="00701C5C">
            <w:pPr>
              <w:pStyle w:val="Tablehead"/>
            </w:pPr>
            <w:bookmarkStart w:id="60" w:name="lt_pId270"/>
            <w:proofErr w:type="spellStart"/>
            <w:r w:rsidRPr="002A7AC1">
              <w:t>РИ</w:t>
            </w:r>
            <w:proofErr w:type="spellEnd"/>
            <w:r w:rsidR="00701C5C" w:rsidRPr="002A7AC1">
              <w:rPr>
                <w:sz w:val="24"/>
              </w:rPr>
              <w:br w:type="page"/>
            </w:r>
            <w:r w:rsidR="00701C5C" w:rsidRPr="002A7AC1">
              <w:t xml:space="preserve"> 1</w:t>
            </w:r>
            <w:bookmarkEnd w:id="60"/>
          </w:p>
        </w:tc>
        <w:tc>
          <w:tcPr>
            <w:tcW w:w="8064" w:type="dxa"/>
            <w:shd w:val="clear" w:color="auto" w:fill="D6E3BC" w:themeFill="accent3" w:themeFillTint="66"/>
            <w:vAlign w:val="center"/>
          </w:tcPr>
          <w:p w:rsidR="00701C5C" w:rsidRPr="002A7AC1" w:rsidRDefault="00701C5C" w:rsidP="00701C5C">
            <w:pPr>
              <w:pStyle w:val="Tablehead"/>
              <w:jc w:val="left"/>
            </w:pPr>
            <w:r w:rsidRPr="002A7AC1">
              <w:t>Окружающая среда, изменение климата и электросвязь в чрезвычайных ситуациях</w:t>
            </w:r>
          </w:p>
        </w:tc>
      </w:tr>
      <w:tr w:rsidR="00701C5C" w:rsidRPr="002A7AC1" w:rsidTr="00320BC1">
        <w:tc>
          <w:tcPr>
            <w:tcW w:w="1576" w:type="dxa"/>
            <w:vAlign w:val="center"/>
          </w:tcPr>
          <w:p w:rsidR="00701C5C" w:rsidRPr="002A7AC1" w:rsidRDefault="00701C5C" w:rsidP="00320BC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064" w:type="dxa"/>
          </w:tcPr>
          <w:p w:rsidR="00701C5C" w:rsidRPr="002A7AC1" w:rsidRDefault="00701C5C" w:rsidP="00285A75">
            <w:pPr>
              <w:pStyle w:val="Tabletext"/>
            </w:pPr>
            <w:r w:rsidRPr="002A7AC1">
              <w:t>Повыш</w:t>
            </w:r>
            <w:r w:rsidR="00285A75">
              <w:t>ать</w:t>
            </w:r>
            <w:r w:rsidRPr="002A7AC1">
              <w:t xml:space="preserve"> осведомленност</w:t>
            </w:r>
            <w:r w:rsidR="00285A75">
              <w:t>ь</w:t>
            </w:r>
            <w:r w:rsidRPr="002A7AC1">
              <w:t xml:space="preserve"> и оказ</w:t>
            </w:r>
            <w:r w:rsidR="00285A75">
              <w:t>ывать</w:t>
            </w:r>
            <w:r w:rsidRPr="002A7AC1">
              <w:t xml:space="preserve"> поддержк</w:t>
            </w:r>
            <w:r w:rsidR="00285A75">
              <w:t>у</w:t>
            </w:r>
            <w:r w:rsidRPr="002A7AC1">
              <w:t xml:space="preserve"> в отношении основных проблем в области охраны окружающей среды, изменения климата и электросвязи в чрезвычайных ситуациях, созда</w:t>
            </w:r>
            <w:r w:rsidR="00285A75">
              <w:t>вать нормативно-правовые</w:t>
            </w:r>
            <w:r w:rsidRPr="002A7AC1">
              <w:t xml:space="preserve"> баз</w:t>
            </w:r>
            <w:r w:rsidR="00285A75">
              <w:t>ы</w:t>
            </w:r>
            <w:r w:rsidRPr="002A7AC1">
              <w:t xml:space="preserve"> и прин</w:t>
            </w:r>
            <w:r w:rsidR="00285A75">
              <w:t>имать необходимые</w:t>
            </w:r>
            <w:r w:rsidRPr="002A7AC1">
              <w:t xml:space="preserve"> мер</w:t>
            </w:r>
            <w:r w:rsidR="00285A75">
              <w:t>ы</w:t>
            </w:r>
            <w:r w:rsidRPr="002A7AC1">
              <w:t xml:space="preserve"> для решения проблем в этой области.</w:t>
            </w:r>
          </w:p>
        </w:tc>
      </w:tr>
    </w:tbl>
    <w:p w:rsidR="00944635" w:rsidRPr="002A7AC1" w:rsidRDefault="00944635" w:rsidP="00944635"/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576"/>
        <w:gridCol w:w="8064"/>
      </w:tblGrid>
      <w:tr w:rsidR="00701C5C" w:rsidRPr="002A7AC1" w:rsidTr="00CF5991">
        <w:tc>
          <w:tcPr>
            <w:tcW w:w="1576" w:type="dxa"/>
            <w:shd w:val="clear" w:color="auto" w:fill="D6E3BC" w:themeFill="accent3" w:themeFillTint="66"/>
            <w:vAlign w:val="center"/>
          </w:tcPr>
          <w:p w:rsidR="00701C5C" w:rsidRPr="002A7AC1" w:rsidRDefault="00264956" w:rsidP="00CF5991">
            <w:pPr>
              <w:pStyle w:val="Tablehead"/>
            </w:pPr>
            <w:proofErr w:type="spellStart"/>
            <w:r w:rsidRPr="002A7AC1">
              <w:t>РИ</w:t>
            </w:r>
            <w:proofErr w:type="spellEnd"/>
            <w:r w:rsidR="00701C5C" w:rsidRPr="002A7AC1">
              <w:rPr>
                <w:sz w:val="24"/>
              </w:rPr>
              <w:br w:type="page"/>
            </w:r>
            <w:r w:rsidR="00701C5C" w:rsidRPr="002A7AC1">
              <w:t xml:space="preserve"> 2</w:t>
            </w:r>
          </w:p>
        </w:tc>
        <w:tc>
          <w:tcPr>
            <w:tcW w:w="8064" w:type="dxa"/>
            <w:shd w:val="clear" w:color="auto" w:fill="D6E3BC" w:themeFill="accent3" w:themeFillTint="66"/>
            <w:vAlign w:val="center"/>
          </w:tcPr>
          <w:p w:rsidR="00701C5C" w:rsidRPr="002A7AC1" w:rsidRDefault="00701C5C" w:rsidP="00CF5991">
            <w:pPr>
              <w:pStyle w:val="Tablehead"/>
              <w:jc w:val="left"/>
            </w:pPr>
            <w:r w:rsidRPr="002A7AC1">
              <w:t>Доверие и безопасность при использовании ИКТ</w:t>
            </w:r>
          </w:p>
        </w:tc>
      </w:tr>
      <w:tr w:rsidR="00701C5C" w:rsidRPr="002A7AC1" w:rsidTr="00320BC1">
        <w:tc>
          <w:tcPr>
            <w:tcW w:w="1576" w:type="dxa"/>
            <w:vAlign w:val="center"/>
          </w:tcPr>
          <w:p w:rsidR="00701C5C" w:rsidRPr="002A7AC1" w:rsidRDefault="00701C5C" w:rsidP="00320BC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064" w:type="dxa"/>
          </w:tcPr>
          <w:p w:rsidR="00701C5C" w:rsidRPr="002A7AC1" w:rsidRDefault="00701C5C" w:rsidP="00285A75">
            <w:pPr>
              <w:pStyle w:val="Tabletext"/>
            </w:pPr>
            <w:r w:rsidRPr="002A7AC1">
              <w:t>Укрепл</w:t>
            </w:r>
            <w:r w:rsidR="00285A75">
              <w:t>ять доверие</w:t>
            </w:r>
            <w:r w:rsidRPr="002A7AC1">
              <w:t xml:space="preserve"> и безопасност</w:t>
            </w:r>
            <w:r w:rsidR="00285A75">
              <w:t>ь</w:t>
            </w:r>
            <w:r w:rsidRPr="002A7AC1">
              <w:t xml:space="preserve"> при использовании электросвязи/ИКТ, защи</w:t>
            </w:r>
            <w:r w:rsidR="00285A75">
              <w:t>щать</w:t>
            </w:r>
            <w:r w:rsidRPr="002A7AC1">
              <w:t xml:space="preserve"> ребенка в онлайновой среде и бор</w:t>
            </w:r>
            <w:r w:rsidR="00285A75">
              <w:t>оться</w:t>
            </w:r>
            <w:r w:rsidRPr="002A7AC1">
              <w:t xml:space="preserve"> со всеми видами </w:t>
            </w:r>
            <w:proofErr w:type="spellStart"/>
            <w:r w:rsidRPr="002A7AC1">
              <w:t>киберугроз</w:t>
            </w:r>
            <w:proofErr w:type="spellEnd"/>
            <w:r w:rsidRPr="002A7AC1">
              <w:t>, включая неправомерное использование электросвязи/ИКТ.</w:t>
            </w:r>
          </w:p>
        </w:tc>
      </w:tr>
    </w:tbl>
    <w:p w:rsidR="00DF4175" w:rsidRPr="002A7AC1" w:rsidRDefault="00DF4175" w:rsidP="00944635"/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576"/>
        <w:gridCol w:w="8064"/>
      </w:tblGrid>
      <w:tr w:rsidR="00701C5C" w:rsidRPr="002A7AC1" w:rsidTr="00CF5991">
        <w:tc>
          <w:tcPr>
            <w:tcW w:w="1576" w:type="dxa"/>
            <w:shd w:val="clear" w:color="auto" w:fill="D6E3BC" w:themeFill="accent3" w:themeFillTint="66"/>
            <w:vAlign w:val="center"/>
          </w:tcPr>
          <w:p w:rsidR="00701C5C" w:rsidRPr="002A7AC1" w:rsidRDefault="00264956" w:rsidP="00264956">
            <w:pPr>
              <w:pStyle w:val="Tablehead"/>
            </w:pPr>
            <w:proofErr w:type="spellStart"/>
            <w:r w:rsidRPr="002A7AC1">
              <w:t>РИ</w:t>
            </w:r>
            <w:proofErr w:type="spellEnd"/>
            <w:r w:rsidRPr="002A7AC1">
              <w:rPr>
                <w:sz w:val="24"/>
              </w:rPr>
              <w:t xml:space="preserve"> </w:t>
            </w:r>
            <w:r w:rsidR="00701C5C" w:rsidRPr="002A7AC1">
              <w:t>3</w:t>
            </w:r>
          </w:p>
        </w:tc>
        <w:tc>
          <w:tcPr>
            <w:tcW w:w="8064" w:type="dxa"/>
            <w:shd w:val="clear" w:color="auto" w:fill="D6E3BC" w:themeFill="accent3" w:themeFillTint="66"/>
            <w:vAlign w:val="center"/>
          </w:tcPr>
          <w:p w:rsidR="00701C5C" w:rsidRPr="002A7AC1" w:rsidRDefault="00701C5C" w:rsidP="00CF5991">
            <w:pPr>
              <w:pStyle w:val="Tablehead"/>
              <w:jc w:val="left"/>
            </w:pPr>
            <w:r w:rsidRPr="002A7AC1">
              <w:t>Охват цифровыми финансовыми услугами</w:t>
            </w:r>
          </w:p>
        </w:tc>
      </w:tr>
      <w:tr w:rsidR="00701C5C" w:rsidRPr="002A7AC1" w:rsidTr="00320BC1">
        <w:tc>
          <w:tcPr>
            <w:tcW w:w="1576" w:type="dxa"/>
            <w:vAlign w:val="center"/>
          </w:tcPr>
          <w:p w:rsidR="00701C5C" w:rsidRPr="002A7AC1" w:rsidRDefault="00701C5C" w:rsidP="00320BC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064" w:type="dxa"/>
          </w:tcPr>
          <w:p w:rsidR="00701C5C" w:rsidRPr="002A7AC1" w:rsidRDefault="00701C5C" w:rsidP="00285A75">
            <w:pPr>
              <w:pStyle w:val="Tabletext"/>
            </w:pPr>
            <w:r w:rsidRPr="002A7AC1">
              <w:t>Поддерж</w:t>
            </w:r>
            <w:r w:rsidR="00285A75">
              <w:t>ивать</w:t>
            </w:r>
            <w:r w:rsidRPr="002A7AC1">
              <w:t xml:space="preserve"> и расшир</w:t>
            </w:r>
            <w:r w:rsidR="00285A75">
              <w:t>ять</w:t>
            </w:r>
            <w:r w:rsidRPr="002A7AC1">
              <w:t xml:space="preserve"> возможност</w:t>
            </w:r>
            <w:r w:rsidR="00285A75">
              <w:t>и</w:t>
            </w:r>
            <w:r w:rsidRPr="002A7AC1">
              <w:t xml:space="preserve"> доступа и использования цифровых финансовых услуг посредством использования электросвязи/ИКТ и дости</w:t>
            </w:r>
            <w:r w:rsidR="00285A75">
              <w:t>чь</w:t>
            </w:r>
            <w:r w:rsidRPr="002A7AC1">
              <w:t xml:space="preserve"> высоких уровней охвата цифровыми финансовыми услугами.</w:t>
            </w:r>
          </w:p>
        </w:tc>
      </w:tr>
    </w:tbl>
    <w:p w:rsidR="00701C5C" w:rsidRPr="002A7AC1" w:rsidRDefault="00701C5C" w:rsidP="00944635"/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576"/>
        <w:gridCol w:w="8064"/>
      </w:tblGrid>
      <w:tr w:rsidR="00701C5C" w:rsidRPr="002A7AC1" w:rsidTr="00CF5991">
        <w:tc>
          <w:tcPr>
            <w:tcW w:w="1576" w:type="dxa"/>
            <w:shd w:val="clear" w:color="auto" w:fill="D6E3BC" w:themeFill="accent3" w:themeFillTint="66"/>
            <w:vAlign w:val="center"/>
          </w:tcPr>
          <w:p w:rsidR="00701C5C" w:rsidRPr="002A7AC1" w:rsidRDefault="00264956" w:rsidP="00264956">
            <w:pPr>
              <w:pStyle w:val="Tablehead"/>
            </w:pPr>
            <w:proofErr w:type="spellStart"/>
            <w:r w:rsidRPr="002A7AC1">
              <w:t>РИ</w:t>
            </w:r>
            <w:proofErr w:type="spellEnd"/>
            <w:r w:rsidRPr="002A7AC1">
              <w:rPr>
                <w:sz w:val="24"/>
              </w:rPr>
              <w:t xml:space="preserve"> </w:t>
            </w:r>
            <w:r w:rsidR="00701C5C" w:rsidRPr="002A7AC1">
              <w:t>4</w:t>
            </w:r>
          </w:p>
        </w:tc>
        <w:tc>
          <w:tcPr>
            <w:tcW w:w="8064" w:type="dxa"/>
            <w:shd w:val="clear" w:color="auto" w:fill="D6E3BC" w:themeFill="accent3" w:themeFillTint="66"/>
            <w:vAlign w:val="center"/>
          </w:tcPr>
          <w:p w:rsidR="00701C5C" w:rsidRPr="002A7AC1" w:rsidRDefault="00701C5C" w:rsidP="00CF5991">
            <w:pPr>
              <w:pStyle w:val="Tablehead"/>
              <w:jc w:val="left"/>
            </w:pPr>
            <w:r w:rsidRPr="002A7AC1">
              <w:t>Интернет вещей, "умные" города и большие данные</w:t>
            </w:r>
          </w:p>
        </w:tc>
      </w:tr>
      <w:tr w:rsidR="00701C5C" w:rsidRPr="002A7AC1" w:rsidTr="00320BC1">
        <w:tc>
          <w:tcPr>
            <w:tcW w:w="1576" w:type="dxa"/>
            <w:vAlign w:val="center"/>
          </w:tcPr>
          <w:p w:rsidR="00701C5C" w:rsidRPr="002A7AC1" w:rsidRDefault="00701C5C" w:rsidP="00320BC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064" w:type="dxa"/>
          </w:tcPr>
          <w:p w:rsidR="00701C5C" w:rsidRPr="002A7AC1" w:rsidRDefault="00701C5C" w:rsidP="00285A75">
            <w:pPr>
              <w:pStyle w:val="Tabletext"/>
            </w:pPr>
            <w:r w:rsidRPr="002A7AC1">
              <w:t>Повыш</w:t>
            </w:r>
            <w:r w:rsidR="00285A75">
              <w:t>ать</w:t>
            </w:r>
            <w:r w:rsidRPr="002A7AC1">
              <w:t xml:space="preserve"> и расшир</w:t>
            </w:r>
            <w:r w:rsidR="00285A75">
              <w:t>ять</w:t>
            </w:r>
            <w:r w:rsidRPr="002A7AC1">
              <w:t xml:space="preserve"> осведомленност</w:t>
            </w:r>
            <w:r w:rsidR="00285A75">
              <w:t>ь</w:t>
            </w:r>
            <w:r w:rsidRPr="002A7AC1">
              <w:t xml:space="preserve"> о значении возникающих проблем в эпоху интернета вещей и больших данных и о том, как их решать, а также созда</w:t>
            </w:r>
            <w:r w:rsidR="00285A75">
              <w:t>вать нормативно-правовые</w:t>
            </w:r>
            <w:r w:rsidRPr="002A7AC1">
              <w:t xml:space="preserve"> баз</w:t>
            </w:r>
            <w:r w:rsidR="00285A75">
              <w:t>ы</w:t>
            </w:r>
            <w:r w:rsidRPr="002A7AC1">
              <w:t xml:space="preserve"> и прин</w:t>
            </w:r>
            <w:r w:rsidR="00285A75">
              <w:t>имать необходимые</w:t>
            </w:r>
            <w:r w:rsidRPr="002A7AC1">
              <w:t xml:space="preserve"> мер</w:t>
            </w:r>
            <w:r w:rsidR="00285A75">
              <w:t>ы</w:t>
            </w:r>
            <w:r w:rsidRPr="002A7AC1">
              <w:t>, которые помогали бы не отставать от стремительного развития электросвязи/ИКТ и работать над превращением городов и сообществ в "умные" города и сообщества.</w:t>
            </w:r>
          </w:p>
        </w:tc>
      </w:tr>
    </w:tbl>
    <w:p w:rsidR="00701C5C" w:rsidRPr="002A7AC1" w:rsidRDefault="00701C5C" w:rsidP="00944635"/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576"/>
        <w:gridCol w:w="8064"/>
      </w:tblGrid>
      <w:tr w:rsidR="00701C5C" w:rsidRPr="002A7AC1" w:rsidTr="00CF5991">
        <w:tc>
          <w:tcPr>
            <w:tcW w:w="1576" w:type="dxa"/>
            <w:shd w:val="clear" w:color="auto" w:fill="D6E3BC" w:themeFill="accent3" w:themeFillTint="66"/>
            <w:vAlign w:val="center"/>
          </w:tcPr>
          <w:p w:rsidR="00701C5C" w:rsidRPr="002A7AC1" w:rsidRDefault="00264956" w:rsidP="00264956">
            <w:pPr>
              <w:pStyle w:val="Tablehead"/>
            </w:pPr>
            <w:proofErr w:type="spellStart"/>
            <w:r w:rsidRPr="002A7AC1">
              <w:t>РИ</w:t>
            </w:r>
            <w:proofErr w:type="spellEnd"/>
            <w:r w:rsidRPr="002A7AC1">
              <w:rPr>
                <w:sz w:val="24"/>
              </w:rPr>
              <w:t xml:space="preserve"> </w:t>
            </w:r>
            <w:r w:rsidR="00701C5C" w:rsidRPr="002A7AC1">
              <w:t>5</w:t>
            </w:r>
          </w:p>
        </w:tc>
        <w:tc>
          <w:tcPr>
            <w:tcW w:w="8064" w:type="dxa"/>
            <w:shd w:val="clear" w:color="auto" w:fill="D6E3BC" w:themeFill="accent3" w:themeFillTint="66"/>
            <w:vAlign w:val="center"/>
          </w:tcPr>
          <w:p w:rsidR="00701C5C" w:rsidRPr="002A7AC1" w:rsidRDefault="00701C5C" w:rsidP="00CF5991">
            <w:pPr>
              <w:pStyle w:val="Tablehead"/>
              <w:jc w:val="left"/>
            </w:pPr>
            <w:r w:rsidRPr="002A7AC1">
              <w:t>Инновации и предпринимательство</w:t>
            </w:r>
          </w:p>
        </w:tc>
      </w:tr>
      <w:tr w:rsidR="00701C5C" w:rsidRPr="002A7AC1" w:rsidTr="00320BC1">
        <w:tc>
          <w:tcPr>
            <w:tcW w:w="1576" w:type="dxa"/>
            <w:vAlign w:val="center"/>
          </w:tcPr>
          <w:p w:rsidR="00701C5C" w:rsidRPr="002A7AC1" w:rsidRDefault="00701C5C" w:rsidP="00320BC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064" w:type="dxa"/>
          </w:tcPr>
          <w:p w:rsidR="00701C5C" w:rsidRPr="002A7AC1" w:rsidRDefault="00701C5C" w:rsidP="00285A75">
            <w:pPr>
              <w:pStyle w:val="Tabletext"/>
            </w:pPr>
            <w:r w:rsidRPr="002A7AC1">
              <w:t>Созда</w:t>
            </w:r>
            <w:r w:rsidR="00285A75">
              <w:t>вать потенциал</w:t>
            </w:r>
            <w:r w:rsidRPr="002A7AC1">
              <w:t xml:space="preserve"> и повыш</w:t>
            </w:r>
            <w:r w:rsidR="00285A75">
              <w:t>ать</w:t>
            </w:r>
            <w:r w:rsidRPr="002A7AC1">
              <w:t xml:space="preserve"> осведомленност</w:t>
            </w:r>
            <w:r w:rsidR="00285A75">
              <w:t>ь</w:t>
            </w:r>
            <w:r w:rsidRPr="002A7AC1">
              <w:t xml:space="preserve"> о культуре инноваций и предпринимательства, в особенности среди молодежи, и расшир</w:t>
            </w:r>
            <w:r w:rsidR="00285A75">
              <w:t>ять</w:t>
            </w:r>
            <w:r w:rsidRPr="002A7AC1">
              <w:t xml:space="preserve"> прав</w:t>
            </w:r>
            <w:r w:rsidR="00285A75">
              <w:t>а</w:t>
            </w:r>
            <w:r w:rsidRPr="002A7AC1">
              <w:t xml:space="preserve"> и возможност</w:t>
            </w:r>
            <w:r w:rsidR="00285A75">
              <w:t>и</w:t>
            </w:r>
            <w:r w:rsidRPr="002A7AC1">
              <w:t xml:space="preserve"> женщин с целью использования инструментов электросвязи/ИКТ для осуществления проектов и видов экономической деятельности, направленных на создание возможностей трудоустройства.</w:t>
            </w:r>
          </w:p>
        </w:tc>
      </w:tr>
    </w:tbl>
    <w:p w:rsidR="00264956" w:rsidRPr="002A7AC1" w:rsidRDefault="00264956" w:rsidP="00B50753">
      <w:pPr>
        <w:pStyle w:val="Headingb"/>
        <w:pageBreakBefore/>
        <w:pBdr>
          <w:bottom w:val="single" w:sz="12" w:space="1" w:color="auto"/>
        </w:pBdr>
        <w:spacing w:before="480"/>
      </w:pPr>
      <w:r w:rsidRPr="002A7AC1">
        <w:lastRenderedPageBreak/>
        <w:t>Региональные инициативы Северной и Южной Америки</w:t>
      </w:r>
    </w:p>
    <w:p w:rsidR="00264956" w:rsidRPr="002A7AC1" w:rsidRDefault="00264956" w:rsidP="00264956">
      <w:r w:rsidRPr="002A7AC1">
        <w:t xml:space="preserve">Региональные инициативы Северной и Южной Америки рассчитаны на работу в конкретных приоритетных областях ИКТ с помощью партнерских отношений и мобилизации ресурсов для выполнения мелко-, средне- и крупномасштабных проектов. В рамках каждой региональной инициативы будут разрабатываться и осуществляться проекты в целях удовлетворения потребностей </w:t>
      </w:r>
      <w:r w:rsidR="00766FCB" w:rsidRPr="002A7AC1">
        <w:t xml:space="preserve">стран </w:t>
      </w:r>
      <w:r w:rsidRPr="002A7AC1">
        <w:t xml:space="preserve">данного региона. </w:t>
      </w:r>
    </w:p>
    <w:p w:rsidR="00264956" w:rsidRPr="002A7AC1" w:rsidRDefault="00264956" w:rsidP="00074764">
      <w:pPr>
        <w:spacing w:after="240"/>
      </w:pPr>
      <w:r w:rsidRPr="002A7AC1">
        <w:t xml:space="preserve">Ниже приводится обобщенная информация из Заключительного отчета Председателя </w:t>
      </w:r>
      <w:proofErr w:type="spellStart"/>
      <w:r w:rsidRPr="002A7AC1">
        <w:t>РПС-АМР</w:t>
      </w:r>
      <w:proofErr w:type="spellEnd"/>
      <w:r w:rsidRPr="002A7AC1">
        <w:t xml:space="preserve">. Полная версия отчета представлена в Документе </w:t>
      </w:r>
      <w:hyperlink r:id="rId25" w:history="1">
        <w:proofErr w:type="spellStart"/>
        <w:r w:rsidRPr="002A7AC1">
          <w:rPr>
            <w:rStyle w:val="Hyperlink"/>
            <w:bCs/>
            <w:szCs w:val="24"/>
          </w:rPr>
          <w:t>RPM-AMS17</w:t>
        </w:r>
        <w:proofErr w:type="spellEnd"/>
        <w:r w:rsidRPr="002A7AC1">
          <w:rPr>
            <w:rStyle w:val="Hyperlink"/>
            <w:bCs/>
            <w:szCs w:val="24"/>
          </w:rPr>
          <w:t>/41</w:t>
        </w:r>
      </w:hyperlink>
      <w:r w:rsidRPr="002A7AC1">
        <w:t>.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227"/>
      </w:tblGrid>
      <w:tr w:rsidR="00CF5991" w:rsidRPr="002A7AC1" w:rsidTr="00761FF8">
        <w:tc>
          <w:tcPr>
            <w:tcW w:w="1413" w:type="dxa"/>
            <w:gridSpan w:val="2"/>
            <w:shd w:val="clear" w:color="auto" w:fill="D6E3BC" w:themeFill="accent3" w:themeFillTint="66"/>
            <w:vAlign w:val="center"/>
          </w:tcPr>
          <w:p w:rsidR="00CF5991" w:rsidRPr="002A7AC1" w:rsidRDefault="00CF5991" w:rsidP="00CF5991">
            <w:pPr>
              <w:pStyle w:val="Tablehead"/>
            </w:pPr>
            <w:proofErr w:type="spellStart"/>
            <w:r w:rsidRPr="002A7AC1">
              <w:t>РИ</w:t>
            </w:r>
            <w:proofErr w:type="spellEnd"/>
            <w:r w:rsidRPr="002A7AC1">
              <w:t xml:space="preserve"> 1</w:t>
            </w:r>
          </w:p>
        </w:tc>
        <w:tc>
          <w:tcPr>
            <w:tcW w:w="8227" w:type="dxa"/>
            <w:shd w:val="clear" w:color="auto" w:fill="D6E3BC" w:themeFill="accent3" w:themeFillTint="66"/>
            <w:vAlign w:val="center"/>
          </w:tcPr>
          <w:p w:rsidR="00CF5991" w:rsidRPr="002A7AC1" w:rsidRDefault="00CF5991" w:rsidP="00074764">
            <w:pPr>
              <w:pStyle w:val="Tablehead"/>
              <w:jc w:val="left"/>
            </w:pPr>
            <w:r w:rsidRPr="002A7AC1">
              <w:t>Связь для снижения риска бедствий и управления операциями при бедствиях</w:t>
            </w:r>
          </w:p>
        </w:tc>
      </w:tr>
      <w:tr w:rsidR="00CF5991" w:rsidRPr="002A7AC1" w:rsidTr="007B1EFA">
        <w:tc>
          <w:tcPr>
            <w:tcW w:w="1413" w:type="dxa"/>
            <w:gridSpan w:val="2"/>
            <w:vAlign w:val="center"/>
          </w:tcPr>
          <w:p w:rsidR="00CF5991" w:rsidRPr="002A7AC1" w:rsidRDefault="00CF5991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227" w:type="dxa"/>
            <w:vAlign w:val="center"/>
          </w:tcPr>
          <w:p w:rsidR="00CF5991" w:rsidRPr="002A7AC1" w:rsidRDefault="00CF5991" w:rsidP="007B1EFA">
            <w:pPr>
              <w:pStyle w:val="Tabletext"/>
            </w:pPr>
            <w:r w:rsidRPr="002A7AC1">
              <w:t>Предоставлять помощь Государствам-Членам на всех этапах снижения риска бедствий, т. е. при раннем предупреждении, реагировании/оказании помощи при бедствиях и восстановлении сетей электросвязи, в особенности в малых островных развивающихся государствах (</w:t>
            </w:r>
            <w:proofErr w:type="spellStart"/>
            <w:r w:rsidRPr="002A7AC1">
              <w:t>СИДС</w:t>
            </w:r>
            <w:proofErr w:type="spellEnd"/>
            <w:r w:rsidRPr="002A7AC1">
              <w:t>) и наименее развитых странах (</w:t>
            </w:r>
            <w:proofErr w:type="spellStart"/>
            <w:r w:rsidRPr="002A7AC1">
              <w:t>НРС</w:t>
            </w:r>
            <w:proofErr w:type="spellEnd"/>
            <w:r w:rsidRPr="002A7AC1">
              <w:t>).</w:t>
            </w:r>
          </w:p>
        </w:tc>
      </w:tr>
      <w:tr w:rsidR="00CF5991" w:rsidRPr="002A7AC1" w:rsidTr="007B1EFA">
        <w:tc>
          <w:tcPr>
            <w:tcW w:w="704" w:type="dxa"/>
            <w:vMerge w:val="restart"/>
            <w:textDirection w:val="btLr"/>
            <w:vAlign w:val="center"/>
          </w:tcPr>
          <w:p w:rsidR="00CF5991" w:rsidRPr="002A7AC1" w:rsidRDefault="00CF5991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709" w:type="dxa"/>
            <w:vAlign w:val="center"/>
          </w:tcPr>
          <w:p w:rsidR="00CF5991" w:rsidRPr="002A7AC1" w:rsidRDefault="00CF5991" w:rsidP="00CF5991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8227" w:type="dxa"/>
            <w:vAlign w:val="center"/>
          </w:tcPr>
          <w:p w:rsidR="00CF5991" w:rsidRPr="002A7AC1" w:rsidRDefault="00CF5991" w:rsidP="00766FCB">
            <w:pPr>
              <w:pStyle w:val="Tabletext"/>
            </w:pPr>
            <w:r w:rsidRPr="002A7AC1">
              <w:t xml:space="preserve">Определение надлежащих технологий для использования в </w:t>
            </w:r>
            <w:r w:rsidR="00766FCB" w:rsidRPr="002A7AC1">
              <w:t>целях</w:t>
            </w:r>
            <w:r w:rsidRPr="002A7AC1">
              <w:t xml:space="preserve"> снижения риска бедствий и разработка технико-экономических обоснований осуществления, соответствия и функциональной совместимости в числе других технологий и услуг, базирующихся на технологии </w:t>
            </w:r>
            <w:proofErr w:type="spellStart"/>
            <w:r w:rsidRPr="002A7AC1">
              <w:t>IP</w:t>
            </w:r>
            <w:proofErr w:type="spellEnd"/>
            <w:r w:rsidRPr="002A7AC1">
              <w:t>, для электросвязи в чрезвычайных ситуациях.</w:t>
            </w:r>
          </w:p>
        </w:tc>
      </w:tr>
      <w:tr w:rsidR="00CF5991" w:rsidRPr="002A7AC1" w:rsidTr="007B1EFA">
        <w:tc>
          <w:tcPr>
            <w:tcW w:w="704" w:type="dxa"/>
            <w:vMerge/>
          </w:tcPr>
          <w:p w:rsidR="00CF5991" w:rsidRPr="002A7AC1" w:rsidRDefault="00CF5991" w:rsidP="00CF5991"/>
        </w:tc>
        <w:tc>
          <w:tcPr>
            <w:tcW w:w="709" w:type="dxa"/>
            <w:vAlign w:val="center"/>
          </w:tcPr>
          <w:p w:rsidR="00CF5991" w:rsidRPr="002A7AC1" w:rsidRDefault="00CF5991" w:rsidP="00CF5991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8227" w:type="dxa"/>
            <w:vAlign w:val="center"/>
          </w:tcPr>
          <w:p w:rsidR="00CF5991" w:rsidRPr="002A7AC1" w:rsidRDefault="00CF5991" w:rsidP="00766FCB">
            <w:pPr>
              <w:pStyle w:val="Tabletext"/>
            </w:pPr>
            <w:r w:rsidRPr="002A7AC1">
              <w:t>Внедрение национальных и субрегиональных систем раннего предупреждения, а также мер реагирования и восстановления и определение критической инфраструктуры, удел</w:t>
            </w:r>
            <w:r w:rsidR="00766FCB" w:rsidRPr="002A7AC1">
              <w:t>яя при этом</w:t>
            </w:r>
            <w:r w:rsidRPr="002A7AC1">
              <w:t xml:space="preserve"> особо</w:t>
            </w:r>
            <w:r w:rsidR="00766FCB" w:rsidRPr="002A7AC1">
              <w:t>е</w:t>
            </w:r>
            <w:r w:rsidRPr="002A7AC1">
              <w:t xml:space="preserve"> внимани</w:t>
            </w:r>
            <w:r w:rsidR="00766FCB" w:rsidRPr="002A7AC1">
              <w:t>е</w:t>
            </w:r>
            <w:r w:rsidRPr="002A7AC1">
              <w:t xml:space="preserve"> малым островным развивающимся государствам (</w:t>
            </w:r>
            <w:proofErr w:type="spellStart"/>
            <w:r w:rsidRPr="002A7AC1">
              <w:t>СИДС</w:t>
            </w:r>
            <w:proofErr w:type="spellEnd"/>
            <w:r w:rsidRPr="002A7AC1">
              <w:t>) и наименее развитым странам (</w:t>
            </w:r>
            <w:proofErr w:type="spellStart"/>
            <w:r w:rsidRPr="002A7AC1">
              <w:t>НРС</w:t>
            </w:r>
            <w:proofErr w:type="spellEnd"/>
            <w:r w:rsidRPr="002A7AC1">
              <w:t>) и уч</w:t>
            </w:r>
            <w:r w:rsidR="00766FCB" w:rsidRPr="002A7AC1">
              <w:t>итывая</w:t>
            </w:r>
            <w:r w:rsidRPr="002A7AC1">
              <w:t xml:space="preserve"> воздействия изменения климата.</w:t>
            </w:r>
          </w:p>
        </w:tc>
      </w:tr>
      <w:tr w:rsidR="00CF5991" w:rsidRPr="002A7AC1" w:rsidTr="007B1EFA">
        <w:tc>
          <w:tcPr>
            <w:tcW w:w="704" w:type="dxa"/>
            <w:vMerge/>
          </w:tcPr>
          <w:p w:rsidR="00CF5991" w:rsidRPr="002A7AC1" w:rsidRDefault="00CF5991" w:rsidP="00CF5991"/>
        </w:tc>
        <w:tc>
          <w:tcPr>
            <w:tcW w:w="709" w:type="dxa"/>
            <w:vAlign w:val="center"/>
          </w:tcPr>
          <w:p w:rsidR="00CF5991" w:rsidRPr="002A7AC1" w:rsidRDefault="00CF5991" w:rsidP="00CF5991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8227" w:type="dxa"/>
            <w:vAlign w:val="center"/>
          </w:tcPr>
          <w:p w:rsidR="00CF5991" w:rsidRPr="002A7AC1" w:rsidRDefault="00CF5991" w:rsidP="007B1EFA">
            <w:pPr>
              <w:pStyle w:val="Tabletext"/>
            </w:pPr>
            <w:r w:rsidRPr="002A7AC1">
              <w:t xml:space="preserve">Помощь в разработке соответствующих политических, регуляторных и законодательных основ, а также протоколов и </w:t>
            </w:r>
            <w:proofErr w:type="spellStart"/>
            <w:r w:rsidRPr="002A7AC1">
              <w:t>межучрежденческих</w:t>
            </w:r>
            <w:proofErr w:type="spellEnd"/>
            <w:r w:rsidRPr="002A7AC1">
              <w:t xml:space="preserve"> процедур для связи в рамках снижения риска бедствий на национальном и региональном уровнях.</w:t>
            </w:r>
          </w:p>
        </w:tc>
      </w:tr>
      <w:tr w:rsidR="00CF5991" w:rsidRPr="002A7AC1" w:rsidTr="007B1EFA">
        <w:tc>
          <w:tcPr>
            <w:tcW w:w="704" w:type="dxa"/>
            <w:vMerge/>
          </w:tcPr>
          <w:p w:rsidR="00CF5991" w:rsidRPr="002A7AC1" w:rsidRDefault="00CF5991" w:rsidP="00CF5991"/>
        </w:tc>
        <w:tc>
          <w:tcPr>
            <w:tcW w:w="709" w:type="dxa"/>
            <w:vAlign w:val="center"/>
          </w:tcPr>
          <w:p w:rsidR="00CF5991" w:rsidRPr="002A7AC1" w:rsidRDefault="00CF5991" w:rsidP="00CF5991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8227" w:type="dxa"/>
            <w:vAlign w:val="center"/>
          </w:tcPr>
          <w:p w:rsidR="00CF5991" w:rsidRPr="002A7AC1" w:rsidRDefault="00CF5991" w:rsidP="007B1EFA">
            <w:pPr>
              <w:pStyle w:val="Tabletext"/>
            </w:pPr>
            <w:r w:rsidRPr="002A7AC1">
              <w:t>Региональные собрания и семинары-практикумы с целью обмена опытом и видами передовой практики по электросвязи/ИКТ для профилактических мер по снижению риска бедствий и реагированию на чрезвычайные ситуации, максимального увеличения ресурсов, создания более инновационных и эффективных программ и координации действий в пограничных районах для региона Северной и Южной Америки.</w:t>
            </w:r>
          </w:p>
        </w:tc>
      </w:tr>
      <w:tr w:rsidR="00CF5991" w:rsidRPr="002A7AC1" w:rsidTr="007B1EFA">
        <w:tc>
          <w:tcPr>
            <w:tcW w:w="704" w:type="dxa"/>
            <w:vMerge/>
          </w:tcPr>
          <w:p w:rsidR="00CF5991" w:rsidRPr="002A7AC1" w:rsidRDefault="00CF5991" w:rsidP="00CF5991"/>
        </w:tc>
        <w:tc>
          <w:tcPr>
            <w:tcW w:w="709" w:type="dxa"/>
            <w:vAlign w:val="center"/>
          </w:tcPr>
          <w:p w:rsidR="00CF5991" w:rsidRPr="002A7AC1" w:rsidRDefault="00CF5991" w:rsidP="00CF5991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8227" w:type="dxa"/>
            <w:vAlign w:val="center"/>
          </w:tcPr>
          <w:p w:rsidR="00CF5991" w:rsidRPr="002A7AC1" w:rsidRDefault="00CF5991" w:rsidP="007B1EFA">
            <w:pPr>
              <w:pStyle w:val="Tabletext"/>
            </w:pPr>
            <w:r w:rsidRPr="002A7AC1">
              <w:rPr>
                <w:color w:val="000000"/>
              </w:rPr>
              <w:t xml:space="preserve">Временное наличие </w:t>
            </w:r>
            <w:r w:rsidRPr="002A7AC1">
              <w:t xml:space="preserve">оборудования для связи в чрезвычайных ситуациях и при восстановлении в регионе Северной и Южной Америки, на </w:t>
            </w:r>
            <w:r w:rsidRPr="002A7AC1">
              <w:rPr>
                <w:color w:val="000000"/>
              </w:rPr>
              <w:t>начальном этапе осуществления мероприятий по реагированию на бедствия в рамках сотрудничества с МСЭ в чрезвычайных ситуациях</w:t>
            </w:r>
            <w:r w:rsidRPr="002A7AC1">
              <w:t>.</w:t>
            </w:r>
          </w:p>
        </w:tc>
      </w:tr>
    </w:tbl>
    <w:p w:rsidR="00320BC1" w:rsidRDefault="00320BC1" w:rsidP="00B50753">
      <w:r>
        <w:br w:type="page"/>
      </w:r>
    </w:p>
    <w:p w:rsidR="00EB2EDA" w:rsidRPr="002A7AC1" w:rsidRDefault="00EB2EDA" w:rsidP="00B50753"/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CF5991" w:rsidRPr="002A7AC1" w:rsidTr="00761FF8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CF5991" w:rsidRPr="002A7AC1" w:rsidRDefault="00CF5991" w:rsidP="00CF5991">
            <w:pPr>
              <w:pStyle w:val="Tablehead"/>
            </w:pPr>
            <w:r w:rsidRPr="002A7AC1">
              <w:br w:type="page"/>
            </w:r>
            <w:proofErr w:type="spellStart"/>
            <w:r w:rsidRPr="002A7AC1">
              <w:t>РИ</w:t>
            </w:r>
            <w:proofErr w:type="spellEnd"/>
            <w:r w:rsidRPr="002A7AC1">
              <w:t xml:space="preserve"> 2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CF5991" w:rsidRPr="002A7AC1" w:rsidRDefault="00CF5991" w:rsidP="00074764">
            <w:pPr>
              <w:pStyle w:val="Tablehead"/>
              <w:jc w:val="left"/>
            </w:pPr>
            <w:r w:rsidRPr="002A7AC1">
              <w:t>Управление использованием спектра и переход на цифровое радиовещание</w:t>
            </w:r>
          </w:p>
        </w:tc>
      </w:tr>
      <w:tr w:rsidR="00CF5991" w:rsidRPr="002A7AC1" w:rsidTr="007B1EFA">
        <w:tc>
          <w:tcPr>
            <w:tcW w:w="1423" w:type="dxa"/>
            <w:gridSpan w:val="2"/>
            <w:vAlign w:val="center"/>
          </w:tcPr>
          <w:p w:rsidR="00CF5991" w:rsidRPr="002A7AC1" w:rsidRDefault="00CF5991" w:rsidP="00CF5991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217" w:type="dxa"/>
            <w:vAlign w:val="center"/>
          </w:tcPr>
          <w:p w:rsidR="00CF5991" w:rsidRPr="002A7AC1" w:rsidRDefault="00CF5991" w:rsidP="007B1EFA">
            <w:pPr>
              <w:pStyle w:val="Tabletext"/>
            </w:pPr>
            <w:r w:rsidRPr="002A7AC1">
              <w:rPr>
                <w:color w:val="000000"/>
              </w:rPr>
              <w:t>Предоставлять помощь Государствам-Членам в осуществлении перехода на цифровое радиовещание, использовании частот цифрового дивиденда и в управлении использованием спектра</w:t>
            </w:r>
            <w:r w:rsidRPr="002A7AC1">
              <w:t>.</w:t>
            </w:r>
          </w:p>
        </w:tc>
      </w:tr>
      <w:tr w:rsidR="00CF5991" w:rsidRPr="002A7AC1" w:rsidTr="007B1EFA">
        <w:tc>
          <w:tcPr>
            <w:tcW w:w="695" w:type="dxa"/>
            <w:vMerge w:val="restart"/>
            <w:textDirection w:val="btLr"/>
            <w:vAlign w:val="center"/>
          </w:tcPr>
          <w:p w:rsidR="00CF5991" w:rsidRPr="002A7AC1" w:rsidRDefault="00CF5991" w:rsidP="00CF5991">
            <w:pPr>
              <w:pStyle w:val="Tabletext"/>
              <w:jc w:val="center"/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CF5991" w:rsidRPr="002A7AC1" w:rsidRDefault="00CF5991" w:rsidP="00CF5991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8217" w:type="dxa"/>
            <w:vAlign w:val="center"/>
          </w:tcPr>
          <w:p w:rsidR="00CF5991" w:rsidRPr="002A7AC1" w:rsidRDefault="00CF5991" w:rsidP="007B1EFA">
            <w:pPr>
              <w:pStyle w:val="Tabletext"/>
            </w:pPr>
            <w:r w:rsidRPr="002A7AC1">
              <w:rPr>
                <w:color w:val="000000"/>
              </w:rPr>
              <w:t xml:space="preserve">Создание потенциала в области управления использованием спектра, технологий цифрового радиовещания и использования цифрового дивиденда и </w:t>
            </w:r>
            <w:proofErr w:type="gramStart"/>
            <w:r w:rsidRPr="002A7AC1">
              <w:rPr>
                <w:color w:val="000000"/>
              </w:rPr>
              <w:t>новых радиовещательных услуг</w:t>
            </w:r>
            <w:proofErr w:type="gramEnd"/>
            <w:r w:rsidRPr="002A7AC1">
              <w:rPr>
                <w:color w:val="000000"/>
              </w:rPr>
              <w:t xml:space="preserve"> и приложений, оказание содействия в использовании инструментов для поддержки развивающихся стран в совершенствовании международной координации наземных служб в пограничных районах</w:t>
            </w:r>
            <w:r w:rsidRPr="002A7AC1">
              <w:t>.</w:t>
            </w:r>
          </w:p>
        </w:tc>
      </w:tr>
      <w:tr w:rsidR="00CF5991" w:rsidRPr="002A7AC1" w:rsidTr="007B1EFA">
        <w:tc>
          <w:tcPr>
            <w:tcW w:w="695" w:type="dxa"/>
            <w:vMerge/>
          </w:tcPr>
          <w:p w:rsidR="00CF5991" w:rsidRPr="002A7AC1" w:rsidRDefault="00CF5991" w:rsidP="00CF5991"/>
        </w:tc>
        <w:tc>
          <w:tcPr>
            <w:tcW w:w="728" w:type="dxa"/>
            <w:vAlign w:val="center"/>
          </w:tcPr>
          <w:p w:rsidR="00CF5991" w:rsidRPr="002A7AC1" w:rsidRDefault="00CF5991" w:rsidP="00CF5991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8217" w:type="dxa"/>
            <w:vAlign w:val="center"/>
          </w:tcPr>
          <w:p w:rsidR="00CF5991" w:rsidRPr="002A7AC1" w:rsidRDefault="00CF5991" w:rsidP="007B1EFA">
            <w:pPr>
              <w:pStyle w:val="Tabletext"/>
            </w:pPr>
            <w:r w:rsidRPr="002A7AC1">
              <w:rPr>
                <w:color w:val="000000"/>
              </w:rPr>
              <w:t>Поддержка разработки планов по управлению использованием спектра на национальном и региональном уровнях, включая переход на цифровое радиовещание и продвижение политики по использованию спектра в районах, обслуживаемых в недостаточной степени</w:t>
            </w:r>
            <w:r w:rsidRPr="002A7AC1">
              <w:t>.</w:t>
            </w:r>
          </w:p>
        </w:tc>
      </w:tr>
      <w:tr w:rsidR="00CF5991" w:rsidRPr="002A7AC1" w:rsidTr="007B1EFA">
        <w:tc>
          <w:tcPr>
            <w:tcW w:w="695" w:type="dxa"/>
            <w:vMerge/>
          </w:tcPr>
          <w:p w:rsidR="00CF5991" w:rsidRPr="002A7AC1" w:rsidRDefault="00CF5991" w:rsidP="00CF5991"/>
        </w:tc>
        <w:tc>
          <w:tcPr>
            <w:tcW w:w="728" w:type="dxa"/>
            <w:vAlign w:val="center"/>
          </w:tcPr>
          <w:p w:rsidR="00CF5991" w:rsidRPr="002A7AC1" w:rsidRDefault="00CF5991" w:rsidP="00CF5991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8217" w:type="dxa"/>
            <w:vAlign w:val="center"/>
          </w:tcPr>
          <w:p w:rsidR="00CF5991" w:rsidRPr="002A7AC1" w:rsidRDefault="00CF5991" w:rsidP="00B50753">
            <w:pPr>
              <w:pStyle w:val="Tabletext"/>
              <w:keepNext/>
              <w:keepLines/>
            </w:pPr>
            <w:r w:rsidRPr="002A7AC1">
              <w:rPr>
                <w:color w:val="000000"/>
              </w:rPr>
              <w:t>Разработка исследований, показателей и руководящих указаний по аспектам присвоения и использования радиочастотного спектра, с целью, в том числе, содействия использованию спектра для Международной подвижной электросвязи и согласования использования спектра между странами региона, с учетом Резолюции 9 (</w:t>
            </w:r>
            <w:proofErr w:type="spellStart"/>
            <w:r w:rsidRPr="002A7AC1">
              <w:rPr>
                <w:color w:val="000000"/>
              </w:rPr>
              <w:t>Пересм</w:t>
            </w:r>
            <w:proofErr w:type="spellEnd"/>
            <w:r w:rsidRPr="002A7AC1">
              <w:rPr>
                <w:color w:val="000000"/>
              </w:rPr>
              <w:t>. Дубай, 2014 г.) Всемирной конференции по развитию электросвязи.</w:t>
            </w:r>
          </w:p>
        </w:tc>
      </w:tr>
      <w:tr w:rsidR="00CF5991" w:rsidRPr="002A7AC1" w:rsidTr="007B1EFA">
        <w:tc>
          <w:tcPr>
            <w:tcW w:w="695" w:type="dxa"/>
            <w:vMerge/>
          </w:tcPr>
          <w:p w:rsidR="00CF5991" w:rsidRPr="002A7AC1" w:rsidRDefault="00CF5991" w:rsidP="00CF5991"/>
        </w:tc>
        <w:tc>
          <w:tcPr>
            <w:tcW w:w="728" w:type="dxa"/>
            <w:vAlign w:val="center"/>
          </w:tcPr>
          <w:p w:rsidR="00CF5991" w:rsidRPr="002A7AC1" w:rsidRDefault="00CF5991" w:rsidP="00CF5991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8217" w:type="dxa"/>
            <w:vAlign w:val="center"/>
          </w:tcPr>
          <w:p w:rsidR="00CF5991" w:rsidRPr="002A7AC1" w:rsidRDefault="00CF5991" w:rsidP="007B1EFA">
            <w:pPr>
              <w:pStyle w:val="Tabletext"/>
              <w:keepNext/>
              <w:keepLines/>
            </w:pPr>
            <w:r w:rsidRPr="002A7AC1">
              <w:t xml:space="preserve">Помощь странам в популяризации всеобъемлющих стратегий, связанных с </w:t>
            </w:r>
            <w:proofErr w:type="spellStart"/>
            <w:r w:rsidRPr="002A7AC1">
              <w:t>цифровизацией</w:t>
            </w:r>
            <w:proofErr w:type="spellEnd"/>
            <w:r w:rsidRPr="002A7AC1">
              <w:t xml:space="preserve"> радиовещательных служб, включая наличие приемлемых в ценовом отношении цифровых радиоприемников, а также стратегии информационной работы для просвещения и повышения осведомленности потребителей.</w:t>
            </w:r>
          </w:p>
        </w:tc>
      </w:tr>
      <w:tr w:rsidR="00CF5991" w:rsidRPr="002A7AC1" w:rsidTr="007B1EFA">
        <w:tc>
          <w:tcPr>
            <w:tcW w:w="695" w:type="dxa"/>
            <w:vMerge/>
          </w:tcPr>
          <w:p w:rsidR="00CF5991" w:rsidRPr="002A7AC1" w:rsidRDefault="00CF5991" w:rsidP="00CF5991"/>
        </w:tc>
        <w:tc>
          <w:tcPr>
            <w:tcW w:w="728" w:type="dxa"/>
            <w:vAlign w:val="center"/>
          </w:tcPr>
          <w:p w:rsidR="00CF5991" w:rsidRPr="002A7AC1" w:rsidRDefault="00CF5991" w:rsidP="00CF5991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8217" w:type="dxa"/>
            <w:vAlign w:val="center"/>
          </w:tcPr>
          <w:p w:rsidR="00CF5991" w:rsidRPr="002A7AC1" w:rsidRDefault="00CF5991" w:rsidP="007B1EFA">
            <w:pPr>
              <w:pStyle w:val="Tabletext"/>
            </w:pPr>
            <w:r w:rsidRPr="002A7AC1">
              <w:t>Помощь в планировании на национальном и региональном уровнях для использования частот, высвобождающихся при переходе к цифровому радиовещанию, и в развертывании новых технологий для радиовещательных служб.</w:t>
            </w:r>
          </w:p>
        </w:tc>
      </w:tr>
    </w:tbl>
    <w:p w:rsidR="00320BC1" w:rsidRDefault="00320BC1" w:rsidP="00944635">
      <w:r>
        <w:br w:type="page"/>
      </w:r>
    </w:p>
    <w:p w:rsidR="00EB2EDA" w:rsidRPr="002A7AC1" w:rsidRDefault="00EB2EDA" w:rsidP="00944635"/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074764" w:rsidRPr="002A7AC1" w:rsidTr="00761FF8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074764" w:rsidRPr="002A7AC1" w:rsidRDefault="00074764" w:rsidP="001F3B23">
            <w:pPr>
              <w:pStyle w:val="Tablehead"/>
            </w:pPr>
            <w:proofErr w:type="spellStart"/>
            <w:r w:rsidRPr="002A7AC1">
              <w:t>РИ</w:t>
            </w:r>
            <w:proofErr w:type="spellEnd"/>
            <w:r w:rsidRPr="002A7AC1">
              <w:t xml:space="preserve"> 3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074764" w:rsidRPr="002A7AC1" w:rsidRDefault="00074764" w:rsidP="00074764">
            <w:pPr>
              <w:pStyle w:val="Tablehead"/>
              <w:jc w:val="left"/>
            </w:pPr>
            <w:r w:rsidRPr="002A7AC1">
              <w:rPr>
                <w:color w:val="000000"/>
              </w:rPr>
              <w:t>Развертывание инфраструктуры широкополосной связи,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</w:t>
            </w:r>
          </w:p>
        </w:tc>
      </w:tr>
      <w:tr w:rsidR="00074764" w:rsidRPr="002A7AC1" w:rsidTr="007B1EFA">
        <w:tc>
          <w:tcPr>
            <w:tcW w:w="1423" w:type="dxa"/>
            <w:gridSpan w:val="2"/>
            <w:vAlign w:val="center"/>
          </w:tcPr>
          <w:p w:rsidR="00074764" w:rsidRPr="002A7AC1" w:rsidRDefault="00074764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217" w:type="dxa"/>
            <w:vAlign w:val="center"/>
          </w:tcPr>
          <w:p w:rsidR="00074764" w:rsidRPr="002A7AC1" w:rsidRDefault="00074764" w:rsidP="007B1EFA">
            <w:pPr>
              <w:pStyle w:val="Tabletext"/>
            </w:pPr>
            <w:r w:rsidRPr="002A7AC1">
              <w:t xml:space="preserve">Оказывать помощь Государствам-Членам в определении потребностей и в разработке политики, механизмов и регуляторных инициатив для сокращения цифрового разрыва посредством увеличения широкополосного доступа и распространения широкополосной связи как способа достижения </w:t>
            </w:r>
            <w:proofErr w:type="spellStart"/>
            <w:r w:rsidRPr="002A7AC1">
              <w:t>ЦУР</w:t>
            </w:r>
            <w:proofErr w:type="spellEnd"/>
            <w:r w:rsidRPr="002A7AC1">
              <w:t>.</w:t>
            </w:r>
          </w:p>
        </w:tc>
      </w:tr>
      <w:tr w:rsidR="00074764" w:rsidRPr="002A7AC1" w:rsidTr="007B1EFA">
        <w:tc>
          <w:tcPr>
            <w:tcW w:w="695" w:type="dxa"/>
            <w:vMerge w:val="restart"/>
            <w:textDirection w:val="btLr"/>
            <w:vAlign w:val="center"/>
          </w:tcPr>
          <w:p w:rsidR="00074764" w:rsidRPr="002A7AC1" w:rsidRDefault="00074764" w:rsidP="001F3B23">
            <w:pPr>
              <w:pStyle w:val="Tabletext"/>
              <w:jc w:val="center"/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074764" w:rsidRPr="002A7AC1" w:rsidRDefault="00074764" w:rsidP="001F3B23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8217" w:type="dxa"/>
            <w:vAlign w:val="center"/>
          </w:tcPr>
          <w:p w:rsidR="00074764" w:rsidRPr="002A7AC1" w:rsidRDefault="00074764" w:rsidP="007B1EFA">
            <w:pPr>
              <w:pStyle w:val="Tabletext"/>
            </w:pPr>
            <w:r w:rsidRPr="002A7AC1">
              <w:t>Помощь в разработке ситуационного исследования по развертыванию широкополосной инфраструктуры для фиксированной и подвижной служб и использованию спектра, которое даст администрациям возможность определять потребности и перспективы, в особенности в</w:t>
            </w:r>
            <w:r w:rsidRPr="002A7AC1">
              <w:rPr>
                <w:color w:val="000000"/>
              </w:rPr>
              <w:t xml:space="preserve"> сельских районах и районах, развитию которых уделялось недостаточно внимания, учитывая конкретные субрегиональные характеристики</w:t>
            </w:r>
            <w:r w:rsidRPr="002A7AC1">
              <w:t>.</w:t>
            </w:r>
          </w:p>
        </w:tc>
      </w:tr>
      <w:tr w:rsidR="00074764" w:rsidRPr="002A7AC1" w:rsidTr="007B1EFA">
        <w:tc>
          <w:tcPr>
            <w:tcW w:w="695" w:type="dxa"/>
            <w:vMerge/>
            <w:vAlign w:val="center"/>
          </w:tcPr>
          <w:p w:rsidR="00074764" w:rsidRPr="002A7AC1" w:rsidRDefault="00074764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:rsidR="00074764" w:rsidRPr="002A7AC1" w:rsidRDefault="00074764" w:rsidP="001F3B23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8217" w:type="dxa"/>
            <w:vAlign w:val="center"/>
          </w:tcPr>
          <w:p w:rsidR="00074764" w:rsidRPr="002A7AC1" w:rsidRDefault="00074764" w:rsidP="007B1EFA">
            <w:pPr>
              <w:pStyle w:val="Tabletext"/>
            </w:pPr>
            <w:r w:rsidRPr="002A7AC1">
              <w:t>Помощь в осуществлении или совершенствовании национальных планов покрытия широкополосной связью; включая поддержку учебных заведений, передовых сетей, научно-исследовательских центров, кооперативов и некоммерческих организаций, которые оказывают услуги электросвязи, в особенности в сельских, отдаленных и обсуживаемых в недостаточной степени районах, учитывая механизмы доступа к спектру и высокоскоростным сетям, а также содействуя созданию благоприятной обстановки для способствования инвестициям в сети.</w:t>
            </w:r>
          </w:p>
        </w:tc>
      </w:tr>
      <w:tr w:rsidR="00074764" w:rsidRPr="002A7AC1" w:rsidTr="007B1EFA">
        <w:tc>
          <w:tcPr>
            <w:tcW w:w="695" w:type="dxa"/>
            <w:vMerge/>
            <w:vAlign w:val="center"/>
          </w:tcPr>
          <w:p w:rsidR="00074764" w:rsidRPr="002A7AC1" w:rsidRDefault="00074764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:rsidR="00074764" w:rsidRPr="002A7AC1" w:rsidRDefault="00074764" w:rsidP="001F3B23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8217" w:type="dxa"/>
            <w:vAlign w:val="center"/>
          </w:tcPr>
          <w:p w:rsidR="00074764" w:rsidRPr="002A7AC1" w:rsidRDefault="00074764" w:rsidP="007B1EFA">
            <w:pPr>
              <w:pStyle w:val="Tabletext"/>
            </w:pPr>
            <w:r w:rsidRPr="002A7AC1">
              <w:t>Разработка показателей и методик для измерения условий широкополосных служб, использования государственных и частных инвестиций, партнерств с участием государственного и частного секторов и участия небольших</w:t>
            </w:r>
            <w:r w:rsidR="002218D3" w:rsidRPr="002A7AC1">
              <w:t xml:space="preserve"> и некоммерческих операторов, в </w:t>
            </w:r>
            <w:r w:rsidRPr="002A7AC1">
              <w:t>особенности в развивающихся странах, не имеющих выхода к морю (</w:t>
            </w:r>
            <w:proofErr w:type="spellStart"/>
            <w:r w:rsidRPr="002A7AC1">
              <w:t>ЛЛДС</w:t>
            </w:r>
            <w:proofErr w:type="spellEnd"/>
            <w:r w:rsidRPr="002A7AC1">
              <w:t>), и малых островных развивающихся государствах (</w:t>
            </w:r>
            <w:proofErr w:type="spellStart"/>
            <w:r w:rsidRPr="002A7AC1">
              <w:t>СИДС</w:t>
            </w:r>
            <w:proofErr w:type="spellEnd"/>
            <w:r w:rsidRPr="002A7AC1">
              <w:t>).</w:t>
            </w:r>
          </w:p>
        </w:tc>
      </w:tr>
      <w:tr w:rsidR="00074764" w:rsidRPr="002A7AC1" w:rsidTr="007B1EFA">
        <w:tc>
          <w:tcPr>
            <w:tcW w:w="695" w:type="dxa"/>
            <w:vMerge/>
            <w:vAlign w:val="center"/>
          </w:tcPr>
          <w:p w:rsidR="00074764" w:rsidRPr="002A7AC1" w:rsidRDefault="00074764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:rsidR="00074764" w:rsidRPr="002A7AC1" w:rsidRDefault="00074764" w:rsidP="001F3B23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8217" w:type="dxa"/>
            <w:vAlign w:val="center"/>
          </w:tcPr>
          <w:p w:rsidR="00074764" w:rsidRPr="002A7AC1" w:rsidRDefault="00074764" w:rsidP="007B1EFA">
            <w:pPr>
              <w:pStyle w:val="Tabletext"/>
            </w:pPr>
            <w:r w:rsidRPr="002A7AC1">
              <w:t>Помощь в осуществлении планов, которые способствуют доступу к ИКТ в населенных пунктах, посредством концепции цифровых/"умных" городов, и в учреждениях социальных услуг общего пользования, а также расширение доступа населения к ИКТ и их использование, в особенности в сельских и обслуживаемых в недостаточной степени районах, для содействия доступу к социальным услугам.</w:t>
            </w:r>
          </w:p>
        </w:tc>
      </w:tr>
      <w:tr w:rsidR="00074764" w:rsidRPr="002A7AC1" w:rsidTr="007B1EFA">
        <w:tc>
          <w:tcPr>
            <w:tcW w:w="695" w:type="dxa"/>
            <w:vMerge/>
            <w:vAlign w:val="center"/>
          </w:tcPr>
          <w:p w:rsidR="00074764" w:rsidRPr="002A7AC1" w:rsidRDefault="00074764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:rsidR="00074764" w:rsidRPr="002A7AC1" w:rsidRDefault="00074764" w:rsidP="001F3B23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8217" w:type="dxa"/>
            <w:vAlign w:val="center"/>
          </w:tcPr>
          <w:p w:rsidR="00074764" w:rsidRPr="002A7AC1" w:rsidRDefault="00074764" w:rsidP="007B1EFA">
            <w:pPr>
              <w:pStyle w:val="Tabletext"/>
            </w:pPr>
            <w:r w:rsidRPr="002A7AC1">
              <w:t>Консолидация и распространение информации, в том числе на собраниях и семинарах-практикумах, по стандартам, соответствию и функциональной совместимости и обмен передовым опытом, касающимся развертывания и экспл</w:t>
            </w:r>
            <w:r w:rsidR="002218D3" w:rsidRPr="002A7AC1">
              <w:t>уатации широкополосных сетей, в </w:t>
            </w:r>
            <w:r w:rsidRPr="002A7AC1">
              <w:t>особенности в сельских районах, а также возможн</w:t>
            </w:r>
            <w:r w:rsidR="002218D3" w:rsidRPr="002A7AC1">
              <w:t>ости установления соединений, с </w:t>
            </w:r>
            <w:proofErr w:type="spellStart"/>
            <w:r w:rsidRPr="002A7AC1">
              <w:t>уделением</w:t>
            </w:r>
            <w:proofErr w:type="spellEnd"/>
            <w:r w:rsidRPr="002A7AC1">
              <w:t xml:space="preserve"> особого внимания </w:t>
            </w:r>
            <w:proofErr w:type="spellStart"/>
            <w:r w:rsidRPr="002A7AC1">
              <w:t>НРС</w:t>
            </w:r>
            <w:proofErr w:type="spellEnd"/>
            <w:r w:rsidRPr="002A7AC1">
              <w:t xml:space="preserve">, </w:t>
            </w:r>
            <w:proofErr w:type="spellStart"/>
            <w:r w:rsidRPr="002A7AC1">
              <w:t>ЛЛДС</w:t>
            </w:r>
            <w:proofErr w:type="spellEnd"/>
            <w:r w:rsidRPr="002A7AC1">
              <w:t xml:space="preserve"> и </w:t>
            </w:r>
            <w:proofErr w:type="spellStart"/>
            <w:r w:rsidRPr="002A7AC1">
              <w:t>СИДС</w:t>
            </w:r>
            <w:proofErr w:type="spellEnd"/>
            <w:r w:rsidRPr="002A7AC1">
              <w:t>.</w:t>
            </w:r>
          </w:p>
        </w:tc>
      </w:tr>
    </w:tbl>
    <w:p w:rsidR="002218D3" w:rsidRPr="002A7AC1" w:rsidRDefault="002218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A7AC1">
        <w:br w:type="page"/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2218D3" w:rsidRPr="002A7AC1" w:rsidTr="00761FF8">
        <w:trPr>
          <w:tblHeader/>
        </w:trPr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2218D3" w:rsidRPr="002A7AC1" w:rsidRDefault="002218D3" w:rsidP="001F3B23">
            <w:pPr>
              <w:pStyle w:val="Tablehead"/>
            </w:pPr>
            <w:r w:rsidRPr="002A7AC1">
              <w:lastRenderedPageBreak/>
              <w:br w:type="page"/>
            </w:r>
            <w:proofErr w:type="spellStart"/>
            <w:r w:rsidRPr="002A7AC1">
              <w:t>РИ</w:t>
            </w:r>
            <w:proofErr w:type="spellEnd"/>
            <w:r w:rsidRPr="002A7AC1">
              <w:t xml:space="preserve"> 4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2218D3" w:rsidRPr="002A7AC1" w:rsidRDefault="002218D3" w:rsidP="002218D3">
            <w:pPr>
              <w:pStyle w:val="Tablehead"/>
              <w:jc w:val="left"/>
            </w:pPr>
            <w:r w:rsidRPr="002A7AC1">
              <w:rPr>
                <w:color w:val="000000"/>
              </w:rPr>
              <w:t>Доступность и приемлемость в ценовом отношении в интересах открытого для всех и устойчивого региона Северной и Южной Америки</w:t>
            </w:r>
          </w:p>
        </w:tc>
      </w:tr>
      <w:tr w:rsidR="002218D3" w:rsidRPr="002A7AC1" w:rsidTr="007B1EFA">
        <w:tc>
          <w:tcPr>
            <w:tcW w:w="1423" w:type="dxa"/>
            <w:gridSpan w:val="2"/>
            <w:tcMar>
              <w:right w:w="57" w:type="dxa"/>
            </w:tcMar>
            <w:vAlign w:val="center"/>
          </w:tcPr>
          <w:p w:rsidR="002218D3" w:rsidRPr="002A7AC1" w:rsidRDefault="002218D3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217" w:type="dxa"/>
            <w:tcMar>
              <w:right w:w="57" w:type="dxa"/>
            </w:tcMar>
            <w:vAlign w:val="center"/>
          </w:tcPr>
          <w:p w:rsidR="002218D3" w:rsidRPr="002A7AC1" w:rsidRDefault="002218D3" w:rsidP="007B1EFA">
            <w:pPr>
              <w:pStyle w:val="Tabletext"/>
            </w:pPr>
            <w:r w:rsidRPr="002A7AC1">
              <w:t>Оказывать Государствам-Членам помощь в обеспечении приемлемости услуг электросвязи/ИКТ в ценовом отношении для построения информационного общества для всех и в обеспечении доступности электросвязи/ИКТ для лиц с ограниченными возможностями и других лиц, находящихся в уязвимом положении.</w:t>
            </w:r>
          </w:p>
        </w:tc>
      </w:tr>
      <w:tr w:rsidR="002218D3" w:rsidRPr="002A7AC1" w:rsidTr="007B1EFA">
        <w:tc>
          <w:tcPr>
            <w:tcW w:w="695" w:type="dxa"/>
            <w:vMerge w:val="restart"/>
            <w:tcMar>
              <w:right w:w="57" w:type="dxa"/>
            </w:tcMar>
            <w:textDirection w:val="btLr"/>
            <w:vAlign w:val="center"/>
          </w:tcPr>
          <w:p w:rsidR="002218D3" w:rsidRPr="002A7AC1" w:rsidRDefault="002218D3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tcMar>
              <w:right w:w="57" w:type="dxa"/>
            </w:tcMar>
            <w:vAlign w:val="center"/>
          </w:tcPr>
          <w:p w:rsidR="002218D3" w:rsidRPr="002A7AC1" w:rsidRDefault="002218D3" w:rsidP="001F3B23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8217" w:type="dxa"/>
            <w:tcMar>
              <w:right w:w="57" w:type="dxa"/>
            </w:tcMar>
            <w:vAlign w:val="center"/>
          </w:tcPr>
          <w:p w:rsidR="002218D3" w:rsidRPr="002A7AC1" w:rsidRDefault="002218D3" w:rsidP="007B1EFA">
            <w:pPr>
              <w:pStyle w:val="Tabletext"/>
            </w:pPr>
            <w:r w:rsidRPr="002A7AC1">
              <w:t>Помощь в разработке руководящих указаний и государственной политики для содействия эффективности в предоставлении услуг электросвязи/ИКТ и их доступности, в особенности услуг подвижной связи и связи в чрезвычайных ситуациях, также учитывая, в том числе, использование инструментов аудиовизуальной доступности.</w:t>
            </w:r>
          </w:p>
        </w:tc>
      </w:tr>
      <w:tr w:rsidR="002218D3" w:rsidRPr="002A7AC1" w:rsidTr="007B1EFA">
        <w:tc>
          <w:tcPr>
            <w:tcW w:w="695" w:type="dxa"/>
            <w:vMerge/>
            <w:tcMar>
              <w:right w:w="57" w:type="dxa"/>
            </w:tcMar>
            <w:vAlign w:val="center"/>
          </w:tcPr>
          <w:p w:rsidR="002218D3" w:rsidRPr="002A7AC1" w:rsidRDefault="002218D3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tcMar>
              <w:right w:w="57" w:type="dxa"/>
            </w:tcMar>
            <w:vAlign w:val="center"/>
          </w:tcPr>
          <w:p w:rsidR="002218D3" w:rsidRPr="002A7AC1" w:rsidRDefault="002218D3" w:rsidP="001F3B23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8217" w:type="dxa"/>
            <w:tcMar>
              <w:right w:w="57" w:type="dxa"/>
            </w:tcMar>
            <w:vAlign w:val="center"/>
          </w:tcPr>
          <w:p w:rsidR="002218D3" w:rsidRPr="002A7AC1" w:rsidRDefault="002218D3" w:rsidP="007B1EFA">
            <w:pPr>
              <w:pStyle w:val="Tabletext"/>
            </w:pPr>
            <w:r w:rsidRPr="002A7AC1">
              <w:t>Помощь в осуществлении рекомендаций для содействия повышению приемлемости широкополосной связи в ценовом отношении; анализ различных факторов и рекомендаций по мерам для содействия развитию и управлению, в зависимости от случая, национальными, субрегиональными и региональными пунктами обмена трафиком интернета (</w:t>
            </w:r>
            <w:proofErr w:type="spellStart"/>
            <w:r w:rsidRPr="002A7AC1">
              <w:t>IXP</w:t>
            </w:r>
            <w:proofErr w:type="spellEnd"/>
            <w:r w:rsidRPr="002A7AC1">
              <w:t xml:space="preserve">), в зависимости от решения, принятого на национальном уровне, и в зависимости от политических и регуляторных аспектов содействия осуществлению соглашения и формирования альянсов по </w:t>
            </w:r>
            <w:proofErr w:type="spellStart"/>
            <w:r w:rsidRPr="002A7AC1">
              <w:t>IXP</w:t>
            </w:r>
            <w:proofErr w:type="spellEnd"/>
            <w:r w:rsidRPr="002A7AC1">
              <w:t xml:space="preserve">, наряду с рекомендациями по совершенствованию доступности транспортирования к точкам соединения международных подводных волоконно-оптических сетей, в особенности для </w:t>
            </w:r>
            <w:proofErr w:type="spellStart"/>
            <w:r w:rsidRPr="002A7AC1">
              <w:t>ЛЛДС</w:t>
            </w:r>
            <w:proofErr w:type="spellEnd"/>
            <w:r w:rsidRPr="002A7AC1">
              <w:t xml:space="preserve"> и </w:t>
            </w:r>
            <w:proofErr w:type="spellStart"/>
            <w:r w:rsidRPr="002A7AC1">
              <w:t>СИДС</w:t>
            </w:r>
            <w:proofErr w:type="spellEnd"/>
            <w:r w:rsidRPr="002A7AC1">
              <w:t>.</w:t>
            </w:r>
          </w:p>
        </w:tc>
      </w:tr>
      <w:tr w:rsidR="002218D3" w:rsidRPr="002A7AC1" w:rsidTr="007B1EFA">
        <w:tc>
          <w:tcPr>
            <w:tcW w:w="695" w:type="dxa"/>
            <w:vMerge/>
            <w:tcMar>
              <w:right w:w="57" w:type="dxa"/>
            </w:tcMar>
            <w:vAlign w:val="center"/>
          </w:tcPr>
          <w:p w:rsidR="002218D3" w:rsidRPr="002A7AC1" w:rsidRDefault="002218D3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tcMar>
              <w:right w:w="57" w:type="dxa"/>
            </w:tcMar>
            <w:vAlign w:val="center"/>
          </w:tcPr>
          <w:p w:rsidR="002218D3" w:rsidRPr="002A7AC1" w:rsidRDefault="002218D3" w:rsidP="001F3B23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8217" w:type="dxa"/>
            <w:tcMar>
              <w:right w:w="57" w:type="dxa"/>
            </w:tcMar>
            <w:vAlign w:val="center"/>
          </w:tcPr>
          <w:p w:rsidR="002218D3" w:rsidRPr="002A7AC1" w:rsidRDefault="002218D3" w:rsidP="007B1EFA">
            <w:pPr>
              <w:pStyle w:val="Tabletext"/>
            </w:pPr>
            <w:r w:rsidRPr="002A7AC1">
              <w:t>Исследования уровней приемлемости в ценовом отношении в странах, в разбивке по социально-экономическим переменным и с учетом особых и уязвимых групп населения, для включения в планы, направления политики, стратегии, действия и цели в области широкополосной связи для этих групп населения, наряду с рекомендациями, основанными на исследовании направлений политики и инициатив, которые делают возможным снижение расценок на услуги электросвязи/ИКТ, развертывание широкополосной связи и эффективное использование спектра.</w:t>
            </w:r>
          </w:p>
        </w:tc>
      </w:tr>
      <w:tr w:rsidR="002218D3" w:rsidRPr="002A7AC1" w:rsidTr="007B1EFA">
        <w:tc>
          <w:tcPr>
            <w:tcW w:w="695" w:type="dxa"/>
            <w:vMerge/>
            <w:tcMar>
              <w:right w:w="57" w:type="dxa"/>
            </w:tcMar>
            <w:vAlign w:val="center"/>
          </w:tcPr>
          <w:p w:rsidR="002218D3" w:rsidRPr="002A7AC1" w:rsidRDefault="002218D3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tcMar>
              <w:right w:w="57" w:type="dxa"/>
            </w:tcMar>
            <w:vAlign w:val="center"/>
          </w:tcPr>
          <w:p w:rsidR="002218D3" w:rsidRPr="002A7AC1" w:rsidRDefault="002218D3" w:rsidP="001F3B23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8217" w:type="dxa"/>
            <w:tcMar>
              <w:right w:w="57" w:type="dxa"/>
            </w:tcMar>
            <w:vAlign w:val="center"/>
          </w:tcPr>
          <w:p w:rsidR="002218D3" w:rsidRPr="002A7AC1" w:rsidRDefault="002218D3" w:rsidP="007B1EFA">
            <w:pPr>
              <w:pStyle w:val="Tabletext"/>
            </w:pPr>
            <w:r w:rsidRPr="002A7AC1">
              <w:t>Рекомендация направлений политики, которые способствуют созданию благоприятной обстановки для полноценного применения доступа к услугам электросвязи/ИКТ и их использования всеми в полном масштабе; посредством осуществления проектов в сфере ИКТ на местном/национальном уровне для ликвидации неравенства в образовании на всех уровнях и в профессиональной подготовке, разработки платформ для обеспечения услуг связи и ретрансляции для лиц с ограниченными возможностями, разработки доступных веб</w:t>
            </w:r>
            <w:r w:rsidR="008F2AC7" w:rsidRPr="002A7AC1">
              <w:noBreakHyphen/>
            </w:r>
            <w:r w:rsidRPr="002A7AC1">
              <w:t>сайтов для государственных программ, услуг и информации, а также реализации государственных услуг и других услуг.</w:t>
            </w:r>
          </w:p>
        </w:tc>
      </w:tr>
      <w:tr w:rsidR="002218D3" w:rsidRPr="002A7AC1" w:rsidTr="007B1EFA">
        <w:tc>
          <w:tcPr>
            <w:tcW w:w="695" w:type="dxa"/>
            <w:vMerge/>
            <w:tcMar>
              <w:right w:w="57" w:type="dxa"/>
            </w:tcMar>
            <w:vAlign w:val="center"/>
          </w:tcPr>
          <w:p w:rsidR="002218D3" w:rsidRPr="002A7AC1" w:rsidRDefault="002218D3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tcMar>
              <w:right w:w="57" w:type="dxa"/>
            </w:tcMar>
            <w:vAlign w:val="center"/>
          </w:tcPr>
          <w:p w:rsidR="002218D3" w:rsidRPr="002A7AC1" w:rsidRDefault="002218D3" w:rsidP="001F3B23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8217" w:type="dxa"/>
            <w:tcMar>
              <w:right w:w="57" w:type="dxa"/>
            </w:tcMar>
            <w:vAlign w:val="center"/>
          </w:tcPr>
          <w:p w:rsidR="002218D3" w:rsidRPr="002A7AC1" w:rsidRDefault="002218D3" w:rsidP="007B1EFA">
            <w:pPr>
              <w:pStyle w:val="Tabletext"/>
            </w:pPr>
            <w:r w:rsidRPr="002A7AC1">
              <w:t>Рекомендации по мерам для содействия сотрудничеству и совместному использованию информации по всем темам, касающимся государственной и регуляторной политики, которая повышает приемлемость в ценовом отношении услуг электросвязи и широкополосной связи.</w:t>
            </w:r>
          </w:p>
        </w:tc>
      </w:tr>
    </w:tbl>
    <w:p w:rsidR="00320BC1" w:rsidRDefault="00320BC1" w:rsidP="00EB2EDA">
      <w:r>
        <w:br w:type="page"/>
      </w:r>
    </w:p>
    <w:p w:rsidR="00584F07" w:rsidRPr="002A7AC1" w:rsidRDefault="00584F07" w:rsidP="00EB2EDA"/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584F07" w:rsidRPr="002A7AC1" w:rsidTr="00584F07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584F07" w:rsidRPr="002A7AC1" w:rsidRDefault="00584F07" w:rsidP="001F3B23">
            <w:pPr>
              <w:pStyle w:val="Tablehead"/>
            </w:pPr>
            <w:proofErr w:type="spellStart"/>
            <w:r w:rsidRPr="002A7AC1">
              <w:t>РИ</w:t>
            </w:r>
            <w:proofErr w:type="spellEnd"/>
            <w:r w:rsidRPr="002A7AC1">
              <w:br w:type="page"/>
              <w:t xml:space="preserve"> 5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584F07" w:rsidRPr="002A7AC1" w:rsidRDefault="00584F07" w:rsidP="00584F07">
            <w:pPr>
              <w:pStyle w:val="Tablehead"/>
              <w:jc w:val="left"/>
            </w:pPr>
            <w:r w:rsidRPr="002A7AC1">
              <w:t>Развитие цифровой экономики, "умных" городов и сообществ (</w:t>
            </w:r>
            <w:proofErr w:type="spellStart"/>
            <w:r w:rsidRPr="002A7AC1">
              <w:t>SCC</w:t>
            </w:r>
            <w:proofErr w:type="spellEnd"/>
            <w:r w:rsidRPr="002A7AC1">
              <w:t>) и интернета вещей</w:t>
            </w:r>
            <w:r w:rsidR="008F2AC7" w:rsidRPr="002A7AC1">
              <w:t> </w:t>
            </w:r>
            <w:r w:rsidRPr="002A7AC1">
              <w:t>(</w:t>
            </w:r>
            <w:proofErr w:type="spellStart"/>
            <w:r w:rsidRPr="002A7AC1">
              <w:t>IoT</w:t>
            </w:r>
            <w:proofErr w:type="spellEnd"/>
            <w:r w:rsidRPr="002A7AC1">
              <w:t>), содействие инновациям</w:t>
            </w:r>
          </w:p>
        </w:tc>
      </w:tr>
      <w:tr w:rsidR="00584F07" w:rsidRPr="002A7AC1" w:rsidTr="00584F07">
        <w:tc>
          <w:tcPr>
            <w:tcW w:w="1423" w:type="dxa"/>
            <w:gridSpan w:val="2"/>
            <w:vAlign w:val="center"/>
          </w:tcPr>
          <w:p w:rsidR="00584F07" w:rsidRPr="002A7AC1" w:rsidRDefault="00584F07" w:rsidP="00584F07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217" w:type="dxa"/>
          </w:tcPr>
          <w:p w:rsidR="00584F07" w:rsidRPr="002A7AC1" w:rsidRDefault="00584F07" w:rsidP="001F3B23">
            <w:pPr>
              <w:pStyle w:val="Tabletext"/>
            </w:pPr>
            <w:r w:rsidRPr="002A7AC1">
              <w:t>Оказывать помощь Государствам-Членам в разработке национальной и региональной политики для развития цифровой экономики, "умных" городов и сообществ (</w:t>
            </w:r>
            <w:proofErr w:type="spellStart"/>
            <w:r w:rsidRPr="002A7AC1">
              <w:t>SCC</w:t>
            </w:r>
            <w:proofErr w:type="spellEnd"/>
            <w:r w:rsidRPr="002A7AC1">
              <w:t xml:space="preserve">) и </w:t>
            </w:r>
            <w:proofErr w:type="spellStart"/>
            <w:r w:rsidRPr="002A7AC1">
              <w:t>IoT</w:t>
            </w:r>
            <w:proofErr w:type="spellEnd"/>
            <w:r w:rsidRPr="002A7AC1">
              <w:t>.</w:t>
            </w:r>
          </w:p>
        </w:tc>
      </w:tr>
      <w:tr w:rsidR="00584F07" w:rsidRPr="002A7AC1" w:rsidTr="007B1EFA">
        <w:tc>
          <w:tcPr>
            <w:tcW w:w="695" w:type="dxa"/>
            <w:vMerge w:val="restart"/>
            <w:textDirection w:val="btLr"/>
            <w:vAlign w:val="center"/>
          </w:tcPr>
          <w:p w:rsidR="00584F07" w:rsidRPr="002A7AC1" w:rsidRDefault="00584F07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584F07" w:rsidRPr="002A7AC1" w:rsidRDefault="00584F07" w:rsidP="007B1EFA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8217" w:type="dxa"/>
            <w:vAlign w:val="center"/>
          </w:tcPr>
          <w:p w:rsidR="00584F07" w:rsidRPr="002A7AC1" w:rsidRDefault="00584F07" w:rsidP="007B1EFA">
            <w:pPr>
              <w:pStyle w:val="Tabletext"/>
            </w:pPr>
            <w:r w:rsidRPr="002A7AC1">
              <w:t>Оказание Государствам-Членам помощи в разработке политики в сфере ИКТ для содействия развитию цифровой экономики в регионе, использованию новых технологий для развития и популяризации соответствующих решений.</w:t>
            </w:r>
          </w:p>
        </w:tc>
      </w:tr>
      <w:tr w:rsidR="00584F07" w:rsidRPr="002A7AC1" w:rsidTr="007B1EFA">
        <w:tc>
          <w:tcPr>
            <w:tcW w:w="695" w:type="dxa"/>
            <w:vMerge/>
          </w:tcPr>
          <w:p w:rsidR="00584F07" w:rsidRPr="002A7AC1" w:rsidRDefault="00584F07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584F07" w:rsidRPr="002A7AC1" w:rsidRDefault="00584F07" w:rsidP="007B1EFA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8217" w:type="dxa"/>
            <w:vAlign w:val="center"/>
          </w:tcPr>
          <w:p w:rsidR="00584F07" w:rsidRPr="002A7AC1" w:rsidRDefault="00584F07" w:rsidP="007B1EFA">
            <w:pPr>
              <w:pStyle w:val="Tabletext"/>
            </w:pPr>
            <w:r w:rsidRPr="002A7AC1">
              <w:t>Собрания и семинары-практикумы по воздействию цифровой экономики в регионе, совместно с другими соответствующими организациями.</w:t>
            </w:r>
            <w:r w:rsidRPr="002A7AC1" w:rsidDel="00A451FD">
              <w:t xml:space="preserve"> </w:t>
            </w:r>
          </w:p>
        </w:tc>
      </w:tr>
      <w:tr w:rsidR="00584F07" w:rsidRPr="002A7AC1" w:rsidTr="007B1EFA">
        <w:tc>
          <w:tcPr>
            <w:tcW w:w="695" w:type="dxa"/>
            <w:vMerge/>
          </w:tcPr>
          <w:p w:rsidR="00584F07" w:rsidRPr="002A7AC1" w:rsidRDefault="00584F07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584F07" w:rsidRPr="002A7AC1" w:rsidRDefault="00584F07" w:rsidP="00B50753">
            <w:pPr>
              <w:pStyle w:val="Tabletext"/>
              <w:keepNext/>
              <w:keepLines/>
              <w:jc w:val="center"/>
            </w:pPr>
            <w:r w:rsidRPr="002A7AC1">
              <w:t>3</w:t>
            </w:r>
          </w:p>
        </w:tc>
        <w:tc>
          <w:tcPr>
            <w:tcW w:w="8217" w:type="dxa"/>
            <w:vAlign w:val="center"/>
          </w:tcPr>
          <w:p w:rsidR="00584F07" w:rsidRPr="002A7AC1" w:rsidRDefault="00584F07" w:rsidP="00B50753">
            <w:pPr>
              <w:pStyle w:val="Tabletext"/>
              <w:keepNext/>
              <w:keepLines/>
            </w:pPr>
            <w:r w:rsidRPr="002A7AC1">
              <w:t xml:space="preserve">Разработка рекомендаций по содействию созданию центров инноваций, в том числе инноваций в сфере образования, и проектов, которые вносят вклад в отрасль ИКТ, причем особое внимание уделяется начинающим предприятиям, </w:t>
            </w:r>
            <w:proofErr w:type="spellStart"/>
            <w:r w:rsidRPr="002A7AC1">
              <w:t>МСП</w:t>
            </w:r>
            <w:proofErr w:type="spellEnd"/>
            <w:r w:rsidRPr="002A7AC1">
              <w:t xml:space="preserve"> и молодым предпринимателям, в том числе в первую очередь женщинам.</w:t>
            </w:r>
          </w:p>
        </w:tc>
      </w:tr>
      <w:tr w:rsidR="00584F07" w:rsidRPr="002A7AC1" w:rsidTr="007B1EFA">
        <w:tc>
          <w:tcPr>
            <w:tcW w:w="695" w:type="dxa"/>
            <w:vMerge/>
          </w:tcPr>
          <w:p w:rsidR="00584F07" w:rsidRPr="002A7AC1" w:rsidRDefault="00584F07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584F07" w:rsidRPr="002A7AC1" w:rsidRDefault="00584F07" w:rsidP="007B1EFA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8217" w:type="dxa"/>
            <w:vAlign w:val="center"/>
          </w:tcPr>
          <w:p w:rsidR="00584F07" w:rsidRPr="002A7AC1" w:rsidRDefault="00584F07" w:rsidP="007B1EFA">
            <w:pPr>
              <w:pStyle w:val="Tabletext"/>
            </w:pPr>
            <w:r w:rsidRPr="002A7AC1">
              <w:t xml:space="preserve">Определение партнеров/союзов для укрепления инноваций на основе ИКТ и финансирования проектов и инициатив для развития цифровой экономики, </w:t>
            </w:r>
            <w:proofErr w:type="spellStart"/>
            <w:r w:rsidRPr="002A7AC1">
              <w:t>SCC</w:t>
            </w:r>
            <w:proofErr w:type="spellEnd"/>
            <w:r w:rsidRPr="002A7AC1">
              <w:t xml:space="preserve"> и </w:t>
            </w:r>
            <w:proofErr w:type="spellStart"/>
            <w:r w:rsidRPr="002A7AC1">
              <w:t>IoT</w:t>
            </w:r>
            <w:proofErr w:type="spellEnd"/>
            <w:r w:rsidRPr="002A7AC1">
              <w:t>, создания коалиций и альянсов с участием многих заинтересованных сторон, в первую очередь молодых предпринимателей.</w:t>
            </w:r>
          </w:p>
        </w:tc>
      </w:tr>
      <w:tr w:rsidR="00584F07" w:rsidRPr="002A7AC1" w:rsidTr="007B1EFA">
        <w:tc>
          <w:tcPr>
            <w:tcW w:w="695" w:type="dxa"/>
            <w:vMerge/>
          </w:tcPr>
          <w:p w:rsidR="00584F07" w:rsidRPr="002A7AC1" w:rsidRDefault="00584F07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584F07" w:rsidRPr="002A7AC1" w:rsidRDefault="00584F07" w:rsidP="007B1EFA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8217" w:type="dxa"/>
            <w:vAlign w:val="center"/>
          </w:tcPr>
          <w:p w:rsidR="00584F07" w:rsidRPr="002A7AC1" w:rsidRDefault="00584F07" w:rsidP="007B1EFA">
            <w:pPr>
              <w:pStyle w:val="Tabletext"/>
            </w:pPr>
            <w:r w:rsidRPr="002A7AC1">
              <w:t xml:space="preserve">Содействие стратегиям и распространение передового опыта надлежащего управления электронными отходами. </w:t>
            </w:r>
          </w:p>
        </w:tc>
      </w:tr>
    </w:tbl>
    <w:p w:rsidR="00556A0B" w:rsidRPr="002A7AC1" w:rsidRDefault="00556A0B" w:rsidP="007B1EFA">
      <w:pPr>
        <w:pStyle w:val="CEOHeading1"/>
        <w:spacing w:before="480"/>
        <w:rPr>
          <w:rFonts w:asciiTheme="minorHAnsi" w:hAnsiTheme="minorHAnsi"/>
          <w:sz w:val="22"/>
          <w:szCs w:val="22"/>
          <w:lang w:val="ru-RU"/>
        </w:rPr>
      </w:pPr>
      <w:r w:rsidRPr="002A7AC1">
        <w:rPr>
          <w:rFonts w:asciiTheme="minorHAnsi" w:hAnsiTheme="minorHAnsi"/>
          <w:sz w:val="22"/>
          <w:szCs w:val="22"/>
          <w:lang w:val="ru-RU"/>
        </w:rPr>
        <w:t>Азиатско-Тихоокеанские региональные инициативы</w:t>
      </w:r>
    </w:p>
    <w:p w:rsidR="00556A0B" w:rsidRPr="002A7AC1" w:rsidRDefault="00556A0B" w:rsidP="00556A0B">
      <w:r w:rsidRPr="002A7AC1">
        <w:t>Азиатско-Тихоокеанские региональные инициативы рассчитаны на работу в конкретных приоритетных областях, связанных с ИКТ, с помощью партнерских отношений и мобилизации ресурсов для выполнения мелко-, средне- и крупномасштабных проектов. В рамках каждой региональной инициативы будут разрабатываться и осуществляться проекты в целях удовлетворения потребностей стран.</w:t>
      </w:r>
    </w:p>
    <w:p w:rsidR="00556A0B" w:rsidRPr="002A7AC1" w:rsidRDefault="00556A0B" w:rsidP="00556A0B">
      <w:r w:rsidRPr="002A7AC1">
        <w:t xml:space="preserve">Ниже приводится обобщенная информация из Заключительного отчета Председателя </w:t>
      </w:r>
      <w:proofErr w:type="spellStart"/>
      <w:r w:rsidRPr="002A7AC1">
        <w:t>РПС-АТР</w:t>
      </w:r>
      <w:proofErr w:type="spellEnd"/>
      <w:r w:rsidRPr="002A7AC1">
        <w:t xml:space="preserve">. Полная версия отчета представлена в Документе </w:t>
      </w:r>
      <w:hyperlink r:id="rId26" w:history="1">
        <w:proofErr w:type="spellStart"/>
        <w:r w:rsidRPr="002A7AC1">
          <w:rPr>
            <w:rStyle w:val="Hyperlink"/>
            <w:bCs/>
            <w:szCs w:val="24"/>
          </w:rPr>
          <w:t>RPM-ASP17</w:t>
        </w:r>
        <w:proofErr w:type="spellEnd"/>
        <w:r w:rsidRPr="002A7AC1">
          <w:rPr>
            <w:rStyle w:val="Hyperlink"/>
            <w:bCs/>
            <w:szCs w:val="24"/>
          </w:rPr>
          <w:t>/36</w:t>
        </w:r>
      </w:hyperlink>
      <w:r w:rsidRPr="002A7AC1">
        <w:t>.</w:t>
      </w:r>
    </w:p>
    <w:p w:rsidR="00556A0B" w:rsidRDefault="00C4431B" w:rsidP="00C4431B">
      <w:pPr>
        <w:spacing w:after="240"/>
      </w:pPr>
      <w:r w:rsidRPr="002A7AC1">
        <w:t xml:space="preserve">Утвержденные региональные инициативы </w:t>
      </w:r>
      <w:proofErr w:type="spellStart"/>
      <w:r w:rsidRPr="002A7AC1">
        <w:t>АТР</w:t>
      </w:r>
      <w:proofErr w:type="spellEnd"/>
      <w:r w:rsidRPr="002A7AC1">
        <w:t xml:space="preserve"> на</w:t>
      </w:r>
      <w:r w:rsidR="00556A0B" w:rsidRPr="002A7AC1">
        <w:t xml:space="preserve"> 2018−2021</w:t>
      </w:r>
      <w:r w:rsidRPr="002A7AC1">
        <w:t xml:space="preserve"> годы включают</w:t>
      </w:r>
      <w:r w:rsidR="00556A0B" w:rsidRPr="002A7AC1">
        <w:t>:</w:t>
      </w:r>
    </w:p>
    <w:p w:rsidR="00320BC1" w:rsidRPr="00320BC1" w:rsidRDefault="00320BC1" w:rsidP="00320BC1">
      <w:pPr>
        <w:rPr>
          <w:lang w:val="en-US"/>
        </w:rPr>
      </w:pPr>
    </w:p>
    <w:p w:rsidR="00320BC1" w:rsidRPr="00320BC1" w:rsidRDefault="00320BC1" w:rsidP="00320BC1">
      <w:r w:rsidRPr="00320BC1">
        <w:br w:type="page"/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7B1EFA" w:rsidRPr="002A7AC1" w:rsidTr="001F3B23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7B1EFA" w:rsidRPr="002A7AC1" w:rsidRDefault="007B1EFA" w:rsidP="001F3B23">
            <w:pPr>
              <w:pStyle w:val="Tablehead"/>
            </w:pPr>
            <w:proofErr w:type="spellStart"/>
            <w:r w:rsidRPr="002A7AC1">
              <w:lastRenderedPageBreak/>
              <w:t>РИ</w:t>
            </w:r>
            <w:proofErr w:type="spellEnd"/>
            <w:r w:rsidRPr="002A7AC1">
              <w:br w:type="page"/>
              <w:t xml:space="preserve"> 1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7B1EFA" w:rsidRPr="002A7AC1" w:rsidRDefault="00D60523" w:rsidP="00E73464">
            <w:pPr>
              <w:pStyle w:val="Tablehead"/>
              <w:jc w:val="left"/>
            </w:pPr>
            <w:r w:rsidRPr="002A7AC1">
              <w:t>Рассмотрение особых потребностей наименее развитых стран, малых островных развивающихся государств, включая страны Тихого океана, и развивающихся стран, не имеющих выхода к морю</w:t>
            </w:r>
          </w:p>
        </w:tc>
      </w:tr>
      <w:tr w:rsidR="007B1EFA" w:rsidRPr="002A7AC1" w:rsidTr="001F3B23">
        <w:tc>
          <w:tcPr>
            <w:tcW w:w="1423" w:type="dxa"/>
            <w:gridSpan w:val="2"/>
            <w:vAlign w:val="center"/>
          </w:tcPr>
          <w:p w:rsidR="007B1EFA" w:rsidRPr="002A7AC1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217" w:type="dxa"/>
          </w:tcPr>
          <w:p w:rsidR="007B1EFA" w:rsidRPr="002A7AC1" w:rsidRDefault="00D60523" w:rsidP="00995E04">
            <w:pPr>
              <w:pStyle w:val="Tabletext"/>
            </w:pPr>
            <w:r w:rsidRPr="002A7AC1">
              <w:t>Предоставлять специальную помощь наименее развитым странам (</w:t>
            </w:r>
            <w:proofErr w:type="spellStart"/>
            <w:r w:rsidRPr="002A7AC1">
              <w:t>НРС</w:t>
            </w:r>
            <w:proofErr w:type="spellEnd"/>
            <w:r w:rsidRPr="002A7AC1">
              <w:t>), малым островным развивающимся государствам (</w:t>
            </w:r>
            <w:proofErr w:type="spellStart"/>
            <w:r w:rsidRPr="002A7AC1">
              <w:t>СИДС</w:t>
            </w:r>
            <w:proofErr w:type="spellEnd"/>
            <w:r w:rsidRPr="002A7AC1">
              <w:t>), включая островные государства Тихого океана, и развивающимся странам, не имеющим выхода к морю (</w:t>
            </w:r>
            <w:proofErr w:type="spellStart"/>
            <w:r w:rsidRPr="002A7AC1">
              <w:t>ЛЛДС</w:t>
            </w:r>
            <w:proofErr w:type="spellEnd"/>
            <w:r w:rsidRPr="002A7AC1">
              <w:t>), для удовлетворения их приоритетных потребностей в области ИКТ.</w:t>
            </w:r>
          </w:p>
        </w:tc>
      </w:tr>
      <w:tr w:rsidR="007B1EFA" w:rsidRPr="002A7AC1" w:rsidTr="007B1EFA">
        <w:trPr>
          <w:trHeight w:val="407"/>
        </w:trPr>
        <w:tc>
          <w:tcPr>
            <w:tcW w:w="695" w:type="dxa"/>
            <w:vMerge w:val="restart"/>
            <w:textDirection w:val="btLr"/>
            <w:vAlign w:val="center"/>
          </w:tcPr>
          <w:p w:rsidR="007B1EFA" w:rsidRPr="002A7AC1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8217" w:type="dxa"/>
            <w:vAlign w:val="center"/>
          </w:tcPr>
          <w:p w:rsidR="007B1EFA" w:rsidRPr="002A7AC1" w:rsidRDefault="00D60523" w:rsidP="00264EA1">
            <w:pPr>
              <w:pStyle w:val="Tabletext"/>
            </w:pPr>
            <w:r w:rsidRPr="002A7AC1">
              <w:t xml:space="preserve">Помощь в развитии широкополосной инфраструктуры, приложений электросвязи/ИКТ и основ </w:t>
            </w:r>
            <w:proofErr w:type="spellStart"/>
            <w:r w:rsidRPr="002A7AC1">
              <w:t>кибербезопасности</w:t>
            </w:r>
            <w:proofErr w:type="spellEnd"/>
            <w:r w:rsidRPr="002A7AC1">
              <w:t xml:space="preserve">, политики и регулирования, а также создания человеческого потенциала, принимая во внимание особые потребности </w:t>
            </w:r>
            <w:proofErr w:type="spellStart"/>
            <w:r w:rsidRPr="002A7AC1">
              <w:t>НРС</w:t>
            </w:r>
            <w:proofErr w:type="spellEnd"/>
            <w:r w:rsidRPr="002A7AC1">
              <w:t xml:space="preserve">, </w:t>
            </w:r>
            <w:proofErr w:type="spellStart"/>
            <w:r w:rsidRPr="002A7AC1">
              <w:t>СИДС</w:t>
            </w:r>
            <w:proofErr w:type="spellEnd"/>
            <w:r w:rsidRPr="002A7AC1">
              <w:t xml:space="preserve"> и </w:t>
            </w:r>
            <w:proofErr w:type="spellStart"/>
            <w:r w:rsidRPr="002A7AC1">
              <w:t>ЛЛДС</w:t>
            </w:r>
            <w:proofErr w:type="spellEnd"/>
            <w:r w:rsidRPr="002A7AC1">
              <w:t>.</w:t>
            </w:r>
          </w:p>
        </w:tc>
      </w:tr>
      <w:tr w:rsidR="007B1EFA" w:rsidRPr="002A7AC1" w:rsidTr="007B1EFA">
        <w:trPr>
          <w:trHeight w:val="407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8217" w:type="dxa"/>
            <w:vAlign w:val="center"/>
          </w:tcPr>
          <w:p w:rsidR="007B1EFA" w:rsidRPr="002A7AC1" w:rsidRDefault="00D60523" w:rsidP="00264EA1">
            <w:pPr>
              <w:pStyle w:val="Tabletext"/>
            </w:pPr>
            <w:r w:rsidRPr="002A7AC1">
              <w:t xml:space="preserve">Содействие обеспечению открытого для всех универсального доступа к электросвязи/ИКТ в </w:t>
            </w:r>
            <w:proofErr w:type="spellStart"/>
            <w:r w:rsidRPr="002A7AC1">
              <w:t>НРС</w:t>
            </w:r>
            <w:proofErr w:type="spellEnd"/>
            <w:r w:rsidRPr="002A7AC1">
              <w:t xml:space="preserve">, </w:t>
            </w:r>
            <w:proofErr w:type="spellStart"/>
            <w:r w:rsidRPr="002A7AC1">
              <w:t>СИДС</w:t>
            </w:r>
            <w:proofErr w:type="spellEnd"/>
            <w:r w:rsidRPr="002A7AC1">
              <w:t xml:space="preserve"> и </w:t>
            </w:r>
            <w:proofErr w:type="spellStart"/>
            <w:r w:rsidRPr="002A7AC1">
              <w:t>ЛЛДС</w:t>
            </w:r>
            <w:proofErr w:type="spellEnd"/>
            <w:r w:rsidRPr="002A7AC1">
              <w:t>.</w:t>
            </w:r>
          </w:p>
        </w:tc>
      </w:tr>
      <w:tr w:rsidR="007B1EFA" w:rsidRPr="002A7AC1" w:rsidTr="007B1EFA">
        <w:trPr>
          <w:trHeight w:val="407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8217" w:type="dxa"/>
            <w:vAlign w:val="center"/>
          </w:tcPr>
          <w:p w:rsidR="007B1EFA" w:rsidRPr="002A7AC1" w:rsidRDefault="00D60523" w:rsidP="007B1EFA">
            <w:pPr>
              <w:pStyle w:val="Tabletext"/>
            </w:pPr>
            <w:r w:rsidRPr="002A7AC1">
              <w:t xml:space="preserve">Помощь </w:t>
            </w:r>
            <w:proofErr w:type="spellStart"/>
            <w:r w:rsidRPr="002A7AC1">
              <w:t>НРС</w:t>
            </w:r>
            <w:proofErr w:type="spellEnd"/>
            <w:r w:rsidRPr="002A7AC1">
              <w:t xml:space="preserve">, </w:t>
            </w:r>
            <w:proofErr w:type="spellStart"/>
            <w:r w:rsidRPr="002A7AC1">
              <w:t>СИДС</w:t>
            </w:r>
            <w:proofErr w:type="spellEnd"/>
            <w:r w:rsidRPr="002A7AC1">
              <w:t xml:space="preserve"> и </w:t>
            </w:r>
            <w:proofErr w:type="spellStart"/>
            <w:r w:rsidRPr="002A7AC1">
              <w:t>ЛЛДС</w:t>
            </w:r>
            <w:proofErr w:type="spellEnd"/>
            <w:r w:rsidRPr="002A7AC1">
              <w:t xml:space="preserve"> в области прогнозирования бедствий, обеспечения готовности и адаптации к ним, мониторинга бедствий и смягчения их последствий, исходя из приоритетных потребностей этих стран.</w:t>
            </w:r>
          </w:p>
        </w:tc>
      </w:tr>
      <w:tr w:rsidR="007B1EFA" w:rsidRPr="002A7AC1" w:rsidTr="007B1EFA">
        <w:trPr>
          <w:trHeight w:val="407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8217" w:type="dxa"/>
            <w:vAlign w:val="center"/>
          </w:tcPr>
          <w:p w:rsidR="007B1EFA" w:rsidRPr="002A7AC1" w:rsidRDefault="00D60523" w:rsidP="00FB2048">
            <w:pPr>
              <w:pStyle w:val="Tabletext"/>
            </w:pPr>
            <w:r w:rsidRPr="002A7AC1">
              <w:t xml:space="preserve">Помощь в достижении согласованных на международном уровне целей, таких как цели, определенные в Повестке дня в области устойчивого развития на период до 2030 года, </w:t>
            </w:r>
            <w:proofErr w:type="spellStart"/>
            <w:r w:rsidRPr="002A7AC1">
              <w:t>Сендайской</w:t>
            </w:r>
            <w:proofErr w:type="spellEnd"/>
            <w:r w:rsidRPr="002A7AC1">
              <w:t xml:space="preserve"> рамочной программе по снижению риска бедствий, Стамбульском плане действий для </w:t>
            </w:r>
            <w:proofErr w:type="spellStart"/>
            <w:r w:rsidRPr="002A7AC1">
              <w:t>НРС</w:t>
            </w:r>
            <w:proofErr w:type="spellEnd"/>
            <w:r w:rsidRPr="002A7AC1">
              <w:t xml:space="preserve">, программе "Путь САМОА" для </w:t>
            </w:r>
            <w:proofErr w:type="spellStart"/>
            <w:r w:rsidRPr="002A7AC1">
              <w:t>СИДС</w:t>
            </w:r>
            <w:proofErr w:type="spellEnd"/>
            <w:r w:rsidRPr="002A7AC1">
              <w:t xml:space="preserve"> и Венской программе действий для </w:t>
            </w:r>
            <w:proofErr w:type="spellStart"/>
            <w:r w:rsidRPr="002A7AC1">
              <w:t>ЛЛДС</w:t>
            </w:r>
            <w:proofErr w:type="spellEnd"/>
            <w:r w:rsidRPr="002A7AC1">
              <w:t>.</w:t>
            </w:r>
          </w:p>
        </w:tc>
      </w:tr>
    </w:tbl>
    <w:p w:rsidR="00320BC1" w:rsidRDefault="00320B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7B1EFA" w:rsidRPr="002A7AC1" w:rsidTr="001F3B23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7B1EFA" w:rsidRPr="002A7AC1" w:rsidRDefault="007B1EFA" w:rsidP="001F3B23">
            <w:pPr>
              <w:pStyle w:val="Tablehead"/>
            </w:pPr>
            <w:proofErr w:type="spellStart"/>
            <w:r w:rsidRPr="002A7AC1">
              <w:t>РИ</w:t>
            </w:r>
            <w:proofErr w:type="spellEnd"/>
            <w:r w:rsidRPr="002A7AC1">
              <w:br w:type="page"/>
              <w:t xml:space="preserve"> 2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7B1EFA" w:rsidRPr="002A7AC1" w:rsidRDefault="00D60523" w:rsidP="001F3B23">
            <w:pPr>
              <w:pStyle w:val="Tablehead"/>
              <w:jc w:val="left"/>
            </w:pPr>
            <w:r w:rsidRPr="002A7AC1">
              <w:rPr>
                <w:bCs/>
                <w:color w:val="000000"/>
              </w:rPr>
              <w:t xml:space="preserve">Использование ИКТ для поддержки цифровой экономики и открытого для всех цифрового </w:t>
            </w:r>
            <w:r w:rsidRPr="002A7AC1">
              <w:t>общества</w:t>
            </w:r>
          </w:p>
        </w:tc>
      </w:tr>
      <w:tr w:rsidR="007B1EFA" w:rsidRPr="002A7AC1" w:rsidTr="001F3B23">
        <w:tc>
          <w:tcPr>
            <w:tcW w:w="1423" w:type="dxa"/>
            <w:gridSpan w:val="2"/>
            <w:vAlign w:val="center"/>
          </w:tcPr>
          <w:p w:rsidR="007B1EFA" w:rsidRPr="002A7AC1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217" w:type="dxa"/>
          </w:tcPr>
          <w:p w:rsidR="007B1EFA" w:rsidRPr="002A7AC1" w:rsidRDefault="00D60523" w:rsidP="001F3B23">
            <w:pPr>
              <w:pStyle w:val="Tabletext"/>
            </w:pPr>
            <w:r w:rsidRPr="002A7AC1">
              <w:t>Содействовать Государствам – Членам МСЭ в применении электросвязи/ИКТ для использования преимуществ цифровой экономики и решения проблем, связанных с человеческим и техническим потенциалом, для сокращения цифрового разрыва.</w:t>
            </w:r>
          </w:p>
        </w:tc>
      </w:tr>
      <w:tr w:rsidR="007B1EFA" w:rsidRPr="002A7AC1" w:rsidTr="001F3B23">
        <w:trPr>
          <w:trHeight w:val="407"/>
        </w:trPr>
        <w:tc>
          <w:tcPr>
            <w:tcW w:w="695" w:type="dxa"/>
            <w:vMerge w:val="restart"/>
            <w:textDirection w:val="btLr"/>
            <w:vAlign w:val="center"/>
          </w:tcPr>
          <w:p w:rsidR="007B1EFA" w:rsidRPr="002A7AC1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8217" w:type="dxa"/>
            <w:vAlign w:val="center"/>
          </w:tcPr>
          <w:p w:rsidR="007B1EFA" w:rsidRPr="002A7AC1" w:rsidRDefault="00D60523" w:rsidP="00E71DBC">
            <w:pPr>
              <w:pStyle w:val="Tabletext"/>
            </w:pPr>
            <w:r w:rsidRPr="002A7AC1">
              <w:t xml:space="preserve">Помощь в </w:t>
            </w:r>
            <w:r w:rsidRPr="002A7AC1">
              <w:rPr>
                <w:color w:val="000000"/>
              </w:rPr>
              <w:t>разработке национальных основ стратегического планирования и соответствующих комплектов материалов для выбранных приложений и услуг электросвязи/ИКТ.</w:t>
            </w:r>
          </w:p>
        </w:tc>
      </w:tr>
      <w:tr w:rsidR="007B1EFA" w:rsidRPr="002A7AC1" w:rsidTr="001F3B23">
        <w:trPr>
          <w:trHeight w:val="407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8217" w:type="dxa"/>
            <w:vAlign w:val="center"/>
          </w:tcPr>
          <w:p w:rsidR="007B1EFA" w:rsidRPr="002A7AC1" w:rsidRDefault="00D60523" w:rsidP="00E71DBC">
            <w:pPr>
              <w:pStyle w:val="Tabletext"/>
            </w:pPr>
            <w:r w:rsidRPr="002A7AC1">
              <w:t>Содействие в развертывании приложений электросвязи/ИКТ/мобильных приложений в целях улучшения предоставления дополнительных услуг в обладающих высоким потенциалом областях, таких как здравоохранение, образование, сельское хозяйство, государственное управление, энергетика, мобильные платежи и т. д.</w:t>
            </w:r>
          </w:p>
        </w:tc>
      </w:tr>
      <w:tr w:rsidR="007B1EFA" w:rsidRPr="002A7AC1" w:rsidTr="001F3B23">
        <w:trPr>
          <w:trHeight w:val="407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8217" w:type="dxa"/>
            <w:vAlign w:val="center"/>
          </w:tcPr>
          <w:p w:rsidR="007B1EFA" w:rsidRPr="002A7AC1" w:rsidRDefault="00D60523" w:rsidP="00E71DBC">
            <w:pPr>
              <w:pStyle w:val="Tabletext"/>
            </w:pPr>
            <w:r w:rsidRPr="002A7AC1">
              <w:t>Совместное использование знаний и передового опыта по различным приложениям электросвязи/ИКТ.</w:t>
            </w:r>
          </w:p>
        </w:tc>
      </w:tr>
      <w:tr w:rsidR="007B1EFA" w:rsidRPr="002A7AC1" w:rsidTr="001F3B23">
        <w:trPr>
          <w:trHeight w:val="407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8217" w:type="dxa"/>
            <w:vAlign w:val="center"/>
          </w:tcPr>
          <w:p w:rsidR="007B1EFA" w:rsidRPr="002A7AC1" w:rsidRDefault="00D60523" w:rsidP="00E71DBC">
            <w:pPr>
              <w:pStyle w:val="Tabletext"/>
            </w:pPr>
            <w:r w:rsidRPr="002A7AC1">
              <w:t>Помощь в разработке национальных программ развития цифровых навыков для открытости.</w:t>
            </w:r>
          </w:p>
        </w:tc>
      </w:tr>
      <w:tr w:rsidR="007B1EFA" w:rsidRPr="002A7AC1" w:rsidTr="001F3B23">
        <w:trPr>
          <w:trHeight w:val="407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8217" w:type="dxa"/>
            <w:vAlign w:val="center"/>
          </w:tcPr>
          <w:p w:rsidR="007B1EFA" w:rsidRPr="002A7AC1" w:rsidRDefault="00D60523" w:rsidP="00E71DBC">
            <w:pPr>
              <w:pStyle w:val="Tabletext"/>
            </w:pPr>
            <w:r w:rsidRPr="002A7AC1">
              <w:t>Помощь в разработке политики, стратегий и руководящих указаний по охвату цифровыми технологиями.</w:t>
            </w:r>
          </w:p>
        </w:tc>
      </w:tr>
      <w:tr w:rsidR="007B1EFA" w:rsidRPr="002A7AC1" w:rsidTr="001F3B23">
        <w:trPr>
          <w:trHeight w:val="407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6</w:t>
            </w:r>
          </w:p>
        </w:tc>
        <w:tc>
          <w:tcPr>
            <w:tcW w:w="8217" w:type="dxa"/>
            <w:vAlign w:val="center"/>
          </w:tcPr>
          <w:p w:rsidR="007B1EFA" w:rsidRPr="002A7AC1" w:rsidRDefault="00D60523" w:rsidP="00BE2CA1">
            <w:pPr>
              <w:pStyle w:val="Tabletext"/>
            </w:pPr>
            <w:r w:rsidRPr="002A7AC1">
              <w:t xml:space="preserve">Помощь в </w:t>
            </w:r>
            <w:r w:rsidR="00BE2CA1">
              <w:t>содействии принятию и развертыванию интернета вещей (</w:t>
            </w:r>
            <w:proofErr w:type="spellStart"/>
            <w:r w:rsidR="00BE2CA1">
              <w:rPr>
                <w:lang w:val="en-US"/>
              </w:rPr>
              <w:t>IoT</w:t>
            </w:r>
            <w:proofErr w:type="spellEnd"/>
            <w:r w:rsidR="00BE2CA1">
              <w:rPr>
                <w:lang w:val="en-US"/>
              </w:rPr>
              <w:t>)</w:t>
            </w:r>
            <w:r w:rsidR="00BE2CA1">
              <w:t xml:space="preserve"> и развитию "умных" городов</w:t>
            </w:r>
            <w:r w:rsidRPr="002A7AC1">
              <w:t>.</w:t>
            </w:r>
          </w:p>
        </w:tc>
      </w:tr>
    </w:tbl>
    <w:p w:rsidR="00320BC1" w:rsidRDefault="00320BC1" w:rsidP="00EC2114"/>
    <w:p w:rsidR="00320BC1" w:rsidRDefault="00320BC1" w:rsidP="00EC2114">
      <w:r>
        <w:br w:type="page"/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7B1EFA" w:rsidRPr="002A7AC1" w:rsidTr="001F3B23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7B1EFA" w:rsidRPr="002A7AC1" w:rsidRDefault="007B1EFA" w:rsidP="001F3B23">
            <w:pPr>
              <w:pStyle w:val="Tablehead"/>
            </w:pPr>
            <w:proofErr w:type="spellStart"/>
            <w:r w:rsidRPr="002A7AC1">
              <w:lastRenderedPageBreak/>
              <w:t>РИ</w:t>
            </w:r>
            <w:proofErr w:type="spellEnd"/>
            <w:r w:rsidRPr="002A7AC1">
              <w:br w:type="page"/>
              <w:t xml:space="preserve"> 3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7B1EFA" w:rsidRPr="002A7AC1" w:rsidRDefault="00D60523" w:rsidP="001F3B23">
            <w:pPr>
              <w:pStyle w:val="Tablehead"/>
              <w:jc w:val="left"/>
            </w:pPr>
            <w:r w:rsidRPr="002A7AC1">
              <w:t>Содействие развитию инфраструктуры для расширения возможностей установления цифровых соединений</w:t>
            </w:r>
          </w:p>
        </w:tc>
      </w:tr>
      <w:tr w:rsidR="007B1EFA" w:rsidRPr="002A7AC1" w:rsidTr="001F3B23">
        <w:tc>
          <w:tcPr>
            <w:tcW w:w="1423" w:type="dxa"/>
            <w:gridSpan w:val="2"/>
            <w:vAlign w:val="center"/>
          </w:tcPr>
          <w:p w:rsidR="007B1EFA" w:rsidRPr="002A7AC1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217" w:type="dxa"/>
          </w:tcPr>
          <w:p w:rsidR="007B1EFA" w:rsidRPr="002A7AC1" w:rsidRDefault="00D60523" w:rsidP="0033092A">
            <w:pPr>
              <w:pStyle w:val="Tabletext"/>
            </w:pPr>
            <w:r w:rsidRPr="002A7AC1">
              <w:rPr>
                <w:color w:val="000000"/>
              </w:rPr>
              <w:t>Оказывать помощь Государствам-Членам в развитии инфраструктуры для содействия использованию услуг/приложений на базе этой инфраструктуры</w:t>
            </w:r>
            <w:r w:rsidRPr="002A7AC1"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 w:val="restart"/>
            <w:textDirection w:val="btLr"/>
            <w:vAlign w:val="center"/>
          </w:tcPr>
          <w:p w:rsidR="007B1EFA" w:rsidRPr="002A7AC1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1F3B23">
            <w:pPr>
              <w:pStyle w:val="Tabletext"/>
            </w:pPr>
            <w:proofErr w:type="spellStart"/>
            <w:r w:rsidRPr="002A7AC1">
              <w:t>Цифровизация</w:t>
            </w:r>
            <w:proofErr w:type="spellEnd"/>
            <w:r w:rsidRPr="002A7AC1">
              <w:t xml:space="preserve"> </w:t>
            </w:r>
            <w:r w:rsidR="00D60523" w:rsidRPr="002A7AC1">
              <w:t>аналоговых сетей и применение приемлемых в ценовом отношении проводных и беспроводных технологий, включая функциональную совместимость инфраструктуры электросвязи/ИКТ</w:t>
            </w:r>
            <w:r w:rsidRPr="002A7AC1"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1F3B23">
            <w:pPr>
              <w:pStyle w:val="Tabletext"/>
            </w:pPr>
            <w:r w:rsidRPr="002A7AC1">
              <w:t xml:space="preserve">Максимальное </w:t>
            </w:r>
            <w:r w:rsidR="00D60523" w:rsidRPr="002A7AC1">
              <w:t>расширение использования соответствующих новых технологий для развития соответствующих сетей электросвязи/ИКТ, в том числе инфраструктуры и услуг "умных" электросетей</w:t>
            </w:r>
            <w:r w:rsidRPr="002A7AC1"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1F3B23">
            <w:pPr>
              <w:pStyle w:val="Tabletext"/>
            </w:pPr>
            <w:r w:rsidRPr="002A7AC1">
              <w:t xml:space="preserve">Планирование </w:t>
            </w:r>
            <w:r w:rsidR="00D60523" w:rsidRPr="002A7AC1">
              <w:t>внедрения и разработки в среднесрочной и долгосрочной перспективе национальных планов развития широкополосных сетей ИКТ</w:t>
            </w:r>
            <w:r w:rsidRPr="002A7AC1"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1F3B23">
            <w:pPr>
              <w:pStyle w:val="Tabletext"/>
            </w:pPr>
            <w:r w:rsidRPr="002A7AC1">
              <w:t xml:space="preserve">Информация </w:t>
            </w:r>
            <w:r w:rsidR="00D60523" w:rsidRPr="002A7AC1">
              <w:t xml:space="preserve">о </w:t>
            </w:r>
            <w:r w:rsidR="00D60523" w:rsidRPr="002A7AC1">
              <w:rPr>
                <w:color w:val="000000"/>
              </w:rPr>
              <w:t>текущем состоянии широкополосных магистральных сетей и подводных кабелей и его анализ</w:t>
            </w:r>
            <w:r w:rsidRPr="002A7AC1">
              <w:rPr>
                <w:color w:val="000000"/>
              </w:rPr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E5480A">
            <w:pPr>
              <w:pStyle w:val="Tabletext"/>
            </w:pPr>
            <w:r w:rsidRPr="002A7AC1">
              <w:t xml:space="preserve">Помощь </w:t>
            </w:r>
            <w:r w:rsidR="00D60523" w:rsidRPr="002A7AC1">
              <w:t xml:space="preserve">в порядке </w:t>
            </w:r>
            <w:r w:rsidR="00D60523" w:rsidRPr="002A7AC1">
              <w:rPr>
                <w:color w:val="000000"/>
              </w:rPr>
              <w:t>содействия созданию пунктов обмена трафиком интернета (</w:t>
            </w:r>
            <w:proofErr w:type="spellStart"/>
            <w:r w:rsidR="00D60523" w:rsidRPr="002A7AC1">
              <w:rPr>
                <w:color w:val="000000"/>
              </w:rPr>
              <w:t>IXP</w:t>
            </w:r>
            <w:proofErr w:type="spellEnd"/>
            <w:r w:rsidR="00D60523" w:rsidRPr="002A7AC1">
              <w:rPr>
                <w:color w:val="000000"/>
              </w:rPr>
              <w:t xml:space="preserve">) в качестве долгосрочного решения, способствующего расширению возможности установления соединений, и в развертывании сетей и приложений на базе </w:t>
            </w:r>
            <w:proofErr w:type="spellStart"/>
            <w:r w:rsidR="00D60523" w:rsidRPr="002A7AC1">
              <w:rPr>
                <w:color w:val="000000"/>
              </w:rPr>
              <w:t>IPv6</w:t>
            </w:r>
            <w:proofErr w:type="spellEnd"/>
            <w:r w:rsidRPr="002A7AC1">
              <w:rPr>
                <w:color w:val="000000"/>
              </w:rPr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6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330EE9">
            <w:pPr>
              <w:pStyle w:val="Tabletext"/>
            </w:pPr>
            <w:r w:rsidRPr="002A7AC1">
              <w:t xml:space="preserve">Помощь </w:t>
            </w:r>
            <w:r w:rsidR="00D60523" w:rsidRPr="002A7AC1">
              <w:t>в области подходящих технологий доступа, транзитных соединений и источников энергии для обеспечения электросвязью сельских, необслуживаемых и обслуживаемых в недостаточной степени районов</w:t>
            </w:r>
            <w:r w:rsidRPr="002A7AC1"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7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9939B1">
            <w:pPr>
              <w:pStyle w:val="Tabletext"/>
            </w:pPr>
            <w:r w:rsidRPr="002A7AC1">
              <w:t xml:space="preserve">Проекты </w:t>
            </w:r>
            <w:r w:rsidR="00D60523" w:rsidRPr="002A7AC1">
              <w:t xml:space="preserve">создания общедоступных/коллективных пунктов широкополосного доступа, при </w:t>
            </w:r>
            <w:proofErr w:type="spellStart"/>
            <w:r w:rsidR="00D60523" w:rsidRPr="002A7AC1">
              <w:t>уделении</w:t>
            </w:r>
            <w:proofErr w:type="spellEnd"/>
            <w:r w:rsidR="00D60523" w:rsidRPr="002A7AC1">
              <w:t xml:space="preserve"> основного внимания предоставлению услуг и приложений электросвязи/ИКТ с помощью соответствующих технологий, включая спутниковые технологии, и бизнес-моделей, обеспечивающих финансовую и эксплуатационную устойчивость</w:t>
            </w:r>
            <w:r w:rsidRPr="002A7AC1"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8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4A28D7">
            <w:pPr>
              <w:pStyle w:val="Tabletext"/>
            </w:pPr>
            <w:r w:rsidRPr="002A7AC1">
              <w:rPr>
                <w:color w:val="000000"/>
              </w:rPr>
              <w:t xml:space="preserve">Внедрение </w:t>
            </w:r>
            <w:r w:rsidR="00D60523" w:rsidRPr="002A7AC1">
              <w:rPr>
                <w:color w:val="000000"/>
              </w:rPr>
              <w:t>соответствующих стандартов, рассчитанных на удовлетворение потребностей развивающихся стран</w:t>
            </w:r>
            <w:r w:rsidRPr="002A7AC1">
              <w:rPr>
                <w:color w:val="000000"/>
              </w:rPr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9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BE2CA1">
            <w:pPr>
              <w:pStyle w:val="Tabletext"/>
            </w:pPr>
            <w:r w:rsidRPr="002A7AC1">
              <w:t xml:space="preserve">Создание </w:t>
            </w:r>
            <w:r w:rsidR="00D60523" w:rsidRPr="002A7AC1">
              <w:t xml:space="preserve">потенциала применительно к значению процедур и проверки на </w:t>
            </w:r>
            <w:proofErr w:type="spellStart"/>
            <w:r w:rsidR="00D60523" w:rsidRPr="002A7AC1">
              <w:t>C&amp;I</w:t>
            </w:r>
            <w:proofErr w:type="spellEnd"/>
            <w:r w:rsidR="00D60523" w:rsidRPr="002A7AC1">
              <w:t>,</w:t>
            </w:r>
            <w:r w:rsidR="00BE2CA1">
              <w:t xml:space="preserve"> при </w:t>
            </w:r>
            <w:r w:rsidR="00D60523" w:rsidRPr="002A7AC1">
              <w:t>мобилиз</w:t>
            </w:r>
            <w:r w:rsidR="00BE2CA1">
              <w:t>ации</w:t>
            </w:r>
            <w:r w:rsidR="00D60523" w:rsidRPr="002A7AC1">
              <w:t xml:space="preserve"> ресурс</w:t>
            </w:r>
            <w:r w:rsidR="00BE2CA1">
              <w:t>ов, требующих</w:t>
            </w:r>
            <w:r w:rsidR="00D60523" w:rsidRPr="002A7AC1">
              <w:t xml:space="preserve">ся для реализации региональных и национальных программ </w:t>
            </w:r>
            <w:proofErr w:type="spellStart"/>
            <w:r w:rsidR="00D60523" w:rsidRPr="002A7AC1">
              <w:t>C&amp;I</w:t>
            </w:r>
            <w:proofErr w:type="spellEnd"/>
            <w:r w:rsidRPr="002A7AC1"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10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5A24A9">
            <w:pPr>
              <w:pStyle w:val="Tabletext"/>
            </w:pPr>
            <w:r w:rsidRPr="002A7AC1">
              <w:t xml:space="preserve">Помощь </w:t>
            </w:r>
            <w:r w:rsidR="00D60523" w:rsidRPr="002A7AC1">
              <w:t xml:space="preserve">в создании национальных, региональных или субрегиональных программ </w:t>
            </w:r>
            <w:proofErr w:type="spellStart"/>
            <w:r w:rsidR="00D60523" w:rsidRPr="002A7AC1">
              <w:t>C&amp;I</w:t>
            </w:r>
            <w:proofErr w:type="spellEnd"/>
            <w:r w:rsidR="00D60523" w:rsidRPr="002A7AC1">
              <w:t>, в проведении аналитических исследований для содействия созданию общих режимов соответствия и функциональной совместимости на национальном, региональном и субрегиональном уровнях посредством реализации соглашений/договоренностей о взаимном признании (</w:t>
            </w:r>
            <w:proofErr w:type="spellStart"/>
            <w:r w:rsidR="00D60523" w:rsidRPr="002A7AC1">
              <w:t>MRA</w:t>
            </w:r>
            <w:proofErr w:type="spellEnd"/>
            <w:r w:rsidR="00D60523" w:rsidRPr="002A7AC1">
              <w:t>)</w:t>
            </w:r>
            <w:r w:rsidRPr="002A7AC1"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11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1F3B23">
            <w:pPr>
              <w:pStyle w:val="Tabletext"/>
            </w:pPr>
            <w:r w:rsidRPr="002A7AC1">
              <w:rPr>
                <w:color w:val="000000"/>
              </w:rPr>
              <w:t xml:space="preserve">Помощь </w:t>
            </w:r>
            <w:r w:rsidR="00D60523" w:rsidRPr="002A7AC1">
              <w:rPr>
                <w:color w:val="000000"/>
              </w:rPr>
              <w:t>в разработке политических принципов и нормативно-правовой базы для цифрового наземного радиовещания, включая планирование частот и оптимизацию использования спектра; разработка руководящих указаний по цифровому радиовещанию и генеральных планов по переходу от аналогового к цифровому радиовещанию и новым услугам и технологиям радиовещания</w:t>
            </w:r>
            <w:r w:rsidRPr="002A7AC1">
              <w:rPr>
                <w:color w:val="000000"/>
              </w:rPr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12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330EE9">
            <w:pPr>
              <w:pStyle w:val="Tabletext"/>
            </w:pPr>
            <w:r w:rsidRPr="002A7AC1">
              <w:t xml:space="preserve">Помощь </w:t>
            </w:r>
            <w:r w:rsidR="00D60523" w:rsidRPr="002A7AC1">
              <w:t>в осуществлении оценки управления использованием спектра, в составлении генеральных планов и рекомендуемых планов действий по дальнейшему развитию структур, процедур и инструментов управления использованием спектра, включая новые подходы к совместному использованию спектра</w:t>
            </w:r>
            <w:r w:rsidRPr="002A7AC1"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13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B50753">
            <w:pPr>
              <w:pStyle w:val="Tabletext"/>
              <w:ind w:right="-57"/>
            </w:pPr>
            <w:r w:rsidRPr="002A7AC1">
              <w:t xml:space="preserve">Помощь </w:t>
            </w:r>
            <w:r w:rsidR="00D60523" w:rsidRPr="002A7AC1">
              <w:t>по вопросам режимов взимания платы за использование спектра, включая прямую помощь в создании таких режимов; в согласовании распределений частот на региональном уровне, включая процедуры координации в приграничных областях; и в оптимизации и экономически эффективном использовании систем и сетей контроля использования спектра</w:t>
            </w:r>
            <w:r w:rsidRPr="002A7AC1">
              <w:t>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14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2B02C4">
            <w:pPr>
              <w:pStyle w:val="Tabletext"/>
            </w:pPr>
            <w:r w:rsidRPr="002A7AC1">
              <w:t xml:space="preserve">Помощь </w:t>
            </w:r>
            <w:r w:rsidR="00D60523" w:rsidRPr="002A7AC1">
              <w:t>развивающимся странам в создании человеческого потенциала для развития и использования спутниковой электросвязи.</w:t>
            </w:r>
          </w:p>
        </w:tc>
      </w:tr>
      <w:tr w:rsidR="007B1EFA" w:rsidRPr="002A7AC1" w:rsidTr="007B1EFA">
        <w:trPr>
          <w:trHeight w:val="490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15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1F3B23">
            <w:pPr>
              <w:pStyle w:val="Tabletext"/>
            </w:pPr>
            <w:r w:rsidRPr="002A7AC1">
              <w:t xml:space="preserve">Сотрудничество </w:t>
            </w:r>
            <w:r w:rsidR="00D60523" w:rsidRPr="002A7AC1">
              <w:t xml:space="preserve">с международными/региональными организациями для расширения региональных возможностей присоединения сетей электросвязи/ИКТ, таких как </w:t>
            </w:r>
            <w:r w:rsidR="00D60523" w:rsidRPr="002A7AC1">
              <w:rPr>
                <w:color w:val="000000"/>
              </w:rPr>
              <w:t xml:space="preserve">Азиатско-Тихоокеанская информационная </w:t>
            </w:r>
            <w:proofErr w:type="spellStart"/>
            <w:r w:rsidR="00D60523" w:rsidRPr="002A7AC1">
              <w:rPr>
                <w:color w:val="000000"/>
              </w:rPr>
              <w:t>супермагистраль</w:t>
            </w:r>
            <w:proofErr w:type="spellEnd"/>
            <w:r w:rsidR="00D60523" w:rsidRPr="002A7AC1">
              <w:rPr>
                <w:szCs w:val="24"/>
              </w:rPr>
              <w:t xml:space="preserve"> (</w:t>
            </w:r>
            <w:proofErr w:type="spellStart"/>
            <w:r w:rsidR="00D60523" w:rsidRPr="002A7AC1">
              <w:rPr>
                <w:szCs w:val="24"/>
              </w:rPr>
              <w:t>AP-IS</w:t>
            </w:r>
            <w:proofErr w:type="spellEnd"/>
            <w:r w:rsidR="00D60523" w:rsidRPr="002A7AC1">
              <w:rPr>
                <w:szCs w:val="24"/>
              </w:rPr>
              <w:t>).</w:t>
            </w:r>
          </w:p>
        </w:tc>
      </w:tr>
    </w:tbl>
    <w:p w:rsidR="00556A0B" w:rsidRPr="002A7AC1" w:rsidRDefault="00556A0B" w:rsidP="00EC2114"/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7B1EFA" w:rsidRPr="002A7AC1" w:rsidTr="001F3B23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7B1EFA" w:rsidRPr="002A7AC1" w:rsidRDefault="007B1EFA" w:rsidP="001F3B23">
            <w:pPr>
              <w:pStyle w:val="Tablehead"/>
            </w:pPr>
            <w:proofErr w:type="spellStart"/>
            <w:r w:rsidRPr="002A7AC1">
              <w:t>РИ</w:t>
            </w:r>
            <w:proofErr w:type="spellEnd"/>
            <w:r w:rsidRPr="002A7AC1">
              <w:br w:type="page"/>
              <w:t xml:space="preserve"> 4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7B1EFA" w:rsidRPr="002A7AC1" w:rsidRDefault="007E32F1" w:rsidP="001F3B23">
            <w:pPr>
              <w:pStyle w:val="Tablehead"/>
              <w:jc w:val="left"/>
            </w:pPr>
            <w:r w:rsidRPr="002A7AC1">
              <w:t>Благоприятная</w:t>
            </w:r>
            <w:r w:rsidRPr="002A7AC1">
              <w:rPr>
                <w:bCs/>
                <w:color w:val="000000"/>
              </w:rPr>
              <w:t xml:space="preserve"> политическая и регуляторная среда</w:t>
            </w:r>
          </w:p>
        </w:tc>
      </w:tr>
      <w:tr w:rsidR="007B1EFA" w:rsidRPr="002A7AC1" w:rsidTr="001F3B23">
        <w:tc>
          <w:tcPr>
            <w:tcW w:w="1423" w:type="dxa"/>
            <w:gridSpan w:val="2"/>
            <w:vAlign w:val="center"/>
          </w:tcPr>
          <w:p w:rsidR="007B1EFA" w:rsidRPr="002A7AC1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217" w:type="dxa"/>
          </w:tcPr>
          <w:p w:rsidR="007B1EFA" w:rsidRPr="002A7AC1" w:rsidRDefault="007E32F1" w:rsidP="00E17E1E">
            <w:pPr>
              <w:pStyle w:val="Tabletext"/>
            </w:pPr>
            <w:r w:rsidRPr="002A7AC1">
              <w:rPr>
                <w:color w:val="000000"/>
              </w:rPr>
              <w:t xml:space="preserve">Помогать Государствам-Членам в разработке соответствующих политических принципов и нормативно-правовых баз, в содействии инновациям (в первую очередь </w:t>
            </w:r>
            <w:proofErr w:type="spellStart"/>
            <w:r w:rsidRPr="002A7AC1">
              <w:rPr>
                <w:color w:val="000000"/>
              </w:rPr>
              <w:t>МСП</w:t>
            </w:r>
            <w:proofErr w:type="spellEnd"/>
            <w:r w:rsidRPr="002A7AC1">
              <w:rPr>
                <w:color w:val="000000"/>
              </w:rPr>
              <w:t>), повышении квалификации, расширении обмена информацией и укреплении сотрудничества в области регулирования, что способствует созданию поддерживающей регуляторной среды для отрасли (включая партнерства государственного и частного секторов) и учету интересов потребителей</w:t>
            </w:r>
            <w:r w:rsidRPr="002A7AC1">
              <w:t>.</w:t>
            </w:r>
          </w:p>
        </w:tc>
      </w:tr>
      <w:tr w:rsidR="007B1EFA" w:rsidRPr="002A7AC1" w:rsidTr="001F3B23">
        <w:trPr>
          <w:trHeight w:val="407"/>
        </w:trPr>
        <w:tc>
          <w:tcPr>
            <w:tcW w:w="695" w:type="dxa"/>
            <w:vMerge w:val="restart"/>
            <w:textDirection w:val="btLr"/>
            <w:vAlign w:val="center"/>
          </w:tcPr>
          <w:p w:rsidR="007B1EFA" w:rsidRPr="002A7AC1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316A9F">
            <w:pPr>
              <w:pStyle w:val="Tabletext"/>
            </w:pPr>
            <w:r w:rsidRPr="002A7AC1">
              <w:t>Совместное использование информации о текущих изменениях в области политической, правовой и нормативной базы, а также о развитии рынка в секторе электросвязи/ИКТ и в цифровых экономиках, функционирование которых обеспечивает этот сектор.</w:t>
            </w:r>
          </w:p>
        </w:tc>
      </w:tr>
      <w:tr w:rsidR="007B1EFA" w:rsidRPr="002A7AC1" w:rsidTr="001F3B23">
        <w:trPr>
          <w:trHeight w:val="407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C732C8">
            <w:pPr>
              <w:pStyle w:val="Tabletext"/>
            </w:pPr>
            <w:r w:rsidRPr="002A7AC1">
              <w:t>Помощь в определении, разработке, реализации и анализе обеспечивающих прозрачность, последовательность и перспективу стратегий, политики, правовой и нормативной базы, а также в переходе к принятию решений с учетом полной информации на национальном и региональном уровнях.</w:t>
            </w:r>
          </w:p>
        </w:tc>
      </w:tr>
      <w:tr w:rsidR="007B1EFA" w:rsidRPr="002A7AC1" w:rsidTr="001F3B23">
        <w:trPr>
          <w:trHeight w:val="407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984424">
            <w:pPr>
              <w:pStyle w:val="Tabletext"/>
            </w:pPr>
            <w:r w:rsidRPr="002A7AC1">
              <w:t>Предоставление инструментов и платформ для открытого для всех диалога и укрепления сотрудничества между национальными и региональными регуляторными и директивными органами и другими заинтересованными сторонами в области электросвязи/ИКТ и другими секторами экономики по политическим, правовым, нормативным и рыночным вопросам.</w:t>
            </w:r>
          </w:p>
        </w:tc>
      </w:tr>
      <w:tr w:rsidR="007B1EFA" w:rsidRPr="002A7AC1" w:rsidTr="001F3B23">
        <w:trPr>
          <w:trHeight w:val="407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185159">
            <w:pPr>
              <w:pStyle w:val="Tabletext"/>
            </w:pPr>
            <w:r w:rsidRPr="002A7AC1">
              <w:t>Помощь в создании институционального и человеческого потенциала и технической помощи по актуальным политическим, юридическим, нормативным, а также по экономическим и финансовым вопросам и вопросам развития рынков, в том числе через центры профессионального мастерства.</w:t>
            </w:r>
          </w:p>
        </w:tc>
      </w:tr>
      <w:tr w:rsidR="007B1EFA" w:rsidRPr="002A7AC1" w:rsidTr="001F3B23">
        <w:trPr>
          <w:trHeight w:val="407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1F3B23">
            <w:pPr>
              <w:pStyle w:val="Tabletext"/>
            </w:pPr>
            <w:r w:rsidRPr="002A7AC1">
              <w:t>Помощь в обновлении политики в области электросвязи/ИКТ по инновациям и предпринимательству.</w:t>
            </w:r>
          </w:p>
        </w:tc>
      </w:tr>
      <w:tr w:rsidR="007B1EFA" w:rsidRPr="002A7AC1" w:rsidTr="001F3B23">
        <w:trPr>
          <w:trHeight w:val="407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6</w:t>
            </w:r>
          </w:p>
        </w:tc>
        <w:tc>
          <w:tcPr>
            <w:tcW w:w="8217" w:type="dxa"/>
            <w:vAlign w:val="center"/>
          </w:tcPr>
          <w:p w:rsidR="007B1EFA" w:rsidRPr="002A7AC1" w:rsidRDefault="007E32F1" w:rsidP="001F3B23">
            <w:pPr>
              <w:pStyle w:val="Tabletext"/>
            </w:pPr>
            <w:r w:rsidRPr="002A7AC1">
              <w:t>Помощь в разработке стратегической основы для поддержки научно-исследовательской деятельности и опытно-конструкторских работ в области электросвязи/ИКТ в развивающихся странах.</w:t>
            </w:r>
          </w:p>
        </w:tc>
      </w:tr>
    </w:tbl>
    <w:p w:rsidR="00320BC1" w:rsidRPr="00320BC1" w:rsidRDefault="00320BC1" w:rsidP="00320BC1"/>
    <w:p w:rsidR="00320BC1" w:rsidRPr="00320BC1" w:rsidRDefault="00320BC1" w:rsidP="00320BC1">
      <w:r w:rsidRPr="00320BC1">
        <w:br w:type="page"/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7B1EFA" w:rsidRPr="002A7AC1" w:rsidTr="001F3B23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7B1EFA" w:rsidRPr="002A7AC1" w:rsidRDefault="007B1EFA" w:rsidP="001F3B23">
            <w:pPr>
              <w:pStyle w:val="Tablehead"/>
            </w:pPr>
            <w:proofErr w:type="spellStart"/>
            <w:r w:rsidRPr="002A7AC1">
              <w:lastRenderedPageBreak/>
              <w:t>РИ</w:t>
            </w:r>
            <w:proofErr w:type="spellEnd"/>
            <w:r w:rsidRPr="002A7AC1">
              <w:br w:type="page"/>
              <w:t xml:space="preserve"> 5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7B1EFA" w:rsidRPr="002A7AC1" w:rsidRDefault="002F0685" w:rsidP="001F3B23">
            <w:pPr>
              <w:pStyle w:val="Tablehead"/>
              <w:jc w:val="left"/>
            </w:pPr>
            <w:r w:rsidRPr="002A7AC1">
              <w:t>Содействие</w:t>
            </w:r>
            <w:r w:rsidRPr="002A7AC1">
              <w:rPr>
                <w:bCs/>
                <w:color w:val="000000"/>
              </w:rPr>
              <w:t xml:space="preserve"> созданию безопасной и способной к восстановлению среды</w:t>
            </w:r>
          </w:p>
        </w:tc>
      </w:tr>
      <w:tr w:rsidR="007B1EFA" w:rsidRPr="002A7AC1" w:rsidTr="001F3B23">
        <w:tc>
          <w:tcPr>
            <w:tcW w:w="1423" w:type="dxa"/>
            <w:gridSpan w:val="2"/>
            <w:vAlign w:val="center"/>
          </w:tcPr>
          <w:p w:rsidR="007B1EFA" w:rsidRPr="002A7AC1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Задача</w:t>
            </w:r>
          </w:p>
        </w:tc>
        <w:tc>
          <w:tcPr>
            <w:tcW w:w="8217" w:type="dxa"/>
          </w:tcPr>
          <w:p w:rsidR="007B1EFA" w:rsidRPr="002A7AC1" w:rsidRDefault="002F0685" w:rsidP="001F3B23">
            <w:pPr>
              <w:pStyle w:val="Tabletext"/>
            </w:pPr>
            <w:r w:rsidRPr="002A7AC1">
              <w:t>Оказывать Государствам-Членам помощь в развитии и поддержании безопасных, надежных и способных к восстановлению сетей/услуг, для решения проблем, связанных с изменением климата, а также для содействия подготовленности к бедствиям, снижению риска и смягчению последствий бедствий.</w:t>
            </w:r>
          </w:p>
        </w:tc>
      </w:tr>
      <w:tr w:rsidR="007B1EFA" w:rsidRPr="002A7AC1" w:rsidTr="007B1EFA">
        <w:trPr>
          <w:trHeight w:val="566"/>
        </w:trPr>
        <w:tc>
          <w:tcPr>
            <w:tcW w:w="695" w:type="dxa"/>
            <w:vMerge w:val="restart"/>
            <w:textDirection w:val="btLr"/>
            <w:vAlign w:val="center"/>
          </w:tcPr>
          <w:p w:rsidR="007B1EFA" w:rsidRPr="002A7AC1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2A7AC1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1</w:t>
            </w:r>
          </w:p>
        </w:tc>
        <w:tc>
          <w:tcPr>
            <w:tcW w:w="8217" w:type="dxa"/>
            <w:vAlign w:val="center"/>
          </w:tcPr>
          <w:p w:rsidR="007B1EFA" w:rsidRPr="002A7AC1" w:rsidRDefault="002F0685" w:rsidP="001F3B23">
            <w:pPr>
              <w:pStyle w:val="Tabletext"/>
            </w:pPr>
            <w:r w:rsidRPr="002A7AC1">
              <w:t xml:space="preserve">Помощь в разработке национальных и/или региональных стратегий в области </w:t>
            </w:r>
            <w:proofErr w:type="spellStart"/>
            <w:r w:rsidRPr="002A7AC1">
              <w:t>кибербезопасности</w:t>
            </w:r>
            <w:proofErr w:type="spellEnd"/>
            <w:r w:rsidR="00B64879" w:rsidRPr="002A7AC1">
              <w:t>.</w:t>
            </w:r>
          </w:p>
        </w:tc>
      </w:tr>
      <w:tr w:rsidR="007B1EFA" w:rsidRPr="002A7AC1" w:rsidTr="007B1EFA">
        <w:trPr>
          <w:trHeight w:val="566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2</w:t>
            </w:r>
          </w:p>
        </w:tc>
        <w:tc>
          <w:tcPr>
            <w:tcW w:w="8217" w:type="dxa"/>
            <w:vAlign w:val="center"/>
          </w:tcPr>
          <w:p w:rsidR="007B1EFA" w:rsidRPr="002A7AC1" w:rsidRDefault="00B64879" w:rsidP="001F3B23">
            <w:pPr>
              <w:pStyle w:val="Tabletext"/>
            </w:pPr>
            <w:r w:rsidRPr="002A7AC1">
              <w:t xml:space="preserve">Помощь </w:t>
            </w:r>
            <w:r w:rsidR="002F0685" w:rsidRPr="002A7AC1">
              <w:t xml:space="preserve">в создании национальных структур </w:t>
            </w:r>
            <w:proofErr w:type="spellStart"/>
            <w:r w:rsidR="002F0685" w:rsidRPr="002A7AC1">
              <w:t>кибербезопасности</w:t>
            </w:r>
            <w:proofErr w:type="spellEnd"/>
            <w:r w:rsidR="002F0685" w:rsidRPr="002A7AC1">
              <w:t>, таких как группы реагирования на компьютерные инциденты (</w:t>
            </w:r>
            <w:proofErr w:type="spellStart"/>
            <w:r w:rsidR="002F0685" w:rsidRPr="002A7AC1">
              <w:t>CIRT</w:t>
            </w:r>
            <w:proofErr w:type="spellEnd"/>
            <w:r w:rsidR="002F0685" w:rsidRPr="002A7AC1">
              <w:t xml:space="preserve">), для определения </w:t>
            </w:r>
            <w:proofErr w:type="spellStart"/>
            <w:r w:rsidR="002F0685" w:rsidRPr="002A7AC1">
              <w:t>киберугроз</w:t>
            </w:r>
            <w:proofErr w:type="spellEnd"/>
            <w:r w:rsidR="002F0685" w:rsidRPr="002A7AC1">
              <w:t xml:space="preserve">, управления операциями и реагирования в случае </w:t>
            </w:r>
            <w:proofErr w:type="spellStart"/>
            <w:r w:rsidR="002F0685" w:rsidRPr="002A7AC1">
              <w:t>киберугроз</w:t>
            </w:r>
            <w:proofErr w:type="spellEnd"/>
            <w:r w:rsidR="002F0685" w:rsidRPr="002A7AC1">
              <w:t>, а также участия в механизмах сотрудничества на региональном и международном уровнях</w:t>
            </w:r>
            <w:r w:rsidRPr="002A7AC1">
              <w:t>.</w:t>
            </w:r>
          </w:p>
        </w:tc>
      </w:tr>
      <w:tr w:rsidR="007B1EFA" w:rsidRPr="002A7AC1" w:rsidTr="007B1EFA">
        <w:trPr>
          <w:trHeight w:val="566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3</w:t>
            </w:r>
          </w:p>
        </w:tc>
        <w:tc>
          <w:tcPr>
            <w:tcW w:w="8217" w:type="dxa"/>
            <w:vAlign w:val="center"/>
          </w:tcPr>
          <w:p w:rsidR="007B1EFA" w:rsidRPr="002A7AC1" w:rsidRDefault="00B64879" w:rsidP="00704FE1">
            <w:pPr>
              <w:pStyle w:val="Tabletext"/>
            </w:pPr>
            <w:r w:rsidRPr="002A7AC1">
              <w:t xml:space="preserve">Укрепление </w:t>
            </w:r>
            <w:r w:rsidR="002F0685" w:rsidRPr="002A7AC1">
              <w:t xml:space="preserve">институционального сотрудничества и координации между основными участниками и заинтересованными сторонами посредством организации тренировочных занятий по </w:t>
            </w:r>
            <w:proofErr w:type="spellStart"/>
            <w:r w:rsidR="002F0685" w:rsidRPr="002A7AC1">
              <w:t>кибербезопасности</w:t>
            </w:r>
            <w:proofErr w:type="spellEnd"/>
            <w:r w:rsidR="002F0685" w:rsidRPr="002A7AC1">
              <w:t xml:space="preserve"> на национальном и региональном уровнях</w:t>
            </w:r>
            <w:r w:rsidRPr="002A7AC1">
              <w:t>.</w:t>
            </w:r>
          </w:p>
        </w:tc>
      </w:tr>
      <w:tr w:rsidR="007B1EFA" w:rsidRPr="002A7AC1" w:rsidTr="007B1EFA">
        <w:trPr>
          <w:trHeight w:val="566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4</w:t>
            </w:r>
          </w:p>
        </w:tc>
        <w:tc>
          <w:tcPr>
            <w:tcW w:w="8217" w:type="dxa"/>
            <w:vAlign w:val="center"/>
          </w:tcPr>
          <w:p w:rsidR="007B1EFA" w:rsidRPr="002A7AC1" w:rsidRDefault="00B64879" w:rsidP="001F3B23">
            <w:pPr>
              <w:pStyle w:val="Tabletext"/>
            </w:pPr>
            <w:r w:rsidRPr="002A7AC1">
              <w:t xml:space="preserve">Формирование </w:t>
            </w:r>
            <w:r w:rsidR="002F0685" w:rsidRPr="002A7AC1">
              <w:t xml:space="preserve">культуры </w:t>
            </w:r>
            <w:proofErr w:type="spellStart"/>
            <w:r w:rsidR="002F0685" w:rsidRPr="002A7AC1">
              <w:t>кибербезопасности</w:t>
            </w:r>
            <w:proofErr w:type="spellEnd"/>
            <w:r w:rsidR="002F0685" w:rsidRPr="002A7AC1">
              <w:t xml:space="preserve"> путем распространения передового опыта, накопленного благодаря Глобальному индексу </w:t>
            </w:r>
            <w:proofErr w:type="spellStart"/>
            <w:r w:rsidR="002F0685" w:rsidRPr="002A7AC1">
              <w:t>кибербезопасности</w:t>
            </w:r>
            <w:proofErr w:type="spellEnd"/>
            <w:r w:rsidR="002F0685" w:rsidRPr="002A7AC1">
              <w:t xml:space="preserve"> (</w:t>
            </w:r>
            <w:proofErr w:type="spellStart"/>
            <w:r w:rsidR="002F0685" w:rsidRPr="002A7AC1">
              <w:t>GCI</w:t>
            </w:r>
            <w:proofErr w:type="spellEnd"/>
            <w:r w:rsidR="002F0685" w:rsidRPr="002A7AC1">
              <w:t>)</w:t>
            </w:r>
            <w:r w:rsidRPr="002A7AC1">
              <w:t>.</w:t>
            </w:r>
          </w:p>
        </w:tc>
      </w:tr>
      <w:tr w:rsidR="007B1EFA" w:rsidRPr="002A7AC1" w:rsidTr="007B1EFA">
        <w:trPr>
          <w:trHeight w:val="566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5</w:t>
            </w:r>
          </w:p>
        </w:tc>
        <w:tc>
          <w:tcPr>
            <w:tcW w:w="8217" w:type="dxa"/>
            <w:vAlign w:val="center"/>
          </w:tcPr>
          <w:p w:rsidR="007B1EFA" w:rsidRPr="002A7AC1" w:rsidRDefault="00B64879" w:rsidP="001F3B23">
            <w:pPr>
              <w:pStyle w:val="Tabletext"/>
            </w:pPr>
            <w:r w:rsidRPr="002A7AC1">
              <w:t xml:space="preserve">Создание </w:t>
            </w:r>
            <w:r w:rsidR="002F0685" w:rsidRPr="002A7AC1">
              <w:t xml:space="preserve">потенциала для укрепления и поддержания согласованности усилий во всем мире в сфере </w:t>
            </w:r>
            <w:proofErr w:type="spellStart"/>
            <w:r w:rsidR="002F0685" w:rsidRPr="002A7AC1">
              <w:t>кибербезопасности</w:t>
            </w:r>
            <w:proofErr w:type="spellEnd"/>
            <w:r w:rsidRPr="002A7AC1">
              <w:t>.</w:t>
            </w:r>
          </w:p>
        </w:tc>
      </w:tr>
      <w:tr w:rsidR="007B1EFA" w:rsidRPr="002A7AC1" w:rsidTr="007B1EFA">
        <w:trPr>
          <w:trHeight w:val="566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6</w:t>
            </w:r>
          </w:p>
        </w:tc>
        <w:tc>
          <w:tcPr>
            <w:tcW w:w="8217" w:type="dxa"/>
            <w:vAlign w:val="center"/>
          </w:tcPr>
          <w:p w:rsidR="007B1EFA" w:rsidRPr="002A7AC1" w:rsidRDefault="00B64879" w:rsidP="001F3B23">
            <w:pPr>
              <w:pStyle w:val="Tabletext"/>
            </w:pPr>
            <w:r w:rsidRPr="002A7AC1">
              <w:t xml:space="preserve">Помощь </w:t>
            </w:r>
            <w:r w:rsidR="002F0685" w:rsidRPr="002A7AC1">
              <w:t>в разработке национальных планов обеспечения электросвязи в чрезвычайных ситуациях</w:t>
            </w:r>
            <w:r w:rsidRPr="002A7AC1">
              <w:t>.</w:t>
            </w:r>
          </w:p>
        </w:tc>
      </w:tr>
      <w:tr w:rsidR="007B1EFA" w:rsidRPr="002A7AC1" w:rsidTr="007B1EFA">
        <w:trPr>
          <w:trHeight w:val="566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7</w:t>
            </w:r>
          </w:p>
        </w:tc>
        <w:tc>
          <w:tcPr>
            <w:tcW w:w="8217" w:type="dxa"/>
            <w:vAlign w:val="center"/>
          </w:tcPr>
          <w:p w:rsidR="007B1EFA" w:rsidRPr="002A7AC1" w:rsidRDefault="00B64879" w:rsidP="001F3B23">
            <w:pPr>
              <w:pStyle w:val="Tabletext"/>
            </w:pPr>
            <w:r w:rsidRPr="002A7AC1">
              <w:t xml:space="preserve">Инициативы </w:t>
            </w:r>
            <w:r w:rsidR="002F0685" w:rsidRPr="002A7AC1">
              <w:t>на базе электросвязи/ИКТ для обеспечения медицинской (электронное здравоохранение) и гуманитарной помощи при бедствиях и в чрезвычайных ситуациях</w:t>
            </w:r>
            <w:r w:rsidRPr="002A7AC1">
              <w:t>.</w:t>
            </w:r>
          </w:p>
        </w:tc>
      </w:tr>
      <w:tr w:rsidR="007B1EFA" w:rsidRPr="002A7AC1" w:rsidTr="007B1EFA">
        <w:trPr>
          <w:trHeight w:val="566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8</w:t>
            </w:r>
          </w:p>
        </w:tc>
        <w:tc>
          <w:tcPr>
            <w:tcW w:w="8217" w:type="dxa"/>
            <w:vAlign w:val="center"/>
          </w:tcPr>
          <w:p w:rsidR="007B1EFA" w:rsidRPr="002A7AC1" w:rsidRDefault="0052616E" w:rsidP="00617879">
            <w:pPr>
              <w:pStyle w:val="Tabletext"/>
            </w:pPr>
            <w:r w:rsidRPr="002A7AC1">
              <w:t>Помощь во внедрении в сети и инфраструктуру электросвязи элементов, способных к восстановлению в случае бедствий</w:t>
            </w:r>
            <w:r w:rsidR="00B64879" w:rsidRPr="002A7AC1">
              <w:t>.</w:t>
            </w:r>
          </w:p>
        </w:tc>
      </w:tr>
      <w:tr w:rsidR="007B1EFA" w:rsidRPr="002A7AC1" w:rsidTr="007B1EFA">
        <w:trPr>
          <w:trHeight w:val="566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9</w:t>
            </w:r>
          </w:p>
        </w:tc>
        <w:tc>
          <w:tcPr>
            <w:tcW w:w="8217" w:type="dxa"/>
            <w:vAlign w:val="center"/>
          </w:tcPr>
          <w:p w:rsidR="007B1EFA" w:rsidRPr="002A7AC1" w:rsidRDefault="00B64879" w:rsidP="001F3B23">
            <w:pPr>
              <w:pStyle w:val="Tabletext"/>
            </w:pPr>
            <w:r w:rsidRPr="002A7AC1">
              <w:t xml:space="preserve">Помощь </w:t>
            </w:r>
            <w:r w:rsidR="002F0685" w:rsidRPr="002A7AC1">
              <w:t>в разработке решений на базе электросвязи/ИКТ, включая технологии беспроводной и спутниковой связи</w:t>
            </w:r>
            <w:r w:rsidRPr="002A7AC1">
              <w:t>.</w:t>
            </w:r>
          </w:p>
        </w:tc>
      </w:tr>
      <w:tr w:rsidR="007B1EFA" w:rsidRPr="002A7AC1" w:rsidTr="007B1EFA">
        <w:trPr>
          <w:trHeight w:val="566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10</w:t>
            </w:r>
          </w:p>
        </w:tc>
        <w:tc>
          <w:tcPr>
            <w:tcW w:w="8217" w:type="dxa"/>
            <w:vAlign w:val="center"/>
          </w:tcPr>
          <w:p w:rsidR="007B1EFA" w:rsidRPr="002A7AC1" w:rsidRDefault="00B64879" w:rsidP="00B631A4">
            <w:pPr>
              <w:pStyle w:val="Tabletext"/>
            </w:pPr>
            <w:r w:rsidRPr="002A7AC1">
              <w:t xml:space="preserve">Помощь </w:t>
            </w:r>
            <w:r w:rsidR="002F0685" w:rsidRPr="002A7AC1">
              <w:t>в использовании активных и пассивных систем зондирования космического базирования для прогнозирования и обнаружения бедствий, а также смягчения их последствий</w:t>
            </w:r>
            <w:r w:rsidRPr="002A7AC1">
              <w:t>.</w:t>
            </w:r>
          </w:p>
        </w:tc>
      </w:tr>
      <w:tr w:rsidR="007B1EFA" w:rsidRPr="002A7AC1" w:rsidTr="007B1EFA">
        <w:trPr>
          <w:trHeight w:val="566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11</w:t>
            </w:r>
          </w:p>
        </w:tc>
        <w:tc>
          <w:tcPr>
            <w:tcW w:w="8217" w:type="dxa"/>
            <w:vAlign w:val="center"/>
          </w:tcPr>
          <w:p w:rsidR="007B1EFA" w:rsidRPr="002A7AC1" w:rsidRDefault="00B64879" w:rsidP="000C4218">
            <w:pPr>
              <w:pStyle w:val="Tabletext"/>
            </w:pPr>
            <w:r w:rsidRPr="002A7AC1">
              <w:t xml:space="preserve">Помощь </w:t>
            </w:r>
            <w:r w:rsidR="002F0685" w:rsidRPr="002A7AC1">
              <w:t>в выработке комплексных стратегий и мер по оказанию помощи для содействия смягчению разрушительных последствий изменения климата и реагированию на них</w:t>
            </w:r>
            <w:r w:rsidRPr="002A7AC1">
              <w:t>.</w:t>
            </w:r>
          </w:p>
        </w:tc>
      </w:tr>
      <w:tr w:rsidR="007B1EFA" w:rsidRPr="002A7AC1" w:rsidTr="007B1EFA">
        <w:trPr>
          <w:trHeight w:val="566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1F3B23">
            <w:pPr>
              <w:pStyle w:val="Tabletext"/>
              <w:jc w:val="center"/>
            </w:pPr>
            <w:r w:rsidRPr="002A7AC1">
              <w:t>12</w:t>
            </w:r>
          </w:p>
        </w:tc>
        <w:tc>
          <w:tcPr>
            <w:tcW w:w="8217" w:type="dxa"/>
            <w:vAlign w:val="center"/>
          </w:tcPr>
          <w:p w:rsidR="007B1EFA" w:rsidRPr="002A7AC1" w:rsidRDefault="00B64879" w:rsidP="001F3B23">
            <w:pPr>
              <w:pStyle w:val="Tabletext"/>
            </w:pPr>
            <w:r w:rsidRPr="002A7AC1">
              <w:t xml:space="preserve">Помощь </w:t>
            </w:r>
            <w:r w:rsidR="002F0685" w:rsidRPr="002A7AC1">
              <w:t>в разработке политики в области электронных отходов</w:t>
            </w:r>
            <w:r w:rsidRPr="002A7AC1">
              <w:t>.</w:t>
            </w:r>
          </w:p>
        </w:tc>
      </w:tr>
      <w:tr w:rsidR="007B1EFA" w:rsidRPr="002A7AC1" w:rsidTr="007B1EFA">
        <w:trPr>
          <w:trHeight w:val="566"/>
        </w:trPr>
        <w:tc>
          <w:tcPr>
            <w:tcW w:w="695" w:type="dxa"/>
            <w:vMerge/>
          </w:tcPr>
          <w:p w:rsidR="007B1EFA" w:rsidRPr="002A7AC1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2A7AC1" w:rsidRDefault="007B1EFA" w:rsidP="007B1EFA">
            <w:pPr>
              <w:pStyle w:val="Tabletext"/>
              <w:jc w:val="center"/>
            </w:pPr>
            <w:r w:rsidRPr="002A7AC1">
              <w:t>13</w:t>
            </w:r>
          </w:p>
        </w:tc>
        <w:tc>
          <w:tcPr>
            <w:tcW w:w="8217" w:type="dxa"/>
            <w:vAlign w:val="center"/>
          </w:tcPr>
          <w:p w:rsidR="007B1EFA" w:rsidRPr="002A7AC1" w:rsidRDefault="00B64879" w:rsidP="001F3B23">
            <w:pPr>
              <w:pStyle w:val="Tabletext"/>
            </w:pPr>
            <w:r w:rsidRPr="002A7AC1">
              <w:t xml:space="preserve">Помощь </w:t>
            </w:r>
            <w:r w:rsidR="002F0685" w:rsidRPr="002A7AC1">
              <w:t>в разработке основанных на стандартах систем мониторинга и раннего предупреждения, связанных с национальными и региональными сетями.</w:t>
            </w:r>
          </w:p>
        </w:tc>
      </w:tr>
    </w:tbl>
    <w:p w:rsidR="00D57834" w:rsidRPr="002A7AC1" w:rsidRDefault="00D57834" w:rsidP="00D57834">
      <w:pPr>
        <w:pStyle w:val="CEOHeading1"/>
        <w:spacing w:before="480"/>
        <w:rPr>
          <w:rFonts w:asciiTheme="minorHAnsi" w:hAnsiTheme="minorHAnsi"/>
          <w:sz w:val="22"/>
          <w:szCs w:val="22"/>
          <w:lang w:val="ru-RU"/>
        </w:rPr>
      </w:pPr>
      <w:r w:rsidRPr="002A7AC1">
        <w:rPr>
          <w:rFonts w:asciiTheme="minorHAnsi" w:hAnsiTheme="minorHAnsi"/>
          <w:sz w:val="22"/>
          <w:szCs w:val="22"/>
          <w:lang w:val="ru-RU"/>
        </w:rPr>
        <w:t>Европейские региональные инициативы</w:t>
      </w:r>
    </w:p>
    <w:p w:rsidR="00D57834" w:rsidRPr="002A7AC1" w:rsidRDefault="00D57834" w:rsidP="00D57834">
      <w:r w:rsidRPr="002A7AC1">
        <w:t xml:space="preserve">Европейские региональные инициативы рассчитаны на работу в конкретных приоритетных областях ИКТ с помощью партнерских отношений и мобилизации ресурсов для выполнения мелко-, средне- и крупномасштабных проектов. В рамках каждой региональной инициативы будут разрабатываться и осуществляться проекты в целях удовлетворения потребностей </w:t>
      </w:r>
      <w:r w:rsidR="00AE495D" w:rsidRPr="002A7AC1">
        <w:t xml:space="preserve">стран </w:t>
      </w:r>
      <w:r w:rsidRPr="002A7AC1">
        <w:t>данного региона.</w:t>
      </w:r>
    </w:p>
    <w:p w:rsidR="00312BB2" w:rsidRPr="00312BB2" w:rsidRDefault="00312BB2" w:rsidP="00312BB2"/>
    <w:p w:rsidR="00312BB2" w:rsidRPr="00312BB2" w:rsidRDefault="00312BB2" w:rsidP="00312BB2">
      <w:r w:rsidRPr="00312BB2">
        <w:br w:type="page"/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719"/>
        <w:gridCol w:w="7775"/>
      </w:tblGrid>
      <w:tr w:rsidR="00571333" w:rsidRPr="00CA3D12" w:rsidTr="00571333">
        <w:trPr>
          <w:tblHeader/>
          <w:jc w:val="center"/>
        </w:trPr>
        <w:tc>
          <w:tcPr>
            <w:tcW w:w="1576" w:type="dxa"/>
            <w:gridSpan w:val="2"/>
            <w:shd w:val="clear" w:color="auto" w:fill="D6E3BC" w:themeFill="accent3" w:themeFillTint="66"/>
            <w:vAlign w:val="center"/>
          </w:tcPr>
          <w:p w:rsidR="00571333" w:rsidRPr="00320BC1" w:rsidRDefault="00301BF1" w:rsidP="00320BC1">
            <w:pPr>
              <w:pStyle w:val="Tablehead"/>
            </w:pPr>
            <w:proofErr w:type="spellStart"/>
            <w:r w:rsidRPr="00320BC1">
              <w:lastRenderedPageBreak/>
              <w:t>РИ</w:t>
            </w:r>
            <w:proofErr w:type="spellEnd"/>
            <w:r w:rsidR="00571333" w:rsidRPr="00CA3D12">
              <w:br w:type="page"/>
            </w:r>
            <w:r w:rsidR="00571333" w:rsidRPr="00320BC1">
              <w:t xml:space="preserve"> 1</w:t>
            </w:r>
          </w:p>
        </w:tc>
        <w:tc>
          <w:tcPr>
            <w:tcW w:w="7775" w:type="dxa"/>
            <w:shd w:val="clear" w:color="auto" w:fill="D6E3BC" w:themeFill="accent3" w:themeFillTint="66"/>
            <w:vAlign w:val="center"/>
          </w:tcPr>
          <w:p w:rsidR="00571333" w:rsidRPr="00320BC1" w:rsidRDefault="00301BF1" w:rsidP="00320BC1">
            <w:pPr>
              <w:pStyle w:val="Tablehead"/>
              <w:jc w:val="left"/>
            </w:pPr>
            <w:r w:rsidRPr="00320BC1">
              <w:t>Повсеместно распространенные, способные к восстановлению, высокоскоростные широкополосные инфраструктура и услуги</w:t>
            </w:r>
          </w:p>
        </w:tc>
      </w:tr>
      <w:tr w:rsidR="00571333" w:rsidRPr="00CA3D12" w:rsidTr="00571333">
        <w:trPr>
          <w:jc w:val="center"/>
        </w:trPr>
        <w:tc>
          <w:tcPr>
            <w:tcW w:w="1576" w:type="dxa"/>
            <w:gridSpan w:val="2"/>
            <w:vAlign w:val="center"/>
          </w:tcPr>
          <w:p w:rsidR="00571333" w:rsidRPr="00CA3D12" w:rsidRDefault="00301BF1" w:rsidP="00320BC1">
            <w:pPr>
              <w:pStyle w:val="Tabletext"/>
              <w:jc w:val="center"/>
              <w:rPr>
                <w:b/>
                <w:bCs/>
                <w:smallCaps/>
              </w:rPr>
            </w:pPr>
            <w:r w:rsidRPr="00320BC1">
              <w:rPr>
                <w:b/>
                <w:bCs/>
              </w:rPr>
              <w:t>Задача</w:t>
            </w:r>
          </w:p>
        </w:tc>
        <w:tc>
          <w:tcPr>
            <w:tcW w:w="7775" w:type="dxa"/>
          </w:tcPr>
          <w:p w:rsidR="00571333" w:rsidRPr="00CA3D12" w:rsidRDefault="00301BF1" w:rsidP="007057B4">
            <w:pPr>
              <w:keepNext/>
              <w:spacing w:before="40" w:after="40"/>
            </w:pPr>
            <w:r>
              <w:rPr>
                <w:bCs/>
              </w:rPr>
              <w:t>Основная задача данной региональной инициативы – содействовать реализации возможности установления высокоскоростных соединений при совместно</w:t>
            </w:r>
            <w:r w:rsidR="007057B4">
              <w:rPr>
                <w:bCs/>
              </w:rPr>
              <w:t>м использовании</w:t>
            </w:r>
            <w:r>
              <w:rPr>
                <w:bCs/>
              </w:rPr>
              <w:t xml:space="preserve"> способной к восстановлению и </w:t>
            </w:r>
            <w:r w:rsidR="007057B4">
              <w:rPr>
                <w:bCs/>
              </w:rPr>
              <w:t xml:space="preserve">взаимодополняющей </w:t>
            </w:r>
            <w:r>
              <w:rPr>
                <w:bCs/>
              </w:rPr>
              <w:t>инфраструктуры, обеспечивая при этом восприятие пользователями</w:t>
            </w:r>
            <w:r w:rsidR="007057B4">
              <w:rPr>
                <w:bCs/>
              </w:rPr>
              <w:t xml:space="preserve"> надежности и качества</w:t>
            </w:r>
            <w:r w:rsidR="00571333" w:rsidRPr="00061B64">
              <w:rPr>
                <w:bCs/>
              </w:rPr>
              <w:t xml:space="preserve">. </w:t>
            </w:r>
            <w:r>
              <w:rPr>
                <w:bCs/>
              </w:rPr>
              <w:t>Ввиду различий между европейскими странами существует потребность в региональной инициативе, по</w:t>
            </w:r>
            <w:r w:rsidR="007057B4">
              <w:rPr>
                <w:bCs/>
              </w:rPr>
              <w:t xml:space="preserve"> линии</w:t>
            </w:r>
            <w:r>
              <w:rPr>
                <w:bCs/>
              </w:rPr>
              <w:t xml:space="preserve"> которой администрации, испытывающие затруднения, могут получать помощь в следующих областях</w:t>
            </w:r>
            <w:r w:rsidR="00571333" w:rsidRPr="00061B64">
              <w:rPr>
                <w:bCs/>
              </w:rPr>
              <w:t xml:space="preserve">: </w:t>
            </w:r>
            <w:r w:rsidR="007057B4">
              <w:rPr>
                <w:bCs/>
              </w:rPr>
              <w:t>реализация</w:t>
            </w:r>
            <w:r w:rsidR="00204F16">
              <w:rPr>
                <w:bCs/>
              </w:rPr>
              <w:t xml:space="preserve"> возможности установления сверхвысокоскоростных широкополосных соединений</w:t>
            </w:r>
            <w:r w:rsidR="00571333" w:rsidRPr="00061B64">
              <w:rPr>
                <w:bCs/>
              </w:rPr>
              <w:t xml:space="preserve">, </w:t>
            </w:r>
            <w:r w:rsidR="00204F16">
              <w:rPr>
                <w:bCs/>
              </w:rPr>
              <w:t xml:space="preserve">развертывание связи </w:t>
            </w:r>
            <w:proofErr w:type="spellStart"/>
            <w:r w:rsidR="00571333" w:rsidRPr="00061B64">
              <w:rPr>
                <w:bCs/>
              </w:rPr>
              <w:t>5G</w:t>
            </w:r>
            <w:proofErr w:type="spellEnd"/>
            <w:r w:rsidR="00571333" w:rsidRPr="00061B64">
              <w:rPr>
                <w:bCs/>
              </w:rPr>
              <w:t>/</w:t>
            </w:r>
            <w:proofErr w:type="spellStart"/>
            <w:r w:rsidR="00571333" w:rsidRPr="00061B64">
              <w:rPr>
                <w:bCs/>
              </w:rPr>
              <w:t>IMT2020</w:t>
            </w:r>
            <w:proofErr w:type="spellEnd"/>
            <w:r w:rsidR="00571333" w:rsidRPr="00061B64">
              <w:rPr>
                <w:bCs/>
              </w:rPr>
              <w:t xml:space="preserve">, </w:t>
            </w:r>
            <w:r w:rsidR="00204F16">
              <w:rPr>
                <w:bCs/>
              </w:rPr>
              <w:t>развертывание цифровых систем звукового радиовещания и управление использованием спектра</w:t>
            </w:r>
            <w:r w:rsidR="00571333" w:rsidRPr="00061B64">
              <w:rPr>
                <w:bCs/>
              </w:rPr>
              <w:t xml:space="preserve">, </w:t>
            </w:r>
            <w:r w:rsidR="00204F16">
              <w:rPr>
                <w:bCs/>
              </w:rPr>
              <w:t>для обеспечения ускоренного устойчивого развития в среднесрочной и долгосрочной перспективе</w:t>
            </w:r>
            <w:r w:rsidR="00571333" w:rsidRPr="00061B64">
              <w:rPr>
                <w:bCs/>
              </w:rPr>
              <w:t>.</w:t>
            </w:r>
          </w:p>
        </w:tc>
      </w:tr>
      <w:tr w:rsidR="00571333" w:rsidRPr="00CA3D12" w:rsidTr="00571333">
        <w:trPr>
          <w:jc w:val="center"/>
        </w:trPr>
        <w:tc>
          <w:tcPr>
            <w:tcW w:w="857" w:type="dxa"/>
            <w:vMerge w:val="restart"/>
            <w:textDirection w:val="btLr"/>
            <w:vAlign w:val="center"/>
          </w:tcPr>
          <w:p w:rsidR="00571333" w:rsidRPr="00320BC1" w:rsidRDefault="00301BF1" w:rsidP="00F3668D">
            <w:pPr>
              <w:pStyle w:val="Tabletext"/>
              <w:jc w:val="center"/>
              <w:rPr>
                <w:b/>
                <w:bCs/>
              </w:rPr>
            </w:pPr>
            <w:r w:rsidRPr="00320BC1">
              <w:rPr>
                <w:b/>
                <w:bCs/>
              </w:rPr>
              <w:t>Ожидаемые результаты</w:t>
            </w:r>
          </w:p>
        </w:tc>
        <w:tc>
          <w:tcPr>
            <w:tcW w:w="719" w:type="dxa"/>
            <w:vAlign w:val="center"/>
          </w:tcPr>
          <w:p w:rsidR="00571333" w:rsidRPr="00CA3D12" w:rsidRDefault="00571333" w:rsidP="00571333">
            <w:pPr>
              <w:keepNext/>
              <w:spacing w:before="40" w:after="40"/>
              <w:jc w:val="center"/>
            </w:pPr>
            <w:r w:rsidRPr="00CA3D12">
              <w:t>1</w:t>
            </w:r>
          </w:p>
        </w:tc>
        <w:tc>
          <w:tcPr>
            <w:tcW w:w="7775" w:type="dxa"/>
          </w:tcPr>
          <w:p w:rsidR="00571333" w:rsidRPr="00CA3D12" w:rsidRDefault="00204F16" w:rsidP="007057B4">
            <w:pPr>
              <w:keepNext/>
              <w:spacing w:before="40" w:after="40"/>
            </w:pPr>
            <w:r>
              <w:t>Разработка планов (национальных и региональных</w:t>
            </w:r>
            <w:r w:rsidR="00571333" w:rsidRPr="00061B64">
              <w:rPr>
                <w:lang w:val="en-US"/>
              </w:rPr>
              <w:t xml:space="preserve">) </w:t>
            </w:r>
            <w:r w:rsidR="00640068">
              <w:t xml:space="preserve">и </w:t>
            </w:r>
            <w:r>
              <w:t xml:space="preserve">технико-экономических обоснований для </w:t>
            </w:r>
            <w:r>
              <w:rPr>
                <w:bCs/>
              </w:rPr>
              <w:t>реализации возможности установления повсеместно распространенных, способных к восстановлению высокоскоростных соединений, развертывания</w:t>
            </w:r>
            <w:r w:rsidR="00571333" w:rsidRPr="00061B64">
              <w:rPr>
                <w:lang w:val="en-US"/>
              </w:rPr>
              <w:t xml:space="preserve"> </w:t>
            </w:r>
            <w:r>
              <w:t xml:space="preserve">связи </w:t>
            </w:r>
            <w:proofErr w:type="spellStart"/>
            <w:r w:rsidR="00571333" w:rsidRPr="00061B64">
              <w:rPr>
                <w:lang w:val="en-US"/>
              </w:rPr>
              <w:t>5G</w:t>
            </w:r>
            <w:proofErr w:type="spellEnd"/>
            <w:r w:rsidR="00571333" w:rsidRPr="00061B64">
              <w:rPr>
                <w:lang w:val="en-US"/>
              </w:rPr>
              <w:t>/</w:t>
            </w:r>
            <w:proofErr w:type="spellStart"/>
            <w:r w:rsidR="00571333" w:rsidRPr="00061B64">
              <w:rPr>
                <w:lang w:val="en-US"/>
              </w:rPr>
              <w:t>IMT2020</w:t>
            </w:r>
            <w:proofErr w:type="spellEnd"/>
            <w:r w:rsidR="00571333" w:rsidRPr="00061B64">
              <w:rPr>
                <w:lang w:val="en-US"/>
              </w:rPr>
              <w:t xml:space="preserve"> </w:t>
            </w:r>
            <w:r>
              <w:t xml:space="preserve">и </w:t>
            </w:r>
            <w:r w:rsidR="007057B4">
              <w:t xml:space="preserve">цифровых </w:t>
            </w:r>
            <w:r>
              <w:t>систем радиовещания, со всеми надлежащими компонентами, включая, по мере необходимости, законодательство, стандарты, организационные меры, механизмы создания потенциала и сотрудничества</w:t>
            </w:r>
            <w:r w:rsidR="00571333" w:rsidRPr="00061B64">
              <w:rPr>
                <w:lang w:val="en-US"/>
              </w:rPr>
              <w:t>.</w:t>
            </w:r>
          </w:p>
        </w:tc>
      </w:tr>
      <w:tr w:rsidR="00571333" w:rsidRPr="00CA3D12" w:rsidTr="00571333">
        <w:trPr>
          <w:jc w:val="center"/>
        </w:trPr>
        <w:tc>
          <w:tcPr>
            <w:tcW w:w="857" w:type="dxa"/>
            <w:vMerge/>
            <w:vAlign w:val="center"/>
          </w:tcPr>
          <w:p w:rsidR="00571333" w:rsidRPr="00CA3D12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CA3D12" w:rsidRDefault="00571333" w:rsidP="00571333">
            <w:pPr>
              <w:spacing w:before="40" w:after="40"/>
              <w:jc w:val="center"/>
            </w:pPr>
            <w:r w:rsidRPr="00CA3D12">
              <w:t>2</w:t>
            </w:r>
          </w:p>
        </w:tc>
        <w:tc>
          <w:tcPr>
            <w:tcW w:w="7775" w:type="dxa"/>
          </w:tcPr>
          <w:p w:rsidR="00571333" w:rsidRPr="00CA3D12" w:rsidRDefault="00204F16" w:rsidP="007057B4">
            <w:pPr>
              <w:spacing w:before="40" w:after="40"/>
            </w:pPr>
            <w:r>
              <w:t>Совместное использование руководящих указаний по совместному регулированию</w:t>
            </w:r>
            <w:r w:rsidR="00981F7E">
              <w:t xml:space="preserve">, осуществляемому в секторе электросвязи и других взаимодополняющих секторах, таких как энергетика (механизмы сотрудничества, </w:t>
            </w:r>
            <w:r w:rsidR="007057B4">
              <w:t xml:space="preserve">регуляторные </w:t>
            </w:r>
            <w:r w:rsidR="00981F7E">
              <w:t>стимулы, финансирование, безопасность и надежность и т. п.), железные дороги, транспорт</w:t>
            </w:r>
            <w:r w:rsidR="00571333" w:rsidRPr="00061B64">
              <w:rPr>
                <w:lang w:val="en-US"/>
              </w:rPr>
              <w:t>.</w:t>
            </w:r>
          </w:p>
        </w:tc>
      </w:tr>
      <w:tr w:rsidR="00571333" w:rsidRPr="00CA3D12" w:rsidTr="00571333">
        <w:trPr>
          <w:jc w:val="center"/>
        </w:trPr>
        <w:tc>
          <w:tcPr>
            <w:tcW w:w="857" w:type="dxa"/>
            <w:vMerge/>
            <w:vAlign w:val="center"/>
          </w:tcPr>
          <w:p w:rsidR="00571333" w:rsidRPr="00CA3D12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CA3D12" w:rsidRDefault="00571333" w:rsidP="00571333">
            <w:pPr>
              <w:spacing w:before="40" w:after="40"/>
              <w:jc w:val="center"/>
            </w:pPr>
            <w:r w:rsidRPr="00CA3D12">
              <w:t>3</w:t>
            </w:r>
          </w:p>
        </w:tc>
        <w:tc>
          <w:tcPr>
            <w:tcW w:w="7775" w:type="dxa"/>
          </w:tcPr>
          <w:p w:rsidR="00571333" w:rsidRPr="00CA3D12" w:rsidRDefault="00981F7E" w:rsidP="00981F7E">
            <w:pPr>
              <w:spacing w:before="40" w:after="40"/>
            </w:pPr>
            <w:r>
              <w:t>Оценка динамики, проблем и перспектив применения различных технологий широкополосной связи в различных странах Европы – включая подвижную связь</w:t>
            </w:r>
            <w:r w:rsidR="00571333" w:rsidRPr="00061B64">
              <w:rPr>
                <w:lang w:val="en-US"/>
              </w:rPr>
              <w:t xml:space="preserve"> (</w:t>
            </w:r>
            <w:proofErr w:type="spellStart"/>
            <w:r w:rsidR="00571333" w:rsidRPr="00061B64">
              <w:rPr>
                <w:lang w:val="en-US"/>
              </w:rPr>
              <w:t>4G</w:t>
            </w:r>
            <w:proofErr w:type="spellEnd"/>
            <w:r w:rsidR="00571333" w:rsidRPr="00061B64">
              <w:rPr>
                <w:lang w:val="en-US"/>
              </w:rPr>
              <w:t xml:space="preserve">, LTE, </w:t>
            </w:r>
            <w:proofErr w:type="spellStart"/>
            <w:r w:rsidR="00571333" w:rsidRPr="00061B64">
              <w:rPr>
                <w:lang w:val="en-US"/>
              </w:rPr>
              <w:t>5G</w:t>
            </w:r>
            <w:proofErr w:type="spellEnd"/>
            <w:r w:rsidR="00571333" w:rsidRPr="00061B64">
              <w:rPr>
                <w:lang w:val="en-US"/>
              </w:rPr>
              <w:t>/</w:t>
            </w:r>
            <w:proofErr w:type="spellStart"/>
            <w:r w:rsidR="00571333" w:rsidRPr="00061B64">
              <w:rPr>
                <w:lang w:val="en-US"/>
              </w:rPr>
              <w:t>IMT2020</w:t>
            </w:r>
            <w:proofErr w:type="spellEnd"/>
            <w:r w:rsidR="00571333" w:rsidRPr="00061B64">
              <w:rPr>
                <w:lang w:val="en-US"/>
              </w:rPr>
              <w:t xml:space="preserve">), </w:t>
            </w:r>
            <w:r>
              <w:t>фиксированную связь</w:t>
            </w:r>
            <w:r w:rsidR="00571333" w:rsidRPr="00061B64">
              <w:rPr>
                <w:lang w:val="en-US"/>
              </w:rPr>
              <w:t xml:space="preserve"> (</w:t>
            </w:r>
            <w:proofErr w:type="spellStart"/>
            <w:r w:rsidR="00571333" w:rsidRPr="00061B64">
              <w:rPr>
                <w:lang w:val="en-US"/>
              </w:rPr>
              <w:t>xDSL</w:t>
            </w:r>
            <w:proofErr w:type="spellEnd"/>
            <w:r w:rsidR="00571333" w:rsidRPr="00061B64">
              <w:rPr>
                <w:lang w:val="en-US"/>
              </w:rPr>
              <w:t xml:space="preserve">, </w:t>
            </w:r>
            <w:proofErr w:type="spellStart"/>
            <w:r w:rsidR="00571333" w:rsidRPr="00061B64">
              <w:rPr>
                <w:lang w:val="en-US"/>
              </w:rPr>
              <w:t>G.Fast</w:t>
            </w:r>
            <w:proofErr w:type="spellEnd"/>
            <w:r w:rsidR="00571333" w:rsidRPr="00061B64">
              <w:rPr>
                <w:lang w:val="en-US"/>
              </w:rPr>
              <w:t xml:space="preserve">, </w:t>
            </w:r>
            <w:r>
              <w:t>волокно и т. п</w:t>
            </w:r>
            <w:r w:rsidR="00571333" w:rsidRPr="00061B64">
              <w:rPr>
                <w:lang w:val="en-US"/>
              </w:rPr>
              <w:t xml:space="preserve">.), </w:t>
            </w:r>
            <w:r>
              <w:t>кабельное телевидение</w:t>
            </w:r>
            <w:r w:rsidR="00571333" w:rsidRPr="00061B64">
              <w:rPr>
                <w:lang w:val="en-US"/>
              </w:rPr>
              <w:t xml:space="preserve">, </w:t>
            </w:r>
            <w:r>
              <w:t>цифровое радио</w:t>
            </w:r>
            <w:r w:rsidR="00571333" w:rsidRPr="00061B64">
              <w:rPr>
                <w:lang w:val="en-US"/>
              </w:rPr>
              <w:t xml:space="preserve">, </w:t>
            </w:r>
            <w:r>
              <w:t>линии электропередач – в контексте создания повсеместно распространенной, способной к восстановлению, высокоскоростной широкополосной инфраструктуры</w:t>
            </w:r>
            <w:r w:rsidR="00571333" w:rsidRPr="00061B64">
              <w:rPr>
                <w:lang w:val="en-US"/>
              </w:rPr>
              <w:t>.</w:t>
            </w:r>
          </w:p>
        </w:tc>
      </w:tr>
      <w:tr w:rsidR="00571333" w:rsidRPr="00CA3D12" w:rsidTr="00571333">
        <w:trPr>
          <w:jc w:val="center"/>
        </w:trPr>
        <w:tc>
          <w:tcPr>
            <w:tcW w:w="857" w:type="dxa"/>
            <w:vMerge/>
            <w:vAlign w:val="center"/>
          </w:tcPr>
          <w:p w:rsidR="00571333" w:rsidRPr="00CA3D12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CA3D12" w:rsidRDefault="00571333" w:rsidP="00571333">
            <w:pPr>
              <w:spacing w:before="40" w:after="40"/>
              <w:jc w:val="center"/>
            </w:pPr>
            <w:r w:rsidRPr="00CA3D12">
              <w:t>4</w:t>
            </w:r>
          </w:p>
        </w:tc>
        <w:tc>
          <w:tcPr>
            <w:tcW w:w="7775" w:type="dxa"/>
          </w:tcPr>
          <w:p w:rsidR="00571333" w:rsidRPr="00CA3D12" w:rsidRDefault="00981F7E" w:rsidP="007057B4">
            <w:pPr>
              <w:spacing w:before="40" w:after="40"/>
            </w:pPr>
            <w:r>
              <w:t xml:space="preserve">Совместное использование передового опыта и </w:t>
            </w:r>
            <w:r w:rsidR="007057B4">
              <w:t xml:space="preserve">материалов </w:t>
            </w:r>
            <w:r>
              <w:t>исследований конкретных ситуаций</w:t>
            </w:r>
            <w:r w:rsidR="007057B4">
              <w:t xml:space="preserve"> в области</w:t>
            </w:r>
            <w:r>
              <w:t xml:space="preserve"> кабельн</w:t>
            </w:r>
            <w:r w:rsidR="007057B4">
              <w:t>ого</w:t>
            </w:r>
            <w:r>
              <w:t xml:space="preserve"> телевидени</w:t>
            </w:r>
            <w:r w:rsidR="007057B4">
              <w:t>я</w:t>
            </w:r>
            <w:r>
              <w:t>, цифров</w:t>
            </w:r>
            <w:r w:rsidR="007057B4">
              <w:t>ого</w:t>
            </w:r>
            <w:r>
              <w:t xml:space="preserve"> радио</w:t>
            </w:r>
            <w:r w:rsidR="00571333" w:rsidRPr="00061B64">
              <w:rPr>
                <w:lang w:val="en-US"/>
              </w:rPr>
              <w:t xml:space="preserve">, </w:t>
            </w:r>
            <w:r>
              <w:t>опыт</w:t>
            </w:r>
            <w:r w:rsidR="007057B4">
              <w:t>а использования</w:t>
            </w:r>
            <w:r>
              <w:t xml:space="preserve"> </w:t>
            </w:r>
            <w:proofErr w:type="spellStart"/>
            <w:r w:rsidR="00571333" w:rsidRPr="00061B64">
              <w:rPr>
                <w:lang w:val="en-US"/>
              </w:rPr>
              <w:t>5G</w:t>
            </w:r>
            <w:proofErr w:type="spellEnd"/>
            <w:r w:rsidR="00571333" w:rsidRPr="00061B64">
              <w:rPr>
                <w:lang w:val="en-US"/>
              </w:rPr>
              <w:t xml:space="preserve">, </w:t>
            </w:r>
            <w:r>
              <w:t>случа</w:t>
            </w:r>
            <w:r w:rsidR="007057B4">
              <w:t>ев</w:t>
            </w:r>
            <w:r>
              <w:t xml:space="preserve"> и тенденци</w:t>
            </w:r>
            <w:r w:rsidR="007057B4">
              <w:t>й</w:t>
            </w:r>
            <w:r>
              <w:t xml:space="preserve"> применения </w:t>
            </w:r>
            <w:r w:rsidR="00640068">
              <w:t xml:space="preserve">на начальных этапах </w:t>
            </w:r>
            <w:r w:rsidR="00FB0FD9">
              <w:t>и развертывани</w:t>
            </w:r>
            <w:r w:rsidR="007057B4">
              <w:t>я</w:t>
            </w:r>
            <w:r w:rsidR="00FB0FD9">
              <w:t xml:space="preserve"> сетей </w:t>
            </w:r>
            <w:proofErr w:type="spellStart"/>
            <w:r w:rsidR="00FB0FD9">
              <w:rPr>
                <w:lang w:val="en-US"/>
              </w:rPr>
              <w:t>NGA</w:t>
            </w:r>
            <w:proofErr w:type="spellEnd"/>
            <w:r w:rsidR="00FB0FD9">
              <w:rPr>
                <w:lang w:val="en-US"/>
              </w:rPr>
              <w:t xml:space="preserve"> (</w:t>
            </w:r>
            <w:r w:rsidR="00FB0FD9">
              <w:t>доступа последующих поколений)</w:t>
            </w:r>
            <w:r w:rsidR="00571333" w:rsidRPr="00061B64">
              <w:rPr>
                <w:lang w:val="en-US"/>
              </w:rPr>
              <w:t>.</w:t>
            </w:r>
          </w:p>
        </w:tc>
      </w:tr>
      <w:tr w:rsidR="00571333" w:rsidRPr="00CA3D12" w:rsidTr="00571333">
        <w:trPr>
          <w:jc w:val="center"/>
        </w:trPr>
        <w:tc>
          <w:tcPr>
            <w:tcW w:w="857" w:type="dxa"/>
            <w:vMerge/>
            <w:vAlign w:val="center"/>
          </w:tcPr>
          <w:p w:rsidR="00571333" w:rsidRPr="00CA3D12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CA3D12" w:rsidRDefault="00571333" w:rsidP="00571333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7775" w:type="dxa"/>
          </w:tcPr>
          <w:p w:rsidR="00571333" w:rsidRPr="00CA3D12" w:rsidRDefault="00394AF8" w:rsidP="00394AF8">
            <w:pPr>
              <w:spacing w:before="40" w:after="40"/>
            </w:pPr>
            <w:r>
              <w:t>Картографирование повсеместно распространенных инфраструктуры и услуг, содействие согласованию подходов в различных странах региона и принятие во внимание подходов к совместному использованию инфраструктуры, применяемых различными странами</w:t>
            </w:r>
            <w:r w:rsidR="00571333" w:rsidRPr="00061B64">
              <w:rPr>
                <w:lang w:val="en-US"/>
              </w:rPr>
              <w:t>.</w:t>
            </w:r>
          </w:p>
        </w:tc>
      </w:tr>
      <w:tr w:rsidR="00571333" w:rsidRPr="00CA3D12" w:rsidTr="00571333">
        <w:trPr>
          <w:jc w:val="center"/>
        </w:trPr>
        <w:tc>
          <w:tcPr>
            <w:tcW w:w="857" w:type="dxa"/>
            <w:vMerge/>
            <w:vAlign w:val="center"/>
          </w:tcPr>
          <w:p w:rsidR="00571333" w:rsidRPr="00CA3D12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CA3D12" w:rsidRDefault="00571333" w:rsidP="00571333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7775" w:type="dxa"/>
          </w:tcPr>
          <w:p w:rsidR="00571333" w:rsidRPr="00CA3D12" w:rsidRDefault="00394AF8" w:rsidP="006959EE">
            <w:pPr>
              <w:spacing w:before="40" w:after="40"/>
            </w:pPr>
            <w:r>
              <w:t>Создание систем качества обслуживания и структур защиты потребителей</w:t>
            </w:r>
            <w:r w:rsidR="00F3668D">
              <w:rPr>
                <w:lang w:val="en-US"/>
              </w:rPr>
              <w:t xml:space="preserve">. </w:t>
            </w:r>
            <w:r>
              <w:t>Разработка планов для ИКТ в интересах устойчивой энергетики, которые охватывали бы различные виды приложений</w:t>
            </w:r>
            <w:r w:rsidR="007057B4">
              <w:t xml:space="preserve"> ИКТ</w:t>
            </w:r>
            <w:r>
              <w:t xml:space="preserve"> и инноваций в области ИКТ, такие как управление энергопотреблением на стороне потребителя</w:t>
            </w:r>
            <w:r w:rsidR="00571333" w:rsidRPr="00061B64">
              <w:rPr>
                <w:lang w:val="en-US"/>
              </w:rPr>
              <w:t xml:space="preserve">, </w:t>
            </w:r>
            <w:r>
              <w:t>электромобили</w:t>
            </w:r>
            <w:r w:rsidR="00571333" w:rsidRPr="00061B64">
              <w:rPr>
                <w:lang w:val="en-US"/>
              </w:rPr>
              <w:t xml:space="preserve">, </w:t>
            </w:r>
            <w:r>
              <w:t>накопление энергии и т. п</w:t>
            </w:r>
            <w:r w:rsidR="00571333" w:rsidRPr="00061B64">
              <w:rPr>
                <w:lang w:val="en-US"/>
              </w:rPr>
              <w:t>.</w:t>
            </w:r>
            <w:r w:rsidR="006959EE">
              <w:t>, а также то, как эти приложения соотносятся с задачами энергетического сектора, совершенствуя эффективность энергопотребления, доступ, устойчивость, приемлемость в ценовом отношении, борьбу с изменением климата и т. п</w:t>
            </w:r>
            <w:r w:rsidR="00571333" w:rsidRPr="00061B64">
              <w:rPr>
                <w:lang w:val="en-US"/>
              </w:rPr>
              <w:t>.</w:t>
            </w:r>
          </w:p>
        </w:tc>
      </w:tr>
    </w:tbl>
    <w:p w:rsidR="00312BB2" w:rsidRPr="00312BB2" w:rsidRDefault="00312BB2" w:rsidP="00312BB2"/>
    <w:p w:rsidR="00312BB2" w:rsidRPr="00312BB2" w:rsidRDefault="00312BB2" w:rsidP="00312BB2">
      <w:r w:rsidRPr="00312BB2">
        <w:br w:type="page"/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719"/>
        <w:gridCol w:w="7775"/>
      </w:tblGrid>
      <w:tr w:rsidR="00571333" w:rsidRPr="00CA3D12" w:rsidTr="00571333">
        <w:trPr>
          <w:tblHeader/>
          <w:jc w:val="center"/>
        </w:trPr>
        <w:tc>
          <w:tcPr>
            <w:tcW w:w="1576" w:type="dxa"/>
            <w:gridSpan w:val="2"/>
            <w:shd w:val="clear" w:color="auto" w:fill="D6E3BC" w:themeFill="accent3" w:themeFillTint="66"/>
            <w:vAlign w:val="center"/>
          </w:tcPr>
          <w:p w:rsidR="00571333" w:rsidRPr="00CA3D12" w:rsidRDefault="006959EE" w:rsidP="00571333">
            <w:pPr>
              <w:keepNext/>
              <w:spacing w:after="120"/>
              <w:jc w:val="center"/>
              <w:rPr>
                <w:b/>
                <w:bCs/>
                <w:smallCaps/>
              </w:rPr>
            </w:pPr>
            <w:proofErr w:type="spellStart"/>
            <w:r>
              <w:rPr>
                <w:b/>
                <w:bCs/>
              </w:rPr>
              <w:lastRenderedPageBreak/>
              <w:t>РИ</w:t>
            </w:r>
            <w:proofErr w:type="spellEnd"/>
            <w:r w:rsidR="00571333" w:rsidRPr="00CA3D12">
              <w:br w:type="page"/>
            </w:r>
            <w:r w:rsidR="00571333" w:rsidRPr="00CA3D12">
              <w:rPr>
                <w:b/>
                <w:bCs/>
                <w:smallCaps/>
              </w:rPr>
              <w:t xml:space="preserve"> </w:t>
            </w:r>
            <w:r w:rsidR="00571333">
              <w:rPr>
                <w:b/>
                <w:bCs/>
                <w:smallCaps/>
              </w:rPr>
              <w:t>2</w:t>
            </w:r>
          </w:p>
        </w:tc>
        <w:tc>
          <w:tcPr>
            <w:tcW w:w="7775" w:type="dxa"/>
            <w:shd w:val="clear" w:color="auto" w:fill="D6E3BC" w:themeFill="accent3" w:themeFillTint="66"/>
            <w:vAlign w:val="center"/>
          </w:tcPr>
          <w:p w:rsidR="00571333" w:rsidRPr="00320BC1" w:rsidRDefault="006959EE" w:rsidP="00320BC1">
            <w:pPr>
              <w:pStyle w:val="Tablehead"/>
              <w:jc w:val="left"/>
            </w:pPr>
            <w:r w:rsidRPr="00320BC1">
              <w:t>Доступность и приемлемость в ценовом отношении продуктов и услуг ИКТ для всех, в частности для лиц с ограниченными возможностями, для обеспечения охвата цифровыми услугами и устойчивого социально-экономического развития</w:t>
            </w:r>
          </w:p>
        </w:tc>
      </w:tr>
      <w:tr w:rsidR="00571333" w:rsidRPr="00CA3D12" w:rsidTr="00571333">
        <w:trPr>
          <w:jc w:val="center"/>
        </w:trPr>
        <w:tc>
          <w:tcPr>
            <w:tcW w:w="1576" w:type="dxa"/>
            <w:gridSpan w:val="2"/>
            <w:vAlign w:val="center"/>
          </w:tcPr>
          <w:p w:rsidR="00571333" w:rsidRPr="00CA3D12" w:rsidRDefault="006959EE" w:rsidP="00320BC1">
            <w:pPr>
              <w:pStyle w:val="Tabletext"/>
              <w:jc w:val="center"/>
              <w:rPr>
                <w:b/>
                <w:bCs/>
                <w:smallCaps/>
              </w:rPr>
            </w:pPr>
            <w:r w:rsidRPr="00320BC1">
              <w:rPr>
                <w:b/>
                <w:bCs/>
              </w:rPr>
              <w:t>Задача</w:t>
            </w:r>
          </w:p>
        </w:tc>
        <w:tc>
          <w:tcPr>
            <w:tcW w:w="7775" w:type="dxa"/>
          </w:tcPr>
          <w:p w:rsidR="00571333" w:rsidRPr="00CA3D12" w:rsidRDefault="00113EFA" w:rsidP="007057B4">
            <w:pPr>
              <w:keepNext/>
              <w:spacing w:before="40" w:after="40"/>
            </w:pPr>
            <w:r>
              <w:t>Инициатива в этой области будет способствовать развитию услуг, ориентированных на интересы граждан</w:t>
            </w:r>
            <w:r w:rsidR="00571333" w:rsidRPr="00061B64">
              <w:rPr>
                <w:lang w:val="en-US"/>
              </w:rPr>
              <w:t xml:space="preserve">. </w:t>
            </w:r>
            <w:r>
              <w:t>Эти услуги должны быть доступными и иметься в наличии для всех членов общества</w:t>
            </w:r>
            <w:r w:rsidR="00571333" w:rsidRPr="00061B64">
              <w:rPr>
                <w:lang w:val="en-US"/>
              </w:rPr>
              <w:t xml:space="preserve">. </w:t>
            </w:r>
            <w:r w:rsidR="00A2139C">
              <w:t xml:space="preserve">Цель заключается в том, чтобы преобразовать и заменить традиционные, базирующиеся на бумажной основе административные </w:t>
            </w:r>
            <w:r w:rsidR="007057B4">
              <w:t>материалы</w:t>
            </w:r>
            <w:r w:rsidR="00A2139C">
              <w:t xml:space="preserve"> и культурную собственность, вводя их в цифровой мир, с тем чтобы дать гражданам и учреждениям возможность удовлетворять свои административные потребности и исполнять свои обязанности</w:t>
            </w:r>
            <w:r w:rsidR="00571333" w:rsidRPr="00061B64">
              <w:rPr>
                <w:lang w:val="en-US"/>
              </w:rPr>
              <w:t>.</w:t>
            </w:r>
          </w:p>
        </w:tc>
      </w:tr>
      <w:tr w:rsidR="00571333" w:rsidRPr="00CA3D12" w:rsidTr="00320BC1">
        <w:trPr>
          <w:jc w:val="center"/>
        </w:trPr>
        <w:tc>
          <w:tcPr>
            <w:tcW w:w="857" w:type="dxa"/>
            <w:vMerge w:val="restart"/>
            <w:textDirection w:val="btLr"/>
            <w:vAlign w:val="center"/>
          </w:tcPr>
          <w:p w:rsidR="00571333" w:rsidRPr="00320BC1" w:rsidRDefault="006959EE" w:rsidP="00F3668D">
            <w:pPr>
              <w:pStyle w:val="Tabletext"/>
              <w:jc w:val="center"/>
              <w:rPr>
                <w:b/>
                <w:bCs/>
              </w:rPr>
            </w:pPr>
            <w:r w:rsidRPr="00320BC1">
              <w:rPr>
                <w:b/>
                <w:bCs/>
              </w:rPr>
              <w:t>Ожидаемые результаты</w:t>
            </w:r>
          </w:p>
        </w:tc>
        <w:tc>
          <w:tcPr>
            <w:tcW w:w="719" w:type="dxa"/>
            <w:vAlign w:val="center"/>
          </w:tcPr>
          <w:p w:rsidR="00571333" w:rsidRPr="00CA3D12" w:rsidRDefault="00571333" w:rsidP="00320BC1">
            <w:pPr>
              <w:keepNext/>
              <w:spacing w:before="40" w:after="40"/>
              <w:jc w:val="center"/>
            </w:pPr>
            <w:r w:rsidRPr="00CA3D12">
              <w:t>1</w:t>
            </w:r>
          </w:p>
        </w:tc>
        <w:tc>
          <w:tcPr>
            <w:tcW w:w="7775" w:type="dxa"/>
          </w:tcPr>
          <w:p w:rsidR="00571333" w:rsidRPr="00CA3D12" w:rsidRDefault="00A2139C" w:rsidP="00A2139C">
            <w:pPr>
              <w:keepNext/>
              <w:spacing w:before="40" w:after="40"/>
            </w:pPr>
            <w:r>
              <w:t>Создание платформы для обмена опытом и знаниями между странами</w:t>
            </w:r>
            <w:r w:rsidR="00571333" w:rsidRPr="00061B64">
              <w:rPr>
                <w:lang w:val="en-US"/>
              </w:rPr>
              <w:t>.</w:t>
            </w:r>
          </w:p>
        </w:tc>
      </w:tr>
      <w:tr w:rsidR="00571333" w:rsidRPr="00CA3D12" w:rsidTr="00320BC1">
        <w:trPr>
          <w:jc w:val="center"/>
        </w:trPr>
        <w:tc>
          <w:tcPr>
            <w:tcW w:w="857" w:type="dxa"/>
            <w:vMerge/>
            <w:vAlign w:val="center"/>
          </w:tcPr>
          <w:p w:rsidR="00571333" w:rsidRPr="00CA3D12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CA3D12" w:rsidRDefault="00571333" w:rsidP="00320BC1">
            <w:pPr>
              <w:spacing w:before="40" w:after="40"/>
              <w:jc w:val="center"/>
            </w:pPr>
            <w:r w:rsidRPr="00CA3D12">
              <w:t>2</w:t>
            </w:r>
          </w:p>
        </w:tc>
        <w:tc>
          <w:tcPr>
            <w:tcW w:w="7775" w:type="dxa"/>
          </w:tcPr>
          <w:p w:rsidR="00571333" w:rsidRPr="00CA3D12" w:rsidRDefault="00A202E8" w:rsidP="007057B4">
            <w:pPr>
              <w:spacing w:before="40" w:after="40"/>
            </w:pPr>
            <w:r>
              <w:t>Разработка технической и служебной инфраструктуры</w:t>
            </w:r>
            <w:r w:rsidR="00571333" w:rsidRPr="00061B64">
              <w:rPr>
                <w:lang w:val="en-US"/>
              </w:rPr>
              <w:t xml:space="preserve"> (</w:t>
            </w:r>
            <w:r>
              <w:t>центр</w:t>
            </w:r>
            <w:r w:rsidR="007057B4">
              <w:t>ы</w:t>
            </w:r>
            <w:r>
              <w:t xml:space="preserve"> обработки данных</w:t>
            </w:r>
            <w:r w:rsidR="00571333" w:rsidRPr="00061B64">
              <w:rPr>
                <w:lang w:val="en-US"/>
              </w:rPr>
              <w:t xml:space="preserve">, </w:t>
            </w:r>
            <w:r>
              <w:t>сет</w:t>
            </w:r>
            <w:r w:rsidR="007057B4">
              <w:t>и</w:t>
            </w:r>
            <w:r w:rsidR="00571333" w:rsidRPr="00061B64">
              <w:rPr>
                <w:lang w:val="en-US"/>
              </w:rPr>
              <w:t xml:space="preserve">, </w:t>
            </w:r>
            <w:r>
              <w:t>защищенны</w:t>
            </w:r>
            <w:r w:rsidR="007057B4">
              <w:t>е</w:t>
            </w:r>
            <w:r>
              <w:t xml:space="preserve"> шлюз</w:t>
            </w:r>
            <w:r w:rsidR="007057B4">
              <w:t>ы</w:t>
            </w:r>
            <w:r w:rsidR="00571333" w:rsidRPr="00061B64">
              <w:rPr>
                <w:lang w:val="en-US"/>
              </w:rPr>
              <w:t xml:space="preserve">, </w:t>
            </w:r>
            <w:r>
              <w:t>возможност</w:t>
            </w:r>
            <w:r w:rsidR="007057B4">
              <w:t>и</w:t>
            </w:r>
            <w:r>
              <w:t xml:space="preserve"> аутентификации</w:t>
            </w:r>
            <w:r w:rsidR="00571333" w:rsidRPr="00061B64">
              <w:rPr>
                <w:lang w:val="en-US"/>
              </w:rPr>
              <w:t xml:space="preserve">, </w:t>
            </w:r>
            <w:r>
              <w:t>функциональн</w:t>
            </w:r>
            <w:r w:rsidR="007057B4">
              <w:t>ая</w:t>
            </w:r>
            <w:r>
              <w:t xml:space="preserve"> совместимост</w:t>
            </w:r>
            <w:r w:rsidR="007057B4">
              <w:t>ь</w:t>
            </w:r>
            <w:r w:rsidR="00571333" w:rsidRPr="00061B64">
              <w:rPr>
                <w:lang w:val="en-US"/>
              </w:rPr>
              <w:t xml:space="preserve">, </w:t>
            </w:r>
            <w:r>
              <w:t>стандарт</w:t>
            </w:r>
            <w:r w:rsidR="007057B4">
              <w:t>ы</w:t>
            </w:r>
            <w:r>
              <w:t xml:space="preserve"> и метаданны</w:t>
            </w:r>
            <w:r w:rsidR="007057B4">
              <w:t>е</w:t>
            </w:r>
            <w:r w:rsidR="00571333" w:rsidRPr="00061B64">
              <w:rPr>
                <w:lang w:val="en-US"/>
              </w:rPr>
              <w:t>)</w:t>
            </w:r>
            <w:r>
              <w:t>, а также создание потенциала в рамках национальных администраций и учреждений</w:t>
            </w:r>
            <w:r w:rsidR="00571333" w:rsidRPr="00061B64">
              <w:rPr>
                <w:lang w:val="en-US"/>
              </w:rPr>
              <w:t>.</w:t>
            </w:r>
          </w:p>
        </w:tc>
      </w:tr>
      <w:tr w:rsidR="00571333" w:rsidRPr="00CA3D12" w:rsidTr="00320BC1">
        <w:trPr>
          <w:jc w:val="center"/>
        </w:trPr>
        <w:tc>
          <w:tcPr>
            <w:tcW w:w="857" w:type="dxa"/>
            <w:vMerge/>
            <w:vAlign w:val="center"/>
          </w:tcPr>
          <w:p w:rsidR="00571333" w:rsidRPr="00CA3D12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CA3D12" w:rsidRDefault="00571333" w:rsidP="00320BC1">
            <w:pPr>
              <w:spacing w:before="40" w:after="40"/>
              <w:jc w:val="center"/>
            </w:pPr>
            <w:r w:rsidRPr="00CA3D12">
              <w:t>3</w:t>
            </w:r>
          </w:p>
        </w:tc>
        <w:tc>
          <w:tcPr>
            <w:tcW w:w="7775" w:type="dxa"/>
          </w:tcPr>
          <w:p w:rsidR="00571333" w:rsidRPr="00CA3D12" w:rsidRDefault="00A202E8" w:rsidP="00A20B77">
            <w:pPr>
              <w:spacing w:before="40" w:after="40"/>
            </w:pPr>
            <w:r>
              <w:t>Содействие разработке онлайновых транзакционных услуг и увеличению числа их видов</w:t>
            </w:r>
            <w:r w:rsidR="00571333" w:rsidRPr="00061B64">
              <w:rPr>
                <w:lang w:val="en-US"/>
              </w:rPr>
              <w:t xml:space="preserve">, </w:t>
            </w:r>
            <w:r w:rsidR="00A20B77">
              <w:t>включая приложения для услуг</w:t>
            </w:r>
            <w:r w:rsidR="00571333" w:rsidRPr="00061B64">
              <w:rPr>
                <w:lang w:val="en-US"/>
              </w:rPr>
              <w:t xml:space="preserve"> </w:t>
            </w:r>
            <w:proofErr w:type="spellStart"/>
            <w:r w:rsidR="00571333" w:rsidRPr="00061B64">
              <w:rPr>
                <w:lang w:val="en-US"/>
              </w:rPr>
              <w:t>A2A</w:t>
            </w:r>
            <w:proofErr w:type="spellEnd"/>
            <w:r w:rsidR="00571333" w:rsidRPr="00061B64">
              <w:rPr>
                <w:lang w:val="en-US"/>
              </w:rPr>
              <w:t xml:space="preserve"> </w:t>
            </w:r>
            <w:r w:rsidR="00A20B77">
              <w:t>и</w:t>
            </w:r>
            <w:r w:rsidR="00571333" w:rsidRPr="00061B64">
              <w:rPr>
                <w:lang w:val="en-US"/>
              </w:rPr>
              <w:t xml:space="preserve"> </w:t>
            </w:r>
            <w:proofErr w:type="spellStart"/>
            <w:r w:rsidR="00571333" w:rsidRPr="00061B64">
              <w:rPr>
                <w:lang w:val="en-US"/>
              </w:rPr>
              <w:t>A2C</w:t>
            </w:r>
            <w:proofErr w:type="spellEnd"/>
            <w:r w:rsidR="00571333" w:rsidRPr="00061B64">
              <w:rPr>
                <w:lang w:val="en-US"/>
              </w:rPr>
              <w:t xml:space="preserve"> (</w:t>
            </w:r>
            <w:r w:rsidR="00A20B77">
              <w:t>например, относящиеся к повседневным административным процессам</w:t>
            </w:r>
            <w:r w:rsidR="00571333" w:rsidRPr="00061B64">
              <w:rPr>
                <w:lang w:val="en-US"/>
              </w:rPr>
              <w:t xml:space="preserve">, </w:t>
            </w:r>
            <w:r w:rsidR="00A20B77">
              <w:t>регистрации транспортных средств, подаче заявлений на получение документов, свидетельств или социальных льгот</w:t>
            </w:r>
            <w:r w:rsidR="00571333" w:rsidRPr="00061B64">
              <w:rPr>
                <w:lang w:val="en-US"/>
              </w:rPr>
              <w:t xml:space="preserve">, </w:t>
            </w:r>
            <w:r w:rsidR="00A20B77">
              <w:t>регистрации предприятий или уплате налогов</w:t>
            </w:r>
            <w:r w:rsidR="00571333" w:rsidRPr="00061B64">
              <w:rPr>
                <w:lang w:val="en-US"/>
              </w:rPr>
              <w:t>).</w:t>
            </w:r>
          </w:p>
        </w:tc>
      </w:tr>
      <w:tr w:rsidR="00571333" w:rsidRPr="00CA3D12" w:rsidTr="00320BC1">
        <w:trPr>
          <w:jc w:val="center"/>
        </w:trPr>
        <w:tc>
          <w:tcPr>
            <w:tcW w:w="857" w:type="dxa"/>
            <w:vMerge/>
            <w:vAlign w:val="center"/>
          </w:tcPr>
          <w:p w:rsidR="00571333" w:rsidRPr="00CA3D12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CA3D12" w:rsidRDefault="00571333" w:rsidP="00320BC1">
            <w:pPr>
              <w:spacing w:before="40" w:after="40"/>
              <w:jc w:val="center"/>
            </w:pPr>
            <w:r w:rsidRPr="00CA3D12">
              <w:t>4</w:t>
            </w:r>
          </w:p>
        </w:tc>
        <w:tc>
          <w:tcPr>
            <w:tcW w:w="7775" w:type="dxa"/>
          </w:tcPr>
          <w:p w:rsidR="00571333" w:rsidRPr="00CA3D12" w:rsidRDefault="00A20B77" w:rsidP="00A20B77">
            <w:pPr>
              <w:spacing w:before="40" w:after="40"/>
            </w:pPr>
            <w:proofErr w:type="spellStart"/>
            <w:r>
              <w:t>Цифровизация</w:t>
            </w:r>
            <w:proofErr w:type="spellEnd"/>
            <w:r>
              <w:t xml:space="preserve"> национальной культурной собственности</w:t>
            </w:r>
            <w:r w:rsidR="00571333" w:rsidRPr="00061B64">
              <w:rPr>
                <w:lang w:val="en-US"/>
              </w:rPr>
              <w:t xml:space="preserve">, </w:t>
            </w:r>
            <w:r>
              <w:t>мультимедийное представление и обеспечение надежного цифрового доступа к оцифрованному материалу</w:t>
            </w:r>
            <w:r w:rsidR="00571333" w:rsidRPr="00061B64">
              <w:rPr>
                <w:lang w:val="en-US"/>
              </w:rPr>
              <w:t>.</w:t>
            </w:r>
          </w:p>
        </w:tc>
      </w:tr>
      <w:tr w:rsidR="00571333" w:rsidRPr="00CA3D12" w:rsidTr="00320BC1">
        <w:trPr>
          <w:jc w:val="center"/>
        </w:trPr>
        <w:tc>
          <w:tcPr>
            <w:tcW w:w="857" w:type="dxa"/>
            <w:vMerge/>
            <w:vAlign w:val="center"/>
          </w:tcPr>
          <w:p w:rsidR="00571333" w:rsidRPr="00CA3D12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CA3D12" w:rsidRDefault="00571333" w:rsidP="00320BC1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7775" w:type="dxa"/>
          </w:tcPr>
          <w:p w:rsidR="00571333" w:rsidRPr="00CA3D12" w:rsidRDefault="00A20B77" w:rsidP="007057B4">
            <w:pPr>
              <w:spacing w:before="40" w:after="40"/>
            </w:pPr>
            <w:r>
              <w:t xml:space="preserve">Повышение доверия населения </w:t>
            </w:r>
            <w:r w:rsidR="007057B4">
              <w:t>путем</w:t>
            </w:r>
            <w:r>
              <w:t xml:space="preserve"> повышения защищенности услуг электронного правительства</w:t>
            </w:r>
            <w:r w:rsidR="00BA252E">
              <w:t xml:space="preserve">, процессов </w:t>
            </w:r>
            <w:proofErr w:type="spellStart"/>
            <w:r w:rsidR="00BA252E">
              <w:t>цифровизации</w:t>
            </w:r>
            <w:proofErr w:type="spellEnd"/>
            <w:r w:rsidR="00BA252E">
              <w:t xml:space="preserve"> и кампаний по повышению информированности, включая популяризацию </w:t>
            </w:r>
            <w:r w:rsidR="007057B4">
              <w:t xml:space="preserve">национальными администрациями и другими учреждениями </w:t>
            </w:r>
            <w:r w:rsidR="00BA252E">
              <w:t>таких решений на базе приложений для электронного правительства</w:t>
            </w:r>
            <w:r w:rsidR="00571333" w:rsidRPr="00061B64">
              <w:rPr>
                <w:lang w:val="en-US"/>
              </w:rPr>
              <w:t>.</w:t>
            </w:r>
            <w:r w:rsidR="00F3668D">
              <w:rPr>
                <w:lang w:val="en-US"/>
              </w:rPr>
              <w:t xml:space="preserve"> </w:t>
            </w:r>
            <w:r w:rsidR="00BA252E">
              <w:t xml:space="preserve">Определение ключевых горизонтальных факторов успешной реализации услуг электронного правительства и </w:t>
            </w:r>
            <w:proofErr w:type="spellStart"/>
            <w:r w:rsidR="00BA252E">
              <w:t>цифровизации</w:t>
            </w:r>
            <w:proofErr w:type="spellEnd"/>
            <w:r w:rsidR="00BA252E">
              <w:t>, таких как защищенная и доступная цифровая идентификация</w:t>
            </w:r>
            <w:r w:rsidR="00571333" w:rsidRPr="00061B64">
              <w:rPr>
                <w:lang w:val="en-US"/>
              </w:rPr>
              <w:t xml:space="preserve">, </w:t>
            </w:r>
            <w:r w:rsidR="00BA252E">
              <w:t>инструменты для анализа данных</w:t>
            </w:r>
            <w:r w:rsidR="00571333" w:rsidRPr="00061B64">
              <w:rPr>
                <w:lang w:val="en-US"/>
              </w:rPr>
              <w:t xml:space="preserve">, </w:t>
            </w:r>
            <w:r w:rsidR="00BA252E">
              <w:t>варианты интеграции рабочих процессов</w:t>
            </w:r>
            <w:r w:rsidR="00571333" w:rsidRPr="00061B64">
              <w:rPr>
                <w:lang w:val="en-US"/>
              </w:rPr>
              <w:t xml:space="preserve">, </w:t>
            </w:r>
            <w:r w:rsidR="00BA252E">
              <w:t>подход, предусматривающий повторное использование данных, и содействие их разработке</w:t>
            </w:r>
            <w:r w:rsidR="00571333" w:rsidRPr="00061B64">
              <w:rPr>
                <w:lang w:val="en-US"/>
              </w:rPr>
              <w:t>.</w:t>
            </w:r>
          </w:p>
        </w:tc>
      </w:tr>
    </w:tbl>
    <w:p w:rsidR="00571333" w:rsidRPr="00F3668D" w:rsidRDefault="00571333" w:rsidP="00F3668D"/>
    <w:p w:rsidR="00F3668D" w:rsidRPr="00F3668D" w:rsidRDefault="00F3668D" w:rsidP="00F3668D">
      <w:r w:rsidRPr="00F3668D">
        <w:br w:type="page"/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719"/>
        <w:gridCol w:w="7775"/>
      </w:tblGrid>
      <w:tr w:rsidR="00F3668D" w:rsidRPr="00EA25F3" w:rsidTr="00FC4E2C">
        <w:trPr>
          <w:tblHeader/>
          <w:jc w:val="center"/>
        </w:trPr>
        <w:tc>
          <w:tcPr>
            <w:tcW w:w="1576" w:type="dxa"/>
            <w:gridSpan w:val="2"/>
            <w:shd w:val="clear" w:color="auto" w:fill="D6E3BC" w:themeFill="accent3" w:themeFillTint="66"/>
            <w:vAlign w:val="center"/>
          </w:tcPr>
          <w:p w:rsidR="00F3668D" w:rsidRPr="00EA25F3" w:rsidRDefault="00F3668D" w:rsidP="00FC4E2C">
            <w:pPr>
              <w:keepNext/>
              <w:spacing w:after="120"/>
              <w:jc w:val="center"/>
              <w:rPr>
                <w:b/>
                <w:bCs/>
                <w:smallCaps/>
              </w:rPr>
            </w:pPr>
            <w:proofErr w:type="spellStart"/>
            <w:r w:rsidRPr="00EA25F3">
              <w:rPr>
                <w:b/>
                <w:bCs/>
              </w:rPr>
              <w:lastRenderedPageBreak/>
              <w:t>РИ</w:t>
            </w:r>
            <w:proofErr w:type="spellEnd"/>
            <w:r w:rsidRPr="00EA25F3">
              <w:br w:type="page"/>
            </w:r>
            <w:r w:rsidRPr="00EA25F3">
              <w:rPr>
                <w:b/>
                <w:bCs/>
                <w:smallCaps/>
              </w:rPr>
              <w:t xml:space="preserve"> 3</w:t>
            </w:r>
          </w:p>
        </w:tc>
        <w:tc>
          <w:tcPr>
            <w:tcW w:w="7775" w:type="dxa"/>
            <w:shd w:val="clear" w:color="auto" w:fill="D6E3BC" w:themeFill="accent3" w:themeFillTint="66"/>
            <w:vAlign w:val="center"/>
          </w:tcPr>
          <w:p w:rsidR="00F3668D" w:rsidRPr="00F3668D" w:rsidRDefault="00F3668D" w:rsidP="00F3668D">
            <w:pPr>
              <w:pStyle w:val="Tablehead"/>
              <w:jc w:val="left"/>
            </w:pPr>
            <w:r w:rsidRPr="00F3668D">
              <w:t>Доступность, приемлемость в ценовом отношении и развитие навыков для всех, для того чтобы обеспечить охват цифровыми технологиями и устойчивое социально-экономическое развитие</w:t>
            </w:r>
          </w:p>
        </w:tc>
      </w:tr>
      <w:tr w:rsidR="00F3668D" w:rsidRPr="00EA25F3" w:rsidTr="00FC4E2C">
        <w:trPr>
          <w:jc w:val="center"/>
        </w:trPr>
        <w:tc>
          <w:tcPr>
            <w:tcW w:w="1576" w:type="dxa"/>
            <w:gridSpan w:val="2"/>
            <w:vAlign w:val="center"/>
          </w:tcPr>
          <w:p w:rsidR="00F3668D" w:rsidRPr="00EA25F3" w:rsidRDefault="00F3668D" w:rsidP="00F3668D">
            <w:pPr>
              <w:pStyle w:val="Tabletext"/>
              <w:jc w:val="center"/>
              <w:rPr>
                <w:b/>
                <w:bCs/>
                <w:smallCaps/>
                <w:highlight w:val="yellow"/>
              </w:rPr>
            </w:pPr>
            <w:r w:rsidRPr="00F3668D">
              <w:rPr>
                <w:b/>
                <w:bCs/>
              </w:rPr>
              <w:t>Задача</w:t>
            </w:r>
          </w:p>
        </w:tc>
        <w:tc>
          <w:tcPr>
            <w:tcW w:w="7775" w:type="dxa"/>
          </w:tcPr>
          <w:p w:rsidR="00F3668D" w:rsidRPr="00EA25F3" w:rsidRDefault="00F3668D" w:rsidP="00B1207E">
            <w:pPr>
              <w:keepNext/>
              <w:spacing w:before="40" w:after="40"/>
            </w:pPr>
            <w:r w:rsidRPr="00EA25F3">
              <w:rPr>
                <w:bCs/>
              </w:rPr>
              <w:t>Сократить цифровой разрыв и оснастить ВСЕ группы общества, с тем чтобы они могли воспользоваться преимуществами ИКТ, обеспеч</w:t>
            </w:r>
            <w:r>
              <w:rPr>
                <w:bCs/>
              </w:rPr>
              <w:t>ивая</w:t>
            </w:r>
            <w:r w:rsidRPr="00EA25F3">
              <w:rPr>
                <w:bCs/>
              </w:rPr>
              <w:t xml:space="preserve"> </w:t>
            </w:r>
            <w:r>
              <w:rPr>
                <w:bCs/>
              </w:rPr>
              <w:t xml:space="preserve">для этого </w:t>
            </w:r>
            <w:r w:rsidRPr="00EA25F3">
              <w:rPr>
                <w:bCs/>
              </w:rPr>
              <w:t>возможност</w:t>
            </w:r>
            <w:r>
              <w:rPr>
                <w:bCs/>
              </w:rPr>
              <w:t>ь</w:t>
            </w:r>
            <w:r w:rsidRPr="00EA25F3">
              <w:rPr>
                <w:bCs/>
              </w:rPr>
              <w:t xml:space="preserve"> установления соединени</w:t>
            </w:r>
            <w:r>
              <w:rPr>
                <w:bCs/>
              </w:rPr>
              <w:t>й</w:t>
            </w:r>
            <w:r w:rsidRPr="00EA25F3">
              <w:rPr>
                <w:bCs/>
              </w:rPr>
              <w:t>, создания потенциала для развития цифровых навыков и доступност</w:t>
            </w:r>
            <w:r>
              <w:rPr>
                <w:bCs/>
              </w:rPr>
              <w:t>ь</w:t>
            </w:r>
            <w:r w:rsidRPr="00EA25F3">
              <w:rPr>
                <w:bCs/>
              </w:rPr>
              <w:t xml:space="preserve"> ИКТ для всех, включая лиц с ограниченными возможностями</w:t>
            </w:r>
            <w:r w:rsidRPr="00EA25F3">
              <w:t>.</w:t>
            </w:r>
          </w:p>
        </w:tc>
      </w:tr>
      <w:tr w:rsidR="00F3668D" w:rsidRPr="00EA25F3" w:rsidTr="00FC4E2C">
        <w:trPr>
          <w:jc w:val="center"/>
        </w:trPr>
        <w:tc>
          <w:tcPr>
            <w:tcW w:w="857" w:type="dxa"/>
            <w:vMerge w:val="restart"/>
            <w:textDirection w:val="btLr"/>
            <w:vAlign w:val="center"/>
          </w:tcPr>
          <w:p w:rsidR="00F3668D" w:rsidRPr="00F3668D" w:rsidRDefault="00F3668D" w:rsidP="00F3668D">
            <w:pPr>
              <w:pStyle w:val="Tabletext"/>
              <w:jc w:val="center"/>
              <w:rPr>
                <w:b/>
                <w:bCs/>
              </w:rPr>
            </w:pPr>
            <w:r w:rsidRPr="00F3668D">
              <w:rPr>
                <w:b/>
                <w:bCs/>
              </w:rPr>
              <w:t>Ожидаемые результаты</w:t>
            </w: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keepNext/>
              <w:spacing w:before="40" w:after="40"/>
              <w:jc w:val="center"/>
            </w:pPr>
            <w:r w:rsidRPr="00EA25F3">
              <w:t>1</w:t>
            </w:r>
          </w:p>
        </w:tc>
        <w:tc>
          <w:tcPr>
            <w:tcW w:w="7775" w:type="dxa"/>
          </w:tcPr>
          <w:p w:rsidR="00F3668D" w:rsidRPr="00F3668D" w:rsidRDefault="00F3668D" w:rsidP="003F5C26">
            <w:pPr>
              <w:keepNext/>
              <w:spacing w:before="40" w:after="40"/>
              <w:rPr>
                <w:bCs/>
              </w:rPr>
            </w:pPr>
            <w:r w:rsidRPr="00F3668D">
              <w:rPr>
                <w:bCs/>
              </w:rPr>
              <w:t xml:space="preserve">Укрепление и поддержка регионального сотрудничества и участия всех соответствующих заинтересованных сторон в соответствии с Европейским актом о доступности, разработка и реализация в Европейском регионе политики и решений, обеспечивающих доступность ИКТ. </w:t>
            </w:r>
          </w:p>
        </w:tc>
      </w:tr>
      <w:tr w:rsidR="00F3668D" w:rsidRPr="00EA25F3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EA25F3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2</w:t>
            </w:r>
          </w:p>
        </w:tc>
        <w:tc>
          <w:tcPr>
            <w:tcW w:w="7775" w:type="dxa"/>
          </w:tcPr>
          <w:p w:rsidR="00F3668D" w:rsidRPr="00EA25F3" w:rsidRDefault="00F3668D" w:rsidP="00B1207E">
            <w:pPr>
              <w:spacing w:before="40" w:after="40"/>
            </w:pPr>
            <w:r w:rsidRPr="00EA25F3">
              <w:t>Повышение уровня осведомленности и пропаганда соответствующих руководящих принципов</w:t>
            </w:r>
            <w:r>
              <w:t>, касающихся</w:t>
            </w:r>
            <w:r w:rsidRPr="00EA25F3">
              <w:t xml:space="preserve"> государственной политики, включая обмен знаниями и передовым опытом в области продуктов и услуг</w:t>
            </w:r>
            <w:r>
              <w:t xml:space="preserve">, </w:t>
            </w:r>
            <w:r w:rsidRPr="00EA25F3">
              <w:t>обеспечивающих доступност</w:t>
            </w:r>
            <w:r>
              <w:t>ь</w:t>
            </w:r>
            <w:r w:rsidRPr="00EA25F3">
              <w:t xml:space="preserve"> ИКТ для лиц с ограниченными возможностями, </w:t>
            </w:r>
            <w:r>
              <w:t>используя для этого региональные и субрегиональные собрания и семинары-практикумы, в том числе ежегодную региональную конференцию, которую можно было бы назвать</w:t>
            </w:r>
            <w:r w:rsidRPr="00EA25F3">
              <w:t xml:space="preserve"> </w:t>
            </w:r>
            <w:r>
              <w:t>"Доступная Европа </w:t>
            </w:r>
            <w:r w:rsidRPr="00EA25F3">
              <w:t xml:space="preserve">– </w:t>
            </w:r>
            <w:r>
              <w:t>информация и связь для ВСЕХ</w:t>
            </w:r>
            <w:r w:rsidRPr="00EA25F3">
              <w:t>”.</w:t>
            </w:r>
          </w:p>
        </w:tc>
      </w:tr>
      <w:tr w:rsidR="00F3668D" w:rsidRPr="006A090E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EA25F3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3</w:t>
            </w:r>
          </w:p>
        </w:tc>
        <w:tc>
          <w:tcPr>
            <w:tcW w:w="7775" w:type="dxa"/>
          </w:tcPr>
          <w:p w:rsidR="00F3668D" w:rsidRPr="006A090E" w:rsidRDefault="00F3668D" w:rsidP="00B1207E">
            <w:pPr>
              <w:spacing w:before="40" w:after="40"/>
            </w:pPr>
            <w:r>
              <w:t>Развитие</w:t>
            </w:r>
            <w:r w:rsidRPr="006A090E">
              <w:t xml:space="preserve"> </w:t>
            </w:r>
            <w:r>
              <w:t>регионального</w:t>
            </w:r>
            <w:r w:rsidRPr="006A090E">
              <w:t xml:space="preserve"> </w:t>
            </w:r>
            <w:r>
              <w:t>и</w:t>
            </w:r>
            <w:r w:rsidRPr="006A090E">
              <w:t xml:space="preserve"> </w:t>
            </w:r>
            <w:proofErr w:type="spellStart"/>
            <w:r>
              <w:t>странового</w:t>
            </w:r>
            <w:proofErr w:type="spellEnd"/>
            <w:r w:rsidRPr="006A090E">
              <w:t xml:space="preserve"> </w:t>
            </w:r>
            <w:r>
              <w:t>потенциала</w:t>
            </w:r>
            <w:r w:rsidRPr="006A090E">
              <w:t xml:space="preserve"> </w:t>
            </w:r>
            <w:r>
              <w:t>с</w:t>
            </w:r>
            <w:r w:rsidRPr="006A090E">
              <w:t xml:space="preserve"> </w:t>
            </w:r>
            <w:r>
              <w:t>помощью учебной программы "Доступность веб-ресурсов", с тем чтобы обеспечить наличие и доступность государственных веб-сайтов и их соответствующих услуг для ВСЕХ граждан, включая лиц с ограниченными возможностями</w:t>
            </w:r>
            <w:r w:rsidRPr="006A090E">
              <w:t>.</w:t>
            </w:r>
          </w:p>
        </w:tc>
      </w:tr>
      <w:tr w:rsidR="00F3668D" w:rsidRPr="00394EA0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6A090E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4</w:t>
            </w:r>
          </w:p>
        </w:tc>
        <w:tc>
          <w:tcPr>
            <w:tcW w:w="7775" w:type="dxa"/>
          </w:tcPr>
          <w:p w:rsidR="00F3668D" w:rsidRPr="00394EA0" w:rsidRDefault="00F3668D" w:rsidP="00394EA0">
            <w:pPr>
              <w:spacing w:before="40" w:after="40"/>
            </w:pPr>
            <w:r>
              <w:t>Развитие</w:t>
            </w:r>
            <w:r w:rsidRPr="00CF2BD3">
              <w:t xml:space="preserve"> </w:t>
            </w:r>
            <w:r>
              <w:t>регионального</w:t>
            </w:r>
            <w:r w:rsidRPr="00CF2BD3">
              <w:t xml:space="preserve"> </w:t>
            </w:r>
            <w:r>
              <w:t>и</w:t>
            </w:r>
            <w:r w:rsidRPr="00CF2BD3">
              <w:t xml:space="preserve"> </w:t>
            </w:r>
            <w:proofErr w:type="spellStart"/>
            <w:r>
              <w:t>странового</w:t>
            </w:r>
            <w:proofErr w:type="spellEnd"/>
            <w:r w:rsidRPr="00CF2BD3">
              <w:t xml:space="preserve"> </w:t>
            </w:r>
            <w:r>
              <w:t>потенциала</w:t>
            </w:r>
            <w:r w:rsidRPr="00CF2BD3">
              <w:t xml:space="preserve"> </w:t>
            </w:r>
            <w:r>
              <w:t>для</w:t>
            </w:r>
            <w:r w:rsidRPr="00CF2BD3">
              <w:t xml:space="preserve"> </w:t>
            </w:r>
            <w:r>
              <w:t>продвижения</w:t>
            </w:r>
            <w:r w:rsidRPr="00CF2BD3">
              <w:t xml:space="preserve"> </w:t>
            </w:r>
            <w:r>
              <w:t>и</w:t>
            </w:r>
            <w:r w:rsidRPr="00CF2BD3">
              <w:t xml:space="preserve"> </w:t>
            </w:r>
            <w:r>
              <w:t>доведения</w:t>
            </w:r>
            <w:r w:rsidRPr="00CF2BD3">
              <w:t xml:space="preserve"> </w:t>
            </w:r>
            <w:r>
              <w:t>до</w:t>
            </w:r>
            <w:r w:rsidRPr="00CF2BD3">
              <w:t xml:space="preserve"> </w:t>
            </w:r>
            <w:r>
              <w:t>всех</w:t>
            </w:r>
            <w:r w:rsidRPr="00CF2BD3">
              <w:t xml:space="preserve"> </w:t>
            </w:r>
            <w:r>
              <w:t>участвующих</w:t>
            </w:r>
            <w:r w:rsidRPr="00CF2BD3">
              <w:t xml:space="preserve"> </w:t>
            </w:r>
            <w:r>
              <w:t>заинтересованных</w:t>
            </w:r>
            <w:r w:rsidRPr="00CF2BD3">
              <w:t xml:space="preserve"> </w:t>
            </w:r>
            <w:r>
              <w:t>сторон</w:t>
            </w:r>
            <w:r w:rsidRPr="00CF2BD3">
              <w:t xml:space="preserve"> </w:t>
            </w:r>
            <w:r>
              <w:t>учебных курсов по доступности ИКТ, включая учебу по государственным закупкам</w:t>
            </w:r>
            <w:r w:rsidRPr="00CF2BD3">
              <w:t>,</w:t>
            </w:r>
            <w:r>
              <w:t xml:space="preserve"> как инструмента расширения охвата лиц с ограниченными возможностями в сфере образования, занятости, экономической и социальной жизни. </w:t>
            </w:r>
          </w:p>
        </w:tc>
      </w:tr>
      <w:tr w:rsidR="00F3668D" w:rsidRPr="00360C48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394EA0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5</w:t>
            </w:r>
          </w:p>
        </w:tc>
        <w:tc>
          <w:tcPr>
            <w:tcW w:w="7775" w:type="dxa"/>
          </w:tcPr>
          <w:p w:rsidR="00F3668D" w:rsidRPr="00360C48" w:rsidRDefault="00F3668D" w:rsidP="00394EA0">
            <w:pPr>
              <w:spacing w:before="40" w:after="40"/>
            </w:pPr>
            <w:r>
              <w:t>Поощрение</w:t>
            </w:r>
            <w:r w:rsidRPr="007A2467">
              <w:t xml:space="preserve"> </w:t>
            </w:r>
            <w:r>
              <w:t>регионального</w:t>
            </w:r>
            <w:r w:rsidRPr="007A2467">
              <w:t xml:space="preserve"> </w:t>
            </w:r>
            <w:r>
              <w:t>сотрудничества</w:t>
            </w:r>
            <w:r w:rsidRPr="007A2467">
              <w:t xml:space="preserve"> </w:t>
            </w:r>
            <w:r>
              <w:t xml:space="preserve">исследовательских центров и академических организаций в области речевых технологий </w:t>
            </w:r>
            <w:r w:rsidRPr="007A2467">
              <w:t>(</w:t>
            </w:r>
            <w:r w:rsidRPr="007A2467">
              <w:rPr>
                <w:lang w:val="en-US"/>
              </w:rPr>
              <w:t>TTS</w:t>
            </w:r>
            <w:r w:rsidRPr="007A2467">
              <w:t xml:space="preserve">, </w:t>
            </w:r>
            <w:r>
              <w:t>преобразование текст-речь</w:t>
            </w:r>
            <w:r w:rsidRPr="007A2467">
              <w:t xml:space="preserve">, </w:t>
            </w:r>
            <w:r>
              <w:t>для всех слышащих;</w:t>
            </w:r>
            <w:r w:rsidRPr="007A2467">
              <w:t xml:space="preserve"> </w:t>
            </w:r>
            <w:r>
              <w:t>автоматическое распознавание речи</w:t>
            </w:r>
            <w:r w:rsidRPr="007A2467">
              <w:t xml:space="preserve"> (</w:t>
            </w:r>
            <w:r w:rsidRPr="007A2467">
              <w:rPr>
                <w:lang w:val="en-US"/>
              </w:rPr>
              <w:t>ASR</w:t>
            </w:r>
            <w:r w:rsidRPr="007A2467">
              <w:t>)</w:t>
            </w:r>
            <w:r>
              <w:t>;</w:t>
            </w:r>
            <w:r w:rsidRPr="007A2467">
              <w:t xml:space="preserve"> </w:t>
            </w:r>
            <w:r>
              <w:t>преобразование речь-текст для всех, кто может читать</w:t>
            </w:r>
            <w:r w:rsidRPr="007A2467">
              <w:t xml:space="preserve">). </w:t>
            </w:r>
            <w:r>
              <w:t>Совершенствование</w:t>
            </w:r>
            <w:r w:rsidRPr="00360C48">
              <w:t xml:space="preserve"> </w:t>
            </w:r>
            <w:r>
              <w:t>этих</w:t>
            </w:r>
            <w:r w:rsidRPr="00360C48">
              <w:t xml:space="preserve"> </w:t>
            </w:r>
            <w:r>
              <w:t>технологий может способствовать преодолению ограниченности возможностей</w:t>
            </w:r>
            <w:r w:rsidRPr="00360C48">
              <w:t>.</w:t>
            </w:r>
          </w:p>
        </w:tc>
      </w:tr>
      <w:tr w:rsidR="00F3668D" w:rsidRPr="00A41EDD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360C48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6</w:t>
            </w:r>
          </w:p>
        </w:tc>
        <w:tc>
          <w:tcPr>
            <w:tcW w:w="7775" w:type="dxa"/>
          </w:tcPr>
          <w:p w:rsidR="00F3668D" w:rsidRPr="00A41EDD" w:rsidRDefault="00F3668D" w:rsidP="00A41EDD">
            <w:pPr>
              <w:spacing w:before="40" w:after="40"/>
            </w:pPr>
            <w:r>
              <w:t>Повышение</w:t>
            </w:r>
            <w:r w:rsidRPr="00A41EDD">
              <w:t xml:space="preserve"> </w:t>
            </w:r>
            <w:r>
              <w:t>уровня</w:t>
            </w:r>
            <w:r w:rsidRPr="00A41EDD">
              <w:t xml:space="preserve"> </w:t>
            </w:r>
            <w:r>
              <w:t>осведомленности</w:t>
            </w:r>
            <w:r w:rsidRPr="00A41EDD">
              <w:t xml:space="preserve"> </w:t>
            </w:r>
            <w:r>
              <w:t>о</w:t>
            </w:r>
            <w:r w:rsidRPr="00A41EDD">
              <w:t xml:space="preserve"> </w:t>
            </w:r>
            <w:r>
              <w:t>возможностях</w:t>
            </w:r>
            <w:r w:rsidRPr="00A41EDD">
              <w:t xml:space="preserve"> </w:t>
            </w:r>
            <w:r>
              <w:t>доступности</w:t>
            </w:r>
            <w:r w:rsidRPr="00A41EDD">
              <w:t xml:space="preserve"> </w:t>
            </w:r>
            <w:r>
              <w:t>ТВ и видеопрограмм на цифровых платформах и внедрение имеющихся решений</w:t>
            </w:r>
            <w:r w:rsidRPr="00A41EDD">
              <w:t>.</w:t>
            </w:r>
          </w:p>
        </w:tc>
      </w:tr>
      <w:tr w:rsidR="00F3668D" w:rsidRPr="00EA25F3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41EDD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7</w:t>
            </w:r>
          </w:p>
        </w:tc>
        <w:tc>
          <w:tcPr>
            <w:tcW w:w="7775" w:type="dxa"/>
          </w:tcPr>
          <w:p w:rsidR="00F3668D" w:rsidRPr="00EA25F3" w:rsidRDefault="00F3668D" w:rsidP="00B1207E">
            <w:pPr>
              <w:spacing w:before="40" w:after="40"/>
              <w:rPr>
                <w:b/>
                <w:color w:val="800000"/>
                <w:sz w:val="22"/>
              </w:rPr>
            </w:pPr>
            <w:r>
              <w:t>Поощрение внедрения и соответствующего измерения региональных/национальных мероприятий и проектов в области ИКТ, направленных на устранение неравенства в использовании ИКТ и доступе к ИКТ веб-сайтов государственных учреждений и государственных образовательных программ, услуг и информации</w:t>
            </w:r>
            <w:r w:rsidRPr="00EA25F3">
              <w:t>.</w:t>
            </w:r>
            <w:r w:rsidRPr="00EA25F3">
              <w:rPr>
                <w:b/>
                <w:color w:val="800000"/>
                <w:sz w:val="22"/>
              </w:rPr>
              <w:t xml:space="preserve"> </w:t>
            </w:r>
          </w:p>
        </w:tc>
      </w:tr>
      <w:tr w:rsidR="00F3668D" w:rsidRPr="002530C6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EA25F3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8</w:t>
            </w:r>
          </w:p>
        </w:tc>
        <w:tc>
          <w:tcPr>
            <w:tcW w:w="7775" w:type="dxa"/>
          </w:tcPr>
          <w:p w:rsidR="00F3668D" w:rsidRPr="002530C6" w:rsidRDefault="00F3668D" w:rsidP="002530C6">
            <w:pPr>
              <w:spacing w:before="40" w:after="40"/>
            </w:pPr>
            <w:r>
              <w:t>Поощрение</w:t>
            </w:r>
            <w:r w:rsidRPr="002530C6">
              <w:t xml:space="preserve"> </w:t>
            </w:r>
            <w:r>
              <w:t>внедрения</w:t>
            </w:r>
            <w:r w:rsidRPr="002530C6">
              <w:t xml:space="preserve"> </w:t>
            </w:r>
            <w:r>
              <w:t>цифрового</w:t>
            </w:r>
            <w:r w:rsidRPr="002530C6">
              <w:t xml:space="preserve"> </w:t>
            </w:r>
            <w:r>
              <w:t>контента</w:t>
            </w:r>
            <w:r w:rsidRPr="002530C6">
              <w:t xml:space="preserve"> </w:t>
            </w:r>
            <w:r>
              <w:t>в</w:t>
            </w:r>
            <w:r w:rsidRPr="002530C6">
              <w:t xml:space="preserve"> </w:t>
            </w:r>
            <w:r>
              <w:t>сфере</w:t>
            </w:r>
            <w:r w:rsidRPr="002530C6">
              <w:t xml:space="preserve"> </w:t>
            </w:r>
            <w:r>
              <w:t>образования</w:t>
            </w:r>
            <w:r w:rsidRPr="002530C6">
              <w:t>.</w:t>
            </w:r>
          </w:p>
        </w:tc>
      </w:tr>
      <w:tr w:rsidR="00F3668D" w:rsidRPr="00C44C94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2530C6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9</w:t>
            </w:r>
          </w:p>
        </w:tc>
        <w:tc>
          <w:tcPr>
            <w:tcW w:w="7775" w:type="dxa"/>
          </w:tcPr>
          <w:p w:rsidR="00F3668D" w:rsidRPr="00C44C94" w:rsidRDefault="00F3668D" w:rsidP="00C44C94">
            <w:pPr>
              <w:spacing w:before="40" w:after="40"/>
            </w:pPr>
            <w:r>
              <w:t>Развитие</w:t>
            </w:r>
            <w:r w:rsidRPr="00C44C94">
              <w:t xml:space="preserve"> </w:t>
            </w:r>
            <w:r>
              <w:t>регионального</w:t>
            </w:r>
            <w:r w:rsidRPr="00C44C94">
              <w:t xml:space="preserve"> </w:t>
            </w:r>
            <w:r>
              <w:t>и</w:t>
            </w:r>
            <w:r w:rsidRPr="00C44C94">
              <w:t xml:space="preserve"> </w:t>
            </w:r>
            <w:proofErr w:type="spellStart"/>
            <w:r>
              <w:t>странового</w:t>
            </w:r>
            <w:proofErr w:type="spellEnd"/>
            <w:r w:rsidRPr="00C44C94">
              <w:t xml:space="preserve"> </w:t>
            </w:r>
            <w:r>
              <w:t>потенциала</w:t>
            </w:r>
            <w:r w:rsidRPr="00C44C94">
              <w:t xml:space="preserve"> </w:t>
            </w:r>
            <w:r>
              <w:t>в</w:t>
            </w:r>
            <w:r w:rsidRPr="00C44C94">
              <w:t xml:space="preserve"> </w:t>
            </w:r>
            <w:r>
              <w:t>области</w:t>
            </w:r>
            <w:r w:rsidRPr="00C44C94">
              <w:t xml:space="preserve"> </w:t>
            </w:r>
            <w:r>
              <w:t>инструментов</w:t>
            </w:r>
            <w:r w:rsidRPr="00C44C94">
              <w:t xml:space="preserve"> </w:t>
            </w:r>
            <w:r>
              <w:t>кодирования</w:t>
            </w:r>
            <w:r w:rsidRPr="00C44C94">
              <w:t xml:space="preserve"> </w:t>
            </w:r>
            <w:r>
              <w:t>и</w:t>
            </w:r>
            <w:r w:rsidRPr="00C44C94">
              <w:t xml:space="preserve"> </w:t>
            </w:r>
            <w:r>
              <w:t>компьютерного программирования, которые будут доступны для ВСЕХ, включая лиц с ограниченными возможностями</w:t>
            </w:r>
            <w:r w:rsidRPr="00C44C94">
              <w:t>.</w:t>
            </w:r>
          </w:p>
        </w:tc>
      </w:tr>
      <w:tr w:rsidR="00F3668D" w:rsidRPr="000C2340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C44C94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10</w:t>
            </w:r>
          </w:p>
        </w:tc>
        <w:tc>
          <w:tcPr>
            <w:tcW w:w="7775" w:type="dxa"/>
          </w:tcPr>
          <w:p w:rsidR="00F3668D" w:rsidRPr="000C2340" w:rsidRDefault="00F3668D" w:rsidP="000C2340">
            <w:pPr>
              <w:spacing w:before="40" w:after="40"/>
            </w:pPr>
            <w:r>
              <w:t xml:space="preserve">Содействие обеспечению цифровой грамотности, развитию цифровых навыков и электронному образованию и внедрение доступных ИКТ в сферу электронного образования. </w:t>
            </w:r>
          </w:p>
        </w:tc>
      </w:tr>
    </w:tbl>
    <w:p w:rsidR="00F3668D" w:rsidRPr="00F3668D" w:rsidRDefault="00F3668D" w:rsidP="00F3668D"/>
    <w:p w:rsidR="00F3668D" w:rsidRPr="00F3668D" w:rsidRDefault="00F3668D" w:rsidP="00F3668D">
      <w:r w:rsidRPr="00F3668D">
        <w:br w:type="page"/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719"/>
        <w:gridCol w:w="7775"/>
      </w:tblGrid>
      <w:tr w:rsidR="00F3668D" w:rsidRPr="00EA25F3" w:rsidTr="00FC4E2C">
        <w:trPr>
          <w:tblHeader/>
          <w:jc w:val="center"/>
        </w:trPr>
        <w:tc>
          <w:tcPr>
            <w:tcW w:w="1576" w:type="dxa"/>
            <w:gridSpan w:val="2"/>
            <w:shd w:val="clear" w:color="auto" w:fill="D6E3BC" w:themeFill="accent3" w:themeFillTint="66"/>
            <w:vAlign w:val="center"/>
          </w:tcPr>
          <w:p w:rsidR="00F3668D" w:rsidRPr="00EA25F3" w:rsidRDefault="00F3668D" w:rsidP="00FC4E2C">
            <w:pPr>
              <w:keepNext/>
              <w:spacing w:after="120"/>
              <w:jc w:val="center"/>
              <w:rPr>
                <w:b/>
                <w:bCs/>
                <w:smallCaps/>
              </w:rPr>
            </w:pPr>
            <w:proofErr w:type="spellStart"/>
            <w:r>
              <w:rPr>
                <w:b/>
                <w:bCs/>
              </w:rPr>
              <w:lastRenderedPageBreak/>
              <w:t>РИ</w:t>
            </w:r>
            <w:proofErr w:type="spellEnd"/>
            <w:r w:rsidRPr="00EA25F3">
              <w:br w:type="page"/>
            </w:r>
            <w:r w:rsidRPr="00EA25F3">
              <w:rPr>
                <w:b/>
                <w:bCs/>
                <w:smallCaps/>
              </w:rPr>
              <w:t xml:space="preserve"> 4</w:t>
            </w:r>
          </w:p>
        </w:tc>
        <w:tc>
          <w:tcPr>
            <w:tcW w:w="7775" w:type="dxa"/>
            <w:shd w:val="clear" w:color="auto" w:fill="D6E3BC" w:themeFill="accent3" w:themeFillTint="66"/>
            <w:vAlign w:val="center"/>
          </w:tcPr>
          <w:p w:rsidR="00F3668D" w:rsidRPr="00F3668D" w:rsidRDefault="00F3668D" w:rsidP="00F3668D">
            <w:pPr>
              <w:pStyle w:val="Tablehead"/>
              <w:jc w:val="left"/>
            </w:pPr>
            <w:r w:rsidRPr="00F3668D">
              <w:t>Укрепление доверия и уверенности при использовании ИКТ</w:t>
            </w:r>
          </w:p>
        </w:tc>
      </w:tr>
      <w:tr w:rsidR="00F3668D" w:rsidRPr="00370F99" w:rsidTr="00FC4E2C">
        <w:trPr>
          <w:jc w:val="center"/>
        </w:trPr>
        <w:tc>
          <w:tcPr>
            <w:tcW w:w="1576" w:type="dxa"/>
            <w:gridSpan w:val="2"/>
            <w:vAlign w:val="center"/>
          </w:tcPr>
          <w:p w:rsidR="00F3668D" w:rsidRPr="00EA25F3" w:rsidRDefault="00F3668D" w:rsidP="00F3668D">
            <w:pPr>
              <w:pStyle w:val="Tabletext"/>
              <w:jc w:val="center"/>
              <w:rPr>
                <w:b/>
                <w:bCs/>
                <w:smallCaps/>
              </w:rPr>
            </w:pPr>
            <w:r w:rsidRPr="00F3668D">
              <w:rPr>
                <w:b/>
                <w:bCs/>
              </w:rPr>
              <w:t>Задача</w:t>
            </w:r>
          </w:p>
        </w:tc>
        <w:tc>
          <w:tcPr>
            <w:tcW w:w="7775" w:type="dxa"/>
          </w:tcPr>
          <w:p w:rsidR="00F3668D" w:rsidRPr="00370F99" w:rsidRDefault="00F3668D" w:rsidP="00370F99">
            <w:pPr>
              <w:keepNext/>
              <w:spacing w:before="40" w:after="40"/>
            </w:pPr>
            <w:r>
              <w:rPr>
                <w:bCs/>
              </w:rPr>
              <w:t>Поддерживать</w:t>
            </w:r>
            <w:r w:rsidRPr="00370F99">
              <w:rPr>
                <w:bCs/>
              </w:rPr>
              <w:t xml:space="preserve"> </w:t>
            </w:r>
            <w:r>
              <w:rPr>
                <w:bCs/>
              </w:rPr>
              <w:t>развертывание</w:t>
            </w:r>
            <w:r w:rsidRPr="00370F99">
              <w:rPr>
                <w:bCs/>
              </w:rPr>
              <w:t xml:space="preserve"> </w:t>
            </w:r>
            <w:r>
              <w:rPr>
                <w:bCs/>
              </w:rPr>
              <w:t>способной</w:t>
            </w:r>
            <w:r w:rsidRPr="00370F99">
              <w:rPr>
                <w:bCs/>
              </w:rPr>
              <w:t xml:space="preserve"> </w:t>
            </w:r>
            <w:r>
              <w:rPr>
                <w:bCs/>
              </w:rPr>
              <w:t>к</w:t>
            </w:r>
            <w:r w:rsidRPr="00370F99">
              <w:rPr>
                <w:bCs/>
              </w:rPr>
              <w:t xml:space="preserve"> </w:t>
            </w:r>
            <w:r>
              <w:rPr>
                <w:bCs/>
              </w:rPr>
              <w:t>восстановлению</w:t>
            </w:r>
            <w:r w:rsidRPr="00370F99">
              <w:rPr>
                <w:bCs/>
              </w:rPr>
              <w:t xml:space="preserve"> </w:t>
            </w:r>
            <w:r>
              <w:rPr>
                <w:bCs/>
              </w:rPr>
              <w:t>инфраструктуры и защищенных услуг, в среде которых все граждане, в особенности дети, смогут уверенно использовать ИКТ в своей повседневной жизни</w:t>
            </w:r>
            <w:r w:rsidRPr="00370F99">
              <w:t>.</w:t>
            </w:r>
          </w:p>
        </w:tc>
      </w:tr>
      <w:tr w:rsidR="00F3668D" w:rsidRPr="00370F99" w:rsidTr="00FC4E2C">
        <w:trPr>
          <w:jc w:val="center"/>
        </w:trPr>
        <w:tc>
          <w:tcPr>
            <w:tcW w:w="857" w:type="dxa"/>
            <w:vMerge w:val="restart"/>
            <w:textDirection w:val="btLr"/>
            <w:vAlign w:val="center"/>
          </w:tcPr>
          <w:p w:rsidR="00F3668D" w:rsidRPr="00F3668D" w:rsidRDefault="00F3668D" w:rsidP="00F3668D">
            <w:pPr>
              <w:pStyle w:val="Tabletext"/>
              <w:jc w:val="center"/>
              <w:rPr>
                <w:b/>
                <w:bCs/>
              </w:rPr>
            </w:pPr>
            <w:r w:rsidRPr="00F3668D">
              <w:rPr>
                <w:b/>
                <w:bCs/>
              </w:rPr>
              <w:t>Ожидаемые результаты</w:t>
            </w: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keepNext/>
              <w:spacing w:before="40" w:after="40"/>
              <w:jc w:val="center"/>
            </w:pPr>
            <w:r w:rsidRPr="00EA25F3">
              <w:t>1</w:t>
            </w:r>
          </w:p>
        </w:tc>
        <w:tc>
          <w:tcPr>
            <w:tcW w:w="7775" w:type="dxa"/>
          </w:tcPr>
          <w:p w:rsidR="00F3668D" w:rsidRPr="00370F99" w:rsidRDefault="00F3668D" w:rsidP="007C6205">
            <w:pPr>
              <w:keepNext/>
              <w:spacing w:before="40" w:after="40"/>
            </w:pPr>
            <w:r>
              <w:t>Обеспечение</w:t>
            </w:r>
            <w:r w:rsidRPr="00370F99">
              <w:t xml:space="preserve"> </w:t>
            </w:r>
            <w:r>
              <w:t>региональных</w:t>
            </w:r>
            <w:r w:rsidRPr="00370F99">
              <w:t xml:space="preserve"> </w:t>
            </w:r>
            <w:r>
              <w:t>платформ</w:t>
            </w:r>
            <w:r w:rsidRPr="00370F99">
              <w:t xml:space="preserve"> </w:t>
            </w:r>
            <w:r>
              <w:t>и</w:t>
            </w:r>
            <w:r w:rsidRPr="00370F99">
              <w:t xml:space="preserve"> </w:t>
            </w:r>
            <w:r>
              <w:t>инструментов</w:t>
            </w:r>
            <w:r w:rsidRPr="00370F99">
              <w:t xml:space="preserve"> </w:t>
            </w:r>
            <w:r>
              <w:t>для</w:t>
            </w:r>
            <w:r w:rsidRPr="00370F99">
              <w:t xml:space="preserve"> </w:t>
            </w:r>
            <w:r>
              <w:t>создания</w:t>
            </w:r>
            <w:r w:rsidRPr="00370F99">
              <w:t xml:space="preserve"> </w:t>
            </w:r>
            <w:r>
              <w:t>человеческого потенциала (осведомленность и подготовка специалистов) в целях укрепления доверия и уверенности при использовании ИКТ</w:t>
            </w:r>
            <w:r w:rsidRPr="00370F99">
              <w:t>.</w:t>
            </w:r>
          </w:p>
        </w:tc>
      </w:tr>
      <w:tr w:rsidR="00F3668D" w:rsidRPr="00F7177D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370F99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2</w:t>
            </w:r>
          </w:p>
        </w:tc>
        <w:tc>
          <w:tcPr>
            <w:tcW w:w="7775" w:type="dxa"/>
          </w:tcPr>
          <w:p w:rsidR="00F3668D" w:rsidRPr="00F7177D" w:rsidRDefault="00F3668D" w:rsidP="00427122">
            <w:pPr>
              <w:spacing w:before="40" w:after="40"/>
            </w:pPr>
            <w:r>
              <w:t>Распространение</w:t>
            </w:r>
            <w:r w:rsidRPr="00F7177D">
              <w:t xml:space="preserve"> </w:t>
            </w:r>
            <w:proofErr w:type="spellStart"/>
            <w:r>
              <w:t>странового</w:t>
            </w:r>
            <w:proofErr w:type="spellEnd"/>
            <w:r w:rsidRPr="00F7177D">
              <w:t xml:space="preserve"> </w:t>
            </w:r>
            <w:r>
              <w:t>и</w:t>
            </w:r>
            <w:r w:rsidRPr="00F7177D">
              <w:t xml:space="preserve"> </w:t>
            </w:r>
            <w:r>
              <w:t>регионального</w:t>
            </w:r>
            <w:r w:rsidRPr="00F7177D">
              <w:t xml:space="preserve"> </w:t>
            </w:r>
            <w:r>
              <w:t>передового</w:t>
            </w:r>
            <w:r w:rsidRPr="00F7177D">
              <w:t xml:space="preserve"> </w:t>
            </w:r>
            <w:r>
              <w:t>опыта</w:t>
            </w:r>
            <w:r w:rsidRPr="00F7177D">
              <w:t xml:space="preserve">, </w:t>
            </w:r>
            <w:r>
              <w:t>материалов исследований конкретных ситуаций и проведение обследований по вопросам повышения уверенности и доверия при использовании ИКТ.</w:t>
            </w:r>
          </w:p>
        </w:tc>
      </w:tr>
      <w:tr w:rsidR="00F3668D" w:rsidRPr="00EA25F3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F7177D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3</w:t>
            </w:r>
          </w:p>
        </w:tc>
        <w:tc>
          <w:tcPr>
            <w:tcW w:w="7775" w:type="dxa"/>
          </w:tcPr>
          <w:p w:rsidR="00F3668D" w:rsidRPr="00EA25F3" w:rsidRDefault="00F3668D" w:rsidP="00427122">
            <w:pPr>
              <w:spacing w:before="40" w:after="40"/>
            </w:pPr>
            <w:r>
              <w:t xml:space="preserve">Разработка или пересмотр национальных стратегий </w:t>
            </w:r>
            <w:proofErr w:type="spellStart"/>
            <w:r>
              <w:t>кибербезопасности</w:t>
            </w:r>
            <w:proofErr w:type="spellEnd"/>
            <w:r>
              <w:t>.</w:t>
            </w:r>
          </w:p>
        </w:tc>
      </w:tr>
      <w:tr w:rsidR="00F3668D" w:rsidRPr="00427122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EA25F3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4</w:t>
            </w:r>
          </w:p>
        </w:tc>
        <w:tc>
          <w:tcPr>
            <w:tcW w:w="7775" w:type="dxa"/>
          </w:tcPr>
          <w:p w:rsidR="00F3668D" w:rsidRPr="00427122" w:rsidRDefault="00F3668D" w:rsidP="00427122">
            <w:pPr>
              <w:spacing w:before="40" w:after="40"/>
            </w:pPr>
            <w:r>
              <w:t>Создание</w:t>
            </w:r>
            <w:r w:rsidRPr="00427122">
              <w:t xml:space="preserve"> </w:t>
            </w:r>
            <w:r>
              <w:t>или</w:t>
            </w:r>
            <w:r w:rsidRPr="00427122">
              <w:t xml:space="preserve"> </w:t>
            </w:r>
            <w:r>
              <w:t>укрепление</w:t>
            </w:r>
            <w:r w:rsidRPr="00427122">
              <w:t xml:space="preserve"> </w:t>
            </w:r>
            <w:r>
              <w:t>национальных групп реагирования на компьютерные инциденты.</w:t>
            </w:r>
          </w:p>
        </w:tc>
      </w:tr>
      <w:tr w:rsidR="00F3668D" w:rsidRPr="00677CF6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427122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5</w:t>
            </w:r>
          </w:p>
        </w:tc>
        <w:tc>
          <w:tcPr>
            <w:tcW w:w="7775" w:type="dxa"/>
          </w:tcPr>
          <w:p w:rsidR="00F3668D" w:rsidRPr="00677CF6" w:rsidRDefault="00F3668D" w:rsidP="00B1207E">
            <w:pPr>
              <w:spacing w:before="40" w:after="40"/>
            </w:pPr>
            <w:r>
              <w:t>Проведение</w:t>
            </w:r>
            <w:r w:rsidRPr="004228C0">
              <w:t xml:space="preserve"> </w:t>
            </w:r>
            <w:r>
              <w:t>занятий с использованием моделирования</w:t>
            </w:r>
            <w:r w:rsidRPr="004228C0">
              <w:t xml:space="preserve">, </w:t>
            </w:r>
            <w:r>
              <w:t>таких</w:t>
            </w:r>
            <w:r w:rsidRPr="004228C0">
              <w:t xml:space="preserve"> </w:t>
            </w:r>
            <w:r>
              <w:t>как</w:t>
            </w:r>
            <w:r w:rsidRPr="004228C0">
              <w:t xml:space="preserve"> </w:t>
            </w:r>
            <w:r>
              <w:t xml:space="preserve">тренировочные занятия по </w:t>
            </w:r>
            <w:proofErr w:type="spellStart"/>
            <w:r>
              <w:t>кибербезопасности</w:t>
            </w:r>
            <w:proofErr w:type="spellEnd"/>
            <w:r>
              <w:t xml:space="preserve">, на национальном и региональном уровнях. </w:t>
            </w:r>
          </w:p>
        </w:tc>
      </w:tr>
      <w:tr w:rsidR="00F3668D" w:rsidRPr="00677CF6" w:rsidTr="00FC4E2C">
        <w:trPr>
          <w:jc w:val="center"/>
        </w:trPr>
        <w:tc>
          <w:tcPr>
            <w:tcW w:w="857" w:type="dxa"/>
            <w:vMerge/>
            <w:vAlign w:val="center"/>
          </w:tcPr>
          <w:p w:rsidR="00F3668D" w:rsidRPr="00677CF6" w:rsidRDefault="00F3668D" w:rsidP="00FC4E2C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FC4E2C">
            <w:pPr>
              <w:spacing w:before="40" w:after="40"/>
              <w:jc w:val="center"/>
            </w:pPr>
            <w:r w:rsidRPr="00EA25F3">
              <w:t>6</w:t>
            </w:r>
          </w:p>
        </w:tc>
        <w:tc>
          <w:tcPr>
            <w:tcW w:w="7775" w:type="dxa"/>
          </w:tcPr>
          <w:p w:rsidR="00F3668D" w:rsidRPr="00677CF6" w:rsidRDefault="00F3668D" w:rsidP="006E297E">
            <w:pPr>
              <w:spacing w:before="40" w:after="40"/>
            </w:pPr>
            <w:r>
              <w:t>Сотрудничество</w:t>
            </w:r>
            <w:r w:rsidRPr="00677CF6">
              <w:t xml:space="preserve"> </w:t>
            </w:r>
            <w:r>
              <w:t>с</w:t>
            </w:r>
            <w:r w:rsidRPr="00677CF6">
              <w:t xml:space="preserve"> </w:t>
            </w:r>
            <w:r>
              <w:t>международными</w:t>
            </w:r>
            <w:r w:rsidRPr="00677CF6">
              <w:t>/</w:t>
            </w:r>
            <w:r>
              <w:t>региональными организациями в целях оказания помощи странам и разработки инструментов благодаря эффекту синергии и оптимизации ресурсов</w:t>
            </w:r>
            <w:r w:rsidRPr="00677CF6">
              <w:t>.</w:t>
            </w:r>
          </w:p>
        </w:tc>
      </w:tr>
    </w:tbl>
    <w:p w:rsidR="00F3668D" w:rsidRPr="00677CF6" w:rsidRDefault="00F3668D" w:rsidP="0008057D">
      <w:pPr>
        <w:spacing w:after="120"/>
        <w:rPr>
          <w:bCs/>
          <w:szCs w:val="24"/>
        </w:rPr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719"/>
        <w:gridCol w:w="7775"/>
      </w:tblGrid>
      <w:tr w:rsidR="00F3668D" w:rsidRPr="00EA25F3" w:rsidTr="00543773">
        <w:trPr>
          <w:tblHeader/>
          <w:jc w:val="center"/>
        </w:trPr>
        <w:tc>
          <w:tcPr>
            <w:tcW w:w="1576" w:type="dxa"/>
            <w:gridSpan w:val="2"/>
            <w:shd w:val="clear" w:color="auto" w:fill="D6E3BC" w:themeFill="accent3" w:themeFillTint="66"/>
            <w:vAlign w:val="center"/>
          </w:tcPr>
          <w:p w:rsidR="00F3668D" w:rsidRPr="00EA25F3" w:rsidRDefault="00F3668D" w:rsidP="00543773">
            <w:pPr>
              <w:keepNext/>
              <w:spacing w:after="120"/>
              <w:jc w:val="center"/>
              <w:rPr>
                <w:b/>
                <w:bCs/>
                <w:smallCaps/>
              </w:rPr>
            </w:pPr>
            <w:proofErr w:type="spellStart"/>
            <w:r>
              <w:rPr>
                <w:b/>
                <w:bCs/>
              </w:rPr>
              <w:t>РИ</w:t>
            </w:r>
            <w:proofErr w:type="spellEnd"/>
            <w:r w:rsidRPr="00EA25F3">
              <w:br w:type="page"/>
            </w:r>
            <w:r w:rsidRPr="00EA25F3">
              <w:rPr>
                <w:b/>
                <w:bCs/>
                <w:smallCaps/>
              </w:rPr>
              <w:t xml:space="preserve"> 5</w:t>
            </w:r>
          </w:p>
        </w:tc>
        <w:tc>
          <w:tcPr>
            <w:tcW w:w="7775" w:type="dxa"/>
            <w:shd w:val="clear" w:color="auto" w:fill="D6E3BC" w:themeFill="accent3" w:themeFillTint="66"/>
            <w:vAlign w:val="center"/>
          </w:tcPr>
          <w:p w:rsidR="00F3668D" w:rsidRPr="00F3668D" w:rsidRDefault="00F3668D" w:rsidP="00F3668D">
            <w:pPr>
              <w:pStyle w:val="Tablehead"/>
              <w:jc w:val="left"/>
            </w:pPr>
            <w:r w:rsidRPr="00F3668D">
              <w:t>Ориентированные на ИКТ инновационные экосистемы</w:t>
            </w:r>
          </w:p>
        </w:tc>
      </w:tr>
      <w:tr w:rsidR="00F3668D" w:rsidRPr="00235164" w:rsidTr="00543773">
        <w:trPr>
          <w:jc w:val="center"/>
        </w:trPr>
        <w:tc>
          <w:tcPr>
            <w:tcW w:w="1576" w:type="dxa"/>
            <w:gridSpan w:val="2"/>
            <w:vAlign w:val="center"/>
          </w:tcPr>
          <w:p w:rsidR="00F3668D" w:rsidRPr="00EA25F3" w:rsidRDefault="00F3668D" w:rsidP="00F3668D">
            <w:pPr>
              <w:pStyle w:val="Tabletext"/>
              <w:jc w:val="center"/>
              <w:rPr>
                <w:b/>
                <w:bCs/>
                <w:smallCaps/>
              </w:rPr>
            </w:pPr>
            <w:r w:rsidRPr="00F3668D">
              <w:rPr>
                <w:b/>
                <w:bCs/>
              </w:rPr>
              <w:t>Задача</w:t>
            </w:r>
          </w:p>
        </w:tc>
        <w:tc>
          <w:tcPr>
            <w:tcW w:w="7775" w:type="dxa"/>
          </w:tcPr>
          <w:p w:rsidR="00F3668D" w:rsidRPr="00235164" w:rsidRDefault="00F3668D" w:rsidP="003457CA">
            <w:pPr>
              <w:keepNext/>
              <w:spacing w:before="40" w:after="40"/>
            </w:pPr>
            <w:r>
              <w:t>Взять за основу осуществляемую</w:t>
            </w:r>
            <w:r w:rsidRPr="00235164">
              <w:t xml:space="preserve"> </w:t>
            </w:r>
            <w:r>
              <w:t>в</w:t>
            </w:r>
            <w:r w:rsidRPr="00235164">
              <w:t xml:space="preserve"> </w:t>
            </w:r>
            <w:r>
              <w:t>Европе</w:t>
            </w:r>
            <w:r w:rsidRPr="00235164">
              <w:t xml:space="preserve"> </w:t>
            </w:r>
            <w:r>
              <w:t>региональную</w:t>
            </w:r>
            <w:r w:rsidRPr="00235164">
              <w:t xml:space="preserve"> </w:t>
            </w:r>
            <w:r>
              <w:t>инициативу по предпринимательству, инновациям и молодежи, с тем чтобы укреплять предпринимательство и формировать устойчивую культуру инноваций, для чего проводить конкретные стратегические действия и использовать ИКТ в качестве</w:t>
            </w:r>
            <w:r w:rsidRPr="00235164">
              <w:t xml:space="preserve"> </w:t>
            </w:r>
            <w:r>
              <w:t>содействующего фактора</w:t>
            </w:r>
            <w:r w:rsidRPr="00235164">
              <w:t>.</w:t>
            </w:r>
          </w:p>
        </w:tc>
      </w:tr>
      <w:tr w:rsidR="00F3668D" w:rsidRPr="009D2CAE" w:rsidTr="00543773">
        <w:trPr>
          <w:jc w:val="center"/>
        </w:trPr>
        <w:tc>
          <w:tcPr>
            <w:tcW w:w="857" w:type="dxa"/>
            <w:vMerge w:val="restart"/>
            <w:textDirection w:val="btLr"/>
            <w:vAlign w:val="center"/>
          </w:tcPr>
          <w:p w:rsidR="00F3668D" w:rsidRPr="00F3668D" w:rsidRDefault="00F3668D" w:rsidP="00F3668D">
            <w:pPr>
              <w:pStyle w:val="Tabletext"/>
              <w:jc w:val="center"/>
              <w:rPr>
                <w:b/>
                <w:bCs/>
              </w:rPr>
            </w:pPr>
            <w:r w:rsidRPr="00F3668D">
              <w:rPr>
                <w:b/>
                <w:bCs/>
              </w:rPr>
              <w:t>Ожидаемые результаты</w:t>
            </w:r>
          </w:p>
        </w:tc>
        <w:tc>
          <w:tcPr>
            <w:tcW w:w="719" w:type="dxa"/>
            <w:vAlign w:val="center"/>
          </w:tcPr>
          <w:p w:rsidR="00F3668D" w:rsidRPr="00EA25F3" w:rsidRDefault="00F3668D" w:rsidP="00543773">
            <w:pPr>
              <w:keepNext/>
              <w:spacing w:before="40" w:after="40"/>
              <w:jc w:val="center"/>
            </w:pPr>
            <w:r w:rsidRPr="00EA25F3">
              <w:t>1</w:t>
            </w:r>
          </w:p>
        </w:tc>
        <w:tc>
          <w:tcPr>
            <w:tcW w:w="7775" w:type="dxa"/>
          </w:tcPr>
          <w:p w:rsidR="00F3668D" w:rsidRPr="009D2CAE" w:rsidRDefault="00F3668D" w:rsidP="009D2CAE">
            <w:pPr>
              <w:keepNext/>
              <w:spacing w:before="40" w:after="40"/>
              <w:rPr>
                <w:lang w:val="en-US"/>
              </w:rPr>
            </w:pPr>
            <w:proofErr w:type="spellStart"/>
            <w:r>
              <w:t>Страновые</w:t>
            </w:r>
            <w:proofErr w:type="spellEnd"/>
            <w:r>
              <w:t xml:space="preserve"> обзоры для сбора данных, анализа текущей ситуации и предложения эффективных рекомендаций по использованию ИКТ</w:t>
            </w:r>
            <w:r w:rsidRPr="009D2CAE">
              <w:rPr>
                <w:lang w:val="en-US"/>
              </w:rPr>
              <w:t xml:space="preserve"> </w:t>
            </w:r>
            <w:r>
              <w:t>в</w:t>
            </w:r>
            <w:r w:rsidRPr="009D2CAE">
              <w:rPr>
                <w:lang w:val="en-US"/>
              </w:rPr>
              <w:t xml:space="preserve"> </w:t>
            </w:r>
            <w:r>
              <w:t>качестве</w:t>
            </w:r>
            <w:r w:rsidRPr="009D2CAE">
              <w:rPr>
                <w:lang w:val="en-US"/>
              </w:rPr>
              <w:t xml:space="preserve"> </w:t>
            </w:r>
            <w:r>
              <w:t>фактора</w:t>
            </w:r>
            <w:r w:rsidRPr="009D2CAE">
              <w:rPr>
                <w:lang w:val="en-US"/>
              </w:rPr>
              <w:t xml:space="preserve">, </w:t>
            </w:r>
            <w:r>
              <w:t>содействующего</w:t>
            </w:r>
            <w:r w:rsidRPr="009D2CAE">
              <w:rPr>
                <w:lang w:val="en-US"/>
              </w:rPr>
              <w:t xml:space="preserve"> </w:t>
            </w:r>
            <w:r>
              <w:t>инновациям</w:t>
            </w:r>
            <w:r w:rsidRPr="009D2CAE">
              <w:rPr>
                <w:lang w:val="en-US"/>
              </w:rPr>
              <w:t>.</w:t>
            </w:r>
          </w:p>
        </w:tc>
      </w:tr>
      <w:tr w:rsidR="00F3668D" w:rsidRPr="00B1207E" w:rsidTr="00543773">
        <w:trPr>
          <w:jc w:val="center"/>
        </w:trPr>
        <w:tc>
          <w:tcPr>
            <w:tcW w:w="857" w:type="dxa"/>
            <w:vMerge/>
            <w:vAlign w:val="center"/>
          </w:tcPr>
          <w:p w:rsidR="00F3668D" w:rsidRPr="009D2CAE" w:rsidRDefault="00F3668D" w:rsidP="00543773">
            <w:pPr>
              <w:spacing w:before="40" w:after="4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543773">
            <w:pPr>
              <w:spacing w:before="40" w:after="40"/>
              <w:jc w:val="center"/>
            </w:pPr>
            <w:r w:rsidRPr="00EA25F3">
              <w:t>2</w:t>
            </w:r>
          </w:p>
        </w:tc>
        <w:tc>
          <w:tcPr>
            <w:tcW w:w="7775" w:type="dxa"/>
          </w:tcPr>
          <w:p w:rsidR="00F3668D" w:rsidRPr="00B1207E" w:rsidRDefault="00F3668D" w:rsidP="00B1207E">
            <w:pPr>
              <w:spacing w:before="40" w:after="40"/>
            </w:pPr>
            <w:r>
              <w:t>Проведение</w:t>
            </w:r>
            <w:r w:rsidRPr="00ED76A5">
              <w:t xml:space="preserve"> </w:t>
            </w:r>
            <w:r>
              <w:t>мероприятий</w:t>
            </w:r>
            <w:r w:rsidRPr="00ED76A5">
              <w:t xml:space="preserve"> </w:t>
            </w:r>
            <w:r>
              <w:t>по</w:t>
            </w:r>
            <w:r w:rsidRPr="00ED76A5">
              <w:t xml:space="preserve"> картографировани</w:t>
            </w:r>
            <w:r>
              <w:t>ю</w:t>
            </w:r>
            <w:r w:rsidRPr="00ED76A5">
              <w:t xml:space="preserve"> экосистем </w:t>
            </w:r>
            <w:r>
              <w:t xml:space="preserve">в целях координации усилий по разработке новых проектов и видов деятельности путем содействия сотрудничеству действующих участников и путем указания пробелов в экосистеме, где заинтересованные стороны могут оказать существенное воздействие. </w:t>
            </w:r>
          </w:p>
        </w:tc>
      </w:tr>
      <w:tr w:rsidR="00F3668D" w:rsidRPr="001302A6" w:rsidTr="00543773">
        <w:trPr>
          <w:jc w:val="center"/>
        </w:trPr>
        <w:tc>
          <w:tcPr>
            <w:tcW w:w="857" w:type="dxa"/>
            <w:vMerge/>
            <w:vAlign w:val="center"/>
          </w:tcPr>
          <w:p w:rsidR="00F3668D" w:rsidRPr="00B1207E" w:rsidRDefault="00F3668D" w:rsidP="0054377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543773">
            <w:pPr>
              <w:spacing w:before="40" w:after="40"/>
              <w:jc w:val="center"/>
            </w:pPr>
            <w:r w:rsidRPr="00EA25F3">
              <w:t>3</w:t>
            </w:r>
          </w:p>
        </w:tc>
        <w:tc>
          <w:tcPr>
            <w:tcW w:w="7775" w:type="dxa"/>
          </w:tcPr>
          <w:p w:rsidR="00F3668D" w:rsidRPr="001302A6" w:rsidRDefault="00F3668D" w:rsidP="002B595A">
            <w:pPr>
              <w:spacing w:before="40" w:after="40"/>
              <w:rPr>
                <w:lang w:val="en-US"/>
              </w:rPr>
            </w:pPr>
            <w:r>
              <w:t>Создание</w:t>
            </w:r>
            <w:r w:rsidRPr="002B595A">
              <w:t xml:space="preserve"> </w:t>
            </w:r>
            <w:r>
              <w:t>человеческого</w:t>
            </w:r>
            <w:r w:rsidRPr="002B595A">
              <w:t xml:space="preserve"> </w:t>
            </w:r>
            <w:r>
              <w:t>потенциала</w:t>
            </w:r>
            <w:r w:rsidRPr="002B595A">
              <w:t xml:space="preserve"> </w:t>
            </w:r>
            <w:r>
              <w:t>путем</w:t>
            </w:r>
            <w:r w:rsidRPr="002B595A">
              <w:t xml:space="preserve"> </w:t>
            </w:r>
            <w:r>
              <w:t>определения</w:t>
            </w:r>
            <w:r w:rsidRPr="002B595A">
              <w:t xml:space="preserve"> </w:t>
            </w:r>
            <w:r>
              <w:t>и</w:t>
            </w:r>
            <w:r w:rsidRPr="002B595A">
              <w:t xml:space="preserve"> </w:t>
            </w:r>
            <w:r>
              <w:t xml:space="preserve">передачи практических навыков, необходимых для поддержки инновационных отраслей. </w:t>
            </w:r>
          </w:p>
        </w:tc>
      </w:tr>
      <w:tr w:rsidR="00F3668D" w:rsidRPr="002B595A" w:rsidTr="00543773">
        <w:trPr>
          <w:jc w:val="center"/>
        </w:trPr>
        <w:tc>
          <w:tcPr>
            <w:tcW w:w="857" w:type="dxa"/>
            <w:vMerge/>
            <w:vAlign w:val="center"/>
          </w:tcPr>
          <w:p w:rsidR="00F3668D" w:rsidRPr="001302A6" w:rsidRDefault="00F3668D" w:rsidP="00543773">
            <w:pPr>
              <w:spacing w:before="40" w:after="4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543773">
            <w:pPr>
              <w:spacing w:before="40" w:after="40"/>
              <w:jc w:val="center"/>
            </w:pPr>
            <w:r w:rsidRPr="00EA25F3">
              <w:t>4</w:t>
            </w:r>
          </w:p>
        </w:tc>
        <w:tc>
          <w:tcPr>
            <w:tcW w:w="7775" w:type="dxa"/>
          </w:tcPr>
          <w:p w:rsidR="00F3668D" w:rsidRPr="002B595A" w:rsidRDefault="00F3668D" w:rsidP="002B595A">
            <w:pPr>
              <w:spacing w:before="40" w:after="40"/>
            </w:pPr>
            <w:r>
              <w:t>Определение</w:t>
            </w:r>
            <w:r w:rsidRPr="002B595A">
              <w:t xml:space="preserve"> </w:t>
            </w:r>
            <w:r>
              <w:t>и</w:t>
            </w:r>
            <w:r w:rsidRPr="002B595A">
              <w:t xml:space="preserve"> </w:t>
            </w:r>
            <w:r>
              <w:t>выработка</w:t>
            </w:r>
            <w:r w:rsidRPr="002B595A">
              <w:t xml:space="preserve"> </w:t>
            </w:r>
            <w:r>
              <w:t>стратегий</w:t>
            </w:r>
            <w:r w:rsidRPr="002B595A">
              <w:t xml:space="preserve"> </w:t>
            </w:r>
            <w:r>
              <w:t>для моделей устойчивого финансирования в целях поддержки инновационных экосистем</w:t>
            </w:r>
            <w:r w:rsidRPr="002B595A">
              <w:t>.</w:t>
            </w:r>
          </w:p>
        </w:tc>
      </w:tr>
      <w:tr w:rsidR="00F3668D" w:rsidRPr="00EA25F3" w:rsidTr="00543773">
        <w:trPr>
          <w:jc w:val="center"/>
        </w:trPr>
        <w:tc>
          <w:tcPr>
            <w:tcW w:w="857" w:type="dxa"/>
            <w:vMerge/>
            <w:vAlign w:val="center"/>
          </w:tcPr>
          <w:p w:rsidR="00F3668D" w:rsidRPr="002B595A" w:rsidRDefault="00F3668D" w:rsidP="0054377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543773">
            <w:pPr>
              <w:spacing w:before="40" w:after="40"/>
              <w:jc w:val="center"/>
            </w:pPr>
            <w:r w:rsidRPr="00EA25F3">
              <w:t>5</w:t>
            </w:r>
          </w:p>
        </w:tc>
        <w:tc>
          <w:tcPr>
            <w:tcW w:w="7775" w:type="dxa"/>
          </w:tcPr>
          <w:p w:rsidR="00F3668D" w:rsidRPr="00EA25F3" w:rsidRDefault="00F3668D" w:rsidP="007E464A">
            <w:pPr>
              <w:spacing w:before="40" w:after="40"/>
            </w:pPr>
            <w:r>
              <w:t xml:space="preserve">Обмен </w:t>
            </w:r>
            <w:proofErr w:type="spellStart"/>
            <w:r>
              <w:t>страновым</w:t>
            </w:r>
            <w:proofErr w:type="spellEnd"/>
            <w:r>
              <w:t xml:space="preserve"> и региональным передовым опытом и материалами исследований конкретных ситуаций по всем аспектам ИКТ как движущей силы инноваций</w:t>
            </w:r>
            <w:r w:rsidRPr="00EA25F3">
              <w:t>.</w:t>
            </w:r>
          </w:p>
        </w:tc>
      </w:tr>
      <w:tr w:rsidR="00F3668D" w:rsidRPr="00EA25F3" w:rsidTr="00543773">
        <w:trPr>
          <w:jc w:val="center"/>
        </w:trPr>
        <w:tc>
          <w:tcPr>
            <w:tcW w:w="857" w:type="dxa"/>
            <w:vMerge/>
            <w:vAlign w:val="center"/>
          </w:tcPr>
          <w:p w:rsidR="00F3668D" w:rsidRPr="00EA25F3" w:rsidRDefault="00F3668D" w:rsidP="0054377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EA25F3" w:rsidRDefault="00F3668D" w:rsidP="00543773">
            <w:pPr>
              <w:spacing w:before="40" w:after="40"/>
              <w:jc w:val="center"/>
            </w:pPr>
            <w:r w:rsidRPr="00EA25F3">
              <w:t>6</w:t>
            </w:r>
          </w:p>
        </w:tc>
        <w:tc>
          <w:tcPr>
            <w:tcW w:w="7775" w:type="dxa"/>
          </w:tcPr>
          <w:p w:rsidR="00F3668D" w:rsidRPr="00EA25F3" w:rsidRDefault="00F3668D" w:rsidP="000D541B">
            <w:pPr>
              <w:spacing w:before="40" w:after="40"/>
            </w:pPr>
            <w:r>
              <w:t>Обеспечение региональной платформы (виртуальной и физической) для укрепления регионального сотрудничества между ориентированными на ИКТ экосистемами, проводя для этого ежегодные региональные форумы</w:t>
            </w:r>
            <w:r w:rsidRPr="000D541B">
              <w:t xml:space="preserve"> по вопросам инноваций</w:t>
            </w:r>
            <w:r w:rsidRPr="00EA25F3">
              <w:t>.</w:t>
            </w:r>
            <w:r w:rsidRPr="00EA25F3">
              <w:rPr>
                <w:b/>
                <w:color w:val="800000"/>
                <w:sz w:val="22"/>
              </w:rPr>
              <w:t xml:space="preserve"> </w:t>
            </w:r>
          </w:p>
        </w:tc>
      </w:tr>
    </w:tbl>
    <w:p w:rsidR="00F3668D" w:rsidRPr="00F3668D" w:rsidRDefault="00F3668D" w:rsidP="00F3668D">
      <w:r w:rsidRPr="00F3668D">
        <w:br w:type="page"/>
      </w:r>
    </w:p>
    <w:p w:rsidR="00F3668D" w:rsidRPr="00770A18" w:rsidRDefault="00F3668D" w:rsidP="00770A18">
      <w:pPr>
        <w:pStyle w:val="Heading1"/>
      </w:pPr>
      <w:r w:rsidRPr="002A7AC1">
        <w:lastRenderedPageBreak/>
        <w:t>B</w:t>
      </w:r>
      <w:r w:rsidRPr="00770A18">
        <w:tab/>
        <w:t>Вклад МСЭ-</w:t>
      </w:r>
      <w:r w:rsidRPr="002A7AC1">
        <w:t>D</w:t>
      </w:r>
      <w:r w:rsidRPr="00770A18">
        <w:t xml:space="preserve"> в Стратегический план МСЭ на 2020−2023 годы, План действий МСЭ-</w:t>
      </w:r>
      <w:r w:rsidRPr="002A7AC1">
        <w:t>D</w:t>
      </w:r>
      <w:r w:rsidRPr="00770A18">
        <w:t xml:space="preserve"> и Декларацию ВКРЭ</w:t>
      </w:r>
      <w:r w:rsidRPr="00770A18">
        <w:noBreakHyphen/>
        <w:t>17</w:t>
      </w:r>
    </w:p>
    <w:p w:rsidR="00F3668D" w:rsidRPr="00770A18" w:rsidRDefault="00F3668D" w:rsidP="00770A18">
      <w:pPr>
        <w:rPr>
          <w:szCs w:val="22"/>
        </w:rPr>
      </w:pPr>
      <w:r w:rsidRPr="00770A18">
        <w:rPr>
          <w:szCs w:val="22"/>
        </w:rPr>
        <w:t>Документы</w:t>
      </w:r>
      <w:r w:rsidRPr="002A7AC1">
        <w:rPr>
          <w:szCs w:val="22"/>
        </w:rPr>
        <w:t> </w:t>
      </w:r>
      <w:r w:rsidRPr="00770A18">
        <w:rPr>
          <w:szCs w:val="22"/>
        </w:rPr>
        <w:t xml:space="preserve">7, 8 и 9 были рассмотрены вместе на каждом из шести 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>. После представления этих документов Секретариат представил пояснения относительно измененного процесса разработки проекта вклада МСЭ-</w:t>
      </w:r>
      <w:r w:rsidRPr="002A7AC1">
        <w:rPr>
          <w:szCs w:val="22"/>
        </w:rPr>
        <w:t>D</w:t>
      </w:r>
      <w:r w:rsidRPr="00770A18">
        <w:rPr>
          <w:szCs w:val="22"/>
        </w:rPr>
        <w:t xml:space="preserve"> в Стратегический план МСЭ на 2020–2023</w:t>
      </w:r>
      <w:r w:rsidRPr="002A7AC1">
        <w:rPr>
          <w:szCs w:val="22"/>
        </w:rPr>
        <w:t> </w:t>
      </w:r>
      <w:r w:rsidRPr="00770A18">
        <w:rPr>
          <w:szCs w:val="22"/>
        </w:rPr>
        <w:t>годы, проекта Плана действий МСЭ</w:t>
      </w:r>
      <w:r w:rsidRPr="00770A18">
        <w:rPr>
          <w:szCs w:val="22"/>
        </w:rPr>
        <w:noBreakHyphen/>
      </w:r>
      <w:r w:rsidRPr="002A7AC1">
        <w:rPr>
          <w:szCs w:val="22"/>
        </w:rPr>
        <w:t>D</w:t>
      </w:r>
      <w:r w:rsidRPr="00770A18">
        <w:rPr>
          <w:szCs w:val="22"/>
        </w:rPr>
        <w:t xml:space="preserve"> на 2018–2021</w:t>
      </w:r>
      <w:r w:rsidRPr="002A7AC1">
        <w:rPr>
          <w:szCs w:val="22"/>
        </w:rPr>
        <w:t> </w:t>
      </w:r>
      <w:r w:rsidRPr="00770A18">
        <w:rPr>
          <w:szCs w:val="22"/>
        </w:rPr>
        <w:t>годы, а</w:t>
      </w:r>
      <w:r w:rsidRPr="002A7AC1">
        <w:rPr>
          <w:szCs w:val="22"/>
        </w:rPr>
        <w:t> </w:t>
      </w:r>
      <w:r w:rsidRPr="00770A18">
        <w:rPr>
          <w:szCs w:val="22"/>
        </w:rPr>
        <w:t>также проекта Декларации ВКРЭ-17. Используемый в настоящее время процесс предоставляет членам больше времени для рассмотрения предложений и повышения эффективности работы ВКРЭ</w:t>
      </w:r>
      <w:r w:rsidRPr="00770A18">
        <w:rPr>
          <w:szCs w:val="22"/>
        </w:rPr>
        <w:noBreakHyphen/>
        <w:t>17. Было отмечено, что вклады членов по этим документам по-прежнему можно представлять на ВКРЭ-17.</w:t>
      </w:r>
    </w:p>
    <w:p w:rsidR="00F3668D" w:rsidRPr="00770A18" w:rsidRDefault="00F3668D" w:rsidP="00770A18">
      <w:pPr>
        <w:snapToGrid w:val="0"/>
        <w:rPr>
          <w:szCs w:val="22"/>
        </w:rPr>
      </w:pPr>
      <w:r w:rsidRPr="00770A18">
        <w:rPr>
          <w:szCs w:val="22"/>
        </w:rPr>
        <w:t>Документ, озаглавленный "</w:t>
      </w:r>
      <w:r w:rsidRPr="00770A18">
        <w:rPr>
          <w:b/>
          <w:bCs/>
          <w:szCs w:val="22"/>
        </w:rPr>
        <w:t>Предварительный проект вклада МСЭ-</w:t>
      </w:r>
      <w:r w:rsidRPr="002A7AC1">
        <w:rPr>
          <w:b/>
          <w:bCs/>
          <w:szCs w:val="22"/>
        </w:rPr>
        <w:t>D</w:t>
      </w:r>
      <w:r w:rsidRPr="00770A18">
        <w:rPr>
          <w:b/>
          <w:bCs/>
          <w:szCs w:val="22"/>
        </w:rPr>
        <w:t xml:space="preserve"> в Стратегический план МСЭ на 2020−2023 годы</w:t>
      </w:r>
      <w:r w:rsidRPr="00770A18">
        <w:rPr>
          <w:szCs w:val="22"/>
        </w:rPr>
        <w:t xml:space="preserve">", был представлен на каждом из шести 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 xml:space="preserve"> </w:t>
      </w:r>
      <w:r w:rsidRPr="00770A18">
        <w:rPr>
          <w:szCs w:val="24"/>
        </w:rPr>
        <w:t>(</w:t>
      </w:r>
      <w:proofErr w:type="spellStart"/>
      <w:r w:rsidR="00ED0FEB">
        <w:fldChar w:fldCharType="begin"/>
      </w:r>
      <w:r w:rsidR="00ED0FEB">
        <w:instrText xml:space="preserve"> HYPERLINK "http://www.itu.int/md/D14-RPMCIS-C-0007/en" </w:instrText>
      </w:r>
      <w:r w:rsidR="00ED0FEB">
        <w:fldChar w:fldCharType="separate"/>
      </w:r>
      <w:r w:rsidRPr="002A7AC1">
        <w:rPr>
          <w:rStyle w:val="Hyperlink"/>
          <w:szCs w:val="24"/>
        </w:rPr>
        <w:t>RPM</w:t>
      </w:r>
      <w:r w:rsidRPr="00770A18">
        <w:rPr>
          <w:rStyle w:val="Hyperlink"/>
          <w:szCs w:val="24"/>
        </w:rPr>
        <w:t>-</w:t>
      </w:r>
      <w:r w:rsidRPr="002A7AC1">
        <w:rPr>
          <w:rStyle w:val="Hyperlink"/>
          <w:szCs w:val="24"/>
        </w:rPr>
        <w:t>CIS</w:t>
      </w:r>
      <w:r w:rsidRPr="00770A18">
        <w:rPr>
          <w:rStyle w:val="Hyperlink"/>
          <w:szCs w:val="24"/>
        </w:rPr>
        <w:t>16</w:t>
      </w:r>
      <w:proofErr w:type="spellEnd"/>
      <w:r w:rsidRPr="00770A18">
        <w:rPr>
          <w:rStyle w:val="Hyperlink"/>
          <w:szCs w:val="24"/>
        </w:rPr>
        <w:t>/7</w:t>
      </w:r>
      <w:r w:rsidR="00ED0FEB">
        <w:rPr>
          <w:rStyle w:val="Hyperlink"/>
          <w:szCs w:val="24"/>
        </w:rPr>
        <w:fldChar w:fldCharType="end"/>
      </w:r>
      <w:r w:rsidRPr="00770A18">
        <w:rPr>
          <w:szCs w:val="24"/>
        </w:rPr>
        <w:t xml:space="preserve">, </w:t>
      </w:r>
      <w:hyperlink r:id="rId27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AFR</w:t>
        </w:r>
        <w:r w:rsidRPr="00770A18">
          <w:rPr>
            <w:rStyle w:val="Hyperlink"/>
            <w:szCs w:val="24"/>
          </w:rPr>
          <w:t>16</w:t>
        </w:r>
        <w:proofErr w:type="spellEnd"/>
        <w:r w:rsidRPr="00770A18">
          <w:rPr>
            <w:rStyle w:val="Hyperlink"/>
            <w:szCs w:val="24"/>
          </w:rPr>
          <w:t>/7</w:t>
        </w:r>
      </w:hyperlink>
      <w:r w:rsidRPr="00770A18">
        <w:rPr>
          <w:szCs w:val="24"/>
        </w:rPr>
        <w:t xml:space="preserve">, </w:t>
      </w:r>
      <w:hyperlink r:id="rId28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noBreakHyphen/>
        </w:r>
        <w:r w:rsidRPr="002A7AC1">
          <w:rPr>
            <w:rStyle w:val="Hyperlink"/>
            <w:szCs w:val="24"/>
          </w:rPr>
          <w:t>ARB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/7</w:t>
        </w:r>
      </w:hyperlink>
      <w:r w:rsidRPr="00770A18">
        <w:rPr>
          <w:szCs w:val="24"/>
        </w:rPr>
        <w:t xml:space="preserve">, </w:t>
      </w:r>
      <w:hyperlink r:id="rId29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AMS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/7</w:t>
        </w:r>
      </w:hyperlink>
      <w:r w:rsidRPr="00770A18">
        <w:rPr>
          <w:szCs w:val="24"/>
        </w:rPr>
        <w:t xml:space="preserve">, </w:t>
      </w:r>
      <w:hyperlink r:id="rId30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ASP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/7</w:t>
        </w:r>
      </w:hyperlink>
      <w:r w:rsidRPr="00770A18">
        <w:rPr>
          <w:szCs w:val="24"/>
        </w:rPr>
        <w:t xml:space="preserve">, </w:t>
      </w:r>
      <w:hyperlink r:id="rId31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EUR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/7</w:t>
        </w:r>
      </w:hyperlink>
      <w:r w:rsidRPr="00770A18">
        <w:rPr>
          <w:szCs w:val="24"/>
        </w:rPr>
        <w:t>)</w:t>
      </w:r>
      <w:r w:rsidRPr="00770A18">
        <w:rPr>
          <w:szCs w:val="22"/>
        </w:rPr>
        <w:t>.</w:t>
      </w:r>
    </w:p>
    <w:p w:rsidR="00F3668D" w:rsidRPr="00770A18" w:rsidRDefault="00F3668D" w:rsidP="00770A18">
      <w:pPr>
        <w:snapToGrid w:val="0"/>
        <w:rPr>
          <w:szCs w:val="22"/>
        </w:rPr>
      </w:pPr>
      <w:r w:rsidRPr="00770A18">
        <w:rPr>
          <w:szCs w:val="22"/>
        </w:rPr>
        <w:t>Документ представляет собой пересмотренную версию проекта исходного вклада МСЭ-</w:t>
      </w:r>
      <w:r w:rsidRPr="002A7AC1">
        <w:rPr>
          <w:szCs w:val="22"/>
        </w:rPr>
        <w:t>D</w:t>
      </w:r>
      <w:r w:rsidRPr="00770A18">
        <w:rPr>
          <w:szCs w:val="22"/>
        </w:rPr>
        <w:t xml:space="preserve"> в проект Стратегического плана МСЭ на период 2020−2023</w:t>
      </w:r>
      <w:r w:rsidRPr="002A7AC1">
        <w:rPr>
          <w:szCs w:val="22"/>
        </w:rPr>
        <w:t> </w:t>
      </w:r>
      <w:r w:rsidRPr="00770A18">
        <w:rPr>
          <w:szCs w:val="22"/>
        </w:rPr>
        <w:t xml:space="preserve">годов, разработанного работающей по переписке Группой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 xml:space="preserve"> по Стратегическому плану, Оперативному плану и Декларации (</w:t>
      </w:r>
      <w:proofErr w:type="spellStart"/>
      <w:r w:rsidRPr="00770A18">
        <w:rPr>
          <w:szCs w:val="22"/>
        </w:rPr>
        <w:t>ГП-СПОПД</w:t>
      </w:r>
      <w:proofErr w:type="spellEnd"/>
      <w:r w:rsidRPr="00770A18">
        <w:rPr>
          <w:szCs w:val="22"/>
        </w:rPr>
        <w:t xml:space="preserve">), который был представлен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>-15 в апреле 2015</w:t>
      </w:r>
      <w:r w:rsidRPr="002A7AC1">
        <w:rPr>
          <w:szCs w:val="22"/>
        </w:rPr>
        <w:t> </w:t>
      </w:r>
      <w:r w:rsidRPr="00770A18">
        <w:rPr>
          <w:szCs w:val="22"/>
        </w:rPr>
        <w:t xml:space="preserve">года в качестве отчета о ходе работы. Пересмотр отражает указания, полученные от </w:t>
      </w:r>
      <w:proofErr w:type="spellStart"/>
      <w:r w:rsidRPr="00770A18">
        <w:rPr>
          <w:szCs w:val="22"/>
        </w:rPr>
        <w:t>ГП-СПОПД</w:t>
      </w:r>
      <w:proofErr w:type="spellEnd"/>
      <w:r w:rsidRPr="00770A18">
        <w:rPr>
          <w:szCs w:val="22"/>
        </w:rPr>
        <w:t xml:space="preserve"> 15</w:t>
      </w:r>
      <w:r w:rsidRPr="002A7AC1">
        <w:rPr>
          <w:szCs w:val="22"/>
        </w:rPr>
        <w:t> </w:t>
      </w:r>
      <w:r w:rsidRPr="00770A18">
        <w:rPr>
          <w:szCs w:val="22"/>
        </w:rPr>
        <w:t>марта 2016</w:t>
      </w:r>
      <w:r w:rsidRPr="002A7AC1">
        <w:rPr>
          <w:szCs w:val="22"/>
        </w:rPr>
        <w:t> </w:t>
      </w:r>
      <w:r w:rsidRPr="00770A18">
        <w:rPr>
          <w:szCs w:val="22"/>
        </w:rPr>
        <w:t>года, которые содержатся в Документе</w:t>
      </w:r>
      <w:r w:rsidRPr="002A7AC1">
        <w:rPr>
          <w:szCs w:val="22"/>
        </w:rPr>
        <w:t> </w:t>
      </w:r>
      <w:proofErr w:type="spellStart"/>
      <w:r w:rsidR="00ED0FEB">
        <w:fldChar w:fldCharType="begin"/>
      </w:r>
      <w:r w:rsidR="00ED0FEB">
        <w:instrText xml:space="preserve"> HYPERLINK "https://www.itu.int/md/D14-TDAG21-C-0010/en" </w:instrText>
      </w:r>
      <w:r w:rsidR="00ED0FEB">
        <w:fldChar w:fldCharType="separate"/>
      </w:r>
      <w:r w:rsidRPr="002A7AC1">
        <w:rPr>
          <w:rStyle w:val="Hyperlink"/>
        </w:rPr>
        <w:t>TDAG</w:t>
      </w:r>
      <w:r w:rsidRPr="00770A18">
        <w:rPr>
          <w:rStyle w:val="Hyperlink"/>
        </w:rPr>
        <w:t>16</w:t>
      </w:r>
      <w:proofErr w:type="spellEnd"/>
      <w:r w:rsidRPr="00770A18">
        <w:rPr>
          <w:rStyle w:val="Hyperlink"/>
        </w:rPr>
        <w:noBreakHyphen/>
        <w:t>21/10</w:t>
      </w:r>
      <w:r w:rsidR="00ED0FEB">
        <w:rPr>
          <w:rStyle w:val="Hyperlink"/>
        </w:rPr>
        <w:fldChar w:fldCharType="end"/>
      </w:r>
      <w:r w:rsidRPr="00770A18">
        <w:rPr>
          <w:szCs w:val="22"/>
        </w:rPr>
        <w:t xml:space="preserve">.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 xml:space="preserve"> приняла этот документ на своем собрании 16−18</w:t>
      </w:r>
      <w:r w:rsidRPr="002A7AC1">
        <w:rPr>
          <w:szCs w:val="22"/>
        </w:rPr>
        <w:t> </w:t>
      </w:r>
      <w:r w:rsidRPr="00770A18">
        <w:rPr>
          <w:szCs w:val="22"/>
        </w:rPr>
        <w:t>марта 2016</w:t>
      </w:r>
      <w:r w:rsidRPr="002A7AC1">
        <w:rPr>
          <w:szCs w:val="22"/>
        </w:rPr>
        <w:t> </w:t>
      </w:r>
      <w:r w:rsidRPr="00770A18">
        <w:rPr>
          <w:szCs w:val="22"/>
        </w:rPr>
        <w:t>года и приняла решение о размещении его на веб-сайте для проведения онлайновых консультаций с членами МСЭ</w:t>
      </w:r>
      <w:r w:rsidRPr="00770A18">
        <w:rPr>
          <w:szCs w:val="22"/>
        </w:rPr>
        <w:noBreakHyphen/>
      </w:r>
      <w:r w:rsidRPr="002A7AC1">
        <w:rPr>
          <w:szCs w:val="22"/>
        </w:rPr>
        <w:t>D</w:t>
      </w:r>
      <w:r w:rsidRPr="00770A18">
        <w:rPr>
          <w:szCs w:val="22"/>
        </w:rPr>
        <w:t xml:space="preserve"> до 30</w:t>
      </w:r>
      <w:r w:rsidRPr="002A7AC1">
        <w:rPr>
          <w:szCs w:val="22"/>
        </w:rPr>
        <w:t> </w:t>
      </w:r>
      <w:r w:rsidRPr="00770A18">
        <w:rPr>
          <w:szCs w:val="22"/>
        </w:rPr>
        <w:t>июня 2016</w:t>
      </w:r>
      <w:r w:rsidRPr="002A7AC1">
        <w:rPr>
          <w:szCs w:val="22"/>
        </w:rPr>
        <w:t> </w:t>
      </w:r>
      <w:r w:rsidRPr="00770A18">
        <w:rPr>
          <w:szCs w:val="22"/>
        </w:rPr>
        <w:t>года. К этому предельному сроку каких-либо изменений предложено не было.</w:t>
      </w:r>
    </w:p>
    <w:p w:rsidR="00F3668D" w:rsidRPr="00770A18" w:rsidRDefault="00F3668D" w:rsidP="00770A18">
      <w:pPr>
        <w:snapToGrid w:val="0"/>
        <w:rPr>
          <w:szCs w:val="22"/>
        </w:rPr>
      </w:pPr>
      <w:r w:rsidRPr="00770A18">
        <w:rPr>
          <w:szCs w:val="22"/>
        </w:rPr>
        <w:t xml:space="preserve">В ходе заседания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 xml:space="preserve"> 2016</w:t>
      </w:r>
      <w:r w:rsidRPr="002A7AC1">
        <w:rPr>
          <w:szCs w:val="22"/>
        </w:rPr>
        <w:t> </w:t>
      </w:r>
      <w:r w:rsidRPr="00770A18">
        <w:rPr>
          <w:szCs w:val="22"/>
        </w:rPr>
        <w:t xml:space="preserve">года Директор </w:t>
      </w:r>
      <w:proofErr w:type="spellStart"/>
      <w:r w:rsidRPr="00770A18">
        <w:rPr>
          <w:szCs w:val="22"/>
        </w:rPr>
        <w:t>БРЭ</w:t>
      </w:r>
      <w:proofErr w:type="spellEnd"/>
      <w:r w:rsidRPr="00770A18">
        <w:rPr>
          <w:szCs w:val="22"/>
        </w:rPr>
        <w:t xml:space="preserve"> отметил, что он планирует направить проект вклада МСЭ-</w:t>
      </w:r>
      <w:r w:rsidRPr="002A7AC1">
        <w:rPr>
          <w:szCs w:val="22"/>
        </w:rPr>
        <w:t>D</w:t>
      </w:r>
      <w:r w:rsidRPr="00770A18">
        <w:rPr>
          <w:szCs w:val="22"/>
        </w:rPr>
        <w:t xml:space="preserve"> в Стратегический план МСЭ всем 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 xml:space="preserve"> в процессе подготовки к ВКРЭ-17. Проект Плана действий ВКРЭ-17 основан на структуре вклада МСЭ-</w:t>
      </w:r>
      <w:r w:rsidRPr="002A7AC1">
        <w:rPr>
          <w:szCs w:val="22"/>
        </w:rPr>
        <w:t>D</w:t>
      </w:r>
      <w:r w:rsidRPr="00770A18">
        <w:rPr>
          <w:szCs w:val="22"/>
        </w:rPr>
        <w:t xml:space="preserve"> в Стратегический план МСЭ.</w:t>
      </w:r>
    </w:p>
    <w:p w:rsidR="00F3668D" w:rsidRPr="00770A18" w:rsidRDefault="00F3668D" w:rsidP="00770A18">
      <w:pPr>
        <w:snapToGrid w:val="0"/>
        <w:rPr>
          <w:szCs w:val="22"/>
        </w:rPr>
      </w:pPr>
      <w:r w:rsidRPr="00770A18">
        <w:rPr>
          <w:szCs w:val="22"/>
        </w:rPr>
        <w:t>Этот проект вклада МСЭ-</w:t>
      </w:r>
      <w:r w:rsidRPr="002A7AC1">
        <w:rPr>
          <w:szCs w:val="22"/>
        </w:rPr>
        <w:t>D</w:t>
      </w:r>
      <w:r w:rsidRPr="00770A18">
        <w:rPr>
          <w:szCs w:val="22"/>
        </w:rPr>
        <w:t xml:space="preserve"> в проект Стратегического плана МСЭ на 2020−2023</w:t>
      </w:r>
      <w:r w:rsidRPr="002A7AC1">
        <w:rPr>
          <w:szCs w:val="22"/>
        </w:rPr>
        <w:t> </w:t>
      </w:r>
      <w:r w:rsidRPr="00770A18">
        <w:rPr>
          <w:szCs w:val="22"/>
        </w:rPr>
        <w:t>годы содержит четыре задачи, соответствующие трем нижеприведенным положениям.</w:t>
      </w:r>
    </w:p>
    <w:p w:rsidR="00F3668D" w:rsidRPr="00770A18" w:rsidRDefault="00F3668D" w:rsidP="00770A18">
      <w:pPr>
        <w:pStyle w:val="enumlev1"/>
        <w:rPr>
          <w:rFonts w:cs="Calibri"/>
        </w:rPr>
      </w:pPr>
      <w:r w:rsidRPr="00770A18">
        <w:rPr>
          <w:rFonts w:cs="Calibri"/>
        </w:rPr>
        <w:t>1)</w:t>
      </w:r>
      <w:r w:rsidRPr="00770A18">
        <w:rPr>
          <w:rFonts w:cs="Calibri"/>
        </w:rPr>
        <w:tab/>
        <w:t>Проект в большей степени нацелен на достижение результатов, чем текущий Стратегический план на 2016−2019</w:t>
      </w:r>
      <w:r w:rsidRPr="002A7AC1">
        <w:rPr>
          <w:rFonts w:cs="Calibri"/>
        </w:rPr>
        <w:t> </w:t>
      </w:r>
      <w:r w:rsidRPr="00770A18">
        <w:rPr>
          <w:rFonts w:cs="Calibri"/>
        </w:rPr>
        <w:t>годы, в соответствии с подходом к управлению, ориентированным на результаты.</w:t>
      </w:r>
    </w:p>
    <w:p w:rsidR="00F3668D" w:rsidRPr="00770A18" w:rsidRDefault="00F3668D" w:rsidP="00770A18">
      <w:pPr>
        <w:pStyle w:val="enumlev1"/>
        <w:rPr>
          <w:rFonts w:cs="Calibri"/>
        </w:rPr>
      </w:pPr>
      <w:r w:rsidRPr="00770A18">
        <w:rPr>
          <w:rFonts w:cs="Calibri"/>
        </w:rPr>
        <w:t>2)</w:t>
      </w:r>
      <w:r w:rsidRPr="00770A18">
        <w:rPr>
          <w:rFonts w:cs="Calibri"/>
        </w:rPr>
        <w:tab/>
      </w:r>
      <w:proofErr w:type="gramStart"/>
      <w:r w:rsidRPr="00770A18">
        <w:rPr>
          <w:rFonts w:cs="Calibri"/>
        </w:rPr>
        <w:t>В</w:t>
      </w:r>
      <w:proofErr w:type="gramEnd"/>
      <w:r w:rsidRPr="00770A18">
        <w:rPr>
          <w:rFonts w:cs="Calibri"/>
        </w:rPr>
        <w:t xml:space="preserve"> проекте сохраняется все содержание Стратегического плана МСЭ-</w:t>
      </w:r>
      <w:r w:rsidRPr="002A7AC1">
        <w:rPr>
          <w:rFonts w:cs="Calibri"/>
        </w:rPr>
        <w:t>D</w:t>
      </w:r>
      <w:r w:rsidRPr="00770A18">
        <w:rPr>
          <w:rFonts w:cs="Calibri"/>
        </w:rPr>
        <w:t xml:space="preserve"> на 2016−2019</w:t>
      </w:r>
      <w:r w:rsidRPr="002A7AC1">
        <w:rPr>
          <w:rFonts w:cs="Calibri"/>
        </w:rPr>
        <w:t> </w:t>
      </w:r>
      <w:r w:rsidRPr="00770A18">
        <w:rPr>
          <w:rFonts w:cs="Calibri"/>
        </w:rPr>
        <w:t>годы, которое было упорядочено, и в данный вклад включены ссылки на соответствующие конечные результаты и намеченные результаты деятельности текущего Стратегического плана. Кроме того, Стратегический план на 2016−2019</w:t>
      </w:r>
      <w:r w:rsidRPr="002A7AC1">
        <w:rPr>
          <w:rFonts w:cs="Calibri"/>
        </w:rPr>
        <w:t> </w:t>
      </w:r>
      <w:r w:rsidRPr="00770A18">
        <w:rPr>
          <w:rFonts w:cs="Calibri"/>
        </w:rPr>
        <w:t>годы для удобства помещен в Приложение</w:t>
      </w:r>
      <w:r w:rsidRPr="002A7AC1">
        <w:rPr>
          <w:rFonts w:cs="Calibri"/>
        </w:rPr>
        <w:t> </w:t>
      </w:r>
      <w:r w:rsidRPr="00770A18">
        <w:rPr>
          <w:rFonts w:cs="Calibri"/>
        </w:rPr>
        <w:t>Е.</w:t>
      </w:r>
    </w:p>
    <w:p w:rsidR="00F3668D" w:rsidRPr="00770A18" w:rsidRDefault="00F3668D" w:rsidP="00770A18">
      <w:pPr>
        <w:pStyle w:val="enumlev1"/>
        <w:rPr>
          <w:rFonts w:cs="Calibri"/>
        </w:rPr>
      </w:pPr>
      <w:r w:rsidRPr="00770A18">
        <w:rPr>
          <w:rFonts w:cs="Calibri"/>
        </w:rPr>
        <w:t>3)</w:t>
      </w:r>
      <w:r w:rsidRPr="00770A18">
        <w:rPr>
          <w:rFonts w:cs="Calibri"/>
        </w:rPr>
        <w:tab/>
        <w:t>Текущие пять задач Стратегического плана на 2016−2019</w:t>
      </w:r>
      <w:r w:rsidRPr="002A7AC1">
        <w:rPr>
          <w:rFonts w:cs="Calibri"/>
        </w:rPr>
        <w:t> </w:t>
      </w:r>
      <w:r w:rsidRPr="00770A18">
        <w:rPr>
          <w:rFonts w:cs="Calibri"/>
        </w:rPr>
        <w:t>годы представлены в четырех задачах, где применяются формулировки, которые Члены МСЭ и заинтересованные стороны могут признать и использовать при обращении к широкой общественности, чтобы люди, не участвующие в настоящее время в деятельности МСЭ-</w:t>
      </w:r>
      <w:r w:rsidRPr="002A7AC1">
        <w:rPr>
          <w:rFonts w:cs="Calibri"/>
        </w:rPr>
        <w:t>D</w:t>
      </w:r>
      <w:r w:rsidRPr="00770A18">
        <w:rPr>
          <w:rFonts w:cs="Calibri"/>
        </w:rPr>
        <w:t>, могли ассоциировать себя с нашей важной работой. Вклад направлен на упрощение формулировок текущего Стратегического плана, в том числе на устранение дублирования.</w:t>
      </w:r>
    </w:p>
    <w:p w:rsidR="00F3668D" w:rsidRPr="00770A18" w:rsidRDefault="00F3668D" w:rsidP="00770A18">
      <w:pPr>
        <w:snapToGrid w:val="0"/>
        <w:rPr>
          <w:szCs w:val="22"/>
        </w:rPr>
      </w:pPr>
      <w:r w:rsidRPr="00770A18">
        <w:rPr>
          <w:szCs w:val="22"/>
        </w:rPr>
        <w:t xml:space="preserve">В соответствии с поручениями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>-15 в этом документе, в Приложении</w:t>
      </w:r>
      <w:r w:rsidRPr="002A7AC1">
        <w:rPr>
          <w:szCs w:val="22"/>
        </w:rPr>
        <w:t> </w:t>
      </w:r>
      <w:r w:rsidRPr="00770A18">
        <w:rPr>
          <w:szCs w:val="22"/>
        </w:rPr>
        <w:t>А, представлен проект задач и конечных результатов, содержащийся во вкладе МСЭ-</w:t>
      </w:r>
      <w:r w:rsidRPr="002A7AC1">
        <w:rPr>
          <w:szCs w:val="22"/>
        </w:rPr>
        <w:t>D</w:t>
      </w:r>
      <w:r w:rsidRPr="00770A18">
        <w:rPr>
          <w:szCs w:val="22"/>
        </w:rPr>
        <w:t xml:space="preserve"> в Стратегический план МСЭ на 2020−2023</w:t>
      </w:r>
      <w:r w:rsidRPr="002A7AC1">
        <w:rPr>
          <w:szCs w:val="22"/>
        </w:rPr>
        <w:t> </w:t>
      </w:r>
      <w:r w:rsidRPr="00770A18">
        <w:rPr>
          <w:szCs w:val="22"/>
        </w:rPr>
        <w:t>годы, наряду со ссылками на Стратегический план МСЭ-</w:t>
      </w:r>
      <w:r w:rsidRPr="002A7AC1">
        <w:rPr>
          <w:szCs w:val="22"/>
        </w:rPr>
        <w:t>D</w:t>
      </w:r>
      <w:r w:rsidRPr="00770A18">
        <w:rPr>
          <w:szCs w:val="22"/>
        </w:rPr>
        <w:t xml:space="preserve"> на 2016−2019</w:t>
      </w:r>
      <w:r w:rsidRPr="002A7AC1">
        <w:rPr>
          <w:szCs w:val="22"/>
        </w:rPr>
        <w:t> </w:t>
      </w:r>
      <w:r w:rsidRPr="00770A18">
        <w:rPr>
          <w:szCs w:val="22"/>
        </w:rPr>
        <w:t xml:space="preserve">годы, а также </w:t>
      </w:r>
      <w:proofErr w:type="spellStart"/>
      <w:r w:rsidRPr="00770A18">
        <w:rPr>
          <w:szCs w:val="22"/>
        </w:rPr>
        <w:t>ЦУР</w:t>
      </w:r>
      <w:proofErr w:type="spellEnd"/>
      <w:r w:rsidRPr="00770A18">
        <w:rPr>
          <w:szCs w:val="22"/>
        </w:rPr>
        <w:t>, утвержденные Генеральной Ассамблеей Организации Объединенных Наций 25</w:t>
      </w:r>
      <w:r w:rsidRPr="002A7AC1">
        <w:rPr>
          <w:szCs w:val="22"/>
        </w:rPr>
        <w:t> </w:t>
      </w:r>
      <w:r w:rsidRPr="00770A18">
        <w:rPr>
          <w:szCs w:val="22"/>
        </w:rPr>
        <w:t>сентября 2015</w:t>
      </w:r>
      <w:r w:rsidRPr="002A7AC1">
        <w:rPr>
          <w:szCs w:val="22"/>
        </w:rPr>
        <w:t> </w:t>
      </w:r>
      <w:r w:rsidRPr="00770A18">
        <w:rPr>
          <w:szCs w:val="22"/>
        </w:rPr>
        <w:t xml:space="preserve">года, и Направления деятельности Женевского плана действий </w:t>
      </w:r>
      <w:proofErr w:type="spellStart"/>
      <w:r w:rsidRPr="00770A18">
        <w:rPr>
          <w:szCs w:val="22"/>
        </w:rPr>
        <w:t>ВВУИО</w:t>
      </w:r>
      <w:proofErr w:type="spellEnd"/>
      <w:r w:rsidRPr="00770A18">
        <w:rPr>
          <w:szCs w:val="22"/>
        </w:rPr>
        <w:t xml:space="preserve"> и Тунисскую программу с учетом Концепции </w:t>
      </w:r>
      <w:proofErr w:type="spellStart"/>
      <w:r w:rsidRPr="00770A18">
        <w:rPr>
          <w:szCs w:val="22"/>
        </w:rPr>
        <w:t>ВВУИО</w:t>
      </w:r>
      <w:proofErr w:type="spellEnd"/>
      <w:r w:rsidRPr="00770A18">
        <w:rPr>
          <w:szCs w:val="22"/>
        </w:rPr>
        <w:t xml:space="preserve"> на период после 2015</w:t>
      </w:r>
      <w:r w:rsidRPr="002A7AC1">
        <w:rPr>
          <w:szCs w:val="22"/>
        </w:rPr>
        <w:t> </w:t>
      </w:r>
      <w:r w:rsidRPr="00770A18">
        <w:rPr>
          <w:szCs w:val="22"/>
        </w:rPr>
        <w:t>года, а также Повестки дня в области устойчивого развития на период до 2030</w:t>
      </w:r>
      <w:r w:rsidRPr="002A7AC1">
        <w:rPr>
          <w:szCs w:val="22"/>
        </w:rPr>
        <w:t> </w:t>
      </w:r>
      <w:r w:rsidRPr="00770A18">
        <w:rPr>
          <w:szCs w:val="22"/>
        </w:rPr>
        <w:t>года.</w:t>
      </w:r>
    </w:p>
    <w:p w:rsidR="00F3668D" w:rsidRPr="00770A18" w:rsidRDefault="00ED0FEB" w:rsidP="00770A18">
      <w:pPr>
        <w:rPr>
          <w:szCs w:val="24"/>
        </w:rPr>
      </w:pPr>
      <w:r>
        <w:lastRenderedPageBreak/>
        <w:t>Все</w:t>
      </w:r>
      <w:r w:rsidR="00F3668D" w:rsidRPr="00770A18">
        <w:t xml:space="preserve"> </w:t>
      </w:r>
      <w:proofErr w:type="spellStart"/>
      <w:r w:rsidR="00F3668D" w:rsidRPr="00770A18">
        <w:t>РПС</w:t>
      </w:r>
      <w:proofErr w:type="spellEnd"/>
      <w:r w:rsidR="00F3668D" w:rsidRPr="00770A18">
        <w:t xml:space="preserve"> приветствовали этот документ и договорились о необходимости проведения дальнейших обсуждений по Стратегическому плану на региональной основе, чтобы подготовить региональные вклады в Стратегический план для </w:t>
      </w:r>
      <w:proofErr w:type="spellStart"/>
      <w:r w:rsidR="00F3668D" w:rsidRPr="00770A18">
        <w:t>КГРЭ</w:t>
      </w:r>
      <w:proofErr w:type="spellEnd"/>
      <w:r w:rsidR="00F3668D" w:rsidRPr="00770A18">
        <w:t xml:space="preserve"> и ВКРЭ</w:t>
      </w:r>
      <w:r w:rsidR="00F3668D" w:rsidRPr="00770A18">
        <w:noBreakHyphen/>
        <w:t>17.</w:t>
      </w:r>
    </w:p>
    <w:p w:rsidR="00F3668D" w:rsidRPr="00CE19DF" w:rsidRDefault="00ED0FEB" w:rsidP="00ED0FEB">
      <w:pPr>
        <w:pStyle w:val="enumlev1"/>
      </w:pPr>
      <w:r>
        <w:t>•</w:t>
      </w:r>
      <w:r>
        <w:tab/>
      </w:r>
      <w:proofErr w:type="spellStart"/>
      <w:r w:rsidR="00F3668D" w:rsidRPr="00CE19DF">
        <w:t>РПС</w:t>
      </w:r>
      <w:proofErr w:type="spellEnd"/>
      <w:r w:rsidR="00F3668D" w:rsidRPr="00CE19DF">
        <w:t xml:space="preserve">-СНГ И </w:t>
      </w:r>
      <w:proofErr w:type="spellStart"/>
      <w:r w:rsidR="00F3668D" w:rsidRPr="00CE19DF">
        <w:t>РПС-АФР</w:t>
      </w:r>
      <w:proofErr w:type="spellEnd"/>
      <w:r w:rsidR="00F3668D" w:rsidRPr="00CE19DF">
        <w:t xml:space="preserve"> приветствовали и поддержали предварительный проект вклада МСЭ-D в Стратегический план МСЭ, представленный Секретариатом. </w:t>
      </w:r>
      <w:proofErr w:type="spellStart"/>
      <w:r w:rsidR="00F3668D" w:rsidRPr="00CE19DF">
        <w:t>РПС</w:t>
      </w:r>
      <w:proofErr w:type="spellEnd"/>
      <w:r w:rsidR="00F3668D" w:rsidRPr="00CE19DF">
        <w:t xml:space="preserve">-АРБ приветствовало и приняло к сведению вклады Секретариата и администрации, а также согласилось далее разработать общее предложение. </w:t>
      </w:r>
      <w:proofErr w:type="spellStart"/>
      <w:r w:rsidR="00F3668D" w:rsidRPr="00CE19DF">
        <w:t>РПС-АМР</w:t>
      </w:r>
      <w:proofErr w:type="spellEnd"/>
      <w:r w:rsidR="00F3668D" w:rsidRPr="00CE19DF">
        <w:t xml:space="preserve"> приветствовало и приняло к сведению предварительный проект вклада МСЭ-D в Стратегический план МСЭ, представленный Секретариатом, и согласилось, что дискуссии по предварительному проекту вклада МСЭ-D в Стратегический план МСЭ на 2020−2023 годы будут продолжены, чтобы разработать общее предложение для региона Северной и Южной Америки. </w:t>
      </w:r>
      <w:proofErr w:type="spellStart"/>
      <w:r w:rsidR="00F3668D" w:rsidRPr="00CE19DF">
        <w:t>РПС</w:t>
      </w:r>
      <w:r w:rsidR="00F3668D" w:rsidRPr="00CE19DF">
        <w:noBreakHyphen/>
        <w:t>АТР</w:t>
      </w:r>
      <w:proofErr w:type="spellEnd"/>
      <w:r w:rsidR="00F3668D" w:rsidRPr="00CE19DF">
        <w:t xml:space="preserve"> приветствовало и приняло к сведению вклады со стороны Секретариата и администрации, а также предложило, чтобы эти идеи были отражены в Плане действий. </w:t>
      </w:r>
      <w:proofErr w:type="spellStart"/>
      <w:r w:rsidR="00F3668D" w:rsidRPr="00CE19DF">
        <w:t>РПС-ЕВР</w:t>
      </w:r>
      <w:proofErr w:type="spellEnd"/>
      <w:r w:rsidR="00F3668D" w:rsidRPr="00CE19DF">
        <w:t xml:space="preserve"> приветствовало предварительный проект вклада МСЭ-</w:t>
      </w:r>
      <w:r w:rsidR="00F3668D" w:rsidRPr="00CE19DF">
        <w:rPr>
          <w:lang w:val="en-US"/>
        </w:rPr>
        <w:t>D</w:t>
      </w:r>
      <w:r w:rsidR="00F3668D" w:rsidRPr="00CE19DF">
        <w:t xml:space="preserve"> в Стратегический план МСЭ на 2020–2023 годы и приняло решение продолжить эту работу в рамках подготовительного процесса СЕПТ для представления ВКРЭ-17.</w:t>
      </w:r>
    </w:p>
    <w:p w:rsidR="00F3668D" w:rsidRPr="00770A18" w:rsidRDefault="00F3668D" w:rsidP="00770A18">
      <w:pPr>
        <w:rPr>
          <w:szCs w:val="24"/>
        </w:rPr>
      </w:pPr>
      <w:r w:rsidRPr="00770A18">
        <w:rPr>
          <w:szCs w:val="24"/>
        </w:rPr>
        <w:t>Документ, озаглавленный "</w:t>
      </w:r>
      <w:r w:rsidRPr="00770A18">
        <w:rPr>
          <w:b/>
          <w:bCs/>
          <w:szCs w:val="24"/>
        </w:rPr>
        <w:t>Предварительный проект Плана действий МСЭ-</w:t>
      </w:r>
      <w:r w:rsidRPr="002A7AC1">
        <w:rPr>
          <w:b/>
          <w:bCs/>
          <w:szCs w:val="24"/>
        </w:rPr>
        <w:t>D</w:t>
      </w:r>
      <w:r w:rsidRPr="00770A18">
        <w:rPr>
          <w:b/>
          <w:bCs/>
          <w:szCs w:val="24"/>
        </w:rPr>
        <w:t xml:space="preserve"> на 2018−2021 годы</w:t>
      </w:r>
      <w:r w:rsidRPr="00770A18">
        <w:rPr>
          <w:szCs w:val="24"/>
        </w:rPr>
        <w:t xml:space="preserve">", был представлен на каждом из шести </w:t>
      </w:r>
      <w:proofErr w:type="spellStart"/>
      <w:r w:rsidRPr="00770A18">
        <w:rPr>
          <w:szCs w:val="24"/>
        </w:rPr>
        <w:t>РПС</w:t>
      </w:r>
      <w:proofErr w:type="spellEnd"/>
      <w:r w:rsidRPr="00770A18">
        <w:rPr>
          <w:szCs w:val="24"/>
        </w:rPr>
        <w:t xml:space="preserve"> (</w:t>
      </w:r>
      <w:proofErr w:type="spellStart"/>
      <w:r w:rsidR="00ED0FEB">
        <w:fldChar w:fldCharType="begin"/>
      </w:r>
      <w:r w:rsidR="00ED0FEB">
        <w:instrText xml:space="preserve"> HYPERLINK "http://www.itu.int/md/D14-RPMCIS-C-0008/en" </w:instrText>
      </w:r>
      <w:r w:rsidR="00ED0FEB">
        <w:fldChar w:fldCharType="separate"/>
      </w:r>
      <w:r w:rsidRPr="002A7AC1">
        <w:rPr>
          <w:rStyle w:val="Hyperlink"/>
          <w:szCs w:val="24"/>
        </w:rPr>
        <w:t>RPM</w:t>
      </w:r>
      <w:r w:rsidRPr="00770A18">
        <w:rPr>
          <w:rStyle w:val="Hyperlink"/>
          <w:szCs w:val="24"/>
        </w:rPr>
        <w:t>-</w:t>
      </w:r>
      <w:r w:rsidRPr="002A7AC1">
        <w:rPr>
          <w:rStyle w:val="Hyperlink"/>
          <w:szCs w:val="24"/>
        </w:rPr>
        <w:t>CIS</w:t>
      </w:r>
      <w:r w:rsidRPr="00770A18">
        <w:rPr>
          <w:rStyle w:val="Hyperlink"/>
          <w:szCs w:val="24"/>
        </w:rPr>
        <w:t>16</w:t>
      </w:r>
      <w:proofErr w:type="spellEnd"/>
      <w:r w:rsidRPr="00770A18">
        <w:rPr>
          <w:rStyle w:val="Hyperlink"/>
          <w:szCs w:val="24"/>
        </w:rPr>
        <w:t>/8</w:t>
      </w:r>
      <w:r w:rsidR="00ED0FEB">
        <w:rPr>
          <w:rStyle w:val="Hyperlink"/>
          <w:szCs w:val="24"/>
        </w:rPr>
        <w:fldChar w:fldCharType="end"/>
      </w:r>
      <w:r w:rsidRPr="00770A18">
        <w:rPr>
          <w:szCs w:val="24"/>
        </w:rPr>
        <w:t xml:space="preserve">, </w:t>
      </w:r>
      <w:hyperlink r:id="rId32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AFR</w:t>
        </w:r>
        <w:r w:rsidRPr="00770A18">
          <w:rPr>
            <w:rStyle w:val="Hyperlink"/>
            <w:szCs w:val="24"/>
          </w:rPr>
          <w:t>16</w:t>
        </w:r>
        <w:proofErr w:type="spellEnd"/>
        <w:r w:rsidRPr="00770A18">
          <w:rPr>
            <w:rStyle w:val="Hyperlink"/>
            <w:szCs w:val="24"/>
          </w:rPr>
          <w:t>/8</w:t>
        </w:r>
      </w:hyperlink>
      <w:r w:rsidRPr="00770A18">
        <w:rPr>
          <w:szCs w:val="24"/>
        </w:rPr>
        <w:t xml:space="preserve">, </w:t>
      </w:r>
      <w:hyperlink r:id="rId33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ARB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/8</w:t>
        </w:r>
      </w:hyperlink>
      <w:r w:rsidRPr="00770A18">
        <w:rPr>
          <w:szCs w:val="24"/>
        </w:rPr>
        <w:t xml:space="preserve">, </w:t>
      </w:r>
      <w:hyperlink r:id="rId34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AMS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/8</w:t>
        </w:r>
      </w:hyperlink>
      <w:r w:rsidRPr="00770A18">
        <w:rPr>
          <w:szCs w:val="24"/>
        </w:rPr>
        <w:t xml:space="preserve">, </w:t>
      </w:r>
      <w:hyperlink r:id="rId35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ASP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/8</w:t>
        </w:r>
      </w:hyperlink>
      <w:r w:rsidRPr="00770A18">
        <w:rPr>
          <w:szCs w:val="24"/>
        </w:rPr>
        <w:t xml:space="preserve">, </w:t>
      </w:r>
      <w:hyperlink r:id="rId36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EUR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/8</w:t>
        </w:r>
      </w:hyperlink>
      <w:r w:rsidRPr="00770A18">
        <w:rPr>
          <w:szCs w:val="24"/>
        </w:rPr>
        <w:t>).</w:t>
      </w:r>
    </w:p>
    <w:p w:rsidR="00F3668D" w:rsidRPr="00770A18" w:rsidRDefault="00F3668D" w:rsidP="00770A18">
      <w:pPr>
        <w:snapToGrid w:val="0"/>
        <w:rPr>
          <w:szCs w:val="22"/>
        </w:rPr>
      </w:pPr>
      <w:r w:rsidRPr="00770A18">
        <w:rPr>
          <w:szCs w:val="22"/>
        </w:rPr>
        <w:t xml:space="preserve">Документ был подготовлен работающей по переписке группой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 xml:space="preserve"> по Стратегическому плану, Оперативному плану и Декларации (</w:t>
      </w:r>
      <w:proofErr w:type="spellStart"/>
      <w:r w:rsidRPr="00770A18">
        <w:rPr>
          <w:szCs w:val="22"/>
        </w:rPr>
        <w:t>ГП-СПОПД</w:t>
      </w:r>
      <w:proofErr w:type="spellEnd"/>
      <w:r w:rsidRPr="00770A18">
        <w:rPr>
          <w:szCs w:val="22"/>
        </w:rPr>
        <w:t>). На собрании работающей по переписке Группы 15</w:t>
      </w:r>
      <w:r w:rsidRPr="002A7AC1">
        <w:rPr>
          <w:szCs w:val="22"/>
        </w:rPr>
        <w:t> </w:t>
      </w:r>
      <w:r w:rsidRPr="00770A18">
        <w:rPr>
          <w:szCs w:val="22"/>
        </w:rPr>
        <w:t>марта 2016</w:t>
      </w:r>
      <w:r w:rsidRPr="002A7AC1">
        <w:rPr>
          <w:szCs w:val="22"/>
        </w:rPr>
        <w:t> </w:t>
      </w:r>
      <w:r w:rsidRPr="00770A18">
        <w:rPr>
          <w:szCs w:val="22"/>
        </w:rPr>
        <w:t>года документ был пересмотрен для учета ряда согласованных изменений, а именно изменения заглавия и включения ссылок на Резолюции Полномочной конференции, которые отражены в Документе</w:t>
      </w:r>
      <w:r w:rsidRPr="002A7AC1">
        <w:rPr>
          <w:szCs w:val="22"/>
        </w:rPr>
        <w:t> </w:t>
      </w:r>
      <w:proofErr w:type="spellStart"/>
      <w:r w:rsidR="00ED0FEB">
        <w:fldChar w:fldCharType="begin"/>
      </w:r>
      <w:r w:rsidR="00ED0FEB">
        <w:instrText xml:space="preserve"> HYPERLINK "https://www.itu.int/md</w:instrText>
      </w:r>
      <w:r w:rsidR="00ED0FEB">
        <w:instrText xml:space="preserve">/D14-TDAG21-C-0030/" </w:instrText>
      </w:r>
      <w:r w:rsidR="00ED0FEB">
        <w:fldChar w:fldCharType="separate"/>
      </w:r>
      <w:r w:rsidRPr="002A7AC1">
        <w:rPr>
          <w:rStyle w:val="Hyperlink"/>
        </w:rPr>
        <w:t>TDAG</w:t>
      </w:r>
      <w:r w:rsidRPr="00770A18">
        <w:rPr>
          <w:rStyle w:val="Hyperlink"/>
        </w:rPr>
        <w:t>16</w:t>
      </w:r>
      <w:proofErr w:type="spellEnd"/>
      <w:r w:rsidRPr="00770A18">
        <w:rPr>
          <w:rStyle w:val="Hyperlink"/>
        </w:rPr>
        <w:t>-21/30</w:t>
      </w:r>
      <w:r w:rsidR="00ED0FEB">
        <w:rPr>
          <w:rStyle w:val="Hyperlink"/>
        </w:rPr>
        <w:fldChar w:fldCharType="end"/>
      </w:r>
      <w:r w:rsidRPr="00770A18">
        <w:rPr>
          <w:szCs w:val="22"/>
        </w:rPr>
        <w:t xml:space="preserve">. Далее проект Плана действий был представлен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 xml:space="preserve">-16 на рассмотрение.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 xml:space="preserve"> представила вклады, которые были включены в документ.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 xml:space="preserve">-16, по указанию </w:t>
      </w:r>
      <w:proofErr w:type="spellStart"/>
      <w:r w:rsidRPr="00770A18">
        <w:rPr>
          <w:szCs w:val="22"/>
        </w:rPr>
        <w:t>ГП-СПОПД</w:t>
      </w:r>
      <w:proofErr w:type="spellEnd"/>
      <w:r w:rsidRPr="00770A18">
        <w:rPr>
          <w:szCs w:val="22"/>
        </w:rPr>
        <w:t xml:space="preserve">, поручила </w:t>
      </w:r>
      <w:proofErr w:type="spellStart"/>
      <w:r w:rsidRPr="00770A18">
        <w:rPr>
          <w:szCs w:val="22"/>
        </w:rPr>
        <w:t>БРЭ</w:t>
      </w:r>
      <w:proofErr w:type="spellEnd"/>
      <w:r w:rsidRPr="00770A18">
        <w:rPr>
          <w:szCs w:val="22"/>
        </w:rPr>
        <w:t xml:space="preserve"> разместить документ для онлайновых консультаций с Членами МСЭ-</w:t>
      </w:r>
      <w:r w:rsidRPr="002A7AC1">
        <w:rPr>
          <w:szCs w:val="22"/>
        </w:rPr>
        <w:t>D</w:t>
      </w:r>
      <w:r w:rsidRPr="00770A18">
        <w:rPr>
          <w:szCs w:val="22"/>
        </w:rPr>
        <w:t xml:space="preserve"> до 30</w:t>
      </w:r>
      <w:r w:rsidRPr="002A7AC1">
        <w:rPr>
          <w:szCs w:val="22"/>
        </w:rPr>
        <w:t> </w:t>
      </w:r>
      <w:r w:rsidRPr="00770A18">
        <w:rPr>
          <w:szCs w:val="22"/>
        </w:rPr>
        <w:t>июня 2016</w:t>
      </w:r>
      <w:r w:rsidRPr="002A7AC1">
        <w:rPr>
          <w:szCs w:val="22"/>
        </w:rPr>
        <w:t> </w:t>
      </w:r>
      <w:r w:rsidRPr="00770A18">
        <w:rPr>
          <w:szCs w:val="22"/>
        </w:rPr>
        <w:t xml:space="preserve">года. Документ был размещен, и дополнительных замечаний или предложений о внесении в него изменений не поступило. В целом проект Плана действий разработан на основе Плана действий ВКРЭ-14 и направлен на реализацию мандата </w:t>
      </w:r>
      <w:proofErr w:type="spellStart"/>
      <w:r w:rsidRPr="00770A18">
        <w:rPr>
          <w:szCs w:val="22"/>
        </w:rPr>
        <w:t>БРЭ</w:t>
      </w:r>
      <w:proofErr w:type="spellEnd"/>
      <w:r w:rsidRPr="00770A18">
        <w:rPr>
          <w:szCs w:val="22"/>
        </w:rPr>
        <w:t xml:space="preserve"> в соответствии с принципами управления, ориентированного на результаты (</w:t>
      </w:r>
      <w:proofErr w:type="spellStart"/>
      <w:r w:rsidRPr="00770A18">
        <w:rPr>
          <w:szCs w:val="22"/>
        </w:rPr>
        <w:t>УОР</w:t>
      </w:r>
      <w:proofErr w:type="spellEnd"/>
      <w:r w:rsidRPr="00770A18">
        <w:rPr>
          <w:szCs w:val="22"/>
        </w:rPr>
        <w:t xml:space="preserve">); при этом в нем сформулированы согласованные задачи, конечные результаты и намеченные результаты деятельности, которые приводятся в виде структурированных направлений деятельности и которые будут измеряться согласно четко определенным показателям для оценки воздействия работы </w:t>
      </w:r>
      <w:proofErr w:type="spellStart"/>
      <w:r w:rsidRPr="00770A18">
        <w:rPr>
          <w:szCs w:val="22"/>
        </w:rPr>
        <w:t>БРЭ</w:t>
      </w:r>
      <w:proofErr w:type="spellEnd"/>
      <w:r w:rsidRPr="00770A18">
        <w:rPr>
          <w:szCs w:val="22"/>
        </w:rPr>
        <w:t xml:space="preserve"> на Государства-Члены.</w:t>
      </w:r>
    </w:p>
    <w:p w:rsidR="00F3668D" w:rsidRPr="00770A18" w:rsidRDefault="00F3668D" w:rsidP="00770A18">
      <w:pPr>
        <w:snapToGrid w:val="0"/>
        <w:rPr>
          <w:szCs w:val="22"/>
        </w:rPr>
      </w:pPr>
      <w:r w:rsidRPr="00770A18">
        <w:rPr>
          <w:szCs w:val="22"/>
        </w:rPr>
        <w:t xml:space="preserve">Далее было пояснено, что этот документ считается постоянно обновляемым в соответствии с замечаниями и вкладами Государств-Членов в рамках 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 xml:space="preserve">, а также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 xml:space="preserve"> 2017</w:t>
      </w:r>
      <w:r w:rsidRPr="002A7AC1">
        <w:rPr>
          <w:szCs w:val="22"/>
        </w:rPr>
        <w:t> </w:t>
      </w:r>
      <w:r w:rsidRPr="00770A18">
        <w:rPr>
          <w:szCs w:val="22"/>
        </w:rPr>
        <w:t xml:space="preserve">года и </w:t>
      </w:r>
      <w:proofErr w:type="spellStart"/>
      <w:r w:rsidRPr="00770A18">
        <w:rPr>
          <w:szCs w:val="22"/>
        </w:rPr>
        <w:t>ГП-СПОПД</w:t>
      </w:r>
      <w:proofErr w:type="spellEnd"/>
      <w:r w:rsidRPr="00770A18">
        <w:rPr>
          <w:szCs w:val="22"/>
        </w:rPr>
        <w:t>, которые обобщат все полученные вклады и представят сводную версию ВКРЭ-17.</w:t>
      </w:r>
    </w:p>
    <w:p w:rsidR="00F3668D" w:rsidRPr="00770A18" w:rsidRDefault="00F3668D" w:rsidP="00ED0FEB">
      <w:pPr>
        <w:rPr>
          <w:szCs w:val="24"/>
        </w:rPr>
      </w:pPr>
      <w:r>
        <w:t>Все</w:t>
      </w:r>
      <w:r w:rsidRPr="00770A18">
        <w:t xml:space="preserve"> </w:t>
      </w:r>
      <w:proofErr w:type="spellStart"/>
      <w:r w:rsidRPr="00770A18">
        <w:t>РПС</w:t>
      </w:r>
      <w:proofErr w:type="spellEnd"/>
      <w:r>
        <w:t xml:space="preserve"> приветствовали</w:t>
      </w:r>
      <w:r w:rsidRPr="00770A18">
        <w:t xml:space="preserve"> этот документ и была достигнута договоренность о необходимости проведения дальнейших обсуждений по </w:t>
      </w:r>
      <w:r>
        <w:t>предварительному проекту Плана действий МСЭ-</w:t>
      </w:r>
      <w:r>
        <w:rPr>
          <w:lang w:val="en-US"/>
        </w:rPr>
        <w:t>D</w:t>
      </w:r>
      <w:r w:rsidRPr="00770A18">
        <w:t xml:space="preserve"> на</w:t>
      </w:r>
      <w:r w:rsidR="00ED0FEB">
        <w:t xml:space="preserve"> 2018−</w:t>
      </w:r>
      <w:r>
        <w:t>2021 годы на</w:t>
      </w:r>
      <w:r w:rsidRPr="00770A18">
        <w:t xml:space="preserve"> региональной основе, </w:t>
      </w:r>
      <w:r>
        <w:t xml:space="preserve">для того </w:t>
      </w:r>
      <w:r w:rsidRPr="00770A18">
        <w:t>чтобы подготовить региональный вклад по</w:t>
      </w:r>
      <w:r>
        <w:t xml:space="preserve"> предварительному проекту Плана действий МСЭ-</w:t>
      </w:r>
      <w:r>
        <w:rPr>
          <w:lang w:val="en-US"/>
        </w:rPr>
        <w:t>D</w:t>
      </w:r>
      <w:r>
        <w:t xml:space="preserve"> на 2018–2021 годы</w:t>
      </w:r>
      <w:r w:rsidRPr="00770A18">
        <w:t xml:space="preserve"> для </w:t>
      </w:r>
      <w:proofErr w:type="spellStart"/>
      <w:r w:rsidRPr="00770A18">
        <w:t>КГРЭ</w:t>
      </w:r>
      <w:proofErr w:type="spellEnd"/>
      <w:r w:rsidRPr="00770A18">
        <w:t xml:space="preserve"> и ВКРЭ-17.</w:t>
      </w:r>
    </w:p>
    <w:p w:rsidR="00F3668D" w:rsidRPr="00CE19DF" w:rsidRDefault="00ED0FEB" w:rsidP="00ED0FEB">
      <w:pPr>
        <w:pStyle w:val="enumlev1"/>
      </w:pPr>
      <w:r>
        <w:t>•</w:t>
      </w:r>
      <w:r>
        <w:tab/>
      </w:r>
      <w:proofErr w:type="spellStart"/>
      <w:r w:rsidR="00F3668D" w:rsidRPr="00CE19DF">
        <w:t>РПС</w:t>
      </w:r>
      <w:proofErr w:type="spellEnd"/>
      <w:r w:rsidR="00F3668D" w:rsidRPr="00CE19DF">
        <w:t xml:space="preserve">-СНГ и </w:t>
      </w:r>
      <w:proofErr w:type="spellStart"/>
      <w:r w:rsidR="00F3668D" w:rsidRPr="00CE19DF">
        <w:t>РПС-АФР</w:t>
      </w:r>
      <w:proofErr w:type="spellEnd"/>
      <w:r w:rsidR="00F3668D" w:rsidRPr="00CE19DF">
        <w:t xml:space="preserve"> приветствовали и поддержали предварительный проект Плана действий МСЭ-D на 2018−2021 годы. </w:t>
      </w:r>
      <w:bookmarkStart w:id="61" w:name="lt_pId234"/>
      <w:proofErr w:type="spellStart"/>
      <w:r w:rsidR="00F3668D" w:rsidRPr="00CE19DF">
        <w:t>РПС</w:t>
      </w:r>
      <w:proofErr w:type="spellEnd"/>
      <w:r w:rsidR="00F3668D" w:rsidRPr="00CE19DF">
        <w:noBreakHyphen/>
        <w:t>АРБ обсудило вклад секретариата и решило далее разработать общее предложение от Арабской рабочей группы по подготовке к ВКРЭ</w:t>
      </w:r>
      <w:r w:rsidR="00F3668D" w:rsidRPr="00CE19DF">
        <w:noBreakHyphen/>
        <w:t xml:space="preserve">17 для представления </w:t>
      </w:r>
      <w:proofErr w:type="spellStart"/>
      <w:r w:rsidR="00F3668D" w:rsidRPr="00CE19DF">
        <w:t>КГРЭ</w:t>
      </w:r>
      <w:proofErr w:type="spellEnd"/>
      <w:r w:rsidR="00F3668D" w:rsidRPr="00CE19DF">
        <w:noBreakHyphen/>
        <w:t>17</w:t>
      </w:r>
      <w:bookmarkEnd w:id="61"/>
      <w:r w:rsidR="00F3668D" w:rsidRPr="00CE19DF">
        <w:t xml:space="preserve">. </w:t>
      </w:r>
      <w:proofErr w:type="spellStart"/>
      <w:r w:rsidR="00F3668D" w:rsidRPr="00CE19DF">
        <w:rPr>
          <w:color w:val="222222"/>
        </w:rPr>
        <w:t>РПС</w:t>
      </w:r>
      <w:r w:rsidR="00F3668D" w:rsidRPr="00CE19DF">
        <w:noBreakHyphen/>
      </w:r>
      <w:r w:rsidR="00F3668D" w:rsidRPr="00CE19DF">
        <w:rPr>
          <w:color w:val="222222"/>
        </w:rPr>
        <w:t>АМР</w:t>
      </w:r>
      <w:proofErr w:type="spellEnd"/>
      <w:r w:rsidR="00F3668D" w:rsidRPr="00CE19DF">
        <w:rPr>
          <w:color w:val="222222"/>
        </w:rPr>
        <w:t xml:space="preserve"> обсудило вклады секретариата и других сторон и решило разработать общее предложение от Рабочей группы по подготовке к ВКРЭ</w:t>
      </w:r>
      <w:r w:rsidR="00F3668D" w:rsidRPr="00CE19DF">
        <w:noBreakHyphen/>
      </w:r>
      <w:r w:rsidR="00F3668D" w:rsidRPr="00CE19DF">
        <w:rPr>
          <w:color w:val="222222"/>
        </w:rPr>
        <w:t xml:space="preserve">17 для представления </w:t>
      </w:r>
      <w:proofErr w:type="spellStart"/>
      <w:r w:rsidR="00F3668D" w:rsidRPr="00CE19DF">
        <w:rPr>
          <w:color w:val="222222"/>
        </w:rPr>
        <w:t>КГРЭ</w:t>
      </w:r>
      <w:proofErr w:type="spellEnd"/>
      <w:r w:rsidR="00F3668D" w:rsidRPr="00CE19DF">
        <w:noBreakHyphen/>
      </w:r>
      <w:r w:rsidR="00F3668D" w:rsidRPr="00CE19DF">
        <w:rPr>
          <w:color w:val="222222"/>
        </w:rPr>
        <w:t xml:space="preserve">17. </w:t>
      </w:r>
      <w:proofErr w:type="spellStart"/>
      <w:r w:rsidR="00F3668D" w:rsidRPr="00CE19DF">
        <w:rPr>
          <w:color w:val="222222"/>
        </w:rPr>
        <w:t>РПС-АТР</w:t>
      </w:r>
      <w:proofErr w:type="spellEnd"/>
      <w:r w:rsidR="00F3668D" w:rsidRPr="00CE19DF">
        <w:rPr>
          <w:color w:val="222222"/>
        </w:rPr>
        <w:t xml:space="preserve"> приветствовало документ и согласилось с тем, что в регионе будет продолжена координация работы в этой области по мере продолжения подготовки к </w:t>
      </w:r>
      <w:r w:rsidR="00F3668D" w:rsidRPr="00CE19DF">
        <w:t xml:space="preserve">ВКРЭ-17. </w:t>
      </w:r>
      <w:proofErr w:type="spellStart"/>
      <w:r w:rsidR="00F3668D" w:rsidRPr="00CE19DF">
        <w:t>РПС-ЕВР</w:t>
      </w:r>
      <w:proofErr w:type="spellEnd"/>
      <w:r w:rsidR="00F3668D" w:rsidRPr="00CE19DF">
        <w:t xml:space="preserve"> приветствовало предварительный проект Плана действий МСЭ-</w:t>
      </w:r>
      <w:r w:rsidR="00F3668D" w:rsidRPr="00CE19DF">
        <w:rPr>
          <w:lang w:val="en-US"/>
        </w:rPr>
        <w:t>D</w:t>
      </w:r>
      <w:r w:rsidR="00F3668D" w:rsidRPr="00CE19DF">
        <w:t xml:space="preserve"> на 2018–2021</w:t>
      </w:r>
      <w:r w:rsidR="00F3668D" w:rsidRPr="00CE19DF">
        <w:rPr>
          <w:lang w:val="en-US"/>
        </w:rPr>
        <w:t> </w:t>
      </w:r>
      <w:r w:rsidR="00F3668D" w:rsidRPr="00CE19DF">
        <w:t>годы, рассмотрело предложения, которые должны быть добавлены в проект Плана действий МСЭ-</w:t>
      </w:r>
      <w:r w:rsidR="00F3668D" w:rsidRPr="00CE19DF">
        <w:rPr>
          <w:lang w:val="en-US"/>
        </w:rPr>
        <w:t>D</w:t>
      </w:r>
      <w:r w:rsidR="00F3668D" w:rsidRPr="00CE19DF">
        <w:t xml:space="preserve"> на </w:t>
      </w:r>
      <w:r w:rsidR="00F3668D" w:rsidRPr="00CE19DF">
        <w:lastRenderedPageBreak/>
        <w:t>2018</w:t>
      </w:r>
      <w:r>
        <w:t>−</w:t>
      </w:r>
      <w:r w:rsidR="00F3668D" w:rsidRPr="00CE19DF">
        <w:t>2021 годы, и приняло решение продолжить эту работу в рамках подготовительного процесса СЕПТ для представления ВКРЭ-17.</w:t>
      </w:r>
    </w:p>
    <w:p w:rsidR="00F3668D" w:rsidRPr="00770A18" w:rsidRDefault="00F3668D" w:rsidP="00770A18">
      <w:pPr>
        <w:rPr>
          <w:szCs w:val="24"/>
        </w:rPr>
      </w:pPr>
      <w:r w:rsidRPr="00770A18">
        <w:rPr>
          <w:szCs w:val="22"/>
        </w:rPr>
        <w:t xml:space="preserve">От имени Директора </w:t>
      </w:r>
      <w:proofErr w:type="spellStart"/>
      <w:r w:rsidRPr="00770A18">
        <w:rPr>
          <w:szCs w:val="22"/>
        </w:rPr>
        <w:t>БРЭ</w:t>
      </w:r>
      <w:proofErr w:type="spellEnd"/>
      <w:r w:rsidRPr="00770A18">
        <w:rPr>
          <w:szCs w:val="22"/>
        </w:rPr>
        <w:t xml:space="preserve"> на каждом из шести 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 xml:space="preserve"> был представлен документ, озаглавленный "</w:t>
      </w:r>
      <w:r w:rsidRPr="00770A18">
        <w:rPr>
          <w:b/>
          <w:bCs/>
          <w:szCs w:val="22"/>
        </w:rPr>
        <w:t>Предварительный проект Декларации ВКРЭ-17</w:t>
      </w:r>
      <w:r w:rsidRPr="00770A18">
        <w:rPr>
          <w:szCs w:val="22"/>
        </w:rPr>
        <w:t xml:space="preserve">", </w:t>
      </w:r>
      <w:r w:rsidRPr="00770A18">
        <w:rPr>
          <w:szCs w:val="24"/>
        </w:rPr>
        <w:t>(</w:t>
      </w:r>
      <w:proofErr w:type="spellStart"/>
      <w:r w:rsidR="00ED0FEB">
        <w:fldChar w:fldCharType="begin"/>
      </w:r>
      <w:r w:rsidR="00ED0FEB">
        <w:instrText xml:space="preserve"> HYPERLINK "http://www.itu.int/md/D14-</w:instrText>
      </w:r>
      <w:r w:rsidR="00ED0FEB">
        <w:instrText xml:space="preserve">RPMCIS-C-0009/en" </w:instrText>
      </w:r>
      <w:r w:rsidR="00ED0FEB">
        <w:fldChar w:fldCharType="separate"/>
      </w:r>
      <w:r w:rsidRPr="002A7AC1">
        <w:rPr>
          <w:rStyle w:val="Hyperlink"/>
          <w:szCs w:val="24"/>
        </w:rPr>
        <w:t>RPM</w:t>
      </w:r>
      <w:r w:rsidRPr="00770A18">
        <w:rPr>
          <w:rStyle w:val="Hyperlink"/>
          <w:szCs w:val="24"/>
        </w:rPr>
        <w:t>-</w:t>
      </w:r>
      <w:r w:rsidRPr="002A7AC1">
        <w:rPr>
          <w:rStyle w:val="Hyperlink"/>
          <w:szCs w:val="24"/>
        </w:rPr>
        <w:t>CIS</w:t>
      </w:r>
      <w:r w:rsidRPr="00770A18">
        <w:rPr>
          <w:rStyle w:val="Hyperlink"/>
          <w:szCs w:val="24"/>
        </w:rPr>
        <w:t>16</w:t>
      </w:r>
      <w:proofErr w:type="spellEnd"/>
      <w:r w:rsidRPr="00770A18">
        <w:rPr>
          <w:rStyle w:val="Hyperlink"/>
          <w:szCs w:val="24"/>
        </w:rPr>
        <w:t>/9</w:t>
      </w:r>
      <w:r w:rsidR="00ED0FEB">
        <w:rPr>
          <w:rStyle w:val="Hyperlink"/>
          <w:szCs w:val="24"/>
        </w:rPr>
        <w:fldChar w:fldCharType="end"/>
      </w:r>
      <w:r w:rsidRPr="00770A18">
        <w:rPr>
          <w:szCs w:val="24"/>
        </w:rPr>
        <w:t xml:space="preserve">, </w:t>
      </w:r>
      <w:hyperlink r:id="rId37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AFR</w:t>
        </w:r>
        <w:r w:rsidRPr="00770A18">
          <w:rPr>
            <w:rStyle w:val="Hyperlink"/>
            <w:szCs w:val="24"/>
          </w:rPr>
          <w:t>16</w:t>
        </w:r>
        <w:proofErr w:type="spellEnd"/>
        <w:r w:rsidRPr="00770A18">
          <w:rPr>
            <w:rStyle w:val="Hyperlink"/>
            <w:szCs w:val="24"/>
          </w:rPr>
          <w:t>/9</w:t>
        </w:r>
      </w:hyperlink>
      <w:r w:rsidRPr="00770A18">
        <w:rPr>
          <w:szCs w:val="24"/>
        </w:rPr>
        <w:t xml:space="preserve">, </w:t>
      </w:r>
      <w:hyperlink r:id="rId38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ARB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/9</w:t>
        </w:r>
      </w:hyperlink>
      <w:r w:rsidRPr="00770A18">
        <w:rPr>
          <w:szCs w:val="24"/>
        </w:rPr>
        <w:t xml:space="preserve">, </w:t>
      </w:r>
      <w:hyperlink r:id="rId39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noBreakHyphen/>
        </w:r>
        <w:r w:rsidRPr="002A7AC1">
          <w:rPr>
            <w:rStyle w:val="Hyperlink"/>
            <w:szCs w:val="24"/>
          </w:rPr>
          <w:t>AMS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/9</w:t>
        </w:r>
      </w:hyperlink>
      <w:r w:rsidRPr="00770A18">
        <w:rPr>
          <w:szCs w:val="24"/>
        </w:rPr>
        <w:t xml:space="preserve">, </w:t>
      </w:r>
      <w:hyperlink r:id="rId40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ASP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/9</w:t>
        </w:r>
      </w:hyperlink>
      <w:r w:rsidRPr="00770A18">
        <w:rPr>
          <w:szCs w:val="24"/>
        </w:rPr>
        <w:t xml:space="preserve">, </w:t>
      </w:r>
      <w:hyperlink r:id="rId41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EUR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/9</w:t>
        </w:r>
      </w:hyperlink>
      <w:r w:rsidRPr="00770A18">
        <w:rPr>
          <w:szCs w:val="22"/>
        </w:rPr>
        <w:t>).</w:t>
      </w:r>
    </w:p>
    <w:p w:rsidR="00F3668D" w:rsidRPr="00770A18" w:rsidRDefault="00F3668D" w:rsidP="00770A18">
      <w:pPr>
        <w:snapToGrid w:val="0"/>
        <w:rPr>
          <w:szCs w:val="22"/>
        </w:rPr>
      </w:pPr>
      <w:r w:rsidRPr="00770A18">
        <w:rPr>
          <w:szCs w:val="22"/>
        </w:rPr>
        <w:t xml:space="preserve">Документ был подготовлен работающей по переписке группой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 xml:space="preserve"> по Стратегическому плану, Оперативному плану и Декларации (</w:t>
      </w:r>
      <w:proofErr w:type="spellStart"/>
      <w:r w:rsidRPr="00770A18">
        <w:rPr>
          <w:szCs w:val="22"/>
        </w:rPr>
        <w:t>ГП-СПОПД</w:t>
      </w:r>
      <w:proofErr w:type="spellEnd"/>
      <w:r w:rsidRPr="00770A18">
        <w:rPr>
          <w:szCs w:val="22"/>
        </w:rPr>
        <w:t xml:space="preserve">) и представлен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>-15 в апреле 2015</w:t>
      </w:r>
      <w:r w:rsidRPr="002A7AC1">
        <w:rPr>
          <w:szCs w:val="22"/>
        </w:rPr>
        <w:t> </w:t>
      </w:r>
      <w:r w:rsidRPr="00770A18">
        <w:rPr>
          <w:szCs w:val="22"/>
        </w:rPr>
        <w:t xml:space="preserve">года. Он был пересмотрен </w:t>
      </w:r>
      <w:proofErr w:type="spellStart"/>
      <w:r w:rsidRPr="00770A18">
        <w:rPr>
          <w:szCs w:val="22"/>
        </w:rPr>
        <w:t>ГП-СПОПД</w:t>
      </w:r>
      <w:proofErr w:type="spellEnd"/>
      <w:r w:rsidRPr="00770A18">
        <w:rPr>
          <w:szCs w:val="22"/>
        </w:rPr>
        <w:t xml:space="preserve"> 15</w:t>
      </w:r>
      <w:r w:rsidRPr="002A7AC1">
        <w:rPr>
          <w:szCs w:val="22"/>
        </w:rPr>
        <w:t> </w:t>
      </w:r>
      <w:r w:rsidRPr="00770A18">
        <w:rPr>
          <w:szCs w:val="22"/>
        </w:rPr>
        <w:t>марта 2016</w:t>
      </w:r>
      <w:r w:rsidRPr="002A7AC1">
        <w:rPr>
          <w:szCs w:val="22"/>
        </w:rPr>
        <w:t> </w:t>
      </w:r>
      <w:r w:rsidRPr="00770A18">
        <w:rPr>
          <w:szCs w:val="22"/>
        </w:rPr>
        <w:t xml:space="preserve">года, как указано в Документе </w:t>
      </w:r>
      <w:hyperlink r:id="rId42" w:history="1">
        <w:proofErr w:type="spellStart"/>
        <w:r w:rsidRPr="002A7AC1">
          <w:rPr>
            <w:rStyle w:val="Hyperlink"/>
          </w:rPr>
          <w:t>TDAG</w:t>
        </w:r>
        <w:r w:rsidRPr="00770A18">
          <w:rPr>
            <w:rStyle w:val="Hyperlink"/>
          </w:rPr>
          <w:t>16</w:t>
        </w:r>
        <w:proofErr w:type="spellEnd"/>
        <w:r w:rsidRPr="00770A18">
          <w:rPr>
            <w:rStyle w:val="Hyperlink"/>
          </w:rPr>
          <w:t>-21/31(</w:t>
        </w:r>
        <w:proofErr w:type="spellStart"/>
        <w:r w:rsidRPr="002A7AC1">
          <w:rPr>
            <w:rStyle w:val="Hyperlink"/>
          </w:rPr>
          <w:t>Rev</w:t>
        </w:r>
        <w:r w:rsidRPr="00770A18">
          <w:rPr>
            <w:rStyle w:val="Hyperlink"/>
          </w:rPr>
          <w:t>.1</w:t>
        </w:r>
        <w:proofErr w:type="spellEnd"/>
        <w:r w:rsidRPr="00770A18">
          <w:rPr>
            <w:rStyle w:val="Hyperlink"/>
          </w:rPr>
          <w:t>)</w:t>
        </w:r>
      </w:hyperlink>
      <w:r w:rsidRPr="00770A18">
        <w:rPr>
          <w:szCs w:val="22"/>
        </w:rPr>
        <w:t xml:space="preserve">.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 xml:space="preserve"> 2016</w:t>
      </w:r>
      <w:r w:rsidRPr="002A7AC1">
        <w:rPr>
          <w:szCs w:val="22"/>
        </w:rPr>
        <w:t> </w:t>
      </w:r>
      <w:r w:rsidRPr="00770A18">
        <w:rPr>
          <w:szCs w:val="22"/>
        </w:rPr>
        <w:t>года приняла этот документ и решила, что он должен быть размещен на веб-сайте для онлайновых консультаций с членами МСЭ-</w:t>
      </w:r>
      <w:r w:rsidRPr="002A7AC1">
        <w:rPr>
          <w:szCs w:val="22"/>
        </w:rPr>
        <w:t>D</w:t>
      </w:r>
      <w:r w:rsidRPr="00770A18">
        <w:rPr>
          <w:szCs w:val="22"/>
        </w:rPr>
        <w:t>, которые продлятся до 30</w:t>
      </w:r>
      <w:r w:rsidRPr="002A7AC1">
        <w:rPr>
          <w:szCs w:val="22"/>
        </w:rPr>
        <w:t> </w:t>
      </w:r>
      <w:r w:rsidRPr="00770A18">
        <w:rPr>
          <w:szCs w:val="22"/>
        </w:rPr>
        <w:t>июня 2016</w:t>
      </w:r>
      <w:r w:rsidRPr="002A7AC1">
        <w:rPr>
          <w:szCs w:val="22"/>
        </w:rPr>
        <w:t> </w:t>
      </w:r>
      <w:r w:rsidRPr="00770A18">
        <w:rPr>
          <w:szCs w:val="22"/>
        </w:rPr>
        <w:t xml:space="preserve">года. Были получены замечания от трех стран, и все они отражены в данной версии. Во время собрания </w:t>
      </w:r>
      <w:proofErr w:type="spellStart"/>
      <w:r w:rsidRPr="00770A18">
        <w:rPr>
          <w:szCs w:val="22"/>
        </w:rPr>
        <w:t>КГРЭ</w:t>
      </w:r>
      <w:proofErr w:type="spellEnd"/>
      <w:r w:rsidRPr="00770A18">
        <w:rPr>
          <w:szCs w:val="22"/>
        </w:rPr>
        <w:t xml:space="preserve"> 2016</w:t>
      </w:r>
      <w:r w:rsidRPr="002A7AC1">
        <w:rPr>
          <w:szCs w:val="22"/>
        </w:rPr>
        <w:t> </w:t>
      </w:r>
      <w:r w:rsidRPr="00770A18">
        <w:rPr>
          <w:szCs w:val="22"/>
        </w:rPr>
        <w:t xml:space="preserve">года Директор </w:t>
      </w:r>
      <w:proofErr w:type="spellStart"/>
      <w:r w:rsidRPr="00770A18">
        <w:rPr>
          <w:szCs w:val="22"/>
        </w:rPr>
        <w:t>БРЭ</w:t>
      </w:r>
      <w:proofErr w:type="spellEnd"/>
      <w:r w:rsidRPr="00770A18">
        <w:rPr>
          <w:szCs w:val="22"/>
        </w:rPr>
        <w:t xml:space="preserve"> отметил, что он планирует направить предварительный проект Декларации ВКРЭ-17 всем 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 xml:space="preserve"> в процессе подготовки к ВКРЭ-17. В документе также представлена </w:t>
      </w:r>
      <w:proofErr w:type="spellStart"/>
      <w:r w:rsidRPr="00770A18">
        <w:rPr>
          <w:szCs w:val="22"/>
        </w:rPr>
        <w:t>Дубайская</w:t>
      </w:r>
      <w:proofErr w:type="spellEnd"/>
      <w:r w:rsidRPr="00770A18">
        <w:rPr>
          <w:szCs w:val="22"/>
        </w:rPr>
        <w:t xml:space="preserve"> декларация для сведения, которая была принята на Всемирной конференции по развитию электросвязи в Дубае, Объединенные Арабские Эмираты, 30</w:t>
      </w:r>
      <w:r w:rsidRPr="002A7AC1">
        <w:rPr>
          <w:szCs w:val="22"/>
        </w:rPr>
        <w:t> </w:t>
      </w:r>
      <w:r w:rsidRPr="00770A18">
        <w:rPr>
          <w:szCs w:val="22"/>
        </w:rPr>
        <w:t>марта – 10</w:t>
      </w:r>
      <w:r w:rsidRPr="002A7AC1">
        <w:rPr>
          <w:szCs w:val="22"/>
        </w:rPr>
        <w:t> </w:t>
      </w:r>
      <w:r w:rsidRPr="00770A18">
        <w:rPr>
          <w:szCs w:val="22"/>
        </w:rPr>
        <w:t>апреля 2014</w:t>
      </w:r>
      <w:r w:rsidRPr="002A7AC1">
        <w:rPr>
          <w:szCs w:val="22"/>
        </w:rPr>
        <w:t> </w:t>
      </w:r>
      <w:r w:rsidRPr="00770A18">
        <w:rPr>
          <w:szCs w:val="22"/>
        </w:rPr>
        <w:t>года.</w:t>
      </w:r>
    </w:p>
    <w:p w:rsidR="00F3668D" w:rsidRPr="00770A18" w:rsidRDefault="00F3668D" w:rsidP="00770A18">
      <w:pPr>
        <w:snapToGrid w:val="0"/>
        <w:rPr>
          <w:szCs w:val="22"/>
        </w:rPr>
      </w:pPr>
      <w:r w:rsidRPr="00770A18">
        <w:rPr>
          <w:szCs w:val="22"/>
        </w:rPr>
        <w:t>В предварительном проекте Декларации ВКРЭ-17 использованы формулировки, отражающие более широкий взгляд, который будет понятен не только Государствам-Членам и Членам Секторов, но и тем, кто не участвует в работе МСЭ. В нем основное внимание уделено важнейшей роли, которую электросвязь/ИКТ будут играть в достижении целей и задач в области устойчивого развития, а также их преобразующей роли в содействии устойчивому развитию.</w:t>
      </w:r>
    </w:p>
    <w:p w:rsidR="00F3668D" w:rsidRPr="00770A18" w:rsidRDefault="00F3668D" w:rsidP="00CE19DF">
      <w:bookmarkStart w:id="62" w:name="lt_pId540"/>
      <w:proofErr w:type="spellStart"/>
      <w:r w:rsidRPr="00770A18">
        <w:t>РПС-АФР</w:t>
      </w:r>
      <w:proofErr w:type="spellEnd"/>
      <w:r>
        <w:t>,</w:t>
      </w:r>
      <w:r w:rsidRPr="00770A18">
        <w:t xml:space="preserve"> </w:t>
      </w:r>
      <w:proofErr w:type="spellStart"/>
      <w:r w:rsidRPr="00770A18">
        <w:t>РПС</w:t>
      </w:r>
      <w:proofErr w:type="spellEnd"/>
      <w:r w:rsidRPr="00770A18">
        <w:t>-АРБ</w:t>
      </w:r>
      <w:r>
        <w:t xml:space="preserve"> и </w:t>
      </w:r>
      <w:proofErr w:type="spellStart"/>
      <w:r>
        <w:t>РПС-ЕВР</w:t>
      </w:r>
      <w:proofErr w:type="spellEnd"/>
      <w:r>
        <w:t>, каждое,</w:t>
      </w:r>
      <w:r w:rsidRPr="00770A18">
        <w:t xml:space="preserve"> согласились с тем, что требуется провести дополнительные обсуждения по предварительному проекту Декларации ВКРЭ-17, чтобы подготовить региональные вклады по предварительному проекту Декларации ВКРЭ-17 для </w:t>
      </w:r>
      <w:proofErr w:type="spellStart"/>
      <w:r w:rsidRPr="00770A18">
        <w:t>КГРЭ</w:t>
      </w:r>
      <w:proofErr w:type="spellEnd"/>
      <w:r w:rsidRPr="00770A18">
        <w:t xml:space="preserve"> и ВКРЭ-17.</w:t>
      </w:r>
      <w:bookmarkEnd w:id="62"/>
    </w:p>
    <w:p w:rsidR="00F3668D" w:rsidRPr="00770A18" w:rsidRDefault="00F3668D" w:rsidP="00770A18">
      <w:bookmarkStart w:id="63" w:name="lt_pId541"/>
      <w:proofErr w:type="spellStart"/>
      <w:r w:rsidRPr="00770A18">
        <w:t>РПС</w:t>
      </w:r>
      <w:proofErr w:type="spellEnd"/>
      <w:r w:rsidRPr="00770A18">
        <w:t xml:space="preserve">-СНГ поддержало его пересмотр, представленный в Документе </w:t>
      </w:r>
      <w:hyperlink r:id="rId43" w:history="1">
        <w:proofErr w:type="spellStart"/>
        <w:r w:rsidRPr="002A7AC1">
          <w:rPr>
            <w:rStyle w:val="Hyperlink"/>
          </w:rPr>
          <w:t>RPM</w:t>
        </w:r>
        <w:r w:rsidRPr="00770A18">
          <w:rPr>
            <w:rStyle w:val="Hyperlink"/>
          </w:rPr>
          <w:t>-</w:t>
        </w:r>
        <w:r w:rsidRPr="002A7AC1">
          <w:rPr>
            <w:rStyle w:val="Hyperlink"/>
          </w:rPr>
          <w:t>CIS</w:t>
        </w:r>
        <w:r w:rsidRPr="00770A18">
          <w:rPr>
            <w:rStyle w:val="Hyperlink"/>
          </w:rPr>
          <w:t>16</w:t>
        </w:r>
        <w:proofErr w:type="spellEnd"/>
        <w:r w:rsidRPr="00770A18">
          <w:rPr>
            <w:rStyle w:val="Hyperlink"/>
          </w:rPr>
          <w:t>/26</w:t>
        </w:r>
      </w:hyperlink>
      <w:r w:rsidRPr="00770A18">
        <w:t>, и согласилось подготовить на его основе общее региональное предложение для ВКРЭ-17.</w:t>
      </w:r>
      <w:bookmarkEnd w:id="63"/>
    </w:p>
    <w:p w:rsidR="00F3668D" w:rsidRPr="00770A18" w:rsidRDefault="00F3668D" w:rsidP="00770A18">
      <w:bookmarkStart w:id="64" w:name="lt_pId542"/>
      <w:proofErr w:type="spellStart"/>
      <w:r w:rsidRPr="00770A18">
        <w:t>РПС-АМР</w:t>
      </w:r>
      <w:proofErr w:type="spellEnd"/>
      <w:r w:rsidRPr="00770A18">
        <w:t xml:space="preserve">, на котором была учреждена Специальная группа по предварительному проекту Декларации ВКРЭ-17, был достигнут консенсус по предварительному проекту Декларации ВКРЭ-17 от </w:t>
      </w:r>
      <w:proofErr w:type="spellStart"/>
      <w:r w:rsidRPr="00770A18">
        <w:t>РПС-АМР</w:t>
      </w:r>
      <w:proofErr w:type="spellEnd"/>
      <w:r w:rsidRPr="00770A18">
        <w:t xml:space="preserve">, который содержится в </w:t>
      </w:r>
      <w:hyperlink r:id="rId44" w:history="1">
        <w:r w:rsidRPr="00770A18">
          <w:rPr>
            <w:rStyle w:val="Hyperlink"/>
          </w:rPr>
          <w:t xml:space="preserve">Приложении 2 к Отчету Председателя </w:t>
        </w:r>
        <w:proofErr w:type="spellStart"/>
        <w:r w:rsidRPr="00770A18">
          <w:rPr>
            <w:rStyle w:val="Hyperlink"/>
          </w:rPr>
          <w:t>РПС-АМР</w:t>
        </w:r>
        <w:proofErr w:type="spellEnd"/>
      </w:hyperlink>
      <w:r w:rsidRPr="00770A18">
        <w:t>.</w:t>
      </w:r>
      <w:bookmarkEnd w:id="64"/>
    </w:p>
    <w:p w:rsidR="00F3668D" w:rsidRDefault="00F3668D" w:rsidP="00770A18">
      <w:pPr>
        <w:tabs>
          <w:tab w:val="left" w:pos="1951"/>
        </w:tabs>
      </w:pPr>
      <w:bookmarkStart w:id="65" w:name="lt_pId543"/>
      <w:proofErr w:type="spellStart"/>
      <w:r w:rsidRPr="00770A18">
        <w:t>РПС-АТР</w:t>
      </w:r>
      <w:proofErr w:type="spellEnd"/>
      <w:r w:rsidRPr="00770A18">
        <w:t>, на котором была учреждена Специальная группа по предварительному проекту Декларации ВКРЭ-17, приняло к сведению отчет Председателя Специальной группы и согласилось использовать его в качестве основы для продолжения работы, направленной на подготовку сводного вклада от региона.</w:t>
      </w:r>
      <w:bookmarkEnd w:id="65"/>
      <w:r w:rsidRPr="00770A18">
        <w:t xml:space="preserve"> </w:t>
      </w:r>
      <w:bookmarkStart w:id="66" w:name="lt_pId544"/>
      <w:r w:rsidRPr="00770A18">
        <w:t xml:space="preserve">Этот отчет содержится в </w:t>
      </w:r>
      <w:hyperlink r:id="rId45" w:history="1">
        <w:r w:rsidRPr="00770A18">
          <w:rPr>
            <w:rStyle w:val="Hyperlink"/>
          </w:rPr>
          <w:t xml:space="preserve">Приложении 2 к Отчету Председателя </w:t>
        </w:r>
        <w:proofErr w:type="spellStart"/>
        <w:r w:rsidRPr="00770A18">
          <w:rPr>
            <w:rStyle w:val="Hyperlink"/>
          </w:rPr>
          <w:t>РПС-АТР</w:t>
        </w:r>
        <w:proofErr w:type="spellEnd"/>
      </w:hyperlink>
      <w:r w:rsidRPr="00770A18">
        <w:t>.</w:t>
      </w:r>
      <w:bookmarkEnd w:id="66"/>
    </w:p>
    <w:p w:rsidR="00ED0FEB" w:rsidRPr="00770A18" w:rsidRDefault="00ED0FEB" w:rsidP="00ED0FEB">
      <w:pPr>
        <w:tabs>
          <w:tab w:val="left" w:pos="1951"/>
        </w:tabs>
      </w:pPr>
      <w:r>
        <w:t xml:space="preserve">Объединенный текст согласованных </w:t>
      </w:r>
      <w:proofErr w:type="spellStart"/>
      <w:r>
        <w:t>РПС</w:t>
      </w:r>
      <w:proofErr w:type="spellEnd"/>
      <w:r>
        <w:t xml:space="preserve"> результатов по предварительному проекту Декларации ВКРЭ</w:t>
      </w:r>
      <w:r>
        <w:noBreakHyphen/>
        <w:t xml:space="preserve">17 представлен в Документе </w:t>
      </w:r>
      <w:hyperlink r:id="rId46" w:history="1">
        <w:proofErr w:type="spellStart"/>
        <w:r w:rsidRPr="00A3395D">
          <w:rPr>
            <w:rStyle w:val="Hyperlink"/>
          </w:rPr>
          <w:t>TDAG17</w:t>
        </w:r>
        <w:proofErr w:type="spellEnd"/>
        <w:r w:rsidRPr="00A3395D">
          <w:rPr>
            <w:rStyle w:val="Hyperlink"/>
          </w:rPr>
          <w:t>-22/</w:t>
        </w:r>
        <w:proofErr w:type="spellStart"/>
        <w:r w:rsidRPr="00A3395D">
          <w:rPr>
            <w:rStyle w:val="Hyperlink"/>
          </w:rPr>
          <w:t>DT</w:t>
        </w:r>
        <w:proofErr w:type="spellEnd"/>
        <w:r w:rsidRPr="00A3395D">
          <w:rPr>
            <w:rStyle w:val="Hyperlink"/>
          </w:rPr>
          <w:t>/</w:t>
        </w:r>
        <w:r>
          <w:rPr>
            <w:rStyle w:val="Hyperlink"/>
          </w:rPr>
          <w:t>6 (</w:t>
        </w:r>
        <w:proofErr w:type="spellStart"/>
        <w:r>
          <w:rPr>
            <w:rStyle w:val="Hyperlink"/>
          </w:rPr>
          <w:t>Rev.1</w:t>
        </w:r>
        <w:proofErr w:type="spellEnd"/>
        <w:r>
          <w:rPr>
            <w:rStyle w:val="Hyperlink"/>
          </w:rPr>
          <w:t>)</w:t>
        </w:r>
      </w:hyperlink>
      <w:r w:rsidRPr="00770A18">
        <w:t>.</w:t>
      </w:r>
    </w:p>
    <w:p w:rsidR="00F3668D" w:rsidRPr="00770A18" w:rsidRDefault="00F3668D" w:rsidP="00770A18">
      <w:pPr>
        <w:pStyle w:val="Heading1"/>
        <w:rPr>
          <w:szCs w:val="22"/>
        </w:rPr>
      </w:pPr>
      <w:bookmarkStart w:id="67" w:name="_GoBack"/>
      <w:bookmarkEnd w:id="67"/>
      <w:r w:rsidRPr="002A7AC1">
        <w:t>C</w:t>
      </w:r>
      <w:r w:rsidRPr="00770A18">
        <w:tab/>
        <w:t>Правила процедуры МСЭ-</w:t>
      </w:r>
      <w:r w:rsidRPr="002A7AC1">
        <w:t>D</w:t>
      </w:r>
      <w:r w:rsidRPr="00770A18">
        <w:t xml:space="preserve"> (Резолюция</w:t>
      </w:r>
      <w:r w:rsidRPr="002A7AC1">
        <w:t> </w:t>
      </w:r>
      <w:r w:rsidRPr="00770A18">
        <w:t>1 ВКРЭ)</w:t>
      </w:r>
    </w:p>
    <w:p w:rsidR="00F3668D" w:rsidRPr="00770A18" w:rsidRDefault="00F3668D" w:rsidP="00770A18">
      <w:pPr>
        <w:rPr>
          <w:szCs w:val="24"/>
        </w:rPr>
      </w:pPr>
      <w:r w:rsidRPr="00770A18">
        <w:rPr>
          <w:szCs w:val="22"/>
        </w:rPr>
        <w:t>Документ, озаглавленный "</w:t>
      </w:r>
      <w:r w:rsidRPr="00770A18">
        <w:rPr>
          <w:b/>
          <w:bCs/>
          <w:szCs w:val="22"/>
        </w:rPr>
        <w:t>Правила процедуры МСЭ-</w:t>
      </w:r>
      <w:r w:rsidRPr="002A7AC1">
        <w:rPr>
          <w:b/>
          <w:bCs/>
          <w:szCs w:val="22"/>
        </w:rPr>
        <w:t>D</w:t>
      </w:r>
      <w:r w:rsidRPr="00770A18">
        <w:rPr>
          <w:b/>
          <w:bCs/>
          <w:szCs w:val="22"/>
        </w:rPr>
        <w:t xml:space="preserve"> (Резолюция 1 ВКРЭ)</w:t>
      </w:r>
      <w:r w:rsidRPr="00770A18">
        <w:rPr>
          <w:szCs w:val="22"/>
        </w:rPr>
        <w:t>"</w:t>
      </w:r>
      <w:r w:rsidRPr="00770A18">
        <w:rPr>
          <w:szCs w:val="24"/>
        </w:rPr>
        <w:t xml:space="preserve">, был представлен на каждом из шести </w:t>
      </w:r>
      <w:proofErr w:type="spellStart"/>
      <w:r w:rsidRPr="00770A18">
        <w:rPr>
          <w:szCs w:val="24"/>
        </w:rPr>
        <w:t>РПС</w:t>
      </w:r>
      <w:proofErr w:type="spellEnd"/>
      <w:r w:rsidRPr="00770A18">
        <w:rPr>
          <w:szCs w:val="24"/>
        </w:rPr>
        <w:t xml:space="preserve"> (</w:t>
      </w:r>
      <w:proofErr w:type="spellStart"/>
      <w:r w:rsidR="00ED0FEB">
        <w:fldChar w:fldCharType="begin"/>
      </w:r>
      <w:r w:rsidR="00ED0FEB">
        <w:instrText xml:space="preserve"> HYPERLINK "http://www.itu.int/md/D14-RPMCIS-C-0010/en" </w:instrText>
      </w:r>
      <w:r w:rsidR="00ED0FEB">
        <w:fldChar w:fldCharType="separate"/>
      </w:r>
      <w:r w:rsidRPr="002A7AC1">
        <w:rPr>
          <w:rStyle w:val="Hyperlink"/>
          <w:szCs w:val="24"/>
        </w:rPr>
        <w:t>RPM</w:t>
      </w:r>
      <w:r w:rsidRPr="00770A18">
        <w:rPr>
          <w:rStyle w:val="Hyperlink"/>
          <w:szCs w:val="24"/>
        </w:rPr>
        <w:t>-</w:t>
      </w:r>
      <w:r w:rsidRPr="002A7AC1">
        <w:rPr>
          <w:rStyle w:val="Hyperlink"/>
          <w:szCs w:val="24"/>
        </w:rPr>
        <w:t>CIS</w:t>
      </w:r>
      <w:r w:rsidRPr="00770A18">
        <w:rPr>
          <w:rStyle w:val="Hyperlink"/>
          <w:szCs w:val="24"/>
        </w:rPr>
        <w:t>16</w:t>
      </w:r>
      <w:proofErr w:type="spellEnd"/>
      <w:r w:rsidRPr="00770A18">
        <w:rPr>
          <w:rStyle w:val="Hyperlink"/>
          <w:szCs w:val="24"/>
        </w:rPr>
        <w:t>/10</w:t>
      </w:r>
      <w:r w:rsidR="00ED0FEB">
        <w:rPr>
          <w:rStyle w:val="Hyperlink"/>
          <w:szCs w:val="24"/>
        </w:rPr>
        <w:fldChar w:fldCharType="end"/>
      </w:r>
      <w:r w:rsidRPr="00770A18">
        <w:rPr>
          <w:szCs w:val="24"/>
        </w:rPr>
        <w:t xml:space="preserve">, </w:t>
      </w:r>
      <w:hyperlink r:id="rId47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AFR</w:t>
        </w:r>
        <w:r w:rsidRPr="00770A18">
          <w:rPr>
            <w:rStyle w:val="Hyperlink"/>
            <w:szCs w:val="24"/>
          </w:rPr>
          <w:t>16</w:t>
        </w:r>
        <w:proofErr w:type="spellEnd"/>
        <w:r w:rsidRPr="00770A18">
          <w:rPr>
            <w:rStyle w:val="Hyperlink"/>
            <w:szCs w:val="24"/>
          </w:rPr>
          <w:t>/10</w:t>
        </w:r>
      </w:hyperlink>
      <w:r w:rsidRPr="00770A18">
        <w:rPr>
          <w:szCs w:val="24"/>
        </w:rPr>
        <w:t xml:space="preserve">, </w:t>
      </w:r>
      <w:hyperlink r:id="rId48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ARB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/10</w:t>
        </w:r>
      </w:hyperlink>
      <w:r w:rsidRPr="00770A18">
        <w:rPr>
          <w:szCs w:val="24"/>
        </w:rPr>
        <w:t xml:space="preserve">, </w:t>
      </w:r>
      <w:hyperlink r:id="rId49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AMS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/10</w:t>
        </w:r>
      </w:hyperlink>
      <w:r w:rsidRPr="00770A18">
        <w:rPr>
          <w:szCs w:val="24"/>
        </w:rPr>
        <w:t xml:space="preserve">, </w:t>
      </w:r>
      <w:hyperlink r:id="rId50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ASP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/10</w:t>
        </w:r>
      </w:hyperlink>
      <w:r w:rsidRPr="00770A18">
        <w:rPr>
          <w:szCs w:val="24"/>
        </w:rPr>
        <w:t xml:space="preserve">, </w:t>
      </w:r>
      <w:hyperlink r:id="rId51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EUR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/10</w:t>
        </w:r>
      </w:hyperlink>
      <w:r w:rsidRPr="00770A18">
        <w:rPr>
          <w:szCs w:val="24"/>
        </w:rPr>
        <w:t>).</w:t>
      </w:r>
    </w:p>
    <w:p w:rsidR="00F3668D" w:rsidRPr="00770A18" w:rsidRDefault="00F3668D" w:rsidP="00770A18">
      <w:pPr>
        <w:rPr>
          <w:szCs w:val="22"/>
        </w:rPr>
      </w:pPr>
      <w:r w:rsidRPr="00770A18">
        <w:t>Опираясь на результаты масштабной работы, проведенной в ходе ВКРЭ</w:t>
      </w:r>
      <w:r w:rsidRPr="00770A18">
        <w:noBreakHyphen/>
        <w:t xml:space="preserve">14, работающая по переписке Группа </w:t>
      </w:r>
      <w:proofErr w:type="spellStart"/>
      <w:r w:rsidRPr="00770A18">
        <w:t>КГРЭ</w:t>
      </w:r>
      <w:proofErr w:type="spellEnd"/>
      <w:r w:rsidRPr="00770A18">
        <w:t xml:space="preserve"> по Правилам процедуры МСЭ-</w:t>
      </w:r>
      <w:r w:rsidRPr="002A7AC1">
        <w:t>D</w:t>
      </w:r>
      <w:r w:rsidRPr="00770A18">
        <w:t xml:space="preserve"> (Резолюция 1 ВКРЭ) проводит анализ существующего текста Резолюции</w:t>
      </w:r>
      <w:r w:rsidRPr="002A7AC1">
        <w:t> </w:t>
      </w:r>
      <w:r w:rsidRPr="00770A18">
        <w:t>1 (</w:t>
      </w:r>
      <w:proofErr w:type="spellStart"/>
      <w:r w:rsidRPr="00770A18">
        <w:t>Пересм</w:t>
      </w:r>
      <w:proofErr w:type="spellEnd"/>
      <w:r w:rsidRPr="00770A18">
        <w:t>. Дубай, 2014</w:t>
      </w:r>
      <w:r w:rsidRPr="002A7AC1">
        <w:t> </w:t>
      </w:r>
      <w:r w:rsidRPr="00770A18">
        <w:t>г.), чтобы дать практическое толкование методов работы и подготовить предложения для дальнейшего рассмотрения. Группа провела 27</w:t>
      </w:r>
      <w:r w:rsidRPr="002A7AC1">
        <w:t> </w:t>
      </w:r>
      <w:r w:rsidRPr="00770A18">
        <w:t>апреля 2015</w:t>
      </w:r>
      <w:r w:rsidRPr="002A7AC1">
        <w:t> </w:t>
      </w:r>
      <w:r w:rsidRPr="00770A18">
        <w:t xml:space="preserve">года свое первое собрание, на котором она рассмотрела вклад, представленный ее председателем, и согласовала большинство изменений по существу, изменив при этом часть текста. Членами Группы, работающей по переписке, были внесены по переписке дополнительные </w:t>
      </w:r>
      <w:r w:rsidRPr="00770A18">
        <w:lastRenderedPageBreak/>
        <w:t>изменения. В ходе собрания, состоявшегося 15 марта 2016 года, был внесен ряд дополнительных изменений и определены вопросы, требующие дальнейшей работы.</w:t>
      </w:r>
    </w:p>
    <w:p w:rsidR="00F3668D" w:rsidRPr="00770A18" w:rsidRDefault="00F3668D" w:rsidP="00770A18">
      <w:pPr>
        <w:rPr>
          <w:szCs w:val="24"/>
        </w:rPr>
      </w:pPr>
      <w:bookmarkStart w:id="68" w:name="lt_pId552"/>
      <w:proofErr w:type="spellStart"/>
      <w:r w:rsidRPr="00770A18">
        <w:rPr>
          <w:szCs w:val="24"/>
        </w:rPr>
        <w:t>РПС</w:t>
      </w:r>
      <w:proofErr w:type="spellEnd"/>
      <w:r w:rsidRPr="00770A18">
        <w:rPr>
          <w:szCs w:val="24"/>
        </w:rPr>
        <w:t>-СНГ согласилось с некоторыми изменениями к Резолюции 1, включая предлагаемое объединение Резолюций 1 и 31.</w:t>
      </w:r>
      <w:bookmarkStart w:id="69" w:name="lt_pId553"/>
      <w:bookmarkEnd w:id="68"/>
      <w:r w:rsidRPr="00770A18">
        <w:rPr>
          <w:szCs w:val="24"/>
        </w:rPr>
        <w:t xml:space="preserve"> Полученный в результате предлагаемый текст содержится в Документе </w:t>
      </w:r>
      <w:hyperlink r:id="rId52" w:history="1">
        <w:proofErr w:type="spellStart"/>
        <w:r w:rsidRPr="002A7AC1">
          <w:rPr>
            <w:rStyle w:val="Hyperlink"/>
            <w:szCs w:val="24"/>
          </w:rPr>
          <w:t>TDAG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-22/38</w:t>
        </w:r>
      </w:hyperlink>
      <w:r w:rsidRPr="00770A18">
        <w:rPr>
          <w:szCs w:val="24"/>
        </w:rPr>
        <w:t>.</w:t>
      </w:r>
      <w:bookmarkEnd w:id="69"/>
      <w:r w:rsidRPr="00770A18">
        <w:rPr>
          <w:szCs w:val="24"/>
        </w:rPr>
        <w:t xml:space="preserve"> </w:t>
      </w:r>
    </w:p>
    <w:p w:rsidR="00F3668D" w:rsidRPr="00770A18" w:rsidRDefault="00F3668D" w:rsidP="00CE19DF">
      <w:pPr>
        <w:rPr>
          <w:szCs w:val="24"/>
        </w:rPr>
      </w:pPr>
      <w:bookmarkStart w:id="70" w:name="lt_pId554"/>
      <w:proofErr w:type="spellStart"/>
      <w:r w:rsidRPr="00770A18">
        <w:rPr>
          <w:szCs w:val="24"/>
        </w:rPr>
        <w:t>РПС-АФР</w:t>
      </w:r>
      <w:proofErr w:type="spellEnd"/>
      <w:r w:rsidRPr="00770A18">
        <w:rPr>
          <w:szCs w:val="24"/>
        </w:rPr>
        <w:t xml:space="preserve">, </w:t>
      </w:r>
      <w:proofErr w:type="spellStart"/>
      <w:r w:rsidRPr="00770A18">
        <w:rPr>
          <w:szCs w:val="24"/>
        </w:rPr>
        <w:t>РПС</w:t>
      </w:r>
      <w:proofErr w:type="spellEnd"/>
      <w:r w:rsidRPr="00770A18">
        <w:rPr>
          <w:szCs w:val="24"/>
        </w:rPr>
        <w:t>-АРБ, РАС-</w:t>
      </w:r>
      <w:proofErr w:type="spellStart"/>
      <w:r w:rsidRPr="00770A18">
        <w:rPr>
          <w:szCs w:val="24"/>
        </w:rPr>
        <w:t>АМР</w:t>
      </w:r>
      <w:proofErr w:type="spellEnd"/>
      <w:r>
        <w:rPr>
          <w:szCs w:val="24"/>
        </w:rPr>
        <w:t>,</w:t>
      </w:r>
      <w:r w:rsidRPr="00770A18">
        <w:rPr>
          <w:szCs w:val="24"/>
        </w:rPr>
        <w:t xml:space="preserve"> </w:t>
      </w:r>
      <w:proofErr w:type="spellStart"/>
      <w:r w:rsidRPr="00770A18">
        <w:rPr>
          <w:szCs w:val="24"/>
        </w:rPr>
        <w:t>РПС-АТР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РПС-ЕВР</w:t>
      </w:r>
      <w:proofErr w:type="spellEnd"/>
      <w:r w:rsidRPr="00770A18">
        <w:rPr>
          <w:szCs w:val="24"/>
        </w:rPr>
        <w:t xml:space="preserve"> согласились с тем, что необходимо продолжить обсуждения по Резолюции</w:t>
      </w:r>
      <w:r w:rsidRPr="00770A18">
        <w:t xml:space="preserve"> 1, чтобы подготовить региональные вклады по Резолюции 1 для </w:t>
      </w:r>
      <w:proofErr w:type="spellStart"/>
      <w:r w:rsidRPr="00770A18">
        <w:t>КГРЭ</w:t>
      </w:r>
      <w:proofErr w:type="spellEnd"/>
      <w:r w:rsidRPr="00770A18">
        <w:t xml:space="preserve"> и ВКРЭ-17</w:t>
      </w:r>
      <w:r w:rsidRPr="00770A18">
        <w:rPr>
          <w:szCs w:val="24"/>
        </w:rPr>
        <w:t>.</w:t>
      </w:r>
      <w:bookmarkEnd w:id="70"/>
    </w:p>
    <w:p w:rsidR="00F3668D" w:rsidRPr="00770A18" w:rsidRDefault="00F3668D" w:rsidP="00770A18">
      <w:pPr>
        <w:pStyle w:val="Heading1"/>
      </w:pPr>
      <w:r w:rsidRPr="002A7AC1">
        <w:t>D</w:t>
      </w:r>
      <w:r w:rsidRPr="00770A18">
        <w:tab/>
        <w:t>Упорядочение Резолюций ВКРЭ</w:t>
      </w:r>
    </w:p>
    <w:p w:rsidR="00F3668D" w:rsidRPr="00770A18" w:rsidRDefault="00F3668D" w:rsidP="00770A18">
      <w:r w:rsidRPr="00770A18">
        <w:rPr>
          <w:szCs w:val="22"/>
        </w:rPr>
        <w:t>Документ, озаглавленный "</w:t>
      </w:r>
      <w:r w:rsidRPr="00770A18">
        <w:rPr>
          <w:b/>
          <w:bCs/>
          <w:szCs w:val="22"/>
        </w:rPr>
        <w:t>Отчет работающей по переписке группы по упорядочению Резолюций ВКРЭ</w:t>
      </w:r>
      <w:r w:rsidRPr="00770A18">
        <w:t xml:space="preserve">", был представлен на каждом из шести </w:t>
      </w:r>
      <w:proofErr w:type="spellStart"/>
      <w:r w:rsidRPr="00770A18">
        <w:t>РПС</w:t>
      </w:r>
      <w:proofErr w:type="spellEnd"/>
      <w:r w:rsidRPr="00770A18">
        <w:t xml:space="preserve"> (</w:t>
      </w:r>
      <w:proofErr w:type="spellStart"/>
      <w:r w:rsidR="00ED0FEB">
        <w:fldChar w:fldCharType="begin"/>
      </w:r>
      <w:r w:rsidR="00ED0FEB">
        <w:instrText xml:space="preserve"> HYPERLINK "http://www.itu.int/md/D14-RPMCIS-C-0011/en" </w:instrText>
      </w:r>
      <w:r w:rsidR="00ED0FEB">
        <w:fldChar w:fldCharType="separate"/>
      </w:r>
      <w:r w:rsidRPr="002A7AC1">
        <w:rPr>
          <w:rStyle w:val="Hyperlink"/>
          <w:szCs w:val="24"/>
        </w:rPr>
        <w:t>RPM</w:t>
      </w:r>
      <w:r w:rsidRPr="00770A18">
        <w:rPr>
          <w:rStyle w:val="Hyperlink"/>
          <w:szCs w:val="24"/>
        </w:rPr>
        <w:t>-</w:t>
      </w:r>
      <w:r w:rsidRPr="002A7AC1">
        <w:rPr>
          <w:rStyle w:val="Hyperlink"/>
          <w:szCs w:val="24"/>
        </w:rPr>
        <w:t>CIS</w:t>
      </w:r>
      <w:r w:rsidRPr="00770A18">
        <w:rPr>
          <w:rStyle w:val="Hyperlink"/>
          <w:szCs w:val="24"/>
        </w:rPr>
        <w:t>16</w:t>
      </w:r>
      <w:proofErr w:type="spellEnd"/>
      <w:r w:rsidRPr="00770A18">
        <w:rPr>
          <w:rStyle w:val="Hyperlink"/>
          <w:szCs w:val="24"/>
        </w:rPr>
        <w:t>/11</w:t>
      </w:r>
      <w:r w:rsidR="00ED0FEB">
        <w:rPr>
          <w:rStyle w:val="Hyperlink"/>
          <w:szCs w:val="24"/>
        </w:rPr>
        <w:fldChar w:fldCharType="end"/>
      </w:r>
      <w:r w:rsidRPr="00770A18">
        <w:rPr>
          <w:szCs w:val="24"/>
        </w:rPr>
        <w:t xml:space="preserve">, </w:t>
      </w:r>
      <w:hyperlink r:id="rId53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AFR</w:t>
        </w:r>
        <w:r w:rsidRPr="00770A18">
          <w:rPr>
            <w:rStyle w:val="Hyperlink"/>
            <w:szCs w:val="24"/>
          </w:rPr>
          <w:t>16</w:t>
        </w:r>
        <w:proofErr w:type="spellEnd"/>
        <w:r w:rsidRPr="00770A18">
          <w:rPr>
            <w:rStyle w:val="Hyperlink"/>
            <w:szCs w:val="24"/>
          </w:rPr>
          <w:t>/11</w:t>
        </w:r>
      </w:hyperlink>
      <w:r w:rsidRPr="00770A18">
        <w:rPr>
          <w:szCs w:val="24"/>
        </w:rPr>
        <w:t xml:space="preserve">, </w:t>
      </w:r>
      <w:hyperlink r:id="rId54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ARB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/11</w:t>
        </w:r>
      </w:hyperlink>
      <w:r w:rsidRPr="00770A18">
        <w:rPr>
          <w:szCs w:val="24"/>
        </w:rPr>
        <w:t xml:space="preserve">, </w:t>
      </w:r>
      <w:hyperlink r:id="rId55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noBreakHyphen/>
        </w:r>
        <w:r w:rsidRPr="002A7AC1">
          <w:rPr>
            <w:rStyle w:val="Hyperlink"/>
            <w:szCs w:val="24"/>
          </w:rPr>
          <w:t>AMS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/11</w:t>
        </w:r>
      </w:hyperlink>
      <w:r w:rsidRPr="00770A18">
        <w:rPr>
          <w:szCs w:val="24"/>
        </w:rPr>
        <w:t xml:space="preserve">, </w:t>
      </w:r>
      <w:hyperlink r:id="rId56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ASP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/11</w:t>
        </w:r>
      </w:hyperlink>
      <w:r w:rsidRPr="00770A18">
        <w:rPr>
          <w:szCs w:val="24"/>
        </w:rPr>
        <w:t xml:space="preserve">, </w:t>
      </w:r>
      <w:hyperlink r:id="rId57" w:history="1">
        <w:proofErr w:type="spellStart"/>
        <w:r w:rsidRPr="002A7AC1">
          <w:rPr>
            <w:rStyle w:val="Hyperlink"/>
            <w:szCs w:val="24"/>
          </w:rPr>
          <w:t>RPM</w:t>
        </w:r>
        <w:r w:rsidRPr="00770A18">
          <w:rPr>
            <w:rStyle w:val="Hyperlink"/>
            <w:szCs w:val="24"/>
          </w:rPr>
          <w:t>-</w:t>
        </w:r>
        <w:r w:rsidRPr="002A7AC1">
          <w:rPr>
            <w:rStyle w:val="Hyperlink"/>
            <w:szCs w:val="24"/>
          </w:rPr>
          <w:t>EUR</w:t>
        </w:r>
        <w:r w:rsidRPr="00770A18">
          <w:rPr>
            <w:rStyle w:val="Hyperlink"/>
            <w:szCs w:val="24"/>
          </w:rPr>
          <w:t>17</w:t>
        </w:r>
        <w:proofErr w:type="spellEnd"/>
        <w:r w:rsidRPr="00770A18">
          <w:rPr>
            <w:rStyle w:val="Hyperlink"/>
            <w:szCs w:val="24"/>
          </w:rPr>
          <w:t>/11</w:t>
        </w:r>
      </w:hyperlink>
      <w:r w:rsidRPr="00770A18">
        <w:t>).</w:t>
      </w:r>
    </w:p>
    <w:p w:rsidR="00F3668D" w:rsidRPr="00770A18" w:rsidRDefault="00F3668D" w:rsidP="00770A18">
      <w:r w:rsidRPr="00770A18">
        <w:t xml:space="preserve">В документе представлена информация о работе Группы </w:t>
      </w:r>
      <w:proofErr w:type="spellStart"/>
      <w:r w:rsidRPr="00770A18">
        <w:t>КГРЭ</w:t>
      </w:r>
      <w:proofErr w:type="spellEnd"/>
      <w:r w:rsidRPr="00770A18">
        <w:t>, работающей по переписке, по упорядочению Резолюций ВКРЭ (</w:t>
      </w:r>
      <w:proofErr w:type="spellStart"/>
      <w:r w:rsidRPr="00770A18">
        <w:t>ГП</w:t>
      </w:r>
      <w:proofErr w:type="spellEnd"/>
      <w:r w:rsidRPr="00770A18">
        <w:t>-УР) и ходу дальнейшей работы. На</w:t>
      </w:r>
      <w:r w:rsidRPr="002A7AC1">
        <w:t> </w:t>
      </w:r>
      <w:r w:rsidRPr="00770A18">
        <w:t>основании вкладов Членов был разработан комплекс принципов для упорядочения существующих Резолюций ВКРЭ, который был представлен для обсуждения на втором собрании группы в сентябре 2016</w:t>
      </w:r>
      <w:r w:rsidRPr="002A7AC1">
        <w:t> </w:t>
      </w:r>
      <w:r w:rsidRPr="00770A18">
        <w:t>года. На основании проведенной работы и с должным учетом обсуждений в ходе региональных подготовительных собраний (</w:t>
      </w:r>
      <w:proofErr w:type="spellStart"/>
      <w:r w:rsidRPr="00770A18">
        <w:t>РПС</w:t>
      </w:r>
      <w:proofErr w:type="spellEnd"/>
      <w:r w:rsidRPr="00770A18">
        <w:t>) отчет для рассмотрения будет разработан к ВКРЭ</w:t>
      </w:r>
      <w:r w:rsidRPr="00770A18">
        <w:noBreakHyphen/>
        <w:t xml:space="preserve">17. Заключительный отчет </w:t>
      </w:r>
      <w:proofErr w:type="spellStart"/>
      <w:r w:rsidRPr="00770A18">
        <w:t>ГП</w:t>
      </w:r>
      <w:proofErr w:type="spellEnd"/>
      <w:r w:rsidRPr="00770A18">
        <w:t>-УР будет представлен ВКРЭ</w:t>
      </w:r>
      <w:r w:rsidRPr="00770A18">
        <w:noBreakHyphen/>
        <w:t>17 для принятия надлежащих мер.</w:t>
      </w:r>
    </w:p>
    <w:p w:rsidR="00F3668D" w:rsidRPr="00770A18" w:rsidRDefault="00F3668D" w:rsidP="00770A18">
      <w:pPr>
        <w:rPr>
          <w:szCs w:val="22"/>
        </w:rPr>
      </w:pPr>
      <w:r w:rsidRPr="00770A18">
        <w:t>Группа, работающая по переписке, продолжит свою деятельность с помощью электронных средств. С</w:t>
      </w:r>
      <w:r w:rsidRPr="002A7AC1">
        <w:t> </w:t>
      </w:r>
      <w:r w:rsidRPr="00770A18">
        <w:t>целью продвижения работы по выполнению задачи Группы, работающей по переписке, предлагается направлять вклады и конкретные предложения.</w:t>
      </w:r>
      <w:r w:rsidRPr="00770A18">
        <w:rPr>
          <w:szCs w:val="22"/>
        </w:rPr>
        <w:t xml:space="preserve"> Третье собрание </w:t>
      </w:r>
      <w:proofErr w:type="spellStart"/>
      <w:r w:rsidRPr="00770A18">
        <w:rPr>
          <w:szCs w:val="22"/>
        </w:rPr>
        <w:t>ГП</w:t>
      </w:r>
      <w:proofErr w:type="spellEnd"/>
      <w:r w:rsidRPr="00770A18">
        <w:rPr>
          <w:szCs w:val="22"/>
        </w:rPr>
        <w:t>-УР состоялось</w:t>
      </w:r>
      <w:r w:rsidRPr="00770A18">
        <w:t xml:space="preserve"> 25</w:t>
      </w:r>
      <w:r w:rsidRPr="002A7AC1">
        <w:t> </w:t>
      </w:r>
      <w:r w:rsidRPr="00770A18">
        <w:t>января 2017</w:t>
      </w:r>
      <w:r w:rsidRPr="002A7AC1">
        <w:t> </w:t>
      </w:r>
      <w:r w:rsidRPr="00770A18">
        <w:t>года, четвертое собрание группы состоялось 3</w:t>
      </w:r>
      <w:r w:rsidRPr="002A7AC1">
        <w:t> </w:t>
      </w:r>
      <w:r w:rsidRPr="00770A18">
        <w:t>апреля 2017</w:t>
      </w:r>
      <w:r w:rsidRPr="002A7AC1">
        <w:t> </w:t>
      </w:r>
      <w:r w:rsidRPr="00770A18">
        <w:t>года, а пятое и заключительное собрание состоится 10</w:t>
      </w:r>
      <w:r w:rsidRPr="002A7AC1">
        <w:t> </w:t>
      </w:r>
      <w:r w:rsidRPr="00770A18">
        <w:t>мая 2017</w:t>
      </w:r>
      <w:r w:rsidRPr="002A7AC1">
        <w:t> </w:t>
      </w:r>
      <w:r w:rsidRPr="00770A18">
        <w:t xml:space="preserve">года. </w:t>
      </w:r>
    </w:p>
    <w:p w:rsidR="00F3668D" w:rsidRPr="00770A18" w:rsidRDefault="00F3668D" w:rsidP="00770A18">
      <w:pPr>
        <w:tabs>
          <w:tab w:val="left" w:pos="0"/>
        </w:tabs>
      </w:pPr>
      <w:proofErr w:type="spellStart"/>
      <w:r w:rsidRPr="00770A18">
        <w:t>РПС</w:t>
      </w:r>
      <w:proofErr w:type="spellEnd"/>
      <w:r w:rsidRPr="00770A18">
        <w:t>-СНГ поддержало следующие предложения и согласилось подготовить региональное общее предложение. Полученные в результате этого тексты Резолюций 17 и 37 содержатся в Документе</w:t>
      </w:r>
      <w:r w:rsidRPr="002A7AC1">
        <w:rPr>
          <w:szCs w:val="24"/>
        </w:rPr>
        <w:t> </w:t>
      </w:r>
      <w:proofErr w:type="spellStart"/>
      <w:r w:rsidR="00ED0FEB">
        <w:fldChar w:fldCharType="begin"/>
      </w:r>
      <w:r w:rsidR="00ED0FEB">
        <w:instrText xml:space="preserve"> HYPERLINK "https://www.itu.int/md/D14-TDAG22-C-0038/" </w:instrText>
      </w:r>
      <w:r w:rsidR="00ED0FEB">
        <w:fldChar w:fldCharType="separate"/>
      </w:r>
      <w:r w:rsidRPr="002A7AC1">
        <w:rPr>
          <w:rStyle w:val="Hyperlink"/>
          <w:szCs w:val="24"/>
        </w:rPr>
        <w:t>TDAG</w:t>
      </w:r>
      <w:r w:rsidRPr="00770A18">
        <w:rPr>
          <w:rStyle w:val="Hyperlink"/>
          <w:szCs w:val="24"/>
        </w:rPr>
        <w:t>17</w:t>
      </w:r>
      <w:proofErr w:type="spellEnd"/>
      <w:r w:rsidRPr="00770A18">
        <w:rPr>
          <w:rStyle w:val="Hyperlink"/>
          <w:szCs w:val="24"/>
        </w:rPr>
        <w:t>-22/38</w:t>
      </w:r>
      <w:r w:rsidR="00ED0FEB">
        <w:rPr>
          <w:rStyle w:val="Hyperlink"/>
          <w:szCs w:val="24"/>
        </w:rPr>
        <w:fldChar w:fldCharType="end"/>
      </w:r>
      <w:r w:rsidRPr="00770A18">
        <w:rPr>
          <w:szCs w:val="24"/>
        </w:rPr>
        <w:t>.</w:t>
      </w:r>
    </w:p>
    <w:p w:rsidR="00F3668D" w:rsidRPr="00770A18" w:rsidRDefault="00F3668D" w:rsidP="00770A18">
      <w:pPr>
        <w:pStyle w:val="enumlev1"/>
      </w:pPr>
      <w:r w:rsidRPr="00770A18">
        <w:t>•</w:t>
      </w:r>
      <w:r w:rsidRPr="00770A18">
        <w:tab/>
        <w:t>Предлагаемое объединение Резолюций 17 и 32;</w:t>
      </w:r>
    </w:p>
    <w:p w:rsidR="00F3668D" w:rsidRPr="00770A18" w:rsidRDefault="00F3668D" w:rsidP="00770A18">
      <w:pPr>
        <w:pStyle w:val="enumlev1"/>
      </w:pPr>
      <w:r w:rsidRPr="00770A18">
        <w:t>•</w:t>
      </w:r>
      <w:r w:rsidRPr="00770A18">
        <w:tab/>
        <w:t>Предлагаемое объединение Резолюций 37 и 50.</w:t>
      </w:r>
    </w:p>
    <w:p w:rsidR="00F3668D" w:rsidRPr="00770A18" w:rsidRDefault="00F3668D" w:rsidP="00770A18">
      <w:pPr>
        <w:tabs>
          <w:tab w:val="left" w:pos="0"/>
        </w:tabs>
      </w:pPr>
      <w:proofErr w:type="spellStart"/>
      <w:r w:rsidRPr="00770A18">
        <w:t>РПС-АФР</w:t>
      </w:r>
      <w:proofErr w:type="spellEnd"/>
      <w:r w:rsidRPr="00770A18">
        <w:t xml:space="preserve"> не получило никаких конкретных предложений по упорядочению резолюций.</w:t>
      </w:r>
    </w:p>
    <w:p w:rsidR="00F3668D" w:rsidRPr="00770A18" w:rsidRDefault="00F3668D" w:rsidP="00770A18">
      <w:pPr>
        <w:tabs>
          <w:tab w:val="left" w:pos="0"/>
        </w:tabs>
      </w:pPr>
      <w:bookmarkStart w:id="71" w:name="lt_pId286"/>
      <w:proofErr w:type="spellStart"/>
      <w:r w:rsidRPr="00770A18">
        <w:t>РПС</w:t>
      </w:r>
      <w:proofErr w:type="spellEnd"/>
      <w:r w:rsidRPr="00770A18">
        <w:t>-АРБ отметило, что руководящие указания могут использоваться региональными группами при разработке их общих предложений, но, как правило, их не следует принимать и обсуждать на ВКРЭ.</w:t>
      </w:r>
      <w:bookmarkEnd w:id="71"/>
    </w:p>
    <w:p w:rsidR="00F3668D" w:rsidRPr="00770A18" w:rsidRDefault="00F3668D" w:rsidP="00770A18">
      <w:pPr>
        <w:tabs>
          <w:tab w:val="left" w:pos="0"/>
        </w:tabs>
      </w:pPr>
      <w:proofErr w:type="spellStart"/>
      <w:r w:rsidRPr="00770A18">
        <w:t>РПС-АМР</w:t>
      </w:r>
      <w:proofErr w:type="spellEnd"/>
      <w:r w:rsidRPr="00770A18">
        <w:t xml:space="preserve"> обсудило конкретные предложения об объединении резолюций и договорилось о проведении дополнительных детальных обсуждений этих предложений в ходе подготовки к ВКРЭ</w:t>
      </w:r>
      <w:r w:rsidRPr="00770A18">
        <w:noBreakHyphen/>
        <w:t>17.</w:t>
      </w:r>
    </w:p>
    <w:p w:rsidR="00F3668D" w:rsidRPr="00770A18" w:rsidRDefault="00F3668D" w:rsidP="00770A18">
      <w:pPr>
        <w:tabs>
          <w:tab w:val="left" w:pos="0"/>
        </w:tabs>
        <w:spacing w:before="60"/>
      </w:pPr>
      <w:proofErr w:type="spellStart"/>
      <w:r w:rsidRPr="00770A18">
        <w:t>РПС-АТР</w:t>
      </w:r>
      <w:proofErr w:type="spellEnd"/>
      <w:r w:rsidRPr="00770A18">
        <w:t xml:space="preserve"> поддержало работу по упорядочению резолюций и отметило, что эта работа не должна привести к утрате сути существующих резолюций. </w:t>
      </w:r>
      <w:proofErr w:type="spellStart"/>
      <w:r w:rsidRPr="00770A18">
        <w:t>РПС-АТР</w:t>
      </w:r>
      <w:proofErr w:type="spellEnd"/>
      <w:r w:rsidRPr="00770A18">
        <w:t xml:space="preserve"> обсудило конкретные предложения об объединении резолюций и приняло к сведению вклады.</w:t>
      </w:r>
    </w:p>
    <w:p w:rsidR="00F3668D" w:rsidRPr="00DC10E5" w:rsidRDefault="00F3668D" w:rsidP="008A2D53">
      <w:pPr>
        <w:tabs>
          <w:tab w:val="left" w:pos="0"/>
        </w:tabs>
      </w:pPr>
      <w:proofErr w:type="spellStart"/>
      <w:r w:rsidRPr="008A2D53">
        <w:t>РПС-ЕВР</w:t>
      </w:r>
      <w:proofErr w:type="spellEnd"/>
      <w:r w:rsidRPr="008A2D53">
        <w:t xml:space="preserve"> </w:t>
      </w:r>
      <w:r>
        <w:t>также поддержало эту работу. Собрание приветствовало и приняло к сведению вклад, представленный по данной тематике</w:t>
      </w:r>
      <w:r w:rsidRPr="00DC10E5">
        <w:t>.</w:t>
      </w:r>
    </w:p>
    <w:p w:rsidR="00F3668D" w:rsidRPr="00770A18" w:rsidRDefault="00F3668D" w:rsidP="00770A18">
      <w:pPr>
        <w:pStyle w:val="Heading1"/>
        <w:rPr>
          <w:szCs w:val="22"/>
        </w:rPr>
      </w:pPr>
      <w:r w:rsidRPr="002A7AC1">
        <w:lastRenderedPageBreak/>
        <w:t>E</w:t>
      </w:r>
      <w:r w:rsidRPr="00770A18">
        <w:tab/>
        <w:t>Предложения по новым или пересмотренным Резолюциям</w:t>
      </w:r>
    </w:p>
    <w:p w:rsidR="00F3668D" w:rsidRPr="00770A18" w:rsidRDefault="00F3668D" w:rsidP="00770A18">
      <w:pPr>
        <w:rPr>
          <w:szCs w:val="22"/>
        </w:rPr>
      </w:pPr>
      <w:r w:rsidRPr="00770A18">
        <w:rPr>
          <w:szCs w:val="22"/>
        </w:rPr>
        <w:t xml:space="preserve">На 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 xml:space="preserve"> также было решено, что следующие проекты Резолюций (новых или пересмотренных), представленные на рассмотрение на собраниях 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>, должны стать предметом для проектов Резолюций, которые должны быть представлены ВКРЭ непосредственно членами: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1)</w:t>
      </w:r>
      <w:r w:rsidRPr="00A772F1">
        <w:rPr>
          <w:szCs w:val="22"/>
        </w:rPr>
        <w:tab/>
        <w:t>Резолюция 2 – "Создание исследовательских комиссий"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>-СНГ);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2)</w:t>
      </w:r>
      <w:r w:rsidRPr="00A772F1">
        <w:rPr>
          <w:szCs w:val="22"/>
        </w:rPr>
        <w:tab/>
        <w:t>Резолюция 8 – "Сбор и распространение информации и статистических данных"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>-СНГ);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3)</w:t>
      </w:r>
      <w:r w:rsidRPr="00A772F1">
        <w:rPr>
          <w:szCs w:val="22"/>
        </w:rPr>
        <w:tab/>
        <w:t>Резолюция 9 – "Участие стран, в особенности развивающихся стран, в управлении использованием спектра"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>-СНГ);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4)</w:t>
      </w:r>
      <w:r w:rsidRPr="00A772F1">
        <w:rPr>
          <w:szCs w:val="22"/>
        </w:rPr>
        <w:tab/>
        <w:t>Резолюция 17 – "Осуществление на национальном, региональном, межрегиональном и глобальном уровнях инициатив, одобренных регионами</w:t>
      </w:r>
      <w:r w:rsidRPr="00A772F1">
        <w:rPr>
          <w:rStyle w:val="FootnoteReference"/>
          <w:szCs w:val="22"/>
        </w:rPr>
        <w:footnoteReference w:id="1"/>
      </w:r>
      <w:r w:rsidRPr="00A772F1">
        <w:rPr>
          <w:szCs w:val="22"/>
        </w:rPr>
        <w:t>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>-СНГ);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5)</w:t>
      </w:r>
      <w:r w:rsidRPr="00A772F1">
        <w:rPr>
          <w:szCs w:val="22"/>
        </w:rPr>
        <w:tab/>
        <w:t>Резолюция 23 – "Доступ к интернету и его доступность для развивающихся стран</w:t>
      </w:r>
      <w:r w:rsidRPr="00A772F1">
        <w:rPr>
          <w:rStyle w:val="FootnoteReference"/>
          <w:szCs w:val="22"/>
        </w:rPr>
        <w:footnoteReference w:id="2"/>
      </w:r>
      <w:r w:rsidRPr="00A772F1">
        <w:rPr>
          <w:szCs w:val="22"/>
        </w:rPr>
        <w:t xml:space="preserve">, а также принципы начисления платы за международные </w:t>
      </w:r>
      <w:proofErr w:type="spellStart"/>
      <w:r w:rsidRPr="00A772F1">
        <w:rPr>
          <w:szCs w:val="22"/>
        </w:rPr>
        <w:t>интернет-соединения</w:t>
      </w:r>
      <w:proofErr w:type="spellEnd"/>
      <w:r w:rsidRPr="00A772F1">
        <w:rPr>
          <w:szCs w:val="22"/>
        </w:rPr>
        <w:t>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>-СНГ);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6)</w:t>
      </w:r>
      <w:r w:rsidRPr="00A772F1">
        <w:rPr>
          <w:szCs w:val="22"/>
        </w:rPr>
        <w:tab/>
        <w:t xml:space="preserve">Резолюция 30 – " Роль Сектора развития электросвязи МСЭ в выполнении решений Всемирной встречи на высшем уровне по вопросам информационного общества и </w:t>
      </w:r>
      <w:r w:rsidRPr="00A772F1">
        <w:rPr>
          <w:color w:val="000000"/>
          <w:szCs w:val="22"/>
        </w:rPr>
        <w:t>Повестки дня в области устойчивого развития на период до 2030 года</w:t>
      </w:r>
      <w:r w:rsidRPr="00A772F1">
        <w:rPr>
          <w:szCs w:val="22"/>
        </w:rPr>
        <w:t>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>-СНГ);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7)</w:t>
      </w:r>
      <w:r w:rsidRPr="00A772F1">
        <w:rPr>
          <w:szCs w:val="22"/>
        </w:rPr>
        <w:tab/>
        <w:t>Резолюция 37 – "Преодоление цифрового разрыва"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>-СНГ);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8)</w:t>
      </w:r>
      <w:r w:rsidRPr="00A772F1">
        <w:rPr>
          <w:szCs w:val="22"/>
        </w:rPr>
        <w:tab/>
        <w:t>Резолюция 45 – "Механизмы совершенствования сотрудничества в области укрепления доверия и безопасности при использовании ИКТ, включая противодействие спаму и борьбу с ним"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>-СНГ);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9)</w:t>
      </w:r>
      <w:r w:rsidRPr="00A772F1">
        <w:rPr>
          <w:szCs w:val="22"/>
        </w:rPr>
        <w:tab/>
        <w:t>Резолюция 54 – "Оптимальная интеграция информационно-коммуникационных технологий"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>-СНГ);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10)</w:t>
      </w:r>
      <w:r w:rsidRPr="00A772F1">
        <w:rPr>
          <w:szCs w:val="22"/>
        </w:rPr>
        <w:tab/>
        <w:t>Резолюция 59 – "Усиление координации и сотрудничества между тремя Секторами МСЭ по вопросам, представляющим взаимный интерес"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>-СНГ);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11)</w:t>
      </w:r>
      <w:r w:rsidRPr="00A772F1">
        <w:rPr>
          <w:szCs w:val="22"/>
        </w:rPr>
        <w:tab/>
        <w:t>Резолюция 66 – "Информационно-коммуникационные технологии и изменение климата"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noBreakHyphen/>
        <w:t>СНГ);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12)</w:t>
      </w:r>
      <w:r w:rsidRPr="00A772F1">
        <w:rPr>
          <w:szCs w:val="22"/>
        </w:rPr>
        <w:tab/>
        <w:t>Резолюция 71 – "Укрепление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>-СНГ);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13)</w:t>
      </w:r>
      <w:r w:rsidRPr="00A772F1">
        <w:rPr>
          <w:szCs w:val="22"/>
        </w:rPr>
        <w:tab/>
        <w:t>Резолюция 73 – "Центры профессионального мастерства МСЭ"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>-СНГ);</w:t>
      </w:r>
    </w:p>
    <w:p w:rsidR="00F3668D" w:rsidRPr="00A772F1" w:rsidRDefault="00F3668D" w:rsidP="00A772F1">
      <w:pPr>
        <w:pStyle w:val="enumlev1"/>
        <w:rPr>
          <w:szCs w:val="22"/>
        </w:rPr>
      </w:pPr>
      <w:r w:rsidRPr="00A772F1">
        <w:rPr>
          <w:szCs w:val="22"/>
        </w:rPr>
        <w:t>14)</w:t>
      </w:r>
      <w:r w:rsidRPr="00A772F1">
        <w:rPr>
          <w:szCs w:val="22"/>
        </w:rPr>
        <w:tab/>
        <w:t>Резолюция 81 – "Дальнейшее развитие электронных методов работы в деятельности Сектора развития электросвязи МСЭ" (</w:t>
      </w: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>-СНГ).</w:t>
      </w:r>
    </w:p>
    <w:p w:rsidR="00F3668D" w:rsidRPr="008A2D53" w:rsidRDefault="00F3668D" w:rsidP="00A772F1">
      <w:pPr>
        <w:rPr>
          <w:szCs w:val="22"/>
        </w:rPr>
      </w:pPr>
      <w:proofErr w:type="spellStart"/>
      <w:r w:rsidRPr="00A772F1">
        <w:rPr>
          <w:szCs w:val="22"/>
        </w:rPr>
        <w:t>РПС</w:t>
      </w:r>
      <w:proofErr w:type="spellEnd"/>
      <w:r w:rsidRPr="00A772F1">
        <w:rPr>
          <w:szCs w:val="22"/>
        </w:rPr>
        <w:t xml:space="preserve">-АРБ, </w:t>
      </w:r>
      <w:proofErr w:type="spellStart"/>
      <w:r w:rsidRPr="00A772F1">
        <w:rPr>
          <w:szCs w:val="22"/>
        </w:rPr>
        <w:t>РПС-АМР</w:t>
      </w:r>
      <w:proofErr w:type="spellEnd"/>
      <w:r w:rsidRPr="00A772F1">
        <w:rPr>
          <w:szCs w:val="22"/>
        </w:rPr>
        <w:t xml:space="preserve">, </w:t>
      </w:r>
      <w:proofErr w:type="spellStart"/>
      <w:r w:rsidRPr="00A772F1">
        <w:rPr>
          <w:szCs w:val="22"/>
        </w:rPr>
        <w:t>РПС-АТР</w:t>
      </w:r>
      <w:proofErr w:type="spellEnd"/>
      <w:r w:rsidRPr="00A772F1">
        <w:rPr>
          <w:szCs w:val="22"/>
        </w:rPr>
        <w:t xml:space="preserve"> и </w:t>
      </w:r>
      <w:proofErr w:type="spellStart"/>
      <w:r w:rsidRPr="00A772F1">
        <w:rPr>
          <w:szCs w:val="22"/>
        </w:rPr>
        <w:t>РПС-ЕВР</w:t>
      </w:r>
      <w:proofErr w:type="spellEnd"/>
      <w:r w:rsidRPr="00A772F1">
        <w:rPr>
          <w:szCs w:val="22"/>
        </w:rPr>
        <w:t xml:space="preserve"> </w:t>
      </w:r>
      <w:r>
        <w:rPr>
          <w:szCs w:val="22"/>
        </w:rPr>
        <w:t>обсудили</w:t>
      </w:r>
      <w:r w:rsidRPr="00A772F1">
        <w:rPr>
          <w:szCs w:val="22"/>
        </w:rPr>
        <w:t xml:space="preserve"> </w:t>
      </w:r>
      <w:r>
        <w:rPr>
          <w:szCs w:val="22"/>
        </w:rPr>
        <w:t>также</w:t>
      </w:r>
      <w:r w:rsidRPr="00A772F1">
        <w:rPr>
          <w:szCs w:val="22"/>
        </w:rPr>
        <w:t xml:space="preserve"> </w:t>
      </w:r>
      <w:r>
        <w:rPr>
          <w:szCs w:val="22"/>
        </w:rPr>
        <w:t>следующие</w:t>
      </w:r>
      <w:r w:rsidRPr="00A772F1">
        <w:rPr>
          <w:szCs w:val="22"/>
        </w:rPr>
        <w:t xml:space="preserve"> </w:t>
      </w:r>
      <w:r>
        <w:rPr>
          <w:szCs w:val="22"/>
        </w:rPr>
        <w:t>проекты Резолюций (новых или пересмотренных) и приняли решение продолжить этот процесс на последующих региональных собраниях. Для</w:t>
      </w:r>
      <w:r w:rsidRPr="00A772F1">
        <w:rPr>
          <w:szCs w:val="22"/>
        </w:rPr>
        <w:t xml:space="preserve"> </w:t>
      </w:r>
      <w:proofErr w:type="spellStart"/>
      <w:r w:rsidRPr="00A772F1">
        <w:rPr>
          <w:szCs w:val="22"/>
        </w:rPr>
        <w:t>РПС-АФР</w:t>
      </w:r>
      <w:proofErr w:type="spellEnd"/>
      <w:r w:rsidRPr="00A772F1">
        <w:rPr>
          <w:szCs w:val="22"/>
        </w:rPr>
        <w:t xml:space="preserve"> </w:t>
      </w:r>
      <w:r>
        <w:rPr>
          <w:szCs w:val="22"/>
        </w:rPr>
        <w:t>не было представлено вкладов по новым или пересмотренным Резолюциям</w:t>
      </w:r>
      <w:r w:rsidRPr="008A2D53">
        <w:rPr>
          <w:szCs w:val="22"/>
        </w:rPr>
        <w:t>.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1)</w:t>
      </w:r>
      <w:r w:rsidRPr="00770A18">
        <w:rPr>
          <w:szCs w:val="22"/>
        </w:rPr>
        <w:tab/>
        <w:t>Проект новой Резолюции − "Проект новой Резолюции по борьбе с хищениями мобильных устройств электросвязи"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>-АРБ)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2)</w:t>
      </w:r>
      <w:r w:rsidRPr="00770A18">
        <w:rPr>
          <w:szCs w:val="22"/>
        </w:rPr>
        <w:tab/>
        <w:t>Проект новой Резолюции – "Помощь и поддержка Сирии в восстановлении ее сетей электросвязи"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>-АРБ)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lastRenderedPageBreak/>
        <w:t>3)</w:t>
      </w:r>
      <w:r w:rsidRPr="00770A18">
        <w:rPr>
          <w:szCs w:val="22"/>
        </w:rPr>
        <w:tab/>
        <w:t xml:space="preserve">Проект новой Резолюции – "Укрепление потенциала Государств-Членов по стратегическому планированию, политике и руководству в области </w:t>
      </w:r>
      <w:proofErr w:type="spellStart"/>
      <w:r w:rsidRPr="00770A18">
        <w:rPr>
          <w:szCs w:val="22"/>
        </w:rPr>
        <w:t>кибербезопасности</w:t>
      </w:r>
      <w:proofErr w:type="spellEnd"/>
      <w:r w:rsidRPr="00770A18">
        <w:rPr>
          <w:szCs w:val="22"/>
        </w:rPr>
        <w:t>" (</w:t>
      </w:r>
      <w:proofErr w:type="spellStart"/>
      <w:r w:rsidRPr="00770A18">
        <w:rPr>
          <w:szCs w:val="22"/>
        </w:rPr>
        <w:t>РПС-АТР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4)</w:t>
      </w:r>
      <w:r w:rsidRPr="00770A18">
        <w:rPr>
          <w:szCs w:val="22"/>
        </w:rPr>
        <w:tab/>
        <w:t>Проект новой Резолюции – "Содействие применению приложений и услуг интернета вещей" (</w:t>
      </w:r>
      <w:proofErr w:type="spellStart"/>
      <w:r w:rsidRPr="00770A18">
        <w:rPr>
          <w:szCs w:val="22"/>
        </w:rPr>
        <w:t>РПС-АТР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5)</w:t>
      </w:r>
      <w:r w:rsidRPr="00770A18">
        <w:rPr>
          <w:szCs w:val="22"/>
        </w:rPr>
        <w:tab/>
        <w:t>Резолюция 9 – "Участие стран, в особенности развивающихся стран, в управлении использованием спектра"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 xml:space="preserve">-АРБ, </w:t>
      </w:r>
      <w:proofErr w:type="spellStart"/>
      <w:r w:rsidRPr="00770A18">
        <w:rPr>
          <w:szCs w:val="22"/>
        </w:rPr>
        <w:t>РПС-АМР</w:t>
      </w:r>
      <w:proofErr w:type="spellEnd"/>
      <w:r w:rsidRPr="00770A18">
        <w:rPr>
          <w:szCs w:val="22"/>
        </w:rPr>
        <w:t xml:space="preserve">, </w:t>
      </w:r>
      <w:proofErr w:type="spellStart"/>
      <w:r w:rsidRPr="00770A18">
        <w:rPr>
          <w:szCs w:val="22"/>
        </w:rPr>
        <w:t>РПС-ЕВР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6)</w:t>
      </w:r>
      <w:r w:rsidRPr="00770A18">
        <w:rPr>
          <w:szCs w:val="22"/>
        </w:rPr>
        <w:tab/>
        <w:t>Резолюция 11 – "Услуги электросвязи/информационно-коммуникационных технологий в сельских, изолированных и недостаточно обслуживаемых районах, а также в сообществах коренных народов"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>-АРБ)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7)</w:t>
      </w:r>
      <w:r w:rsidRPr="00770A18">
        <w:rPr>
          <w:szCs w:val="22"/>
        </w:rPr>
        <w:tab/>
        <w:t>Резолюция 17 – "Осуществление на национальном, региональном, межрегиональном и глобальном уровнях инициатив, одобренных регионами"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>-АРБ)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8)</w:t>
      </w:r>
      <w:r w:rsidRPr="00770A18">
        <w:rPr>
          <w:szCs w:val="22"/>
        </w:rPr>
        <w:tab/>
        <w:t xml:space="preserve">Резолюции 17 и 32 – </w:t>
      </w:r>
      <w:r w:rsidRPr="008A2D53">
        <w:rPr>
          <w:szCs w:val="22"/>
        </w:rPr>
        <w:t>Объединение</w:t>
      </w:r>
      <w:r w:rsidRPr="00770A18">
        <w:rPr>
          <w:szCs w:val="22"/>
        </w:rPr>
        <w:t xml:space="preserve"> − "Осуществление на национальном, региональном, межрегиональном и глобальном уровнях инициатив, одобренных регионами" (</w:t>
      </w:r>
      <w:proofErr w:type="spellStart"/>
      <w:r w:rsidRPr="00770A18">
        <w:rPr>
          <w:szCs w:val="22"/>
        </w:rPr>
        <w:t>РПС-АТР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9)</w:t>
      </w:r>
      <w:r w:rsidRPr="00770A18">
        <w:rPr>
          <w:szCs w:val="22"/>
        </w:rPr>
        <w:tab/>
        <w:t>Резолюция 20 – "Недискриминационный доступ к современным средствам, услугам и соответствующим приложениям электросвязи/информационно-коммуникационных технологий"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>-АРБ)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10)</w:t>
      </w:r>
      <w:r w:rsidRPr="00770A18">
        <w:rPr>
          <w:szCs w:val="22"/>
        </w:rPr>
        <w:tab/>
        <w:t>Резолюция 21 – "Координация и сотрудничество с региональными организациями"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>-АРБ)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11)</w:t>
      </w:r>
      <w:r w:rsidRPr="00770A18">
        <w:rPr>
          <w:szCs w:val="22"/>
        </w:rPr>
        <w:tab/>
        <w:t xml:space="preserve">Резолюция 23 – "Доступ к интернету и его доступность для развивающихся стран, а также принципы начисления платы за международные </w:t>
      </w:r>
      <w:proofErr w:type="spellStart"/>
      <w:r w:rsidRPr="00770A18">
        <w:rPr>
          <w:szCs w:val="22"/>
        </w:rPr>
        <w:t>интернет-соединения</w:t>
      </w:r>
      <w:proofErr w:type="spellEnd"/>
      <w:r w:rsidRPr="00770A18">
        <w:rPr>
          <w:szCs w:val="22"/>
        </w:rPr>
        <w:t>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 xml:space="preserve">-АРБ, </w:t>
      </w:r>
      <w:proofErr w:type="spellStart"/>
      <w:r w:rsidRPr="00770A18">
        <w:rPr>
          <w:szCs w:val="22"/>
        </w:rPr>
        <w:t>РПС-АМР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12)</w:t>
      </w:r>
      <w:r w:rsidRPr="00770A18">
        <w:rPr>
          <w:szCs w:val="22"/>
        </w:rPr>
        <w:tab/>
        <w:t>Резолюция 34 – "Роль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>-АРБ)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13)</w:t>
      </w:r>
      <w:r w:rsidRPr="00770A18">
        <w:rPr>
          <w:szCs w:val="22"/>
        </w:rPr>
        <w:tab/>
        <w:t>Резолюция 37 – "Преодоление цифрового разрыва"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>-АРБ)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14)</w:t>
      </w:r>
      <w:r w:rsidRPr="00770A18">
        <w:rPr>
          <w:szCs w:val="22"/>
        </w:rPr>
        <w:tab/>
        <w:t xml:space="preserve">Резолюции 37 и 50 – </w:t>
      </w:r>
      <w:r w:rsidRPr="008A2D53">
        <w:rPr>
          <w:szCs w:val="22"/>
        </w:rPr>
        <w:t>Объединение</w:t>
      </w:r>
      <w:r w:rsidRPr="00770A18">
        <w:rPr>
          <w:szCs w:val="22"/>
        </w:rPr>
        <w:t xml:space="preserve"> – "Преодоление цифрового разрыва" (</w:t>
      </w:r>
      <w:proofErr w:type="spellStart"/>
      <w:r w:rsidRPr="00770A18">
        <w:rPr>
          <w:szCs w:val="22"/>
        </w:rPr>
        <w:t>РПС-АТР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15)</w:t>
      </w:r>
      <w:r w:rsidRPr="00770A18">
        <w:rPr>
          <w:szCs w:val="22"/>
        </w:rPr>
        <w:tab/>
        <w:t xml:space="preserve">Резолюция 40 – "Помощь во внедрении </w:t>
      </w:r>
      <w:proofErr w:type="spellStart"/>
      <w:r w:rsidRPr="00770A18">
        <w:rPr>
          <w:szCs w:val="22"/>
        </w:rPr>
        <w:t>IMT</w:t>
      </w:r>
      <w:proofErr w:type="spellEnd"/>
      <w:r w:rsidRPr="00770A18">
        <w:rPr>
          <w:szCs w:val="22"/>
        </w:rPr>
        <w:t>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 xml:space="preserve">-АРБ, </w:t>
      </w:r>
      <w:proofErr w:type="spellStart"/>
      <w:r w:rsidRPr="00770A18">
        <w:rPr>
          <w:szCs w:val="22"/>
        </w:rPr>
        <w:t>РПС-ЕВР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16)</w:t>
      </w:r>
      <w:r w:rsidRPr="00770A18">
        <w:rPr>
          <w:szCs w:val="22"/>
        </w:rPr>
        <w:tab/>
        <w:t xml:space="preserve">Резолюция 45 − "Механизмы совершенствования сотрудничества в области </w:t>
      </w:r>
      <w:proofErr w:type="spellStart"/>
      <w:r w:rsidRPr="00770A18">
        <w:rPr>
          <w:szCs w:val="22"/>
        </w:rPr>
        <w:t>кибербезопасности</w:t>
      </w:r>
      <w:proofErr w:type="spellEnd"/>
      <w:r w:rsidRPr="00770A18">
        <w:rPr>
          <w:szCs w:val="22"/>
        </w:rPr>
        <w:t>, включая противодействие спаму и борьбу с ним"</w:t>
      </w:r>
      <w:r w:rsidRPr="00770A18">
        <w:rPr>
          <w:szCs w:val="22"/>
          <w:rPrChange w:id="73" w:author="Author">
            <w:rPr>
              <w:szCs w:val="24"/>
              <w:u w:val="single"/>
            </w:rPr>
          </w:rPrChange>
        </w:rPr>
        <w:t xml:space="preserve"> (</w:t>
      </w:r>
      <w:proofErr w:type="spellStart"/>
      <w:r w:rsidRPr="00770A18">
        <w:rPr>
          <w:szCs w:val="22"/>
        </w:rPr>
        <w:t>РПС-АМР</w:t>
      </w:r>
      <w:proofErr w:type="spellEnd"/>
      <w:r w:rsidRPr="00770A18">
        <w:rPr>
          <w:szCs w:val="22"/>
          <w:rPrChange w:id="74" w:author="Author">
            <w:rPr>
              <w:szCs w:val="24"/>
              <w:u w:val="single"/>
            </w:rPr>
          </w:rPrChange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17)</w:t>
      </w:r>
      <w:r w:rsidRPr="00770A18">
        <w:rPr>
          <w:szCs w:val="22"/>
        </w:rPr>
        <w:tab/>
        <w:t>Резолюции 46 и 68 − Проект объединения Резолюции 46 ("Помощь и содействие коренным сообществам мира: Информационное общество благодаря информационно-коммуникационным технологиям") и Резолюции 68 (</w:t>
      </w:r>
      <w:proofErr w:type="spellStart"/>
      <w:r w:rsidRPr="00770A18">
        <w:rPr>
          <w:szCs w:val="22"/>
        </w:rPr>
        <w:t>РПС-АМР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18)</w:t>
      </w:r>
      <w:r w:rsidRPr="00770A18">
        <w:rPr>
          <w:szCs w:val="22"/>
        </w:rPr>
        <w:tab/>
        <w:t>Резолюция 47 – "Повышение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>-АРБ)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19)</w:t>
      </w:r>
      <w:r w:rsidRPr="00770A18">
        <w:rPr>
          <w:szCs w:val="22"/>
        </w:rPr>
        <w:tab/>
        <w:t>Резолюции 50 и 54 − Проект объединения Резолюции 50 ("Оптимальная интеграция информационно-коммуникационных технологий и их применения") с Резолюцией 54 (</w:t>
      </w:r>
      <w:proofErr w:type="spellStart"/>
      <w:r w:rsidRPr="00770A18">
        <w:rPr>
          <w:szCs w:val="22"/>
        </w:rPr>
        <w:t>РПС</w:t>
      </w:r>
      <w:r w:rsidRPr="00770A18">
        <w:rPr>
          <w:szCs w:val="22"/>
        </w:rPr>
        <w:noBreakHyphen/>
        <w:t>АМР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20)</w:t>
      </w:r>
      <w:r w:rsidRPr="00770A18">
        <w:rPr>
          <w:szCs w:val="22"/>
        </w:rPr>
        <w:tab/>
        <w:t>Резолюция 52 – "Усиление роли Сектора развития электросвязи МСЭ как исполнительного учреждения" (</w:t>
      </w:r>
      <w:proofErr w:type="spellStart"/>
      <w:r w:rsidRPr="00770A18">
        <w:rPr>
          <w:szCs w:val="22"/>
        </w:rPr>
        <w:t>РПС-АТР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21)</w:t>
      </w:r>
      <w:r w:rsidRPr="00770A18">
        <w:rPr>
          <w:szCs w:val="22"/>
        </w:rPr>
        <w:tab/>
        <w:t xml:space="preserve">Резолюция 54 – </w:t>
      </w:r>
      <w:r w:rsidRPr="008A2D53">
        <w:rPr>
          <w:szCs w:val="22"/>
        </w:rPr>
        <w:t>Исключение</w:t>
      </w:r>
      <w:r w:rsidRPr="00770A18">
        <w:rPr>
          <w:szCs w:val="22"/>
        </w:rPr>
        <w:t xml:space="preserve"> – "Приложения информационно-коммуникационных технологий" (</w:t>
      </w:r>
      <w:proofErr w:type="spellStart"/>
      <w:r w:rsidRPr="00770A18">
        <w:rPr>
          <w:szCs w:val="22"/>
        </w:rPr>
        <w:t>РПС</w:t>
      </w:r>
      <w:r w:rsidRPr="00770A18">
        <w:rPr>
          <w:szCs w:val="22"/>
        </w:rPr>
        <w:noBreakHyphen/>
        <w:t>АМР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22)</w:t>
      </w:r>
      <w:r w:rsidRPr="00770A18">
        <w:rPr>
          <w:szCs w:val="22"/>
        </w:rPr>
        <w:tab/>
        <w:t>Резолюция 62 – "Важность измерений, связанных с воздействием электромагнитных полей на человека"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noBreakHyphen/>
        <w:t xml:space="preserve">АРБ, </w:t>
      </w:r>
      <w:proofErr w:type="spellStart"/>
      <w:r w:rsidRPr="00770A18">
        <w:rPr>
          <w:szCs w:val="22"/>
        </w:rPr>
        <w:t>РПС-ЕВР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23)</w:t>
      </w:r>
      <w:r w:rsidRPr="00770A18">
        <w:rPr>
          <w:szCs w:val="22"/>
        </w:rPr>
        <w:tab/>
        <w:t>Резолюция 66 – "Информационно-коммуникационные технологии и изменение климата"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noBreakHyphen/>
        <w:t>АРБ)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lastRenderedPageBreak/>
        <w:t>24)</w:t>
      </w:r>
      <w:r w:rsidRPr="00770A18">
        <w:rPr>
          <w:szCs w:val="22"/>
        </w:rPr>
        <w:tab/>
        <w:t xml:space="preserve">Резолюция 67 – </w:t>
      </w:r>
      <w:r w:rsidRPr="008A2D53">
        <w:rPr>
          <w:szCs w:val="22"/>
        </w:rPr>
        <w:t>Исключение</w:t>
      </w:r>
      <w:r w:rsidRPr="00770A18">
        <w:rPr>
          <w:szCs w:val="22"/>
        </w:rPr>
        <w:t xml:space="preserve"> – "Роль Сектора развития электросвязи МСЭ в защите ребенка в онлайновой среде" (</w:t>
      </w:r>
      <w:proofErr w:type="spellStart"/>
      <w:r w:rsidRPr="00770A18">
        <w:rPr>
          <w:szCs w:val="22"/>
        </w:rPr>
        <w:t>РПС-ЕВР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25)</w:t>
      </w:r>
      <w:r w:rsidRPr="00770A18">
        <w:rPr>
          <w:szCs w:val="22"/>
        </w:rPr>
        <w:tab/>
        <w:t xml:space="preserve">Резолюция 68 – </w:t>
      </w:r>
      <w:r w:rsidRPr="008A2D53">
        <w:rPr>
          <w:szCs w:val="22"/>
        </w:rPr>
        <w:t>Исключение</w:t>
      </w:r>
      <w:r w:rsidRPr="00770A18">
        <w:rPr>
          <w:szCs w:val="22"/>
        </w:rPr>
        <w:t xml:space="preserve"> – "Предлагаемое удаление Резолюции 68 «Помощь коренным народам в рамках деятельности Бюро развития электросвязи по его сопутствующим программам»" (</w:t>
      </w:r>
      <w:proofErr w:type="spellStart"/>
      <w:r w:rsidRPr="00770A18">
        <w:rPr>
          <w:szCs w:val="22"/>
        </w:rPr>
        <w:t>РПС-АМР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26)</w:t>
      </w:r>
      <w:r w:rsidRPr="00770A18">
        <w:rPr>
          <w:szCs w:val="22"/>
        </w:rPr>
        <w:tab/>
        <w:t>Резолюция 69 – "Содействие созданию национальных групп реагирования на компьютерные инциденты, в частности в развивающихся странах, и сотрудничеству между ними"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>-АРБ)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27)</w:t>
      </w:r>
      <w:r w:rsidRPr="00770A18">
        <w:rPr>
          <w:szCs w:val="22"/>
        </w:rPr>
        <w:tab/>
        <w:t>Резолюция 71 – "Укрепление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сектор" (</w:t>
      </w:r>
      <w:proofErr w:type="spellStart"/>
      <w:r w:rsidRPr="00770A18">
        <w:rPr>
          <w:szCs w:val="22"/>
        </w:rPr>
        <w:t>РПС-ЕВР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28)</w:t>
      </w:r>
      <w:r w:rsidRPr="00770A18">
        <w:rPr>
          <w:szCs w:val="22"/>
        </w:rPr>
        <w:tab/>
        <w:t>Резолюция 73 – "Центры профессионального мастерства МСЭ" (</w:t>
      </w:r>
      <w:proofErr w:type="spellStart"/>
      <w:r w:rsidRPr="00770A18">
        <w:rPr>
          <w:szCs w:val="22"/>
        </w:rPr>
        <w:t>РПС-ЕВР</w:t>
      </w:r>
      <w:proofErr w:type="spellEnd"/>
      <w:r w:rsidRPr="00770A18">
        <w:rPr>
          <w:szCs w:val="22"/>
        </w:rPr>
        <w:t>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29)</w:t>
      </w:r>
      <w:r w:rsidRPr="00770A18">
        <w:rPr>
          <w:szCs w:val="22"/>
        </w:rPr>
        <w:tab/>
        <w:t>Резолюция 77 – "Технология и приложения широкополосной связи для более активного роста и развития услуг электросвязи/информационно-коммуникационных технологий и широкополосных соединений"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noBreakHyphen/>
        <w:t>АРБ)</w:t>
      </w:r>
    </w:p>
    <w:p w:rsidR="00F3668D" w:rsidRPr="00770A18" w:rsidRDefault="00F3668D" w:rsidP="00770A18">
      <w:pPr>
        <w:pStyle w:val="enumlev1"/>
        <w:rPr>
          <w:szCs w:val="22"/>
        </w:rPr>
      </w:pPr>
      <w:r w:rsidRPr="00770A18">
        <w:rPr>
          <w:szCs w:val="22"/>
        </w:rPr>
        <w:t>30)</w:t>
      </w:r>
      <w:r w:rsidRPr="00770A18">
        <w:rPr>
          <w:szCs w:val="22"/>
        </w:rPr>
        <w:tab/>
        <w:t>Резолюция 79 – "Роль электросвязи/информационно-коммуникационных технологий в борьбе с контрафактными устройствами электросвязи/информационно-коммуникационных технологий и в решении этой проблемы" (</w:t>
      </w:r>
      <w:proofErr w:type="spellStart"/>
      <w:r w:rsidRPr="00770A18">
        <w:rPr>
          <w:szCs w:val="22"/>
        </w:rPr>
        <w:t>РПС</w:t>
      </w:r>
      <w:proofErr w:type="spellEnd"/>
      <w:r w:rsidRPr="00770A18">
        <w:rPr>
          <w:szCs w:val="22"/>
        </w:rPr>
        <w:t>-АРБ)</w:t>
      </w:r>
    </w:p>
    <w:p w:rsidR="00F3668D" w:rsidRDefault="00F3668D" w:rsidP="0032202E">
      <w:pPr>
        <w:pStyle w:val="Reasons"/>
      </w:pPr>
    </w:p>
    <w:p w:rsidR="00F3668D" w:rsidRDefault="00F3668D">
      <w:pPr>
        <w:jc w:val="center"/>
      </w:pPr>
      <w:r>
        <w:t>______________</w:t>
      </w:r>
    </w:p>
    <w:sectPr w:rsidR="00F3668D" w:rsidSect="00F94E28">
      <w:headerReference w:type="default" r:id="rId58"/>
      <w:footerReference w:type="default" r:id="rId59"/>
      <w:footerReference w:type="first" r:id="rId60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12" w:rsidRDefault="00354512" w:rsidP="00E54FD2">
      <w:pPr>
        <w:spacing w:before="0"/>
      </w:pPr>
      <w:r>
        <w:separator/>
      </w:r>
    </w:p>
  </w:endnote>
  <w:endnote w:type="continuationSeparator" w:id="0">
    <w:p w:rsidR="00354512" w:rsidRDefault="0035451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12" w:rsidRPr="005B626B" w:rsidRDefault="00354512" w:rsidP="0035451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5B626B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P:\RUS\ITU-D\CONF-D\TDAG17\000\017REV1R.docx</w:t>
    </w:r>
    <w:r>
      <w:fldChar w:fldCharType="end"/>
    </w:r>
    <w:r w:rsidRPr="005B626B">
      <w:rPr>
        <w:lang w:val="en-US"/>
      </w:rPr>
      <w:t xml:space="preserve"> (</w:t>
    </w:r>
    <w:r>
      <w:rPr>
        <w:lang w:val="en-US"/>
      </w:rPr>
      <w:t>418012</w:t>
    </w:r>
    <w:r w:rsidRPr="005B626B">
      <w:rPr>
        <w:lang w:val="en-US"/>
      </w:rPr>
      <w:t>)</w:t>
    </w:r>
    <w:r w:rsidRPr="005B626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0FEB">
      <w:t>09.05.17</w:t>
    </w:r>
    <w:r>
      <w:fldChar w:fldCharType="end"/>
    </w:r>
    <w:r w:rsidRPr="005B626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12" w:rsidRDefault="00ED0FEB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olor w:val="0000FF"/>
        <w:sz w:val="18"/>
        <w:szCs w:val="18"/>
        <w:u w:val="single"/>
        <w:lang w:val="en-US"/>
      </w:rPr>
    </w:pPr>
    <w:hyperlink r:id="rId1" w:history="1">
      <w:r w:rsidR="00354512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12" w:rsidRDefault="00354512" w:rsidP="00E54FD2">
      <w:pPr>
        <w:spacing w:before="0"/>
      </w:pPr>
      <w:r>
        <w:separator/>
      </w:r>
    </w:p>
  </w:footnote>
  <w:footnote w:type="continuationSeparator" w:id="0">
    <w:p w:rsidR="00354512" w:rsidRDefault="00354512" w:rsidP="00E54FD2">
      <w:pPr>
        <w:spacing w:before="0"/>
      </w:pPr>
      <w:r>
        <w:continuationSeparator/>
      </w:r>
    </w:p>
  </w:footnote>
  <w:footnote w:id="1">
    <w:p w:rsidR="00F3668D" w:rsidRPr="00A772F1" w:rsidRDefault="00F3668D" w:rsidP="00A772F1">
      <w:pPr>
        <w:pStyle w:val="FootnoteText"/>
        <w:rPr>
          <w:rFonts w:eastAsiaTheme="minorEastAsia"/>
        </w:rPr>
      </w:pPr>
      <w:r w:rsidRPr="00CE5059">
        <w:rPr>
          <w:rStyle w:val="FootnoteReference"/>
        </w:rPr>
        <w:footnoteRef/>
      </w:r>
      <w:r w:rsidRPr="00A772F1">
        <w:tab/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2">
    <w:p w:rsidR="00F3668D" w:rsidRPr="00A772F1" w:rsidRDefault="00F3668D" w:rsidP="00A772F1">
      <w:pPr>
        <w:pStyle w:val="FootnoteText"/>
      </w:pPr>
      <w:r w:rsidRPr="007C1235">
        <w:rPr>
          <w:rStyle w:val="FootnoteReference"/>
        </w:rPr>
        <w:footnoteRef/>
      </w:r>
      <w:bookmarkStart w:id="72" w:name="lt_pId607"/>
      <w:r w:rsidRPr="00A772F1">
        <w:rPr>
          <w:rStyle w:val="FootnoteReference"/>
        </w:rPr>
        <w:tab/>
      </w:r>
      <w:bookmarkEnd w:id="72"/>
      <w:r w:rsidRPr="00A772F1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12" w:rsidRPr="00701E31" w:rsidRDefault="00354512" w:rsidP="00571333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17(</w:t>
    </w:r>
    <w:proofErr w:type="spellStart"/>
    <w:r>
      <w:rPr>
        <w:szCs w:val="22"/>
        <w:lang w:val="en-US"/>
      </w:rPr>
      <w:t>Rev.</w:t>
    </w:r>
    <w:proofErr w:type="gramStart"/>
    <w:r>
      <w:rPr>
        <w:szCs w:val="22"/>
        <w:lang w:val="en-US"/>
      </w:rPr>
      <w:t>1</w:t>
    </w:r>
    <w:proofErr w:type="spellEnd"/>
    <w:r>
      <w:rPr>
        <w:szCs w:val="22"/>
        <w:lang w:val="en-US"/>
      </w:rPr>
      <w:t>)</w:t>
    </w:r>
    <w:r w:rsidRPr="00701E31">
      <w:rPr>
        <w:szCs w:val="22"/>
      </w:rPr>
      <w:t>-</w:t>
    </w:r>
    <w:proofErr w:type="gramEnd"/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ED0FEB">
      <w:rPr>
        <w:rStyle w:val="PageNumber"/>
        <w:noProof/>
        <w:szCs w:val="22"/>
      </w:rPr>
      <w:t>27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1AAF"/>
    <w:multiLevelType w:val="hybridMultilevel"/>
    <w:tmpl w:val="79DA0E7E"/>
    <w:lvl w:ilvl="0" w:tplc="000AF4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760CF"/>
    <w:multiLevelType w:val="hybridMultilevel"/>
    <w:tmpl w:val="69BCE4EC"/>
    <w:lvl w:ilvl="0" w:tplc="588ED8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27B9C"/>
    <w:rsid w:val="000451F7"/>
    <w:rsid w:val="00074764"/>
    <w:rsid w:val="000C4218"/>
    <w:rsid w:val="000C75C2"/>
    <w:rsid w:val="000D4706"/>
    <w:rsid w:val="00107E03"/>
    <w:rsid w:val="00111662"/>
    <w:rsid w:val="00113EFA"/>
    <w:rsid w:val="00131631"/>
    <w:rsid w:val="00134099"/>
    <w:rsid w:val="00134D3C"/>
    <w:rsid w:val="00185159"/>
    <w:rsid w:val="001908F2"/>
    <w:rsid w:val="00191479"/>
    <w:rsid w:val="001B1242"/>
    <w:rsid w:val="001B249C"/>
    <w:rsid w:val="001D17C0"/>
    <w:rsid w:val="001E3E78"/>
    <w:rsid w:val="001E4B5D"/>
    <w:rsid w:val="001F3B23"/>
    <w:rsid w:val="00202D0A"/>
    <w:rsid w:val="00204F16"/>
    <w:rsid w:val="00212DB8"/>
    <w:rsid w:val="002218D3"/>
    <w:rsid w:val="002236F8"/>
    <w:rsid w:val="00257C2C"/>
    <w:rsid w:val="00264956"/>
    <w:rsid w:val="00264EA1"/>
    <w:rsid w:val="00270876"/>
    <w:rsid w:val="002717CC"/>
    <w:rsid w:val="00272379"/>
    <w:rsid w:val="002749D3"/>
    <w:rsid w:val="00275C80"/>
    <w:rsid w:val="00285A75"/>
    <w:rsid w:val="00291FC8"/>
    <w:rsid w:val="0029207B"/>
    <w:rsid w:val="002A701D"/>
    <w:rsid w:val="002A7AC1"/>
    <w:rsid w:val="002B02C4"/>
    <w:rsid w:val="002B06EE"/>
    <w:rsid w:val="002D0E0D"/>
    <w:rsid w:val="002F0685"/>
    <w:rsid w:val="00301BF1"/>
    <w:rsid w:val="00312BB2"/>
    <w:rsid w:val="00314522"/>
    <w:rsid w:val="00315106"/>
    <w:rsid w:val="00316454"/>
    <w:rsid w:val="00316A9F"/>
    <w:rsid w:val="00320BC1"/>
    <w:rsid w:val="0033092A"/>
    <w:rsid w:val="00330EE9"/>
    <w:rsid w:val="00350F2C"/>
    <w:rsid w:val="00354512"/>
    <w:rsid w:val="00365F78"/>
    <w:rsid w:val="00366978"/>
    <w:rsid w:val="003745B7"/>
    <w:rsid w:val="00384AE1"/>
    <w:rsid w:val="0039140E"/>
    <w:rsid w:val="00394AF8"/>
    <w:rsid w:val="003A294B"/>
    <w:rsid w:val="003B524D"/>
    <w:rsid w:val="003C6E83"/>
    <w:rsid w:val="003D347D"/>
    <w:rsid w:val="003E6E87"/>
    <w:rsid w:val="00422053"/>
    <w:rsid w:val="00434DE8"/>
    <w:rsid w:val="0043778F"/>
    <w:rsid w:val="00446192"/>
    <w:rsid w:val="00457F3C"/>
    <w:rsid w:val="00464487"/>
    <w:rsid w:val="00465350"/>
    <w:rsid w:val="00473168"/>
    <w:rsid w:val="00492670"/>
    <w:rsid w:val="004A28D7"/>
    <w:rsid w:val="004A465F"/>
    <w:rsid w:val="004A5AD9"/>
    <w:rsid w:val="004D586E"/>
    <w:rsid w:val="004E4490"/>
    <w:rsid w:val="004E5E4C"/>
    <w:rsid w:val="00516AD8"/>
    <w:rsid w:val="0052616E"/>
    <w:rsid w:val="005374E6"/>
    <w:rsid w:val="00556A0B"/>
    <w:rsid w:val="00571333"/>
    <w:rsid w:val="0057626C"/>
    <w:rsid w:val="00584F07"/>
    <w:rsid w:val="005A24A9"/>
    <w:rsid w:val="005B626B"/>
    <w:rsid w:val="005B772A"/>
    <w:rsid w:val="005E6797"/>
    <w:rsid w:val="00616E4C"/>
    <w:rsid w:val="00617879"/>
    <w:rsid w:val="00624B70"/>
    <w:rsid w:val="00640068"/>
    <w:rsid w:val="00655923"/>
    <w:rsid w:val="00665249"/>
    <w:rsid w:val="006959EE"/>
    <w:rsid w:val="006A06C1"/>
    <w:rsid w:val="006C68C7"/>
    <w:rsid w:val="006F4F18"/>
    <w:rsid w:val="00701C5C"/>
    <w:rsid w:val="00701E31"/>
    <w:rsid w:val="00703328"/>
    <w:rsid w:val="00704FE1"/>
    <w:rsid w:val="007057B4"/>
    <w:rsid w:val="00716B02"/>
    <w:rsid w:val="0071703E"/>
    <w:rsid w:val="00723396"/>
    <w:rsid w:val="007237E5"/>
    <w:rsid w:val="007275E8"/>
    <w:rsid w:val="00756581"/>
    <w:rsid w:val="00761FF8"/>
    <w:rsid w:val="00766FCB"/>
    <w:rsid w:val="00767334"/>
    <w:rsid w:val="007678E4"/>
    <w:rsid w:val="007B1EFA"/>
    <w:rsid w:val="007B2583"/>
    <w:rsid w:val="007C1235"/>
    <w:rsid w:val="007D46AE"/>
    <w:rsid w:val="007E32F1"/>
    <w:rsid w:val="007E551D"/>
    <w:rsid w:val="00805856"/>
    <w:rsid w:val="008112E9"/>
    <w:rsid w:val="00816E86"/>
    <w:rsid w:val="0084197D"/>
    <w:rsid w:val="00850181"/>
    <w:rsid w:val="008503A9"/>
    <w:rsid w:val="008522AD"/>
    <w:rsid w:val="00853BF4"/>
    <w:rsid w:val="008609B2"/>
    <w:rsid w:val="00870DB6"/>
    <w:rsid w:val="00875722"/>
    <w:rsid w:val="008B20D9"/>
    <w:rsid w:val="008B546D"/>
    <w:rsid w:val="008B7779"/>
    <w:rsid w:val="008C576E"/>
    <w:rsid w:val="008D701F"/>
    <w:rsid w:val="008F040B"/>
    <w:rsid w:val="008F2AC7"/>
    <w:rsid w:val="00906564"/>
    <w:rsid w:val="009135D3"/>
    <w:rsid w:val="00916B10"/>
    <w:rsid w:val="009224F7"/>
    <w:rsid w:val="00944635"/>
    <w:rsid w:val="009703B5"/>
    <w:rsid w:val="00980336"/>
    <w:rsid w:val="00981F7E"/>
    <w:rsid w:val="00984424"/>
    <w:rsid w:val="00986E95"/>
    <w:rsid w:val="0098778D"/>
    <w:rsid w:val="009939B1"/>
    <w:rsid w:val="00995E04"/>
    <w:rsid w:val="009963F2"/>
    <w:rsid w:val="009A2CB8"/>
    <w:rsid w:val="009C5B8E"/>
    <w:rsid w:val="009E3921"/>
    <w:rsid w:val="00A04F7D"/>
    <w:rsid w:val="00A06A0E"/>
    <w:rsid w:val="00A202E8"/>
    <w:rsid w:val="00A20B77"/>
    <w:rsid w:val="00A2139C"/>
    <w:rsid w:val="00A22AC5"/>
    <w:rsid w:val="00A30897"/>
    <w:rsid w:val="00A44602"/>
    <w:rsid w:val="00A53F84"/>
    <w:rsid w:val="00A64F9D"/>
    <w:rsid w:val="00A73D91"/>
    <w:rsid w:val="00A761C8"/>
    <w:rsid w:val="00A76DDB"/>
    <w:rsid w:val="00A81471"/>
    <w:rsid w:val="00AA1C35"/>
    <w:rsid w:val="00AA2F24"/>
    <w:rsid w:val="00AA42F8"/>
    <w:rsid w:val="00AC2E0E"/>
    <w:rsid w:val="00AC6023"/>
    <w:rsid w:val="00AD2BB1"/>
    <w:rsid w:val="00AE0BB7"/>
    <w:rsid w:val="00AE1BA7"/>
    <w:rsid w:val="00AE495D"/>
    <w:rsid w:val="00B0299D"/>
    <w:rsid w:val="00B159C0"/>
    <w:rsid w:val="00B222FE"/>
    <w:rsid w:val="00B50753"/>
    <w:rsid w:val="00B52E6E"/>
    <w:rsid w:val="00B5352C"/>
    <w:rsid w:val="00B631A4"/>
    <w:rsid w:val="00B64879"/>
    <w:rsid w:val="00B726C0"/>
    <w:rsid w:val="00B75868"/>
    <w:rsid w:val="00B76B87"/>
    <w:rsid w:val="00B93ACF"/>
    <w:rsid w:val="00B961AF"/>
    <w:rsid w:val="00BA252E"/>
    <w:rsid w:val="00BA64D4"/>
    <w:rsid w:val="00BC01D1"/>
    <w:rsid w:val="00BC3F8D"/>
    <w:rsid w:val="00BC64AF"/>
    <w:rsid w:val="00BD7A1A"/>
    <w:rsid w:val="00BE2CA1"/>
    <w:rsid w:val="00BF4425"/>
    <w:rsid w:val="00C00253"/>
    <w:rsid w:val="00C4431B"/>
    <w:rsid w:val="00C62E82"/>
    <w:rsid w:val="00C70CC0"/>
    <w:rsid w:val="00C71A6F"/>
    <w:rsid w:val="00C732C8"/>
    <w:rsid w:val="00C84CCD"/>
    <w:rsid w:val="00CB453E"/>
    <w:rsid w:val="00CC10FA"/>
    <w:rsid w:val="00CD31C3"/>
    <w:rsid w:val="00CD34AE"/>
    <w:rsid w:val="00CE1C1E"/>
    <w:rsid w:val="00CE37A1"/>
    <w:rsid w:val="00CE5059"/>
    <w:rsid w:val="00CE5E7B"/>
    <w:rsid w:val="00CF5991"/>
    <w:rsid w:val="00D02C59"/>
    <w:rsid w:val="00D030CC"/>
    <w:rsid w:val="00D16175"/>
    <w:rsid w:val="00D500D5"/>
    <w:rsid w:val="00D51201"/>
    <w:rsid w:val="00D51B65"/>
    <w:rsid w:val="00D57834"/>
    <w:rsid w:val="00D60523"/>
    <w:rsid w:val="00D712FE"/>
    <w:rsid w:val="00D723BE"/>
    <w:rsid w:val="00D923CD"/>
    <w:rsid w:val="00D93FCC"/>
    <w:rsid w:val="00D96474"/>
    <w:rsid w:val="00DA4610"/>
    <w:rsid w:val="00DD19E1"/>
    <w:rsid w:val="00DD5D8C"/>
    <w:rsid w:val="00DF4175"/>
    <w:rsid w:val="00E06A7D"/>
    <w:rsid w:val="00E07760"/>
    <w:rsid w:val="00E17E1E"/>
    <w:rsid w:val="00E30170"/>
    <w:rsid w:val="00E3353C"/>
    <w:rsid w:val="00E36AC0"/>
    <w:rsid w:val="00E43B5C"/>
    <w:rsid w:val="00E45363"/>
    <w:rsid w:val="00E46265"/>
    <w:rsid w:val="00E47166"/>
    <w:rsid w:val="00E5480A"/>
    <w:rsid w:val="00E54FD2"/>
    <w:rsid w:val="00E71DBC"/>
    <w:rsid w:val="00E73464"/>
    <w:rsid w:val="00E82D31"/>
    <w:rsid w:val="00E83502"/>
    <w:rsid w:val="00E96AF8"/>
    <w:rsid w:val="00EB2EDA"/>
    <w:rsid w:val="00EC2114"/>
    <w:rsid w:val="00ED0FEB"/>
    <w:rsid w:val="00ED74E4"/>
    <w:rsid w:val="00EE11A2"/>
    <w:rsid w:val="00EE153D"/>
    <w:rsid w:val="00F01EC0"/>
    <w:rsid w:val="00F12C88"/>
    <w:rsid w:val="00F24A33"/>
    <w:rsid w:val="00F34675"/>
    <w:rsid w:val="00F356E6"/>
    <w:rsid w:val="00F3668D"/>
    <w:rsid w:val="00F41E9C"/>
    <w:rsid w:val="00F72A94"/>
    <w:rsid w:val="00F746B3"/>
    <w:rsid w:val="00F92B51"/>
    <w:rsid w:val="00F94E28"/>
    <w:rsid w:val="00F961B7"/>
    <w:rsid w:val="00FA2BC3"/>
    <w:rsid w:val="00FA3C3A"/>
    <w:rsid w:val="00FB0FD9"/>
    <w:rsid w:val="00FB2048"/>
    <w:rsid w:val="00FC1008"/>
    <w:rsid w:val="00FC5ABC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453E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453E"/>
    <w:pPr>
      <w:spacing w:before="320"/>
      <w:outlineLvl w:val="1"/>
    </w:pPr>
    <w:rPr>
      <w:rFonts w:cs="Times New Roman Bold"/>
      <w:bCs/>
      <w:sz w:val="22"/>
      <w:szCs w:val="22"/>
    </w:rPr>
  </w:style>
  <w:style w:type="paragraph" w:styleId="Heading3">
    <w:name w:val="heading 3"/>
    <w:basedOn w:val="Heading1"/>
    <w:next w:val="Normal"/>
    <w:link w:val="Heading3Char"/>
    <w:qFormat/>
    <w:rsid w:val="00CB453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EB2EDA"/>
    <w:pPr>
      <w:spacing w:before="80"/>
      <w:ind w:left="567" w:hanging="567"/>
    </w:pPr>
  </w:style>
  <w:style w:type="paragraph" w:customStyle="1" w:styleId="enumlev2">
    <w:name w:val="enumlev2"/>
    <w:basedOn w:val="enumlev1"/>
    <w:link w:val="enumlev2Char"/>
    <w:qFormat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B453E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B453E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B453E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CB453E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AA2F24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C70CC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E5E4C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EB2EDA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enumlev2Char">
    <w:name w:val="enumlev2 Char"/>
    <w:link w:val="enumlev2"/>
    <w:locked/>
    <w:rsid w:val="00E07760"/>
    <w:rPr>
      <w:rFonts w:ascii="Calibri" w:eastAsia="Times New Roman" w:hAnsi="Calibri" w:cs="Times New Roman"/>
      <w:szCs w:val="20"/>
      <w:lang w:val="ru-RU" w:eastAsia="en-US"/>
    </w:rPr>
  </w:style>
  <w:style w:type="paragraph" w:customStyle="1" w:styleId="CEOHeading1">
    <w:name w:val="CEO_Heading 1"/>
    <w:basedOn w:val="Normal"/>
    <w:next w:val="Normal"/>
    <w:rsid w:val="00DF4175"/>
    <w:pPr>
      <w:pBdr>
        <w:bottom w:val="single" w:sz="12" w:space="1" w:color="auto"/>
      </w:pBd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b/>
      <w:bCs/>
      <w:sz w:val="18"/>
      <w:lang w:val="fr-CH"/>
    </w:rPr>
  </w:style>
  <w:style w:type="table" w:customStyle="1" w:styleId="TableGrid2">
    <w:name w:val="Table Grid2"/>
    <w:basedOn w:val="TableNormal"/>
    <w:next w:val="TableGrid"/>
    <w:uiPriority w:val="59"/>
    <w:rsid w:val="00701C5C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CF599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961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61AF"/>
    <w:rPr>
      <w:rFonts w:eastAsia="Times New Roman" w:cs="Times New Roman"/>
      <w:sz w:val="24"/>
      <w:szCs w:val="20"/>
      <w:lang w:val="en-GB" w:eastAsia="en-US"/>
    </w:rPr>
  </w:style>
  <w:style w:type="paragraph" w:customStyle="1" w:styleId="CEONormal">
    <w:name w:val="CEO_Normal"/>
    <w:link w:val="CEONormalChar"/>
    <w:rsid w:val="00CE5059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CE5059"/>
    <w:rPr>
      <w:rFonts w:ascii="Verdana" w:eastAsia="SimSun" w:hAnsi="Verdana" w:cs="Times New Roman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4-TDAG22-C-0039/en" TargetMode="External"/><Relationship Id="rId18" Type="http://schemas.openxmlformats.org/officeDocument/2006/relationships/hyperlink" Target="https://www.itu.int/md/D14-RPMASP-C-0036/" TargetMode="External"/><Relationship Id="rId26" Type="http://schemas.openxmlformats.org/officeDocument/2006/relationships/hyperlink" Target="https://www.itu.int/md/D14-RPMASP-C-0036/" TargetMode="External"/><Relationship Id="rId39" Type="http://schemas.openxmlformats.org/officeDocument/2006/relationships/hyperlink" Target="http://www.itu.int/md/D14-RPMAMS-C-0009/en" TargetMode="External"/><Relationship Id="rId21" Type="http://schemas.openxmlformats.org/officeDocument/2006/relationships/hyperlink" Target="https://www.itu.int/md/D14-TDAG22-C-0043/en" TargetMode="External"/><Relationship Id="rId34" Type="http://schemas.openxmlformats.org/officeDocument/2006/relationships/hyperlink" Target="http://www.itu.int/md/D14-RPMAMS-C-0008/en" TargetMode="External"/><Relationship Id="rId42" Type="http://schemas.openxmlformats.org/officeDocument/2006/relationships/hyperlink" Target="https://www.itu.int/md/D14-TDAG21-C-0031/" TargetMode="External"/><Relationship Id="rId47" Type="http://schemas.openxmlformats.org/officeDocument/2006/relationships/hyperlink" Target="http://www.itu.int/md/D14-RPMAFR-C-0010/en" TargetMode="External"/><Relationship Id="rId50" Type="http://schemas.openxmlformats.org/officeDocument/2006/relationships/hyperlink" Target="http://www.itu.int/md/D14-RPMASP-C-0010/en" TargetMode="External"/><Relationship Id="rId55" Type="http://schemas.openxmlformats.org/officeDocument/2006/relationships/hyperlink" Target="http://www.itu.int/md/D14-RPMAMS-C-0011/e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RPMAMS-C-0041/" TargetMode="External"/><Relationship Id="rId20" Type="http://schemas.openxmlformats.org/officeDocument/2006/relationships/hyperlink" Target="https://www.itu.int/md/D14-RPMEUR-C-0038/" TargetMode="External"/><Relationship Id="rId29" Type="http://schemas.openxmlformats.org/officeDocument/2006/relationships/hyperlink" Target="http://www.itu.int/md/D14-RPMAMS-C-0007/en" TargetMode="External"/><Relationship Id="rId41" Type="http://schemas.openxmlformats.org/officeDocument/2006/relationships/hyperlink" Target="http://www.itu.int/md/D14-RPMEUR-C-0009/en" TargetMode="External"/><Relationship Id="rId54" Type="http://schemas.openxmlformats.org/officeDocument/2006/relationships/hyperlink" Target="http://www.itu.int/md/D14-RPMARB-C-0011/en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TDAG22-C-0038/en" TargetMode="External"/><Relationship Id="rId24" Type="http://schemas.openxmlformats.org/officeDocument/2006/relationships/hyperlink" Target="https://www.itu.int/md/D14-RPMARB-C-0046/" TargetMode="External"/><Relationship Id="rId32" Type="http://schemas.openxmlformats.org/officeDocument/2006/relationships/hyperlink" Target="http://www.itu.int/md/D14-RPMAFR-C-0008/en" TargetMode="External"/><Relationship Id="rId37" Type="http://schemas.openxmlformats.org/officeDocument/2006/relationships/hyperlink" Target="http://www.itu.int/md/D14-RPMAFR-C-0009/en" TargetMode="External"/><Relationship Id="rId40" Type="http://schemas.openxmlformats.org/officeDocument/2006/relationships/hyperlink" Target="http://www.itu.int/md/D14-RPMASP-C-0009/en" TargetMode="External"/><Relationship Id="rId45" Type="http://schemas.openxmlformats.org/officeDocument/2006/relationships/hyperlink" Target="https://www.itu.int/md/D14-RPMASP-170321-TD-0005/en" TargetMode="External"/><Relationship Id="rId53" Type="http://schemas.openxmlformats.org/officeDocument/2006/relationships/hyperlink" Target="http://www.itu.int/md/D14-RPMAFR-C-0011/en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4-TDAG22-C-0040/en" TargetMode="External"/><Relationship Id="rId23" Type="http://schemas.openxmlformats.org/officeDocument/2006/relationships/hyperlink" Target="https://www.itu.int/md/D14-RPMAFR-C-0025/" TargetMode="External"/><Relationship Id="rId28" Type="http://schemas.openxmlformats.org/officeDocument/2006/relationships/hyperlink" Target="http://www.itu.int/md/D14-RPMARB-C-0007/en" TargetMode="External"/><Relationship Id="rId36" Type="http://schemas.openxmlformats.org/officeDocument/2006/relationships/hyperlink" Target="http://www.itu.int/md/D14-RPMEUR-C-0008/en" TargetMode="External"/><Relationship Id="rId49" Type="http://schemas.openxmlformats.org/officeDocument/2006/relationships/hyperlink" Target="http://www.itu.int/md/D14-RPMAMS-C-0010/en" TargetMode="External"/><Relationship Id="rId57" Type="http://schemas.openxmlformats.org/officeDocument/2006/relationships/hyperlink" Target="http://www.itu.int/md/D14-RPMEUR-C-0011/en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itu.int/md/D14-RPMCIS-C-0044/" TargetMode="External"/><Relationship Id="rId19" Type="http://schemas.openxmlformats.org/officeDocument/2006/relationships/hyperlink" Target="https://www.itu.int/md/D14-TDAG22-C-0042/en" TargetMode="External"/><Relationship Id="rId31" Type="http://schemas.openxmlformats.org/officeDocument/2006/relationships/hyperlink" Target="http://www.itu.int/md/D14-RPMEUR-C-0007/en" TargetMode="External"/><Relationship Id="rId44" Type="http://schemas.openxmlformats.org/officeDocument/2006/relationships/hyperlink" Target="https://www.itu.int/md/D14-RPMAMS-C-0041/en" TargetMode="External"/><Relationship Id="rId52" Type="http://schemas.openxmlformats.org/officeDocument/2006/relationships/hyperlink" Target="https://www.itu.int/md/D14-TDAG22-C-0038/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4-RPMARB-C-0046/" TargetMode="External"/><Relationship Id="rId22" Type="http://schemas.openxmlformats.org/officeDocument/2006/relationships/hyperlink" Target="https://www.itu.int/md/D14-RPMCIS-C-0044/" TargetMode="External"/><Relationship Id="rId27" Type="http://schemas.openxmlformats.org/officeDocument/2006/relationships/hyperlink" Target="http://www.itu.int/md/D14-RPMAFR-C-0007/en" TargetMode="External"/><Relationship Id="rId30" Type="http://schemas.openxmlformats.org/officeDocument/2006/relationships/hyperlink" Target="http://www.itu.int/md/D14-RPMASP-C-0007/en" TargetMode="External"/><Relationship Id="rId35" Type="http://schemas.openxmlformats.org/officeDocument/2006/relationships/hyperlink" Target="http://www.itu.int/md/D14-RPMASP-C-0008/en" TargetMode="External"/><Relationship Id="rId43" Type="http://schemas.openxmlformats.org/officeDocument/2006/relationships/hyperlink" Target="http://www.itu.int/md/D14-RPMCIS-C-0026/en" TargetMode="External"/><Relationship Id="rId48" Type="http://schemas.openxmlformats.org/officeDocument/2006/relationships/hyperlink" Target="http://www.itu.int/md/D14-RPMARB-C-0010/en" TargetMode="External"/><Relationship Id="rId56" Type="http://schemas.openxmlformats.org/officeDocument/2006/relationships/hyperlink" Target="http://www.itu.int/md/D14-RPMASP-C-0011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md/D14-RPMEUR-C-0010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D14-RPMAFR-C-0025" TargetMode="External"/><Relationship Id="rId17" Type="http://schemas.openxmlformats.org/officeDocument/2006/relationships/hyperlink" Target="https://www.itu.int/md/D14-TDAG22-C-0041/en" TargetMode="External"/><Relationship Id="rId25" Type="http://schemas.openxmlformats.org/officeDocument/2006/relationships/hyperlink" Target="https://www.itu.int/md/D14-RPMAMS-C-0041/" TargetMode="External"/><Relationship Id="rId33" Type="http://schemas.openxmlformats.org/officeDocument/2006/relationships/hyperlink" Target="http://www.itu.int/md/D14-RPMARB-C-0008/en" TargetMode="External"/><Relationship Id="rId38" Type="http://schemas.openxmlformats.org/officeDocument/2006/relationships/hyperlink" Target="http://www.itu.int/md/D14-RPMARB-C-0009/en" TargetMode="External"/><Relationship Id="rId46" Type="http://schemas.openxmlformats.org/officeDocument/2006/relationships/hyperlink" Target="https://www.itu.int/md/D14-TDAG22-170509-TD-0006/en" TargetMode="External"/><Relationship Id="rId5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6E18-DF23-4497-9E77-D697613A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30</Pages>
  <Words>11929</Words>
  <Characters>67999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79769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Gribkova, Anna</dc:creator>
  <cp:keywords/>
  <dc:description/>
  <cp:lastModifiedBy>Maloletkova, Svetlana</cp:lastModifiedBy>
  <cp:revision>5</cp:revision>
  <cp:lastPrinted>2017-05-09T13:47:00Z</cp:lastPrinted>
  <dcterms:created xsi:type="dcterms:W3CDTF">2017-05-09T14:54:00Z</dcterms:created>
  <dcterms:modified xsi:type="dcterms:W3CDTF">2017-05-09T16:29:00Z</dcterms:modified>
</cp:coreProperties>
</file>