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FA509F">
        <w:tc>
          <w:tcPr>
            <w:tcW w:w="7069" w:type="dxa"/>
            <w:gridSpan w:val="2"/>
          </w:tcPr>
          <w:p w:rsidR="002D6488" w:rsidRPr="00AA6BF1" w:rsidRDefault="002D6488" w:rsidP="00584424">
            <w:pPr>
              <w:pStyle w:val="Committee"/>
              <w:bidi/>
              <w:spacing w:before="0" w:after="0"/>
              <w:rPr>
                <w:rtl/>
                <w:lang w:val="en-US" w:bidi="ar-EG"/>
              </w:rPr>
            </w:pPr>
          </w:p>
        </w:tc>
        <w:tc>
          <w:tcPr>
            <w:tcW w:w="2570" w:type="dxa"/>
          </w:tcPr>
          <w:p w:rsidR="002D6488" w:rsidRPr="002D6488" w:rsidRDefault="002D6488" w:rsidP="00584424">
            <w:pPr>
              <w:spacing w:before="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4565AA">
              <w:rPr>
                <w:b/>
                <w:bCs/>
                <w:lang w:bidi="ar-EG"/>
              </w:rPr>
              <w:t>22</w:t>
            </w:r>
            <w:r w:rsidR="00D94196">
              <w:rPr>
                <w:b/>
                <w:bCs/>
                <w:lang w:bidi="ar-EG"/>
              </w:rPr>
              <w:t>-A</w:t>
            </w:r>
          </w:p>
        </w:tc>
      </w:tr>
      <w:tr w:rsidR="002D6488" w:rsidTr="00FA509F">
        <w:tc>
          <w:tcPr>
            <w:tcW w:w="7069" w:type="dxa"/>
            <w:gridSpan w:val="2"/>
          </w:tcPr>
          <w:p w:rsidR="002D6488" w:rsidRPr="002D6488" w:rsidRDefault="002D6488" w:rsidP="00584424">
            <w:pPr>
              <w:spacing w:before="0" w:line="340" w:lineRule="exact"/>
              <w:rPr>
                <w:b/>
                <w:bCs/>
                <w:rtl/>
                <w:lang w:bidi="ar-EG"/>
              </w:rPr>
            </w:pPr>
          </w:p>
        </w:tc>
        <w:tc>
          <w:tcPr>
            <w:tcW w:w="2570" w:type="dxa"/>
          </w:tcPr>
          <w:p w:rsidR="002D6488" w:rsidRPr="002D6488" w:rsidRDefault="004565AA" w:rsidP="00584424">
            <w:pPr>
              <w:spacing w:before="0" w:line="340" w:lineRule="exact"/>
              <w:rPr>
                <w:b/>
                <w:bCs/>
                <w:rtl/>
                <w:lang w:bidi="ar-EG"/>
              </w:rPr>
            </w:pPr>
            <w:r>
              <w:rPr>
                <w:b/>
                <w:bCs/>
                <w:lang w:bidi="ar-EG"/>
              </w:rPr>
              <w:t>14</w:t>
            </w:r>
            <w:r w:rsidRPr="00B40798">
              <w:rPr>
                <w:rFonts w:hint="cs"/>
                <w:b/>
                <w:bCs/>
                <w:rtl/>
                <w:lang w:bidi="ar-EG"/>
              </w:rPr>
              <w:t xml:space="preserve"> مارس </w:t>
            </w:r>
            <w:r w:rsidRPr="00B40798">
              <w:rPr>
                <w:b/>
                <w:bCs/>
                <w:lang w:bidi="ar-EG"/>
              </w:rPr>
              <w:t>2017</w:t>
            </w:r>
          </w:p>
        </w:tc>
      </w:tr>
      <w:tr w:rsidR="002D6488" w:rsidTr="00FA509F">
        <w:tc>
          <w:tcPr>
            <w:tcW w:w="7069" w:type="dxa"/>
            <w:gridSpan w:val="2"/>
          </w:tcPr>
          <w:p w:rsidR="002D6488" w:rsidRPr="002D6488" w:rsidRDefault="002D6488" w:rsidP="00584424">
            <w:pPr>
              <w:spacing w:before="0" w:line="340" w:lineRule="exact"/>
              <w:rPr>
                <w:b/>
                <w:bCs/>
                <w:rtl/>
                <w:lang w:bidi="ar-EG"/>
              </w:rPr>
            </w:pPr>
          </w:p>
        </w:tc>
        <w:tc>
          <w:tcPr>
            <w:tcW w:w="2570" w:type="dxa"/>
          </w:tcPr>
          <w:p w:rsidR="002D6488" w:rsidRPr="002D6488" w:rsidRDefault="002D6488" w:rsidP="00584424">
            <w:pPr>
              <w:spacing w:before="0" w:line="340" w:lineRule="exact"/>
              <w:rPr>
                <w:b/>
                <w:bCs/>
                <w:rtl/>
                <w:lang w:bidi="ar-EG"/>
              </w:rPr>
            </w:pPr>
            <w:r w:rsidRPr="002D6488">
              <w:rPr>
                <w:rFonts w:hint="cs"/>
                <w:b/>
                <w:bCs/>
                <w:rtl/>
                <w:lang w:bidi="ar-EG"/>
              </w:rPr>
              <w:t>الأصل: بالإنكليزية</w:t>
            </w:r>
          </w:p>
        </w:tc>
      </w:tr>
      <w:tr w:rsidR="002D6488" w:rsidTr="00FA509F">
        <w:tc>
          <w:tcPr>
            <w:tcW w:w="7069" w:type="dxa"/>
            <w:gridSpan w:val="2"/>
          </w:tcPr>
          <w:p w:rsidR="002D6488" w:rsidRPr="002D6488" w:rsidRDefault="002D6488" w:rsidP="00707FC4">
            <w:pPr>
              <w:spacing w:before="0" w:line="200" w:lineRule="exact"/>
              <w:rPr>
                <w:b/>
                <w:bCs/>
                <w:rtl/>
                <w:lang w:bidi="ar-EG"/>
              </w:rPr>
            </w:pPr>
          </w:p>
        </w:tc>
        <w:tc>
          <w:tcPr>
            <w:tcW w:w="2570" w:type="dxa"/>
          </w:tcPr>
          <w:p w:rsidR="002D6488" w:rsidRDefault="002D6488" w:rsidP="00707FC4">
            <w:pPr>
              <w:spacing w:before="0" w:line="200" w:lineRule="exact"/>
              <w:rPr>
                <w:rtl/>
                <w:lang w:bidi="ar-EG"/>
              </w:rPr>
            </w:pPr>
          </w:p>
        </w:tc>
      </w:tr>
      <w:tr w:rsidR="002D6488" w:rsidTr="004E20B0">
        <w:tc>
          <w:tcPr>
            <w:tcW w:w="9639" w:type="dxa"/>
            <w:gridSpan w:val="3"/>
          </w:tcPr>
          <w:p w:rsidR="002D6488" w:rsidRDefault="004565AA" w:rsidP="00707FC4">
            <w:pPr>
              <w:pStyle w:val="Source"/>
              <w:rPr>
                <w:rFonts w:hint="cs"/>
                <w:rtl/>
              </w:rPr>
            </w:pPr>
            <w:r w:rsidRPr="00F50D3C">
              <w:rPr>
                <w:rtl/>
                <w:lang w:bidi="ar-SA"/>
              </w:rPr>
              <w:t>مدير مكتب تنمية الاتصالات</w:t>
            </w:r>
          </w:p>
        </w:tc>
      </w:tr>
      <w:tr w:rsidR="00707FC4" w:rsidTr="002909CE">
        <w:tc>
          <w:tcPr>
            <w:tcW w:w="9639" w:type="dxa"/>
            <w:gridSpan w:val="3"/>
          </w:tcPr>
          <w:p w:rsidR="00707FC4" w:rsidRDefault="004565AA" w:rsidP="00707FC4">
            <w:pPr>
              <w:pStyle w:val="Title1"/>
              <w:rPr>
                <w:rtl/>
              </w:rPr>
            </w:pPr>
            <w:r w:rsidRPr="00535F30">
              <w:rPr>
                <w:rtl/>
                <w:lang w:bidi="ar-SA"/>
              </w:rPr>
              <w:t>تقرير رئيس الفريق المعني بمبادرات بناء القدرات</w:t>
            </w:r>
            <w:r w:rsidRPr="00535F30">
              <w:rPr>
                <w:rtl/>
                <w:lang w:bidi="ar-SA"/>
              </w:rPr>
              <w:br/>
              <w:t>إلى الفريق الاستشاري لتنمية الاتصالات</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Pr="0056509A" w:rsidRDefault="0056509A" w:rsidP="00042A87">
            <w:pPr>
              <w:tabs>
                <w:tab w:val="clear" w:pos="1134"/>
                <w:tab w:val="left" w:pos="1701"/>
              </w:tabs>
              <w:spacing w:before="160" w:after="60"/>
              <w:rPr>
                <w:b/>
                <w:bCs/>
                <w:rtl/>
                <w:lang w:bidi="ar-EG"/>
              </w:rPr>
            </w:pPr>
            <w:r w:rsidRPr="0056509A">
              <w:rPr>
                <w:rFonts w:hint="cs"/>
                <w:b/>
                <w:bCs/>
                <w:rtl/>
                <w:lang w:bidi="ar-EG"/>
              </w:rPr>
              <w:t>ملخص:</w:t>
            </w:r>
          </w:p>
          <w:p w:rsidR="0056509A" w:rsidRDefault="00F81842" w:rsidP="00AF0FF1">
            <w:pPr>
              <w:tabs>
                <w:tab w:val="clear" w:pos="1134"/>
                <w:tab w:val="left" w:pos="1701"/>
              </w:tabs>
              <w:spacing w:before="60" w:after="60"/>
              <w:rPr>
                <w:rtl/>
                <w:lang w:bidi="ar-EG"/>
              </w:rPr>
            </w:pPr>
            <w:r w:rsidRPr="00042A87">
              <w:rPr>
                <w:spacing w:val="-4"/>
                <w:rtl/>
              </w:rPr>
              <w:t xml:space="preserve">تغطي هذه الوثيقة الأعمال التي يضطلع بها الفريق المعني بمبادرات بناء القدرات </w:t>
            </w:r>
            <w:r w:rsidRPr="00042A87">
              <w:rPr>
                <w:spacing w:val="-4"/>
              </w:rPr>
              <w:t>(GCBI)</w:t>
            </w:r>
            <w:r w:rsidRPr="00042A87">
              <w:rPr>
                <w:spacing w:val="-4"/>
                <w:rtl/>
              </w:rPr>
              <w:t xml:space="preserve"> </w:t>
            </w:r>
            <w:r w:rsidRPr="00042A87">
              <w:rPr>
                <w:rFonts w:hint="cs"/>
                <w:spacing w:val="-4"/>
                <w:rtl/>
              </w:rPr>
              <w:t>بخصوص توجيه ودعم أنشطة الاتحاد المتعلقة ببناء القدرات. وقد أنشئ الفريق بموجب القرار </w:t>
            </w:r>
            <w:r w:rsidRPr="00042A87">
              <w:rPr>
                <w:spacing w:val="-4"/>
              </w:rPr>
              <w:t>40</w:t>
            </w:r>
            <w:r w:rsidRPr="00042A87">
              <w:rPr>
                <w:spacing w:val="-4"/>
                <w:rtl/>
              </w:rPr>
              <w:t xml:space="preserve"> الذي اعتمده المؤتمر العالمي لتنمية الاتصالات لعام </w:t>
            </w:r>
            <w:r w:rsidRPr="00042A87">
              <w:rPr>
                <w:spacing w:val="-4"/>
              </w:rPr>
              <w:t>(WTDC-10)</w:t>
            </w:r>
            <w:r w:rsidR="00AF0FF1">
              <w:rPr>
                <w:spacing w:val="-4"/>
              </w:rPr>
              <w:t> </w:t>
            </w:r>
            <w:r w:rsidR="00AF0FF1" w:rsidRPr="00042A87">
              <w:rPr>
                <w:spacing w:val="-4"/>
              </w:rPr>
              <w:t>2010</w:t>
            </w:r>
            <w:r>
              <w:rPr>
                <w:rtl/>
              </w:rPr>
              <w:t xml:space="preserve"> وروجع في</w:t>
            </w:r>
            <w:r w:rsidR="00AF0FF1">
              <w:rPr>
                <w:rFonts w:hint="cs"/>
                <w:rtl/>
              </w:rPr>
              <w:t> </w:t>
            </w:r>
            <w:r>
              <w:rPr>
                <w:rtl/>
              </w:rPr>
              <w:t>المؤتمر العالمي لتنمية الاتصالات لعام</w:t>
            </w:r>
            <w:r w:rsidR="00C32B14">
              <w:rPr>
                <w:rFonts w:hint="cs"/>
                <w:rtl/>
              </w:rPr>
              <w:t xml:space="preserve"> </w:t>
            </w:r>
            <w:r>
              <w:t>(WTDC-14)</w:t>
            </w:r>
            <w:r w:rsidR="00C32B14">
              <w:t> 2014</w:t>
            </w:r>
            <w:r>
              <w:rPr>
                <w:rtl/>
              </w:rPr>
              <w:t>، بغرض إسداء المشورة إلى مدير مكتب تنمية الاتصالات </w:t>
            </w:r>
            <w:r>
              <w:t>(BDT)</w:t>
            </w:r>
            <w:r>
              <w:rPr>
                <w:rtl/>
              </w:rPr>
              <w:t xml:space="preserve"> بشأن المسائل المتصلة ببناء القدرات.</w:t>
            </w:r>
          </w:p>
          <w:p w:rsidR="0056509A" w:rsidRPr="0056509A" w:rsidRDefault="0056509A" w:rsidP="00042A87">
            <w:pPr>
              <w:tabs>
                <w:tab w:val="clear" w:pos="1134"/>
                <w:tab w:val="left" w:pos="1701"/>
              </w:tabs>
              <w:spacing w:before="160" w:after="60"/>
              <w:rPr>
                <w:b/>
                <w:bCs/>
                <w:rtl/>
                <w:lang w:bidi="ar-EG"/>
              </w:rPr>
            </w:pPr>
            <w:r w:rsidRPr="0056509A">
              <w:rPr>
                <w:rFonts w:hint="cs"/>
                <w:b/>
                <w:bCs/>
                <w:rtl/>
                <w:lang w:bidi="ar-EG"/>
              </w:rPr>
              <w:t>الإجراء المطلوب:</w:t>
            </w:r>
          </w:p>
          <w:p w:rsidR="0056509A" w:rsidRDefault="00F81842" w:rsidP="00042A87">
            <w:pPr>
              <w:tabs>
                <w:tab w:val="clear" w:pos="1134"/>
                <w:tab w:val="left" w:pos="1701"/>
              </w:tabs>
              <w:spacing w:before="60" w:after="60"/>
              <w:rPr>
                <w:rtl/>
                <w:lang w:bidi="ar-EG"/>
              </w:rPr>
            </w:pPr>
            <w:r>
              <w:rPr>
                <w:rtl/>
              </w:rPr>
              <w:t xml:space="preserve">يُرجى من الفريق الاستشاري لتنمية الاتصالات </w:t>
            </w:r>
            <w:r>
              <w:t>(TDAG)</w:t>
            </w:r>
            <w:r>
              <w:rPr>
                <w:rtl/>
              </w:rPr>
              <w:t xml:space="preserve"> الإحاطة علماً بهذا التقرير وتقديم أي توجيهات يراها مناسبة.</w:t>
            </w:r>
          </w:p>
          <w:p w:rsidR="0056509A" w:rsidRPr="0056509A" w:rsidRDefault="0056509A" w:rsidP="00042A87">
            <w:pPr>
              <w:tabs>
                <w:tab w:val="clear" w:pos="1134"/>
                <w:tab w:val="left" w:pos="1701"/>
              </w:tabs>
              <w:spacing w:before="160" w:after="60"/>
              <w:rPr>
                <w:b/>
                <w:bCs/>
                <w:rtl/>
                <w:lang w:bidi="ar-EG"/>
              </w:rPr>
            </w:pPr>
            <w:r w:rsidRPr="0056509A">
              <w:rPr>
                <w:rFonts w:hint="cs"/>
                <w:b/>
                <w:bCs/>
                <w:rtl/>
                <w:lang w:bidi="ar-EG"/>
              </w:rPr>
              <w:t>المراجع:</w:t>
            </w:r>
          </w:p>
          <w:p w:rsidR="00F81842" w:rsidRDefault="00F81842" w:rsidP="00042A87">
            <w:pPr>
              <w:rPr>
                <w:rtl/>
                <w:lang w:bidi="ar-EG"/>
              </w:rPr>
            </w:pPr>
            <w:r>
              <w:rPr>
                <w:spacing w:val="-4"/>
                <w:rtl/>
              </w:rPr>
              <w:t xml:space="preserve">القرار </w:t>
            </w:r>
            <w:r>
              <w:rPr>
                <w:spacing w:val="-4"/>
                <w:lang w:val="fr-CH" w:bidi="ar-SY"/>
              </w:rPr>
              <w:t>40</w:t>
            </w:r>
            <w:r>
              <w:rPr>
                <w:spacing w:val="-4"/>
                <w:rtl/>
                <w:lang w:val="fr-CH" w:bidi="ar-EG"/>
              </w:rPr>
              <w:t xml:space="preserve"> </w:t>
            </w:r>
            <w:r>
              <w:rPr>
                <w:spacing w:val="-4"/>
                <w:rtl/>
              </w:rPr>
              <w:t xml:space="preserve">(المراجَع في دبي، </w:t>
            </w:r>
            <w:r>
              <w:rPr>
                <w:spacing w:val="-4"/>
                <w:lang w:val="fr-CH" w:bidi="ar-SY"/>
              </w:rPr>
              <w:t>2014</w:t>
            </w:r>
            <w:r>
              <w:rPr>
                <w:spacing w:val="-4"/>
                <w:rtl/>
                <w:lang w:bidi="ar-EG"/>
              </w:rPr>
              <w:t xml:space="preserve">) </w:t>
            </w:r>
            <w:r>
              <w:rPr>
                <w:spacing w:val="-4"/>
                <w:rtl/>
              </w:rPr>
              <w:t>للمؤتمر العالمي لتنمية الاتصالا</w:t>
            </w:r>
            <w:r>
              <w:rPr>
                <w:rtl/>
              </w:rPr>
              <w:t>ت، بشأن الفريق المعني بمبادرات بناء القدرات</w:t>
            </w:r>
          </w:p>
          <w:p w:rsidR="00F81842" w:rsidRDefault="00F81842" w:rsidP="00042A87">
            <w:pPr>
              <w:rPr>
                <w:rtl/>
                <w:lang w:bidi="ar-EG"/>
              </w:rPr>
            </w:pPr>
            <w:r>
              <w:rPr>
                <w:rtl/>
                <w:lang w:bidi="ar-EG"/>
              </w:rPr>
              <w:t xml:space="preserve">القرار </w:t>
            </w:r>
            <w:r>
              <w:rPr>
                <w:lang w:bidi="ar-EG"/>
              </w:rPr>
              <w:t>73</w:t>
            </w:r>
            <w:r>
              <w:rPr>
                <w:rtl/>
                <w:lang w:bidi="ar-EG"/>
              </w:rPr>
              <w:t xml:space="preserve"> (المراجَع في دبي، </w:t>
            </w:r>
            <w:r>
              <w:rPr>
                <w:lang w:bidi="ar-EG"/>
              </w:rPr>
              <w:t>2014</w:t>
            </w:r>
            <w:r>
              <w:rPr>
                <w:rtl/>
                <w:lang w:bidi="ar-EG"/>
              </w:rPr>
              <w:t xml:space="preserve">) للمؤتمر العالمي لتنمية الاتصالات لعام </w:t>
            </w:r>
            <w:r>
              <w:rPr>
                <w:lang w:bidi="ar-EG"/>
              </w:rPr>
              <w:t>2014</w:t>
            </w:r>
            <w:r>
              <w:rPr>
                <w:rtl/>
                <w:lang w:bidi="ar-EG"/>
              </w:rPr>
              <w:t>، بشأن مراكز التميز التابعة للاتحاد</w:t>
            </w:r>
          </w:p>
          <w:p w:rsidR="0056509A" w:rsidRDefault="00F81842" w:rsidP="00042A87">
            <w:pPr>
              <w:tabs>
                <w:tab w:val="clear" w:pos="1134"/>
                <w:tab w:val="left" w:pos="1701"/>
              </w:tabs>
              <w:spacing w:before="60" w:after="60"/>
              <w:rPr>
                <w:rtl/>
                <w:lang w:bidi="ar-EG"/>
              </w:rPr>
            </w:pPr>
            <w:r>
              <w:rPr>
                <w:spacing w:val="-6"/>
                <w:rtl/>
              </w:rPr>
              <w:t xml:space="preserve">القرار </w:t>
            </w:r>
            <w:r>
              <w:rPr>
                <w:spacing w:val="-6"/>
              </w:rPr>
              <w:t>169</w:t>
            </w:r>
            <w:r>
              <w:rPr>
                <w:spacing w:val="-6"/>
                <w:rtl/>
                <w:lang w:bidi="ar-EG"/>
              </w:rPr>
              <w:t xml:space="preserve"> (المراجَع في بوسان، </w:t>
            </w:r>
            <w:r>
              <w:rPr>
                <w:spacing w:val="-6"/>
                <w:lang w:bidi="ar-EG"/>
              </w:rPr>
              <w:t>2014</w:t>
            </w:r>
            <w:r>
              <w:rPr>
                <w:spacing w:val="-6"/>
                <w:rtl/>
                <w:lang w:bidi="ar-EG"/>
              </w:rPr>
              <w:t>) لمؤتمر المندوبين المفوضين، بشأن السماح للهيئات الأكاديمية بالمشاركة في أعمال الاتحاد</w:t>
            </w:r>
          </w:p>
          <w:p w:rsidR="0056509A" w:rsidRPr="0056509A" w:rsidRDefault="0056509A" w:rsidP="006E77E7">
            <w:pPr>
              <w:tabs>
                <w:tab w:val="clear" w:pos="1134"/>
                <w:tab w:val="left" w:pos="1701"/>
              </w:tabs>
              <w:spacing w:before="60" w:after="60"/>
              <w:jc w:val="left"/>
              <w:rPr>
                <w:sz w:val="2"/>
                <w:szCs w:val="2"/>
                <w:rtl/>
                <w:lang w:bidi="ar-EG"/>
              </w:rPr>
            </w:pPr>
          </w:p>
        </w:tc>
      </w:tr>
    </w:tbl>
    <w:p w:rsidR="006E77E7" w:rsidRDefault="006E77E7" w:rsidP="008B5B5D">
      <w:pPr>
        <w:rPr>
          <w:rtl/>
          <w:lang w:bidi="ar-EG"/>
        </w:rPr>
      </w:pPr>
      <w:r>
        <w:rPr>
          <w:rtl/>
          <w:lang w:bidi="ar-EG"/>
        </w:rPr>
        <w:br w:type="page"/>
      </w:r>
    </w:p>
    <w:p w:rsidR="00F81842" w:rsidRDefault="00F81842" w:rsidP="00F81842">
      <w:pPr>
        <w:pStyle w:val="Headingb"/>
      </w:pPr>
      <w:r>
        <w:rPr>
          <w:rtl/>
        </w:rPr>
        <w:lastRenderedPageBreak/>
        <w:t>مقدمة</w:t>
      </w:r>
    </w:p>
    <w:p w:rsidR="00F81842" w:rsidRDefault="00F81842" w:rsidP="00042A87">
      <w:pPr>
        <w:rPr>
          <w:rtl/>
          <w:lang w:bidi="ar-EG"/>
        </w:rPr>
      </w:pPr>
      <w:r w:rsidRPr="00BD54C7">
        <w:rPr>
          <w:rFonts w:hint="cs"/>
          <w:rtl/>
          <w:lang w:bidi="ar-EG"/>
        </w:rPr>
        <w:t xml:space="preserve">عقد الفريق </w:t>
      </w:r>
      <w:r>
        <w:rPr>
          <w:rFonts w:hint="cs"/>
          <w:rtl/>
          <w:lang w:bidi="ar-EG"/>
        </w:rPr>
        <w:t xml:space="preserve">المعني بمبادرات بناء القدرات </w:t>
      </w:r>
      <w:r w:rsidR="00042A87" w:rsidRPr="00CB6960">
        <w:rPr>
          <w:szCs w:val="22"/>
          <w:lang w:bidi="ar-EG"/>
        </w:rPr>
        <w:t>(</w:t>
      </w:r>
      <w:r w:rsidRPr="00CB6960">
        <w:rPr>
          <w:rFonts w:asciiTheme="minorHAnsi" w:hAnsiTheme="minorHAnsi"/>
          <w:szCs w:val="22"/>
        </w:rPr>
        <w:t>GCBI</w:t>
      </w:r>
      <w:r w:rsidR="00042A87" w:rsidRPr="00CB6960">
        <w:rPr>
          <w:szCs w:val="22"/>
          <w:lang w:bidi="ar-EG"/>
        </w:rPr>
        <w:t>)</w:t>
      </w:r>
      <w:r>
        <w:rPr>
          <w:rFonts w:hint="cs"/>
          <w:rtl/>
          <w:lang w:bidi="ar-EG"/>
        </w:rPr>
        <w:t xml:space="preserve"> اجتماعه الخامس يوميْ </w:t>
      </w:r>
      <w:r>
        <w:rPr>
          <w:lang w:bidi="ar-EG"/>
        </w:rPr>
        <w:t>8</w:t>
      </w:r>
      <w:r>
        <w:rPr>
          <w:rFonts w:hint="cs"/>
          <w:rtl/>
          <w:lang w:bidi="ar-EG"/>
        </w:rPr>
        <w:t xml:space="preserve"> و</w:t>
      </w:r>
      <w:r>
        <w:rPr>
          <w:lang w:bidi="ar-EG"/>
        </w:rPr>
        <w:t>9</w:t>
      </w:r>
      <w:r>
        <w:rPr>
          <w:rFonts w:hint="cs"/>
          <w:rtl/>
          <w:lang w:bidi="ar-EG"/>
        </w:rPr>
        <w:t xml:space="preserve"> فبراير </w:t>
      </w:r>
      <w:r>
        <w:rPr>
          <w:lang w:bidi="ar-EG"/>
        </w:rPr>
        <w:t>2017</w:t>
      </w:r>
      <w:r w:rsidR="00042A87">
        <w:rPr>
          <w:rFonts w:hint="cs"/>
          <w:rtl/>
          <w:lang w:bidi="ar-EG"/>
        </w:rPr>
        <w:t>، في مقر الاتحاد بجنيف، سويسرا.</w:t>
      </w:r>
      <w:r w:rsidR="00042A87" w:rsidRPr="000A07F5">
        <w:rPr>
          <w:rtl/>
        </w:rPr>
        <w:t xml:space="preserve"> </w:t>
      </w:r>
      <w:r w:rsidRPr="000A07F5">
        <w:rPr>
          <w:rtl/>
        </w:rPr>
        <w:t>وحضر الاجتماع أعضاء الفريق الذين ي</w:t>
      </w:r>
      <w:r>
        <w:rPr>
          <w:rtl/>
        </w:rPr>
        <w:t>مثلون جميع المناطق باستثناء عضوي</w:t>
      </w:r>
      <w:r>
        <w:rPr>
          <w:rFonts w:hint="cs"/>
          <w:rtl/>
        </w:rPr>
        <w:t>ْ</w:t>
      </w:r>
      <w:r w:rsidRPr="000A07F5">
        <w:rPr>
          <w:rtl/>
        </w:rPr>
        <w:t>ن لم يتمكنا من الحضور</w:t>
      </w:r>
      <w:r>
        <w:rPr>
          <w:rFonts w:hint="cs"/>
          <w:rtl/>
        </w:rPr>
        <w:t xml:space="preserve">، أحدهما </w:t>
      </w:r>
      <w:r>
        <w:rPr>
          <w:rtl/>
        </w:rPr>
        <w:t>من منطقة آسيا</w:t>
      </w:r>
      <w:r>
        <w:rPr>
          <w:rFonts w:hint="cs"/>
          <w:rtl/>
        </w:rPr>
        <w:t xml:space="preserve"> و</w:t>
      </w:r>
      <w:r w:rsidRPr="000A07F5">
        <w:rPr>
          <w:rtl/>
        </w:rPr>
        <w:t>المحيط الهادئ</w:t>
      </w:r>
      <w:r w:rsidRPr="000A07F5">
        <w:rPr>
          <w:rFonts w:hint="cs"/>
          <w:rtl/>
        </w:rPr>
        <w:t xml:space="preserve"> و</w:t>
      </w:r>
      <w:r>
        <w:rPr>
          <w:rFonts w:hint="cs"/>
          <w:rtl/>
        </w:rPr>
        <w:t>الآخر من منطقة أوروبا</w:t>
      </w:r>
      <w:r w:rsidRPr="000A07F5">
        <w:rPr>
          <w:lang w:bidi="ar-EG"/>
        </w:rPr>
        <w:t>.</w:t>
      </w:r>
    </w:p>
    <w:p w:rsidR="00F81842" w:rsidRDefault="00F81842" w:rsidP="00584424">
      <w:pPr>
        <w:rPr>
          <w:rtl/>
          <w:lang w:bidi="ar-EG"/>
        </w:rPr>
      </w:pPr>
      <w:r>
        <w:rPr>
          <w:rFonts w:hint="cs"/>
          <w:rtl/>
          <w:lang w:bidi="ar-EG"/>
        </w:rPr>
        <w:t xml:space="preserve">وناقش الفريق خلال اجتماعه الخامس </w:t>
      </w:r>
      <w:r w:rsidR="00584424">
        <w:rPr>
          <w:rFonts w:hint="cs"/>
          <w:rtl/>
          <w:lang w:bidi="ar-EG"/>
        </w:rPr>
        <w:t>الأنشطة</w:t>
      </w:r>
      <w:r>
        <w:rPr>
          <w:rFonts w:hint="cs"/>
          <w:rtl/>
          <w:lang w:bidi="ar-EG"/>
        </w:rPr>
        <w:t xml:space="preserve"> التي اضطلع بها مؤخراً الاتحاد الدولي للاتصالات/مكتب تنمية الاتصالات في</w:t>
      </w:r>
      <w:r w:rsidR="00CB6960">
        <w:rPr>
          <w:rFonts w:hint="eastAsia"/>
          <w:rtl/>
          <w:lang w:bidi="ar-EG"/>
        </w:rPr>
        <w:t> </w:t>
      </w:r>
      <w:r>
        <w:rPr>
          <w:rFonts w:hint="cs"/>
          <w:rtl/>
          <w:lang w:bidi="ar-EG"/>
        </w:rPr>
        <w:t xml:space="preserve">مجال بناء القدرات وقدم المشورة </w:t>
      </w:r>
      <w:r w:rsidR="00CB6960">
        <w:rPr>
          <w:rFonts w:hint="cs"/>
          <w:rtl/>
          <w:lang w:bidi="ar-EG"/>
        </w:rPr>
        <w:t>بشأن الخطوات المقبلة.</w:t>
      </w:r>
    </w:p>
    <w:p w:rsidR="00F81842" w:rsidRPr="00AE2273" w:rsidRDefault="00F81842" w:rsidP="00C6519B">
      <w:pPr>
        <w:pStyle w:val="Headingb"/>
        <w:rPr>
          <w:rtl/>
        </w:rPr>
      </w:pPr>
      <w:r w:rsidRPr="00AE2273">
        <w:rPr>
          <w:rFonts w:hint="cs"/>
          <w:rtl/>
        </w:rPr>
        <w:t>الندوة العالمي</w:t>
      </w:r>
      <w:r>
        <w:rPr>
          <w:rFonts w:hint="cs"/>
          <w:rtl/>
        </w:rPr>
        <w:t>ة</w:t>
      </w:r>
      <w:r w:rsidRPr="00AE2273">
        <w:rPr>
          <w:rFonts w:hint="cs"/>
          <w:rtl/>
        </w:rPr>
        <w:t xml:space="preserve"> لبناء القدرات</w:t>
      </w:r>
      <w:r>
        <w:rPr>
          <w:rFonts w:hint="cs"/>
          <w:rtl/>
        </w:rPr>
        <w:t xml:space="preserve"> </w:t>
      </w:r>
      <w:r w:rsidR="00C6519B">
        <w:t>(</w:t>
      </w:r>
      <w:r w:rsidRPr="006A2584">
        <w:rPr>
          <w:rFonts w:asciiTheme="minorHAnsi" w:hAnsiTheme="minorHAnsi"/>
          <w:szCs w:val="24"/>
        </w:rPr>
        <w:t>CBS</w:t>
      </w:r>
      <w:r w:rsidR="00C6519B">
        <w:t>)</w:t>
      </w:r>
      <w:r w:rsidRPr="00AE2273">
        <w:rPr>
          <w:rFonts w:hint="cs"/>
          <w:rtl/>
        </w:rPr>
        <w:t xml:space="preserve"> </w:t>
      </w:r>
      <w:r>
        <w:rPr>
          <w:rFonts w:hint="cs"/>
          <w:rtl/>
        </w:rPr>
        <w:t xml:space="preserve">لعام </w:t>
      </w:r>
      <w:r>
        <w:t>2016</w:t>
      </w:r>
    </w:p>
    <w:p w:rsidR="00F81842" w:rsidRDefault="00F81842" w:rsidP="00B7532D">
      <w:pPr>
        <w:rPr>
          <w:rtl/>
          <w:lang w:bidi="ar-EG"/>
        </w:rPr>
      </w:pPr>
      <w:r>
        <w:rPr>
          <w:rFonts w:hint="cs"/>
          <w:rtl/>
          <w:lang w:bidi="ar-EG"/>
        </w:rPr>
        <w:t xml:space="preserve">يرى الفريق أن الندوة العالمية لبناء القدرات </w:t>
      </w:r>
      <w:r w:rsidR="00666C28" w:rsidRPr="00666C28">
        <w:rPr>
          <w:szCs w:val="22"/>
          <w:lang w:bidi="ar-EG"/>
        </w:rPr>
        <w:t>(</w:t>
      </w:r>
      <w:r w:rsidRPr="00666C28">
        <w:rPr>
          <w:rFonts w:asciiTheme="minorHAnsi" w:hAnsiTheme="minorHAnsi"/>
          <w:szCs w:val="22"/>
        </w:rPr>
        <w:t>CBS</w:t>
      </w:r>
      <w:r w:rsidR="00666C28" w:rsidRPr="00666C28">
        <w:rPr>
          <w:szCs w:val="22"/>
          <w:lang w:bidi="ar-EG"/>
        </w:rPr>
        <w:t>)</w:t>
      </w:r>
      <w:r>
        <w:rPr>
          <w:rFonts w:hint="cs"/>
          <w:rtl/>
          <w:lang w:bidi="ar-EG"/>
        </w:rPr>
        <w:t xml:space="preserve"> في مجال تكنولوجيا المعلومات والاتصالات، التي نظمت في</w:t>
      </w:r>
      <w:r w:rsidR="00B7532D">
        <w:rPr>
          <w:rFonts w:hint="eastAsia"/>
          <w:rtl/>
          <w:lang w:bidi="ar-EG"/>
        </w:rPr>
        <w:t> </w:t>
      </w:r>
      <w:r>
        <w:rPr>
          <w:rFonts w:hint="cs"/>
          <w:rtl/>
          <w:lang w:bidi="ar-EG"/>
        </w:rPr>
        <w:t>نيروبي في</w:t>
      </w:r>
      <w:r w:rsidR="00666C28">
        <w:rPr>
          <w:rFonts w:hint="eastAsia"/>
          <w:rtl/>
          <w:lang w:bidi="ar-EG"/>
        </w:rPr>
        <w:t> </w:t>
      </w:r>
      <w:r>
        <w:rPr>
          <w:rFonts w:hint="cs"/>
          <w:rtl/>
          <w:lang w:bidi="ar-EG"/>
        </w:rPr>
        <w:t>سبتمبر</w:t>
      </w:r>
      <w:r w:rsidR="00666C28">
        <w:rPr>
          <w:rFonts w:hint="eastAsia"/>
          <w:rtl/>
          <w:lang w:bidi="ar-EG"/>
        </w:rPr>
        <w:t> </w:t>
      </w:r>
      <w:r>
        <w:rPr>
          <w:lang w:bidi="ar-EG"/>
        </w:rPr>
        <w:t>2016</w:t>
      </w:r>
      <w:r>
        <w:rPr>
          <w:rFonts w:hint="cs"/>
          <w:rtl/>
          <w:lang w:bidi="ar-EG"/>
        </w:rPr>
        <w:t xml:space="preserve"> وحضرها رئيس الفريق ونائبه، حققت نجاحاً باهراً. واستقطبت الندوة عدداً من المشاركين الشباب وشملت جلسة تفاعلية مع المبتكرين الشباب جسدت حاجة الاقتصاد الرقمي إلى جيل الشباب. وأشيد با</w:t>
      </w:r>
      <w:r w:rsidR="00B7532D">
        <w:rPr>
          <w:rFonts w:hint="cs"/>
          <w:rtl/>
          <w:lang w:bidi="ar-EG"/>
        </w:rPr>
        <w:t>لاتحاد لتنظيم هذا الحدث الناجح.</w:t>
      </w:r>
    </w:p>
    <w:p w:rsidR="00F81842" w:rsidRDefault="00F81842" w:rsidP="00F81842">
      <w:pPr>
        <w:pStyle w:val="Headingb"/>
        <w:rPr>
          <w:rtl/>
        </w:rPr>
      </w:pPr>
      <w:r>
        <w:rPr>
          <w:rFonts w:hint="cs"/>
          <w:rtl/>
        </w:rPr>
        <w:t>مجالات جديدة في بناء القدرات</w:t>
      </w:r>
    </w:p>
    <w:p w:rsidR="00F81842" w:rsidRDefault="00F81842" w:rsidP="00F81842">
      <w:pPr>
        <w:rPr>
          <w:rtl/>
          <w:lang w:bidi="ar-EG"/>
        </w:rPr>
      </w:pPr>
      <w:r>
        <w:rPr>
          <w:rFonts w:hint="cs"/>
          <w:rtl/>
          <w:lang w:bidi="ar-EG"/>
        </w:rPr>
        <w:t xml:space="preserve">أكد المشاركون أن ديناميات الصناعة في قطاع تكنولوجيا المعلومات والاتصالات قد تغيرت على مر السنين ودخَلها أصحاب مصلحة جدد غير الجهات الفاعلة التقليدية في مجال الاتصالات. وثمة حاجة إلى مواءمة جهود بناء القدرات </w:t>
      </w:r>
      <w:r>
        <w:rPr>
          <w:rFonts w:hint="eastAsia"/>
          <w:rtl/>
          <w:lang w:bidi="ar-EG"/>
        </w:rPr>
        <w:t>م</w:t>
      </w:r>
      <w:r>
        <w:rPr>
          <w:rFonts w:hint="cs"/>
          <w:rtl/>
          <w:lang w:bidi="ar-EG"/>
        </w:rPr>
        <w:t>ع المتطلبات الجديدة. ففي المناطق الريفية مثلاً، ظهرت الشبكات المجتمعية كجهات فاعلة جديدة لتقديم حلول تكنولوجيا المعلومات والاتصالات داخل مجتمعاتها المحلية، وهي تحتاج إلى أن يُعترف بها على هذا النحو.</w:t>
      </w:r>
    </w:p>
    <w:p w:rsidR="00F81842" w:rsidRDefault="00F81842" w:rsidP="00517481">
      <w:pPr>
        <w:rPr>
          <w:rtl/>
          <w:lang w:bidi="ar-EG"/>
        </w:rPr>
      </w:pPr>
      <w:r>
        <w:rPr>
          <w:rFonts w:hint="cs"/>
          <w:rtl/>
          <w:lang w:bidi="ar-EG"/>
        </w:rPr>
        <w:t xml:space="preserve">وينبغي أيضاً توجيه جهود بناء القدرات إلى مجالات من قبيل </w:t>
      </w:r>
      <w:r w:rsidR="00517481">
        <w:rPr>
          <w:rFonts w:hint="cs"/>
          <w:rtl/>
          <w:lang w:bidi="ar-EG"/>
        </w:rPr>
        <w:t>الارتقاء</w:t>
      </w:r>
      <w:r>
        <w:rPr>
          <w:rFonts w:hint="cs"/>
          <w:rtl/>
          <w:lang w:bidi="ar-EG"/>
        </w:rPr>
        <w:t xml:space="preserve"> </w:t>
      </w:r>
      <w:r w:rsidR="00517481">
        <w:rPr>
          <w:rFonts w:hint="cs"/>
          <w:rtl/>
          <w:lang w:bidi="ar-EG"/>
        </w:rPr>
        <w:t>ب</w:t>
      </w:r>
      <w:r>
        <w:rPr>
          <w:rFonts w:hint="cs"/>
          <w:rtl/>
          <w:lang w:bidi="ar-EG"/>
        </w:rPr>
        <w:t xml:space="preserve">رواد الأعمال الشباب وبناء قدرات النساء والشباب في مجال اعتماد الأدوات الرقمية واستعمالها وتعزيز تكنولوجيا المعلومات والاتصالات في الشركات الصغيرة والمتوسطة </w:t>
      </w:r>
      <w:r w:rsidR="007F5E80" w:rsidRPr="007F5E80">
        <w:rPr>
          <w:szCs w:val="22"/>
          <w:lang w:bidi="ar-EG"/>
        </w:rPr>
        <w:t>(</w:t>
      </w:r>
      <w:r w:rsidRPr="007F5E80">
        <w:rPr>
          <w:rFonts w:asciiTheme="minorHAnsi" w:hAnsiTheme="minorHAnsi"/>
          <w:szCs w:val="22"/>
        </w:rPr>
        <w:t>SME</w:t>
      </w:r>
      <w:r w:rsidR="007F5E80" w:rsidRPr="007F5E80">
        <w:rPr>
          <w:szCs w:val="22"/>
          <w:lang w:bidi="ar-EG"/>
        </w:rPr>
        <w:t>)</w:t>
      </w:r>
      <w:r>
        <w:rPr>
          <w:rFonts w:hint="cs"/>
          <w:rtl/>
          <w:lang w:bidi="ar-EG"/>
        </w:rPr>
        <w:t>. وتم التأكيد على أن الأولوية لم تعد قائمة على إنشاء الشبكات بل على تعزيز الاستعمال واسع النطاق للعديد من خدمات تكنولوجيا المعلومات والاتصال</w:t>
      </w:r>
      <w:r w:rsidR="008F591E">
        <w:rPr>
          <w:rFonts w:hint="cs"/>
          <w:rtl/>
          <w:lang w:bidi="ar-EG"/>
        </w:rPr>
        <w:t>ات التي تقدَّم عبر هذه الشبكات.</w:t>
      </w:r>
    </w:p>
    <w:p w:rsidR="00F81842" w:rsidRPr="008F591E" w:rsidRDefault="00F81842" w:rsidP="008F591E">
      <w:pPr>
        <w:rPr>
          <w:spacing w:val="-2"/>
          <w:rtl/>
          <w:lang w:bidi="ar-EG"/>
        </w:rPr>
      </w:pPr>
      <w:r w:rsidRPr="008F591E">
        <w:rPr>
          <w:rFonts w:hint="cs"/>
          <w:spacing w:val="-2"/>
          <w:rtl/>
          <w:lang w:bidi="ar-EG"/>
        </w:rPr>
        <w:t>وفي هذا الصدد، من الضروري أن يشارك الفريق المعني بمبادرات بناء القدرات في مجالات أخرى لبناء القدرات خارج مراكز التميز</w:t>
      </w:r>
      <w:r w:rsidR="008F591E" w:rsidRPr="008F591E">
        <w:rPr>
          <w:rFonts w:hint="eastAsia"/>
          <w:spacing w:val="-2"/>
          <w:rtl/>
          <w:lang w:bidi="ar-EG"/>
        </w:rPr>
        <w:t> </w:t>
      </w:r>
      <w:r w:rsidR="008F591E" w:rsidRPr="003E78B0">
        <w:rPr>
          <w:spacing w:val="-2"/>
          <w:szCs w:val="22"/>
          <w:lang w:bidi="ar-EG"/>
        </w:rPr>
        <w:t>(</w:t>
      </w:r>
      <w:proofErr w:type="spellStart"/>
      <w:r w:rsidRPr="003E78B0">
        <w:rPr>
          <w:rFonts w:asciiTheme="minorHAnsi" w:hAnsiTheme="minorHAnsi"/>
          <w:spacing w:val="-2"/>
          <w:szCs w:val="22"/>
        </w:rPr>
        <w:t>CoE</w:t>
      </w:r>
      <w:proofErr w:type="spellEnd"/>
      <w:r w:rsidR="008F591E" w:rsidRPr="003E78B0">
        <w:rPr>
          <w:spacing w:val="-2"/>
          <w:szCs w:val="22"/>
          <w:lang w:bidi="ar-EG"/>
        </w:rPr>
        <w:t>)</w:t>
      </w:r>
      <w:r w:rsidRPr="008F591E">
        <w:rPr>
          <w:rFonts w:hint="cs"/>
          <w:spacing w:val="-2"/>
          <w:rtl/>
          <w:lang w:bidi="ar-EG"/>
        </w:rPr>
        <w:t>، مع مراعاة المجتمع الأوسع لأصحاب المصلحة في مجال بناء القدرات والولاية واسعة النطاق المنصوص عليها في</w:t>
      </w:r>
      <w:r w:rsidR="008F591E" w:rsidRPr="008F591E">
        <w:rPr>
          <w:rFonts w:hint="eastAsia"/>
          <w:spacing w:val="-2"/>
          <w:rtl/>
          <w:lang w:bidi="ar-EG"/>
        </w:rPr>
        <w:t> </w:t>
      </w:r>
      <w:r w:rsidRPr="008F591E">
        <w:rPr>
          <w:rFonts w:hint="cs"/>
          <w:spacing w:val="-2"/>
          <w:rtl/>
          <w:lang w:bidi="ar-EG"/>
        </w:rPr>
        <w:t>القرار</w:t>
      </w:r>
      <w:r w:rsidR="008F591E" w:rsidRPr="008F591E">
        <w:rPr>
          <w:rFonts w:hint="eastAsia"/>
          <w:spacing w:val="-2"/>
          <w:rtl/>
          <w:lang w:bidi="ar-EG"/>
        </w:rPr>
        <w:t> </w:t>
      </w:r>
      <w:r w:rsidRPr="008F591E">
        <w:rPr>
          <w:spacing w:val="-2"/>
          <w:lang w:bidi="ar-EG"/>
        </w:rPr>
        <w:t>40</w:t>
      </w:r>
      <w:r w:rsidR="008F591E" w:rsidRPr="008F591E">
        <w:rPr>
          <w:rFonts w:hint="cs"/>
          <w:spacing w:val="-2"/>
          <w:rtl/>
          <w:lang w:bidi="ar-EG"/>
        </w:rPr>
        <w:t>.</w:t>
      </w:r>
    </w:p>
    <w:p w:rsidR="00F81842" w:rsidRDefault="00F81842" w:rsidP="007F1D8A">
      <w:pPr>
        <w:rPr>
          <w:rtl/>
          <w:lang w:bidi="ar-EG"/>
        </w:rPr>
      </w:pPr>
      <w:r>
        <w:rPr>
          <w:rFonts w:hint="cs"/>
          <w:rtl/>
          <w:lang w:bidi="ar-EG"/>
        </w:rPr>
        <w:t>وكان هناك اتفاق عام على أن التدريب ينبغي أن يكون قائماً على الطلب. وهو ما يقتضي ضرورة إجراء تحليلات لضمان أن</w:t>
      </w:r>
      <w:r w:rsidR="007F1D8A">
        <w:rPr>
          <w:rFonts w:hint="eastAsia"/>
          <w:rtl/>
          <w:lang w:bidi="ar-EG"/>
        </w:rPr>
        <w:t> </w:t>
      </w:r>
      <w:r>
        <w:rPr>
          <w:rFonts w:hint="cs"/>
          <w:rtl/>
          <w:lang w:bidi="ar-EG"/>
        </w:rPr>
        <w:t>التدريب المقدم مناسب للغرض المنشود منه. ويُدعى الاتحاد إلى تقديم الدعم في إجراء هذه التحليلات الضرورية</w:t>
      </w:r>
      <w:r w:rsidR="007F1D8A">
        <w:rPr>
          <w:rFonts w:hint="cs"/>
          <w:rtl/>
          <w:lang w:bidi="ar-EG"/>
        </w:rPr>
        <w:t>.</w:t>
      </w:r>
    </w:p>
    <w:p w:rsidR="00F81842" w:rsidRDefault="00F81842" w:rsidP="00F81842">
      <w:pPr>
        <w:pStyle w:val="Headingb"/>
        <w:rPr>
          <w:rtl/>
        </w:rPr>
      </w:pPr>
      <w:r>
        <w:rPr>
          <w:rFonts w:hint="cs"/>
          <w:rtl/>
        </w:rPr>
        <w:t>مراكز التميز</w:t>
      </w:r>
    </w:p>
    <w:p w:rsidR="00F81842" w:rsidRDefault="00F81842" w:rsidP="00F81842">
      <w:pPr>
        <w:rPr>
          <w:rtl/>
          <w:lang w:bidi="ar-EG"/>
        </w:rPr>
      </w:pPr>
      <w:r>
        <w:rPr>
          <w:rFonts w:hint="cs"/>
          <w:rtl/>
          <w:lang w:bidi="ar-EG"/>
        </w:rPr>
        <w:t>أخذ الفريق علماً بالحاجة إلى إعداد الأسس اللازمة لاختيار مراكز التميز الجديدة للدورة المقبلة ووافق على تقديم المشورة والدعم إلى مكتب تنمية الاتصا</w:t>
      </w:r>
      <w:r w:rsidR="00BD34D9">
        <w:rPr>
          <w:rFonts w:hint="cs"/>
          <w:rtl/>
          <w:lang w:bidi="ar-EG"/>
        </w:rPr>
        <w:t>لات في عملية التقييم والاختيار.</w:t>
      </w:r>
    </w:p>
    <w:p w:rsidR="00F81842" w:rsidRDefault="00F81842" w:rsidP="00F81842">
      <w:pPr>
        <w:rPr>
          <w:rtl/>
          <w:lang w:bidi="ar-EG"/>
        </w:rPr>
      </w:pPr>
      <w:r>
        <w:rPr>
          <w:rFonts w:hint="cs"/>
          <w:rtl/>
          <w:lang w:bidi="ar-EG"/>
        </w:rPr>
        <w:t>واتفق الاجتماع على أن مراكز التميز وحدها لا تكفي لتقديم خدمات بناء القدرات في مجال تكنولوجيا المعلومات والاتصالات وأن من المهم النظر كذلك في إمكانية توسيع دائرة الشركاء. ولئن كانت مراكز التميز مستهدفة تحديداً على مستوى التدريب المهني والتنفيذي، فإن من الضروري النظر في المجالات والفئات المستهدفة ال</w:t>
      </w:r>
      <w:r w:rsidR="00BD34D9">
        <w:rPr>
          <w:rFonts w:hint="cs"/>
          <w:rtl/>
          <w:lang w:bidi="ar-EG"/>
        </w:rPr>
        <w:t>أخرى غير المشمولة بهذه المراكز.</w:t>
      </w:r>
    </w:p>
    <w:p w:rsidR="00F81842" w:rsidRPr="006737D1" w:rsidRDefault="00F81842" w:rsidP="00BD34D9">
      <w:pPr>
        <w:pStyle w:val="Headingb"/>
        <w:rPr>
          <w:rtl/>
        </w:rPr>
      </w:pPr>
      <w:r w:rsidRPr="006737D1">
        <w:rPr>
          <w:rFonts w:hint="cs"/>
          <w:rtl/>
        </w:rPr>
        <w:t>الشراكات في بناء القدرات</w:t>
      </w:r>
    </w:p>
    <w:p w:rsidR="00F81842" w:rsidRDefault="00F81842" w:rsidP="00F71E96">
      <w:pPr>
        <w:rPr>
          <w:rtl/>
          <w:lang w:bidi="ar-EG"/>
        </w:rPr>
      </w:pPr>
      <w:r>
        <w:rPr>
          <w:rFonts w:hint="cs"/>
          <w:rtl/>
          <w:lang w:bidi="ar-EG"/>
        </w:rPr>
        <w:t>أقر المشاركون باتساع نطاق الشراكات في بناء القدرات. وكانت هناك حاجة إلى الاتصال بمختلف الشركاء وإشراكهم والعمل معهم فيما</w:t>
      </w:r>
      <w:r w:rsidR="00F71E96">
        <w:rPr>
          <w:rFonts w:hint="eastAsia"/>
          <w:rtl/>
          <w:lang w:bidi="ar-EG"/>
        </w:rPr>
        <w:t> </w:t>
      </w:r>
      <w:r>
        <w:rPr>
          <w:rFonts w:hint="cs"/>
          <w:rtl/>
          <w:lang w:bidi="ar-EG"/>
        </w:rPr>
        <w:t xml:space="preserve">يتعلق بتخطيط أنشطة بناء القدرات وتقديمها، وكذلك تعبئة الموارد. ويمكن أن يكون الشركاء من القطاعين </w:t>
      </w:r>
      <w:r w:rsidR="00F71E96">
        <w:rPr>
          <w:rFonts w:hint="cs"/>
          <w:rtl/>
          <w:lang w:bidi="ar-EG"/>
        </w:rPr>
        <w:t>العام والخاص</w:t>
      </w:r>
      <w:r>
        <w:rPr>
          <w:rFonts w:hint="cs"/>
          <w:rtl/>
          <w:lang w:bidi="ar-EG"/>
        </w:rPr>
        <w:t xml:space="preserve"> </w:t>
      </w:r>
      <w:r w:rsidRPr="004312B5">
        <w:rPr>
          <w:rFonts w:hint="cs"/>
          <w:rtl/>
          <w:lang w:bidi="ar-EG"/>
        </w:rPr>
        <w:t>و</w:t>
      </w:r>
      <w:r>
        <w:rPr>
          <w:rFonts w:hint="cs"/>
          <w:rtl/>
          <w:lang w:bidi="ar-EG"/>
        </w:rPr>
        <w:t xml:space="preserve">من </w:t>
      </w:r>
      <w:r w:rsidRPr="004312B5">
        <w:rPr>
          <w:rFonts w:hint="cs"/>
          <w:rtl/>
          <w:lang w:bidi="ar-EG"/>
        </w:rPr>
        <w:t>المجتمع الإنمائي</w:t>
      </w:r>
      <w:r>
        <w:rPr>
          <w:rFonts w:hint="cs"/>
          <w:rtl/>
          <w:lang w:bidi="ar-EG"/>
        </w:rPr>
        <w:t xml:space="preserve"> والمؤسسات الأكاديمية وغير ذلك. وشُدد بوجه خاص على إشراك </w:t>
      </w:r>
      <w:r w:rsidR="007A03CD">
        <w:rPr>
          <w:rFonts w:hint="cs"/>
          <w:rtl/>
          <w:lang w:bidi="ar-EG"/>
        </w:rPr>
        <w:t>المؤسسات الأكاديمية.</w:t>
      </w:r>
    </w:p>
    <w:p w:rsidR="00F81842" w:rsidRPr="00C072A9" w:rsidRDefault="00F81842" w:rsidP="0056708C">
      <w:pPr>
        <w:rPr>
          <w:rtl/>
          <w:lang w:bidi="ar-EG"/>
        </w:rPr>
      </w:pPr>
      <w:r w:rsidRPr="00C072A9">
        <w:rPr>
          <w:rFonts w:hint="cs"/>
          <w:rtl/>
          <w:lang w:bidi="ar-EG"/>
        </w:rPr>
        <w:lastRenderedPageBreak/>
        <w:t>وفي هذا السياق، يرح</w:t>
      </w:r>
      <w:r>
        <w:rPr>
          <w:rFonts w:hint="cs"/>
          <w:rtl/>
          <w:lang w:bidi="ar-EG"/>
        </w:rPr>
        <w:t>ّ</w:t>
      </w:r>
      <w:r w:rsidRPr="00C072A9">
        <w:rPr>
          <w:rFonts w:hint="cs"/>
          <w:rtl/>
          <w:lang w:bidi="ar-EG"/>
        </w:rPr>
        <w:t xml:space="preserve">ب الاجتماع بحدث الاتحاد لبناء قدرات المؤسسات </w:t>
      </w:r>
      <w:r w:rsidR="0056708C">
        <w:rPr>
          <w:rFonts w:hint="cs"/>
          <w:rtl/>
          <w:lang w:bidi="ar-EG"/>
        </w:rPr>
        <w:t>الأكاديمية المخطط عقده في بوداب</w:t>
      </w:r>
      <w:r w:rsidRPr="00C072A9">
        <w:rPr>
          <w:rFonts w:hint="cs"/>
          <w:rtl/>
          <w:lang w:bidi="ar-EG"/>
        </w:rPr>
        <w:t>ست، هنغاريا، في</w:t>
      </w:r>
      <w:r w:rsidR="007A03CD">
        <w:rPr>
          <w:rFonts w:hint="eastAsia"/>
          <w:rtl/>
          <w:lang w:bidi="ar-EG"/>
        </w:rPr>
        <w:t> </w:t>
      </w:r>
      <w:r w:rsidRPr="00C072A9">
        <w:rPr>
          <w:rFonts w:hint="cs"/>
          <w:rtl/>
          <w:lang w:bidi="ar-EG"/>
        </w:rPr>
        <w:t>سبتمبر</w:t>
      </w:r>
      <w:r w:rsidR="0056708C">
        <w:rPr>
          <w:rFonts w:hint="eastAsia"/>
          <w:rtl/>
          <w:lang w:bidi="ar-EG"/>
        </w:rPr>
        <w:t> </w:t>
      </w:r>
      <w:r w:rsidRPr="00C072A9">
        <w:rPr>
          <w:lang w:bidi="ar-EG"/>
        </w:rPr>
        <w:t>2017</w:t>
      </w:r>
      <w:r w:rsidR="007A03CD">
        <w:rPr>
          <w:rFonts w:hint="cs"/>
          <w:rtl/>
          <w:lang w:bidi="ar-EG"/>
        </w:rPr>
        <w:t>.</w:t>
      </w:r>
    </w:p>
    <w:p w:rsidR="00F81842" w:rsidRDefault="00A325D8" w:rsidP="00F81842">
      <w:pPr>
        <w:pStyle w:val="Headingb"/>
        <w:rPr>
          <w:rtl/>
        </w:rPr>
      </w:pPr>
      <w:r>
        <w:rPr>
          <w:rFonts w:hint="cs"/>
          <w:rtl/>
        </w:rPr>
        <w:t>المنشور المتعلق</w:t>
      </w:r>
      <w:bookmarkStart w:id="0" w:name="_GoBack"/>
      <w:bookmarkEnd w:id="0"/>
      <w:r w:rsidR="00F81842">
        <w:rPr>
          <w:rFonts w:hint="cs"/>
          <w:rtl/>
        </w:rPr>
        <w:t xml:space="preserve"> ببناء القدرات</w:t>
      </w:r>
    </w:p>
    <w:p w:rsidR="00F81842" w:rsidRPr="00774725" w:rsidRDefault="00F81842" w:rsidP="00C32B14">
      <w:pPr>
        <w:rPr>
          <w:rtl/>
          <w:lang w:bidi="ar-EG"/>
        </w:rPr>
      </w:pPr>
      <w:r w:rsidRPr="00C072A9">
        <w:rPr>
          <w:rFonts w:hint="cs"/>
          <w:rtl/>
          <w:lang w:bidi="ar-EG"/>
        </w:rPr>
        <w:t xml:space="preserve">سيكون المنشور الذي جرت مناقشته في لشبونة خلال الاجتماع الأخير للفريق المعني بمبادرة بناء القدرات </w:t>
      </w:r>
      <w:r>
        <w:rPr>
          <w:rFonts w:hint="cs"/>
          <w:rtl/>
          <w:lang w:bidi="ar-EG"/>
        </w:rPr>
        <w:t>المنشور الأول في</w:t>
      </w:r>
      <w:r w:rsidR="00C32B14">
        <w:rPr>
          <w:rFonts w:hint="eastAsia"/>
          <w:rtl/>
          <w:lang w:bidi="ar-EG"/>
        </w:rPr>
        <w:t> </w:t>
      </w:r>
      <w:r>
        <w:rPr>
          <w:rFonts w:hint="cs"/>
          <w:rtl/>
          <w:lang w:bidi="ar-EG"/>
        </w:rPr>
        <w:t xml:space="preserve">سلسلة جديدة من المنشورات بشأن "بناء القدرات في بيئة متغيرة لتكنولوجيا المعلومات والاتصالات". واستُكملت الطبعة الأولى من المنشور وستصدر في مارس </w:t>
      </w:r>
      <w:r>
        <w:rPr>
          <w:lang w:bidi="ar-EG"/>
        </w:rPr>
        <w:t>2017</w:t>
      </w:r>
      <w:r>
        <w:rPr>
          <w:rFonts w:hint="cs"/>
          <w:rtl/>
          <w:lang w:bidi="ar-EG"/>
        </w:rPr>
        <w:t>. وستتضمن الطبعات اللاحقة من المنشور مساهمات مقدمة من باحثين و</w:t>
      </w:r>
      <w:r w:rsidR="001B15EC">
        <w:rPr>
          <w:rFonts w:hint="cs"/>
          <w:rtl/>
          <w:lang w:bidi="ar-EG"/>
        </w:rPr>
        <w:t>أكاديميين.</w:t>
      </w:r>
    </w:p>
    <w:p w:rsidR="00F81842" w:rsidRDefault="00F81842" w:rsidP="00F81842">
      <w:pPr>
        <w:pStyle w:val="Headingb"/>
        <w:rPr>
          <w:rtl/>
        </w:rPr>
      </w:pPr>
      <w:r>
        <w:rPr>
          <w:rFonts w:hint="cs"/>
          <w:rtl/>
        </w:rPr>
        <w:t xml:space="preserve">اختصاصات </w:t>
      </w:r>
      <w:r w:rsidRPr="00CB29F9">
        <w:rPr>
          <w:rFonts w:hint="eastAsia"/>
          <w:rtl/>
        </w:rPr>
        <w:t>الفريق</w:t>
      </w:r>
      <w:r w:rsidRPr="00CB29F9">
        <w:rPr>
          <w:rtl/>
        </w:rPr>
        <w:t xml:space="preserve"> </w:t>
      </w:r>
      <w:r w:rsidRPr="00CB29F9">
        <w:rPr>
          <w:rFonts w:hint="eastAsia"/>
          <w:rtl/>
        </w:rPr>
        <w:t>المعني</w:t>
      </w:r>
      <w:r w:rsidRPr="00CB29F9">
        <w:rPr>
          <w:rtl/>
        </w:rPr>
        <w:t xml:space="preserve"> </w:t>
      </w:r>
      <w:r w:rsidRPr="00CB29F9">
        <w:rPr>
          <w:rFonts w:hint="eastAsia"/>
          <w:rtl/>
        </w:rPr>
        <w:t>بمبادرات</w:t>
      </w:r>
      <w:r w:rsidRPr="00CB29F9">
        <w:rPr>
          <w:rtl/>
        </w:rPr>
        <w:t xml:space="preserve"> </w:t>
      </w:r>
      <w:r w:rsidRPr="00CB29F9">
        <w:rPr>
          <w:rFonts w:hint="eastAsia"/>
          <w:rtl/>
        </w:rPr>
        <w:t>بناء</w:t>
      </w:r>
      <w:r w:rsidRPr="00CB29F9">
        <w:rPr>
          <w:rtl/>
        </w:rPr>
        <w:t xml:space="preserve"> </w:t>
      </w:r>
      <w:r w:rsidRPr="00CB29F9">
        <w:rPr>
          <w:rFonts w:hint="eastAsia"/>
          <w:rtl/>
        </w:rPr>
        <w:t>القدرات</w:t>
      </w:r>
    </w:p>
    <w:p w:rsidR="00F81842" w:rsidRDefault="00F81842" w:rsidP="00F81842">
      <w:pPr>
        <w:rPr>
          <w:rtl/>
          <w:lang w:bidi="ar-EG"/>
        </w:rPr>
      </w:pPr>
      <w:r>
        <w:rPr>
          <w:rFonts w:hint="cs"/>
          <w:rtl/>
          <w:lang w:bidi="ar-EG"/>
        </w:rPr>
        <w:t>ناقش الفريق اختصاصات الفريق المعني بمبادرات بناء القدرات التي تحدد، في جملة أمور، كيفية اختيار أعضاء الفريق ومدة شغل مناصبهم وكيفية مزاولة أعمالهم. وتم التوصل إلى اتفاق عام بشأن مشروع الاختصاصات،</w:t>
      </w:r>
      <w:r w:rsidR="00EC0529">
        <w:rPr>
          <w:rFonts w:hint="cs"/>
          <w:rtl/>
          <w:lang w:bidi="ar-EG"/>
        </w:rPr>
        <w:t xml:space="preserve"> واعتُمد هذا المشروع.</w:t>
      </w:r>
    </w:p>
    <w:p w:rsidR="00F81842" w:rsidRDefault="00F81842" w:rsidP="00F81842">
      <w:pPr>
        <w:rPr>
          <w:rtl/>
          <w:lang w:bidi="ar-EG"/>
        </w:rPr>
      </w:pPr>
      <w:r>
        <w:rPr>
          <w:rFonts w:hint="cs"/>
          <w:rtl/>
          <w:lang w:bidi="ar-EG"/>
        </w:rPr>
        <w:t xml:space="preserve">والتقرير النهائي لهذا الاجتماع متاح في الموقع الإلكتروني </w:t>
      </w:r>
      <w:r w:rsidRPr="002D6858">
        <w:rPr>
          <w:rFonts w:hint="eastAsia"/>
          <w:rtl/>
          <w:lang w:bidi="ar-EG"/>
        </w:rPr>
        <w:t>الخاص</w:t>
      </w:r>
      <w:r w:rsidRPr="002D6858">
        <w:rPr>
          <w:rtl/>
          <w:lang w:bidi="ar-EG"/>
        </w:rPr>
        <w:t xml:space="preserve"> </w:t>
      </w:r>
      <w:r w:rsidRPr="002D6858">
        <w:rPr>
          <w:rFonts w:hint="eastAsia"/>
          <w:rtl/>
          <w:lang w:bidi="ar-EG"/>
        </w:rPr>
        <w:t>بأكاديمية</w:t>
      </w:r>
      <w:r w:rsidRPr="002D6858">
        <w:rPr>
          <w:rtl/>
          <w:lang w:bidi="ar-EG"/>
        </w:rPr>
        <w:t xml:space="preserve"> </w:t>
      </w:r>
      <w:r w:rsidRPr="002D6858">
        <w:rPr>
          <w:rFonts w:hint="eastAsia"/>
          <w:rtl/>
          <w:lang w:bidi="ar-EG"/>
        </w:rPr>
        <w:t>الاتحاد</w:t>
      </w:r>
      <w:r w:rsidRPr="002D6858">
        <w:rPr>
          <w:rtl/>
          <w:lang w:bidi="ar-EG"/>
        </w:rPr>
        <w:t xml:space="preserve"> </w:t>
      </w:r>
      <w:r w:rsidRPr="002D6858">
        <w:rPr>
          <w:rFonts w:hint="eastAsia"/>
          <w:rtl/>
          <w:lang w:bidi="ar-EG"/>
        </w:rPr>
        <w:t>الدولي</w:t>
      </w:r>
      <w:r w:rsidRPr="002D6858">
        <w:rPr>
          <w:rtl/>
          <w:lang w:bidi="ar-EG"/>
        </w:rPr>
        <w:t xml:space="preserve"> </w:t>
      </w:r>
      <w:r w:rsidRPr="002D6858">
        <w:rPr>
          <w:rFonts w:hint="eastAsia"/>
          <w:rtl/>
          <w:lang w:bidi="ar-EG"/>
        </w:rPr>
        <w:t>للاتصالات</w:t>
      </w:r>
      <w:r>
        <w:rPr>
          <w:rFonts w:hint="cs"/>
          <w:rtl/>
          <w:lang w:bidi="ar-EG"/>
        </w:rPr>
        <w:t xml:space="preserve"> في العنوان:</w:t>
      </w:r>
      <w:r w:rsidR="00EC0529">
        <w:rPr>
          <w:rFonts w:hint="cs"/>
          <w:rtl/>
          <w:lang w:bidi="ar-EG"/>
        </w:rPr>
        <w:t xml:space="preserve"> </w:t>
      </w:r>
    </w:p>
    <w:p w:rsidR="00F81842" w:rsidRPr="005C1F73" w:rsidRDefault="00A325D8" w:rsidP="00EC0529">
      <w:pPr>
        <w:rPr>
          <w:szCs w:val="22"/>
          <w:rtl/>
          <w:lang w:bidi="ar-EG"/>
        </w:rPr>
      </w:pPr>
      <w:hyperlink r:id="rId12" w:history="1">
        <w:r w:rsidR="005C1F73" w:rsidRPr="005C1F73">
          <w:rPr>
            <w:rStyle w:val="Hyperlink"/>
            <w:rFonts w:asciiTheme="minorHAnsi" w:hAnsiTheme="minorHAnsi"/>
            <w:szCs w:val="22"/>
          </w:rPr>
          <w:t>https://academy.itu.int/index.php?option=com_content&amp;view=article&amp;id=176&amp;lang=en</w:t>
        </w:r>
      </w:hyperlink>
    </w:p>
    <w:p w:rsidR="00B750BB" w:rsidRDefault="00B750BB" w:rsidP="00B750BB">
      <w:pPr>
        <w:spacing w:before="600"/>
        <w:jc w:val="center"/>
        <w:rPr>
          <w:rtl/>
          <w:lang w:bidi="ar-EG"/>
        </w:rPr>
      </w:pPr>
      <w:r>
        <w:rPr>
          <w:rtl/>
          <w:lang w:bidi="ar-EG"/>
        </w:rPr>
        <w:t>___________</w:t>
      </w:r>
    </w:p>
    <w:sectPr w:rsidR="00B750BB"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2C" w:rsidRDefault="0004672C" w:rsidP="00E07379">
      <w:pPr>
        <w:spacing w:before="0" w:line="240" w:lineRule="auto"/>
      </w:pPr>
      <w:r>
        <w:separator/>
      </w:r>
    </w:p>
  </w:endnote>
  <w:endnote w:type="continuationSeparator" w:id="0">
    <w:p w:rsidR="0004672C" w:rsidRDefault="0004672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4565AA" w:rsidRDefault="0056509A" w:rsidP="004565AA">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4565AA">
      <w:rPr>
        <w:rFonts w:eastAsiaTheme="minorEastAsia" w:cs="Calibri"/>
        <w:noProof/>
        <w:sz w:val="16"/>
        <w:szCs w:val="16"/>
        <w:lang w:val="es-ES" w:eastAsia="zh-CN"/>
      </w:rPr>
      <w:t>P:\ARA\ITU-D\CONF-D\TDAG17\000\022A.docx</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 xml:space="preserve">    (</w:t>
    </w:r>
    <w:r w:rsidR="004565AA">
      <w:rPr>
        <w:rFonts w:eastAsiaTheme="minorEastAsia" w:cs="Calibri"/>
        <w:sz w:val="16"/>
        <w:szCs w:val="16"/>
        <w:lang w:val="es-ES" w:eastAsia="zh-CN"/>
      </w:rPr>
      <w:t>413985</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584424">
      <w:rPr>
        <w:rFonts w:eastAsiaTheme="minorEastAsia" w:cs="Calibri"/>
        <w:noProof/>
        <w:sz w:val="16"/>
        <w:szCs w:val="16"/>
        <w:lang w:val="en-GB" w:eastAsia="zh-CN"/>
      </w:rPr>
      <w:t>20.04.17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4565AA">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CB30F8" w:rsidRDefault="00A325D8"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56509A" w:rsidRPr="00CB30F8">
        <w:rPr>
          <w:rFonts w:cs="Times New Roman"/>
          <w:color w:val="0000FF"/>
          <w:sz w:val="18"/>
          <w:szCs w:val="18"/>
          <w:u w:val="single"/>
        </w:rPr>
        <w:t>http://www.itu.int/ITU-D/TDAG/</w:t>
      </w:r>
    </w:hyperlink>
    <w:hyperlink r:id="rId2" w:history="1"/>
  </w:p>
  <w:p w:rsidR="0056509A" w:rsidRPr="004565AA" w:rsidRDefault="0056509A" w:rsidP="004565AA">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4565AA">
      <w:rPr>
        <w:rFonts w:eastAsiaTheme="minorEastAsia" w:cs="Calibri"/>
        <w:noProof/>
        <w:vanish/>
        <w:sz w:val="16"/>
        <w:szCs w:val="16"/>
        <w:lang w:val="es-ES" w:eastAsia="zh-CN"/>
      </w:rPr>
      <w:t>P:\ARA\ITU-D\CONF-D\TDAG17\000\022A.docx</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 xml:space="preserve">    (</w:t>
    </w:r>
    <w:r w:rsidR="004565AA">
      <w:rPr>
        <w:rFonts w:eastAsiaTheme="minorEastAsia" w:cs="Calibri"/>
        <w:vanish/>
        <w:sz w:val="16"/>
        <w:szCs w:val="16"/>
        <w:lang w:val="es-ES" w:eastAsia="zh-CN"/>
      </w:rPr>
      <w:t>413985</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584424">
      <w:rPr>
        <w:rFonts w:eastAsiaTheme="minorEastAsia" w:cs="Calibri"/>
        <w:noProof/>
        <w:vanish/>
        <w:sz w:val="16"/>
        <w:szCs w:val="16"/>
        <w:lang w:val="en-GB" w:eastAsia="zh-CN"/>
      </w:rPr>
      <w:t>20.04.17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4565AA">
      <w:rPr>
        <w:rFonts w:eastAsiaTheme="minorEastAsia" w:cs="Calibri"/>
        <w:noProof/>
        <w:vanish/>
        <w:sz w:val="16"/>
        <w:szCs w:val="16"/>
        <w:lang w:val="en-GB" w:eastAsia="zh-CN"/>
      </w:rPr>
      <w:t>13.03.17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2C" w:rsidRDefault="0004672C" w:rsidP="00E07379">
      <w:pPr>
        <w:spacing w:before="0" w:line="240" w:lineRule="auto"/>
      </w:pPr>
      <w:r>
        <w:separator/>
      </w:r>
    </w:p>
  </w:footnote>
  <w:footnote w:type="continuationSeparator" w:id="0">
    <w:p w:rsidR="0004672C" w:rsidRDefault="0004672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4565AA">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56509A">
      <w:rPr>
        <w:rFonts w:cs="Calibri"/>
        <w:sz w:val="20"/>
        <w:szCs w:val="20"/>
      </w:rPr>
      <w:t>ITU-D/TDAG17-22/</w:t>
    </w:r>
    <w:r w:rsidR="004565AA">
      <w:rPr>
        <w:rFonts w:cs="Calibri"/>
        <w:sz w:val="20"/>
        <w:szCs w:val="20"/>
      </w:rPr>
      <w:t>22</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A325D8">
      <w:rPr>
        <w:rFonts w:cs="Times New Roman"/>
        <w:noProof/>
        <w:sz w:val="20"/>
        <w:szCs w:val="20"/>
        <w:rtl/>
        <w:lang w:val="en-GB"/>
      </w:rPr>
      <w:t>3</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2C"/>
    <w:rsid w:val="000124CC"/>
    <w:rsid w:val="00041F8B"/>
    <w:rsid w:val="00042A87"/>
    <w:rsid w:val="00046444"/>
    <w:rsid w:val="0004672C"/>
    <w:rsid w:val="0006023B"/>
    <w:rsid w:val="000859DE"/>
    <w:rsid w:val="0008638B"/>
    <w:rsid w:val="00090574"/>
    <w:rsid w:val="00092FC2"/>
    <w:rsid w:val="000A1677"/>
    <w:rsid w:val="000B407F"/>
    <w:rsid w:val="000C13C2"/>
    <w:rsid w:val="000D3BEF"/>
    <w:rsid w:val="000F0B1C"/>
    <w:rsid w:val="000F1D42"/>
    <w:rsid w:val="000F4D07"/>
    <w:rsid w:val="00102A03"/>
    <w:rsid w:val="001040A3"/>
    <w:rsid w:val="00173915"/>
    <w:rsid w:val="00186911"/>
    <w:rsid w:val="001B15EC"/>
    <w:rsid w:val="0022345D"/>
    <w:rsid w:val="00225854"/>
    <w:rsid w:val="0023283D"/>
    <w:rsid w:val="00252E0C"/>
    <w:rsid w:val="00276881"/>
    <w:rsid w:val="002916BE"/>
    <w:rsid w:val="002978F4"/>
    <w:rsid w:val="002B028D"/>
    <w:rsid w:val="002B435E"/>
    <w:rsid w:val="002C4DAE"/>
    <w:rsid w:val="002D4DD1"/>
    <w:rsid w:val="002D6488"/>
    <w:rsid w:val="002D6669"/>
    <w:rsid w:val="002E6541"/>
    <w:rsid w:val="002F5560"/>
    <w:rsid w:val="002F7232"/>
    <w:rsid w:val="0030486B"/>
    <w:rsid w:val="003231B9"/>
    <w:rsid w:val="003275AC"/>
    <w:rsid w:val="00333D29"/>
    <w:rsid w:val="003409F4"/>
    <w:rsid w:val="00357185"/>
    <w:rsid w:val="003C475F"/>
    <w:rsid w:val="003E4132"/>
    <w:rsid w:val="003E5E3F"/>
    <w:rsid w:val="003E78B0"/>
    <w:rsid w:val="003F678F"/>
    <w:rsid w:val="0042686F"/>
    <w:rsid w:val="004367CE"/>
    <w:rsid w:val="00443869"/>
    <w:rsid w:val="004565AA"/>
    <w:rsid w:val="004712C6"/>
    <w:rsid w:val="00497703"/>
    <w:rsid w:val="004F0F06"/>
    <w:rsid w:val="00501E0E"/>
    <w:rsid w:val="00517481"/>
    <w:rsid w:val="005204D7"/>
    <w:rsid w:val="00530420"/>
    <w:rsid w:val="00552BC5"/>
    <w:rsid w:val="0055516A"/>
    <w:rsid w:val="0056374C"/>
    <w:rsid w:val="0056509A"/>
    <w:rsid w:val="0056614F"/>
    <w:rsid w:val="0056708C"/>
    <w:rsid w:val="0057656F"/>
    <w:rsid w:val="00576731"/>
    <w:rsid w:val="00584424"/>
    <w:rsid w:val="0059285F"/>
    <w:rsid w:val="005A24B1"/>
    <w:rsid w:val="005B7B8A"/>
    <w:rsid w:val="005C1F73"/>
    <w:rsid w:val="005D6476"/>
    <w:rsid w:val="005D6C0D"/>
    <w:rsid w:val="005E5283"/>
    <w:rsid w:val="005E58F5"/>
    <w:rsid w:val="00606660"/>
    <w:rsid w:val="006157A3"/>
    <w:rsid w:val="00617F70"/>
    <w:rsid w:val="00620E60"/>
    <w:rsid w:val="0063315A"/>
    <w:rsid w:val="0065591D"/>
    <w:rsid w:val="00662C5A"/>
    <w:rsid w:val="00666C28"/>
    <w:rsid w:val="00670AF5"/>
    <w:rsid w:val="006C1556"/>
    <w:rsid w:val="006E77E7"/>
    <w:rsid w:val="006F267F"/>
    <w:rsid w:val="006F63F7"/>
    <w:rsid w:val="006F6F03"/>
    <w:rsid w:val="00706D7A"/>
    <w:rsid w:val="00707FC4"/>
    <w:rsid w:val="00726AEC"/>
    <w:rsid w:val="007530CA"/>
    <w:rsid w:val="0079553D"/>
    <w:rsid w:val="007A03CD"/>
    <w:rsid w:val="007B0163"/>
    <w:rsid w:val="007B01CC"/>
    <w:rsid w:val="007E7C6C"/>
    <w:rsid w:val="007F1D8A"/>
    <w:rsid w:val="007F5E80"/>
    <w:rsid w:val="007F6238"/>
    <w:rsid w:val="007F646C"/>
    <w:rsid w:val="00801FCD"/>
    <w:rsid w:val="00803D7E"/>
    <w:rsid w:val="00803F08"/>
    <w:rsid w:val="008235CD"/>
    <w:rsid w:val="00823A07"/>
    <w:rsid w:val="00835FEC"/>
    <w:rsid w:val="008513CB"/>
    <w:rsid w:val="00874D9C"/>
    <w:rsid w:val="008A1810"/>
    <w:rsid w:val="008B0945"/>
    <w:rsid w:val="008B5B5D"/>
    <w:rsid w:val="008F591E"/>
    <w:rsid w:val="00917694"/>
    <w:rsid w:val="00923199"/>
    <w:rsid w:val="009263CD"/>
    <w:rsid w:val="00930E6D"/>
    <w:rsid w:val="00972CA2"/>
    <w:rsid w:val="00982B28"/>
    <w:rsid w:val="00984EA5"/>
    <w:rsid w:val="00992593"/>
    <w:rsid w:val="009C17E1"/>
    <w:rsid w:val="009C35ED"/>
    <w:rsid w:val="009F1C12"/>
    <w:rsid w:val="00A124CB"/>
    <w:rsid w:val="00A2167A"/>
    <w:rsid w:val="00A25A43"/>
    <w:rsid w:val="00A325D8"/>
    <w:rsid w:val="00A3295B"/>
    <w:rsid w:val="00A42AE5"/>
    <w:rsid w:val="00A52B61"/>
    <w:rsid w:val="00A64820"/>
    <w:rsid w:val="00A71DD6"/>
    <w:rsid w:val="00A723C7"/>
    <w:rsid w:val="00A80E11"/>
    <w:rsid w:val="00A97F94"/>
    <w:rsid w:val="00AA6BF1"/>
    <w:rsid w:val="00AB1309"/>
    <w:rsid w:val="00AC2C52"/>
    <w:rsid w:val="00AD1503"/>
    <w:rsid w:val="00AE7244"/>
    <w:rsid w:val="00AF0FF1"/>
    <w:rsid w:val="00AF3FEE"/>
    <w:rsid w:val="00B02F46"/>
    <w:rsid w:val="00B2000C"/>
    <w:rsid w:val="00B20ADE"/>
    <w:rsid w:val="00B66B9A"/>
    <w:rsid w:val="00B750BB"/>
    <w:rsid w:val="00B7532D"/>
    <w:rsid w:val="00B82089"/>
    <w:rsid w:val="00B970AE"/>
    <w:rsid w:val="00BA1427"/>
    <w:rsid w:val="00BD2824"/>
    <w:rsid w:val="00BD34D9"/>
    <w:rsid w:val="00BE49D0"/>
    <w:rsid w:val="00BF2C38"/>
    <w:rsid w:val="00C23331"/>
    <w:rsid w:val="00C265DA"/>
    <w:rsid w:val="00C32B14"/>
    <w:rsid w:val="00C442F2"/>
    <w:rsid w:val="00C6519B"/>
    <w:rsid w:val="00C674FE"/>
    <w:rsid w:val="00C7297D"/>
    <w:rsid w:val="00C75633"/>
    <w:rsid w:val="00C8242E"/>
    <w:rsid w:val="00C82615"/>
    <w:rsid w:val="00C867DB"/>
    <w:rsid w:val="00CA2A38"/>
    <w:rsid w:val="00CA50FF"/>
    <w:rsid w:val="00CB6960"/>
    <w:rsid w:val="00CC3CD2"/>
    <w:rsid w:val="00CC43BE"/>
    <w:rsid w:val="00CD123C"/>
    <w:rsid w:val="00CD2085"/>
    <w:rsid w:val="00CE2EE1"/>
    <w:rsid w:val="00CF3FFD"/>
    <w:rsid w:val="00CF5ED3"/>
    <w:rsid w:val="00D0494C"/>
    <w:rsid w:val="00D14BEB"/>
    <w:rsid w:val="00D21C89"/>
    <w:rsid w:val="00D45542"/>
    <w:rsid w:val="00D76BE0"/>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32189"/>
    <w:rsid w:val="00E43560"/>
    <w:rsid w:val="00E45211"/>
    <w:rsid w:val="00E7380C"/>
    <w:rsid w:val="00E74BE7"/>
    <w:rsid w:val="00E86CC9"/>
    <w:rsid w:val="00E96624"/>
    <w:rsid w:val="00EC0529"/>
    <w:rsid w:val="00F126F1"/>
    <w:rsid w:val="00F2106A"/>
    <w:rsid w:val="00F36D8B"/>
    <w:rsid w:val="00F401D0"/>
    <w:rsid w:val="00F45F2B"/>
    <w:rsid w:val="00F57AE4"/>
    <w:rsid w:val="00F67150"/>
    <w:rsid w:val="00F71E96"/>
    <w:rsid w:val="00F81842"/>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A64399C-CFD3-409A-827F-99B501B5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y.itu.int/index.php?option=com_content&amp;view=article&amp;id=176&amp;lang=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purl.org/dc/elements/1.1/"/>
    <ds:schemaRef ds:uri="http://purl.org/dc/dcmitype/"/>
    <ds:schemaRef ds:uri="de10a323-94a9-4e93-88b4-ea964576960d"/>
    <ds:schemaRef ds:uri="http://schemas.microsoft.com/office/2006/documentManagement/types"/>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19D0719-1E5D-4FEB-896B-B19E2FF2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52</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26</cp:revision>
  <cp:lastPrinted>2017-03-13T12:32:00Z</cp:lastPrinted>
  <dcterms:created xsi:type="dcterms:W3CDTF">2017-04-20T11:47:00Z</dcterms:created>
  <dcterms:modified xsi:type="dcterms:W3CDTF">2017-04-20T15:19:00Z</dcterms:modified>
  <cp:category>Conference document</cp:category>
</cp:coreProperties>
</file>