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992D5E" w:rsidTr="00992D5E">
        <w:trPr>
          <w:cantSplit/>
          <w:trHeight w:val="1418"/>
        </w:trPr>
        <w:tc>
          <w:tcPr>
            <w:tcW w:w="1276" w:type="dxa"/>
          </w:tcPr>
          <w:p w:rsidR="00992D5E" w:rsidRPr="00844A56" w:rsidRDefault="00992D5E" w:rsidP="00992D5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  <w:color w:val="3399FF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 wp14:anchorId="20587FE3" wp14:editId="7E2EDDD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992D5E" w:rsidRPr="00E65A2C" w:rsidRDefault="00992D5E" w:rsidP="00992D5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развитию электросвязи (КГРЭ)</w:t>
            </w:r>
          </w:p>
          <w:p w:rsidR="00992D5E" w:rsidRPr="00E65A2C" w:rsidRDefault="00992D5E" w:rsidP="00992D5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Cs w:val="24"/>
              </w:rPr>
              <w:t>Женева, 9−12 мая 2017 года</w:t>
            </w:r>
          </w:p>
        </w:tc>
        <w:tc>
          <w:tcPr>
            <w:tcW w:w="3225" w:type="dxa"/>
          </w:tcPr>
          <w:p w:rsidR="00992D5E" w:rsidRPr="00683C32" w:rsidRDefault="00992D5E" w:rsidP="00992D5E">
            <w:pPr>
              <w:spacing w:before="0"/>
              <w:ind w:right="142"/>
              <w:jc w:val="right"/>
            </w:pPr>
            <w:r w:rsidRPr="00E65A2C">
              <w:rPr>
                <w:noProof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 wp14:anchorId="67023C2D" wp14:editId="5BCB82E8">
                  <wp:simplePos x="0" y="0"/>
                  <wp:positionH relativeFrom="column">
                    <wp:posOffset>249665</wp:posOffset>
                  </wp:positionH>
                  <wp:positionV relativeFrom="paragraph">
                    <wp:posOffset>19712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992D5E" w:rsidRDefault="00380B71" w:rsidP="00752128">
            <w:pPr>
              <w:spacing w:before="0"/>
              <w:jc w:val="both"/>
              <w:rPr>
                <w:bCs/>
                <w:sz w:val="22"/>
                <w:szCs w:val="22"/>
              </w:rPr>
            </w:pPr>
            <w:r w:rsidRPr="00992D5E">
              <w:rPr>
                <w:b/>
                <w:sz w:val="22"/>
                <w:szCs w:val="22"/>
              </w:rPr>
              <w:t xml:space="preserve">Документ </w:t>
            </w:r>
            <w:bookmarkStart w:id="0" w:name="DocRef1"/>
            <w:bookmarkEnd w:id="0"/>
            <w:r w:rsidRPr="00992D5E">
              <w:rPr>
                <w:b/>
                <w:sz w:val="22"/>
                <w:szCs w:val="22"/>
              </w:rPr>
              <w:t>TDAG17-22/</w:t>
            </w:r>
            <w:bookmarkStart w:id="1" w:name="DocNo1"/>
            <w:bookmarkEnd w:id="1"/>
            <w:r w:rsidRPr="00992D5E">
              <w:rPr>
                <w:b/>
                <w:sz w:val="22"/>
                <w:szCs w:val="22"/>
              </w:rPr>
              <w:t>22-R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683C32" w:rsidRPr="00992D5E" w:rsidRDefault="00752128" w:rsidP="00107E85">
            <w:pPr>
              <w:spacing w:before="0"/>
              <w:rPr>
                <w:b/>
                <w:sz w:val="22"/>
                <w:szCs w:val="22"/>
              </w:rPr>
            </w:pPr>
            <w:bookmarkStart w:id="2" w:name="CreationDate"/>
            <w:bookmarkEnd w:id="2"/>
            <w:r w:rsidRPr="00992D5E">
              <w:rPr>
                <w:b/>
                <w:sz w:val="22"/>
                <w:szCs w:val="22"/>
              </w:rPr>
              <w:t>14 марта 2017 года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992D5E" w:rsidRDefault="00683C32" w:rsidP="00107E85">
            <w:pPr>
              <w:spacing w:before="0" w:after="240"/>
              <w:rPr>
                <w:sz w:val="22"/>
                <w:szCs w:val="22"/>
              </w:rPr>
            </w:pPr>
            <w:r w:rsidRPr="00992D5E">
              <w:rPr>
                <w:b/>
                <w:sz w:val="22"/>
                <w:szCs w:val="22"/>
              </w:rPr>
              <w:t xml:space="preserve">Оригинал: </w:t>
            </w:r>
            <w:bookmarkStart w:id="3" w:name="Original"/>
            <w:bookmarkEnd w:id="3"/>
            <w:r w:rsidRPr="00992D5E">
              <w:rPr>
                <w:b/>
                <w:sz w:val="22"/>
                <w:szCs w:val="22"/>
              </w:rPr>
              <w:t>английский</w:t>
            </w:r>
          </w:p>
        </w:tc>
      </w:tr>
      <w:tr w:rsidR="00EB6ADC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EB6ADC" w:rsidRPr="00992D5E" w:rsidRDefault="00752128" w:rsidP="00752128">
            <w:pPr>
              <w:pStyle w:val="Source"/>
              <w:spacing w:after="120"/>
              <w:jc w:val="center"/>
              <w:rPr>
                <w:sz w:val="26"/>
                <w:szCs w:val="26"/>
              </w:rPr>
            </w:pPr>
            <w:bookmarkStart w:id="4" w:name="Source"/>
            <w:bookmarkEnd w:id="4"/>
            <w:r w:rsidRPr="00992D5E">
              <w:rPr>
                <w:sz w:val="26"/>
                <w:szCs w:val="26"/>
              </w:rPr>
              <w:t>Директор Бюро развития электросвязи</w:t>
            </w:r>
          </w:p>
        </w:tc>
      </w:tr>
      <w:tr w:rsidR="00EB6ADC" w:rsidRPr="002E6963" w:rsidTr="00107E85">
        <w:trPr>
          <w:cantSplit/>
        </w:trPr>
        <w:tc>
          <w:tcPr>
            <w:tcW w:w="9888" w:type="dxa"/>
            <w:gridSpan w:val="3"/>
          </w:tcPr>
          <w:p w:rsidR="00EB6ADC" w:rsidRPr="00992D5E" w:rsidRDefault="00EB6ADC" w:rsidP="00752128">
            <w:pPr>
              <w:pStyle w:val="Title1"/>
              <w:spacing w:before="120" w:after="120"/>
              <w:jc w:val="center"/>
              <w:rPr>
                <w:b w:val="0"/>
                <w:bCs/>
                <w:sz w:val="26"/>
                <w:szCs w:val="26"/>
              </w:rPr>
            </w:pPr>
            <w:bookmarkStart w:id="5" w:name="Title"/>
            <w:bookmarkEnd w:id="5"/>
            <w:r w:rsidRPr="00992D5E">
              <w:rPr>
                <w:b w:val="0"/>
                <w:sz w:val="26"/>
                <w:szCs w:val="26"/>
              </w:rPr>
              <w:t>ОТЧЕТ ДЛЯ КГРЭ ПРЕДСЕДАТЕЛЯ ГРУППЫ ПО ИНИЦИАТИВАМ</w:t>
            </w:r>
            <w:r w:rsidRPr="00992D5E">
              <w:rPr>
                <w:b w:val="0"/>
                <w:bCs/>
                <w:sz w:val="26"/>
                <w:szCs w:val="26"/>
              </w:rPr>
              <w:br/>
            </w:r>
            <w:r w:rsidRPr="00992D5E">
              <w:rPr>
                <w:b w:val="0"/>
                <w:sz w:val="26"/>
                <w:szCs w:val="26"/>
              </w:rPr>
              <w:t>В ОБЛАСТИ СОЗДАНИЯ ПОТЕНЦИАЛА (ГИСП)</w:t>
            </w:r>
          </w:p>
        </w:tc>
      </w:tr>
    </w:tbl>
    <w:p w:rsidR="00AC6F14" w:rsidRDefault="00AC6F14" w:rsidP="00935FF0"/>
    <w:p w:rsidR="00E109BB" w:rsidRPr="00992D5E" w:rsidRDefault="00E109BB" w:rsidP="00E109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b/>
          <w:bCs/>
          <w:sz w:val="22"/>
          <w:szCs w:val="22"/>
        </w:rPr>
      </w:pPr>
      <w:r w:rsidRPr="00992D5E">
        <w:rPr>
          <w:b/>
          <w:sz w:val="22"/>
          <w:szCs w:val="22"/>
        </w:rPr>
        <w:t>Резюме</w:t>
      </w:r>
    </w:p>
    <w:p w:rsidR="00E109BB" w:rsidRPr="00992D5E" w:rsidRDefault="00E109BB" w:rsidP="00992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992D5E">
        <w:rPr>
          <w:sz w:val="22"/>
          <w:szCs w:val="22"/>
        </w:rPr>
        <w:t>В настоящем документе описывается работа, проведенная Группой по инициативам в области создания потенциала (ГИСП) и направленная на предоставление руководящих указаний и поддержку деятельности МСЭ по созданию потенциала. Эта группа была создана согласно Резолюции 40, которая была принята Всемирной конференцией по развитию электросвязи 2010</w:t>
      </w:r>
      <w:r w:rsidR="00992D5E">
        <w:rPr>
          <w:sz w:val="22"/>
          <w:szCs w:val="22"/>
        </w:rPr>
        <w:t> </w:t>
      </w:r>
      <w:r w:rsidRPr="00992D5E">
        <w:rPr>
          <w:sz w:val="22"/>
          <w:szCs w:val="22"/>
        </w:rPr>
        <w:t>года (ВКРЭ-10) и пересмотрена на ВКРЭ</w:t>
      </w:r>
      <w:r w:rsidR="00992D5E">
        <w:rPr>
          <w:sz w:val="22"/>
          <w:szCs w:val="22"/>
        </w:rPr>
        <w:t>-</w:t>
      </w:r>
      <w:r w:rsidRPr="00992D5E">
        <w:rPr>
          <w:sz w:val="22"/>
          <w:szCs w:val="22"/>
        </w:rPr>
        <w:t>14, с тем чтобы представлять Директору Бюро развития электросвязи (БРЭ) рекомендации по вопросам, касающимся создания потенциала.</w:t>
      </w:r>
    </w:p>
    <w:p w:rsidR="00E109BB" w:rsidRPr="00992D5E" w:rsidRDefault="00E109BB" w:rsidP="00E109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szCs w:val="22"/>
        </w:rPr>
      </w:pPr>
      <w:r w:rsidRPr="00992D5E">
        <w:rPr>
          <w:b/>
          <w:sz w:val="22"/>
          <w:szCs w:val="22"/>
        </w:rPr>
        <w:t>Необходимые действия</w:t>
      </w:r>
    </w:p>
    <w:p w:rsidR="00E109BB" w:rsidRPr="00992D5E" w:rsidRDefault="00E109BB" w:rsidP="00E109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992D5E">
        <w:rPr>
          <w:sz w:val="22"/>
          <w:szCs w:val="22"/>
        </w:rPr>
        <w:t>КГРЭ предлагается принять настоящий отчет к сведению и по мере необходимости предоставить руководящие указания.</w:t>
      </w:r>
    </w:p>
    <w:p w:rsidR="00E109BB" w:rsidRPr="00992D5E" w:rsidRDefault="00E109BB" w:rsidP="00E109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szCs w:val="22"/>
        </w:rPr>
      </w:pPr>
      <w:r w:rsidRPr="00992D5E">
        <w:rPr>
          <w:b/>
          <w:sz w:val="22"/>
          <w:szCs w:val="22"/>
        </w:rPr>
        <w:t>Справочные материалы</w:t>
      </w:r>
    </w:p>
    <w:p w:rsidR="00E109BB" w:rsidRPr="00992D5E" w:rsidRDefault="00E109BB" w:rsidP="00E109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992D5E">
        <w:rPr>
          <w:sz w:val="22"/>
          <w:szCs w:val="22"/>
        </w:rPr>
        <w:t>Резолюция 40 (Пересм. Дубай, 2014 г.) "Группа по инициативам в области создания потенциала" ВКРЭ</w:t>
      </w:r>
    </w:p>
    <w:p w:rsidR="00E109BB" w:rsidRPr="00992D5E" w:rsidRDefault="00E109BB" w:rsidP="00E109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992D5E">
        <w:rPr>
          <w:sz w:val="22"/>
          <w:szCs w:val="22"/>
        </w:rPr>
        <w:t>Резолюция 73 (Пересм. Дубай, 2014 г.) "Центры профессионального мастерства МСЭ" ВКРЭ-14</w:t>
      </w:r>
    </w:p>
    <w:p w:rsidR="00E109BB" w:rsidRPr="00992D5E" w:rsidRDefault="00E109BB" w:rsidP="00E109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992D5E">
        <w:rPr>
          <w:sz w:val="22"/>
          <w:szCs w:val="22"/>
        </w:rPr>
        <w:t>Резолюция 169 (Пересм. Пусан, 2014 г.) "Допуск академических организаций к участию в работе Союза" ПК</w:t>
      </w:r>
    </w:p>
    <w:p w:rsidR="00E109BB" w:rsidRDefault="00E109BB" w:rsidP="00935FF0"/>
    <w:p w:rsidR="0054383A" w:rsidRDefault="005438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B6ADC" w:rsidRPr="00992D5E" w:rsidRDefault="00EB6ADC" w:rsidP="0054383A">
      <w:pPr>
        <w:pStyle w:val="BDTNormal"/>
        <w:tabs>
          <w:tab w:val="left" w:pos="567"/>
        </w:tabs>
        <w:spacing w:before="240" w:after="0"/>
        <w:jc w:val="both"/>
        <w:rPr>
          <w:rFonts w:asciiTheme="minorHAnsi" w:hAnsiTheme="minorHAnsi"/>
          <w:b/>
          <w:sz w:val="22"/>
          <w:szCs w:val="22"/>
        </w:rPr>
      </w:pPr>
      <w:r w:rsidRPr="00992D5E">
        <w:rPr>
          <w:rFonts w:asciiTheme="minorHAnsi" w:hAnsiTheme="minorHAnsi"/>
          <w:b/>
          <w:sz w:val="22"/>
          <w:szCs w:val="22"/>
        </w:rPr>
        <w:lastRenderedPageBreak/>
        <w:t>Введение</w:t>
      </w:r>
    </w:p>
    <w:p w:rsidR="00EB6ADC" w:rsidRPr="00992D5E" w:rsidRDefault="00EB6ADC" w:rsidP="0054383A">
      <w:pPr>
        <w:pStyle w:val="BDTNormal"/>
        <w:spacing w:after="0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 xml:space="preserve">Группа по инициативам в области создания потенциала (ГИСП) провела свое пятое собрание </w:t>
      </w:r>
      <w:r w:rsidR="00992D5E">
        <w:rPr>
          <w:rFonts w:asciiTheme="minorHAnsi" w:hAnsiTheme="minorHAnsi"/>
          <w:sz w:val="22"/>
          <w:szCs w:val="22"/>
        </w:rPr>
        <w:br/>
      </w:r>
      <w:r w:rsidRPr="00992D5E">
        <w:rPr>
          <w:rFonts w:asciiTheme="minorHAnsi" w:hAnsiTheme="minorHAnsi"/>
          <w:sz w:val="22"/>
          <w:szCs w:val="22"/>
        </w:rPr>
        <w:t>8−9 февраля 2017 года в штаб-квартире МСЭ в Женеве, Швейцария. В собрании приняли участие члены ГИСП, представляющие все регионы, за исключением двух членов − представителя от Азиатско-Тихоокеанского региона и представителя от Европы, которые не смогли в нем участвовать.</w:t>
      </w:r>
    </w:p>
    <w:p w:rsidR="000D77DB" w:rsidRPr="00992D5E" w:rsidRDefault="00D65301" w:rsidP="0054383A">
      <w:pPr>
        <w:pStyle w:val="BDTNormal"/>
        <w:spacing w:after="0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В ходе 5-го собрания ГИСП группа обсудила недавно проведенные мероприятия по созданию потенциала в рамках МСЭ/БРЭ и предоставила рекомендации по дальнейшим действиям.</w:t>
      </w:r>
    </w:p>
    <w:p w:rsidR="000D77DB" w:rsidRPr="00992D5E" w:rsidRDefault="000D77DB" w:rsidP="0054383A">
      <w:pPr>
        <w:pStyle w:val="BDTNormal"/>
        <w:spacing w:after="0"/>
        <w:rPr>
          <w:rFonts w:asciiTheme="minorHAnsi" w:hAnsiTheme="minorHAnsi"/>
          <w:b/>
          <w:bCs/>
          <w:sz w:val="22"/>
          <w:szCs w:val="22"/>
        </w:rPr>
      </w:pPr>
      <w:r w:rsidRPr="00992D5E">
        <w:rPr>
          <w:rFonts w:asciiTheme="minorHAnsi" w:hAnsiTheme="minorHAnsi"/>
          <w:b/>
          <w:sz w:val="22"/>
          <w:szCs w:val="22"/>
        </w:rPr>
        <w:t>ССП-2016</w:t>
      </w:r>
    </w:p>
    <w:p w:rsidR="00EB6ADC" w:rsidRPr="00992D5E" w:rsidRDefault="00EB6ADC" w:rsidP="00992D5E">
      <w:pPr>
        <w:pStyle w:val="BDTNormal"/>
        <w:spacing w:after="0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Группа рассмотрела проведенный с ошеломляющим успехом в Найроби в сентябре 2016 года Глобальный симпозиум по созданию потенциала в области ИКТ (ССП), на котором присутствовали как Председатель, так и заместители Председателя. Симпозиум привлек ряд молодых участников и включал в себя проведение интерактивной сессии с участием молодых новаторов, что подтвердило привлекательность цифровой экономики для молодого поколения. МСЭ была выражена признательность за проведение такого успешного мероприятия.</w:t>
      </w:r>
    </w:p>
    <w:p w:rsidR="00D65301" w:rsidRPr="00992D5E" w:rsidRDefault="00D65301" w:rsidP="00EB6ADC">
      <w:pPr>
        <w:pStyle w:val="BDTNormal"/>
        <w:spacing w:after="0"/>
        <w:rPr>
          <w:rFonts w:asciiTheme="minorHAnsi" w:hAnsiTheme="minorHAnsi"/>
          <w:b/>
          <w:bCs/>
          <w:sz w:val="22"/>
          <w:szCs w:val="22"/>
        </w:rPr>
      </w:pPr>
      <w:r w:rsidRPr="00992D5E">
        <w:rPr>
          <w:rFonts w:asciiTheme="minorHAnsi" w:hAnsiTheme="minorHAnsi"/>
          <w:b/>
          <w:sz w:val="22"/>
          <w:szCs w:val="22"/>
        </w:rPr>
        <w:t xml:space="preserve">Новые сферы деятельности по созданию потенциала </w:t>
      </w:r>
    </w:p>
    <w:p w:rsidR="00EB6ADC" w:rsidRPr="00992D5E" w:rsidRDefault="00EB6ADC" w:rsidP="00EB6ADC">
      <w:pPr>
        <w:pStyle w:val="BDTNormal"/>
        <w:spacing w:after="0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Участники обратили внимание на то, что с течением времени динамика развития сектора ИКТ изменилась и, кроме традиционных участников отрасли электросвязи, появились новые заинтересованные стороны, в связи с чем деятельность по созданию потенциала необходимо привести в соответствие с новыми требованиями.  Так, в сельских районах появились общинные сети, взявшие на себя роль новых игроков, предоставляющих решения в сфере ИКТ на уровне общин, и их нынешний статус необходимо признать.</w:t>
      </w:r>
    </w:p>
    <w:p w:rsidR="00EB6ADC" w:rsidRPr="00992D5E" w:rsidRDefault="00EB6ADC" w:rsidP="00EB6ADC">
      <w:pPr>
        <w:pStyle w:val="BDTNormal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Кроме того, усилия по созданию потенциала необходимо направить, в частности, в развитие предпринимательства среди молодых людей, создание потенциала по внедрению и использованию цифровых инструментов среди женщин и молодых людей, а также в содействие развитию ИКТ для МСП. Было отмечено, что приоритетным теперь является не формирование сетей, а содействие широкому использованию того множества услуг на основе ИКТ, которые предоставляются в таких сетях.</w:t>
      </w:r>
    </w:p>
    <w:p w:rsidR="00EB6ADC" w:rsidRPr="00992D5E" w:rsidRDefault="00EB6ADC" w:rsidP="00EB6ADC">
      <w:pPr>
        <w:pStyle w:val="BDTNormal"/>
        <w:spacing w:after="0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 xml:space="preserve">В связи с этим необходимо привлечь ГИСП к работе над созданием потенциала в областях, не ограничивающихся деятельностью центров профессионального мастерства (ЦПМ), учитывая, что круг заинтересованных сторон в области создания потенциала расширился, равно как и предусмотренный Резолюцией 40 мандат.  </w:t>
      </w:r>
    </w:p>
    <w:p w:rsidR="00EB6ADC" w:rsidRPr="00992D5E" w:rsidRDefault="00EB6ADC" w:rsidP="00EB6ADC">
      <w:pPr>
        <w:pStyle w:val="BDTNormal"/>
        <w:spacing w:after="0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Все участники согласились, что профессиональная подготовка должна проводиться исходя из существующего спроса. Для этого необходимо проводить анализ потребностей в профессиональной подготовке, который позволит убедиться в том, что предоставляемая профессиональная подготовка является актуальной. МСЭ призывают поддержать проведение такого анализа потребностей.</w:t>
      </w:r>
    </w:p>
    <w:p w:rsidR="00D65301" w:rsidRPr="00992D5E" w:rsidRDefault="00D65301" w:rsidP="00E109BB">
      <w:pPr>
        <w:pStyle w:val="BDTNormal"/>
        <w:rPr>
          <w:rFonts w:asciiTheme="minorHAnsi" w:hAnsiTheme="minorHAnsi"/>
          <w:b/>
          <w:bCs/>
          <w:sz w:val="22"/>
          <w:szCs w:val="22"/>
        </w:rPr>
      </w:pPr>
      <w:r w:rsidRPr="00992D5E">
        <w:rPr>
          <w:rFonts w:asciiTheme="minorHAnsi" w:hAnsiTheme="minorHAnsi"/>
          <w:b/>
          <w:sz w:val="22"/>
          <w:szCs w:val="22"/>
        </w:rPr>
        <w:t>Центры профессионального мастерства</w:t>
      </w:r>
    </w:p>
    <w:p w:rsidR="00EB6ADC" w:rsidRPr="00992D5E" w:rsidRDefault="00EB6ADC" w:rsidP="00EB6ADC">
      <w:pPr>
        <w:pStyle w:val="BDTNormal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Группа приняла к сведению необходимость подготовки основы для отбора новых ЦПМ на последующий цикл и решила предоставить рекомендации и поддержку БРЭ в рамках процесса оценки и отбора.</w:t>
      </w:r>
    </w:p>
    <w:p w:rsidR="00EB6ADC" w:rsidRPr="00992D5E" w:rsidRDefault="00EB6ADC" w:rsidP="00EB6ADC">
      <w:pPr>
        <w:pStyle w:val="BDTNormal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Участники собрания согласились с тем, что одних ЦПМ недостаточно для обеспечения создания потенциала в области ИКТ и что необходимо рассмотреть возможность привлечения к данной работе и других партнеров. Поскольку ЦПМ ориентированы непосредственно на проведение профессиональной подготовки специалистов и руководителей, необходимо учесть и другие сферы и целевые группы, не охваченные ЦПМ.</w:t>
      </w:r>
    </w:p>
    <w:p w:rsidR="00992D5E" w:rsidRDefault="00992D5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65301" w:rsidRPr="00992D5E" w:rsidRDefault="00D65301" w:rsidP="00EB6ADC">
      <w:pPr>
        <w:pStyle w:val="BDTNormal"/>
        <w:rPr>
          <w:rFonts w:asciiTheme="minorHAnsi" w:hAnsiTheme="minorHAnsi"/>
          <w:b/>
          <w:bCs/>
          <w:sz w:val="22"/>
          <w:szCs w:val="22"/>
        </w:rPr>
      </w:pPr>
      <w:r w:rsidRPr="00992D5E">
        <w:rPr>
          <w:rFonts w:asciiTheme="minorHAnsi" w:hAnsiTheme="minorHAnsi"/>
          <w:b/>
          <w:sz w:val="22"/>
          <w:szCs w:val="22"/>
        </w:rPr>
        <w:lastRenderedPageBreak/>
        <w:t>Партнерства в области создания потенциала</w:t>
      </w:r>
    </w:p>
    <w:p w:rsidR="00EB6ADC" w:rsidRPr="00992D5E" w:rsidRDefault="00EB6ADC" w:rsidP="00EB6ADC">
      <w:pPr>
        <w:pStyle w:val="BDTNormal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Участники признали существование широких возможностей для установления партнерства в области создания потенциала.  Необходимо найти подход к различным партнерам, привлечь их и установить сотрудничество в целях планирования и проведения мероприятий в области создания потенциала, а также в целях мобилизации ресурсов. Такими партнерами могут выступать представители государственного и частного секторов, сообщества по вопросам развития, академических организаций и т. п. Особо отмечено было привлечение академических организаций.</w:t>
      </w:r>
    </w:p>
    <w:p w:rsidR="00D65301" w:rsidRPr="00992D5E" w:rsidRDefault="00D65301" w:rsidP="00992D5E">
      <w:pPr>
        <w:pStyle w:val="BDTNormal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В этом связи собрание приветствует планы по проведению в Будапеште, Венгрия, в сентябре 2017</w:t>
      </w:r>
      <w:r w:rsidR="00992D5E">
        <w:rPr>
          <w:rFonts w:asciiTheme="minorHAnsi" w:hAnsiTheme="minorHAnsi"/>
          <w:sz w:val="22"/>
          <w:szCs w:val="22"/>
        </w:rPr>
        <w:t> </w:t>
      </w:r>
      <w:r w:rsidRPr="00992D5E">
        <w:rPr>
          <w:rFonts w:asciiTheme="minorHAnsi" w:hAnsiTheme="minorHAnsi"/>
          <w:sz w:val="22"/>
          <w:szCs w:val="22"/>
        </w:rPr>
        <w:t xml:space="preserve">года мероприятия по вопросам создания потенциала в рамках МСЭ для академических организаций. </w:t>
      </w:r>
    </w:p>
    <w:p w:rsidR="00D65301" w:rsidRPr="00992D5E" w:rsidRDefault="00D65301" w:rsidP="00D65301">
      <w:pPr>
        <w:tabs>
          <w:tab w:val="left" w:pos="884"/>
        </w:tabs>
        <w:spacing w:before="60" w:after="120"/>
        <w:jc w:val="both"/>
        <w:rPr>
          <w:rFonts w:ascii="Calibri" w:eastAsia="SimSun" w:hAnsi="Calibri" w:cs="Traditional Arabic"/>
          <w:b/>
          <w:bCs/>
          <w:sz w:val="22"/>
          <w:szCs w:val="22"/>
        </w:rPr>
      </w:pPr>
      <w:r w:rsidRPr="00992D5E">
        <w:rPr>
          <w:rFonts w:ascii="Calibri" w:hAnsi="Calibri"/>
          <w:b/>
          <w:sz w:val="22"/>
          <w:szCs w:val="22"/>
        </w:rPr>
        <w:t>Публикация по вопросам создания потенциала</w:t>
      </w:r>
    </w:p>
    <w:p w:rsidR="00D65301" w:rsidRPr="00992D5E" w:rsidRDefault="00D65301" w:rsidP="00EF3F1E">
      <w:pPr>
        <w:tabs>
          <w:tab w:val="left" w:pos="884"/>
        </w:tabs>
        <w:spacing w:before="60" w:after="120"/>
        <w:jc w:val="both"/>
        <w:rPr>
          <w:rFonts w:ascii="Calibri" w:eastAsia="SimSun" w:hAnsi="Calibri" w:cs="Traditional Arabic"/>
          <w:sz w:val="22"/>
          <w:szCs w:val="22"/>
        </w:rPr>
      </w:pPr>
      <w:r w:rsidRPr="00992D5E">
        <w:rPr>
          <w:rFonts w:ascii="Calibri" w:hAnsi="Calibri"/>
          <w:sz w:val="22"/>
          <w:szCs w:val="22"/>
        </w:rPr>
        <w:t>Обсу</w:t>
      </w:r>
      <w:bookmarkStart w:id="6" w:name="_GoBack"/>
      <w:bookmarkEnd w:id="6"/>
      <w:r w:rsidRPr="00992D5E">
        <w:rPr>
          <w:rFonts w:ascii="Calibri" w:hAnsi="Calibri"/>
          <w:sz w:val="22"/>
          <w:szCs w:val="22"/>
        </w:rPr>
        <w:t>ждавшаяся во время проведенного в Лиссабоне последнего собрания ГИСП публикация станет первой из цикла публикаций под названием "Создание потенциала в условиях изменяющейся среды ИКТ".</w:t>
      </w:r>
      <w:r w:rsidRPr="00992D5E">
        <w:rPr>
          <w:rFonts w:ascii="Calibri" w:hAnsi="Calibri"/>
          <w:b/>
          <w:sz w:val="22"/>
          <w:szCs w:val="22"/>
        </w:rPr>
        <w:t xml:space="preserve">  </w:t>
      </w:r>
      <w:r w:rsidRPr="00992D5E">
        <w:rPr>
          <w:rFonts w:ascii="Calibri" w:hAnsi="Calibri"/>
          <w:sz w:val="22"/>
          <w:szCs w:val="22"/>
        </w:rPr>
        <w:t>Работа над первым изданием данной публикации уже завершена, и в марте 2017 года оно выйдет в свет. В последующих изданиях будут опубликованы сделанные исследователями и учеными вклады.</w:t>
      </w:r>
    </w:p>
    <w:p w:rsidR="000D77DB" w:rsidRPr="00992D5E" w:rsidRDefault="000D77DB" w:rsidP="00EB6ADC">
      <w:pPr>
        <w:pStyle w:val="BDTNormal"/>
        <w:rPr>
          <w:rFonts w:asciiTheme="minorHAnsi" w:hAnsiTheme="minorHAnsi"/>
          <w:b/>
          <w:bCs/>
          <w:sz w:val="22"/>
          <w:szCs w:val="22"/>
        </w:rPr>
      </w:pPr>
      <w:r w:rsidRPr="00992D5E">
        <w:rPr>
          <w:rFonts w:asciiTheme="minorHAnsi" w:hAnsiTheme="minorHAnsi"/>
          <w:b/>
          <w:sz w:val="22"/>
          <w:szCs w:val="22"/>
        </w:rPr>
        <w:t>Круг ведения ГИСП</w:t>
      </w:r>
    </w:p>
    <w:p w:rsidR="00EB6ADC" w:rsidRPr="00992D5E" w:rsidRDefault="00EB6ADC" w:rsidP="00EB6ADC">
      <w:pPr>
        <w:pStyle w:val="BDTNormal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>Группа обсудила круг ведения ГИСП, в котором указаны процедура отбора членов ГИСП, срок их полномочий, процедура ведения ими дел и т. д. Было достигнуто всеобщее согласие относительно проекта круга ведения, и он был принят.</w:t>
      </w:r>
    </w:p>
    <w:p w:rsidR="00EB6ADC" w:rsidRPr="00992D5E" w:rsidRDefault="00EB6ADC" w:rsidP="00E109BB">
      <w:pPr>
        <w:pStyle w:val="BDTNormal"/>
        <w:spacing w:before="240" w:after="0"/>
        <w:rPr>
          <w:rFonts w:asciiTheme="minorHAnsi" w:hAnsiTheme="minorHAnsi"/>
          <w:sz w:val="22"/>
          <w:szCs w:val="22"/>
        </w:rPr>
      </w:pPr>
      <w:r w:rsidRPr="00992D5E">
        <w:rPr>
          <w:rFonts w:asciiTheme="minorHAnsi" w:hAnsiTheme="minorHAnsi"/>
          <w:sz w:val="22"/>
          <w:szCs w:val="22"/>
        </w:rPr>
        <w:t xml:space="preserve">С заключительным отчетом настоящего собрания можно ознакомиться на веб-сайте Академии МСЭ по следующему адресу: </w:t>
      </w:r>
      <w:hyperlink r:id="rId10">
        <w:r w:rsidRPr="00992D5E">
          <w:rPr>
            <w:rStyle w:val="Hyperlink"/>
            <w:rFonts w:asciiTheme="minorHAnsi" w:hAnsiTheme="minorHAnsi"/>
            <w:sz w:val="22"/>
            <w:szCs w:val="22"/>
          </w:rPr>
          <w:t>https://academy.itu.int/index.php?option=com_content&amp;view=article&amp;id=176&amp;lang=en</w:t>
        </w:r>
      </w:hyperlink>
    </w:p>
    <w:p w:rsidR="003C58BF" w:rsidRPr="00992D5E" w:rsidRDefault="003C58BF" w:rsidP="00E109BB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sz w:val="22"/>
          <w:szCs w:val="22"/>
        </w:rPr>
      </w:pPr>
      <w:r w:rsidRPr="00992D5E">
        <w:rPr>
          <w:sz w:val="22"/>
          <w:szCs w:val="22"/>
        </w:rPr>
        <w:t>_______________</w:t>
      </w:r>
    </w:p>
    <w:p w:rsidR="00E109BB" w:rsidRPr="00C86600" w:rsidRDefault="00E109BB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</w:p>
    <w:sectPr w:rsidR="00E109BB" w:rsidRPr="00C86600" w:rsidSect="00DA0B53">
      <w:headerReference w:type="default" r:id="rId11"/>
      <w:footerReference w:type="first" r:id="rId12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FF" w:rsidRDefault="00932EFF">
      <w:r>
        <w:separator/>
      </w:r>
    </w:p>
  </w:endnote>
  <w:endnote w:type="continuationSeparator" w:id="0">
    <w:p w:rsidR="00932EFF" w:rsidRDefault="0093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992D5E" w:rsidP="00B80157">
    <w:pPr>
      <w:pStyle w:val="Footer"/>
      <w:jc w:val="center"/>
    </w:pPr>
    <w:hyperlink r:id="rId1">
      <w:r w:rsidR="00326E40">
        <w:rPr>
          <w:rStyle w:val="Hyperlink"/>
          <w:caps w:val="0"/>
          <w:noProof w:val="0"/>
          <w:sz w:val="18"/>
        </w:rPr>
        <w:t>http://www.itu.int/ITU-D/TDAG/</w:t>
      </w:r>
    </w:hyperlink>
    <w:hyperlink r:id="rId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FF" w:rsidRDefault="00932EFF">
      <w:r>
        <w:t>____________________</w:t>
      </w:r>
    </w:p>
  </w:footnote>
  <w:footnote w:type="continuationSeparator" w:id="0">
    <w:p w:rsidR="00932EFF" w:rsidRDefault="0093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E109B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>
      <w:tab/>
      <w:t>ITU-D/</w:t>
    </w:r>
    <w:r>
      <w:rPr>
        <w:sz w:val="22"/>
      </w:rPr>
      <w:t>TDAG17-22/22-R</w:t>
    </w:r>
    <w:r>
      <w:tab/>
    </w:r>
    <w:r>
      <w:rPr>
        <w:sz w:val="22"/>
      </w:rPr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992D5E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58B9"/>
    <w:multiLevelType w:val="hybridMultilevel"/>
    <w:tmpl w:val="A4B0770A"/>
    <w:lvl w:ilvl="0" w:tplc="4D226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7855"/>
    <w:rsid w:val="0009225C"/>
    <w:rsid w:val="000A17C4"/>
    <w:rsid w:val="000A36A4"/>
    <w:rsid w:val="000B2352"/>
    <w:rsid w:val="000C7B84"/>
    <w:rsid w:val="000D261B"/>
    <w:rsid w:val="000D58A3"/>
    <w:rsid w:val="000D77DB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279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6E40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6DAE"/>
    <w:rsid w:val="004E20E5"/>
    <w:rsid w:val="004E64EA"/>
    <w:rsid w:val="004E7828"/>
    <w:rsid w:val="004F46AA"/>
    <w:rsid w:val="004F576E"/>
    <w:rsid w:val="004F6A70"/>
    <w:rsid w:val="00502ABF"/>
    <w:rsid w:val="00504DB0"/>
    <w:rsid w:val="00507C35"/>
    <w:rsid w:val="00510735"/>
    <w:rsid w:val="00514D2F"/>
    <w:rsid w:val="0054383A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30B4"/>
    <w:rsid w:val="006D40D5"/>
    <w:rsid w:val="006F009A"/>
    <w:rsid w:val="006F3D93"/>
    <w:rsid w:val="007019B1"/>
    <w:rsid w:val="00721657"/>
    <w:rsid w:val="007279A8"/>
    <w:rsid w:val="00727B1A"/>
    <w:rsid w:val="00741337"/>
    <w:rsid w:val="00752128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6B5D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2EF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2D5E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402B"/>
    <w:rsid w:val="00AC6F14"/>
    <w:rsid w:val="00AC7221"/>
    <w:rsid w:val="00AE5961"/>
    <w:rsid w:val="00AF0745"/>
    <w:rsid w:val="00AF4971"/>
    <w:rsid w:val="00AF5276"/>
    <w:rsid w:val="00B01046"/>
    <w:rsid w:val="00B16830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65301"/>
    <w:rsid w:val="00D72301"/>
    <w:rsid w:val="00D911DE"/>
    <w:rsid w:val="00D91B97"/>
    <w:rsid w:val="00D93ACC"/>
    <w:rsid w:val="00D93C08"/>
    <w:rsid w:val="00D95DAC"/>
    <w:rsid w:val="00DA07C7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09BB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6ADC"/>
    <w:rsid w:val="00EB7A8A"/>
    <w:rsid w:val="00EE3A64"/>
    <w:rsid w:val="00EE50E5"/>
    <w:rsid w:val="00EF01CF"/>
    <w:rsid w:val="00EF3F1E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8A07946-2E51-4E27-97B6-13698A1F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ru-RU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BDTNormal">
    <w:name w:val="BDT_Normal"/>
    <w:link w:val="BDTNormalChar"/>
    <w:rsid w:val="00EB6ADC"/>
    <w:pPr>
      <w:spacing w:before="120" w:after="120"/>
    </w:pPr>
    <w:rPr>
      <w:rFonts w:ascii="Verdana" w:eastAsia="SimSun" w:hAnsi="Verdana"/>
      <w:sz w:val="19"/>
      <w:szCs w:val="19"/>
    </w:rPr>
  </w:style>
  <w:style w:type="character" w:customStyle="1" w:styleId="BDTNormalChar">
    <w:name w:val="BDT_Normal Char"/>
    <w:link w:val="BDTNormal"/>
    <w:rsid w:val="00EB6ADC"/>
    <w:rPr>
      <w:rFonts w:ascii="Verdana" w:eastAsia="SimSun" w:hAnsi="Verdana"/>
      <w:sz w:val="19"/>
      <w:szCs w:val="19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6530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530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cademy.itu.int/index.php?option=com_content&amp;amp;view=article&amp;amp;id=176&amp;amp;lang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294A-5BCE-431D-8EEE-62F86CF0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10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Svechnikov, Andrey</cp:lastModifiedBy>
  <cp:revision>4</cp:revision>
  <cp:lastPrinted>2017-03-22T10:27:00Z</cp:lastPrinted>
  <dcterms:created xsi:type="dcterms:W3CDTF">2017-03-22T15:31:00Z</dcterms:created>
  <dcterms:modified xsi:type="dcterms:W3CDTF">2017-04-25T13:46:00Z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