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1C695B" w:rsidTr="000C61E9">
        <w:trPr>
          <w:cantSplit/>
          <w:trHeight w:val="1134"/>
        </w:trPr>
        <w:tc>
          <w:tcPr>
            <w:tcW w:w="1276" w:type="dxa"/>
          </w:tcPr>
          <w:p w:rsidR="00B46DF3" w:rsidRPr="001C695B" w:rsidRDefault="00107E85" w:rsidP="00107E85">
            <w:pPr>
              <w:tabs>
                <w:tab w:val="clear" w:pos="1191"/>
                <w:tab w:val="clear" w:pos="1588"/>
                <w:tab w:val="clear" w:pos="1985"/>
              </w:tabs>
              <w:spacing w:before="0"/>
              <w:ind w:left="1311"/>
              <w:rPr>
                <w:rFonts w:ascii="Verdana" w:hAnsi="Verdana"/>
                <w:sz w:val="28"/>
                <w:szCs w:val="28"/>
                <w:lang w:val="fr-FR"/>
              </w:rPr>
            </w:pPr>
            <w:r w:rsidRPr="001C695B">
              <w:rPr>
                <w:noProof/>
                <w:color w:val="3399FF"/>
                <w:lang w:val="en-US"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1C695B" w:rsidRDefault="00156BF6" w:rsidP="00156BF6">
            <w:pPr>
              <w:tabs>
                <w:tab w:val="left" w:pos="1871"/>
                <w:tab w:val="left" w:pos="2268"/>
              </w:tabs>
              <w:spacing w:before="20" w:after="48" w:line="240" w:lineRule="atLeast"/>
              <w:ind w:left="34"/>
              <w:rPr>
                <w:b/>
                <w:bCs/>
                <w:sz w:val="32"/>
                <w:szCs w:val="32"/>
                <w:lang w:val="fr-FR"/>
              </w:rPr>
            </w:pPr>
            <w:r w:rsidRPr="001C695B">
              <w:rPr>
                <w:b/>
                <w:sz w:val="32"/>
                <w:szCs w:val="32"/>
                <w:lang w:val="fr-FR"/>
              </w:rPr>
              <w:t>Groupe</w:t>
            </w:r>
            <w:r w:rsidRPr="001C695B">
              <w:rPr>
                <w:b/>
                <w:bCs/>
                <w:sz w:val="32"/>
                <w:szCs w:val="32"/>
                <w:lang w:val="fr-FR"/>
              </w:rPr>
              <w:t xml:space="preserve"> consultatif pour le développement </w:t>
            </w:r>
            <w:r w:rsidRPr="001C695B">
              <w:rPr>
                <w:b/>
                <w:bCs/>
                <w:sz w:val="32"/>
                <w:szCs w:val="32"/>
                <w:lang w:val="fr-FR"/>
              </w:rPr>
              <w:br/>
              <w:t>des télécommunications (GCDT)</w:t>
            </w:r>
          </w:p>
          <w:p w:rsidR="00E55807" w:rsidRPr="001C695B" w:rsidRDefault="00156BF6" w:rsidP="00156BF6">
            <w:pPr>
              <w:tabs>
                <w:tab w:val="clear" w:pos="1191"/>
                <w:tab w:val="clear" w:pos="1588"/>
                <w:tab w:val="clear" w:pos="1985"/>
              </w:tabs>
              <w:spacing w:before="100" w:after="120"/>
              <w:ind w:left="34"/>
              <w:rPr>
                <w:rFonts w:ascii="Verdana" w:hAnsi="Verdana"/>
                <w:sz w:val="28"/>
                <w:szCs w:val="28"/>
                <w:lang w:val="fr-FR"/>
              </w:rPr>
            </w:pPr>
            <w:r w:rsidRPr="001C695B">
              <w:rPr>
                <w:b/>
                <w:bCs/>
                <w:sz w:val="26"/>
                <w:szCs w:val="26"/>
                <w:lang w:val="fr-FR"/>
              </w:rPr>
              <w:t>22ème réunion, Genève, 9-12 mai 2017</w:t>
            </w:r>
          </w:p>
        </w:tc>
        <w:tc>
          <w:tcPr>
            <w:tcW w:w="2996" w:type="dxa"/>
          </w:tcPr>
          <w:p w:rsidR="00B46DF3" w:rsidRPr="001C695B" w:rsidRDefault="000C61E9" w:rsidP="00107E85">
            <w:pPr>
              <w:spacing w:before="0"/>
              <w:ind w:right="142"/>
              <w:jc w:val="right"/>
              <w:rPr>
                <w:lang w:val="fr-FR"/>
              </w:rPr>
            </w:pPr>
            <w:r w:rsidRPr="001C695B">
              <w:rPr>
                <w:noProof/>
                <w:lang w:val="en-US"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1C695B" w:rsidTr="000C61E9">
        <w:trPr>
          <w:cantSplit/>
        </w:trPr>
        <w:tc>
          <w:tcPr>
            <w:tcW w:w="7251" w:type="dxa"/>
            <w:gridSpan w:val="2"/>
            <w:tcBorders>
              <w:top w:val="single" w:sz="12" w:space="0" w:color="auto"/>
            </w:tcBorders>
          </w:tcPr>
          <w:p w:rsidR="00683C32" w:rsidRPr="001C695B" w:rsidRDefault="00683C32" w:rsidP="00107E85">
            <w:pPr>
              <w:spacing w:before="0"/>
              <w:rPr>
                <w:rFonts w:cs="Arial"/>
                <w:b/>
                <w:bCs/>
                <w:sz w:val="20"/>
                <w:lang w:val="fr-FR"/>
              </w:rPr>
            </w:pPr>
          </w:p>
        </w:tc>
        <w:tc>
          <w:tcPr>
            <w:tcW w:w="2996" w:type="dxa"/>
            <w:tcBorders>
              <w:top w:val="single" w:sz="12" w:space="0" w:color="auto"/>
            </w:tcBorders>
          </w:tcPr>
          <w:p w:rsidR="00683C32" w:rsidRPr="001C695B" w:rsidRDefault="00683C32" w:rsidP="00107E85">
            <w:pPr>
              <w:spacing w:before="0"/>
              <w:rPr>
                <w:b/>
                <w:bCs/>
                <w:sz w:val="20"/>
                <w:lang w:val="fr-FR"/>
              </w:rPr>
            </w:pPr>
          </w:p>
        </w:tc>
      </w:tr>
      <w:tr w:rsidR="00683C32" w:rsidRPr="001C695B" w:rsidTr="000C61E9">
        <w:trPr>
          <w:cantSplit/>
        </w:trPr>
        <w:tc>
          <w:tcPr>
            <w:tcW w:w="7251" w:type="dxa"/>
            <w:gridSpan w:val="2"/>
          </w:tcPr>
          <w:p w:rsidR="00683C32" w:rsidRPr="001C695B" w:rsidRDefault="00683C32" w:rsidP="00400CCF">
            <w:pPr>
              <w:pStyle w:val="Committee"/>
              <w:spacing w:before="0"/>
              <w:rPr>
                <w:b w:val="0"/>
                <w:szCs w:val="24"/>
                <w:lang w:val="fr-FR"/>
              </w:rPr>
            </w:pPr>
          </w:p>
        </w:tc>
        <w:tc>
          <w:tcPr>
            <w:tcW w:w="2996" w:type="dxa"/>
          </w:tcPr>
          <w:p w:rsidR="00683C32" w:rsidRPr="001C695B" w:rsidRDefault="00323587" w:rsidP="0053268C">
            <w:pPr>
              <w:spacing w:before="0"/>
              <w:rPr>
                <w:bCs/>
                <w:szCs w:val="24"/>
                <w:lang w:val="fr-FR"/>
              </w:rPr>
            </w:pPr>
            <w:r w:rsidRPr="001C695B">
              <w:rPr>
                <w:b/>
                <w:bCs/>
                <w:szCs w:val="28"/>
                <w:lang w:val="fr-FR"/>
              </w:rPr>
              <w:t xml:space="preserve">Document </w:t>
            </w:r>
            <w:bookmarkStart w:id="0" w:name="DocRef1"/>
            <w:bookmarkEnd w:id="0"/>
            <w:r w:rsidRPr="001C695B">
              <w:rPr>
                <w:b/>
                <w:bCs/>
                <w:szCs w:val="28"/>
                <w:lang w:val="fr-FR"/>
              </w:rPr>
              <w:t>TDAG17-22/</w:t>
            </w:r>
            <w:bookmarkStart w:id="1" w:name="DocNo1"/>
            <w:bookmarkEnd w:id="1"/>
            <w:r w:rsidR="0053268C" w:rsidRPr="001C695B">
              <w:rPr>
                <w:b/>
                <w:bCs/>
                <w:szCs w:val="28"/>
                <w:lang w:val="fr-FR"/>
              </w:rPr>
              <w:t>24</w:t>
            </w:r>
            <w:r w:rsidRPr="001C695B">
              <w:rPr>
                <w:b/>
                <w:bCs/>
                <w:szCs w:val="28"/>
                <w:lang w:val="fr-FR"/>
              </w:rPr>
              <w:t>-F</w:t>
            </w:r>
          </w:p>
        </w:tc>
      </w:tr>
      <w:tr w:rsidR="00683C32" w:rsidRPr="001C695B" w:rsidTr="000C61E9">
        <w:trPr>
          <w:cantSplit/>
        </w:trPr>
        <w:tc>
          <w:tcPr>
            <w:tcW w:w="7251" w:type="dxa"/>
            <w:gridSpan w:val="2"/>
          </w:tcPr>
          <w:p w:rsidR="00683C32" w:rsidRPr="001C695B" w:rsidRDefault="00683C32" w:rsidP="00400CCF">
            <w:pPr>
              <w:spacing w:before="0"/>
              <w:rPr>
                <w:b/>
                <w:bCs/>
                <w:smallCaps/>
                <w:szCs w:val="24"/>
                <w:lang w:val="fr-FR"/>
              </w:rPr>
            </w:pPr>
          </w:p>
        </w:tc>
        <w:tc>
          <w:tcPr>
            <w:tcW w:w="2996" w:type="dxa"/>
          </w:tcPr>
          <w:p w:rsidR="00683C32" w:rsidRPr="001C695B" w:rsidRDefault="0053268C" w:rsidP="00400CCF">
            <w:pPr>
              <w:spacing w:before="0"/>
              <w:rPr>
                <w:b/>
                <w:szCs w:val="24"/>
                <w:lang w:val="fr-FR"/>
              </w:rPr>
            </w:pPr>
            <w:bookmarkStart w:id="2" w:name="CreationDate"/>
            <w:bookmarkEnd w:id="2"/>
            <w:r w:rsidRPr="001C695B">
              <w:rPr>
                <w:b/>
                <w:bCs/>
                <w:szCs w:val="28"/>
                <w:lang w:val="fr-FR"/>
              </w:rPr>
              <w:t>3 mai</w:t>
            </w:r>
            <w:r w:rsidR="00323587" w:rsidRPr="001C695B">
              <w:rPr>
                <w:b/>
                <w:bCs/>
                <w:szCs w:val="28"/>
                <w:lang w:val="fr-FR"/>
              </w:rPr>
              <w:t xml:space="preserve"> 2017</w:t>
            </w:r>
          </w:p>
        </w:tc>
      </w:tr>
      <w:tr w:rsidR="00683C32" w:rsidRPr="001C695B" w:rsidTr="000C61E9">
        <w:trPr>
          <w:cantSplit/>
        </w:trPr>
        <w:tc>
          <w:tcPr>
            <w:tcW w:w="7251" w:type="dxa"/>
            <w:gridSpan w:val="2"/>
          </w:tcPr>
          <w:p w:rsidR="00683C32" w:rsidRPr="001C695B" w:rsidRDefault="00683C32" w:rsidP="00400CCF">
            <w:pPr>
              <w:spacing w:before="0"/>
              <w:rPr>
                <w:b/>
                <w:bCs/>
                <w:smallCaps/>
                <w:szCs w:val="24"/>
                <w:lang w:val="fr-FR"/>
              </w:rPr>
            </w:pPr>
          </w:p>
        </w:tc>
        <w:tc>
          <w:tcPr>
            <w:tcW w:w="2996" w:type="dxa"/>
          </w:tcPr>
          <w:p w:rsidR="00514D2F" w:rsidRPr="001C695B" w:rsidRDefault="00323587" w:rsidP="00400CCF">
            <w:pPr>
              <w:spacing w:before="0"/>
              <w:rPr>
                <w:szCs w:val="24"/>
                <w:lang w:val="fr-FR"/>
              </w:rPr>
            </w:pPr>
            <w:r w:rsidRPr="001C695B">
              <w:rPr>
                <w:b/>
                <w:szCs w:val="28"/>
                <w:lang w:val="fr-FR"/>
              </w:rPr>
              <w:t>Original:</w:t>
            </w:r>
            <w:bookmarkStart w:id="3" w:name="Original"/>
            <w:bookmarkEnd w:id="3"/>
            <w:r w:rsidR="0053268C" w:rsidRPr="001C695B">
              <w:rPr>
                <w:b/>
                <w:szCs w:val="28"/>
                <w:lang w:val="fr-FR"/>
              </w:rPr>
              <w:t xml:space="preserve"> anglais</w:t>
            </w:r>
          </w:p>
        </w:tc>
      </w:tr>
      <w:tr w:rsidR="00A13162" w:rsidRPr="001C695B" w:rsidTr="000C61E9">
        <w:trPr>
          <w:cantSplit/>
          <w:trHeight w:val="852"/>
        </w:trPr>
        <w:tc>
          <w:tcPr>
            <w:tcW w:w="10247" w:type="dxa"/>
            <w:gridSpan w:val="3"/>
          </w:tcPr>
          <w:p w:rsidR="00A13162" w:rsidRPr="001C695B" w:rsidRDefault="0053268C" w:rsidP="00D90E76">
            <w:pPr>
              <w:pStyle w:val="Source"/>
              <w:rPr>
                <w:lang w:val="fr-FR"/>
              </w:rPr>
            </w:pPr>
            <w:bookmarkStart w:id="4" w:name="Source"/>
            <w:bookmarkEnd w:id="4"/>
            <w:r w:rsidRPr="001C695B">
              <w:rPr>
                <w:lang w:val="fr-FR"/>
              </w:rPr>
              <w:t>Rapport du Secrétaire général</w:t>
            </w:r>
          </w:p>
        </w:tc>
      </w:tr>
      <w:tr w:rsidR="00AC6F14" w:rsidRPr="001C695B" w:rsidTr="000C61E9">
        <w:trPr>
          <w:cantSplit/>
        </w:trPr>
        <w:tc>
          <w:tcPr>
            <w:tcW w:w="10247" w:type="dxa"/>
            <w:gridSpan w:val="3"/>
          </w:tcPr>
          <w:p w:rsidR="0053268C" w:rsidRPr="001C695B" w:rsidRDefault="0053268C" w:rsidP="0053268C">
            <w:pPr>
              <w:pStyle w:val="Title1"/>
              <w:rPr>
                <w:lang w:val="fr-FR"/>
              </w:rPr>
            </w:pPr>
            <w:bookmarkStart w:id="5" w:name="Title"/>
            <w:bookmarkEnd w:id="5"/>
            <w:r w:rsidRPr="001C695B">
              <w:rPr>
                <w:lang w:val="fr-FR"/>
              </w:rPr>
              <w:t>PROJET DE PLAN OPÉRATIONNEL QUADRIENNAL GLISSANT</w:t>
            </w:r>
            <w:r w:rsidRPr="001C695B">
              <w:rPr>
                <w:lang w:val="fr-FR"/>
              </w:rPr>
              <w:br/>
              <w:t>DU SECRÉTARIAT GÉNÉRAL POUR LA PÉRIODE 2018-2021</w:t>
            </w:r>
          </w:p>
        </w:tc>
      </w:tr>
      <w:tr w:rsidR="00A721F4" w:rsidRPr="001C695B" w:rsidTr="000C61E9">
        <w:trPr>
          <w:cantSplit/>
        </w:trPr>
        <w:tc>
          <w:tcPr>
            <w:tcW w:w="10247" w:type="dxa"/>
            <w:gridSpan w:val="3"/>
            <w:tcBorders>
              <w:bottom w:val="single" w:sz="4" w:space="0" w:color="auto"/>
            </w:tcBorders>
          </w:tcPr>
          <w:p w:rsidR="00A721F4" w:rsidRPr="001C695B" w:rsidRDefault="00A721F4" w:rsidP="0030353C">
            <w:pPr>
              <w:rPr>
                <w:lang w:val="fr-FR"/>
              </w:rPr>
            </w:pPr>
          </w:p>
        </w:tc>
      </w:tr>
      <w:tr w:rsidR="00A721F4" w:rsidRPr="001C695B"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1C695B" w:rsidRDefault="00C51850" w:rsidP="00935FF0">
            <w:pPr>
              <w:spacing w:before="240"/>
              <w:rPr>
                <w:b/>
                <w:bCs/>
                <w:szCs w:val="24"/>
                <w:lang w:val="fr-FR"/>
              </w:rPr>
            </w:pPr>
            <w:r w:rsidRPr="001C695B">
              <w:rPr>
                <w:b/>
                <w:bCs/>
                <w:szCs w:val="24"/>
                <w:lang w:val="fr-FR"/>
              </w:rPr>
              <w:t>Résumé</w:t>
            </w:r>
          </w:p>
          <w:p w:rsidR="00A721F4" w:rsidRPr="001C695B" w:rsidRDefault="0053268C" w:rsidP="0053268C">
            <w:pPr>
              <w:rPr>
                <w:szCs w:val="24"/>
                <w:lang w:val="fr-FR"/>
              </w:rPr>
            </w:pPr>
            <w:r w:rsidRPr="001C695B">
              <w:rPr>
                <w:szCs w:val="24"/>
                <w:lang w:val="fr-FR"/>
              </w:rPr>
              <w:t>Le présent document expose le projet de Plan opérationnel quadriennal glissant du Secrétariat général pour la période 2018-2021.</w:t>
            </w:r>
          </w:p>
          <w:p w:rsidR="0053268C" w:rsidRPr="001C695B" w:rsidRDefault="0053268C" w:rsidP="0053268C">
            <w:pPr>
              <w:rPr>
                <w:szCs w:val="24"/>
                <w:lang w:val="fr-FR"/>
              </w:rPr>
            </w:pPr>
            <w:r w:rsidRPr="001C695B">
              <w:rPr>
                <w:szCs w:val="24"/>
                <w:lang w:val="fr-FR"/>
              </w:rPr>
              <w:t>Ce Plan est publié conformément au numéro 87A de l'article 5 de la Convention de l'UIT, aux termes duquel un plan opérationnel quadriennal des activités que doit entreprendre le Secrétariat général est établi chaque année.</w:t>
            </w:r>
          </w:p>
          <w:p w:rsidR="00A721F4" w:rsidRPr="001C695B" w:rsidRDefault="00C51850" w:rsidP="00A721F4">
            <w:pPr>
              <w:rPr>
                <w:b/>
                <w:bCs/>
                <w:szCs w:val="24"/>
                <w:lang w:val="fr-FR"/>
              </w:rPr>
            </w:pPr>
            <w:r w:rsidRPr="001C695B">
              <w:rPr>
                <w:b/>
                <w:bCs/>
                <w:szCs w:val="24"/>
                <w:lang w:val="fr-FR"/>
              </w:rPr>
              <w:t>Suite à donner</w:t>
            </w:r>
          </w:p>
          <w:p w:rsidR="00C51850" w:rsidRPr="001C695B" w:rsidRDefault="0053268C" w:rsidP="00741A31">
            <w:pPr>
              <w:pStyle w:val="Reasons"/>
              <w:rPr>
                <w:lang w:val="fr-FR"/>
              </w:rPr>
            </w:pPr>
            <w:r w:rsidRPr="001C695B">
              <w:rPr>
                <w:szCs w:val="24"/>
                <w:lang w:val="fr-FR"/>
              </w:rPr>
              <w:t>Le GCDT est invité à prendre note du présent document.</w:t>
            </w:r>
          </w:p>
          <w:p w:rsidR="00B01C2F" w:rsidRPr="001C695B" w:rsidRDefault="00B01C2F" w:rsidP="00931B29">
            <w:pPr>
              <w:pStyle w:val="Reasons"/>
              <w:rPr>
                <w:lang w:val="fr-FR"/>
              </w:rPr>
            </w:pPr>
          </w:p>
          <w:p w:rsidR="00A721F4" w:rsidRPr="001C695B" w:rsidRDefault="00B01C2F" w:rsidP="00B01C2F">
            <w:pPr>
              <w:jc w:val="center"/>
              <w:rPr>
                <w:lang w:val="fr-FR"/>
              </w:rPr>
            </w:pPr>
            <w:r w:rsidRPr="001C695B">
              <w:rPr>
                <w:lang w:val="fr-FR"/>
              </w:rPr>
              <w:t>______________</w:t>
            </w:r>
          </w:p>
          <w:p w:rsidR="00A721F4" w:rsidRPr="001C695B" w:rsidRDefault="003C2125" w:rsidP="00A721F4">
            <w:pPr>
              <w:rPr>
                <w:b/>
                <w:bCs/>
                <w:szCs w:val="24"/>
                <w:lang w:val="fr-FR"/>
              </w:rPr>
            </w:pPr>
            <w:r>
              <w:rPr>
                <w:b/>
                <w:bCs/>
                <w:szCs w:val="24"/>
                <w:lang w:val="fr-FR"/>
              </w:rPr>
              <w:t>Références</w:t>
            </w:r>
          </w:p>
          <w:p w:rsidR="00A721F4" w:rsidRPr="001C695B" w:rsidRDefault="00542045" w:rsidP="00A721F4">
            <w:pPr>
              <w:rPr>
                <w:lang w:val="fr-FR"/>
              </w:rPr>
            </w:pPr>
            <w:hyperlink r:id="rId10" w:history="1">
              <w:r w:rsidR="0053268C" w:rsidRPr="001C695B">
                <w:rPr>
                  <w:rStyle w:val="Hyperlink"/>
                  <w:rFonts w:cstheme="minorHAnsi"/>
                  <w:i/>
                  <w:iCs/>
                  <w:szCs w:val="28"/>
                  <w:lang w:val="fr-FR"/>
                </w:rPr>
                <w:t>Numéro 87A de l'article 5 de la Convention</w:t>
              </w:r>
            </w:hyperlink>
            <w:r w:rsidR="0053268C" w:rsidRPr="001C695B">
              <w:rPr>
                <w:i/>
                <w:iCs/>
                <w:color w:val="0000FF"/>
                <w:u w:val="single"/>
                <w:lang w:val="fr-FR"/>
              </w:rPr>
              <w:br/>
            </w:r>
            <w:hyperlink r:id="rId11" w:history="1">
              <w:r w:rsidR="0053268C" w:rsidRPr="001C695B">
                <w:rPr>
                  <w:rStyle w:val="Hyperlink"/>
                  <w:i/>
                  <w:iCs/>
                  <w:lang w:val="fr-FR"/>
                </w:rPr>
                <w:t>Résolution 71 (Rév. Busan, 2014)</w:t>
              </w:r>
              <w:r w:rsidR="0053268C" w:rsidRPr="001C695B">
                <w:rPr>
                  <w:rStyle w:val="Hyperlink"/>
                  <w:i/>
                  <w:lang w:val="fr-FR"/>
                </w:rPr>
                <w:t xml:space="preserve"> de la Conférence de plénipotentiaires</w:t>
              </w:r>
            </w:hyperlink>
            <w:r w:rsidR="0053268C" w:rsidRPr="001C695B">
              <w:rPr>
                <w:i/>
                <w:iCs/>
                <w:color w:val="0563C1"/>
                <w:u w:val="single"/>
                <w:lang w:val="fr-FR"/>
              </w:rPr>
              <w:br/>
            </w:r>
            <w:hyperlink r:id="rId12" w:history="1">
              <w:r w:rsidR="0053268C" w:rsidRPr="001C695B">
                <w:rPr>
                  <w:rStyle w:val="Hyperlink"/>
                  <w:i/>
                  <w:iCs/>
                  <w:lang w:val="fr-FR"/>
                </w:rPr>
                <w:t>Résolution 72 (Rév. Busan, 2014)</w:t>
              </w:r>
              <w:r w:rsidR="0053268C" w:rsidRPr="001C695B">
                <w:rPr>
                  <w:rStyle w:val="Hyperlink"/>
                  <w:i/>
                  <w:lang w:val="fr-FR"/>
                </w:rPr>
                <w:t xml:space="preserve"> de la Conférence de plénipotentiaires</w:t>
              </w:r>
            </w:hyperlink>
          </w:p>
        </w:tc>
      </w:tr>
    </w:tbl>
    <w:p w:rsidR="00B01C2F" w:rsidRPr="001C695B" w:rsidRDefault="00B01C2F" w:rsidP="00B01C2F">
      <w:pPr>
        <w:tabs>
          <w:tab w:val="clear" w:pos="794"/>
          <w:tab w:val="clear" w:pos="1191"/>
          <w:tab w:val="clear" w:pos="1588"/>
          <w:tab w:val="clear" w:pos="1985"/>
        </w:tabs>
        <w:overflowPunct/>
        <w:autoSpaceDE/>
        <w:autoSpaceDN/>
        <w:adjustRightInd/>
        <w:spacing w:before="0"/>
        <w:textAlignment w:val="auto"/>
        <w:rPr>
          <w:lang w:val="fr-FR"/>
        </w:rPr>
        <w:sectPr w:rsidR="00B01C2F" w:rsidRPr="001C695B"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pPr>
    </w:p>
    <w:p w:rsidR="00741A31" w:rsidRPr="001C695B" w:rsidRDefault="00741A31" w:rsidP="00741A31">
      <w:pPr>
        <w:pStyle w:val="Heading1"/>
        <w:rPr>
          <w:lang w:val="fr-FR"/>
        </w:rPr>
      </w:pPr>
      <w:bookmarkStart w:id="6" w:name="Proposal"/>
      <w:bookmarkEnd w:id="6"/>
      <w:r w:rsidRPr="001C695B">
        <w:rPr>
          <w:lang w:val="fr-FR"/>
        </w:rPr>
        <w:lastRenderedPageBreak/>
        <w:t>1</w:t>
      </w:r>
      <w:r w:rsidRPr="001C695B">
        <w:rPr>
          <w:lang w:val="fr-FR"/>
        </w:rPr>
        <w:tab/>
        <w:t>Introduction</w:t>
      </w:r>
    </w:p>
    <w:p w:rsidR="00741A31" w:rsidRPr="001C695B" w:rsidRDefault="00741A31" w:rsidP="00741A31">
      <w:pPr>
        <w:rPr>
          <w:lang w:val="fr-FR"/>
        </w:rPr>
      </w:pPr>
      <w:r w:rsidRPr="001C695B">
        <w:rPr>
          <w:lang w:val="fr-FR"/>
        </w:rPr>
        <w:t>Le Plan opérationnel quadriennal glissant du Secrétariat général est établi dans le strict respect du Plan stratégique de l'UIT pour la période 2016</w:t>
      </w:r>
      <w:r w:rsidRPr="001C695B">
        <w:rPr>
          <w:lang w:val="fr-FR"/>
        </w:rPr>
        <w:noBreakHyphen/>
        <w:t>2019, dans les limites fixées dans le Plan financier pour la période 2016</w:t>
      </w:r>
      <w:r w:rsidRPr="001C695B">
        <w:rPr>
          <w:lang w:val="fr-FR"/>
        </w:rPr>
        <w:noBreakHyphen/>
        <w:t>2019 et dans les budgets biennaux correspondants. Ce Plan décrit la contribution du Secrétariat général à l'obtention des buts stratégiques de l'UIT grâce aux:</w:t>
      </w:r>
    </w:p>
    <w:p w:rsidR="00741A31" w:rsidRPr="001C695B" w:rsidRDefault="00741A31" w:rsidP="00741A31">
      <w:pPr>
        <w:pStyle w:val="enumlev1"/>
        <w:rPr>
          <w:lang w:val="fr-FR"/>
        </w:rPr>
      </w:pPr>
      <w:r w:rsidRPr="001C695B">
        <w:rPr>
          <w:lang w:val="fr-FR"/>
        </w:rPr>
        <w:t>–</w:t>
      </w:r>
      <w:r w:rsidRPr="001C695B">
        <w:rPr>
          <w:b/>
          <w:bCs/>
          <w:lang w:val="fr-FR"/>
        </w:rPr>
        <w:tab/>
        <w:t>Catalyseurs</w:t>
      </w:r>
      <w:r w:rsidRPr="001C695B">
        <w:rPr>
          <w:lang w:val="fr-FR"/>
        </w:rPr>
        <w:t>: ils visent à appuyer toutes les activités de l'UIT en vue d'atteindre les objectifs généraux et les buts stratégiques. Les services/processus d'appui mettent en oeuvre et fournissent ces catalyseurs.</w:t>
      </w:r>
    </w:p>
    <w:p w:rsidR="00741A31" w:rsidRPr="001C695B" w:rsidRDefault="00741A31" w:rsidP="00741A31">
      <w:pPr>
        <w:pStyle w:val="enumlev1"/>
        <w:rPr>
          <w:lang w:val="fr-FR"/>
        </w:rPr>
      </w:pPr>
      <w:r w:rsidRPr="001C695B">
        <w:rPr>
          <w:lang w:val="fr-FR"/>
        </w:rPr>
        <w:t>–</w:t>
      </w:r>
      <w:r w:rsidRPr="001C695B">
        <w:rPr>
          <w:b/>
          <w:bCs/>
          <w:lang w:val="fr-FR"/>
        </w:rPr>
        <w:tab/>
        <w:t>Objectifs et résultats intersectoriels</w:t>
      </w:r>
      <w:r w:rsidRPr="001C695B">
        <w:rPr>
          <w:lang w:val="fr-FR"/>
        </w:rPr>
        <w:t>: ils sont mis en oeuvre par les produits intersectoriels. La contribution du Secrétariat général et des trois Bureaux aux produits intersectoriels est décrite dans les plans opérationnels correspondants.</w:t>
      </w:r>
    </w:p>
    <w:p w:rsidR="00741A31" w:rsidRPr="001C695B" w:rsidRDefault="00741A31" w:rsidP="00741A31">
      <w:pPr>
        <w:rPr>
          <w:lang w:val="fr-FR"/>
        </w:rPr>
      </w:pPr>
      <w:r w:rsidRPr="001C695B">
        <w:rPr>
          <w:lang w:val="fr-FR"/>
        </w:rPr>
        <w:t>La structure du Plan opérationnel du Secrétariat général est conforme au cadre de présentation des résultats de l'UIT. Il décrit les objectifs intersectoriels et les catalyseurs, les résultats associés et les indicateurs servant à mesurer les progrès accomplis en vue d'obtenir ces résultats, ainsi que les produits intersectoriels et les services d'appui produits par les activités du Secrétariat général. Le processus de planification, de mise en oeuvre, de suivi et d'évaluation sera complété par les mécanismes internes suivants:</w:t>
      </w:r>
    </w:p>
    <w:p w:rsidR="00741A31" w:rsidRPr="001C695B" w:rsidRDefault="00741A31" w:rsidP="00741A31">
      <w:pPr>
        <w:pStyle w:val="enumlev1"/>
        <w:rPr>
          <w:lang w:val="fr-FR"/>
        </w:rPr>
      </w:pPr>
      <w:r w:rsidRPr="001C695B">
        <w:rPr>
          <w:lang w:val="fr-FR"/>
        </w:rPr>
        <w:t>i)</w:t>
      </w:r>
      <w:r w:rsidRPr="001C695B">
        <w:rPr>
          <w:lang w:val="fr-FR"/>
        </w:rPr>
        <w:tab/>
        <w:t>les accords de niveau de service (SLA) pour la planification, le suivi et l'évaluation des services d'appui; et</w:t>
      </w:r>
    </w:p>
    <w:p w:rsidR="00741A31" w:rsidRPr="001C695B" w:rsidRDefault="00741A31" w:rsidP="00741A31">
      <w:pPr>
        <w:pStyle w:val="enumlev1"/>
        <w:rPr>
          <w:lang w:val="fr-FR"/>
        </w:rPr>
      </w:pPr>
      <w:r w:rsidRPr="001C695B">
        <w:rPr>
          <w:lang w:val="fr-FR"/>
        </w:rPr>
        <w:t>ii)</w:t>
      </w:r>
      <w:r w:rsidRPr="001C695B">
        <w:rPr>
          <w:lang w:val="fr-FR"/>
        </w:rPr>
        <w:tab/>
        <w:t>les programmes de travail des départements et divisions du Secrétariat général.</w:t>
      </w:r>
    </w:p>
    <w:p w:rsidR="00741A31" w:rsidRPr="001C695B" w:rsidRDefault="00741A31" w:rsidP="00741A31">
      <w:pPr>
        <w:pStyle w:val="Figuretitle"/>
        <w:spacing w:before="20" w:after="20"/>
        <w:rPr>
          <w:lang w:val="fr-FR"/>
        </w:rPr>
      </w:pPr>
      <w:bookmarkStart w:id="7" w:name="_Ref378962261"/>
      <w:r w:rsidRPr="001C695B">
        <w:rPr>
          <w:lang w:val="fr-FR"/>
        </w:rPr>
        <w:br w:type="page"/>
      </w:r>
    </w:p>
    <w:bookmarkEnd w:id="7"/>
    <w:p w:rsidR="00741A31" w:rsidRPr="001C695B" w:rsidRDefault="00741A31" w:rsidP="00741A31">
      <w:pPr>
        <w:spacing w:before="240"/>
        <w:jc w:val="center"/>
        <w:rPr>
          <w:lang w:val="fr-FR"/>
        </w:rPr>
      </w:pPr>
      <w:r w:rsidRPr="001C695B">
        <w:rPr>
          <w:noProof/>
          <w:lang w:val="en-US" w:eastAsia="zh-CN"/>
        </w:rPr>
        <w:lastRenderedPageBreak/>
        <mc:AlternateContent>
          <mc:Choice Requires="wps">
            <w:drawing>
              <wp:anchor distT="0" distB="0" distL="114300" distR="114300" simplePos="0" relativeHeight="251672576" behindDoc="0" locked="0" layoutInCell="1" allowOverlap="1" wp14:anchorId="135B1CD9" wp14:editId="296E764B">
                <wp:simplePos x="0" y="0"/>
                <wp:positionH relativeFrom="column">
                  <wp:posOffset>3114675</wp:posOffset>
                </wp:positionH>
                <wp:positionV relativeFrom="paragraph">
                  <wp:posOffset>808740</wp:posOffset>
                </wp:positionV>
                <wp:extent cx="628015" cy="201077"/>
                <wp:effectExtent l="0" t="0" r="635" b="8890"/>
                <wp:wrapNone/>
                <wp:docPr id="134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201077"/>
                        </a:xfrm>
                        <a:prstGeom prst="rect">
                          <a:avLst/>
                        </a:prstGeom>
                        <a:solidFill>
                          <a:srgbClr val="3F6EA7"/>
                        </a:solidFill>
                        <a:ln w="6350">
                          <a:noFill/>
                        </a:ln>
                        <a:effectLst/>
                      </wps:spPr>
                      <wps:txbx>
                        <w:txbxContent>
                          <w:p w:rsidR="00931B29" w:rsidRPr="00AB7EFD" w:rsidRDefault="00931B29" w:rsidP="00741A31">
                            <w:pPr>
                              <w:spacing w:before="0"/>
                              <w:ind w:left="-113"/>
                              <w:rPr>
                                <w:rFonts w:cs="Calibri"/>
                                <w:b/>
                                <w:bCs/>
                                <w:sz w:val="18"/>
                                <w:szCs w:val="18"/>
                              </w:rPr>
                            </w:pPr>
                            <w:r w:rsidRPr="00B40B97">
                              <w:rPr>
                                <w:rFonts w:cs="Calibri"/>
                                <w:b/>
                                <w:bCs/>
                                <w:color w:val="FFFFFF" w:themeColor="background1"/>
                                <w:sz w:val="18"/>
                                <w:szCs w:val="18"/>
                              </w:rPr>
                              <w:t>Croissance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B1CD9" id="_x0000_t202" coordsize="21600,21600" o:spt="202" path="m,l,21600r21600,l21600,xe">
                <v:stroke joinstyle="miter"/>
                <v:path gradientshapeok="t" o:connecttype="rect"/>
              </v:shapetype>
              <v:shape id="Text Box 300" o:spid="_x0000_s1026" type="#_x0000_t202" style="position:absolute;left:0;text-align:left;margin-left:245.25pt;margin-top:63.7pt;width:49.45pt;height:1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" fillcolor="#3f6ea7" stroked="f" strokeweight=".5pt">
                <v:path arrowok="t"/>
                <v:textbox>
                  <w:txbxContent>
                    <w:p w:rsidR="00931B29" w:rsidRPr="00AB7EFD" w:rsidRDefault="00931B29" w:rsidP="00741A31">
                      <w:pPr>
                        <w:spacing w:before="0"/>
                        <w:ind w:left="-113"/>
                        <w:rPr>
                          <w:rFonts w:cs="Calibri"/>
                          <w:b/>
                          <w:bCs/>
                          <w:sz w:val="18"/>
                          <w:szCs w:val="18"/>
                        </w:rPr>
                      </w:pPr>
                      <w:r w:rsidRPr="00B40B97">
                        <w:rPr>
                          <w:rFonts w:cs="Calibri"/>
                          <w:b/>
                          <w:bCs/>
                          <w:color w:val="FFFFFF" w:themeColor="background1"/>
                          <w:sz w:val="18"/>
                          <w:szCs w:val="18"/>
                        </w:rPr>
                        <w:t>Croissance</w:t>
                      </w:r>
                    </w:p>
                  </w:txbxContent>
                </v:textbox>
              </v:shape>
            </w:pict>
          </mc:Fallback>
        </mc:AlternateContent>
      </w:r>
      <w:r w:rsidRPr="001C695B">
        <w:rPr>
          <w:noProof/>
          <w:lang w:val="en-US" w:eastAsia="zh-CN"/>
        </w:rPr>
        <mc:AlternateContent>
          <mc:Choice Requires="wps">
            <w:drawing>
              <wp:anchor distT="0" distB="0" distL="114300" distR="114300" simplePos="0" relativeHeight="251673600" behindDoc="0" locked="0" layoutInCell="1" allowOverlap="1" wp14:anchorId="0DBCDD56" wp14:editId="2183E7AA">
                <wp:simplePos x="0" y="0"/>
                <wp:positionH relativeFrom="column">
                  <wp:posOffset>4037330</wp:posOffset>
                </wp:positionH>
                <wp:positionV relativeFrom="paragraph">
                  <wp:posOffset>808103</wp:posOffset>
                </wp:positionV>
                <wp:extent cx="628015" cy="201137"/>
                <wp:effectExtent l="0" t="0" r="635" b="8890"/>
                <wp:wrapNone/>
                <wp:docPr id="2"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201137"/>
                        </a:xfrm>
                        <a:prstGeom prst="rect">
                          <a:avLst/>
                        </a:prstGeom>
                        <a:solidFill>
                          <a:srgbClr val="3F6EA7"/>
                        </a:solidFill>
                        <a:ln w="6350">
                          <a:noFill/>
                        </a:ln>
                        <a:effectLst/>
                      </wps:spPr>
                      <wps:txbx>
                        <w:txbxContent>
                          <w:p w:rsidR="00931B29" w:rsidRPr="00AB7EFD" w:rsidRDefault="00931B29" w:rsidP="00741A31">
                            <w:pPr>
                              <w:spacing w:before="0"/>
                              <w:ind w:left="-113"/>
                              <w:jc w:val="center"/>
                              <w:rPr>
                                <w:rFonts w:cs="Calibri"/>
                                <w:b/>
                                <w:bCs/>
                                <w:sz w:val="18"/>
                                <w:szCs w:val="18"/>
                              </w:rPr>
                            </w:pPr>
                            <w:r>
                              <w:rPr>
                                <w:rFonts w:cs="Calibri"/>
                                <w:b/>
                                <w:bCs/>
                                <w:color w:val="FFFFFF" w:themeColor="background1"/>
                                <w:sz w:val="18"/>
                                <w:szCs w:val="18"/>
                              </w:rPr>
                              <w:t>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CDD56" id="_x0000_s1027" type="#_x0000_t202" style="position:absolute;left:0;text-align:left;margin-left:317.9pt;margin-top:63.65pt;width:49.45pt;height:1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" fillcolor="#3f6ea7" stroked="f" strokeweight=".5pt">
                <v:path arrowok="t"/>
                <v:textbox>
                  <w:txbxContent>
                    <w:p w:rsidR="00931B29" w:rsidRPr="00AB7EFD" w:rsidRDefault="00931B29" w:rsidP="00741A31">
                      <w:pPr>
                        <w:spacing w:before="0"/>
                        <w:ind w:left="-113"/>
                        <w:jc w:val="center"/>
                        <w:rPr>
                          <w:rFonts w:cs="Calibri"/>
                          <w:b/>
                          <w:bCs/>
                          <w:sz w:val="18"/>
                          <w:szCs w:val="18"/>
                        </w:rPr>
                      </w:pPr>
                      <w:r>
                        <w:rPr>
                          <w:rFonts w:cs="Calibri"/>
                          <w:b/>
                          <w:bCs/>
                          <w:color w:val="FFFFFF" w:themeColor="background1"/>
                          <w:sz w:val="18"/>
                          <w:szCs w:val="18"/>
                        </w:rPr>
                        <w:t>Inclusion</w:t>
                      </w:r>
                    </w:p>
                  </w:txbxContent>
                </v:textbox>
              </v:shape>
            </w:pict>
          </mc:Fallback>
        </mc:AlternateContent>
      </w:r>
      <w:r w:rsidRPr="001C695B">
        <w:rPr>
          <w:noProof/>
          <w:lang w:val="en-US" w:eastAsia="zh-CN"/>
        </w:rPr>
        <mc:AlternateContent>
          <mc:Choice Requires="wps">
            <w:drawing>
              <wp:anchor distT="0" distB="0" distL="114300" distR="114300" simplePos="0" relativeHeight="251674624" behindDoc="0" locked="0" layoutInCell="1" allowOverlap="1" wp14:anchorId="5C5B19CE" wp14:editId="2DF9E4C1">
                <wp:simplePos x="0" y="0"/>
                <wp:positionH relativeFrom="column">
                  <wp:posOffset>4824509</wp:posOffset>
                </wp:positionH>
                <wp:positionV relativeFrom="paragraph">
                  <wp:posOffset>802060</wp:posOffset>
                </wp:positionV>
                <wp:extent cx="628015" cy="198755"/>
                <wp:effectExtent l="0" t="0" r="635" b="0"/>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98755"/>
                        </a:xfrm>
                        <a:prstGeom prst="rect">
                          <a:avLst/>
                        </a:prstGeom>
                        <a:solidFill>
                          <a:srgbClr val="3F6EA7"/>
                        </a:solidFill>
                        <a:ln w="6350">
                          <a:noFill/>
                        </a:ln>
                        <a:effectLst/>
                      </wps:spPr>
                      <wps:txbx>
                        <w:txbxContent>
                          <w:p w:rsidR="00931B29" w:rsidRPr="00AB7EFD" w:rsidRDefault="00931B29" w:rsidP="00741A31">
                            <w:pPr>
                              <w:spacing w:before="0"/>
                              <w:ind w:left="-113"/>
                              <w:jc w:val="center"/>
                              <w:rPr>
                                <w:rFonts w:cs="Calibri"/>
                                <w:b/>
                                <w:bCs/>
                                <w:sz w:val="18"/>
                                <w:szCs w:val="18"/>
                              </w:rPr>
                            </w:pPr>
                            <w:r>
                              <w:rPr>
                                <w:rFonts w:cs="Calibri"/>
                                <w:b/>
                                <w:bCs/>
                                <w:color w:val="FFFFFF" w:themeColor="background1"/>
                                <w:sz w:val="18"/>
                                <w:szCs w:val="18"/>
                              </w:rPr>
                              <w:t>Durabilité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19CE" id="_x0000_s1028" type="#_x0000_t202" style="position:absolute;left:0;text-align:left;margin-left:379.9pt;margin-top:63.15pt;width:49.45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" fillcolor="#3f6ea7" stroked="f" strokeweight=".5pt">
                <v:path arrowok="t"/>
                <v:textbox>
                  <w:txbxContent>
                    <w:p w:rsidR="00931B29" w:rsidRPr="00AB7EFD" w:rsidRDefault="00931B29" w:rsidP="00741A31">
                      <w:pPr>
                        <w:spacing w:before="0"/>
                        <w:ind w:left="-113"/>
                        <w:jc w:val="center"/>
                        <w:rPr>
                          <w:rFonts w:cs="Calibri"/>
                          <w:b/>
                          <w:bCs/>
                          <w:sz w:val="18"/>
                          <w:szCs w:val="18"/>
                        </w:rPr>
                      </w:pPr>
                      <w:r>
                        <w:rPr>
                          <w:rFonts w:cs="Calibri"/>
                          <w:b/>
                          <w:bCs/>
                          <w:color w:val="FFFFFF" w:themeColor="background1"/>
                          <w:sz w:val="18"/>
                          <w:szCs w:val="18"/>
                        </w:rPr>
                        <w:t>Durabilité</w:t>
                      </w:r>
                    </w:p>
                  </w:txbxContent>
                </v:textbox>
              </v:shape>
            </w:pict>
          </mc:Fallback>
        </mc:AlternateContent>
      </w:r>
      <w:r w:rsidRPr="001C695B">
        <w:rPr>
          <w:noProof/>
          <w:lang w:val="en-US" w:eastAsia="zh-CN"/>
        </w:rPr>
        <mc:AlternateContent>
          <mc:Choice Requires="wps">
            <w:drawing>
              <wp:anchor distT="0" distB="0" distL="114300" distR="114300" simplePos="0" relativeHeight="251675648" behindDoc="0" locked="0" layoutInCell="1" allowOverlap="1" wp14:anchorId="66C98FAF" wp14:editId="5D9A2907">
                <wp:simplePos x="0" y="0"/>
                <wp:positionH relativeFrom="column">
                  <wp:posOffset>5555394</wp:posOffset>
                </wp:positionH>
                <wp:positionV relativeFrom="paragraph">
                  <wp:posOffset>774424</wp:posOffset>
                </wp:positionV>
                <wp:extent cx="1383527" cy="230809"/>
                <wp:effectExtent l="0" t="0" r="7620" b="0"/>
                <wp:wrapNone/>
                <wp:docPr id="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527" cy="230809"/>
                        </a:xfrm>
                        <a:prstGeom prst="rect">
                          <a:avLst/>
                        </a:prstGeom>
                        <a:solidFill>
                          <a:srgbClr val="3F6EA7"/>
                        </a:solidFill>
                        <a:ln w="6350">
                          <a:noFill/>
                        </a:ln>
                        <a:effectLst/>
                      </wps:spPr>
                      <wps:txbx>
                        <w:txbxContent>
                          <w:p w:rsidR="00931B29" w:rsidRPr="00AB7EFD" w:rsidRDefault="00931B29" w:rsidP="00741A31">
                            <w:pPr>
                              <w:spacing w:before="0"/>
                              <w:ind w:left="-113"/>
                              <w:jc w:val="center"/>
                              <w:rPr>
                                <w:rFonts w:cs="Calibri"/>
                                <w:b/>
                                <w:bCs/>
                                <w:sz w:val="18"/>
                                <w:szCs w:val="18"/>
                              </w:rPr>
                            </w:pPr>
                            <w:r>
                              <w:rPr>
                                <w:rFonts w:cs="Calibri"/>
                                <w:b/>
                                <w:bCs/>
                                <w:color w:val="FFFFFF" w:themeColor="background1"/>
                                <w:sz w:val="18"/>
                                <w:szCs w:val="18"/>
                              </w:rPr>
                              <w:t>Innovation et partenariats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98FAF" id="_x0000_s1029" type="#_x0000_t202" style="position:absolute;left:0;text-align:left;margin-left:437.45pt;margin-top:61pt;width:108.9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" fillcolor="#3f6ea7" stroked="f" strokeweight=".5pt">
                <v:path arrowok="t"/>
                <v:textbox>
                  <w:txbxContent>
                    <w:p w:rsidR="00931B29" w:rsidRPr="00AB7EFD" w:rsidRDefault="00931B29" w:rsidP="00741A31">
                      <w:pPr>
                        <w:spacing w:before="0"/>
                        <w:ind w:left="-113"/>
                        <w:jc w:val="center"/>
                        <w:rPr>
                          <w:rFonts w:cs="Calibri"/>
                          <w:b/>
                          <w:bCs/>
                          <w:sz w:val="18"/>
                          <w:szCs w:val="18"/>
                        </w:rPr>
                      </w:pPr>
                      <w:r>
                        <w:rPr>
                          <w:rFonts w:cs="Calibri"/>
                          <w:b/>
                          <w:bCs/>
                          <w:color w:val="FFFFFF" w:themeColor="background1"/>
                          <w:sz w:val="18"/>
                          <w:szCs w:val="18"/>
                        </w:rPr>
                        <w:t>Innovation et partenariats</w:t>
                      </w:r>
                    </w:p>
                  </w:txbxContent>
                </v:textbox>
              </v:shape>
            </w:pict>
          </mc:Fallback>
        </mc:AlternateContent>
      </w:r>
      <w:r w:rsidRPr="001C695B">
        <w:rPr>
          <w:lang w:val="fr-FR"/>
        </w:rPr>
        <w:object w:dxaOrig="5171" w:dyaOrig="3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75pt;height:243.3pt" o:ole="">
            <v:imagedata r:id="rId16" o:title="" croptop="13060f" cropbottom="1375f" cropleft="4138f" cropright="3414f"/>
          </v:shape>
          <o:OLEObject Type="Embed" ProgID="PowerPoint.Slide.12" ShapeID="_x0000_i1025" DrawAspect="Content" ObjectID="_1555760997" r:id="rId17"/>
        </w:object>
      </w:r>
    </w:p>
    <w:p w:rsidR="00741A31" w:rsidRPr="001C695B" w:rsidRDefault="00741A31" w:rsidP="00741A31">
      <w:pPr>
        <w:pStyle w:val="Figuretitle"/>
        <w:spacing w:after="240"/>
        <w:rPr>
          <w:lang w:val="fr-FR"/>
        </w:rPr>
      </w:pPr>
      <w:r w:rsidRPr="001C695B">
        <w:rPr>
          <w:lang w:val="fr-FR"/>
        </w:rPr>
        <w:t>Figure 1 – Plan opérationnel du Secrétariat général et cadre stratégique de l'UIT pour la période 2016-2019</w:t>
      </w:r>
    </w:p>
    <w:p w:rsidR="00741A31" w:rsidRPr="001C695B" w:rsidRDefault="00741A31" w:rsidP="00741A31">
      <w:pPr>
        <w:spacing w:before="20" w:after="20"/>
        <w:jc w:val="center"/>
        <w:rPr>
          <w:lang w:val="fr-FR"/>
        </w:rPr>
      </w:pPr>
      <w:r w:rsidRPr="001C695B">
        <w:rPr>
          <w:lang w:val="fr-FR"/>
        </w:rPr>
        <w:br w:type="page"/>
      </w:r>
    </w:p>
    <w:p w:rsidR="00741A31" w:rsidRPr="001C695B" w:rsidRDefault="00741A31" w:rsidP="00741A31">
      <w:pPr>
        <w:pStyle w:val="Heading1"/>
        <w:rPr>
          <w:lang w:val="fr-FR"/>
        </w:rPr>
      </w:pPr>
      <w:r w:rsidRPr="001C695B">
        <w:rPr>
          <w:lang w:val="fr-FR"/>
        </w:rPr>
        <w:lastRenderedPageBreak/>
        <w:t>2</w:t>
      </w:r>
      <w:r w:rsidRPr="001C695B">
        <w:rPr>
          <w:lang w:val="fr-FR"/>
        </w:rPr>
        <w:tab/>
        <w:t>Contexte et priorités essentielles du Secrétariat général</w:t>
      </w:r>
    </w:p>
    <w:p w:rsidR="00741A31" w:rsidRPr="001C695B" w:rsidRDefault="00741A31" w:rsidP="00741A31">
      <w:pPr>
        <w:rPr>
          <w:lang w:val="fr-FR"/>
        </w:rPr>
      </w:pPr>
      <w:r w:rsidRPr="001C695B">
        <w:rPr>
          <w:lang w:val="fr-FR"/>
        </w:rPr>
        <w:t>Le présent Plan opérationnel porte essentiellement sur les activités du Secrétariat général pour l'exercice 2018, qui s'inscrivent dans le projet de budget biennal pour la période 2018-2019 qui doit être approuvé par le Conseil à sa session de 2017. Conformément à la Convention de l'UIT, l'actuel Plan opérationnel quadriennal glissant inclut deux années (2020 et 2021) qui ne sont pas couvertes par l'actuel cycle de planification stratégique et financière et qui ne sont pas couvertes par le projet de budget biennal pour la période 2018-2019, de sorte que les données financières pour la période 2020-2021 sont fournies à titre indicatif et pourront être modifiées à la suite de décisions de la haute direction.</w:t>
      </w:r>
    </w:p>
    <w:p w:rsidR="00741A31" w:rsidRPr="001C695B" w:rsidRDefault="00741A31" w:rsidP="00741A31">
      <w:pPr>
        <w:rPr>
          <w:lang w:val="fr-FR"/>
        </w:rPr>
      </w:pPr>
      <w:r w:rsidRPr="001C695B">
        <w:rPr>
          <w:lang w:val="fr-FR"/>
        </w:rPr>
        <w:t>Les priorités essentielles pour le Secrétariat général sont conformes au Plan stratégique pour la période 2016-2019 et découlent du rôle du Secrétariat général qui consiste à appuyer et permettre la réalisation des activités sectorielles et intersectorielles en vue d'atteindre les objectifs et les buts stratégiques de l'Union. Une préparation et un appui efficaces en vue de l'organisation de la Conférence de plénipotentiaires de l'UIT à Dubaï sont également une priorité essentielle pour 2018.</w:t>
      </w:r>
    </w:p>
    <w:p w:rsidR="00741A31" w:rsidRPr="001C695B" w:rsidRDefault="00741A31" w:rsidP="00741A31">
      <w:pPr>
        <w:rPr>
          <w:lang w:val="fr-FR"/>
        </w:rPr>
      </w:pPr>
      <w:r w:rsidRPr="001C695B">
        <w:rPr>
          <w:lang w:val="fr-FR"/>
        </w:rPr>
        <w:t>Par ailleurs, il faudra gagner en efficacité pour mettre en oeuvre toutes les activités prévues tout en fournissant aux membres des services de très grande qualité. Pour mettre en oeuvre le Plan opérationnel, les grands axes du Secrétariat général seront les suivants: rationaliser pleinement la planification et le contrôle des activités ainsi que l'établissement de rapports concernant ces activités; suivre l'évolution de la mise en oeuvre du plan stratégique; continuer d'améliorer les politiques de mobilisation des ressources; maintenir et continuer d'améliorer les services liés aux conférences et aux publications qui sont fournis aux membres; optimiser l'intérêt des informations de l'UIT pour les membres et la communauté mondiale des TIC; faire mieux comprendre le rôle que joue l'UIT et promouvoir les activités et la mission de l'Union auprès des principales parties prenantes; améliorer la disponibilité et la fonctionnalité des infrastructures et des services TIC; faire en sorte que les activités sectorielles apportent une valeur ajoutée; et encourager l'innovation grâce aux efforts déployés par les Secteurs pour promouvoir un écosystème suffisamment propice à l'innovation et s'adapter à l'évolution de l'environnement des télécommunications/TIC.</w:t>
      </w:r>
    </w:p>
    <w:p w:rsidR="00741A31" w:rsidRPr="001C695B" w:rsidRDefault="00741A31" w:rsidP="00741A31">
      <w:pPr>
        <w:rPr>
          <w:color w:val="000000"/>
          <w:lang w:val="fr-FR"/>
        </w:rPr>
      </w:pPr>
      <w:r w:rsidRPr="001C695B">
        <w:rPr>
          <w:color w:val="000000"/>
          <w:lang w:val="fr-FR"/>
        </w:rPr>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p>
    <w:p w:rsidR="00741A31" w:rsidRPr="001C695B" w:rsidRDefault="00741A31" w:rsidP="00741A31">
      <w:pPr>
        <w:rPr>
          <w:lang w:val="fr-FR"/>
        </w:rPr>
      </w:pPr>
      <w:r w:rsidRPr="001C695B">
        <w:rPr>
          <w:lang w:val="fr-FR"/>
        </w:rPr>
        <w:t>Il convient de faire mention séparément d'un grand projet stratégique pendant cette période, à savoir la démolition du bâtiment Varembé, son remplacement par un nouveau bâtiment autosuffisant ("Varembé-2") pouvant accueillir également les installations conservées de la Tour de l'UIT, et la cession ultérieure de la Tour de l'UIT. Ce projet est financé par des prêts du pays hôte, dont le premier, couvrant la période 2017</w:t>
      </w:r>
      <w:r w:rsidRPr="001C695B">
        <w:rPr>
          <w:lang w:val="fr-FR"/>
        </w:rPr>
        <w:noBreakHyphen/>
        <w:t xml:space="preserve">2019 du projet, est déjà approuvé. Le remboursement de ce prêt sans intérêt sur 50 ans ne commencera pas avant la livraison du bâtiment fini, et pas avant la fin de 2023. La demande pour le deuxième et dernier prêt pour le projet devrait être faite fin 2018. </w:t>
      </w:r>
    </w:p>
    <w:p w:rsidR="00741A31" w:rsidRPr="001C695B" w:rsidRDefault="00741A31" w:rsidP="00741A31">
      <w:pPr>
        <w:rPr>
          <w:lang w:val="fr-FR"/>
        </w:rPr>
      </w:pPr>
      <w:r w:rsidRPr="001C695B">
        <w:rPr>
          <w:lang w:val="fr-FR"/>
        </w:rPr>
        <w:lastRenderedPageBreak/>
        <w:t>Le Secrétariat général, dont sont issus les membres du Comité de direction du projet, coordonne la contribution du Secrétariat dans le cadre d'un sous-groupe présidé par le Vice-Secrétaire général et auquel participent des représentants de tous ses Départements, des trois Bureaux et du Conseil du personnel. Ce sous-groupe est chargé de gérer les besoins des clients, les processus de gestion des changements, l'acceptation finale des travaux et la coordination avec le jury du concours. Le projet est supervisé par les Etats Membres dans le cadre du groupe MSAG, en vertu de la Décision 588 du Conseil.</w:t>
      </w:r>
    </w:p>
    <w:p w:rsidR="00741A31" w:rsidRPr="001C695B" w:rsidRDefault="00741A31" w:rsidP="00741A31">
      <w:pPr>
        <w:spacing w:before="20" w:after="20"/>
        <w:rPr>
          <w:lang w:val="fr-FR"/>
        </w:rPr>
      </w:pPr>
      <w:r w:rsidRPr="001C695B">
        <w:rPr>
          <w:lang w:val="fr-FR"/>
        </w:rPr>
        <w:br w:type="page"/>
      </w:r>
    </w:p>
    <w:p w:rsidR="00741A31" w:rsidRPr="001C695B" w:rsidRDefault="00741A31" w:rsidP="00741A31">
      <w:pPr>
        <w:pStyle w:val="Heading1"/>
        <w:spacing w:before="20" w:after="20"/>
        <w:rPr>
          <w:lang w:val="fr-FR"/>
        </w:rPr>
      </w:pPr>
      <w:r w:rsidRPr="001C695B">
        <w:rPr>
          <w:lang w:val="fr-FR"/>
        </w:rPr>
        <w:lastRenderedPageBreak/>
        <w:t>3</w:t>
      </w:r>
      <w:r w:rsidRPr="001C695B">
        <w:rPr>
          <w:lang w:val="fr-FR"/>
        </w:rPr>
        <w:tab/>
        <w:t>Appui fourni par le Secrétariat général au cadre de présentation des résultats de l'UIT</w:t>
      </w:r>
    </w:p>
    <w:p w:rsidR="00741A31" w:rsidRPr="001C695B" w:rsidRDefault="00741A31" w:rsidP="00741A31">
      <w:pPr>
        <w:pStyle w:val="Heading2"/>
        <w:spacing w:after="120"/>
        <w:rPr>
          <w:lang w:val="fr-FR"/>
        </w:rPr>
      </w:pPr>
      <w:r w:rsidRPr="001C695B">
        <w:rPr>
          <w:lang w:val="fr-FR"/>
        </w:rPr>
        <w:t>3.1</w:t>
      </w:r>
      <w:r w:rsidRPr="001C695B">
        <w:rPr>
          <w:lang w:val="fr-FR"/>
        </w:rPr>
        <w:tab/>
        <w:t>Lien avec les buts stratégiques de l'UIT</w:t>
      </w:r>
      <w:r w:rsidRPr="001C695B">
        <w:rPr>
          <w:rStyle w:val="FootnoteReference"/>
          <w:lang w:val="fr-FR"/>
        </w:rPr>
        <w:footnoteReference w:id="1"/>
      </w:r>
    </w:p>
    <w:tbl>
      <w:tblPr>
        <w:tblStyle w:val="GridTable4-Accent12"/>
        <w:tblW w:w="14737" w:type="dxa"/>
        <w:tblLayout w:type="fixed"/>
        <w:tblLook w:val="0620" w:firstRow="1" w:lastRow="0" w:firstColumn="0" w:lastColumn="0" w:noHBand="1" w:noVBand="1"/>
      </w:tblPr>
      <w:tblGrid>
        <w:gridCol w:w="7366"/>
        <w:gridCol w:w="1842"/>
        <w:gridCol w:w="1843"/>
        <w:gridCol w:w="1843"/>
        <w:gridCol w:w="1843"/>
      </w:tblGrid>
      <w:tr w:rsidR="00B01C2F" w:rsidRPr="001C695B" w:rsidTr="00931B29">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B01C2F" w:rsidRPr="001C695B" w:rsidRDefault="00B01C2F" w:rsidP="00931B29">
            <w:pPr>
              <w:pStyle w:val="Tablehead"/>
              <w:spacing w:before="20" w:after="20"/>
              <w:rPr>
                <w:lang w:val="fr-FR"/>
              </w:rPr>
            </w:pPr>
            <w:r w:rsidRPr="001C695B">
              <w:rPr>
                <w:lang w:val="fr-FR"/>
              </w:rPr>
              <w:t>Objectifs intersectoriels</w:t>
            </w:r>
          </w:p>
        </w:tc>
        <w:tc>
          <w:tcPr>
            <w:tcW w:w="1842" w:type="dxa"/>
            <w:vAlign w:val="center"/>
          </w:tcPr>
          <w:p w:rsidR="00B01C2F" w:rsidRPr="001C695B" w:rsidRDefault="00B01C2F" w:rsidP="00931B29">
            <w:pPr>
              <w:pStyle w:val="Tablehead"/>
              <w:spacing w:before="20" w:after="20"/>
              <w:rPr>
                <w:b/>
                <w:lang w:val="fr-FR"/>
              </w:rPr>
            </w:pPr>
            <w:r w:rsidRPr="001C695B">
              <w:rPr>
                <w:lang w:val="fr-FR"/>
              </w:rPr>
              <w:t>Objectif 1: croissance</w:t>
            </w:r>
          </w:p>
        </w:tc>
        <w:tc>
          <w:tcPr>
            <w:tcW w:w="1843" w:type="dxa"/>
            <w:vAlign w:val="center"/>
          </w:tcPr>
          <w:p w:rsidR="00B01C2F" w:rsidRPr="001C695B" w:rsidRDefault="00B01C2F" w:rsidP="00931B29">
            <w:pPr>
              <w:pStyle w:val="Tablehead"/>
              <w:spacing w:before="20" w:after="20"/>
              <w:rPr>
                <w:lang w:val="fr-FR"/>
              </w:rPr>
            </w:pPr>
            <w:r w:rsidRPr="001C695B">
              <w:rPr>
                <w:lang w:val="fr-FR"/>
              </w:rPr>
              <w:t>Objectif 2: inclusion</w:t>
            </w:r>
          </w:p>
        </w:tc>
        <w:tc>
          <w:tcPr>
            <w:tcW w:w="1843" w:type="dxa"/>
            <w:vAlign w:val="center"/>
          </w:tcPr>
          <w:p w:rsidR="00B01C2F" w:rsidRPr="001C695B" w:rsidRDefault="00B01C2F" w:rsidP="00931B29">
            <w:pPr>
              <w:pStyle w:val="Tablehead"/>
              <w:spacing w:before="20" w:after="20"/>
              <w:rPr>
                <w:lang w:val="fr-FR"/>
              </w:rPr>
            </w:pPr>
            <w:r w:rsidRPr="001C695B">
              <w:rPr>
                <w:lang w:val="fr-FR"/>
              </w:rPr>
              <w:t>Objectif 3: durabilité</w:t>
            </w:r>
          </w:p>
        </w:tc>
        <w:tc>
          <w:tcPr>
            <w:tcW w:w="1843" w:type="dxa"/>
            <w:vAlign w:val="center"/>
          </w:tcPr>
          <w:p w:rsidR="00B01C2F" w:rsidRPr="001C695B" w:rsidRDefault="00B01C2F" w:rsidP="00931B29">
            <w:pPr>
              <w:pStyle w:val="Tablehead"/>
              <w:spacing w:before="20" w:after="20"/>
              <w:rPr>
                <w:lang w:val="fr-FR"/>
              </w:rPr>
            </w:pPr>
            <w:r w:rsidRPr="001C695B">
              <w:rPr>
                <w:lang w:val="fr-FR"/>
              </w:rPr>
              <w:t>Objectif 4: innovation et partenariats</w:t>
            </w:r>
          </w:p>
        </w:tc>
      </w:tr>
      <w:tr w:rsidR="00B01C2F" w:rsidRPr="001C695B" w:rsidTr="00931B29">
        <w:trPr>
          <w:trHeight w:val="72"/>
        </w:trPr>
        <w:tc>
          <w:tcPr>
            <w:tcW w:w="7366" w:type="dxa"/>
            <w:hideMark/>
          </w:tcPr>
          <w:p w:rsidR="00B01C2F" w:rsidRPr="001C695B" w:rsidRDefault="00B01C2F" w:rsidP="00931B29">
            <w:pPr>
              <w:pStyle w:val="Tabletext"/>
              <w:spacing w:before="20" w:after="20"/>
              <w:rPr>
                <w:lang w:val="fr-FR"/>
              </w:rPr>
            </w:pPr>
            <w:r w:rsidRPr="001C695B">
              <w:rPr>
                <w:b/>
                <w:bCs/>
                <w:color w:val="4F81BD" w:themeColor="accent1"/>
                <w:lang w:val="fr-FR"/>
              </w:rPr>
              <w:t xml:space="preserve">I.1 </w:t>
            </w:r>
            <w:r w:rsidRPr="001C695B">
              <w:rPr>
                <w:lang w:val="fr-FR"/>
              </w:rPr>
              <w:t>Renforcer le dialogue international entre les parties prenantes</w:t>
            </w:r>
          </w:p>
        </w:tc>
        <w:tc>
          <w:tcPr>
            <w:tcW w:w="1842" w:type="dxa"/>
            <w:vAlign w:val="center"/>
            <w:hideMark/>
          </w:tcPr>
          <w:p w:rsidR="00B01C2F" w:rsidRPr="001C695B" w:rsidRDefault="00B01C2F" w:rsidP="00931B29">
            <w:pPr>
              <w:pStyle w:val="Tabletext"/>
              <w:spacing w:before="20" w:after="20"/>
              <w:jc w:val="center"/>
              <w:rPr>
                <w:b/>
                <w:lang w:val="fr-FR"/>
              </w:rPr>
            </w:pPr>
            <w:r w:rsidRPr="001C695B">
              <w:rPr>
                <w:lang w:val="fr-FR"/>
              </w:rPr>
              <w:sym w:font="Wingdings 2" w:char="F050"/>
            </w:r>
          </w:p>
        </w:tc>
        <w:tc>
          <w:tcPr>
            <w:tcW w:w="1843" w:type="dxa"/>
            <w:vAlign w:val="center"/>
            <w:hideMark/>
          </w:tcPr>
          <w:p w:rsidR="00B01C2F" w:rsidRPr="001C695B" w:rsidRDefault="00B01C2F" w:rsidP="00931B29">
            <w:pPr>
              <w:pStyle w:val="Tabletext"/>
              <w:spacing w:before="20" w:after="20"/>
              <w:jc w:val="center"/>
              <w:rPr>
                <w:lang w:val="fr-FR"/>
              </w:rPr>
            </w:pPr>
            <w:r w:rsidRPr="001C695B">
              <w:rPr>
                <w:lang w:val="fr-FR"/>
              </w:rPr>
              <w:sym w:font="Wingdings 2" w:char="F050"/>
            </w:r>
          </w:p>
        </w:tc>
        <w:tc>
          <w:tcPr>
            <w:tcW w:w="1843" w:type="dxa"/>
            <w:vAlign w:val="center"/>
            <w:hideMark/>
          </w:tcPr>
          <w:p w:rsidR="00B01C2F" w:rsidRPr="001C695B" w:rsidRDefault="00B01C2F" w:rsidP="00931B29">
            <w:pPr>
              <w:pStyle w:val="Tabletext"/>
              <w:spacing w:before="20" w:after="20"/>
              <w:jc w:val="center"/>
              <w:rPr>
                <w:lang w:val="fr-FR"/>
              </w:rPr>
            </w:pPr>
            <w:r w:rsidRPr="001C695B">
              <w:rPr>
                <w:lang w:val="fr-FR"/>
              </w:rPr>
              <w:sym w:font="Wingdings 2" w:char="F050"/>
            </w:r>
          </w:p>
        </w:tc>
        <w:tc>
          <w:tcPr>
            <w:tcW w:w="1843" w:type="dxa"/>
            <w:vAlign w:val="center"/>
            <w:hideMark/>
          </w:tcPr>
          <w:p w:rsidR="00B01C2F" w:rsidRPr="001C695B" w:rsidRDefault="00B01C2F" w:rsidP="00931B29">
            <w:pPr>
              <w:pStyle w:val="Tabletext"/>
              <w:spacing w:before="20" w:after="20"/>
              <w:jc w:val="center"/>
              <w:rPr>
                <w:lang w:val="fr-FR"/>
              </w:rPr>
            </w:pPr>
            <w:r w:rsidRPr="001C695B">
              <w:rPr>
                <w:b/>
                <w:lang w:val="fr-FR"/>
              </w:rPr>
              <w:sym w:font="Wingdings 2" w:char="F052"/>
            </w:r>
          </w:p>
        </w:tc>
      </w:tr>
      <w:tr w:rsidR="00B01C2F" w:rsidRPr="001C695B" w:rsidTr="00931B29">
        <w:trPr>
          <w:trHeight w:val="72"/>
        </w:trPr>
        <w:tc>
          <w:tcPr>
            <w:tcW w:w="7366" w:type="dxa"/>
            <w:hideMark/>
          </w:tcPr>
          <w:p w:rsidR="00B01C2F" w:rsidRPr="001C695B" w:rsidRDefault="00B01C2F" w:rsidP="00931B29">
            <w:pPr>
              <w:pStyle w:val="Tabletext"/>
              <w:spacing w:before="20" w:after="20"/>
              <w:rPr>
                <w:lang w:val="fr-FR"/>
              </w:rPr>
            </w:pPr>
            <w:r w:rsidRPr="001C695B">
              <w:rPr>
                <w:b/>
                <w:bCs/>
                <w:color w:val="4F81BD" w:themeColor="accent1"/>
                <w:lang w:val="fr-FR"/>
              </w:rPr>
              <w:t xml:space="preserve">I.2 </w:t>
            </w:r>
            <w:r w:rsidRPr="001C695B">
              <w:rPr>
                <w:lang w:val="fr-FR"/>
              </w:rPr>
              <w:t xml:space="preserve">Renforcer les partenariats et la coopération dans l'environnement des télécommunications/TIC </w:t>
            </w:r>
          </w:p>
        </w:tc>
        <w:tc>
          <w:tcPr>
            <w:tcW w:w="1842" w:type="dxa"/>
            <w:vAlign w:val="center"/>
          </w:tcPr>
          <w:p w:rsidR="00B01C2F" w:rsidRPr="001C695B" w:rsidRDefault="00B01C2F" w:rsidP="00931B29">
            <w:pPr>
              <w:pStyle w:val="Tabletext"/>
              <w:spacing w:before="20" w:after="20"/>
              <w:jc w:val="center"/>
              <w:rPr>
                <w:bCs/>
                <w:lang w:val="fr-FR"/>
              </w:rPr>
            </w:pPr>
            <w:r w:rsidRPr="001C695B">
              <w:rPr>
                <w:lang w:val="fr-FR"/>
              </w:rPr>
              <w:sym w:font="Wingdings 2" w:char="F050"/>
            </w:r>
          </w:p>
        </w:tc>
        <w:tc>
          <w:tcPr>
            <w:tcW w:w="1843" w:type="dxa"/>
            <w:vAlign w:val="center"/>
            <w:hideMark/>
          </w:tcPr>
          <w:p w:rsidR="00B01C2F" w:rsidRPr="001C695B" w:rsidRDefault="00B01C2F" w:rsidP="00931B29">
            <w:pPr>
              <w:pStyle w:val="Tabletext"/>
              <w:spacing w:before="20" w:after="20"/>
              <w:jc w:val="center"/>
              <w:rPr>
                <w:b/>
                <w:lang w:val="fr-FR"/>
              </w:rPr>
            </w:pPr>
            <w:r w:rsidRPr="001C695B">
              <w:rPr>
                <w:lang w:val="fr-FR"/>
              </w:rPr>
              <w:sym w:font="Wingdings 2" w:char="F050"/>
            </w:r>
          </w:p>
        </w:tc>
        <w:tc>
          <w:tcPr>
            <w:tcW w:w="1843" w:type="dxa"/>
            <w:vAlign w:val="center"/>
          </w:tcPr>
          <w:p w:rsidR="00B01C2F" w:rsidRPr="001C695B" w:rsidRDefault="00B01C2F" w:rsidP="00931B29">
            <w:pPr>
              <w:pStyle w:val="Tabletext"/>
              <w:spacing w:before="20" w:after="20"/>
              <w:jc w:val="center"/>
              <w:rPr>
                <w:lang w:val="fr-FR"/>
              </w:rPr>
            </w:pPr>
            <w:r w:rsidRPr="001C695B">
              <w:rPr>
                <w:lang w:val="fr-FR"/>
              </w:rPr>
              <w:sym w:font="Wingdings 2" w:char="F050"/>
            </w:r>
          </w:p>
        </w:tc>
        <w:tc>
          <w:tcPr>
            <w:tcW w:w="1843" w:type="dxa"/>
            <w:vAlign w:val="center"/>
          </w:tcPr>
          <w:p w:rsidR="00B01C2F" w:rsidRPr="001C695B" w:rsidRDefault="00B01C2F" w:rsidP="00931B29">
            <w:pPr>
              <w:pStyle w:val="Tabletext"/>
              <w:spacing w:before="20" w:after="20"/>
              <w:jc w:val="center"/>
              <w:rPr>
                <w:lang w:val="fr-FR"/>
              </w:rPr>
            </w:pPr>
            <w:r w:rsidRPr="001C695B">
              <w:rPr>
                <w:b/>
                <w:lang w:val="fr-FR"/>
              </w:rPr>
              <w:sym w:font="Wingdings 2" w:char="F052"/>
            </w:r>
          </w:p>
        </w:tc>
      </w:tr>
      <w:tr w:rsidR="00B01C2F" w:rsidRPr="001C695B" w:rsidTr="00931B29">
        <w:trPr>
          <w:trHeight w:val="231"/>
        </w:trPr>
        <w:tc>
          <w:tcPr>
            <w:tcW w:w="7366" w:type="dxa"/>
            <w:hideMark/>
          </w:tcPr>
          <w:p w:rsidR="00B01C2F" w:rsidRPr="001C695B" w:rsidRDefault="00B01C2F" w:rsidP="00931B29">
            <w:pPr>
              <w:pStyle w:val="Tabletext"/>
              <w:spacing w:before="20" w:after="20"/>
              <w:rPr>
                <w:lang w:val="fr-FR"/>
              </w:rPr>
            </w:pPr>
            <w:r w:rsidRPr="001C695B">
              <w:rPr>
                <w:b/>
                <w:bCs/>
                <w:color w:val="4F81BD" w:themeColor="accent1"/>
                <w:lang w:val="fr-FR"/>
              </w:rPr>
              <w:t xml:space="preserve">I.3 </w:t>
            </w:r>
            <w:r w:rsidRPr="001C695B">
              <w:rPr>
                <w:lang w:val="fr-FR"/>
              </w:rPr>
              <w:t xml:space="preserve">Améliorer l'identification et l'analyse des nouvelles tendances dans l'environnement des télécommunications/TIC </w:t>
            </w:r>
          </w:p>
        </w:tc>
        <w:tc>
          <w:tcPr>
            <w:tcW w:w="1842" w:type="dxa"/>
            <w:vAlign w:val="center"/>
            <w:hideMark/>
          </w:tcPr>
          <w:p w:rsidR="00B01C2F" w:rsidRPr="001C695B" w:rsidRDefault="00B01C2F" w:rsidP="00931B29">
            <w:pPr>
              <w:pStyle w:val="Tabletext"/>
              <w:spacing w:before="20" w:after="20"/>
              <w:jc w:val="center"/>
              <w:rPr>
                <w:b/>
                <w:lang w:val="fr-FR"/>
              </w:rPr>
            </w:pPr>
            <w:r w:rsidRPr="001C695B">
              <w:rPr>
                <w:lang w:val="fr-FR"/>
              </w:rPr>
              <w:sym w:font="Wingdings 2" w:char="F050"/>
            </w:r>
          </w:p>
        </w:tc>
        <w:tc>
          <w:tcPr>
            <w:tcW w:w="1843" w:type="dxa"/>
            <w:vAlign w:val="center"/>
            <w:hideMark/>
          </w:tcPr>
          <w:p w:rsidR="00B01C2F" w:rsidRPr="001C695B" w:rsidRDefault="00B01C2F" w:rsidP="00931B29">
            <w:pPr>
              <w:pStyle w:val="Tabletext"/>
              <w:spacing w:before="20" w:after="20"/>
              <w:jc w:val="center"/>
              <w:rPr>
                <w:lang w:val="fr-FR"/>
              </w:rPr>
            </w:pPr>
            <w:r w:rsidRPr="001C695B">
              <w:rPr>
                <w:lang w:val="fr-FR"/>
              </w:rPr>
              <w:sym w:font="Wingdings 2" w:char="F050"/>
            </w:r>
          </w:p>
        </w:tc>
        <w:tc>
          <w:tcPr>
            <w:tcW w:w="1843" w:type="dxa"/>
            <w:vAlign w:val="center"/>
            <w:hideMark/>
          </w:tcPr>
          <w:p w:rsidR="00B01C2F" w:rsidRPr="001C695B" w:rsidRDefault="00B01C2F" w:rsidP="00931B29">
            <w:pPr>
              <w:pStyle w:val="Tabletext"/>
              <w:spacing w:before="20" w:after="20"/>
              <w:jc w:val="center"/>
              <w:rPr>
                <w:lang w:val="fr-FR"/>
              </w:rPr>
            </w:pPr>
            <w:r w:rsidRPr="001C695B">
              <w:rPr>
                <w:lang w:val="fr-FR"/>
              </w:rPr>
              <w:sym w:font="Wingdings 2" w:char="F050"/>
            </w:r>
          </w:p>
        </w:tc>
        <w:tc>
          <w:tcPr>
            <w:tcW w:w="1843" w:type="dxa"/>
            <w:vAlign w:val="center"/>
            <w:hideMark/>
          </w:tcPr>
          <w:p w:rsidR="00B01C2F" w:rsidRPr="001C695B" w:rsidRDefault="00B01C2F" w:rsidP="00931B29">
            <w:pPr>
              <w:pStyle w:val="Tabletext"/>
              <w:spacing w:before="20" w:after="20"/>
              <w:jc w:val="center"/>
              <w:rPr>
                <w:lang w:val="fr-FR"/>
              </w:rPr>
            </w:pPr>
            <w:r w:rsidRPr="001C695B">
              <w:rPr>
                <w:b/>
                <w:lang w:val="fr-FR"/>
              </w:rPr>
              <w:sym w:font="Wingdings 2" w:char="F052"/>
            </w:r>
          </w:p>
        </w:tc>
      </w:tr>
      <w:tr w:rsidR="00B01C2F" w:rsidRPr="001C695B" w:rsidTr="00931B29">
        <w:trPr>
          <w:trHeight w:val="231"/>
        </w:trPr>
        <w:tc>
          <w:tcPr>
            <w:tcW w:w="7366" w:type="dxa"/>
          </w:tcPr>
          <w:p w:rsidR="00B01C2F" w:rsidRPr="001C695B" w:rsidRDefault="00B01C2F" w:rsidP="00931B29">
            <w:pPr>
              <w:pStyle w:val="Tabletext"/>
              <w:spacing w:before="20" w:after="20"/>
              <w:rPr>
                <w:b/>
                <w:bCs/>
                <w:color w:val="4F81BD" w:themeColor="accent1"/>
                <w:lang w:val="fr-FR"/>
              </w:rPr>
            </w:pPr>
            <w:r w:rsidRPr="001C695B">
              <w:rPr>
                <w:b/>
                <w:bCs/>
                <w:color w:val="4F81BD" w:themeColor="accent1"/>
                <w:lang w:val="fr-FR"/>
              </w:rPr>
              <w:t xml:space="preserve">I.4 </w:t>
            </w:r>
            <w:r w:rsidRPr="001C695B">
              <w:rPr>
                <w:lang w:val="fr-FR"/>
              </w:rPr>
              <w:t xml:space="preserve">Promouvoir/mieux faire reconnaître (l'importance des) les télécommunications/TIC en tant que catalyseur essentiel du développement social, économique et écologiquement durable </w:t>
            </w:r>
          </w:p>
        </w:tc>
        <w:tc>
          <w:tcPr>
            <w:tcW w:w="1842" w:type="dxa"/>
            <w:vAlign w:val="center"/>
          </w:tcPr>
          <w:p w:rsidR="00B01C2F" w:rsidRPr="001C695B" w:rsidRDefault="00B01C2F" w:rsidP="00931B29">
            <w:pPr>
              <w:pStyle w:val="Tabletext"/>
              <w:spacing w:before="20" w:after="20"/>
              <w:jc w:val="center"/>
              <w:rPr>
                <w:b/>
                <w:lang w:val="fr-FR"/>
              </w:rPr>
            </w:pPr>
          </w:p>
        </w:tc>
        <w:tc>
          <w:tcPr>
            <w:tcW w:w="1843" w:type="dxa"/>
            <w:vAlign w:val="center"/>
          </w:tcPr>
          <w:p w:rsidR="00B01C2F" w:rsidRPr="001C695B" w:rsidRDefault="00B01C2F" w:rsidP="00931B29">
            <w:pPr>
              <w:pStyle w:val="Tabletext"/>
              <w:spacing w:before="20" w:after="20"/>
              <w:jc w:val="center"/>
              <w:rPr>
                <w:b/>
                <w:lang w:val="fr-FR"/>
              </w:rPr>
            </w:pPr>
            <w:r w:rsidRPr="001C695B">
              <w:rPr>
                <w:b/>
                <w:lang w:val="fr-FR"/>
              </w:rPr>
              <w:sym w:font="Wingdings 2" w:char="F052"/>
            </w:r>
          </w:p>
        </w:tc>
        <w:tc>
          <w:tcPr>
            <w:tcW w:w="1843" w:type="dxa"/>
            <w:vAlign w:val="center"/>
          </w:tcPr>
          <w:p w:rsidR="00B01C2F" w:rsidRPr="001C695B" w:rsidRDefault="00B01C2F" w:rsidP="00931B29">
            <w:pPr>
              <w:pStyle w:val="Tabletext"/>
              <w:spacing w:before="20" w:after="20"/>
              <w:jc w:val="center"/>
              <w:rPr>
                <w:lang w:val="fr-FR"/>
              </w:rPr>
            </w:pPr>
            <w:r w:rsidRPr="001C695B">
              <w:rPr>
                <w:b/>
                <w:lang w:val="fr-FR"/>
              </w:rPr>
              <w:sym w:font="Wingdings 2" w:char="F052"/>
            </w:r>
          </w:p>
        </w:tc>
        <w:tc>
          <w:tcPr>
            <w:tcW w:w="1843" w:type="dxa"/>
            <w:vAlign w:val="center"/>
          </w:tcPr>
          <w:p w:rsidR="00B01C2F" w:rsidRPr="001C695B" w:rsidRDefault="00B01C2F" w:rsidP="00931B29">
            <w:pPr>
              <w:pStyle w:val="Tabletext"/>
              <w:spacing w:before="20" w:after="20"/>
              <w:jc w:val="center"/>
              <w:rPr>
                <w:lang w:val="fr-FR"/>
              </w:rPr>
            </w:pPr>
          </w:p>
        </w:tc>
      </w:tr>
      <w:tr w:rsidR="00B01C2F" w:rsidRPr="001C695B" w:rsidTr="00931B29">
        <w:trPr>
          <w:trHeight w:val="231"/>
        </w:trPr>
        <w:tc>
          <w:tcPr>
            <w:tcW w:w="7366" w:type="dxa"/>
            <w:tcBorders>
              <w:bottom w:val="single" w:sz="4" w:space="0" w:color="95B3D7" w:themeColor="accent1" w:themeTint="99"/>
            </w:tcBorders>
          </w:tcPr>
          <w:p w:rsidR="00B01C2F" w:rsidRPr="001C695B" w:rsidRDefault="00B01C2F" w:rsidP="00931B29">
            <w:pPr>
              <w:pStyle w:val="Tabletext"/>
              <w:spacing w:before="20" w:after="20"/>
              <w:rPr>
                <w:b/>
                <w:bCs/>
                <w:color w:val="4F81BD" w:themeColor="accent1"/>
                <w:lang w:val="fr-FR"/>
              </w:rPr>
            </w:pPr>
            <w:r w:rsidRPr="001C695B">
              <w:rPr>
                <w:b/>
                <w:bCs/>
                <w:color w:val="4F81BD" w:themeColor="accent1"/>
                <w:lang w:val="fr-FR"/>
              </w:rPr>
              <w:t xml:space="preserve">I.5 </w:t>
            </w:r>
            <w:r w:rsidRPr="001C695B">
              <w:rPr>
                <w:lang w:val="fr-FR"/>
              </w:rPr>
              <w:t>Améliorer l'accès aux télécommunications/TIC pour les personnes handicapées et pour les personnes ayant des besoins particuliers</w:t>
            </w:r>
          </w:p>
        </w:tc>
        <w:tc>
          <w:tcPr>
            <w:tcW w:w="1842" w:type="dxa"/>
            <w:tcBorders>
              <w:bottom w:val="single" w:sz="4" w:space="0" w:color="95B3D7" w:themeColor="accent1" w:themeTint="99"/>
            </w:tcBorders>
            <w:vAlign w:val="center"/>
          </w:tcPr>
          <w:p w:rsidR="00B01C2F" w:rsidRPr="001C695B" w:rsidRDefault="00B01C2F" w:rsidP="00931B29">
            <w:pPr>
              <w:pStyle w:val="Tabletext"/>
              <w:spacing w:before="20" w:after="20"/>
              <w:jc w:val="center"/>
              <w:rPr>
                <w:b/>
                <w:lang w:val="fr-FR"/>
              </w:rPr>
            </w:pPr>
          </w:p>
        </w:tc>
        <w:tc>
          <w:tcPr>
            <w:tcW w:w="1843" w:type="dxa"/>
            <w:tcBorders>
              <w:bottom w:val="single" w:sz="4" w:space="0" w:color="95B3D7" w:themeColor="accent1" w:themeTint="99"/>
            </w:tcBorders>
            <w:vAlign w:val="center"/>
          </w:tcPr>
          <w:p w:rsidR="00B01C2F" w:rsidRPr="001C695B" w:rsidRDefault="00B01C2F" w:rsidP="00931B29">
            <w:pPr>
              <w:pStyle w:val="Tabletext"/>
              <w:spacing w:before="20" w:after="20"/>
              <w:jc w:val="center"/>
              <w:rPr>
                <w:b/>
                <w:lang w:val="fr-FR"/>
              </w:rPr>
            </w:pPr>
            <w:r w:rsidRPr="001C695B">
              <w:rPr>
                <w:b/>
                <w:lang w:val="fr-FR"/>
              </w:rPr>
              <w:sym w:font="Wingdings 2" w:char="F052"/>
            </w:r>
          </w:p>
        </w:tc>
        <w:tc>
          <w:tcPr>
            <w:tcW w:w="1843" w:type="dxa"/>
            <w:tcBorders>
              <w:bottom w:val="single" w:sz="4" w:space="0" w:color="95B3D7" w:themeColor="accent1" w:themeTint="99"/>
            </w:tcBorders>
            <w:vAlign w:val="center"/>
          </w:tcPr>
          <w:p w:rsidR="00B01C2F" w:rsidRPr="001C695B" w:rsidRDefault="00B01C2F" w:rsidP="00931B29">
            <w:pPr>
              <w:pStyle w:val="Tabletext"/>
              <w:spacing w:before="20" w:after="20"/>
              <w:jc w:val="center"/>
              <w:rPr>
                <w:lang w:val="fr-FR"/>
              </w:rPr>
            </w:pPr>
          </w:p>
        </w:tc>
        <w:tc>
          <w:tcPr>
            <w:tcW w:w="1843" w:type="dxa"/>
            <w:tcBorders>
              <w:bottom w:val="single" w:sz="4" w:space="0" w:color="95B3D7" w:themeColor="accent1" w:themeTint="99"/>
            </w:tcBorders>
            <w:vAlign w:val="center"/>
          </w:tcPr>
          <w:p w:rsidR="00B01C2F" w:rsidRPr="001C695B" w:rsidRDefault="00B01C2F" w:rsidP="00931B29">
            <w:pPr>
              <w:pStyle w:val="Tabletext"/>
              <w:spacing w:before="20" w:after="20"/>
              <w:jc w:val="center"/>
              <w:rPr>
                <w:lang w:val="fr-FR"/>
              </w:rPr>
            </w:pPr>
          </w:p>
        </w:tc>
      </w:tr>
      <w:tr w:rsidR="00B01C2F" w:rsidRPr="001C695B" w:rsidTr="00931B29">
        <w:trPr>
          <w:trHeight w:val="435"/>
        </w:trPr>
        <w:tc>
          <w:tcPr>
            <w:tcW w:w="14737" w:type="dxa"/>
            <w:gridSpan w:val="5"/>
            <w:shd w:val="clear" w:color="auto" w:fill="4F81BD" w:themeFill="accent1"/>
            <w:vAlign w:val="center"/>
          </w:tcPr>
          <w:p w:rsidR="00B01C2F" w:rsidRPr="001C695B" w:rsidRDefault="00B01C2F" w:rsidP="00931B29">
            <w:pPr>
              <w:pStyle w:val="Tabletext"/>
              <w:spacing w:before="20" w:after="20"/>
              <w:rPr>
                <w:b/>
                <w:lang w:val="fr-FR"/>
              </w:rPr>
            </w:pPr>
            <w:r w:rsidRPr="001C695B">
              <w:rPr>
                <w:b/>
                <w:color w:val="FFFFFF" w:themeColor="background1"/>
                <w:lang w:val="fr-FR"/>
              </w:rPr>
              <w:t>Catalyseurs</w:t>
            </w:r>
          </w:p>
        </w:tc>
      </w:tr>
      <w:tr w:rsidR="00B01C2F" w:rsidRPr="001C695B" w:rsidTr="00931B29">
        <w:trPr>
          <w:trHeight w:val="72"/>
        </w:trPr>
        <w:tc>
          <w:tcPr>
            <w:tcW w:w="14737" w:type="dxa"/>
            <w:gridSpan w:val="5"/>
            <w:hideMark/>
          </w:tcPr>
          <w:p w:rsidR="00B01C2F" w:rsidRPr="001C695B" w:rsidRDefault="00B01C2F" w:rsidP="00931B29">
            <w:pPr>
              <w:pStyle w:val="Tabletext"/>
              <w:spacing w:before="20" w:after="20"/>
              <w:rPr>
                <w:lang w:val="fr-FR"/>
              </w:rPr>
            </w:pPr>
            <w:r w:rsidRPr="001C695B">
              <w:rPr>
                <w:b/>
                <w:bCs/>
                <w:color w:val="4F81BD" w:themeColor="accent1"/>
                <w:lang w:val="fr-FR"/>
              </w:rPr>
              <w:t xml:space="preserve">E.1 </w:t>
            </w:r>
            <w:r w:rsidRPr="001C695B">
              <w:rPr>
                <w:lang w:val="fr-FR"/>
              </w:rPr>
              <w:t xml:space="preserve">Veiller à l'utilisation efficace et efficiente des ressources humaines, financières et en capital et garantir un environnement de travail propice, sûr et sécurisé </w:t>
            </w:r>
          </w:p>
        </w:tc>
      </w:tr>
      <w:tr w:rsidR="00B01C2F" w:rsidRPr="001C695B" w:rsidTr="00931B29">
        <w:trPr>
          <w:trHeight w:val="72"/>
        </w:trPr>
        <w:tc>
          <w:tcPr>
            <w:tcW w:w="14737" w:type="dxa"/>
            <w:gridSpan w:val="5"/>
            <w:hideMark/>
          </w:tcPr>
          <w:p w:rsidR="00B01C2F" w:rsidRPr="001C695B" w:rsidRDefault="00B01C2F" w:rsidP="00931B29">
            <w:pPr>
              <w:pStyle w:val="Tabletext"/>
              <w:spacing w:before="20" w:after="20"/>
              <w:rPr>
                <w:lang w:val="fr-FR"/>
              </w:rPr>
            </w:pPr>
            <w:r w:rsidRPr="001C695B">
              <w:rPr>
                <w:b/>
                <w:bCs/>
                <w:color w:val="4F81BD" w:themeColor="accent1"/>
                <w:lang w:val="fr-FR"/>
              </w:rPr>
              <w:t xml:space="preserve">E.2 </w:t>
            </w:r>
            <w:r w:rsidRPr="001C695B">
              <w:rPr>
                <w:lang w:val="fr-FR"/>
              </w:rPr>
              <w:t xml:space="preserve">Veiller à l'efficacité et à l'accessibilité des infrastructures (conférences, réunions, documentation, publications et information) </w:t>
            </w:r>
          </w:p>
        </w:tc>
      </w:tr>
      <w:tr w:rsidR="00B01C2F" w:rsidRPr="001C695B" w:rsidTr="00931B29">
        <w:trPr>
          <w:trHeight w:val="231"/>
        </w:trPr>
        <w:tc>
          <w:tcPr>
            <w:tcW w:w="14737" w:type="dxa"/>
            <w:gridSpan w:val="5"/>
            <w:hideMark/>
          </w:tcPr>
          <w:p w:rsidR="00B01C2F" w:rsidRPr="001C695B" w:rsidRDefault="00B01C2F" w:rsidP="00931B29">
            <w:pPr>
              <w:pStyle w:val="Tabletext"/>
              <w:spacing w:before="20" w:after="20"/>
              <w:rPr>
                <w:lang w:val="fr-FR"/>
              </w:rPr>
            </w:pPr>
            <w:r w:rsidRPr="001C695B">
              <w:rPr>
                <w:b/>
                <w:bCs/>
                <w:color w:val="4F81BD" w:themeColor="accent1"/>
                <w:lang w:val="fr-FR"/>
              </w:rPr>
              <w:t xml:space="preserve">E.3 </w:t>
            </w:r>
            <w:r w:rsidRPr="001C695B">
              <w:rPr>
                <w:lang w:val="fr-FR"/>
              </w:rPr>
              <w:t xml:space="preserve">Fournir des services efficaces en ce qui concerne les membres, le protocole, la communication et la mobilisation des ressources </w:t>
            </w:r>
          </w:p>
        </w:tc>
      </w:tr>
      <w:tr w:rsidR="00B01C2F" w:rsidRPr="001C695B" w:rsidTr="00931B29">
        <w:trPr>
          <w:trHeight w:val="231"/>
        </w:trPr>
        <w:tc>
          <w:tcPr>
            <w:tcW w:w="14737" w:type="dxa"/>
            <w:gridSpan w:val="5"/>
          </w:tcPr>
          <w:p w:rsidR="00B01C2F" w:rsidRPr="001C695B" w:rsidRDefault="00B01C2F" w:rsidP="00931B29">
            <w:pPr>
              <w:pStyle w:val="Tabletext"/>
              <w:spacing w:before="20" w:after="20"/>
              <w:rPr>
                <w:lang w:val="fr-FR"/>
              </w:rPr>
            </w:pPr>
            <w:r w:rsidRPr="001C695B">
              <w:rPr>
                <w:b/>
                <w:bCs/>
                <w:color w:val="4F81BD" w:themeColor="accent1"/>
                <w:lang w:val="fr-FR"/>
              </w:rPr>
              <w:t xml:space="preserve">E.4 </w:t>
            </w:r>
            <w:r w:rsidRPr="001C695B">
              <w:rPr>
                <w:lang w:val="fr-FR"/>
              </w:rPr>
              <w:t xml:space="preserve">Veiller à la planification, à la coordination et à l'exécution efficaces du plan stratégique et des plans opérationnels de l'Union </w:t>
            </w:r>
          </w:p>
        </w:tc>
      </w:tr>
      <w:tr w:rsidR="00B01C2F" w:rsidRPr="001C695B" w:rsidTr="00931B29">
        <w:trPr>
          <w:trHeight w:val="231"/>
        </w:trPr>
        <w:tc>
          <w:tcPr>
            <w:tcW w:w="14737" w:type="dxa"/>
            <w:gridSpan w:val="5"/>
          </w:tcPr>
          <w:p w:rsidR="00B01C2F" w:rsidRPr="001C695B" w:rsidRDefault="00B01C2F" w:rsidP="00931B29">
            <w:pPr>
              <w:pStyle w:val="Tabletext"/>
              <w:spacing w:before="20" w:after="20"/>
              <w:rPr>
                <w:lang w:val="fr-FR"/>
              </w:rPr>
            </w:pPr>
            <w:r w:rsidRPr="001C695B">
              <w:rPr>
                <w:b/>
                <w:bCs/>
                <w:color w:val="4F81BD" w:themeColor="accent1"/>
                <w:lang w:val="fr-FR"/>
              </w:rPr>
              <w:t xml:space="preserve">E.5 </w:t>
            </w:r>
            <w:r w:rsidRPr="001C695B">
              <w:rPr>
                <w:lang w:val="fr-FR"/>
              </w:rPr>
              <w:t xml:space="preserve">Veiller à l'efficacité et à l'efficience de la gouvernance de l'organisation (en interne et à l'extérieur) </w:t>
            </w:r>
          </w:p>
        </w:tc>
      </w:tr>
    </w:tbl>
    <w:p w:rsidR="00741A31" w:rsidRPr="001C695B" w:rsidRDefault="00741A31" w:rsidP="00741A31">
      <w:pPr>
        <w:spacing w:before="20" w:after="20"/>
        <w:rPr>
          <w:lang w:val="fr-FR"/>
        </w:rPr>
      </w:pPr>
    </w:p>
    <w:p w:rsidR="00741A31" w:rsidRPr="001C695B" w:rsidRDefault="00741A31" w:rsidP="00741A31">
      <w:pPr>
        <w:spacing w:before="20" w:after="20"/>
        <w:rPr>
          <w:lang w:val="fr-FR"/>
        </w:rPr>
      </w:pPr>
      <w:r w:rsidRPr="001C695B">
        <w:rPr>
          <w:lang w:val="fr-FR"/>
        </w:rPr>
        <w:br w:type="page"/>
      </w:r>
    </w:p>
    <w:p w:rsidR="00741A31" w:rsidRPr="001C695B" w:rsidRDefault="00741A31" w:rsidP="00741A31">
      <w:pPr>
        <w:pStyle w:val="Heading2"/>
        <w:spacing w:after="120"/>
        <w:rPr>
          <w:lang w:val="fr-FR"/>
        </w:rPr>
      </w:pPr>
      <w:r w:rsidRPr="001C695B">
        <w:rPr>
          <w:lang w:val="fr-FR"/>
        </w:rPr>
        <w:lastRenderedPageBreak/>
        <w:t>3.2</w:t>
      </w:r>
      <w:r w:rsidRPr="001C695B">
        <w:rPr>
          <w:lang w:val="fr-FR"/>
        </w:rPr>
        <w:tab/>
        <w:t>Catalyseurs et services/processus d'appui connexes</w:t>
      </w:r>
    </w:p>
    <w:tbl>
      <w:tblPr>
        <w:tblStyle w:val="GridTable4-Accent12"/>
        <w:tblW w:w="14709" w:type="dxa"/>
        <w:tblLayout w:type="fixed"/>
        <w:tblLook w:val="0620" w:firstRow="1" w:lastRow="0" w:firstColumn="0" w:lastColumn="0" w:noHBand="1" w:noVBand="1"/>
      </w:tblPr>
      <w:tblGrid>
        <w:gridCol w:w="6516"/>
        <w:gridCol w:w="1843"/>
        <w:gridCol w:w="1559"/>
        <w:gridCol w:w="1597"/>
        <w:gridCol w:w="1663"/>
        <w:gridCol w:w="1531"/>
      </w:tblGrid>
      <w:tr w:rsidR="00B01C2F" w:rsidRPr="001C695B" w:rsidTr="00B01C2F">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B01C2F" w:rsidRPr="001C695B" w:rsidRDefault="00B01C2F" w:rsidP="00931B29">
            <w:pPr>
              <w:pStyle w:val="Tablehead"/>
              <w:spacing w:before="20" w:after="20"/>
              <w:jc w:val="right"/>
              <w:rPr>
                <w:b/>
                <w:bCs w:val="0"/>
                <w:sz w:val="20"/>
                <w:szCs w:val="20"/>
                <w:lang w:val="fr-FR"/>
              </w:rPr>
            </w:pPr>
            <w:r w:rsidRPr="001C695B">
              <w:rPr>
                <w:b/>
                <w:bCs w:val="0"/>
                <w:sz w:val="20"/>
                <w:szCs w:val="20"/>
                <w:lang w:val="fr-FR"/>
              </w:rPr>
              <w:t>Catalyseurs</w:t>
            </w:r>
          </w:p>
          <w:p w:rsidR="00B01C2F" w:rsidRPr="001C695B" w:rsidRDefault="00B01C2F" w:rsidP="00931B29">
            <w:pPr>
              <w:pStyle w:val="Tablehead"/>
              <w:spacing w:before="20" w:after="20"/>
              <w:rPr>
                <w:sz w:val="20"/>
                <w:szCs w:val="20"/>
                <w:lang w:val="fr-FR"/>
              </w:rPr>
            </w:pPr>
          </w:p>
          <w:p w:rsidR="00B01C2F" w:rsidRPr="001C695B" w:rsidRDefault="00B01C2F" w:rsidP="00931B29">
            <w:pPr>
              <w:pStyle w:val="Tablehead"/>
              <w:spacing w:before="20" w:after="20"/>
              <w:rPr>
                <w:sz w:val="20"/>
                <w:szCs w:val="20"/>
                <w:lang w:val="fr-FR"/>
              </w:rPr>
            </w:pPr>
          </w:p>
          <w:p w:rsidR="00B01C2F" w:rsidRPr="001C695B" w:rsidRDefault="00B01C2F" w:rsidP="00931B29">
            <w:pPr>
              <w:pStyle w:val="Tablehead"/>
              <w:spacing w:before="20" w:after="20"/>
              <w:rPr>
                <w:b/>
                <w:sz w:val="20"/>
                <w:szCs w:val="20"/>
                <w:lang w:val="fr-FR"/>
              </w:rPr>
            </w:pPr>
          </w:p>
          <w:p w:rsidR="00B01C2F" w:rsidRPr="001C695B" w:rsidRDefault="00B01C2F" w:rsidP="00931B29">
            <w:pPr>
              <w:pStyle w:val="Tablehead"/>
              <w:spacing w:before="20" w:after="20"/>
              <w:rPr>
                <w:b/>
                <w:sz w:val="20"/>
                <w:szCs w:val="20"/>
                <w:lang w:val="fr-FR"/>
              </w:rPr>
            </w:pPr>
          </w:p>
          <w:p w:rsidR="00B01C2F" w:rsidRPr="001C695B" w:rsidRDefault="00B01C2F" w:rsidP="00931B29">
            <w:pPr>
              <w:pStyle w:val="Tablehead"/>
              <w:spacing w:before="20" w:after="20"/>
              <w:rPr>
                <w:b/>
                <w:sz w:val="20"/>
                <w:szCs w:val="20"/>
                <w:lang w:val="fr-FR"/>
              </w:rPr>
            </w:pPr>
          </w:p>
          <w:p w:rsidR="00B01C2F" w:rsidRPr="001C695B" w:rsidRDefault="00B01C2F" w:rsidP="00931B29">
            <w:pPr>
              <w:pStyle w:val="Tablehead"/>
              <w:spacing w:before="20" w:after="20"/>
              <w:rPr>
                <w:b/>
                <w:sz w:val="20"/>
                <w:szCs w:val="20"/>
                <w:lang w:val="fr-FR"/>
              </w:rPr>
            </w:pPr>
          </w:p>
          <w:p w:rsidR="00B01C2F" w:rsidRPr="001C695B" w:rsidRDefault="00B01C2F" w:rsidP="00931B29">
            <w:pPr>
              <w:pStyle w:val="Tablehead"/>
              <w:spacing w:before="20" w:after="20"/>
              <w:rPr>
                <w:b/>
                <w:bCs w:val="0"/>
                <w:sz w:val="20"/>
                <w:szCs w:val="20"/>
                <w:lang w:val="fr-FR"/>
              </w:rPr>
            </w:pPr>
            <w:r w:rsidRPr="001C695B">
              <w:rPr>
                <w:b/>
                <w:bCs w:val="0"/>
                <w:sz w:val="20"/>
                <w:szCs w:val="20"/>
                <w:lang w:val="fr-FR"/>
              </w:rPr>
              <w:t>Services/processus d'appui</w:t>
            </w:r>
          </w:p>
        </w:tc>
        <w:tc>
          <w:tcPr>
            <w:tcW w:w="1843" w:type="dxa"/>
          </w:tcPr>
          <w:p w:rsidR="00B01C2F" w:rsidRPr="001C695B" w:rsidRDefault="00B01C2F" w:rsidP="00931B29">
            <w:pPr>
              <w:pStyle w:val="Tablehead"/>
              <w:spacing w:before="20" w:after="20"/>
              <w:jc w:val="left"/>
              <w:rPr>
                <w:sz w:val="20"/>
                <w:szCs w:val="20"/>
                <w:lang w:val="fr-FR"/>
              </w:rPr>
            </w:pPr>
            <w:r w:rsidRPr="001C695B">
              <w:rPr>
                <w:b/>
                <w:bCs w:val="0"/>
                <w:sz w:val="20"/>
                <w:szCs w:val="20"/>
                <w:lang w:val="fr-FR"/>
              </w:rPr>
              <w:t>E.1</w:t>
            </w:r>
            <w:r w:rsidRPr="001C695B">
              <w:rPr>
                <w:sz w:val="20"/>
                <w:szCs w:val="20"/>
                <w:lang w:val="fr-FR"/>
              </w:rPr>
              <w:t xml:space="preserve"> Veiller à l'utilisation efficace et efficiente des ressources humaines, financières et en capital et garantir un environnement de travail propice, sûr et sécurisé</w:t>
            </w:r>
          </w:p>
        </w:tc>
        <w:tc>
          <w:tcPr>
            <w:tcW w:w="1559" w:type="dxa"/>
          </w:tcPr>
          <w:p w:rsidR="00B01C2F" w:rsidRPr="001C695B" w:rsidRDefault="00B01C2F" w:rsidP="00931B29">
            <w:pPr>
              <w:pStyle w:val="Tablehead"/>
              <w:spacing w:before="20" w:after="20"/>
              <w:jc w:val="left"/>
              <w:rPr>
                <w:b/>
                <w:bCs w:val="0"/>
                <w:sz w:val="20"/>
                <w:szCs w:val="20"/>
                <w:lang w:val="fr-FR"/>
              </w:rPr>
            </w:pPr>
            <w:r w:rsidRPr="001C695B">
              <w:rPr>
                <w:b/>
                <w:bCs w:val="0"/>
                <w:sz w:val="20"/>
                <w:szCs w:val="20"/>
                <w:lang w:val="fr-FR"/>
              </w:rPr>
              <w:t xml:space="preserve">E.2 </w:t>
            </w:r>
            <w:r w:rsidRPr="001C695B">
              <w:rPr>
                <w:sz w:val="20"/>
                <w:szCs w:val="20"/>
                <w:lang w:val="fr-FR"/>
              </w:rPr>
              <w:t>Veiller à l'efficacité et à l'accessibilité des infrastructures (conférences, réunions, documentation, publications et information)</w:t>
            </w:r>
          </w:p>
        </w:tc>
        <w:tc>
          <w:tcPr>
            <w:tcW w:w="1597" w:type="dxa"/>
          </w:tcPr>
          <w:p w:rsidR="00B01C2F" w:rsidRPr="001C695B" w:rsidRDefault="00B01C2F" w:rsidP="00931B29">
            <w:pPr>
              <w:pStyle w:val="Tablehead"/>
              <w:spacing w:before="20" w:after="20"/>
              <w:jc w:val="left"/>
              <w:rPr>
                <w:b/>
                <w:bCs w:val="0"/>
                <w:sz w:val="20"/>
                <w:szCs w:val="20"/>
                <w:lang w:val="fr-FR"/>
              </w:rPr>
            </w:pPr>
            <w:r w:rsidRPr="001C695B">
              <w:rPr>
                <w:b/>
                <w:bCs w:val="0"/>
                <w:sz w:val="20"/>
                <w:szCs w:val="20"/>
                <w:lang w:val="fr-FR"/>
              </w:rPr>
              <w:t>E.3</w:t>
            </w:r>
            <w:r w:rsidRPr="001C695B">
              <w:rPr>
                <w:sz w:val="20"/>
                <w:szCs w:val="20"/>
                <w:lang w:val="fr-FR"/>
              </w:rPr>
              <w:t xml:space="preserve"> Fournir des services efficaces en ce qui concerne les membres, le protocole, la communication et la mobilisation des ressources</w:t>
            </w:r>
          </w:p>
        </w:tc>
        <w:tc>
          <w:tcPr>
            <w:tcW w:w="1663" w:type="dxa"/>
          </w:tcPr>
          <w:p w:rsidR="00B01C2F" w:rsidRPr="001C695B" w:rsidRDefault="00B01C2F" w:rsidP="00931B29">
            <w:pPr>
              <w:pStyle w:val="Tablehead"/>
              <w:spacing w:before="20" w:after="20"/>
              <w:jc w:val="left"/>
              <w:rPr>
                <w:b/>
                <w:bCs w:val="0"/>
                <w:sz w:val="20"/>
                <w:szCs w:val="20"/>
                <w:lang w:val="fr-FR"/>
              </w:rPr>
            </w:pPr>
            <w:r w:rsidRPr="001C695B">
              <w:rPr>
                <w:b/>
                <w:bCs w:val="0"/>
                <w:sz w:val="20"/>
                <w:szCs w:val="20"/>
                <w:lang w:val="fr-FR"/>
              </w:rPr>
              <w:t xml:space="preserve">E.4 </w:t>
            </w:r>
            <w:r w:rsidRPr="001C695B">
              <w:rPr>
                <w:sz w:val="20"/>
                <w:szCs w:val="20"/>
                <w:lang w:val="fr-FR"/>
              </w:rPr>
              <w:t xml:space="preserve">Veiller </w:t>
            </w:r>
            <w:r w:rsidRPr="001C695B">
              <w:rPr>
                <w:sz w:val="20"/>
                <w:szCs w:val="20"/>
                <w:lang w:val="fr-FR"/>
              </w:rPr>
              <w:br/>
              <w:t>à la planification, à la coordination et à l'exécution efficaces du Plan stratégique et des plans opérationnels de l'Union</w:t>
            </w:r>
          </w:p>
        </w:tc>
        <w:tc>
          <w:tcPr>
            <w:tcW w:w="1531" w:type="dxa"/>
          </w:tcPr>
          <w:p w:rsidR="00B01C2F" w:rsidRPr="001C695B" w:rsidRDefault="00B01C2F" w:rsidP="00931B29">
            <w:pPr>
              <w:pStyle w:val="Tablehead"/>
              <w:spacing w:before="20" w:after="20"/>
              <w:jc w:val="left"/>
              <w:rPr>
                <w:b/>
                <w:bCs w:val="0"/>
                <w:sz w:val="20"/>
                <w:szCs w:val="20"/>
                <w:lang w:val="fr-FR"/>
              </w:rPr>
            </w:pPr>
            <w:r w:rsidRPr="001C695B">
              <w:rPr>
                <w:b/>
                <w:bCs w:val="0"/>
                <w:sz w:val="20"/>
                <w:szCs w:val="20"/>
                <w:lang w:val="fr-FR"/>
              </w:rPr>
              <w:t xml:space="preserve">E.5 </w:t>
            </w:r>
            <w:r w:rsidRPr="001C695B">
              <w:rPr>
                <w:sz w:val="20"/>
                <w:szCs w:val="20"/>
                <w:lang w:val="fr-FR"/>
              </w:rPr>
              <w:t>Veiller à l'efficacité et à l'efficience de la gouvernance de l'organisation (en interne et à l'extérieur)</w:t>
            </w: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Direction de l'Union</w:t>
            </w:r>
          </w:p>
        </w:tc>
        <w:tc>
          <w:tcPr>
            <w:tcW w:w="1843"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31"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r>
      <w:tr w:rsidR="00B01C2F" w:rsidRPr="001C695B" w:rsidTr="00B01C2F">
        <w:tc>
          <w:tcPr>
            <w:tcW w:w="6516" w:type="dxa"/>
          </w:tcPr>
          <w:p w:rsidR="00B01C2F" w:rsidRPr="001C695B" w:rsidRDefault="00B01C2F" w:rsidP="00931B29">
            <w:pPr>
              <w:pStyle w:val="Tabletext"/>
              <w:tabs>
                <w:tab w:val="left" w:pos="313"/>
              </w:tabs>
              <w:spacing w:before="20" w:after="20"/>
              <w:ind w:left="313" w:hanging="313"/>
              <w:rPr>
                <w:sz w:val="20"/>
                <w:szCs w:val="20"/>
                <w:lang w:val="fr-FR"/>
              </w:rPr>
            </w:pPr>
            <w:r w:rsidRPr="001C695B">
              <w:rPr>
                <w:sz w:val="20"/>
                <w:lang w:val="fr-FR"/>
              </w:rPr>
              <w:t>–</w:t>
            </w:r>
            <w:r w:rsidRPr="001C695B">
              <w:rPr>
                <w:sz w:val="20"/>
                <w:lang w:val="fr-FR"/>
              </w:rPr>
              <w:tab/>
            </w:r>
            <w:r w:rsidRPr="001C695B">
              <w:rPr>
                <w:sz w:val="20"/>
                <w:szCs w:val="20"/>
                <w:lang w:val="fr-FR"/>
              </w:rPr>
              <w:t>Organisation de conférences, assemblées, séminaires et ateliers (traduction et interprétation comprises)</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Services de publication</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Services TIC</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Gestion des ressources humaines</w:t>
            </w:r>
          </w:p>
        </w:tc>
        <w:tc>
          <w:tcPr>
            <w:tcW w:w="1843"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Gestion des ressources financières</w:t>
            </w:r>
          </w:p>
        </w:tc>
        <w:tc>
          <w:tcPr>
            <w:tcW w:w="1843"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Services juridiques</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Audit interne</w:t>
            </w:r>
          </w:p>
        </w:tc>
        <w:tc>
          <w:tcPr>
            <w:tcW w:w="1843"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r>
      <w:tr w:rsidR="00B01C2F" w:rsidRPr="001C695B" w:rsidTr="00B01C2F">
        <w:tc>
          <w:tcPr>
            <w:tcW w:w="6516" w:type="dxa"/>
          </w:tcPr>
          <w:p w:rsidR="00B01C2F" w:rsidRPr="001C695B" w:rsidRDefault="00B01C2F" w:rsidP="00931B29">
            <w:pPr>
              <w:pStyle w:val="Tabletext"/>
              <w:tabs>
                <w:tab w:val="left" w:pos="313"/>
              </w:tabs>
              <w:spacing w:before="20" w:after="20"/>
              <w:ind w:left="313" w:hanging="313"/>
              <w:rPr>
                <w:sz w:val="20"/>
                <w:szCs w:val="20"/>
                <w:lang w:val="fr-FR"/>
              </w:rPr>
            </w:pPr>
            <w:r w:rsidRPr="001C695B">
              <w:rPr>
                <w:sz w:val="20"/>
                <w:lang w:val="fr-FR"/>
              </w:rPr>
              <w:t>–</w:t>
            </w:r>
            <w:r w:rsidRPr="001C695B">
              <w:rPr>
                <w:sz w:val="20"/>
                <w:lang w:val="fr-FR"/>
              </w:rPr>
              <w:tab/>
            </w:r>
            <w:r w:rsidRPr="001C695B">
              <w:rPr>
                <w:sz w:val="20"/>
                <w:szCs w:val="20"/>
                <w:lang w:val="fr-FR"/>
              </w:rPr>
              <w:t>Collaboration avec les Membres et les parties prenantes extérieures (y compris les Nations Unies)</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r w:rsidRPr="001C695B">
              <w:rPr>
                <w:sz w:val="20"/>
                <w:szCs w:val="20"/>
                <w:lang w:val="fr-FR"/>
              </w:rPr>
              <w:t>X</w:t>
            </w: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ind w:left="313" w:hanging="313"/>
              <w:rPr>
                <w:sz w:val="20"/>
                <w:szCs w:val="20"/>
                <w:lang w:val="fr-FR"/>
              </w:rPr>
            </w:pPr>
            <w:r w:rsidRPr="001C695B">
              <w:rPr>
                <w:sz w:val="20"/>
                <w:lang w:val="fr-FR"/>
              </w:rPr>
              <w:t>–</w:t>
            </w:r>
            <w:r w:rsidRPr="001C695B">
              <w:rPr>
                <w:sz w:val="20"/>
                <w:lang w:val="fr-FR"/>
              </w:rPr>
              <w:tab/>
            </w:r>
            <w:r w:rsidRPr="001C695B">
              <w:rPr>
                <w:sz w:val="20"/>
                <w:szCs w:val="20"/>
                <w:lang w:val="fr-FR"/>
              </w:rPr>
              <w:t>Services de communication (services audiovisuels, services de presse, réseaux sociaux, gestion du web, programme de marque, rédaction de discours, Parcours "A la découverte des TIC")</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Services du protocole</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ind w:left="313" w:hanging="313"/>
              <w:rPr>
                <w:sz w:val="20"/>
                <w:szCs w:val="20"/>
                <w:lang w:val="fr-FR"/>
              </w:rPr>
            </w:pPr>
            <w:r w:rsidRPr="001C695B">
              <w:rPr>
                <w:sz w:val="20"/>
                <w:lang w:val="fr-FR"/>
              </w:rPr>
              <w:t>–</w:t>
            </w:r>
            <w:r w:rsidRPr="001C695B">
              <w:rPr>
                <w:sz w:val="20"/>
                <w:lang w:val="fr-FR"/>
              </w:rPr>
              <w:tab/>
            </w:r>
            <w:r w:rsidRPr="001C695B">
              <w:rPr>
                <w:sz w:val="20"/>
                <w:szCs w:val="20"/>
                <w:lang w:val="fr-FR"/>
              </w:rPr>
              <w:t>Facilitation des travaux des organes directeurs (PP, Conseil, groupes de travail du Conseil)</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t>S</w:t>
            </w:r>
            <w:r w:rsidRPr="001C695B">
              <w:rPr>
                <w:sz w:val="20"/>
                <w:szCs w:val="20"/>
                <w:lang w:val="fr-FR"/>
              </w:rPr>
              <w:t>ervices de la sécurité et de la sûreté</w:t>
            </w:r>
          </w:p>
        </w:tc>
        <w:tc>
          <w:tcPr>
            <w:tcW w:w="1843"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Production et distribution des badges</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Services de mobilisation des ressources</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663" w:type="dxa"/>
            <w:vAlign w:val="center"/>
          </w:tcPr>
          <w:p w:rsidR="00B01C2F" w:rsidRPr="001C695B" w:rsidRDefault="00B01C2F" w:rsidP="00931B29">
            <w:pPr>
              <w:pStyle w:val="Tabletext"/>
              <w:spacing w:before="20" w:after="20"/>
              <w:jc w:val="center"/>
              <w:rPr>
                <w:b/>
                <w:bCs/>
                <w:sz w:val="20"/>
                <w:szCs w:val="20"/>
                <w:lang w:val="fr-FR"/>
              </w:rPr>
            </w:pPr>
          </w:p>
        </w:tc>
        <w:tc>
          <w:tcPr>
            <w:tcW w:w="1531" w:type="dxa"/>
            <w:vAlign w:val="center"/>
          </w:tcPr>
          <w:p w:rsidR="00B01C2F" w:rsidRPr="001C695B" w:rsidRDefault="00B01C2F" w:rsidP="00931B29">
            <w:pPr>
              <w:pStyle w:val="Tabletext"/>
              <w:spacing w:before="20" w:after="20"/>
              <w:jc w:val="center"/>
              <w:rPr>
                <w:b/>
                <w:bCs/>
                <w:sz w:val="20"/>
                <w:szCs w:val="20"/>
                <w:lang w:val="fr-FR"/>
              </w:rPr>
            </w:pPr>
          </w:p>
        </w:tc>
      </w:tr>
      <w:tr w:rsidR="00B01C2F" w:rsidRPr="001C695B" w:rsidTr="00B01C2F">
        <w:tc>
          <w:tcPr>
            <w:tcW w:w="6516" w:type="dxa"/>
          </w:tcPr>
          <w:p w:rsidR="00B01C2F" w:rsidRPr="001C695B" w:rsidRDefault="00B01C2F" w:rsidP="00931B29">
            <w:pPr>
              <w:pStyle w:val="Tabletext"/>
              <w:tabs>
                <w:tab w:val="left" w:pos="313"/>
              </w:tabs>
              <w:spacing w:before="20" w:after="20"/>
              <w:rPr>
                <w:sz w:val="20"/>
                <w:szCs w:val="20"/>
                <w:lang w:val="fr-FR"/>
              </w:rPr>
            </w:pPr>
            <w:r w:rsidRPr="001C695B">
              <w:rPr>
                <w:sz w:val="20"/>
                <w:lang w:val="fr-FR"/>
              </w:rPr>
              <w:t>–</w:t>
            </w:r>
            <w:r w:rsidRPr="001C695B">
              <w:rPr>
                <w:sz w:val="20"/>
                <w:lang w:val="fr-FR"/>
              </w:rPr>
              <w:tab/>
            </w:r>
            <w:r w:rsidRPr="001C695B">
              <w:rPr>
                <w:sz w:val="20"/>
                <w:szCs w:val="20"/>
                <w:lang w:val="fr-FR"/>
              </w:rPr>
              <w:t>Gestion et planification stratégiques institutionnelles</w:t>
            </w:r>
          </w:p>
        </w:tc>
        <w:tc>
          <w:tcPr>
            <w:tcW w:w="1843" w:type="dxa"/>
            <w:vAlign w:val="center"/>
          </w:tcPr>
          <w:p w:rsidR="00B01C2F" w:rsidRPr="001C695B" w:rsidRDefault="00B01C2F" w:rsidP="00931B29">
            <w:pPr>
              <w:pStyle w:val="Tabletext"/>
              <w:spacing w:before="20" w:after="20"/>
              <w:jc w:val="center"/>
              <w:rPr>
                <w:b/>
                <w:bCs/>
                <w:sz w:val="20"/>
                <w:szCs w:val="20"/>
                <w:lang w:val="fr-FR"/>
              </w:rPr>
            </w:pPr>
          </w:p>
        </w:tc>
        <w:tc>
          <w:tcPr>
            <w:tcW w:w="1559" w:type="dxa"/>
            <w:vAlign w:val="center"/>
          </w:tcPr>
          <w:p w:rsidR="00B01C2F" w:rsidRPr="001C695B" w:rsidRDefault="00B01C2F" w:rsidP="00931B29">
            <w:pPr>
              <w:pStyle w:val="Tabletext"/>
              <w:spacing w:before="20" w:after="20"/>
              <w:jc w:val="center"/>
              <w:rPr>
                <w:b/>
                <w:bCs/>
                <w:sz w:val="20"/>
                <w:szCs w:val="20"/>
                <w:lang w:val="fr-FR"/>
              </w:rPr>
            </w:pPr>
          </w:p>
        </w:tc>
        <w:tc>
          <w:tcPr>
            <w:tcW w:w="1597" w:type="dxa"/>
            <w:vAlign w:val="center"/>
          </w:tcPr>
          <w:p w:rsidR="00B01C2F" w:rsidRPr="001C695B" w:rsidRDefault="00B01C2F" w:rsidP="00931B29">
            <w:pPr>
              <w:pStyle w:val="Tabletext"/>
              <w:spacing w:before="20" w:after="20"/>
              <w:jc w:val="center"/>
              <w:rPr>
                <w:b/>
                <w:bCs/>
                <w:sz w:val="20"/>
                <w:szCs w:val="20"/>
                <w:lang w:val="fr-FR"/>
              </w:rPr>
            </w:pPr>
          </w:p>
        </w:tc>
        <w:tc>
          <w:tcPr>
            <w:tcW w:w="1663"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c>
          <w:tcPr>
            <w:tcW w:w="1531" w:type="dxa"/>
            <w:vAlign w:val="center"/>
          </w:tcPr>
          <w:p w:rsidR="00B01C2F" w:rsidRPr="001C695B" w:rsidRDefault="00B01C2F" w:rsidP="00931B29">
            <w:pPr>
              <w:pStyle w:val="Tabletext"/>
              <w:spacing w:before="20" w:after="20"/>
              <w:jc w:val="center"/>
              <w:rPr>
                <w:b/>
                <w:bCs/>
                <w:sz w:val="20"/>
                <w:szCs w:val="20"/>
                <w:lang w:val="fr-FR"/>
              </w:rPr>
            </w:pPr>
            <w:r w:rsidRPr="001C695B">
              <w:rPr>
                <w:b/>
                <w:bCs/>
                <w:sz w:val="20"/>
                <w:szCs w:val="20"/>
                <w:lang w:val="fr-FR"/>
              </w:rPr>
              <w:t>X</w:t>
            </w:r>
          </w:p>
        </w:tc>
      </w:tr>
    </w:tbl>
    <w:p w:rsidR="00741A31" w:rsidRPr="001C695B" w:rsidRDefault="00741A31" w:rsidP="00741A31">
      <w:pPr>
        <w:pStyle w:val="Heading2"/>
        <w:spacing w:before="20" w:after="20"/>
        <w:rPr>
          <w:lang w:val="fr-FR"/>
        </w:rPr>
      </w:pPr>
      <w:r w:rsidRPr="001C695B">
        <w:rPr>
          <w:lang w:val="fr-FR"/>
        </w:rPr>
        <w:br w:type="page"/>
      </w:r>
    </w:p>
    <w:p w:rsidR="00741A31" w:rsidRPr="001C695B" w:rsidRDefault="00741A31" w:rsidP="00741A31">
      <w:pPr>
        <w:pStyle w:val="Heading2"/>
        <w:spacing w:after="120"/>
        <w:rPr>
          <w:lang w:val="fr-FR"/>
        </w:rPr>
      </w:pPr>
      <w:r w:rsidRPr="001C695B">
        <w:rPr>
          <w:lang w:val="fr-FR"/>
        </w:rPr>
        <w:lastRenderedPageBreak/>
        <w:t>3.3</w:t>
      </w:r>
      <w:r w:rsidRPr="001C695B">
        <w:rPr>
          <w:lang w:val="fr-FR"/>
        </w:rPr>
        <w:tab/>
        <w:t>Objectifs, résultats et produits intersectoriels</w:t>
      </w:r>
    </w:p>
    <w:tbl>
      <w:tblPr>
        <w:tblStyle w:val="GridTable4-Accent12"/>
        <w:tblpPr w:leftFromText="141" w:rightFromText="141" w:vertAnchor="text" w:tblpY="1"/>
        <w:tblOverlap w:val="never"/>
        <w:tblW w:w="14709" w:type="dxa"/>
        <w:tblLayout w:type="fixed"/>
        <w:tblLook w:val="06A0" w:firstRow="1" w:lastRow="0" w:firstColumn="1" w:lastColumn="0" w:noHBand="1" w:noVBand="1"/>
      </w:tblPr>
      <w:tblGrid>
        <w:gridCol w:w="421"/>
        <w:gridCol w:w="2976"/>
        <w:gridCol w:w="2268"/>
        <w:gridCol w:w="2388"/>
        <w:gridCol w:w="2999"/>
        <w:gridCol w:w="3657"/>
      </w:tblGrid>
      <w:tr w:rsidR="00B01C2F" w:rsidRPr="001C695B" w:rsidTr="00B01C2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B01C2F" w:rsidRPr="001C695B" w:rsidRDefault="00B01C2F" w:rsidP="00931B29">
            <w:pPr>
              <w:spacing w:before="20" w:after="20"/>
              <w:ind w:left="113" w:right="113"/>
              <w:jc w:val="center"/>
              <w:rPr>
                <w:rFonts w:eastAsia="Calibri" w:cs="Arial"/>
                <w:color w:val="4F81BD" w:themeColor="accent1"/>
                <w:sz w:val="18"/>
                <w:szCs w:val="18"/>
                <w:lang w:val="fr-FR"/>
              </w:rPr>
            </w:pPr>
            <w:r w:rsidRPr="001C695B">
              <w:rPr>
                <w:rFonts w:eastAsia="Calibri" w:cs="Arial"/>
                <w:sz w:val="18"/>
                <w:szCs w:val="18"/>
                <w:lang w:val="fr-FR"/>
              </w:rPr>
              <w:t>Objectifs</w:t>
            </w:r>
          </w:p>
        </w:tc>
        <w:tc>
          <w:tcPr>
            <w:tcW w:w="2976" w:type="dxa"/>
          </w:tcPr>
          <w:p w:rsidR="00B01C2F" w:rsidRPr="001C695B" w:rsidRDefault="00B01C2F" w:rsidP="00931B29">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1C695B">
              <w:rPr>
                <w:b/>
                <w:bCs w:val="0"/>
                <w:sz w:val="18"/>
                <w:szCs w:val="18"/>
                <w:lang w:val="fr-FR"/>
              </w:rPr>
              <w:t xml:space="preserve">I.1 Renforcer le dialogue international entre </w:t>
            </w:r>
            <w:r w:rsidRPr="001C695B">
              <w:rPr>
                <w:b/>
                <w:bCs w:val="0"/>
                <w:sz w:val="18"/>
                <w:szCs w:val="18"/>
                <w:lang w:val="fr-FR"/>
              </w:rPr>
              <w:br/>
              <w:t>les parties prenantes</w:t>
            </w:r>
          </w:p>
        </w:tc>
        <w:tc>
          <w:tcPr>
            <w:tcW w:w="2268" w:type="dxa"/>
          </w:tcPr>
          <w:p w:rsidR="00B01C2F" w:rsidRPr="001C695B" w:rsidRDefault="00B01C2F" w:rsidP="00931B29">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1C695B">
              <w:rPr>
                <w:b/>
                <w:bCs w:val="0"/>
                <w:sz w:val="18"/>
                <w:szCs w:val="18"/>
                <w:lang w:val="fr-FR"/>
              </w:rPr>
              <w:t>I.2 Renforcer les partenariats et la coopération dans l'environnement des télécommunications/TIC</w:t>
            </w:r>
          </w:p>
        </w:tc>
        <w:tc>
          <w:tcPr>
            <w:tcW w:w="2388" w:type="dxa"/>
          </w:tcPr>
          <w:p w:rsidR="00B01C2F" w:rsidRPr="001C695B" w:rsidRDefault="00B01C2F" w:rsidP="00931B29">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1C695B">
              <w:rPr>
                <w:b/>
                <w:bCs w:val="0"/>
                <w:sz w:val="18"/>
                <w:szCs w:val="18"/>
                <w:lang w:val="fr-FR"/>
              </w:rPr>
              <w:t>I.3 Améliorer l'identification et l'analyse des nouvelles tendances dans l'environnement des télécommunications/TIC</w:t>
            </w:r>
          </w:p>
        </w:tc>
        <w:tc>
          <w:tcPr>
            <w:tcW w:w="2999" w:type="dxa"/>
          </w:tcPr>
          <w:p w:rsidR="00B01C2F" w:rsidRPr="001C695B" w:rsidRDefault="00B01C2F" w:rsidP="00931B29">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1C695B">
              <w:rPr>
                <w:b/>
                <w:bCs w:val="0"/>
                <w:sz w:val="18"/>
                <w:szCs w:val="18"/>
                <w:lang w:val="fr-FR"/>
              </w:rPr>
              <w:t>I.4 Promouvoir/mieux faire reconnaître (l'importance des) les télécommunications/TIC en tant que catalyseur essentiel du développement social, économique et écologiquement durable</w:t>
            </w:r>
          </w:p>
        </w:tc>
        <w:tc>
          <w:tcPr>
            <w:tcW w:w="3657" w:type="dxa"/>
          </w:tcPr>
          <w:p w:rsidR="00B01C2F" w:rsidRPr="001C695B" w:rsidRDefault="00B01C2F" w:rsidP="00931B29">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1C695B">
              <w:rPr>
                <w:b/>
                <w:bCs w:val="0"/>
                <w:sz w:val="18"/>
                <w:szCs w:val="18"/>
                <w:lang w:val="fr-FR"/>
              </w:rPr>
              <w:t>I.5 Améliorer l'accès aux télécommunications/TIC pour les personnes handicapées et pour les personnes ayant des besoins particuliers</w:t>
            </w:r>
          </w:p>
        </w:tc>
      </w:tr>
      <w:tr w:rsidR="00B01C2F" w:rsidRPr="001C695B" w:rsidTr="00B01C2F">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B01C2F" w:rsidRPr="001C695B" w:rsidRDefault="00B01C2F" w:rsidP="00931B29">
            <w:pPr>
              <w:spacing w:before="20" w:after="20"/>
              <w:ind w:left="113" w:right="113"/>
              <w:jc w:val="center"/>
              <w:rPr>
                <w:rFonts w:eastAsia="Calibri" w:cs="Arial"/>
                <w:color w:val="4F81BD" w:themeColor="accent1"/>
                <w:sz w:val="18"/>
                <w:szCs w:val="18"/>
                <w:lang w:val="fr-FR"/>
              </w:rPr>
            </w:pPr>
            <w:r w:rsidRPr="001C695B">
              <w:rPr>
                <w:rFonts w:eastAsia="Calibri" w:cs="Arial"/>
                <w:color w:val="4F81BD" w:themeColor="accent1"/>
                <w:sz w:val="18"/>
                <w:szCs w:val="18"/>
                <w:lang w:val="fr-FR"/>
              </w:rPr>
              <w:t>Résultats</w:t>
            </w:r>
          </w:p>
        </w:tc>
        <w:tc>
          <w:tcPr>
            <w:tcW w:w="29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1C695B">
              <w:rPr>
                <w:rFonts w:eastAsia="Calibri" w:cs="Arial"/>
                <w:b/>
                <w:bCs/>
                <w:color w:val="4F81BD" w:themeColor="accent1"/>
                <w:sz w:val="18"/>
                <w:szCs w:val="18"/>
                <w:lang w:val="fr-FR"/>
              </w:rPr>
              <w:t>I.1-1</w:t>
            </w:r>
            <w:r w:rsidRPr="001C695B">
              <w:rPr>
                <w:rFonts w:eastAsia="Calibri" w:cs="Arial"/>
                <w:sz w:val="18"/>
                <w:szCs w:val="18"/>
                <w:lang w:val="fr-FR"/>
              </w:rPr>
              <w:t xml:space="preserve">: </w:t>
            </w:r>
            <w:r w:rsidRPr="001C695B">
              <w:rPr>
                <w:sz w:val="18"/>
                <w:szCs w:val="18"/>
                <w:lang w:val="fr-FR"/>
              </w:rPr>
              <w:t>Renforcement de la collaboration entre les parties prenantes concernées, afin d'accroître l'efficacité de l'environnement des télécommunications/TIC</w:t>
            </w:r>
          </w:p>
        </w:tc>
        <w:tc>
          <w:tcPr>
            <w:tcW w:w="226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1C695B">
              <w:rPr>
                <w:rFonts w:eastAsia="Calibri" w:cs="Arial"/>
                <w:b/>
                <w:bCs/>
                <w:color w:val="4F81BD" w:themeColor="accent1"/>
                <w:sz w:val="18"/>
                <w:szCs w:val="18"/>
                <w:lang w:val="fr-FR"/>
              </w:rPr>
              <w:t>I.2-1</w:t>
            </w:r>
            <w:r w:rsidRPr="001C695B">
              <w:rPr>
                <w:rFonts w:eastAsia="Calibri" w:cs="Arial"/>
                <w:sz w:val="18"/>
                <w:szCs w:val="18"/>
                <w:lang w:val="fr-FR"/>
              </w:rPr>
              <w:t xml:space="preserve">: </w:t>
            </w:r>
            <w:r w:rsidRPr="001C695B">
              <w:rPr>
                <w:sz w:val="18"/>
                <w:szCs w:val="18"/>
                <w:lang w:val="fr-FR"/>
              </w:rPr>
              <w:t>Renforcement des synergies nées des partenariats concernant les télécommunications/TIC</w:t>
            </w:r>
            <w:r w:rsidRPr="001C695B">
              <w:rPr>
                <w:rFonts w:eastAsia="Calibri" w:cs="Arial"/>
                <w:sz w:val="18"/>
                <w:szCs w:val="18"/>
                <w:lang w:val="fr-FR"/>
              </w:rPr>
              <w:t xml:space="preserve"> s</w:t>
            </w:r>
          </w:p>
        </w:tc>
        <w:tc>
          <w:tcPr>
            <w:tcW w:w="238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1C695B">
              <w:rPr>
                <w:rFonts w:eastAsia="Calibri" w:cs="Arial"/>
                <w:b/>
                <w:bCs/>
                <w:color w:val="4F81BD" w:themeColor="accent1"/>
                <w:sz w:val="18"/>
                <w:szCs w:val="18"/>
                <w:lang w:val="fr-FR"/>
              </w:rPr>
              <w:t>I.3-1</w:t>
            </w:r>
            <w:r w:rsidRPr="001C695B">
              <w:rPr>
                <w:rFonts w:eastAsia="Calibri" w:cs="Arial"/>
                <w:sz w:val="18"/>
                <w:szCs w:val="18"/>
                <w:lang w:val="fr-FR"/>
              </w:rPr>
              <w:t xml:space="preserve">: </w:t>
            </w:r>
            <w:r w:rsidRPr="001C695B">
              <w:rPr>
                <w:sz w:val="18"/>
                <w:szCs w:val="18"/>
                <w:lang w:val="fr-FR"/>
              </w:rPr>
              <w:t>Identification et analyse rapides des nouvelles tendances des télécommunications/TIC et création de nouveaux domaines d'activité liés à ces nouvelles tendances</w:t>
            </w:r>
          </w:p>
        </w:tc>
        <w:tc>
          <w:tcPr>
            <w:tcW w:w="2999"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1C695B">
              <w:rPr>
                <w:rFonts w:eastAsia="Calibri" w:cs="Arial"/>
                <w:b/>
                <w:bCs/>
                <w:color w:val="4F81BD" w:themeColor="accent1"/>
                <w:sz w:val="18"/>
                <w:szCs w:val="18"/>
                <w:lang w:val="fr-FR"/>
              </w:rPr>
              <w:t>I.4-1</w:t>
            </w:r>
            <w:r w:rsidRPr="001C695B">
              <w:rPr>
                <w:rFonts w:eastAsia="Calibri" w:cs="Arial"/>
                <w:sz w:val="18"/>
                <w:szCs w:val="18"/>
                <w:lang w:val="fr-FR"/>
              </w:rPr>
              <w:t xml:space="preserve">: </w:t>
            </w:r>
            <w:r w:rsidRPr="001C695B">
              <w:rPr>
                <w:sz w:val="18"/>
                <w:szCs w:val="18"/>
                <w:lang w:val="fr-FR"/>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r w:rsidRPr="001C695B">
              <w:rPr>
                <w:rFonts w:eastAsia="Calibri" w:cs="Arial"/>
                <w:sz w:val="18"/>
                <w:szCs w:val="18"/>
                <w:lang w:val="fr-FR"/>
              </w:rPr>
              <w:t xml:space="preserve"> </w:t>
            </w:r>
          </w:p>
        </w:tc>
        <w:tc>
          <w:tcPr>
            <w:tcW w:w="3657"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fr-FR"/>
              </w:rPr>
            </w:pPr>
            <w:r w:rsidRPr="001C695B">
              <w:rPr>
                <w:rFonts w:eastAsia="Calibri" w:cs="Arial"/>
                <w:b/>
                <w:bCs/>
                <w:color w:val="4F81BD" w:themeColor="accent1"/>
                <w:sz w:val="18"/>
                <w:szCs w:val="18"/>
                <w:lang w:val="fr-FR"/>
              </w:rPr>
              <w:t xml:space="preserve">I.5-1: </w:t>
            </w:r>
            <w:r w:rsidRPr="001C695B">
              <w:rPr>
                <w:sz w:val="18"/>
                <w:szCs w:val="18"/>
                <w:lang w:val="fr-FR"/>
              </w:rPr>
              <w:t>Disponibilité accrue d'équipements, de services et d'applications de télécommunication/TIC conformes aux principes de conception universelle</w:t>
            </w:r>
          </w:p>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fr-FR"/>
              </w:rPr>
            </w:pPr>
            <w:r w:rsidRPr="001C695B">
              <w:rPr>
                <w:rFonts w:eastAsia="Calibri" w:cs="Arial"/>
                <w:b/>
                <w:bCs/>
                <w:color w:val="4F81BD" w:themeColor="accent1"/>
                <w:sz w:val="18"/>
                <w:szCs w:val="18"/>
                <w:lang w:val="fr-FR"/>
              </w:rPr>
              <w:t xml:space="preserve">I.5-2: </w:t>
            </w:r>
            <w:r w:rsidRPr="001C695B">
              <w:rPr>
                <w:sz w:val="18"/>
                <w:szCs w:val="18"/>
                <w:lang w:val="fr-FR"/>
              </w:rPr>
              <w:t>Renforcement de la participation des organisations de personnes handicapées et de personnes ayant des besoins particuliers aux travaux de l'Union</w:t>
            </w:r>
          </w:p>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fr-FR"/>
              </w:rPr>
            </w:pPr>
            <w:r w:rsidRPr="001C695B">
              <w:rPr>
                <w:rFonts w:eastAsia="Calibri" w:cs="Arial"/>
                <w:b/>
                <w:bCs/>
                <w:color w:val="4F81BD" w:themeColor="accent1"/>
                <w:sz w:val="18"/>
                <w:szCs w:val="18"/>
                <w:lang w:val="fr-FR"/>
              </w:rPr>
              <w:t xml:space="preserve">I.5-3: </w:t>
            </w:r>
            <w:r w:rsidRPr="001C695B">
              <w:rPr>
                <w:sz w:val="18"/>
                <w:szCs w:val="18"/>
                <w:lang w:val="fr-FR"/>
              </w:rPr>
              <w:t>Sensibilisation accrue, y compris par une reconnaissance multilatérale et intergouvernementale, à la nécessité d'améliorer l'accès aux télécommunications/TIC pour les personnes handicapées et pour les personnes ayant des besoins particuliers</w:t>
            </w:r>
          </w:p>
        </w:tc>
      </w:tr>
      <w:tr w:rsidR="00B01C2F" w:rsidRPr="001C695B" w:rsidTr="00B01C2F">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B01C2F" w:rsidRPr="001C695B" w:rsidRDefault="00B01C2F" w:rsidP="00931B29">
            <w:pPr>
              <w:spacing w:before="20" w:after="20"/>
              <w:ind w:left="113" w:right="113"/>
              <w:jc w:val="center"/>
              <w:rPr>
                <w:sz w:val="18"/>
                <w:szCs w:val="18"/>
                <w:lang w:val="fr-FR"/>
              </w:rPr>
            </w:pPr>
            <w:r w:rsidRPr="001C695B">
              <w:rPr>
                <w:rFonts w:eastAsia="Calibri" w:cs="Arial"/>
                <w:color w:val="4F81BD" w:themeColor="accent1"/>
                <w:sz w:val="18"/>
                <w:szCs w:val="18"/>
                <w:lang w:val="fr-FR"/>
              </w:rPr>
              <w:t>Produits</w:t>
            </w:r>
          </w:p>
        </w:tc>
        <w:tc>
          <w:tcPr>
            <w:tcW w:w="2976" w:type="dxa"/>
          </w:tcPr>
          <w:p w:rsidR="00B01C2F" w:rsidRPr="001C695B" w:rsidRDefault="00B01C2F" w:rsidP="00931B29">
            <w:pPr>
              <w:pStyle w:val="Tabletext"/>
              <w:tabs>
                <w:tab w:val="left" w:pos="175"/>
              </w:tabs>
              <w:spacing w:before="20" w:after="20"/>
              <w:ind w:left="175" w:hanging="175"/>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 Journée mondiale des télécommunications et de la société de l'information, ITU TELECOM)</w:t>
            </w:r>
          </w:p>
        </w:tc>
        <w:tc>
          <w:tcPr>
            <w:tcW w:w="2268" w:type="dxa"/>
          </w:tcPr>
          <w:p w:rsidR="00B01C2F" w:rsidRPr="001C695B" w:rsidRDefault="00B01C2F" w:rsidP="00931B29">
            <w:pPr>
              <w:pStyle w:val="Tabletext"/>
              <w:tabs>
                <w:tab w:val="left" w:pos="156"/>
              </w:tabs>
              <w:spacing w:before="20" w:after="20"/>
              <w:ind w:left="156" w:hanging="156"/>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Echange de connaissances, création de réseaux de relations et partenariats</w:t>
            </w:r>
          </w:p>
          <w:p w:rsidR="00B01C2F" w:rsidRPr="001C695B" w:rsidRDefault="00B01C2F" w:rsidP="00931B29">
            <w:pPr>
              <w:pStyle w:val="Tabletext"/>
              <w:tabs>
                <w:tab w:val="left" w:pos="318"/>
              </w:tabs>
              <w:spacing w:before="20" w:after="20"/>
              <w:ind w:left="176" w:hanging="176"/>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Mémorandums d'accord</w:t>
            </w:r>
          </w:p>
        </w:tc>
        <w:tc>
          <w:tcPr>
            <w:tcW w:w="2388" w:type="dxa"/>
          </w:tcPr>
          <w:p w:rsidR="00B01C2F" w:rsidRPr="001C695B" w:rsidRDefault="00B01C2F" w:rsidP="00931B29">
            <w:pPr>
              <w:pStyle w:val="Tabletext"/>
              <w:tabs>
                <w:tab w:val="left" w:pos="190"/>
              </w:tabs>
              <w:spacing w:before="20" w:after="20"/>
              <w:ind w:left="190" w:hanging="190"/>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Initiatives et rapports intersectoriels sur les nouvelles tendances dans le secteur des télécommunications/TIC et autres initiatives analogues (y compris Les Nouvelles de l'UIT)</w:t>
            </w:r>
          </w:p>
        </w:tc>
        <w:tc>
          <w:tcPr>
            <w:tcW w:w="2999" w:type="dxa"/>
          </w:tcPr>
          <w:p w:rsidR="00B01C2F" w:rsidRPr="001C695B" w:rsidRDefault="00B01C2F" w:rsidP="00931B29">
            <w:pPr>
              <w:pStyle w:val="Tabletext"/>
              <w:tabs>
                <w:tab w:val="left" w:pos="162"/>
              </w:tabs>
              <w:spacing w:before="20" w:after="20"/>
              <w:ind w:left="162" w:hanging="162"/>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Rapports et autres contributions aux processus interinstitutions des Nations Unies, multilatéraux et intergouvernementaux</w:t>
            </w:r>
          </w:p>
        </w:tc>
        <w:tc>
          <w:tcPr>
            <w:tcW w:w="3657" w:type="dxa"/>
          </w:tcPr>
          <w:p w:rsidR="00B01C2F" w:rsidRPr="001C695B" w:rsidRDefault="00B01C2F" w:rsidP="00931B29">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Rapports, lignes directrices et récapitulatifs concernant l'accessibilité des télécommunications/TIC</w:t>
            </w:r>
          </w:p>
          <w:p w:rsidR="00B01C2F" w:rsidRPr="001C695B" w:rsidRDefault="00B01C2F" w:rsidP="00931B29">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Mobilisation de ressources et de compétences techniques, par exemple, en encourageant une participation accrue des personnes handicapées et des personnes ayant des besoins particuliers aux réunions internationales et régionales</w:t>
            </w:r>
          </w:p>
          <w:p w:rsidR="00B01C2F" w:rsidRPr="001C695B" w:rsidRDefault="00B01C2F" w:rsidP="00931B29">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Poursuite de l'amélioration et de la mise en oeuvre de la politique de l'UIT en matière d'accessibilité et des plans connexes</w:t>
            </w:r>
          </w:p>
          <w:p w:rsidR="00B01C2F" w:rsidRPr="001C695B" w:rsidRDefault="00B01C2F" w:rsidP="00931B29">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Campagnes de sensibilisation, tant au niveau des Nations Unies qu'aux niveaux régional et national</w:t>
            </w:r>
          </w:p>
        </w:tc>
      </w:tr>
      <w:tr w:rsidR="00B01C2F" w:rsidRPr="001C695B" w:rsidTr="00B01C2F">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B01C2F" w:rsidRPr="001C695B" w:rsidRDefault="00B01C2F" w:rsidP="00931B29">
            <w:pPr>
              <w:spacing w:before="20" w:after="20"/>
              <w:ind w:left="283" w:right="113" w:hanging="170"/>
              <w:jc w:val="center"/>
              <w:rPr>
                <w:rFonts w:eastAsia="Calibri" w:cs="Arial"/>
                <w:color w:val="4F81BD" w:themeColor="accent1"/>
                <w:sz w:val="18"/>
                <w:szCs w:val="18"/>
                <w:lang w:val="fr-FR"/>
              </w:rPr>
            </w:pPr>
          </w:p>
        </w:tc>
        <w:tc>
          <w:tcPr>
            <w:tcW w:w="14288" w:type="dxa"/>
            <w:gridSpan w:val="5"/>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1C695B">
              <w:rPr>
                <w:sz w:val="18"/>
                <w:szCs w:val="18"/>
                <w:lang w:val="fr-FR"/>
              </w:rPr>
              <w:t>Les produits ci-après résultant des activités des organes directeurs de l'UIT contribuent à la réalisation de tous les objectifs de l'Union:</w:t>
            </w:r>
          </w:p>
          <w:p w:rsidR="00B01C2F" w:rsidRPr="001C695B" w:rsidRDefault="00B01C2F" w:rsidP="00931B29">
            <w:pPr>
              <w:pStyle w:val="Tabletext"/>
              <w:tabs>
                <w:tab w:val="left" w:pos="175"/>
              </w:tabs>
              <w:spacing w:before="20" w:after="20"/>
              <w:cnfStyle w:val="000000000000" w:firstRow="0" w:lastRow="0" w:firstColumn="0" w:lastColumn="0" w:oddVBand="0" w:evenVBand="0" w:oddHBand="0" w:evenHBand="0" w:firstRowFirstColumn="0" w:firstRowLastColumn="0" w:lastRowFirstColumn="0" w:lastRowLastColumn="0"/>
              <w:rPr>
                <w:sz w:val="18"/>
                <w:szCs w:val="18"/>
                <w:lang w:val="fr-FR"/>
              </w:rPr>
            </w:pPr>
            <w:r w:rsidRPr="001C695B">
              <w:rPr>
                <w:sz w:val="18"/>
                <w:szCs w:val="18"/>
                <w:lang w:val="fr-FR"/>
              </w:rPr>
              <w:t>–</w:t>
            </w:r>
            <w:r w:rsidRPr="001C695B">
              <w:rPr>
                <w:sz w:val="18"/>
                <w:szCs w:val="18"/>
                <w:lang w:val="fr-FR"/>
              </w:rPr>
              <w:tab/>
              <w:t>Décisions, résolutions, recommandations et autres résultats des travaux de la Conférence de plénipotentiaires</w:t>
            </w:r>
          </w:p>
          <w:p w:rsidR="00B01C2F" w:rsidRPr="001C695B" w:rsidRDefault="00B01C2F" w:rsidP="00931B29">
            <w:pPr>
              <w:pStyle w:val="Tabletext"/>
              <w:tabs>
                <w:tab w:val="left" w:pos="175"/>
              </w:tabs>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1C695B">
              <w:rPr>
                <w:sz w:val="18"/>
                <w:szCs w:val="18"/>
                <w:lang w:val="fr-FR"/>
              </w:rPr>
              <w:t>–</w:t>
            </w:r>
            <w:r w:rsidRPr="001C695B">
              <w:rPr>
                <w:sz w:val="18"/>
                <w:szCs w:val="18"/>
                <w:lang w:val="fr-FR"/>
              </w:rPr>
              <w:tab/>
              <w:t>Décisions et résolutions du Conseil et résultats des travaux des groupes de travail du Conseil</w:t>
            </w:r>
          </w:p>
        </w:tc>
      </w:tr>
    </w:tbl>
    <w:p w:rsidR="00741A31" w:rsidRPr="001C695B" w:rsidRDefault="00741A31" w:rsidP="00741A31">
      <w:pPr>
        <w:spacing w:before="20" w:after="20"/>
        <w:rPr>
          <w:sz w:val="2"/>
          <w:szCs w:val="2"/>
          <w:lang w:val="fr-FR"/>
        </w:rPr>
      </w:pPr>
    </w:p>
    <w:p w:rsidR="00741A31" w:rsidRPr="001C695B" w:rsidRDefault="00741A31" w:rsidP="00741A31">
      <w:pPr>
        <w:pStyle w:val="Heading2"/>
        <w:spacing w:after="120"/>
        <w:rPr>
          <w:lang w:val="fr-FR"/>
        </w:rPr>
      </w:pPr>
      <w:r w:rsidRPr="001C695B">
        <w:rPr>
          <w:lang w:val="fr-FR"/>
        </w:rPr>
        <w:lastRenderedPageBreak/>
        <w:t>3.4</w:t>
      </w:r>
      <w:r w:rsidRPr="001C695B">
        <w:rPr>
          <w:lang w:val="fr-FR"/>
        </w:rPr>
        <w:tab/>
        <w:t>Ventilation des coûts du Secrétariat général pour 2018</w:t>
      </w:r>
    </w:p>
    <w:tbl>
      <w:tblPr>
        <w:tblStyle w:val="GridTable4-Accent11"/>
        <w:tblW w:w="14596" w:type="dxa"/>
        <w:tblLook w:val="0620" w:firstRow="1" w:lastRow="0" w:firstColumn="0" w:lastColumn="0" w:noHBand="1" w:noVBand="1"/>
      </w:tblPr>
      <w:tblGrid>
        <w:gridCol w:w="4673"/>
        <w:gridCol w:w="1276"/>
        <w:gridCol w:w="8647"/>
      </w:tblGrid>
      <w:tr w:rsidR="00B01C2F" w:rsidRPr="001C695B" w:rsidTr="00931B29">
        <w:trPr>
          <w:cnfStyle w:val="100000000000" w:firstRow="1" w:lastRow="0" w:firstColumn="0" w:lastColumn="0" w:oddVBand="0" w:evenVBand="0" w:oddHBand="0" w:evenHBand="0" w:firstRowFirstColumn="0" w:firstRowLastColumn="0" w:lastRowFirstColumn="0" w:lastRowLastColumn="0"/>
          <w:trHeight w:val="300"/>
        </w:trPr>
        <w:tc>
          <w:tcPr>
            <w:tcW w:w="4673" w:type="dxa"/>
            <w:hideMark/>
          </w:tcPr>
          <w:p w:rsidR="00B01C2F" w:rsidRPr="001C695B" w:rsidRDefault="00B01C2F" w:rsidP="00931B29">
            <w:pPr>
              <w:spacing w:before="20" w:after="20"/>
              <w:jc w:val="center"/>
              <w:rPr>
                <w:color w:val="FFFFFF"/>
                <w:sz w:val="20"/>
                <w:szCs w:val="20"/>
                <w:lang w:val="fr-FR"/>
              </w:rPr>
            </w:pPr>
            <w:r w:rsidRPr="001C695B">
              <w:rPr>
                <w:color w:val="FFFFFF"/>
                <w:sz w:val="20"/>
                <w:szCs w:val="20"/>
                <w:lang w:val="fr-FR"/>
              </w:rPr>
              <w:t>Ressources totales</w:t>
            </w:r>
            <w:r w:rsidRPr="001C695B">
              <w:rPr>
                <w:color w:val="FFFFFF"/>
                <w:sz w:val="20"/>
                <w:szCs w:val="20"/>
                <w:lang w:val="fr-FR"/>
              </w:rPr>
              <w:br/>
              <w:t>du Secrétariat général</w:t>
            </w:r>
          </w:p>
        </w:tc>
        <w:tc>
          <w:tcPr>
            <w:tcW w:w="1276" w:type="dxa"/>
          </w:tcPr>
          <w:p w:rsidR="00B01C2F" w:rsidRPr="001C695B" w:rsidRDefault="00B01C2F" w:rsidP="00931B29">
            <w:pPr>
              <w:spacing w:before="20" w:after="20"/>
              <w:jc w:val="center"/>
              <w:rPr>
                <w:color w:val="FFFFFF"/>
                <w:sz w:val="20"/>
                <w:szCs w:val="20"/>
                <w:lang w:val="fr-FR"/>
              </w:rPr>
            </w:pPr>
            <w:r w:rsidRPr="001C695B">
              <w:rPr>
                <w:color w:val="FFFFFF"/>
                <w:sz w:val="20"/>
                <w:szCs w:val="20"/>
                <w:lang w:val="fr-FR"/>
              </w:rPr>
              <w:t>%</w:t>
            </w:r>
          </w:p>
        </w:tc>
        <w:tc>
          <w:tcPr>
            <w:tcW w:w="8647" w:type="dxa"/>
          </w:tcPr>
          <w:p w:rsidR="00B01C2F" w:rsidRPr="001C695B" w:rsidRDefault="00B01C2F" w:rsidP="00931B29">
            <w:pPr>
              <w:spacing w:before="20" w:after="20"/>
              <w:rPr>
                <w:color w:val="FFFFFF"/>
                <w:sz w:val="20"/>
                <w:szCs w:val="20"/>
                <w:lang w:val="fr-FR"/>
              </w:rPr>
            </w:pPr>
            <w:r w:rsidRPr="001C695B">
              <w:rPr>
                <w:color w:val="FFFFFF"/>
                <w:sz w:val="20"/>
                <w:szCs w:val="20"/>
                <w:lang w:val="fr-FR"/>
              </w:rPr>
              <w:t>Calculé sur la base du projet de budget (en milliers CHF)</w:t>
            </w:r>
          </w:p>
        </w:tc>
      </w:tr>
      <w:tr w:rsidR="00B01C2F" w:rsidRPr="001C695B" w:rsidTr="00931B29">
        <w:trPr>
          <w:trHeight w:val="300"/>
        </w:trPr>
        <w:tc>
          <w:tcPr>
            <w:tcW w:w="4673" w:type="dxa"/>
            <w:hideMark/>
          </w:tcPr>
          <w:p w:rsidR="00B01C2F" w:rsidRPr="001C695B" w:rsidRDefault="00B01C2F" w:rsidP="00931B29">
            <w:pPr>
              <w:spacing w:before="20" w:after="20"/>
              <w:rPr>
                <w:color w:val="000000"/>
                <w:sz w:val="20"/>
                <w:szCs w:val="20"/>
                <w:lang w:val="fr-FR"/>
              </w:rPr>
            </w:pPr>
            <w:r w:rsidRPr="001C695B">
              <w:rPr>
                <w:color w:val="000000"/>
                <w:sz w:val="20"/>
                <w:szCs w:val="20"/>
                <w:lang w:val="fr-FR"/>
              </w:rPr>
              <w:t xml:space="preserve">Ressources attribuées aux </w:t>
            </w:r>
            <w:r w:rsidRPr="001C695B">
              <w:rPr>
                <w:b/>
                <w:bCs/>
                <w:color w:val="000000"/>
                <w:sz w:val="20"/>
                <w:szCs w:val="20"/>
                <w:lang w:val="fr-FR"/>
              </w:rPr>
              <w:t>objectifs des Secteurs</w:t>
            </w:r>
            <w:r w:rsidRPr="001C695B">
              <w:rPr>
                <w:color w:val="000000"/>
                <w:sz w:val="20"/>
                <w:szCs w:val="20"/>
                <w:lang w:val="fr-FR"/>
              </w:rPr>
              <w:t>*</w:t>
            </w:r>
          </w:p>
        </w:tc>
        <w:tc>
          <w:tcPr>
            <w:tcW w:w="1276" w:type="dxa"/>
          </w:tcPr>
          <w:p w:rsidR="00B01C2F" w:rsidRPr="001C695B" w:rsidRDefault="00B01C2F" w:rsidP="00931B29">
            <w:pPr>
              <w:spacing w:before="20" w:after="20"/>
              <w:jc w:val="center"/>
              <w:rPr>
                <w:b/>
                <w:bCs/>
                <w:sz w:val="20"/>
                <w:szCs w:val="20"/>
                <w:lang w:val="fr-FR"/>
              </w:rPr>
            </w:pPr>
            <w:r w:rsidRPr="001C695B">
              <w:rPr>
                <w:b/>
                <w:bCs/>
                <w:sz w:val="20"/>
                <w:szCs w:val="20"/>
                <w:lang w:val="fr-FR"/>
              </w:rPr>
              <w:t>89%</w:t>
            </w:r>
          </w:p>
        </w:tc>
        <w:tc>
          <w:tcPr>
            <w:tcW w:w="8647" w:type="dxa"/>
          </w:tcPr>
          <w:p w:rsidR="00B01C2F" w:rsidRPr="001C695B" w:rsidRDefault="00B01C2F" w:rsidP="00931B29">
            <w:pPr>
              <w:spacing w:before="20" w:after="20"/>
              <w:ind w:left="1701" w:hanging="1701"/>
              <w:rPr>
                <w:sz w:val="20"/>
                <w:szCs w:val="20"/>
                <w:lang w:val="fr-FR"/>
              </w:rPr>
            </w:pPr>
            <w:r w:rsidRPr="001C695B">
              <w:rPr>
                <w:sz w:val="20"/>
                <w:szCs w:val="20"/>
                <w:lang w:val="fr-FR"/>
              </w:rPr>
              <w:tab/>
              <w:t>78 717</w:t>
            </w:r>
            <w:r w:rsidRPr="001C695B">
              <w:rPr>
                <w:sz w:val="20"/>
                <w:szCs w:val="20"/>
                <w:lang w:val="fr-FR"/>
              </w:rPr>
              <w:tab/>
            </w:r>
            <w:r w:rsidRPr="001C695B">
              <w:rPr>
                <w:sz w:val="20"/>
                <w:szCs w:val="20"/>
                <w:lang w:val="fr-FR"/>
              </w:rPr>
              <w:tab/>
            </w:r>
            <w:r w:rsidRPr="001C695B">
              <w:rPr>
                <w:color w:val="000000"/>
                <w:sz w:val="20"/>
                <w:szCs w:val="20"/>
                <w:lang w:val="fr-FR"/>
              </w:rPr>
              <w:t>* comprend les catalyseurs /services d'appui et la documentation</w:t>
            </w:r>
          </w:p>
        </w:tc>
      </w:tr>
      <w:tr w:rsidR="00B01C2F" w:rsidRPr="001C695B" w:rsidTr="00931B29">
        <w:trPr>
          <w:trHeight w:val="161"/>
        </w:trPr>
        <w:tc>
          <w:tcPr>
            <w:tcW w:w="4673" w:type="dxa"/>
            <w:hideMark/>
          </w:tcPr>
          <w:p w:rsidR="00B01C2F" w:rsidRPr="001C695B" w:rsidRDefault="00B01C2F" w:rsidP="00931B29">
            <w:pPr>
              <w:spacing w:before="20" w:after="20"/>
              <w:rPr>
                <w:color w:val="000000"/>
                <w:sz w:val="20"/>
                <w:szCs w:val="20"/>
                <w:lang w:val="fr-FR"/>
              </w:rPr>
            </w:pPr>
            <w:r w:rsidRPr="001C695B">
              <w:rPr>
                <w:color w:val="000000"/>
                <w:sz w:val="20"/>
                <w:szCs w:val="20"/>
                <w:lang w:val="fr-FR"/>
              </w:rPr>
              <w:t xml:space="preserve">Ressources attribuées aux </w:t>
            </w:r>
            <w:r w:rsidRPr="001C695B">
              <w:rPr>
                <w:b/>
                <w:bCs/>
                <w:color w:val="000000"/>
                <w:sz w:val="20"/>
                <w:szCs w:val="20"/>
                <w:lang w:val="fr-FR"/>
              </w:rPr>
              <w:t>objectifs intersectoriels</w:t>
            </w:r>
            <w:r w:rsidRPr="001C695B">
              <w:rPr>
                <w:color w:val="000000"/>
                <w:sz w:val="20"/>
                <w:szCs w:val="20"/>
                <w:lang w:val="fr-FR"/>
              </w:rPr>
              <w:t>**</w:t>
            </w:r>
          </w:p>
        </w:tc>
        <w:tc>
          <w:tcPr>
            <w:tcW w:w="1276" w:type="dxa"/>
          </w:tcPr>
          <w:p w:rsidR="00B01C2F" w:rsidRPr="001C695B" w:rsidRDefault="00B01C2F" w:rsidP="00931B29">
            <w:pPr>
              <w:spacing w:before="20" w:after="20"/>
              <w:jc w:val="center"/>
              <w:rPr>
                <w:b/>
                <w:bCs/>
                <w:sz w:val="20"/>
                <w:szCs w:val="20"/>
                <w:lang w:val="fr-FR"/>
              </w:rPr>
            </w:pPr>
            <w:r w:rsidRPr="001C695B">
              <w:rPr>
                <w:b/>
                <w:bCs/>
                <w:sz w:val="20"/>
                <w:szCs w:val="20"/>
                <w:lang w:val="fr-FR"/>
              </w:rPr>
              <w:t>11%</w:t>
            </w:r>
          </w:p>
        </w:tc>
        <w:tc>
          <w:tcPr>
            <w:tcW w:w="8647" w:type="dxa"/>
          </w:tcPr>
          <w:p w:rsidR="00B01C2F" w:rsidRPr="001C695B" w:rsidRDefault="00B01C2F" w:rsidP="00931B29">
            <w:pPr>
              <w:spacing w:before="20" w:after="20"/>
              <w:rPr>
                <w:sz w:val="20"/>
                <w:szCs w:val="20"/>
                <w:lang w:val="fr-FR"/>
              </w:rPr>
            </w:pPr>
            <w:r w:rsidRPr="001C695B">
              <w:rPr>
                <w:sz w:val="20"/>
                <w:szCs w:val="20"/>
                <w:lang w:val="fr-FR"/>
              </w:rPr>
              <w:tab/>
              <w:t>9 572</w:t>
            </w:r>
            <w:r w:rsidRPr="001C695B">
              <w:rPr>
                <w:sz w:val="20"/>
                <w:szCs w:val="20"/>
                <w:lang w:val="fr-FR"/>
              </w:rPr>
              <w:tab/>
            </w:r>
            <w:r w:rsidRPr="001C695B">
              <w:rPr>
                <w:sz w:val="20"/>
                <w:szCs w:val="20"/>
                <w:lang w:val="fr-FR"/>
              </w:rPr>
              <w:tab/>
            </w:r>
            <w:r w:rsidRPr="001C695B">
              <w:rPr>
                <w:color w:val="000000"/>
                <w:sz w:val="20"/>
                <w:szCs w:val="20"/>
                <w:lang w:val="fr-FR"/>
              </w:rPr>
              <w:t>** comprend les coûts directs des produits intersectoriels</w:t>
            </w:r>
          </w:p>
        </w:tc>
      </w:tr>
      <w:tr w:rsidR="00B01C2F" w:rsidRPr="001C695B" w:rsidTr="00931B29">
        <w:trPr>
          <w:trHeight w:val="81"/>
        </w:trPr>
        <w:tc>
          <w:tcPr>
            <w:tcW w:w="4673" w:type="dxa"/>
            <w:hideMark/>
          </w:tcPr>
          <w:p w:rsidR="00B01C2F" w:rsidRPr="001C695B" w:rsidRDefault="00B01C2F" w:rsidP="00931B29">
            <w:pPr>
              <w:spacing w:before="20" w:after="20"/>
              <w:rPr>
                <w:color w:val="000000"/>
                <w:sz w:val="20"/>
                <w:szCs w:val="20"/>
                <w:lang w:val="fr-FR"/>
              </w:rPr>
            </w:pPr>
            <w:r w:rsidRPr="001C695B">
              <w:rPr>
                <w:color w:val="000000"/>
                <w:sz w:val="20"/>
                <w:szCs w:val="20"/>
                <w:lang w:val="fr-FR"/>
              </w:rPr>
              <w:t>Total</w:t>
            </w:r>
          </w:p>
        </w:tc>
        <w:tc>
          <w:tcPr>
            <w:tcW w:w="1276" w:type="dxa"/>
          </w:tcPr>
          <w:p w:rsidR="00B01C2F" w:rsidRPr="001C695B" w:rsidRDefault="00B01C2F" w:rsidP="00931B29">
            <w:pPr>
              <w:spacing w:before="20" w:after="20"/>
              <w:jc w:val="center"/>
              <w:rPr>
                <w:b/>
                <w:bCs/>
                <w:sz w:val="20"/>
                <w:szCs w:val="20"/>
                <w:lang w:val="fr-FR"/>
              </w:rPr>
            </w:pPr>
            <w:r w:rsidRPr="001C695B">
              <w:rPr>
                <w:b/>
                <w:bCs/>
                <w:sz w:val="20"/>
                <w:szCs w:val="20"/>
                <w:lang w:val="fr-FR"/>
              </w:rPr>
              <w:t>100%</w:t>
            </w:r>
          </w:p>
        </w:tc>
        <w:tc>
          <w:tcPr>
            <w:tcW w:w="8647" w:type="dxa"/>
          </w:tcPr>
          <w:p w:rsidR="00B01C2F" w:rsidRPr="001C695B" w:rsidRDefault="00B01C2F" w:rsidP="00931B29">
            <w:pPr>
              <w:spacing w:before="20" w:after="20"/>
              <w:rPr>
                <w:sz w:val="20"/>
                <w:szCs w:val="20"/>
                <w:lang w:val="fr-FR"/>
              </w:rPr>
            </w:pPr>
            <w:r w:rsidRPr="001C695B">
              <w:rPr>
                <w:sz w:val="20"/>
                <w:szCs w:val="20"/>
                <w:lang w:val="fr-FR"/>
              </w:rPr>
              <w:tab/>
              <w:t>88 289</w:t>
            </w:r>
          </w:p>
        </w:tc>
      </w:tr>
    </w:tbl>
    <w:p w:rsidR="00741A31" w:rsidRPr="001C695B" w:rsidRDefault="00741A31" w:rsidP="00741A31">
      <w:pPr>
        <w:pStyle w:val="Heading2"/>
        <w:spacing w:before="20" w:after="20"/>
        <w:rPr>
          <w:lang w:val="fr-FR"/>
        </w:rPr>
      </w:pPr>
      <w:r w:rsidRPr="001C695B">
        <w:rPr>
          <w:lang w:val="fr-FR"/>
        </w:rPr>
        <w:br w:type="page"/>
      </w:r>
    </w:p>
    <w:p w:rsidR="00741A31" w:rsidRPr="001C695B" w:rsidRDefault="00741A31" w:rsidP="00741A31">
      <w:pPr>
        <w:pStyle w:val="Heading2"/>
        <w:spacing w:after="120"/>
        <w:rPr>
          <w:lang w:val="fr-FR"/>
        </w:rPr>
      </w:pPr>
      <w:r w:rsidRPr="001C695B">
        <w:rPr>
          <w:lang w:val="fr-FR"/>
        </w:rPr>
        <w:lastRenderedPageBreak/>
        <w:t>3.5</w:t>
      </w:r>
      <w:r w:rsidRPr="001C695B">
        <w:rPr>
          <w:lang w:val="fr-FR"/>
        </w:rPr>
        <w:tab/>
        <w:t>Ventilation des ressources du Secrétariat général entre les catalyseurs et les services d'appui pour 2018</w:t>
      </w:r>
    </w:p>
    <w:tbl>
      <w:tblPr>
        <w:tblW w:w="14512" w:type="dxa"/>
        <w:tblInd w:w="108" w:type="dxa"/>
        <w:tblLayout w:type="fixed"/>
        <w:tblLook w:val="0480" w:firstRow="0" w:lastRow="0" w:firstColumn="1" w:lastColumn="0" w:noHBand="0" w:noVBand="1"/>
      </w:tblPr>
      <w:tblGrid>
        <w:gridCol w:w="6555"/>
        <w:gridCol w:w="708"/>
        <w:gridCol w:w="6379"/>
        <w:gridCol w:w="870"/>
      </w:tblGrid>
      <w:tr w:rsidR="00741A31" w:rsidRPr="001C695B" w:rsidTr="00741A31">
        <w:tc>
          <w:tcPr>
            <w:tcW w:w="7263" w:type="dxa"/>
            <w:gridSpan w:val="2"/>
          </w:tcPr>
          <w:p w:rsidR="00741A31" w:rsidRPr="001C695B" w:rsidRDefault="00741A31" w:rsidP="00741A31">
            <w:pPr>
              <w:spacing w:before="20" w:after="20"/>
              <w:rPr>
                <w:lang w:val="fr-FR"/>
              </w:rPr>
            </w:pPr>
            <w:r w:rsidRPr="001C695B">
              <w:rPr>
                <w:noProof/>
                <w:lang w:val="en-US" w:eastAsia="zh-CN"/>
              </w:rPr>
              <w:drawing>
                <wp:inline distT="0" distB="0" distL="0" distR="0" wp14:anchorId="7E24E66D" wp14:editId="68A8F196">
                  <wp:extent cx="4314825" cy="2590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379" w:type="dxa"/>
            <w:vMerge w:val="restart"/>
          </w:tcPr>
          <w:p w:rsidR="00741A31" w:rsidRPr="001C695B" w:rsidRDefault="00741A31" w:rsidP="00741A31">
            <w:pPr>
              <w:spacing w:before="20" w:after="20"/>
              <w:rPr>
                <w:rFonts w:asciiTheme="majorHAnsi" w:hAnsiTheme="majorHAnsi"/>
                <w:noProof/>
                <w:color w:val="4F81BD" w:themeColor="accent1"/>
                <w:sz w:val="28"/>
                <w:szCs w:val="28"/>
                <w:lang w:val="fr-FR" w:eastAsia="zh-CN"/>
              </w:rPr>
            </w:pPr>
            <w:r w:rsidRPr="001C695B">
              <w:rPr>
                <w:rFonts w:asciiTheme="majorHAnsi" w:hAnsiTheme="majorHAnsi"/>
                <w:noProof/>
                <w:color w:val="4F81BD" w:themeColor="accent1"/>
                <w:sz w:val="28"/>
                <w:szCs w:val="28"/>
                <w:lang w:val="fr-FR" w:eastAsia="zh-CN"/>
              </w:rPr>
              <w:t>Ventilation prévisionnelle des ressources par service d'appui</w:t>
            </w:r>
          </w:p>
          <w:p w:rsidR="00741A31" w:rsidRPr="001C695B" w:rsidRDefault="00741A31" w:rsidP="00741A31">
            <w:pPr>
              <w:pBdr>
                <w:top w:val="single" w:sz="6" w:space="1" w:color="auto"/>
                <w:bottom w:val="single" w:sz="6" w:space="1" w:color="auto"/>
              </w:pBdr>
              <w:spacing w:before="20" w:after="20"/>
              <w:rPr>
                <w:sz w:val="20"/>
                <w:lang w:val="fr-FR"/>
              </w:rPr>
            </w:pPr>
            <w:r w:rsidRPr="001C695B">
              <w:rPr>
                <w:b/>
                <w:bCs/>
                <w:color w:val="4F81BD" w:themeColor="accent1"/>
                <w:sz w:val="20"/>
                <w:lang w:val="fr-FR"/>
              </w:rPr>
              <w:t xml:space="preserve">S.1 </w:t>
            </w:r>
            <w:r w:rsidRPr="001C695B">
              <w:rPr>
                <w:rFonts w:cs="Calibri"/>
                <w:sz w:val="19"/>
                <w:szCs w:val="19"/>
                <w:lang w:val="fr-FR"/>
              </w:rPr>
              <w:t>Direction de l'Union</w:t>
            </w:r>
          </w:p>
          <w:p w:rsidR="00741A31" w:rsidRPr="001C695B" w:rsidRDefault="00741A31" w:rsidP="00741A31">
            <w:pPr>
              <w:spacing w:before="20" w:after="20"/>
              <w:rPr>
                <w:sz w:val="20"/>
                <w:lang w:val="fr-FR"/>
              </w:rPr>
            </w:pPr>
            <w:r w:rsidRPr="001C695B">
              <w:rPr>
                <w:b/>
                <w:bCs/>
                <w:color w:val="4F81BD" w:themeColor="accent1"/>
                <w:sz w:val="20"/>
                <w:lang w:val="fr-FR"/>
              </w:rPr>
              <w:t xml:space="preserve">S.2 </w:t>
            </w:r>
            <w:r w:rsidRPr="001C695B">
              <w:rPr>
                <w:rFonts w:cs="Calibri"/>
                <w:sz w:val="19"/>
                <w:szCs w:val="19"/>
                <w:lang w:val="fr-FR"/>
              </w:rPr>
              <w:t>Organisation de conférences, assemblées, séminaires et ateliers (traduction et interprétation comprises)</w:t>
            </w:r>
          </w:p>
          <w:p w:rsidR="00741A31" w:rsidRPr="001C695B" w:rsidRDefault="00741A31" w:rsidP="00741A31">
            <w:pPr>
              <w:spacing w:before="20" w:after="20"/>
              <w:rPr>
                <w:sz w:val="20"/>
                <w:lang w:val="fr-FR"/>
              </w:rPr>
            </w:pPr>
            <w:r w:rsidRPr="001C695B">
              <w:rPr>
                <w:b/>
                <w:bCs/>
                <w:color w:val="4F81BD" w:themeColor="accent1"/>
                <w:sz w:val="20"/>
                <w:lang w:val="fr-FR"/>
              </w:rPr>
              <w:t xml:space="preserve">S.3 </w:t>
            </w:r>
            <w:r w:rsidRPr="001C695B">
              <w:rPr>
                <w:rFonts w:cs="Calibri"/>
                <w:sz w:val="19"/>
                <w:szCs w:val="19"/>
                <w:lang w:val="fr-FR"/>
              </w:rPr>
              <w:t>Services de publication</w:t>
            </w:r>
          </w:p>
          <w:p w:rsidR="00741A31" w:rsidRPr="001C695B" w:rsidRDefault="00741A31" w:rsidP="00741A31">
            <w:pPr>
              <w:pBdr>
                <w:top w:val="single" w:sz="4" w:space="1" w:color="auto"/>
              </w:pBdr>
              <w:spacing w:before="20" w:after="20"/>
              <w:rPr>
                <w:sz w:val="20"/>
                <w:lang w:val="fr-FR"/>
              </w:rPr>
            </w:pPr>
            <w:r w:rsidRPr="001C695B">
              <w:rPr>
                <w:b/>
                <w:bCs/>
                <w:color w:val="4F81BD" w:themeColor="accent1"/>
                <w:sz w:val="20"/>
                <w:lang w:val="fr-FR"/>
              </w:rPr>
              <w:t xml:space="preserve">S.4 </w:t>
            </w:r>
            <w:r w:rsidRPr="001C695B">
              <w:rPr>
                <w:sz w:val="20"/>
                <w:lang w:val="fr-FR"/>
              </w:rPr>
              <w:t>Services TIC</w:t>
            </w:r>
          </w:p>
          <w:p w:rsidR="00741A31" w:rsidRPr="001C695B" w:rsidRDefault="00741A31" w:rsidP="00741A31">
            <w:pPr>
              <w:spacing w:before="20" w:after="20"/>
              <w:rPr>
                <w:sz w:val="20"/>
                <w:lang w:val="fr-FR"/>
              </w:rPr>
            </w:pPr>
            <w:r w:rsidRPr="001C695B">
              <w:rPr>
                <w:b/>
                <w:bCs/>
                <w:color w:val="4F81BD" w:themeColor="accent1"/>
                <w:sz w:val="20"/>
                <w:lang w:val="fr-FR"/>
              </w:rPr>
              <w:t xml:space="preserve">S.5 </w:t>
            </w:r>
            <w:r w:rsidRPr="001C695B">
              <w:rPr>
                <w:sz w:val="20"/>
                <w:lang w:val="fr-FR"/>
              </w:rPr>
              <w:t>Services de sûreté et de sécurité</w:t>
            </w:r>
          </w:p>
          <w:p w:rsidR="00741A31" w:rsidRPr="001C695B" w:rsidRDefault="00741A31" w:rsidP="00741A31">
            <w:pPr>
              <w:pBdr>
                <w:bottom w:val="single" w:sz="6" w:space="1" w:color="auto"/>
                <w:between w:val="single" w:sz="6" w:space="1" w:color="auto"/>
              </w:pBdr>
              <w:spacing w:before="20" w:after="20"/>
              <w:rPr>
                <w:sz w:val="20"/>
                <w:lang w:val="fr-FR"/>
              </w:rPr>
            </w:pPr>
            <w:r w:rsidRPr="001C695B">
              <w:rPr>
                <w:b/>
                <w:bCs/>
                <w:color w:val="4F81BD" w:themeColor="accent1"/>
                <w:sz w:val="20"/>
                <w:lang w:val="fr-FR"/>
              </w:rPr>
              <w:t xml:space="preserve">S.6 </w:t>
            </w:r>
            <w:r w:rsidRPr="001C695B">
              <w:rPr>
                <w:sz w:val="20"/>
                <w:lang w:val="fr-FR"/>
              </w:rPr>
              <w:t>Gestion des ressources humaines*</w:t>
            </w:r>
          </w:p>
          <w:p w:rsidR="00741A31" w:rsidRPr="001C695B" w:rsidRDefault="00741A31" w:rsidP="00741A31">
            <w:pPr>
              <w:pBdr>
                <w:bottom w:val="single" w:sz="6" w:space="1" w:color="auto"/>
                <w:between w:val="single" w:sz="6" w:space="1" w:color="auto"/>
              </w:pBdr>
              <w:spacing w:before="20" w:after="20"/>
              <w:rPr>
                <w:sz w:val="20"/>
                <w:lang w:val="fr-FR"/>
              </w:rPr>
            </w:pPr>
            <w:r w:rsidRPr="001C695B">
              <w:rPr>
                <w:b/>
                <w:bCs/>
                <w:color w:val="4F81BD" w:themeColor="accent1"/>
                <w:sz w:val="20"/>
                <w:lang w:val="fr-FR"/>
              </w:rPr>
              <w:t xml:space="preserve">S.7 </w:t>
            </w:r>
            <w:r w:rsidRPr="001C695B">
              <w:rPr>
                <w:sz w:val="20"/>
                <w:lang w:val="fr-FR"/>
              </w:rPr>
              <w:t>Gestion des ressources financières</w:t>
            </w:r>
          </w:p>
          <w:p w:rsidR="00741A31" w:rsidRPr="001C695B" w:rsidRDefault="00741A31" w:rsidP="00741A31">
            <w:pPr>
              <w:pBdr>
                <w:bottom w:val="single" w:sz="6" w:space="1" w:color="auto"/>
                <w:between w:val="single" w:sz="6" w:space="1" w:color="auto"/>
              </w:pBdr>
              <w:spacing w:before="20" w:after="20"/>
              <w:rPr>
                <w:sz w:val="20"/>
                <w:lang w:val="fr-FR"/>
              </w:rPr>
            </w:pPr>
            <w:r w:rsidRPr="001C695B">
              <w:rPr>
                <w:b/>
                <w:bCs/>
                <w:color w:val="4F81BD" w:themeColor="accent1"/>
                <w:sz w:val="20"/>
                <w:lang w:val="fr-FR"/>
              </w:rPr>
              <w:t xml:space="preserve">S.8 </w:t>
            </w:r>
            <w:r w:rsidRPr="001C695B">
              <w:rPr>
                <w:sz w:val="20"/>
                <w:lang w:val="fr-FR"/>
              </w:rPr>
              <w:t>Services juridiques</w:t>
            </w:r>
          </w:p>
          <w:p w:rsidR="00741A31" w:rsidRPr="001C695B" w:rsidRDefault="00741A31" w:rsidP="00741A31">
            <w:pPr>
              <w:pBdr>
                <w:bottom w:val="single" w:sz="6" w:space="1" w:color="auto"/>
                <w:between w:val="single" w:sz="6" w:space="1" w:color="auto"/>
              </w:pBdr>
              <w:spacing w:before="20" w:after="20"/>
              <w:rPr>
                <w:sz w:val="20"/>
                <w:lang w:val="fr-FR"/>
              </w:rPr>
            </w:pPr>
            <w:r w:rsidRPr="001C695B">
              <w:rPr>
                <w:b/>
                <w:bCs/>
                <w:color w:val="4F81BD" w:themeColor="accent1"/>
                <w:sz w:val="20"/>
                <w:lang w:val="fr-FR"/>
              </w:rPr>
              <w:t xml:space="preserve">S.9 </w:t>
            </w:r>
            <w:r w:rsidRPr="001C695B">
              <w:rPr>
                <w:sz w:val="20"/>
                <w:lang w:val="fr-FR"/>
              </w:rPr>
              <w:t>Audit interne</w:t>
            </w:r>
          </w:p>
          <w:p w:rsidR="00741A31" w:rsidRPr="001C695B" w:rsidRDefault="00741A31" w:rsidP="00741A31">
            <w:pPr>
              <w:spacing w:before="20" w:after="20"/>
              <w:rPr>
                <w:sz w:val="20"/>
                <w:lang w:val="fr-FR"/>
              </w:rPr>
            </w:pPr>
            <w:r w:rsidRPr="001C695B">
              <w:rPr>
                <w:b/>
                <w:bCs/>
                <w:color w:val="4F81BD" w:themeColor="accent1"/>
                <w:sz w:val="20"/>
                <w:lang w:val="fr-FR"/>
              </w:rPr>
              <w:t xml:space="preserve">S.10 </w:t>
            </w:r>
            <w:r w:rsidRPr="001C695B">
              <w:rPr>
                <w:rFonts w:cs="Calibri"/>
                <w:sz w:val="20"/>
                <w:lang w:val="fr-FR"/>
              </w:rPr>
              <w:t>Collaboration avec les membres et les parties prenantes extérieures (y compris les Nations Unies)</w:t>
            </w:r>
          </w:p>
          <w:p w:rsidR="00741A31" w:rsidRPr="001C695B" w:rsidRDefault="00741A31" w:rsidP="00741A31">
            <w:pPr>
              <w:spacing w:before="20" w:after="20"/>
              <w:rPr>
                <w:sz w:val="20"/>
                <w:lang w:val="fr-FR"/>
              </w:rPr>
            </w:pPr>
            <w:r w:rsidRPr="001C695B">
              <w:rPr>
                <w:b/>
                <w:bCs/>
                <w:color w:val="4F81BD" w:themeColor="accent1"/>
                <w:sz w:val="20"/>
                <w:lang w:val="fr-FR"/>
              </w:rPr>
              <w:t xml:space="preserve">S.11 </w:t>
            </w:r>
            <w:r w:rsidRPr="001C695B">
              <w:rPr>
                <w:rFonts w:cs="Calibri"/>
                <w:sz w:val="20"/>
                <w:lang w:val="fr-FR"/>
              </w:rPr>
              <w:t>Services de communication (services audiovisuels, services de presse, réseaux sociaux, gestion du web, programme de marque, rédaction de discours, Parcours "A la découverte des TIC")</w:t>
            </w:r>
          </w:p>
          <w:p w:rsidR="00741A31" w:rsidRPr="001C695B" w:rsidRDefault="00741A31" w:rsidP="00741A31">
            <w:pPr>
              <w:spacing w:before="20" w:after="20"/>
              <w:rPr>
                <w:sz w:val="20"/>
                <w:lang w:val="fr-FR"/>
              </w:rPr>
            </w:pPr>
            <w:r w:rsidRPr="001C695B">
              <w:rPr>
                <w:b/>
                <w:bCs/>
                <w:color w:val="4F81BD" w:themeColor="accent1"/>
                <w:sz w:val="20"/>
                <w:lang w:val="fr-FR"/>
              </w:rPr>
              <w:t xml:space="preserve">S.12 </w:t>
            </w:r>
            <w:r w:rsidRPr="001C695B">
              <w:rPr>
                <w:rFonts w:cs="Calibri"/>
                <w:sz w:val="20"/>
                <w:lang w:val="fr-FR"/>
              </w:rPr>
              <w:t>Services du protocole</w:t>
            </w:r>
          </w:p>
          <w:p w:rsidR="00741A31" w:rsidRPr="001C695B" w:rsidRDefault="00741A31" w:rsidP="00741A31">
            <w:pPr>
              <w:spacing w:before="20" w:after="20"/>
              <w:rPr>
                <w:sz w:val="20"/>
                <w:lang w:val="fr-FR"/>
              </w:rPr>
            </w:pPr>
            <w:r w:rsidRPr="001C695B">
              <w:rPr>
                <w:b/>
                <w:bCs/>
                <w:color w:val="4F81BD" w:themeColor="accent1"/>
                <w:sz w:val="20"/>
                <w:lang w:val="fr-FR"/>
              </w:rPr>
              <w:t xml:space="preserve">S.13 </w:t>
            </w:r>
            <w:r w:rsidRPr="001C695B">
              <w:rPr>
                <w:rFonts w:cs="Calibri"/>
                <w:sz w:val="20"/>
                <w:lang w:val="fr-FR"/>
              </w:rPr>
              <w:t>Facilitation des travaux des organes directeurs (PP, Conseil, groupes de travail du Conseil)</w:t>
            </w:r>
          </w:p>
          <w:p w:rsidR="00741A31" w:rsidRPr="001C695B" w:rsidRDefault="00741A31" w:rsidP="00741A31">
            <w:pPr>
              <w:spacing w:before="20" w:after="20"/>
              <w:rPr>
                <w:sz w:val="20"/>
                <w:lang w:val="fr-FR"/>
              </w:rPr>
            </w:pPr>
            <w:r w:rsidRPr="001C695B">
              <w:rPr>
                <w:b/>
                <w:bCs/>
                <w:color w:val="4F81BD" w:themeColor="accent1"/>
                <w:sz w:val="20"/>
                <w:lang w:val="fr-FR"/>
              </w:rPr>
              <w:t xml:space="preserve">S.14 </w:t>
            </w:r>
            <w:r w:rsidRPr="001C695B">
              <w:rPr>
                <w:rFonts w:cs="Calibri"/>
                <w:sz w:val="20"/>
                <w:lang w:val="fr-FR"/>
              </w:rPr>
              <w:t>Production et distribution des badges (non incluses)</w:t>
            </w:r>
          </w:p>
          <w:p w:rsidR="00741A31" w:rsidRPr="001C695B" w:rsidRDefault="00741A31" w:rsidP="00741A31">
            <w:pPr>
              <w:spacing w:before="20" w:after="20"/>
              <w:rPr>
                <w:sz w:val="20"/>
                <w:lang w:val="fr-FR"/>
              </w:rPr>
            </w:pPr>
            <w:r w:rsidRPr="001C695B">
              <w:rPr>
                <w:b/>
                <w:bCs/>
                <w:color w:val="4F81BD" w:themeColor="accent1"/>
                <w:sz w:val="20"/>
                <w:lang w:val="fr-FR"/>
              </w:rPr>
              <w:t xml:space="preserve">S.15 </w:t>
            </w:r>
            <w:r w:rsidRPr="001C695B">
              <w:rPr>
                <w:rFonts w:cs="Calibri"/>
                <w:sz w:val="20"/>
                <w:lang w:val="fr-FR"/>
              </w:rPr>
              <w:t>Services de mobilisation des ressources</w:t>
            </w:r>
          </w:p>
          <w:p w:rsidR="00741A31" w:rsidRPr="001C695B" w:rsidRDefault="00741A31" w:rsidP="00741A31">
            <w:pPr>
              <w:spacing w:before="20" w:after="20"/>
              <w:rPr>
                <w:sz w:val="20"/>
                <w:lang w:val="fr-FR"/>
              </w:rPr>
            </w:pPr>
            <w:r w:rsidRPr="001C695B">
              <w:rPr>
                <w:b/>
                <w:bCs/>
                <w:color w:val="4F81BD" w:themeColor="accent1"/>
                <w:sz w:val="20"/>
                <w:lang w:val="fr-FR"/>
              </w:rPr>
              <w:t xml:space="preserve">S.16 </w:t>
            </w:r>
            <w:r w:rsidRPr="001C695B">
              <w:rPr>
                <w:rFonts w:cs="Calibri"/>
                <w:sz w:val="20"/>
                <w:lang w:val="fr-FR"/>
              </w:rPr>
              <w:t>Gestion et planification stratégiques institutionnelles</w:t>
            </w:r>
          </w:p>
          <w:p w:rsidR="00741A31" w:rsidRPr="001C695B" w:rsidRDefault="00741A31" w:rsidP="00741A31">
            <w:pPr>
              <w:pBdr>
                <w:bottom w:val="single" w:sz="6" w:space="1" w:color="auto"/>
              </w:pBdr>
              <w:spacing w:before="20" w:after="20"/>
              <w:rPr>
                <w:b/>
                <w:bCs/>
                <w:color w:val="4F81BD" w:themeColor="accent1"/>
                <w:sz w:val="20"/>
                <w:lang w:val="fr-FR"/>
              </w:rPr>
            </w:pPr>
            <w:r w:rsidRPr="001C695B">
              <w:rPr>
                <w:b/>
                <w:bCs/>
                <w:color w:val="4F81BD" w:themeColor="accent1"/>
                <w:sz w:val="20"/>
                <w:lang w:val="fr-FR"/>
              </w:rPr>
              <w:t>Total S.10 à S.16:</w:t>
            </w:r>
          </w:p>
          <w:p w:rsidR="00741A31" w:rsidRPr="001C695B" w:rsidRDefault="00741A31" w:rsidP="00741A31">
            <w:pPr>
              <w:spacing w:before="20" w:after="20"/>
              <w:rPr>
                <w:b/>
                <w:bCs/>
                <w:color w:val="4F81BD" w:themeColor="accent1"/>
                <w:sz w:val="2"/>
                <w:szCs w:val="2"/>
                <w:lang w:val="fr-FR"/>
              </w:rPr>
            </w:pPr>
          </w:p>
        </w:tc>
        <w:tc>
          <w:tcPr>
            <w:tcW w:w="870" w:type="dxa"/>
            <w:vMerge w:val="restart"/>
          </w:tcPr>
          <w:p w:rsidR="00741A31" w:rsidRPr="001C695B" w:rsidRDefault="00741A31" w:rsidP="00741A31">
            <w:pPr>
              <w:spacing w:before="100" w:after="120"/>
              <w:rPr>
                <w:rFonts w:eastAsia="Calibri" w:cs="Arial"/>
                <w:b/>
                <w:bCs/>
                <w:color w:val="4F81BD" w:themeColor="accent1"/>
                <w:sz w:val="20"/>
                <w:lang w:val="fr-FR"/>
              </w:rPr>
            </w:pPr>
            <w:r w:rsidRPr="001C695B">
              <w:rPr>
                <w:rFonts w:eastAsia="Calibri" w:cs="Arial"/>
                <w:b/>
                <w:bCs/>
                <w:color w:val="4F81BD" w:themeColor="accent1"/>
                <w:sz w:val="20"/>
                <w:lang w:val="fr-FR"/>
              </w:rPr>
              <w:t>% du total</w:t>
            </w:r>
          </w:p>
          <w:p w:rsidR="00741A31" w:rsidRPr="001C695B" w:rsidRDefault="00741A31" w:rsidP="00741A31">
            <w:pPr>
              <w:pBdr>
                <w:top w:val="single" w:sz="6" w:space="1" w:color="auto"/>
                <w:bottom w:val="single" w:sz="6" w:space="1" w:color="auto"/>
              </w:pBd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t>3,5%</w:t>
            </w:r>
          </w:p>
          <w:p w:rsidR="00741A31" w:rsidRPr="001C695B" w:rsidRDefault="00741A31" w:rsidP="00741A31">
            <w:pP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br/>
              <w:t>30,0%</w:t>
            </w:r>
          </w:p>
          <w:p w:rsidR="00741A31" w:rsidRPr="001C695B" w:rsidRDefault="00741A31" w:rsidP="00741A31">
            <w:pPr>
              <w:spacing w:before="20" w:after="20"/>
              <w:jc w:val="right"/>
              <w:rPr>
                <w:rFonts w:eastAsia="Calibri" w:cs="Arial"/>
                <w:color w:val="000000" w:themeColor="text1"/>
                <w:sz w:val="20"/>
                <w:lang w:val="fr-FR"/>
              </w:rPr>
            </w:pPr>
          </w:p>
          <w:p w:rsidR="00741A31" w:rsidRPr="001C695B" w:rsidRDefault="00741A31" w:rsidP="00741A31">
            <w:pPr>
              <w:pBdr>
                <w:top w:val="single" w:sz="4" w:space="1" w:color="auto"/>
              </w:pBd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t>20,5%</w:t>
            </w:r>
          </w:p>
          <w:p w:rsidR="00741A31" w:rsidRPr="001C695B" w:rsidRDefault="00741A31" w:rsidP="00741A31">
            <w:pP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t>2,7%</w:t>
            </w:r>
          </w:p>
          <w:p w:rsidR="00741A31" w:rsidRPr="001C695B" w:rsidRDefault="00741A31" w:rsidP="00741A31">
            <w:pPr>
              <w:pBdr>
                <w:bottom w:val="single" w:sz="6" w:space="1" w:color="auto"/>
                <w:between w:val="single" w:sz="6" w:space="1" w:color="auto"/>
              </w:pBd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t>24,3%</w:t>
            </w:r>
          </w:p>
          <w:p w:rsidR="00741A31" w:rsidRPr="001C695B" w:rsidRDefault="00741A31" w:rsidP="00741A31">
            <w:pPr>
              <w:pBdr>
                <w:bottom w:val="single" w:sz="6" w:space="1" w:color="auto"/>
                <w:between w:val="single" w:sz="6" w:space="1" w:color="auto"/>
              </w:pBd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t>7,6%</w:t>
            </w:r>
          </w:p>
          <w:p w:rsidR="00741A31" w:rsidRPr="001C695B" w:rsidRDefault="00741A31" w:rsidP="00741A31">
            <w:pPr>
              <w:pBdr>
                <w:bottom w:val="single" w:sz="6" w:space="1" w:color="auto"/>
                <w:between w:val="single" w:sz="6" w:space="1" w:color="auto"/>
              </w:pBd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t>1,3%</w:t>
            </w:r>
          </w:p>
          <w:p w:rsidR="00741A31" w:rsidRPr="001C695B" w:rsidRDefault="00741A31" w:rsidP="00741A31">
            <w:pPr>
              <w:pBdr>
                <w:bottom w:val="single" w:sz="6" w:space="1" w:color="auto"/>
                <w:between w:val="single" w:sz="6" w:space="1" w:color="auto"/>
              </w:pBd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t>0,8%</w:t>
            </w:r>
          </w:p>
          <w:p w:rsidR="00741A31" w:rsidRPr="001C695B" w:rsidRDefault="00741A31" w:rsidP="00741A31">
            <w:pP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br/>
            </w:r>
          </w:p>
          <w:p w:rsidR="00741A31" w:rsidRPr="001C695B" w:rsidRDefault="00741A31" w:rsidP="00741A31">
            <w:pP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br/>
            </w:r>
            <w:r w:rsidRPr="001C695B">
              <w:rPr>
                <w:rFonts w:eastAsia="Calibri" w:cs="Arial"/>
                <w:color w:val="000000" w:themeColor="text1"/>
                <w:sz w:val="20"/>
                <w:lang w:val="fr-FR"/>
              </w:rPr>
              <w:br/>
            </w:r>
          </w:p>
          <w:p w:rsidR="00741A31" w:rsidRPr="001C695B" w:rsidRDefault="00741A31" w:rsidP="00741A31">
            <w:pPr>
              <w:spacing w:before="20" w:after="20"/>
              <w:jc w:val="right"/>
              <w:rPr>
                <w:rFonts w:eastAsia="Calibri" w:cs="Arial"/>
                <w:color w:val="000000" w:themeColor="text1"/>
                <w:sz w:val="20"/>
                <w:lang w:val="fr-FR"/>
              </w:rPr>
            </w:pPr>
          </w:p>
          <w:p w:rsidR="00741A31" w:rsidRPr="001C695B" w:rsidRDefault="00741A31" w:rsidP="00741A31">
            <w:pP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br/>
            </w:r>
          </w:p>
          <w:p w:rsidR="00741A31" w:rsidRPr="001C695B" w:rsidRDefault="00741A31" w:rsidP="00741A31">
            <w:pPr>
              <w:spacing w:before="20" w:after="20"/>
              <w:jc w:val="right"/>
              <w:rPr>
                <w:rFonts w:eastAsia="Calibri" w:cs="Arial"/>
                <w:color w:val="000000" w:themeColor="text1"/>
                <w:sz w:val="20"/>
                <w:lang w:val="fr-FR"/>
              </w:rPr>
            </w:pPr>
          </w:p>
          <w:p w:rsidR="00741A31" w:rsidRPr="001C695B" w:rsidRDefault="00741A31" w:rsidP="00741A31">
            <w:pPr>
              <w:spacing w:before="20" w:after="20"/>
              <w:jc w:val="right"/>
              <w:rPr>
                <w:rFonts w:eastAsia="Calibri" w:cs="Arial"/>
                <w:color w:val="000000" w:themeColor="text1"/>
                <w:sz w:val="20"/>
                <w:lang w:val="fr-FR"/>
              </w:rPr>
            </w:pPr>
            <w:r w:rsidRPr="001C695B">
              <w:rPr>
                <w:rFonts w:eastAsia="Calibri" w:cs="Arial"/>
                <w:color w:val="000000" w:themeColor="text1"/>
                <w:sz w:val="20"/>
                <w:lang w:val="fr-FR"/>
              </w:rPr>
              <w:br/>
            </w:r>
          </w:p>
          <w:p w:rsidR="00741A31" w:rsidRPr="001C695B" w:rsidRDefault="00741A31" w:rsidP="00741A31">
            <w:pPr>
              <w:pBdr>
                <w:bottom w:val="single" w:sz="6" w:space="1" w:color="auto"/>
              </w:pBdr>
              <w:spacing w:before="20" w:after="20"/>
              <w:jc w:val="right"/>
              <w:rPr>
                <w:rFonts w:eastAsia="Calibri" w:cs="Arial"/>
                <w:color w:val="948A54" w:themeColor="background2" w:themeShade="80"/>
                <w:sz w:val="20"/>
                <w:lang w:val="fr-FR"/>
              </w:rPr>
            </w:pPr>
            <w:r w:rsidRPr="001C695B">
              <w:rPr>
                <w:rFonts w:eastAsia="Calibri" w:cs="Arial"/>
                <w:color w:val="000000" w:themeColor="text1"/>
                <w:sz w:val="20"/>
                <w:lang w:val="fr-FR"/>
              </w:rPr>
              <w:t>9,3%</w:t>
            </w:r>
          </w:p>
          <w:p w:rsidR="00741A31" w:rsidRPr="001C695B" w:rsidRDefault="00741A31" w:rsidP="00741A31">
            <w:pPr>
              <w:spacing w:before="20" w:after="20"/>
              <w:rPr>
                <w:rFonts w:eastAsia="Calibri" w:cs="Arial"/>
                <w:b/>
                <w:bCs/>
                <w:color w:val="4F81BD" w:themeColor="accent1"/>
                <w:sz w:val="2"/>
                <w:szCs w:val="2"/>
                <w:lang w:val="fr-FR"/>
              </w:rPr>
            </w:pPr>
          </w:p>
        </w:tc>
      </w:tr>
      <w:tr w:rsidR="00741A31" w:rsidRPr="001C695B" w:rsidTr="00741A31">
        <w:tc>
          <w:tcPr>
            <w:tcW w:w="6555" w:type="dxa"/>
          </w:tcPr>
          <w:p w:rsidR="00741A31" w:rsidRPr="00542045" w:rsidRDefault="00741A31" w:rsidP="00741A31">
            <w:pPr>
              <w:spacing w:before="80" w:after="20"/>
              <w:rPr>
                <w:rFonts w:eastAsia="Calibri" w:cs="Arial"/>
                <w:sz w:val="20"/>
                <w:lang w:val="fr-FR"/>
              </w:rPr>
            </w:pPr>
            <w:r w:rsidRPr="001C695B">
              <w:rPr>
                <w:rFonts w:eastAsia="Calibri" w:cs="Arial"/>
                <w:color w:val="4F81BD" w:themeColor="accent1"/>
                <w:sz w:val="20"/>
                <w:lang w:val="fr-FR"/>
              </w:rPr>
              <w:t xml:space="preserve">E.1 </w:t>
            </w:r>
            <w:r w:rsidRPr="00542045">
              <w:rPr>
                <w:rFonts w:eastAsia="Calibri" w:cs="Arial"/>
                <w:sz w:val="20"/>
                <w:lang w:val="fr-FR"/>
              </w:rPr>
              <w:t>Veiller à l'utilisation efficace et efficiente des ressources humaines, financières et en capital et garantir un environnement de travail propice, sûr et sécurisé</w:t>
            </w:r>
          </w:p>
          <w:p w:rsidR="00741A31" w:rsidRPr="00542045" w:rsidRDefault="00741A31" w:rsidP="00741A31">
            <w:pPr>
              <w:spacing w:before="80" w:after="20"/>
              <w:rPr>
                <w:rFonts w:eastAsia="Calibri" w:cs="Arial"/>
                <w:sz w:val="20"/>
                <w:lang w:val="fr-FR"/>
              </w:rPr>
            </w:pPr>
            <w:r w:rsidRPr="00542045">
              <w:rPr>
                <w:rFonts w:eastAsia="Calibri" w:cs="Arial"/>
                <w:color w:val="4F81BD" w:themeColor="accent1"/>
                <w:sz w:val="20"/>
                <w:lang w:val="fr-FR"/>
              </w:rPr>
              <w:t xml:space="preserve">E.2 </w:t>
            </w:r>
            <w:r w:rsidRPr="00542045">
              <w:rPr>
                <w:rFonts w:eastAsia="Calibri" w:cs="Arial"/>
                <w:sz w:val="20"/>
                <w:lang w:val="fr-FR"/>
              </w:rPr>
              <w:t>Veiller à l'efficacité et à l'accessibilité des infrastructures (conférences, réunions, documentation, publications et information)</w:t>
            </w:r>
          </w:p>
          <w:p w:rsidR="00741A31" w:rsidRPr="00542045" w:rsidRDefault="00741A31" w:rsidP="00741A31">
            <w:pPr>
              <w:spacing w:before="80" w:after="20"/>
              <w:rPr>
                <w:rFonts w:eastAsia="Calibri" w:cs="Arial"/>
                <w:sz w:val="20"/>
                <w:lang w:val="fr-FR"/>
              </w:rPr>
            </w:pPr>
            <w:r w:rsidRPr="00542045">
              <w:rPr>
                <w:rFonts w:eastAsia="Calibri" w:cs="Arial"/>
                <w:color w:val="4F81BD" w:themeColor="accent1"/>
                <w:sz w:val="20"/>
                <w:lang w:val="fr-FR"/>
              </w:rPr>
              <w:t xml:space="preserve">E.3 </w:t>
            </w:r>
            <w:r w:rsidRPr="00542045">
              <w:rPr>
                <w:rFonts w:eastAsia="Calibri" w:cs="Arial"/>
                <w:sz w:val="20"/>
                <w:lang w:val="fr-FR"/>
              </w:rPr>
              <w:t>Fournir des services efficaces en ce qui concerne les membres, le protocole, la communication et la mobilisation des ressources</w:t>
            </w:r>
          </w:p>
          <w:p w:rsidR="00741A31" w:rsidRPr="00542045" w:rsidRDefault="00741A31" w:rsidP="00741A31">
            <w:pPr>
              <w:spacing w:before="80" w:after="20"/>
              <w:rPr>
                <w:rFonts w:eastAsia="Calibri" w:cs="Arial"/>
                <w:sz w:val="20"/>
                <w:lang w:val="fr-FR"/>
              </w:rPr>
            </w:pPr>
            <w:r w:rsidRPr="00542045">
              <w:rPr>
                <w:rFonts w:eastAsia="Calibri" w:cs="Arial"/>
                <w:color w:val="4F81BD" w:themeColor="accent1"/>
                <w:sz w:val="20"/>
                <w:lang w:val="fr-FR"/>
              </w:rPr>
              <w:t xml:space="preserve">E.4 </w:t>
            </w:r>
            <w:r w:rsidRPr="00542045">
              <w:rPr>
                <w:rFonts w:eastAsia="Calibri" w:cs="Arial"/>
                <w:sz w:val="20"/>
                <w:lang w:val="fr-FR"/>
              </w:rPr>
              <w:t>Veiller à la planification, à la coordination et à l'exécution efficaces du plan stratégique et des plans opérationnels de l'Union</w:t>
            </w:r>
          </w:p>
          <w:p w:rsidR="00741A31" w:rsidRPr="001C695B" w:rsidRDefault="00741A31" w:rsidP="00741A31">
            <w:pPr>
              <w:spacing w:before="80" w:after="20"/>
              <w:rPr>
                <w:b/>
                <w:bCs/>
                <w:noProof/>
                <w:sz w:val="20"/>
                <w:lang w:val="fr-FR" w:eastAsia="zh-CN"/>
              </w:rPr>
            </w:pPr>
            <w:r w:rsidRPr="00542045">
              <w:rPr>
                <w:rFonts w:eastAsia="Calibri" w:cs="Arial"/>
                <w:color w:val="4F81BD" w:themeColor="accent1"/>
                <w:sz w:val="20"/>
                <w:lang w:val="fr-FR"/>
              </w:rPr>
              <w:t xml:space="preserve">E.5 </w:t>
            </w:r>
            <w:r w:rsidRPr="00542045">
              <w:rPr>
                <w:rFonts w:eastAsia="Calibri" w:cs="Arial"/>
                <w:sz w:val="20"/>
                <w:lang w:val="fr-FR"/>
              </w:rPr>
              <w:t>Veiller à l'efficacité et à l'efficience de la gouvernance de l'organisation (en interne et à l'extérieur)</w:t>
            </w:r>
          </w:p>
        </w:tc>
        <w:tc>
          <w:tcPr>
            <w:tcW w:w="708" w:type="dxa"/>
          </w:tcPr>
          <w:p w:rsidR="00741A31" w:rsidRPr="001C695B" w:rsidRDefault="00741A31" w:rsidP="00741A31">
            <w:pPr>
              <w:spacing w:before="80" w:after="20"/>
              <w:ind w:left="-391"/>
              <w:jc w:val="right"/>
              <w:rPr>
                <w:b/>
                <w:bCs/>
                <w:noProof/>
                <w:color w:val="000000" w:themeColor="text1"/>
                <w:sz w:val="20"/>
                <w:lang w:val="fr-FR" w:eastAsia="zh-CN"/>
              </w:rPr>
            </w:pPr>
            <w:r w:rsidRPr="001C695B">
              <w:rPr>
                <w:b/>
                <w:bCs/>
                <w:noProof/>
                <w:color w:val="000000" w:themeColor="text1"/>
                <w:sz w:val="20"/>
                <w:lang w:val="fr-FR" w:eastAsia="zh-CN"/>
              </w:rPr>
              <w:t>36,0%</w:t>
            </w:r>
            <w:r w:rsidRPr="001C695B">
              <w:rPr>
                <w:b/>
                <w:bCs/>
                <w:noProof/>
                <w:color w:val="000000" w:themeColor="text1"/>
                <w:sz w:val="20"/>
                <w:lang w:val="fr-FR" w:eastAsia="zh-CN"/>
              </w:rPr>
              <w:br/>
            </w:r>
          </w:p>
          <w:p w:rsidR="00741A31" w:rsidRPr="001C695B" w:rsidRDefault="00741A31" w:rsidP="00741A31">
            <w:pPr>
              <w:spacing w:before="80" w:after="20"/>
              <w:ind w:left="-391"/>
              <w:jc w:val="right"/>
              <w:rPr>
                <w:b/>
                <w:bCs/>
                <w:noProof/>
                <w:color w:val="000000" w:themeColor="text1"/>
                <w:sz w:val="20"/>
                <w:lang w:val="fr-FR" w:eastAsia="zh-CN"/>
              </w:rPr>
            </w:pPr>
            <w:r w:rsidRPr="001C695B">
              <w:rPr>
                <w:b/>
                <w:bCs/>
                <w:noProof/>
                <w:color w:val="000000" w:themeColor="text1"/>
                <w:sz w:val="20"/>
                <w:lang w:val="fr-FR" w:eastAsia="zh-CN"/>
              </w:rPr>
              <w:t>51,0%</w:t>
            </w:r>
            <w:r w:rsidRPr="001C695B">
              <w:rPr>
                <w:b/>
                <w:bCs/>
                <w:noProof/>
                <w:color w:val="000000" w:themeColor="text1"/>
                <w:sz w:val="20"/>
                <w:lang w:val="fr-FR" w:eastAsia="zh-CN"/>
              </w:rPr>
              <w:br/>
            </w:r>
          </w:p>
          <w:p w:rsidR="00741A31" w:rsidRPr="001C695B" w:rsidRDefault="00741A31" w:rsidP="00741A31">
            <w:pPr>
              <w:spacing w:before="80" w:after="20"/>
              <w:ind w:left="-391"/>
              <w:jc w:val="right"/>
              <w:rPr>
                <w:b/>
                <w:bCs/>
                <w:noProof/>
                <w:color w:val="000000" w:themeColor="text1"/>
                <w:sz w:val="20"/>
                <w:lang w:val="fr-FR" w:eastAsia="zh-CN"/>
              </w:rPr>
            </w:pPr>
            <w:r w:rsidRPr="001C695B">
              <w:rPr>
                <w:b/>
                <w:bCs/>
                <w:noProof/>
                <w:color w:val="000000" w:themeColor="text1"/>
                <w:sz w:val="20"/>
                <w:lang w:val="fr-FR" w:eastAsia="zh-CN"/>
              </w:rPr>
              <w:t>3%</w:t>
            </w:r>
            <w:r w:rsidRPr="001C695B">
              <w:rPr>
                <w:b/>
                <w:bCs/>
                <w:noProof/>
                <w:color w:val="000000" w:themeColor="text1"/>
                <w:sz w:val="20"/>
                <w:lang w:val="fr-FR" w:eastAsia="zh-CN"/>
              </w:rPr>
              <w:br/>
            </w:r>
          </w:p>
          <w:p w:rsidR="00741A31" w:rsidRPr="001C695B" w:rsidRDefault="00741A31" w:rsidP="00741A31">
            <w:pPr>
              <w:spacing w:before="80" w:after="20"/>
              <w:ind w:left="-391"/>
              <w:jc w:val="right"/>
              <w:rPr>
                <w:b/>
                <w:bCs/>
                <w:noProof/>
                <w:color w:val="000000" w:themeColor="text1"/>
                <w:sz w:val="20"/>
                <w:lang w:val="fr-FR" w:eastAsia="zh-CN"/>
              </w:rPr>
            </w:pPr>
            <w:r w:rsidRPr="001C695B">
              <w:rPr>
                <w:b/>
                <w:bCs/>
                <w:noProof/>
                <w:color w:val="000000" w:themeColor="text1"/>
                <w:sz w:val="20"/>
                <w:lang w:val="fr-FR" w:eastAsia="zh-CN"/>
              </w:rPr>
              <w:t>4%</w:t>
            </w:r>
            <w:r w:rsidRPr="001C695B">
              <w:rPr>
                <w:b/>
                <w:bCs/>
                <w:noProof/>
                <w:color w:val="000000" w:themeColor="text1"/>
                <w:sz w:val="20"/>
                <w:lang w:val="fr-FR" w:eastAsia="zh-CN"/>
              </w:rPr>
              <w:br/>
            </w:r>
          </w:p>
          <w:p w:rsidR="00741A31" w:rsidRPr="001C695B" w:rsidRDefault="00741A31" w:rsidP="00741A31">
            <w:pPr>
              <w:spacing w:before="80" w:after="20"/>
              <w:ind w:left="-391"/>
              <w:jc w:val="right"/>
              <w:rPr>
                <w:b/>
                <w:bCs/>
                <w:noProof/>
                <w:sz w:val="20"/>
                <w:lang w:val="fr-FR" w:eastAsia="zh-CN"/>
              </w:rPr>
            </w:pPr>
            <w:r w:rsidRPr="001C695B">
              <w:rPr>
                <w:b/>
                <w:bCs/>
                <w:noProof/>
                <w:color w:val="000000" w:themeColor="text1"/>
                <w:sz w:val="20"/>
                <w:lang w:val="fr-FR" w:eastAsia="zh-CN"/>
              </w:rPr>
              <w:t>6%</w:t>
            </w:r>
          </w:p>
        </w:tc>
        <w:tc>
          <w:tcPr>
            <w:tcW w:w="6379" w:type="dxa"/>
            <w:vMerge/>
          </w:tcPr>
          <w:p w:rsidR="00741A31" w:rsidRPr="001C695B" w:rsidRDefault="00741A31" w:rsidP="00741A31">
            <w:pPr>
              <w:spacing w:before="20" w:after="20"/>
              <w:rPr>
                <w:noProof/>
                <w:sz w:val="20"/>
                <w:lang w:val="fr-FR" w:eastAsia="zh-CN"/>
              </w:rPr>
            </w:pPr>
          </w:p>
        </w:tc>
        <w:tc>
          <w:tcPr>
            <w:tcW w:w="870" w:type="dxa"/>
            <w:vMerge/>
          </w:tcPr>
          <w:p w:rsidR="00741A31" w:rsidRPr="001C695B" w:rsidRDefault="00741A31" w:rsidP="00741A31">
            <w:pPr>
              <w:spacing w:before="20" w:after="20"/>
              <w:rPr>
                <w:noProof/>
                <w:sz w:val="20"/>
                <w:lang w:val="fr-FR" w:eastAsia="zh-CN"/>
              </w:rPr>
            </w:pPr>
          </w:p>
        </w:tc>
      </w:tr>
    </w:tbl>
    <w:p w:rsidR="00741A31" w:rsidRPr="001C695B" w:rsidRDefault="00741A31" w:rsidP="00741A31">
      <w:pPr>
        <w:tabs>
          <w:tab w:val="left" w:pos="7655"/>
          <w:tab w:val="left" w:pos="7797"/>
        </w:tabs>
        <w:spacing w:before="20" w:after="20"/>
        <w:ind w:left="7797" w:hanging="7797"/>
        <w:rPr>
          <w:sz w:val="20"/>
          <w:lang w:val="fr-FR"/>
        </w:rPr>
      </w:pPr>
      <w:r w:rsidRPr="001C695B">
        <w:rPr>
          <w:sz w:val="20"/>
          <w:lang w:val="fr-FR"/>
        </w:rPr>
        <w:tab/>
      </w:r>
      <w:r w:rsidRPr="001C695B">
        <w:rPr>
          <w:sz w:val="20"/>
          <w:lang w:val="fr-FR"/>
        </w:rPr>
        <w:tab/>
      </w:r>
      <w:r w:rsidRPr="001C695B">
        <w:rPr>
          <w:sz w:val="20"/>
          <w:lang w:val="fr-FR"/>
        </w:rPr>
        <w:tab/>
      </w:r>
      <w:r w:rsidRPr="001C695B">
        <w:rPr>
          <w:sz w:val="20"/>
          <w:lang w:val="fr-FR"/>
        </w:rPr>
        <w:tab/>
      </w:r>
      <w:r w:rsidRPr="001C695B">
        <w:rPr>
          <w:sz w:val="20"/>
          <w:lang w:val="fr-FR"/>
        </w:rPr>
        <w:tab/>
      </w:r>
      <w:r w:rsidRPr="001C695B">
        <w:rPr>
          <w:sz w:val="20"/>
          <w:lang w:val="fr-FR"/>
        </w:rPr>
        <w:tab/>
        <w:t>*</w:t>
      </w:r>
      <w:r w:rsidRPr="001C695B">
        <w:rPr>
          <w:sz w:val="20"/>
          <w:lang w:val="fr-FR"/>
        </w:rPr>
        <w:tab/>
        <w:t>y compris ASHI (Assurance maladie après la cessation de service) et coûts des bâtiments.</w:t>
      </w:r>
    </w:p>
    <w:p w:rsidR="00741A31" w:rsidRPr="001C695B" w:rsidRDefault="00741A31" w:rsidP="00741A31">
      <w:pPr>
        <w:tabs>
          <w:tab w:val="left" w:pos="7655"/>
          <w:tab w:val="left" w:pos="7797"/>
        </w:tabs>
        <w:spacing w:before="20" w:after="20"/>
        <w:ind w:left="7797" w:hanging="7797"/>
        <w:rPr>
          <w:sz w:val="20"/>
          <w:lang w:val="fr-FR"/>
        </w:rPr>
      </w:pPr>
    </w:p>
    <w:p w:rsidR="00741A31" w:rsidRPr="001C695B" w:rsidRDefault="00741A31" w:rsidP="00741A31">
      <w:pPr>
        <w:spacing w:before="20" w:after="20"/>
        <w:ind w:left="6480" w:hanging="6480"/>
        <w:rPr>
          <w:lang w:val="fr-FR"/>
        </w:rPr>
      </w:pPr>
      <w:r w:rsidRPr="001C695B">
        <w:rPr>
          <w:lang w:val="fr-FR"/>
        </w:rPr>
        <w:br w:type="page"/>
      </w:r>
    </w:p>
    <w:p w:rsidR="00741A31" w:rsidRPr="001C695B" w:rsidRDefault="00741A31" w:rsidP="00741A31">
      <w:pPr>
        <w:pStyle w:val="Heading2"/>
        <w:spacing w:after="120"/>
        <w:rPr>
          <w:lang w:val="fr-FR"/>
        </w:rPr>
      </w:pPr>
      <w:r w:rsidRPr="001C695B">
        <w:rPr>
          <w:lang w:val="fr-FR"/>
        </w:rPr>
        <w:lastRenderedPageBreak/>
        <w:t>3.6</w:t>
      </w:r>
      <w:r w:rsidRPr="001C695B">
        <w:rPr>
          <w:lang w:val="fr-FR"/>
        </w:rPr>
        <w:tab/>
        <w:t>Ventilation des ressources entre les objectifs et les produits intersectoriels pour 2018</w:t>
      </w:r>
    </w:p>
    <w:tbl>
      <w:tblPr>
        <w:tblW w:w="0" w:type="auto"/>
        <w:tblInd w:w="108" w:type="dxa"/>
        <w:tblLayout w:type="fixed"/>
        <w:tblLook w:val="0480" w:firstRow="0" w:lastRow="0" w:firstColumn="1" w:lastColumn="0" w:noHBand="0" w:noVBand="1"/>
      </w:tblPr>
      <w:tblGrid>
        <w:gridCol w:w="6413"/>
        <w:gridCol w:w="850"/>
        <w:gridCol w:w="5552"/>
        <w:gridCol w:w="870"/>
        <w:gridCol w:w="981"/>
      </w:tblGrid>
      <w:tr w:rsidR="00741A31" w:rsidRPr="001C695B" w:rsidTr="00741A31">
        <w:tc>
          <w:tcPr>
            <w:tcW w:w="7263" w:type="dxa"/>
            <w:gridSpan w:val="2"/>
          </w:tcPr>
          <w:p w:rsidR="00741A31" w:rsidRPr="001C695B" w:rsidRDefault="00741A31" w:rsidP="00741A31">
            <w:pPr>
              <w:spacing w:before="20" w:after="20"/>
              <w:rPr>
                <w:sz w:val="18"/>
                <w:szCs w:val="18"/>
                <w:lang w:val="fr-FR"/>
              </w:rPr>
            </w:pPr>
            <w:r w:rsidRPr="001C695B">
              <w:rPr>
                <w:noProof/>
                <w:lang w:val="en-US" w:eastAsia="zh-CN"/>
              </w:rPr>
              <w:drawing>
                <wp:inline distT="0" distB="0" distL="0" distR="0" wp14:anchorId="3448E96D" wp14:editId="6C2FBD95">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552" w:type="dxa"/>
            <w:vMerge w:val="restart"/>
          </w:tcPr>
          <w:p w:rsidR="00741A31" w:rsidRPr="001C695B" w:rsidRDefault="00741A31" w:rsidP="00741A31">
            <w:pPr>
              <w:spacing w:after="120"/>
              <w:rPr>
                <w:noProof/>
                <w:color w:val="4F81BD" w:themeColor="accent1"/>
                <w:szCs w:val="24"/>
                <w:lang w:val="fr-FR" w:eastAsia="zh-CN"/>
              </w:rPr>
            </w:pPr>
            <w:r w:rsidRPr="001C695B">
              <w:rPr>
                <w:noProof/>
                <w:color w:val="4F81BD" w:themeColor="accent1"/>
                <w:szCs w:val="24"/>
                <w:lang w:val="fr-FR" w:eastAsia="zh-CN"/>
              </w:rPr>
              <w:t>Ventilation prévisionnelle des ressources par poduit</w:t>
            </w:r>
          </w:p>
          <w:p w:rsidR="00741A31" w:rsidRPr="001C695B" w:rsidRDefault="00741A31" w:rsidP="00741A31">
            <w:pPr>
              <w:pBdr>
                <w:top w:val="single" w:sz="6" w:space="1" w:color="auto"/>
                <w:bottom w:val="single" w:sz="6" w:space="1" w:color="auto"/>
              </w:pBdr>
              <w:spacing w:before="20" w:after="20"/>
              <w:rPr>
                <w:rFonts w:eastAsia="Calibri" w:cs="Arial"/>
                <w:sz w:val="18"/>
                <w:szCs w:val="18"/>
                <w:lang w:val="fr-FR"/>
              </w:rPr>
            </w:pPr>
            <w:r w:rsidRPr="001C695B">
              <w:rPr>
                <w:b/>
                <w:bCs/>
                <w:noProof/>
                <w:color w:val="4F81BD" w:themeColor="accent1"/>
                <w:sz w:val="18"/>
                <w:szCs w:val="18"/>
                <w:lang w:val="fr-FR" w:eastAsia="zh-CN"/>
              </w:rPr>
              <w:t xml:space="preserve">I.1-1 </w:t>
            </w:r>
            <w:r w:rsidRPr="001C695B">
              <w:rPr>
                <w:rFonts w:eastAsia="Calibri" w:cs="Arial"/>
                <w:sz w:val="18"/>
                <w:szCs w:val="18"/>
                <w:lang w:val="fr-FR"/>
              </w:rPr>
              <w:t>Conférences, forums, manifestations et réunions intersectoriels au niveau mondial offrant un cadre de discussion de haut niveau (par exemple CMTI, FMPT, SMSI, Journée mondiale des télécommunications et de la société de l'information, ITU Telecom)</w:t>
            </w:r>
          </w:p>
          <w:p w:rsidR="00741A31" w:rsidRPr="001C695B" w:rsidRDefault="00741A31" w:rsidP="00741A31">
            <w:pPr>
              <w:overflowPunct/>
              <w:autoSpaceDE/>
              <w:autoSpaceDN/>
              <w:adjustRightInd/>
              <w:spacing w:before="20" w:after="20"/>
              <w:textAlignment w:val="auto"/>
              <w:rPr>
                <w:noProof/>
                <w:sz w:val="18"/>
                <w:szCs w:val="18"/>
                <w:lang w:val="fr-FR" w:eastAsia="zh-CN"/>
              </w:rPr>
            </w:pPr>
            <w:r w:rsidRPr="001C695B">
              <w:rPr>
                <w:rFonts w:eastAsia="Calibri" w:cs="Arial"/>
                <w:b/>
                <w:bCs/>
                <w:color w:val="4F81BD" w:themeColor="accent1"/>
                <w:sz w:val="18"/>
                <w:szCs w:val="18"/>
                <w:lang w:val="fr-FR"/>
              </w:rPr>
              <w:t>I.2-1</w:t>
            </w:r>
            <w:r w:rsidRPr="001C695B">
              <w:rPr>
                <w:b/>
                <w:bCs/>
                <w:noProof/>
                <w:color w:val="4F81BD" w:themeColor="accent1"/>
                <w:sz w:val="18"/>
                <w:szCs w:val="18"/>
                <w:lang w:val="fr-FR" w:eastAsia="zh-CN"/>
              </w:rPr>
              <w:t xml:space="preserve"> </w:t>
            </w:r>
            <w:r w:rsidRPr="001C695B">
              <w:rPr>
                <w:rFonts w:eastAsia="Calibri" w:cs="Arial"/>
                <w:sz w:val="18"/>
                <w:szCs w:val="18"/>
                <w:lang w:val="fr-FR"/>
              </w:rPr>
              <w:t xml:space="preserve">Echange </w:t>
            </w:r>
            <w:r w:rsidRPr="001C695B">
              <w:rPr>
                <w:noProof/>
                <w:sz w:val="18"/>
                <w:szCs w:val="18"/>
                <w:lang w:val="fr-FR" w:eastAsia="zh-CN"/>
              </w:rPr>
              <w:t>de connaissances, création de réseaux de relations et partenariats</w:t>
            </w:r>
          </w:p>
          <w:p w:rsidR="00741A31" w:rsidRPr="001C695B" w:rsidRDefault="00741A31" w:rsidP="00741A31">
            <w:pPr>
              <w:pBdr>
                <w:bottom w:val="single" w:sz="4" w:space="1" w:color="auto"/>
              </w:pBdr>
              <w:overflowPunct/>
              <w:autoSpaceDE/>
              <w:autoSpaceDN/>
              <w:adjustRightInd/>
              <w:spacing w:before="20" w:after="20"/>
              <w:textAlignment w:val="auto"/>
              <w:rPr>
                <w:noProof/>
                <w:sz w:val="18"/>
                <w:szCs w:val="18"/>
                <w:lang w:val="fr-FR" w:eastAsia="zh-CN"/>
              </w:rPr>
            </w:pPr>
            <w:r w:rsidRPr="001C695B">
              <w:rPr>
                <w:b/>
                <w:bCs/>
                <w:noProof/>
                <w:color w:val="4F81BD" w:themeColor="accent1"/>
                <w:sz w:val="18"/>
                <w:szCs w:val="18"/>
                <w:lang w:val="fr-FR" w:eastAsia="zh-CN"/>
              </w:rPr>
              <w:t xml:space="preserve">I.2-2 </w:t>
            </w:r>
            <w:r w:rsidRPr="001C695B">
              <w:rPr>
                <w:noProof/>
                <w:sz w:val="18"/>
                <w:szCs w:val="18"/>
                <w:lang w:val="fr-FR" w:eastAsia="zh-CN"/>
              </w:rPr>
              <w:t>Mémorandums d'accord</w:t>
            </w:r>
          </w:p>
          <w:p w:rsidR="00741A31" w:rsidRPr="001C695B" w:rsidRDefault="00741A31" w:rsidP="00741A31">
            <w:pPr>
              <w:overflowPunct/>
              <w:autoSpaceDE/>
              <w:autoSpaceDN/>
              <w:adjustRightInd/>
              <w:spacing w:before="20" w:after="20"/>
              <w:textAlignment w:val="auto"/>
              <w:rPr>
                <w:b/>
                <w:bCs/>
                <w:noProof/>
                <w:color w:val="4F81BD" w:themeColor="accent1"/>
                <w:sz w:val="18"/>
                <w:szCs w:val="18"/>
                <w:lang w:val="fr-FR" w:eastAsia="zh-CN"/>
              </w:rPr>
            </w:pPr>
            <w:r w:rsidRPr="001C695B">
              <w:rPr>
                <w:b/>
                <w:bCs/>
                <w:noProof/>
                <w:color w:val="4F81BD" w:themeColor="accent1"/>
                <w:sz w:val="18"/>
                <w:szCs w:val="18"/>
                <w:lang w:val="fr-FR" w:eastAsia="zh-CN"/>
              </w:rPr>
              <w:t xml:space="preserve">I.3-1 </w:t>
            </w:r>
            <w:r w:rsidRPr="001C695B">
              <w:rPr>
                <w:noProof/>
                <w:sz w:val="18"/>
                <w:szCs w:val="18"/>
                <w:lang w:val="fr-FR" w:eastAsia="zh-CN"/>
              </w:rPr>
              <w:t>Initiatives et rapports intersectoriels sur les nouvelles tendances dans le secteur des télécommunications/TIC et autres initiatives analogues (y compris Les Nouvelles de l'UIT)</w:t>
            </w:r>
          </w:p>
          <w:p w:rsidR="00741A31" w:rsidRPr="001C695B" w:rsidRDefault="00741A31" w:rsidP="00741A31">
            <w:pPr>
              <w:pBdr>
                <w:top w:val="single" w:sz="6" w:space="1" w:color="auto"/>
                <w:bottom w:val="single" w:sz="6" w:space="1" w:color="auto"/>
              </w:pBdr>
              <w:overflowPunct/>
              <w:autoSpaceDE/>
              <w:autoSpaceDN/>
              <w:adjustRightInd/>
              <w:spacing w:before="20" w:after="20"/>
              <w:textAlignment w:val="auto"/>
              <w:rPr>
                <w:b/>
                <w:bCs/>
                <w:noProof/>
                <w:color w:val="4F81BD" w:themeColor="accent1"/>
                <w:sz w:val="20"/>
                <w:lang w:val="fr-FR" w:eastAsia="zh-CN"/>
              </w:rPr>
            </w:pPr>
            <w:r w:rsidRPr="001C695B">
              <w:rPr>
                <w:b/>
                <w:bCs/>
                <w:noProof/>
                <w:color w:val="4F81BD" w:themeColor="accent1"/>
                <w:sz w:val="18"/>
                <w:szCs w:val="18"/>
                <w:lang w:val="fr-FR" w:eastAsia="zh-CN"/>
              </w:rPr>
              <w:t xml:space="preserve">I.4-1 </w:t>
            </w:r>
            <w:r w:rsidRPr="001C695B">
              <w:rPr>
                <w:rFonts w:eastAsia="Calibri" w:cs="Arial"/>
                <w:sz w:val="18"/>
                <w:szCs w:val="18"/>
                <w:lang w:val="fr-FR"/>
              </w:rPr>
              <w:t>Rapports et autres contributions aux processus interinstitutions des Nations Unies, multilatéraux et intergouvernementaux</w:t>
            </w:r>
          </w:p>
          <w:p w:rsidR="00741A31" w:rsidRPr="001C695B" w:rsidRDefault="00741A31" w:rsidP="00741A31">
            <w:pPr>
              <w:overflowPunct/>
              <w:autoSpaceDE/>
              <w:autoSpaceDN/>
              <w:adjustRightInd/>
              <w:spacing w:before="20" w:after="20"/>
              <w:textAlignment w:val="auto"/>
              <w:rPr>
                <w:rFonts w:eastAsia="Calibri" w:cs="Arial"/>
                <w:sz w:val="18"/>
                <w:szCs w:val="18"/>
                <w:lang w:val="fr-FR"/>
              </w:rPr>
            </w:pPr>
            <w:r w:rsidRPr="001C695B">
              <w:rPr>
                <w:b/>
                <w:bCs/>
                <w:noProof/>
                <w:color w:val="4F81BD" w:themeColor="accent1"/>
                <w:sz w:val="18"/>
                <w:szCs w:val="18"/>
                <w:lang w:val="fr-FR" w:eastAsia="zh-CN"/>
              </w:rPr>
              <w:t xml:space="preserve">I.5-1 </w:t>
            </w:r>
            <w:r w:rsidRPr="001C695B">
              <w:rPr>
                <w:rFonts w:eastAsia="Calibri" w:cs="Arial"/>
                <w:sz w:val="18"/>
                <w:szCs w:val="18"/>
                <w:lang w:val="fr-FR"/>
              </w:rPr>
              <w:t>Rapports, lignes directrices et récapitulatifs concernant l'accessibilité des télécommunications/TIC</w:t>
            </w:r>
          </w:p>
          <w:p w:rsidR="00741A31" w:rsidRPr="001C695B" w:rsidRDefault="00741A31" w:rsidP="00741A31">
            <w:pPr>
              <w:overflowPunct/>
              <w:autoSpaceDE/>
              <w:autoSpaceDN/>
              <w:adjustRightInd/>
              <w:spacing w:before="20" w:after="20"/>
              <w:textAlignment w:val="auto"/>
              <w:rPr>
                <w:b/>
                <w:bCs/>
                <w:noProof/>
                <w:color w:val="4F81BD" w:themeColor="accent1"/>
                <w:sz w:val="18"/>
                <w:szCs w:val="18"/>
                <w:lang w:val="fr-FR" w:eastAsia="zh-CN"/>
              </w:rPr>
            </w:pPr>
            <w:r w:rsidRPr="001C695B">
              <w:rPr>
                <w:b/>
                <w:bCs/>
                <w:noProof/>
                <w:color w:val="4F81BD" w:themeColor="accent1"/>
                <w:sz w:val="18"/>
                <w:szCs w:val="18"/>
                <w:lang w:val="fr-FR" w:eastAsia="zh-CN"/>
              </w:rPr>
              <w:t xml:space="preserve">I.5-2 </w:t>
            </w:r>
            <w:r w:rsidRPr="001C695B">
              <w:rPr>
                <w:rFonts w:eastAsia="Calibri" w:cs="Arial"/>
                <w:sz w:val="18"/>
                <w:szCs w:val="18"/>
                <w:lang w:val="fr-FR"/>
              </w:rPr>
              <w:t>Mobilisation de ressources et de compétences techniques, par exemple, en encourageant une participation accrue des personnes handicapées et des personnes ayant des besoins particuliers aux réunions internationales et régionales</w:t>
            </w:r>
          </w:p>
          <w:p w:rsidR="00741A31" w:rsidRPr="001C695B" w:rsidRDefault="00741A31" w:rsidP="00741A31">
            <w:pPr>
              <w:overflowPunct/>
              <w:autoSpaceDE/>
              <w:autoSpaceDN/>
              <w:adjustRightInd/>
              <w:spacing w:before="20" w:after="20"/>
              <w:textAlignment w:val="auto"/>
              <w:rPr>
                <w:rFonts w:eastAsia="Calibri" w:cs="Arial"/>
                <w:sz w:val="18"/>
                <w:szCs w:val="18"/>
                <w:lang w:val="fr-FR"/>
              </w:rPr>
            </w:pPr>
            <w:r w:rsidRPr="001C695B">
              <w:rPr>
                <w:b/>
                <w:bCs/>
                <w:noProof/>
                <w:color w:val="4F81BD" w:themeColor="accent1"/>
                <w:sz w:val="18"/>
                <w:szCs w:val="18"/>
                <w:lang w:val="fr-FR" w:eastAsia="zh-CN"/>
              </w:rPr>
              <w:t xml:space="preserve">I.5-3 </w:t>
            </w:r>
            <w:r w:rsidRPr="001C695B">
              <w:rPr>
                <w:rFonts w:eastAsia="Calibri" w:cs="Arial"/>
                <w:sz w:val="18"/>
                <w:szCs w:val="18"/>
                <w:lang w:val="fr-FR"/>
              </w:rPr>
              <w:t>Poursuite de l'amélioration et de la mise en oeuvre de la politique de l'UIT en matière d'accessibilité et des plans connexes</w:t>
            </w:r>
          </w:p>
          <w:p w:rsidR="00741A31" w:rsidRPr="001C695B" w:rsidRDefault="00741A31" w:rsidP="00741A31">
            <w:pPr>
              <w:pBdr>
                <w:bottom w:val="single" w:sz="6" w:space="1" w:color="auto"/>
              </w:pBdr>
              <w:overflowPunct/>
              <w:autoSpaceDE/>
              <w:autoSpaceDN/>
              <w:adjustRightInd/>
              <w:spacing w:before="20" w:after="20"/>
              <w:textAlignment w:val="auto"/>
              <w:rPr>
                <w:rFonts w:eastAsia="Calibri" w:cs="Arial"/>
                <w:sz w:val="18"/>
                <w:szCs w:val="18"/>
                <w:lang w:val="fr-FR"/>
              </w:rPr>
            </w:pPr>
            <w:r w:rsidRPr="001C695B">
              <w:rPr>
                <w:b/>
                <w:bCs/>
                <w:noProof/>
                <w:color w:val="4F81BD" w:themeColor="accent1"/>
                <w:sz w:val="18"/>
                <w:szCs w:val="18"/>
                <w:lang w:val="fr-FR" w:eastAsia="zh-CN"/>
              </w:rPr>
              <w:t xml:space="preserve">I.5-4 </w:t>
            </w:r>
            <w:r w:rsidRPr="001C695B">
              <w:rPr>
                <w:rFonts w:eastAsia="Calibri" w:cs="Arial"/>
                <w:sz w:val="18"/>
                <w:szCs w:val="18"/>
                <w:lang w:val="fr-FR"/>
              </w:rPr>
              <w:t>Campagnes de sensibilisation, tant au niveau des Nations Unies qu'aux niveaux régional et national</w:t>
            </w:r>
          </w:p>
          <w:p w:rsidR="00741A31" w:rsidRPr="001C695B" w:rsidRDefault="00741A31" w:rsidP="00741A31">
            <w:pPr>
              <w:spacing w:before="20" w:after="20"/>
              <w:rPr>
                <w:rFonts w:eastAsia="Calibri" w:cs="Arial"/>
                <w:sz w:val="18"/>
                <w:szCs w:val="18"/>
                <w:lang w:val="fr-FR"/>
              </w:rPr>
            </w:pPr>
            <w:r w:rsidRPr="001C695B">
              <w:rPr>
                <w:rFonts w:eastAsia="Calibri" w:cs="Arial"/>
                <w:b/>
                <w:bCs/>
                <w:color w:val="4F81BD" w:themeColor="accent1"/>
                <w:sz w:val="18"/>
                <w:szCs w:val="18"/>
                <w:lang w:val="fr-FR"/>
              </w:rPr>
              <w:t>PP</w:t>
            </w:r>
            <w:r w:rsidRPr="001C695B">
              <w:rPr>
                <w:rFonts w:eastAsia="Calibri" w:cs="Arial"/>
                <w:sz w:val="18"/>
                <w:szCs w:val="18"/>
                <w:lang w:val="fr-FR"/>
              </w:rPr>
              <w:t>: Décisions, résolutions, recommandations et autres résultats des travaux de la Conférence de plénipotentiaires*</w:t>
            </w:r>
          </w:p>
          <w:p w:rsidR="00741A31" w:rsidRPr="001C695B" w:rsidRDefault="00741A31" w:rsidP="00741A31">
            <w:pPr>
              <w:spacing w:before="20" w:after="20"/>
              <w:rPr>
                <w:b/>
                <w:bCs/>
                <w:sz w:val="18"/>
                <w:szCs w:val="18"/>
                <w:lang w:val="fr-FR"/>
              </w:rPr>
            </w:pPr>
            <w:r w:rsidRPr="001C695B">
              <w:rPr>
                <w:rFonts w:eastAsia="Calibri" w:cs="Arial"/>
                <w:b/>
                <w:bCs/>
                <w:color w:val="4F81BD" w:themeColor="accent1"/>
                <w:sz w:val="18"/>
                <w:szCs w:val="18"/>
                <w:lang w:val="fr-FR"/>
              </w:rPr>
              <w:t>Conseil/GTC</w:t>
            </w:r>
            <w:r w:rsidRPr="001C695B">
              <w:rPr>
                <w:rFonts w:eastAsia="Calibri" w:cs="Arial"/>
                <w:sz w:val="18"/>
                <w:szCs w:val="18"/>
                <w:lang w:val="fr-FR"/>
              </w:rPr>
              <w:t>: Décisions et résolutions du Conseil et résultats des travaux des groupes de travail du Conseil*</w:t>
            </w:r>
          </w:p>
        </w:tc>
        <w:tc>
          <w:tcPr>
            <w:tcW w:w="870" w:type="dxa"/>
            <w:vMerge w:val="restart"/>
          </w:tcPr>
          <w:p w:rsidR="00741A31" w:rsidRPr="001C695B" w:rsidRDefault="00741A31" w:rsidP="00741A31">
            <w:pPr>
              <w:overflowPunct/>
              <w:autoSpaceDE/>
              <w:autoSpaceDN/>
              <w:adjustRightInd/>
              <w:spacing w:before="20" w:after="80"/>
              <w:jc w:val="center"/>
              <w:textAlignment w:val="auto"/>
              <w:rPr>
                <w:rFonts w:eastAsia="Calibri" w:cs="Arial"/>
                <w:b/>
                <w:bCs/>
                <w:color w:val="4F81BD" w:themeColor="accent1"/>
                <w:sz w:val="18"/>
                <w:szCs w:val="18"/>
                <w:lang w:val="fr-FR"/>
              </w:rPr>
            </w:pPr>
            <w:r w:rsidRPr="001C695B">
              <w:rPr>
                <w:rFonts w:eastAsia="Calibri" w:cs="Arial"/>
                <w:b/>
                <w:bCs/>
                <w:color w:val="4F81BD" w:themeColor="accent1"/>
                <w:sz w:val="18"/>
                <w:szCs w:val="18"/>
                <w:lang w:val="fr-FR"/>
              </w:rPr>
              <w:t>% du total</w:t>
            </w:r>
          </w:p>
          <w:p w:rsidR="00741A31" w:rsidRPr="001C695B" w:rsidRDefault="00741A31" w:rsidP="00741A31">
            <w:pPr>
              <w:pBdr>
                <w:top w:val="single" w:sz="6" w:space="1" w:color="auto"/>
                <w:bottom w:val="single" w:sz="6" w:space="1" w:color="auto"/>
              </w:pBd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25,2%</w:t>
            </w:r>
            <w:r w:rsidRPr="001C695B">
              <w:rPr>
                <w:noProof/>
                <w:sz w:val="18"/>
                <w:szCs w:val="18"/>
                <w:lang w:val="fr-FR" w:eastAsia="zh-CN"/>
              </w:rPr>
              <w:br/>
            </w:r>
            <w:r w:rsidRPr="001C695B">
              <w:rPr>
                <w:noProof/>
                <w:sz w:val="18"/>
                <w:szCs w:val="18"/>
                <w:lang w:val="fr-FR" w:eastAsia="zh-CN"/>
              </w:rPr>
              <w:br/>
            </w:r>
            <w:r w:rsidRPr="001C695B">
              <w:rPr>
                <w:noProof/>
                <w:sz w:val="18"/>
                <w:szCs w:val="18"/>
                <w:lang w:val="fr-FR" w:eastAsia="zh-CN"/>
              </w:rPr>
              <w:br/>
            </w:r>
          </w:p>
          <w:p w:rsidR="00741A31" w:rsidRPr="001C695B" w:rsidRDefault="00741A31" w:rsidP="00741A31">
            <w:pP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23,4%</w:t>
            </w:r>
            <w:r w:rsidRPr="001C695B">
              <w:rPr>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1,5%</w:t>
            </w:r>
          </w:p>
          <w:p w:rsidR="00741A31" w:rsidRPr="001C695B" w:rsidRDefault="00741A31" w:rsidP="00741A31">
            <w:pP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25,9%</w:t>
            </w:r>
            <w:r w:rsidRPr="001C695B">
              <w:rPr>
                <w:noProof/>
                <w:sz w:val="18"/>
                <w:szCs w:val="18"/>
                <w:lang w:val="fr-FR" w:eastAsia="zh-CN"/>
              </w:rPr>
              <w:br/>
            </w:r>
            <w:r w:rsidRPr="001C695B">
              <w:rPr>
                <w:noProof/>
                <w:sz w:val="18"/>
                <w:szCs w:val="18"/>
                <w:lang w:val="fr-FR" w:eastAsia="zh-CN"/>
              </w:rPr>
              <w:br/>
            </w:r>
          </w:p>
          <w:p w:rsidR="00741A31" w:rsidRPr="001C695B" w:rsidRDefault="00741A31" w:rsidP="00741A31">
            <w:pPr>
              <w:pBdr>
                <w:top w:val="single" w:sz="6" w:space="1" w:color="auto"/>
                <w:bottom w:val="single" w:sz="6" w:space="1" w:color="auto"/>
              </w:pBd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12,9%</w:t>
            </w:r>
            <w:r w:rsidRPr="001C695B">
              <w:rPr>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3,9%</w:t>
            </w:r>
            <w:r w:rsidRPr="001C695B">
              <w:rPr>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0,7%</w:t>
            </w:r>
            <w:r w:rsidRPr="001C695B">
              <w:rPr>
                <w:noProof/>
                <w:sz w:val="18"/>
                <w:szCs w:val="18"/>
                <w:lang w:val="fr-FR" w:eastAsia="zh-CN"/>
              </w:rPr>
              <w:br/>
            </w:r>
            <w:r w:rsidRPr="001C695B">
              <w:rPr>
                <w:noProof/>
                <w:sz w:val="18"/>
                <w:szCs w:val="18"/>
                <w:lang w:val="fr-FR" w:eastAsia="zh-CN"/>
              </w:rPr>
              <w:br/>
            </w:r>
            <w:r w:rsidRPr="001C695B">
              <w:rPr>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rFonts w:eastAsia="Calibri" w:cs="Arial"/>
                <w:sz w:val="18"/>
                <w:szCs w:val="18"/>
                <w:lang w:val="fr-FR"/>
              </w:rPr>
            </w:pPr>
            <w:r w:rsidRPr="001C695B">
              <w:rPr>
                <w:noProof/>
                <w:sz w:val="18"/>
                <w:szCs w:val="18"/>
                <w:lang w:val="fr-FR" w:eastAsia="zh-CN"/>
              </w:rPr>
              <w:t>0</w:t>
            </w:r>
            <w:r w:rsidRPr="001C695B">
              <w:rPr>
                <w:rFonts w:eastAsia="Calibri" w:cs="Arial"/>
                <w:sz w:val="18"/>
                <w:szCs w:val="18"/>
                <w:lang w:val="fr-FR"/>
              </w:rPr>
              <w:t>,4%</w:t>
            </w:r>
            <w:r w:rsidRPr="001C695B">
              <w:rPr>
                <w:rFonts w:eastAsia="Calibri" w:cs="Arial"/>
                <w:sz w:val="18"/>
                <w:szCs w:val="18"/>
                <w:lang w:val="fr-FR"/>
              </w:rPr>
              <w:br/>
            </w:r>
          </w:p>
          <w:p w:rsidR="00741A31" w:rsidRPr="001C695B" w:rsidRDefault="00741A31" w:rsidP="00741A31">
            <w:pPr>
              <w:pBdr>
                <w:bottom w:val="single" w:sz="6" w:space="1" w:color="auto"/>
              </w:pBd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0,5%</w:t>
            </w:r>
            <w:r w:rsidRPr="001C695B">
              <w:rPr>
                <w:noProof/>
                <w:sz w:val="18"/>
                <w:szCs w:val="18"/>
                <w:lang w:val="fr-FR" w:eastAsia="zh-CN"/>
              </w:rPr>
              <w:br/>
            </w:r>
          </w:p>
          <w:p w:rsidR="00741A31" w:rsidRPr="001C695B" w:rsidRDefault="00741A31" w:rsidP="00741A31">
            <w:pP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3,4%</w:t>
            </w:r>
            <w:r w:rsidRPr="001C695B">
              <w:rPr>
                <w:noProof/>
                <w:sz w:val="18"/>
                <w:szCs w:val="18"/>
                <w:lang w:val="fr-FR" w:eastAsia="zh-CN"/>
              </w:rPr>
              <w:br/>
            </w:r>
          </w:p>
          <w:p w:rsidR="00741A31" w:rsidRPr="001C695B" w:rsidRDefault="00741A31" w:rsidP="00741A31">
            <w:pPr>
              <w:overflowPunct/>
              <w:autoSpaceDE/>
              <w:autoSpaceDN/>
              <w:adjustRightInd/>
              <w:spacing w:before="20" w:after="20"/>
              <w:jc w:val="right"/>
              <w:textAlignment w:val="auto"/>
              <w:rPr>
                <w:noProof/>
                <w:sz w:val="18"/>
                <w:szCs w:val="18"/>
                <w:lang w:val="fr-FR" w:eastAsia="zh-CN"/>
              </w:rPr>
            </w:pPr>
            <w:r w:rsidRPr="001C695B">
              <w:rPr>
                <w:noProof/>
                <w:sz w:val="18"/>
                <w:szCs w:val="18"/>
                <w:lang w:val="fr-FR" w:eastAsia="zh-CN"/>
              </w:rPr>
              <w:t>2,2%</w:t>
            </w:r>
          </w:p>
        </w:tc>
        <w:tc>
          <w:tcPr>
            <w:tcW w:w="981" w:type="dxa"/>
            <w:vMerge w:val="restart"/>
          </w:tcPr>
          <w:p w:rsidR="00741A31" w:rsidRPr="001C695B" w:rsidRDefault="00741A31" w:rsidP="00741A31">
            <w:pPr>
              <w:overflowPunct/>
              <w:autoSpaceDE/>
              <w:autoSpaceDN/>
              <w:adjustRightInd/>
              <w:spacing w:before="20" w:after="80"/>
              <w:jc w:val="center"/>
              <w:textAlignment w:val="auto"/>
              <w:rPr>
                <w:rFonts w:eastAsia="Calibri" w:cs="Arial"/>
                <w:b/>
                <w:bCs/>
                <w:color w:val="4F81BD" w:themeColor="accent1"/>
                <w:sz w:val="18"/>
                <w:szCs w:val="18"/>
                <w:lang w:val="fr-FR"/>
              </w:rPr>
            </w:pPr>
            <w:r w:rsidRPr="001C695B">
              <w:rPr>
                <w:rFonts w:eastAsia="Calibri" w:cs="Arial"/>
                <w:b/>
                <w:bCs/>
                <w:color w:val="4F81BD" w:themeColor="accent1"/>
                <w:sz w:val="18"/>
                <w:szCs w:val="18"/>
                <w:lang w:val="fr-FR"/>
              </w:rPr>
              <w:t>% de l'objectif</w:t>
            </w:r>
          </w:p>
          <w:p w:rsidR="00741A31" w:rsidRPr="001C695B" w:rsidRDefault="00741A31" w:rsidP="00741A31">
            <w:pPr>
              <w:pBdr>
                <w:top w:val="single" w:sz="6" w:space="1" w:color="auto"/>
                <w:bottom w:val="single" w:sz="6" w:space="1" w:color="auto"/>
              </w:pBd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94,4%</w:t>
            </w:r>
            <w:r w:rsidRPr="001C695B">
              <w:rPr>
                <w:b/>
                <w:bCs/>
                <w:noProof/>
                <w:sz w:val="18"/>
                <w:szCs w:val="18"/>
                <w:lang w:val="fr-FR" w:eastAsia="zh-CN"/>
              </w:rPr>
              <w:br/>
            </w:r>
            <w:r w:rsidRPr="001C695B">
              <w:rPr>
                <w:b/>
                <w:bCs/>
                <w:noProof/>
                <w:sz w:val="18"/>
                <w:szCs w:val="18"/>
                <w:lang w:val="fr-FR" w:eastAsia="zh-CN"/>
              </w:rPr>
              <w:br/>
            </w:r>
            <w:r w:rsidRPr="001C695B">
              <w:rPr>
                <w:b/>
                <w:bCs/>
                <w:noProof/>
                <w:sz w:val="18"/>
                <w:szCs w:val="18"/>
                <w:lang w:val="fr-FR" w:eastAsia="zh-CN"/>
              </w:rPr>
              <w:br/>
            </w:r>
          </w:p>
          <w:p w:rsidR="00741A31" w:rsidRPr="001C695B" w:rsidRDefault="00741A31" w:rsidP="00741A31">
            <w:pP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88,8%</w:t>
            </w:r>
            <w:r w:rsidRPr="001C695B">
              <w:rPr>
                <w:b/>
                <w:bCs/>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5,6%</w:t>
            </w:r>
          </w:p>
          <w:p w:rsidR="00741A31" w:rsidRPr="001C695B" w:rsidRDefault="00741A31" w:rsidP="00741A31">
            <w:pP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94,4%</w:t>
            </w:r>
            <w:r w:rsidRPr="001C695B">
              <w:rPr>
                <w:b/>
                <w:bCs/>
                <w:noProof/>
                <w:sz w:val="18"/>
                <w:szCs w:val="18"/>
                <w:lang w:val="fr-FR" w:eastAsia="zh-CN"/>
              </w:rPr>
              <w:br/>
            </w:r>
            <w:r w:rsidRPr="001C695B">
              <w:rPr>
                <w:b/>
                <w:bCs/>
                <w:noProof/>
                <w:sz w:val="18"/>
                <w:szCs w:val="18"/>
                <w:lang w:val="fr-FR" w:eastAsia="zh-CN"/>
              </w:rPr>
              <w:br/>
            </w:r>
          </w:p>
          <w:p w:rsidR="00741A31" w:rsidRPr="001C695B" w:rsidRDefault="00741A31" w:rsidP="00741A31">
            <w:pPr>
              <w:pBdr>
                <w:top w:val="single" w:sz="6" w:space="1" w:color="auto"/>
                <w:bottom w:val="single" w:sz="6" w:space="1" w:color="auto"/>
              </w:pBd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94,4%</w:t>
            </w:r>
            <w:r w:rsidRPr="001C695B">
              <w:rPr>
                <w:b/>
                <w:bCs/>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66,4%</w:t>
            </w:r>
            <w:r w:rsidRPr="001C695B">
              <w:rPr>
                <w:b/>
                <w:bCs/>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12,7%</w:t>
            </w:r>
            <w:r w:rsidRPr="001C695B">
              <w:rPr>
                <w:b/>
                <w:bCs/>
                <w:noProof/>
                <w:sz w:val="18"/>
                <w:szCs w:val="18"/>
                <w:lang w:val="fr-FR" w:eastAsia="zh-CN"/>
              </w:rPr>
              <w:br/>
            </w:r>
            <w:r w:rsidRPr="001C695B">
              <w:rPr>
                <w:b/>
                <w:bCs/>
                <w:noProof/>
                <w:sz w:val="18"/>
                <w:szCs w:val="18"/>
                <w:lang w:val="fr-FR" w:eastAsia="zh-CN"/>
              </w:rPr>
              <w:br/>
            </w:r>
            <w:r w:rsidRPr="001C695B">
              <w:rPr>
                <w:b/>
                <w:bCs/>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7,4%</w:t>
            </w:r>
            <w:r w:rsidRPr="001C695B">
              <w:rPr>
                <w:b/>
                <w:bCs/>
                <w:noProof/>
                <w:sz w:val="18"/>
                <w:szCs w:val="18"/>
                <w:lang w:val="fr-FR" w:eastAsia="zh-CN"/>
              </w:rPr>
              <w:br/>
            </w:r>
          </w:p>
          <w:p w:rsidR="00741A31" w:rsidRPr="001C695B" w:rsidRDefault="00741A31" w:rsidP="00741A31">
            <w:pPr>
              <w:pBdr>
                <w:bottom w:val="single" w:sz="6" w:space="1" w:color="auto"/>
              </w:pBd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8,0%</w:t>
            </w:r>
            <w:r w:rsidRPr="001C695B">
              <w:rPr>
                <w:b/>
                <w:bCs/>
                <w:noProof/>
                <w:sz w:val="18"/>
                <w:szCs w:val="18"/>
                <w:lang w:val="fr-FR" w:eastAsia="zh-CN"/>
              </w:rPr>
              <w:br/>
            </w:r>
          </w:p>
          <w:p w:rsidR="00741A31" w:rsidRPr="001C695B" w:rsidRDefault="00741A31" w:rsidP="00741A31">
            <w:pPr>
              <w:overflowPunct/>
              <w:autoSpaceDE/>
              <w:autoSpaceDN/>
              <w:adjustRightInd/>
              <w:spacing w:before="20" w:after="20"/>
              <w:jc w:val="right"/>
              <w:textAlignment w:val="auto"/>
              <w:rPr>
                <w:b/>
                <w:bCs/>
                <w:noProof/>
                <w:sz w:val="18"/>
                <w:szCs w:val="18"/>
                <w:lang w:val="fr-FR" w:eastAsia="zh-CN"/>
              </w:rPr>
            </w:pPr>
            <w:r w:rsidRPr="001C695B">
              <w:rPr>
                <w:b/>
                <w:bCs/>
                <w:noProof/>
                <w:sz w:val="18"/>
                <w:szCs w:val="18"/>
                <w:lang w:val="fr-FR" w:eastAsia="zh-CN"/>
              </w:rPr>
              <w:t>3,4%</w:t>
            </w:r>
            <w:r w:rsidRPr="001C695B">
              <w:rPr>
                <w:b/>
                <w:bCs/>
                <w:noProof/>
                <w:sz w:val="18"/>
                <w:szCs w:val="18"/>
                <w:lang w:val="fr-FR" w:eastAsia="zh-CN"/>
              </w:rPr>
              <w:br/>
            </w:r>
          </w:p>
          <w:p w:rsidR="00741A31" w:rsidRPr="001C695B" w:rsidRDefault="00741A31" w:rsidP="00741A31">
            <w:pPr>
              <w:overflowPunct/>
              <w:autoSpaceDE/>
              <w:autoSpaceDN/>
              <w:adjustRightInd/>
              <w:spacing w:before="20" w:after="20"/>
              <w:contextualSpacing/>
              <w:jc w:val="right"/>
              <w:textAlignment w:val="auto"/>
              <w:rPr>
                <w:noProof/>
                <w:sz w:val="18"/>
                <w:szCs w:val="18"/>
                <w:lang w:val="fr-FR" w:eastAsia="zh-CN"/>
              </w:rPr>
            </w:pPr>
            <w:r w:rsidRPr="001C695B">
              <w:rPr>
                <w:b/>
                <w:bCs/>
                <w:noProof/>
                <w:sz w:val="18"/>
                <w:szCs w:val="18"/>
                <w:lang w:val="fr-FR" w:eastAsia="zh-CN"/>
              </w:rPr>
              <w:t>2,2 %</w:t>
            </w:r>
          </w:p>
        </w:tc>
      </w:tr>
      <w:tr w:rsidR="00741A31" w:rsidRPr="001C695B" w:rsidTr="00741A31">
        <w:tc>
          <w:tcPr>
            <w:tcW w:w="7263" w:type="dxa"/>
            <w:gridSpan w:val="2"/>
          </w:tcPr>
          <w:p w:rsidR="00741A31" w:rsidRPr="001C695B" w:rsidRDefault="00741A31" w:rsidP="00741A31">
            <w:pPr>
              <w:spacing w:before="20" w:after="20"/>
              <w:rPr>
                <w:b/>
                <w:bCs/>
                <w:noProof/>
                <w:sz w:val="18"/>
                <w:szCs w:val="18"/>
                <w:lang w:val="fr-FR" w:eastAsia="zh-CN"/>
              </w:rPr>
            </w:pPr>
            <w:r w:rsidRPr="001C695B">
              <w:rPr>
                <w:b/>
                <w:bCs/>
                <w:noProof/>
                <w:sz w:val="18"/>
                <w:szCs w:val="18"/>
                <w:lang w:val="fr-FR" w:eastAsia="zh-CN"/>
              </w:rPr>
              <w:t>Légende: Objective = Objectif</w:t>
            </w:r>
          </w:p>
        </w:tc>
        <w:tc>
          <w:tcPr>
            <w:tcW w:w="5552" w:type="dxa"/>
            <w:vMerge/>
          </w:tcPr>
          <w:p w:rsidR="00741A31" w:rsidRPr="001C695B" w:rsidRDefault="00741A31" w:rsidP="00741A31">
            <w:pPr>
              <w:spacing w:after="120"/>
              <w:rPr>
                <w:noProof/>
                <w:color w:val="4F81BD" w:themeColor="accent1"/>
                <w:szCs w:val="24"/>
                <w:lang w:val="fr-FR" w:eastAsia="zh-CN"/>
              </w:rPr>
            </w:pPr>
          </w:p>
        </w:tc>
        <w:tc>
          <w:tcPr>
            <w:tcW w:w="870" w:type="dxa"/>
            <w:vMerge/>
          </w:tcPr>
          <w:p w:rsidR="00741A31" w:rsidRPr="001C695B" w:rsidRDefault="00741A31" w:rsidP="00741A31">
            <w:pPr>
              <w:overflowPunct/>
              <w:autoSpaceDE/>
              <w:autoSpaceDN/>
              <w:adjustRightInd/>
              <w:spacing w:before="20" w:after="80"/>
              <w:jc w:val="center"/>
              <w:textAlignment w:val="auto"/>
              <w:rPr>
                <w:rFonts w:eastAsia="Calibri" w:cs="Arial"/>
                <w:b/>
                <w:bCs/>
                <w:color w:val="4F81BD" w:themeColor="accent1"/>
                <w:sz w:val="18"/>
                <w:szCs w:val="18"/>
                <w:lang w:val="fr-FR"/>
              </w:rPr>
            </w:pPr>
          </w:p>
        </w:tc>
        <w:tc>
          <w:tcPr>
            <w:tcW w:w="981" w:type="dxa"/>
            <w:vMerge/>
          </w:tcPr>
          <w:p w:rsidR="00741A31" w:rsidRPr="001C695B" w:rsidRDefault="00741A31" w:rsidP="00741A31">
            <w:pPr>
              <w:overflowPunct/>
              <w:autoSpaceDE/>
              <w:autoSpaceDN/>
              <w:adjustRightInd/>
              <w:spacing w:before="20" w:after="80"/>
              <w:jc w:val="center"/>
              <w:textAlignment w:val="auto"/>
              <w:rPr>
                <w:rFonts w:eastAsia="Calibri" w:cs="Arial"/>
                <w:b/>
                <w:bCs/>
                <w:color w:val="4F81BD" w:themeColor="accent1"/>
                <w:sz w:val="18"/>
                <w:szCs w:val="18"/>
                <w:lang w:val="fr-FR"/>
              </w:rPr>
            </w:pPr>
          </w:p>
        </w:tc>
      </w:tr>
      <w:tr w:rsidR="00741A31" w:rsidRPr="001C695B" w:rsidTr="00741A31">
        <w:tc>
          <w:tcPr>
            <w:tcW w:w="6413" w:type="dxa"/>
          </w:tcPr>
          <w:p w:rsidR="00741A31" w:rsidRPr="001C695B" w:rsidRDefault="00741A31" w:rsidP="00741A31">
            <w:pPr>
              <w:spacing w:before="20" w:after="20"/>
              <w:rPr>
                <w:noProof/>
                <w:color w:val="4F81BD" w:themeColor="accent1"/>
                <w:sz w:val="18"/>
                <w:szCs w:val="18"/>
                <w:lang w:val="fr-FR" w:eastAsia="zh-CN"/>
              </w:rPr>
            </w:pPr>
          </w:p>
          <w:p w:rsidR="00741A31" w:rsidRPr="00542045" w:rsidRDefault="00741A31" w:rsidP="00741A31">
            <w:pPr>
              <w:spacing w:before="20" w:after="20"/>
              <w:rPr>
                <w:noProof/>
                <w:sz w:val="18"/>
                <w:szCs w:val="18"/>
                <w:lang w:val="fr-FR" w:eastAsia="zh-CN"/>
              </w:rPr>
            </w:pPr>
            <w:r w:rsidRPr="001C695B">
              <w:rPr>
                <w:noProof/>
                <w:color w:val="4F81BD" w:themeColor="accent1"/>
                <w:sz w:val="18"/>
                <w:szCs w:val="18"/>
                <w:lang w:val="fr-FR" w:eastAsia="zh-CN"/>
              </w:rPr>
              <w:t xml:space="preserve">I.1 </w:t>
            </w:r>
            <w:r w:rsidRPr="00542045">
              <w:rPr>
                <w:noProof/>
                <w:sz w:val="18"/>
                <w:szCs w:val="18"/>
                <w:lang w:val="fr-FR" w:eastAsia="zh-CN"/>
              </w:rPr>
              <w:t>Renforcer le dialogue international entre les parties prenantes</w:t>
            </w:r>
          </w:p>
          <w:p w:rsidR="00741A31" w:rsidRPr="00542045" w:rsidRDefault="00741A31" w:rsidP="00741A31">
            <w:pPr>
              <w:spacing w:before="20" w:after="20"/>
              <w:rPr>
                <w:noProof/>
                <w:sz w:val="18"/>
                <w:szCs w:val="18"/>
                <w:lang w:val="fr-FR" w:eastAsia="zh-CN"/>
              </w:rPr>
            </w:pPr>
            <w:r w:rsidRPr="00542045">
              <w:rPr>
                <w:noProof/>
                <w:color w:val="4F81BD" w:themeColor="accent1"/>
                <w:sz w:val="18"/>
                <w:szCs w:val="18"/>
                <w:lang w:val="fr-FR" w:eastAsia="zh-CN"/>
              </w:rPr>
              <w:t xml:space="preserve">I.2 </w:t>
            </w:r>
            <w:r w:rsidRPr="00542045">
              <w:rPr>
                <w:noProof/>
                <w:sz w:val="18"/>
                <w:szCs w:val="18"/>
                <w:lang w:val="fr-FR" w:eastAsia="zh-CN"/>
              </w:rPr>
              <w:t>Renforcer les partenariats et la coopération dans l'environnement des télécommunications/TIC</w:t>
            </w:r>
          </w:p>
          <w:p w:rsidR="00741A31" w:rsidRPr="00542045" w:rsidRDefault="00741A31" w:rsidP="00741A31">
            <w:pPr>
              <w:spacing w:before="20" w:after="20"/>
              <w:rPr>
                <w:noProof/>
                <w:sz w:val="18"/>
                <w:szCs w:val="18"/>
                <w:lang w:val="fr-FR" w:eastAsia="zh-CN"/>
              </w:rPr>
            </w:pPr>
            <w:r w:rsidRPr="00542045">
              <w:rPr>
                <w:noProof/>
                <w:color w:val="4F81BD" w:themeColor="accent1"/>
                <w:sz w:val="18"/>
                <w:szCs w:val="18"/>
                <w:lang w:val="fr-FR" w:eastAsia="zh-CN"/>
              </w:rPr>
              <w:t xml:space="preserve">I.3 </w:t>
            </w:r>
            <w:r w:rsidRPr="00542045">
              <w:rPr>
                <w:noProof/>
                <w:sz w:val="18"/>
                <w:szCs w:val="18"/>
                <w:lang w:val="fr-FR" w:eastAsia="zh-CN"/>
              </w:rPr>
              <w:t>Améliorer l'identification et l'analyse des nouvelles tendances dans l'environnement des télécommunications/TIC</w:t>
            </w:r>
          </w:p>
          <w:p w:rsidR="00741A31" w:rsidRPr="00542045" w:rsidRDefault="00741A31" w:rsidP="00741A31">
            <w:pPr>
              <w:spacing w:before="20" w:after="20"/>
              <w:rPr>
                <w:noProof/>
                <w:sz w:val="18"/>
                <w:szCs w:val="18"/>
                <w:lang w:val="fr-FR" w:eastAsia="zh-CN"/>
              </w:rPr>
            </w:pPr>
            <w:r w:rsidRPr="00542045">
              <w:rPr>
                <w:noProof/>
                <w:color w:val="4F81BD" w:themeColor="accent1"/>
                <w:sz w:val="18"/>
                <w:szCs w:val="18"/>
                <w:lang w:val="fr-FR" w:eastAsia="zh-CN"/>
              </w:rPr>
              <w:t xml:space="preserve">I.4 </w:t>
            </w:r>
            <w:r w:rsidRPr="00542045">
              <w:rPr>
                <w:noProof/>
                <w:sz w:val="18"/>
                <w:szCs w:val="18"/>
                <w:lang w:val="fr-FR" w:eastAsia="zh-CN"/>
              </w:rPr>
              <w:t>Promouvoir/mieux faire reconnaître (l'importance des) les télécommunications/TIC en tant que catalyseur essentiel du développement social, économique etécologiquement durable</w:t>
            </w:r>
          </w:p>
          <w:p w:rsidR="00741A31" w:rsidRPr="001C695B" w:rsidRDefault="00741A31" w:rsidP="00741A31">
            <w:pPr>
              <w:spacing w:before="20" w:after="20"/>
              <w:rPr>
                <w:b/>
                <w:bCs/>
                <w:noProof/>
                <w:sz w:val="18"/>
                <w:szCs w:val="18"/>
                <w:lang w:val="fr-FR" w:eastAsia="zh-CN"/>
              </w:rPr>
            </w:pPr>
            <w:r w:rsidRPr="00542045">
              <w:rPr>
                <w:noProof/>
                <w:color w:val="4F81BD" w:themeColor="accent1"/>
                <w:sz w:val="18"/>
                <w:szCs w:val="18"/>
                <w:lang w:val="fr-FR" w:eastAsia="zh-CN"/>
              </w:rPr>
              <w:t xml:space="preserve">I.5 </w:t>
            </w:r>
            <w:r w:rsidRPr="00542045">
              <w:rPr>
                <w:noProof/>
                <w:sz w:val="18"/>
                <w:szCs w:val="18"/>
                <w:lang w:val="fr-FR" w:eastAsia="zh-CN"/>
              </w:rPr>
              <w:t>Améliorer l'accès aux télécommunications/TIC pour les personnes handicapées et pour les personnes ayant des besoins particuliers</w:t>
            </w:r>
          </w:p>
        </w:tc>
        <w:tc>
          <w:tcPr>
            <w:tcW w:w="850" w:type="dxa"/>
          </w:tcPr>
          <w:p w:rsidR="00741A31" w:rsidRPr="001C695B" w:rsidRDefault="00741A31" w:rsidP="00741A31">
            <w:pPr>
              <w:spacing w:before="20" w:after="20"/>
              <w:jc w:val="right"/>
              <w:rPr>
                <w:noProof/>
                <w:color w:val="4F81BD" w:themeColor="accent1"/>
                <w:sz w:val="18"/>
                <w:szCs w:val="18"/>
                <w:lang w:val="fr-FR" w:eastAsia="zh-CN"/>
              </w:rPr>
            </w:pPr>
          </w:p>
          <w:p w:rsidR="00741A31" w:rsidRPr="001C695B" w:rsidRDefault="00741A31" w:rsidP="00741A31">
            <w:pPr>
              <w:spacing w:before="20" w:after="20"/>
              <w:jc w:val="right"/>
              <w:rPr>
                <w:b/>
                <w:bCs/>
                <w:noProof/>
                <w:color w:val="000000" w:themeColor="text1"/>
                <w:sz w:val="18"/>
                <w:szCs w:val="18"/>
                <w:lang w:val="fr-FR" w:eastAsia="zh-CN"/>
              </w:rPr>
            </w:pPr>
            <w:r w:rsidRPr="001C695B">
              <w:rPr>
                <w:b/>
                <w:bCs/>
                <w:noProof/>
                <w:color w:val="000000" w:themeColor="text1"/>
                <w:sz w:val="18"/>
                <w:szCs w:val="18"/>
                <w:lang w:val="fr-FR" w:eastAsia="zh-CN"/>
              </w:rPr>
              <w:t>26,7%</w:t>
            </w:r>
          </w:p>
          <w:p w:rsidR="00741A31" w:rsidRPr="001C695B" w:rsidRDefault="00741A31" w:rsidP="00741A31">
            <w:pPr>
              <w:spacing w:before="20" w:after="20"/>
              <w:jc w:val="right"/>
              <w:rPr>
                <w:b/>
                <w:bCs/>
                <w:noProof/>
                <w:color w:val="000000" w:themeColor="text1"/>
                <w:sz w:val="18"/>
                <w:szCs w:val="18"/>
                <w:lang w:val="fr-FR" w:eastAsia="zh-CN"/>
              </w:rPr>
            </w:pPr>
            <w:r w:rsidRPr="001C695B">
              <w:rPr>
                <w:b/>
                <w:bCs/>
                <w:noProof/>
                <w:color w:val="000000" w:themeColor="text1"/>
                <w:sz w:val="18"/>
                <w:szCs w:val="18"/>
                <w:lang w:val="fr-FR" w:eastAsia="zh-CN"/>
              </w:rPr>
              <w:t>26,3%</w:t>
            </w:r>
            <w:r w:rsidRPr="001C695B">
              <w:rPr>
                <w:b/>
                <w:bCs/>
                <w:noProof/>
                <w:color w:val="000000" w:themeColor="text1"/>
                <w:sz w:val="18"/>
                <w:szCs w:val="18"/>
                <w:lang w:val="fr-FR" w:eastAsia="zh-CN"/>
              </w:rPr>
              <w:br/>
            </w:r>
          </w:p>
          <w:p w:rsidR="00741A31" w:rsidRPr="001C695B" w:rsidRDefault="00741A31" w:rsidP="00741A31">
            <w:pPr>
              <w:spacing w:before="20" w:after="20"/>
              <w:jc w:val="right"/>
              <w:rPr>
                <w:b/>
                <w:bCs/>
                <w:noProof/>
                <w:color w:val="000000" w:themeColor="text1"/>
                <w:sz w:val="18"/>
                <w:szCs w:val="18"/>
                <w:lang w:val="fr-FR" w:eastAsia="zh-CN"/>
              </w:rPr>
            </w:pPr>
            <w:r w:rsidRPr="001C695B">
              <w:rPr>
                <w:b/>
                <w:bCs/>
                <w:noProof/>
                <w:color w:val="000000" w:themeColor="text1"/>
                <w:sz w:val="18"/>
                <w:szCs w:val="18"/>
                <w:lang w:val="fr-FR" w:eastAsia="zh-CN"/>
              </w:rPr>
              <w:t>27,5%</w:t>
            </w:r>
            <w:r w:rsidRPr="001C695B">
              <w:rPr>
                <w:b/>
                <w:bCs/>
                <w:noProof/>
                <w:color w:val="000000" w:themeColor="text1"/>
                <w:sz w:val="18"/>
                <w:szCs w:val="18"/>
                <w:lang w:val="fr-FR" w:eastAsia="zh-CN"/>
              </w:rPr>
              <w:br/>
            </w:r>
          </w:p>
          <w:p w:rsidR="00741A31" w:rsidRPr="001C695B" w:rsidRDefault="00741A31" w:rsidP="00741A31">
            <w:pPr>
              <w:spacing w:before="20" w:after="20"/>
              <w:jc w:val="right"/>
              <w:rPr>
                <w:b/>
                <w:bCs/>
                <w:noProof/>
                <w:color w:val="000000" w:themeColor="text1"/>
                <w:sz w:val="18"/>
                <w:szCs w:val="18"/>
                <w:lang w:val="fr-FR" w:eastAsia="zh-CN"/>
              </w:rPr>
            </w:pPr>
            <w:r w:rsidRPr="001C695B">
              <w:rPr>
                <w:b/>
                <w:bCs/>
                <w:noProof/>
                <w:color w:val="000000" w:themeColor="text1"/>
                <w:sz w:val="18"/>
                <w:szCs w:val="18"/>
                <w:lang w:val="fr-FR" w:eastAsia="zh-CN"/>
              </w:rPr>
              <w:br/>
            </w:r>
            <w:r w:rsidRPr="001C695B">
              <w:rPr>
                <w:b/>
                <w:bCs/>
                <w:noProof/>
                <w:color w:val="000000" w:themeColor="text1"/>
                <w:sz w:val="18"/>
                <w:szCs w:val="18"/>
                <w:lang w:val="fr-FR" w:eastAsia="zh-CN"/>
              </w:rPr>
              <w:br/>
              <w:t>13,7%</w:t>
            </w:r>
          </w:p>
          <w:p w:rsidR="00741A31" w:rsidRPr="001C695B" w:rsidRDefault="00741A31" w:rsidP="00741A31">
            <w:pPr>
              <w:spacing w:before="20" w:after="20"/>
              <w:jc w:val="right"/>
              <w:rPr>
                <w:b/>
                <w:bCs/>
                <w:noProof/>
                <w:sz w:val="18"/>
                <w:szCs w:val="18"/>
                <w:lang w:val="fr-FR" w:eastAsia="zh-CN"/>
              </w:rPr>
            </w:pPr>
            <w:r w:rsidRPr="001C695B">
              <w:rPr>
                <w:b/>
                <w:bCs/>
                <w:noProof/>
                <w:color w:val="000000" w:themeColor="text1"/>
                <w:sz w:val="18"/>
                <w:szCs w:val="18"/>
                <w:lang w:val="fr-FR" w:eastAsia="zh-CN"/>
              </w:rPr>
              <w:t>5,8%</w:t>
            </w:r>
          </w:p>
        </w:tc>
        <w:tc>
          <w:tcPr>
            <w:tcW w:w="5552" w:type="dxa"/>
            <w:vMerge/>
          </w:tcPr>
          <w:p w:rsidR="00741A31" w:rsidRPr="001C695B" w:rsidRDefault="00741A31" w:rsidP="00741A31">
            <w:pPr>
              <w:spacing w:before="20" w:after="20"/>
              <w:rPr>
                <w:noProof/>
                <w:sz w:val="18"/>
                <w:szCs w:val="18"/>
                <w:lang w:val="fr-FR" w:eastAsia="zh-CN"/>
              </w:rPr>
            </w:pPr>
          </w:p>
        </w:tc>
        <w:tc>
          <w:tcPr>
            <w:tcW w:w="870" w:type="dxa"/>
            <w:vMerge/>
          </w:tcPr>
          <w:p w:rsidR="00741A31" w:rsidRPr="001C695B" w:rsidRDefault="00741A31" w:rsidP="00741A31">
            <w:pPr>
              <w:spacing w:before="20" w:after="20"/>
              <w:rPr>
                <w:noProof/>
                <w:sz w:val="18"/>
                <w:szCs w:val="18"/>
                <w:lang w:val="fr-FR" w:eastAsia="zh-CN"/>
              </w:rPr>
            </w:pPr>
          </w:p>
        </w:tc>
        <w:tc>
          <w:tcPr>
            <w:tcW w:w="981" w:type="dxa"/>
            <w:vMerge/>
          </w:tcPr>
          <w:p w:rsidR="00741A31" w:rsidRPr="001C695B" w:rsidRDefault="00741A31" w:rsidP="00741A31">
            <w:pPr>
              <w:spacing w:before="20" w:after="20"/>
              <w:rPr>
                <w:noProof/>
                <w:sz w:val="18"/>
                <w:szCs w:val="18"/>
                <w:lang w:val="fr-FR" w:eastAsia="zh-CN"/>
              </w:rPr>
            </w:pPr>
          </w:p>
        </w:tc>
      </w:tr>
    </w:tbl>
    <w:p w:rsidR="00741A31" w:rsidRPr="001C695B" w:rsidRDefault="00741A31" w:rsidP="00741A31">
      <w:pPr>
        <w:spacing w:before="20" w:after="20"/>
        <w:jc w:val="right"/>
        <w:rPr>
          <w:lang w:val="fr-FR"/>
        </w:rPr>
      </w:pPr>
      <w:r w:rsidRPr="001C695B">
        <w:rPr>
          <w:sz w:val="20"/>
          <w:lang w:val="fr-FR"/>
        </w:rPr>
        <w:t>* Le coût de ces produits est imputé à tous les objectifs de l'Union.</w:t>
      </w:r>
    </w:p>
    <w:p w:rsidR="00741A31" w:rsidRPr="001C695B" w:rsidRDefault="00741A31" w:rsidP="00741A31">
      <w:pPr>
        <w:pStyle w:val="Heading1"/>
        <w:spacing w:before="20" w:after="20"/>
        <w:rPr>
          <w:lang w:val="fr-FR"/>
        </w:rPr>
      </w:pPr>
      <w:r w:rsidRPr="001C695B">
        <w:rPr>
          <w:lang w:val="fr-FR"/>
        </w:rPr>
        <w:br w:type="page"/>
      </w:r>
    </w:p>
    <w:p w:rsidR="00741A31" w:rsidRPr="001C695B" w:rsidRDefault="00741A31" w:rsidP="00741A31">
      <w:pPr>
        <w:pStyle w:val="Heading1"/>
        <w:spacing w:before="20" w:after="20"/>
        <w:rPr>
          <w:lang w:val="fr-FR"/>
        </w:rPr>
      </w:pPr>
      <w:r w:rsidRPr="001C695B">
        <w:rPr>
          <w:lang w:val="fr-FR"/>
        </w:rPr>
        <w:lastRenderedPageBreak/>
        <w:t>4</w:t>
      </w:r>
      <w:r w:rsidRPr="001C695B">
        <w:rPr>
          <w:lang w:val="fr-FR"/>
        </w:rPr>
        <w:tab/>
        <w:t>Analyse des risques</w:t>
      </w:r>
    </w:p>
    <w:p w:rsidR="00741A31" w:rsidRPr="001C695B" w:rsidRDefault="00741A31" w:rsidP="00741A31">
      <w:pPr>
        <w:spacing w:after="120"/>
        <w:rPr>
          <w:lang w:val="fr-FR"/>
        </w:rPr>
      </w:pPr>
      <w:r w:rsidRPr="001C695B">
        <w:rPr>
          <w:lang w:val="fr-FR"/>
        </w:rPr>
        <w:t>Dans l'optique du passage de la stratégie à la mise en oeuvre, les risques opérationnels de premier niveau présentés dans le tableau ci-après ont été identifiés, analysés et évalués par rapport aux risques présentés dans le plan opérationnel précédent. Les Bureaux et le Secrétariat général géreront l'ensemble des risques associés aux résultats correspondants.</w:t>
      </w:r>
    </w:p>
    <w:tbl>
      <w:tblPr>
        <w:tblStyle w:val="GridTable4-Accent11"/>
        <w:tblW w:w="14170" w:type="dxa"/>
        <w:tblLayout w:type="fixed"/>
        <w:tblLook w:val="06A0" w:firstRow="1" w:lastRow="0" w:firstColumn="1" w:lastColumn="0" w:noHBand="1" w:noVBand="1"/>
      </w:tblPr>
      <w:tblGrid>
        <w:gridCol w:w="1656"/>
        <w:gridCol w:w="4836"/>
        <w:gridCol w:w="1158"/>
        <w:gridCol w:w="1276"/>
        <w:gridCol w:w="5244"/>
      </w:tblGrid>
      <w:tr w:rsidR="00B01C2F" w:rsidRPr="001C695B" w:rsidTr="0093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vAlign w:val="center"/>
          </w:tcPr>
          <w:p w:rsidR="00B01C2F" w:rsidRPr="001C695B" w:rsidRDefault="00B01C2F" w:rsidP="00931B29">
            <w:pPr>
              <w:pStyle w:val="Tablehead"/>
              <w:spacing w:before="20" w:after="20"/>
              <w:rPr>
                <w:b/>
                <w:bCs w:val="0"/>
                <w:sz w:val="20"/>
                <w:szCs w:val="20"/>
                <w:lang w:val="fr-FR"/>
              </w:rPr>
            </w:pPr>
            <w:r w:rsidRPr="001C695B">
              <w:rPr>
                <w:b/>
                <w:bCs w:val="0"/>
                <w:sz w:val="20"/>
                <w:szCs w:val="20"/>
                <w:lang w:val="fr-FR"/>
              </w:rPr>
              <w:t>Perspective</w:t>
            </w:r>
          </w:p>
        </w:tc>
        <w:tc>
          <w:tcPr>
            <w:tcW w:w="4836" w:type="dxa"/>
            <w:vAlign w:val="center"/>
          </w:tcPr>
          <w:p w:rsidR="00B01C2F" w:rsidRPr="001C695B" w:rsidRDefault="00B01C2F" w:rsidP="00931B29">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lang w:val="fr-FR"/>
              </w:rPr>
            </w:pPr>
            <w:r w:rsidRPr="001C695B">
              <w:rPr>
                <w:b/>
                <w:bCs w:val="0"/>
                <w:sz w:val="20"/>
                <w:szCs w:val="20"/>
                <w:lang w:val="fr-FR"/>
              </w:rPr>
              <w:t>Description des risques</w:t>
            </w:r>
          </w:p>
        </w:tc>
        <w:tc>
          <w:tcPr>
            <w:tcW w:w="1158" w:type="dxa"/>
            <w:vAlign w:val="center"/>
          </w:tcPr>
          <w:p w:rsidR="00B01C2F" w:rsidRPr="001C695B" w:rsidRDefault="00B01C2F" w:rsidP="00931B29">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lang w:val="fr-FR"/>
              </w:rPr>
            </w:pPr>
            <w:r w:rsidRPr="001C695B">
              <w:rPr>
                <w:b/>
                <w:bCs w:val="0"/>
                <w:sz w:val="20"/>
                <w:szCs w:val="20"/>
                <w:lang w:val="fr-FR"/>
              </w:rPr>
              <w:t>Probabilité</w:t>
            </w:r>
          </w:p>
        </w:tc>
        <w:tc>
          <w:tcPr>
            <w:tcW w:w="1276" w:type="dxa"/>
            <w:vAlign w:val="center"/>
          </w:tcPr>
          <w:p w:rsidR="00B01C2F" w:rsidRPr="001C695B" w:rsidRDefault="00B01C2F" w:rsidP="00931B29">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lang w:val="fr-FR"/>
              </w:rPr>
            </w:pPr>
            <w:r w:rsidRPr="001C695B">
              <w:rPr>
                <w:b/>
                <w:bCs w:val="0"/>
                <w:sz w:val="20"/>
                <w:szCs w:val="20"/>
                <w:lang w:val="fr-FR"/>
              </w:rPr>
              <w:t>Niveau d'incidence</w:t>
            </w:r>
          </w:p>
        </w:tc>
        <w:tc>
          <w:tcPr>
            <w:tcW w:w="5244" w:type="dxa"/>
            <w:vAlign w:val="center"/>
          </w:tcPr>
          <w:p w:rsidR="00B01C2F" w:rsidRPr="001C695B" w:rsidRDefault="00B01C2F" w:rsidP="00931B29">
            <w:pPr>
              <w:pStyle w:val="Tablehead"/>
              <w:spacing w:before="20" w:after="20"/>
              <w:cnfStyle w:val="100000000000" w:firstRow="1" w:lastRow="0" w:firstColumn="0" w:lastColumn="0" w:oddVBand="0" w:evenVBand="0" w:oddHBand="0" w:evenHBand="0" w:firstRowFirstColumn="0" w:firstRowLastColumn="0" w:lastRowFirstColumn="0" w:lastRowLastColumn="0"/>
              <w:rPr>
                <w:sz w:val="20"/>
                <w:szCs w:val="20"/>
                <w:lang w:val="fr-FR"/>
              </w:rPr>
            </w:pPr>
            <w:r w:rsidRPr="001C695B">
              <w:rPr>
                <w:b/>
                <w:bCs w:val="0"/>
                <w:sz w:val="20"/>
                <w:szCs w:val="20"/>
                <w:lang w:val="fr-FR"/>
              </w:rPr>
              <w:t>Mesures d'atténuation</w:t>
            </w: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vMerge w:val="restart"/>
          </w:tcPr>
          <w:p w:rsidR="00B01C2F" w:rsidRPr="001C695B" w:rsidRDefault="00B01C2F" w:rsidP="00931B29">
            <w:pPr>
              <w:pStyle w:val="Tabletext"/>
              <w:spacing w:before="20" w:after="20"/>
              <w:rPr>
                <w:sz w:val="20"/>
                <w:lang w:val="fr-FR"/>
              </w:rPr>
            </w:pPr>
            <w:r w:rsidRPr="001C695B">
              <w:rPr>
                <w:sz w:val="20"/>
                <w:szCs w:val="20"/>
                <w:lang w:val="fr-FR"/>
              </w:rPr>
              <w:t>Risques organisationnels</w:t>
            </w:r>
          </w:p>
        </w:tc>
        <w:tc>
          <w:tcPr>
            <w:tcW w:w="4836" w:type="dxa"/>
          </w:tcPr>
          <w:p w:rsidR="00B01C2F" w:rsidRPr="001C695B" w:rsidRDefault="00B01C2F" w:rsidP="00931B29">
            <w:pPr>
              <w:pStyle w:val="Tabletext"/>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 xml:space="preserve">Risque concernant la sûreté et la sécurité du personnel de l'UIT ainsi que des locaux et des biens de l'organisation dans le monde entier </w:t>
            </w:r>
          </w:p>
        </w:tc>
        <w:tc>
          <w:tcPr>
            <w:tcW w:w="1158" w:type="dxa"/>
          </w:tcPr>
          <w:p w:rsidR="00B01C2F" w:rsidRPr="001C695B" w:rsidRDefault="00B01C2F" w:rsidP="00931B29">
            <w:pPr>
              <w:pStyle w:val="Tabletext"/>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Faible</w:t>
            </w:r>
          </w:p>
        </w:tc>
        <w:tc>
          <w:tcPr>
            <w:tcW w:w="1276" w:type="dxa"/>
          </w:tcPr>
          <w:p w:rsidR="00B01C2F" w:rsidRPr="001C695B" w:rsidRDefault="00B01C2F" w:rsidP="00931B29">
            <w:pPr>
              <w:pStyle w:val="Tabletext"/>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Elevé</w:t>
            </w:r>
          </w:p>
        </w:tc>
        <w:tc>
          <w:tcPr>
            <w:tcW w:w="5244" w:type="dxa"/>
          </w:tcPr>
          <w:p w:rsidR="00B01C2F" w:rsidRPr="001C695B" w:rsidRDefault="00B01C2F" w:rsidP="00931B29">
            <w:pPr>
              <w:pStyle w:val="Tabletext"/>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 xml:space="preserve">Veiller à ce que l'objectif du système de gestion de la sécurité des Nations Unies soit atteint </w:t>
            </w:r>
          </w:p>
          <w:p w:rsidR="00B01C2F" w:rsidRPr="001C695B" w:rsidRDefault="00B01C2F" w:rsidP="00931B29">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rFonts w:eastAsia="Calibri" w:cs="Arial"/>
                <w:sz w:val="20"/>
                <w:lang w:val="fr-FR"/>
              </w:rPr>
              <w:t>–</w:t>
            </w:r>
            <w:r w:rsidRPr="001C695B">
              <w:rPr>
                <w:rFonts w:eastAsia="Calibri" w:cs="Arial"/>
                <w:sz w:val="20"/>
                <w:szCs w:val="20"/>
                <w:lang w:val="fr-FR"/>
              </w:rPr>
              <w:tab/>
            </w:r>
            <w:r w:rsidRPr="001C695B">
              <w:rPr>
                <w:sz w:val="20"/>
                <w:szCs w:val="20"/>
                <w:lang w:val="fr-FR"/>
              </w:rPr>
              <w:t>Amélioration du dispositif de sécurité physique au siège</w:t>
            </w:r>
          </w:p>
          <w:p w:rsidR="00B01C2F" w:rsidRPr="001C695B" w:rsidRDefault="00B01C2F" w:rsidP="00931B29">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rFonts w:eastAsia="Calibri" w:cs="Arial"/>
                <w:sz w:val="20"/>
                <w:lang w:val="fr-FR"/>
              </w:rPr>
              <w:t>–</w:t>
            </w:r>
            <w:r w:rsidRPr="001C695B">
              <w:rPr>
                <w:rFonts w:eastAsia="Calibri" w:cs="Arial"/>
                <w:sz w:val="20"/>
                <w:szCs w:val="20"/>
                <w:lang w:val="fr-FR"/>
              </w:rPr>
              <w:tab/>
            </w:r>
            <w:r w:rsidRPr="001C695B">
              <w:rPr>
                <w:sz w:val="20"/>
                <w:szCs w:val="20"/>
                <w:lang w:val="fr-FR"/>
              </w:rPr>
              <w:t>Mise en oeuvre du système ORMS (siège et bureaux hors siège)</w:t>
            </w:r>
          </w:p>
          <w:p w:rsidR="00B01C2F" w:rsidRPr="001C695B" w:rsidRDefault="00B01C2F" w:rsidP="00931B29">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rFonts w:eastAsia="Calibri" w:cs="Arial"/>
                <w:sz w:val="20"/>
                <w:lang w:val="fr-FR"/>
              </w:rPr>
              <w:t>–</w:t>
            </w:r>
            <w:r w:rsidRPr="001C695B">
              <w:rPr>
                <w:rFonts w:eastAsia="Calibri" w:cs="Arial"/>
                <w:sz w:val="20"/>
                <w:szCs w:val="20"/>
                <w:lang w:val="fr-FR"/>
              </w:rPr>
              <w:tab/>
            </w:r>
            <w:r w:rsidRPr="001C695B">
              <w:rPr>
                <w:sz w:val="20"/>
                <w:szCs w:val="20"/>
                <w:lang w:val="fr-FR"/>
              </w:rPr>
              <w:t>Protection des locaux (films antibris de glace)</w:t>
            </w:r>
          </w:p>
          <w:p w:rsidR="00B01C2F" w:rsidRPr="001C695B" w:rsidRDefault="00B01C2F" w:rsidP="00931B29">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rFonts w:eastAsia="Calibri" w:cs="Arial"/>
                <w:sz w:val="20"/>
                <w:lang w:val="fr-FR"/>
              </w:rPr>
              <w:t>–</w:t>
            </w:r>
            <w:r w:rsidRPr="001C695B">
              <w:rPr>
                <w:rFonts w:eastAsia="Calibri" w:cs="Arial"/>
                <w:sz w:val="20"/>
                <w:szCs w:val="20"/>
                <w:lang w:val="fr-FR"/>
              </w:rPr>
              <w:tab/>
            </w:r>
            <w:r w:rsidRPr="001C695B">
              <w:rPr>
                <w:sz w:val="20"/>
                <w:szCs w:val="20"/>
                <w:lang w:val="fr-FR"/>
              </w:rPr>
              <w:t xml:space="preserve">Discussion avec le pays hôte concernant une clôture fermée aux piétons </w:t>
            </w: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vMerge/>
          </w:tcPr>
          <w:p w:rsidR="00B01C2F" w:rsidRPr="001C695B" w:rsidRDefault="00B01C2F" w:rsidP="00931B29">
            <w:pPr>
              <w:pStyle w:val="Tabletext"/>
              <w:spacing w:before="20" w:after="20"/>
              <w:rPr>
                <w:sz w:val="20"/>
                <w:szCs w:val="20"/>
                <w:lang w:val="fr-FR"/>
              </w:rPr>
            </w:pP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Impossibilité physique d'utiliser les locaux du siège</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Faible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Elevé</w:t>
            </w:r>
          </w:p>
        </w:tc>
        <w:tc>
          <w:tcPr>
            <w:tcW w:w="5244" w:type="dxa"/>
            <w:vMerge w:val="restart"/>
          </w:tcPr>
          <w:p w:rsidR="00B01C2F" w:rsidRPr="001C695B" w:rsidRDefault="00B01C2F" w:rsidP="00931B29">
            <w:pPr>
              <w:pStyle w:val="Tabletext"/>
              <w:tabs>
                <w:tab w:val="left" w:pos="317"/>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1C695B">
              <w:rPr>
                <w:rFonts w:eastAsia="Calibri" w:cs="Arial"/>
                <w:sz w:val="20"/>
                <w:lang w:val="fr-FR"/>
              </w:rPr>
              <w:t>–</w:t>
            </w:r>
            <w:r w:rsidRPr="001C695B">
              <w:rPr>
                <w:rFonts w:eastAsia="Calibri" w:cs="Arial"/>
                <w:sz w:val="20"/>
                <w:szCs w:val="20"/>
                <w:lang w:val="fr-FR"/>
              </w:rPr>
              <w:tab/>
              <w:t>Plan de continuité des activités à l'échelle de l'UIT, y compris le renforcement des moyens de participation à distance</w:t>
            </w:r>
          </w:p>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vMerge/>
          </w:tcPr>
          <w:p w:rsidR="00B01C2F" w:rsidRPr="001C695B" w:rsidRDefault="00B01C2F" w:rsidP="00931B29">
            <w:pPr>
              <w:pStyle w:val="Tabletext"/>
              <w:spacing w:before="20" w:after="20"/>
              <w:rPr>
                <w:sz w:val="20"/>
                <w:lang w:val="fr-FR"/>
              </w:rPr>
            </w:pP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szCs w:val="20"/>
                <w:lang w:val="fr-FR"/>
              </w:rPr>
              <w:t>Impossibilité physique d'organiser des réunions importantes à l'étranger ou à Genève (</w:t>
            </w:r>
            <w:r w:rsidRPr="001C695B">
              <w:rPr>
                <w:i/>
                <w:iCs/>
                <w:sz w:val="20"/>
                <w:szCs w:val="20"/>
                <w:lang w:val="fr-FR"/>
              </w:rPr>
              <w:t>par exemple, il a fallu changer à la dernière minute le pays accueillant une manifestation en raison de l'instabilité politique régnant dans ce pays ou d'une crise majeure, par exemple une pandémie ou des problèmes de sécurité publique</w:t>
            </w:r>
            <w:r w:rsidRPr="001C695B">
              <w:rPr>
                <w:sz w:val="20"/>
                <w:szCs w:val="20"/>
                <w:lang w:val="fr-FR"/>
              </w:rPr>
              <w:t>)</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szCs w:val="20"/>
                <w:lang w:val="fr-FR"/>
              </w:rPr>
              <w:t>Faible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szCs w:val="20"/>
                <w:lang w:val="fr-FR"/>
              </w:rPr>
              <w:t>Elevé</w:t>
            </w:r>
          </w:p>
        </w:tc>
        <w:tc>
          <w:tcPr>
            <w:tcW w:w="5244" w:type="dxa"/>
            <w:vMerge/>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FR"/>
              </w:rPr>
            </w:pP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tcPr>
          <w:p w:rsidR="00B01C2F" w:rsidRPr="001C695B" w:rsidRDefault="00B01C2F" w:rsidP="00931B29">
            <w:pPr>
              <w:pStyle w:val="Tabletext"/>
              <w:spacing w:before="20" w:after="20"/>
              <w:rPr>
                <w:sz w:val="20"/>
                <w:szCs w:val="20"/>
                <w:lang w:val="fr-FR"/>
              </w:rPr>
            </w:pPr>
            <w:r w:rsidRPr="001C695B">
              <w:rPr>
                <w:sz w:val="20"/>
                <w:szCs w:val="20"/>
                <w:lang w:val="fr-FR"/>
              </w:rPr>
              <w:t>Risques liés à l'infrastructure</w:t>
            </w: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Dysfonctionnement des services TIC</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Faible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Elevé</w:t>
            </w:r>
          </w:p>
        </w:tc>
        <w:tc>
          <w:tcPr>
            <w:tcW w:w="5244" w:type="dxa"/>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1C695B">
              <w:rPr>
                <w:rFonts w:eastAsia="Calibri" w:cs="Arial"/>
                <w:sz w:val="20"/>
                <w:lang w:val="fr-FR"/>
              </w:rPr>
              <w:t>–</w:t>
            </w:r>
            <w:r w:rsidRPr="001C695B">
              <w:rPr>
                <w:rFonts w:eastAsia="Calibri" w:cs="Arial"/>
                <w:sz w:val="20"/>
                <w:szCs w:val="20"/>
                <w:lang w:val="fr-FR"/>
              </w:rPr>
              <w:tab/>
              <w:t>Plan de continuité des TIC</w:t>
            </w:r>
          </w:p>
        </w:tc>
      </w:tr>
      <w:tr w:rsidR="00B01C2F" w:rsidRPr="001C695B" w:rsidTr="00931B29">
        <w:trPr>
          <w:trHeight w:val="1017"/>
        </w:trPr>
        <w:tc>
          <w:tcPr>
            <w:cnfStyle w:val="001000000000" w:firstRow="0" w:lastRow="0" w:firstColumn="1" w:lastColumn="0" w:oddVBand="0" w:evenVBand="0" w:oddHBand="0" w:evenHBand="0" w:firstRowFirstColumn="0" w:firstRowLastColumn="0" w:lastRowFirstColumn="0" w:lastRowLastColumn="0"/>
            <w:tcW w:w="1656" w:type="dxa"/>
          </w:tcPr>
          <w:p w:rsidR="00B01C2F" w:rsidRPr="001C695B" w:rsidRDefault="00B01C2F" w:rsidP="00931B29">
            <w:pPr>
              <w:pStyle w:val="Tabletext"/>
              <w:spacing w:before="20" w:after="20"/>
              <w:rPr>
                <w:sz w:val="20"/>
                <w:szCs w:val="20"/>
                <w:lang w:val="fr-FR"/>
              </w:rPr>
            </w:pPr>
            <w:r w:rsidRPr="001C695B">
              <w:rPr>
                <w:sz w:val="20"/>
                <w:szCs w:val="20"/>
                <w:lang w:val="fr-FR"/>
              </w:rPr>
              <w:t>Risques liés aux parties prenantes/</w:t>
            </w:r>
            <w:r w:rsidRPr="001C695B">
              <w:rPr>
                <w:sz w:val="20"/>
                <w:szCs w:val="20"/>
                <w:lang w:val="fr-FR"/>
              </w:rPr>
              <w:br/>
              <w:t xml:space="preserve">partenaires </w:t>
            </w: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lang w:val="fr-FR"/>
              </w:rPr>
              <w:t>Décisions des organes directeurs ayant des répercussions stratégiques et financières importantes</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Moyenne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Moyen</w:t>
            </w:r>
          </w:p>
        </w:tc>
        <w:tc>
          <w:tcPr>
            <w:tcW w:w="5244" w:type="dxa"/>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rFonts w:eastAsia="Calibri" w:cs="Arial"/>
                <w:sz w:val="20"/>
                <w:lang w:val="fr-FR"/>
              </w:rPr>
              <w:t>–</w:t>
            </w:r>
            <w:r w:rsidRPr="001C695B">
              <w:rPr>
                <w:rFonts w:eastAsia="Calibri" w:cs="Arial"/>
                <w:sz w:val="20"/>
                <w:szCs w:val="20"/>
                <w:lang w:val="fr-FR"/>
              </w:rPr>
              <w:tab/>
              <w:t>Collaboration très tôt avec les membres (aussi bien au siège qu'à travers les bureaux régionaux)</w:t>
            </w: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tcPr>
          <w:p w:rsidR="00B01C2F" w:rsidRPr="001C695B" w:rsidRDefault="00B01C2F" w:rsidP="00931B29">
            <w:pPr>
              <w:pStyle w:val="Tabletext"/>
              <w:spacing w:before="20" w:after="20"/>
              <w:rPr>
                <w:sz w:val="20"/>
                <w:lang w:val="fr-FR"/>
              </w:rPr>
            </w:pPr>
            <w:r w:rsidRPr="001C695B">
              <w:rPr>
                <w:sz w:val="20"/>
                <w:szCs w:val="20"/>
                <w:lang w:val="fr-FR"/>
              </w:rPr>
              <w:t>Risques liés aux ressources humaines</w:t>
            </w: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szCs w:val="20"/>
                <w:lang w:val="fr-FR"/>
              </w:rPr>
              <w:t>Manque de polyvalence, de souplesse et de préparation du personnel pour s'adapter à l'évolution des besoins</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szCs w:val="20"/>
                <w:lang w:val="fr-FR"/>
              </w:rPr>
              <w:t>Faible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szCs w:val="20"/>
                <w:lang w:val="fr-FR"/>
              </w:rPr>
              <w:t>Elevé</w:t>
            </w:r>
          </w:p>
        </w:tc>
        <w:tc>
          <w:tcPr>
            <w:tcW w:w="5244" w:type="dxa"/>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1C695B">
              <w:rPr>
                <w:rFonts w:eastAsia="Calibri" w:cs="Arial"/>
                <w:sz w:val="20"/>
                <w:lang w:val="fr-FR"/>
              </w:rPr>
              <w:t>–</w:t>
            </w:r>
            <w:r w:rsidRPr="001C695B">
              <w:rPr>
                <w:rFonts w:eastAsia="Calibri" w:cs="Arial"/>
                <w:sz w:val="20"/>
                <w:szCs w:val="20"/>
                <w:lang w:val="fr-FR"/>
              </w:rPr>
              <w:tab/>
              <w:t>Mise en oeuvre du plan stratégique pour les ressources humaines, portant sur la formation, l'évolution de carrière et le remplacement en cas d'indisponibilité temporaire ou définitive de fonctionnaires/compétences</w:t>
            </w: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vMerge w:val="restart"/>
          </w:tcPr>
          <w:p w:rsidR="00B01C2F" w:rsidRPr="001C695B" w:rsidRDefault="00B01C2F" w:rsidP="00931B29">
            <w:pPr>
              <w:pStyle w:val="Tabletext"/>
              <w:spacing w:before="20" w:after="20"/>
              <w:rPr>
                <w:sz w:val="20"/>
                <w:szCs w:val="20"/>
                <w:lang w:val="fr-FR"/>
              </w:rPr>
            </w:pPr>
            <w:r w:rsidRPr="001C695B">
              <w:rPr>
                <w:sz w:val="20"/>
                <w:szCs w:val="20"/>
                <w:lang w:val="fr-FR"/>
              </w:rPr>
              <w:t>Risques financiers</w:t>
            </w: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Gestion inefficace des ressources</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Faible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Moyen</w:t>
            </w:r>
          </w:p>
        </w:tc>
        <w:tc>
          <w:tcPr>
            <w:tcW w:w="5244" w:type="dxa"/>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1C695B">
              <w:rPr>
                <w:rFonts w:eastAsia="Calibri" w:cs="Arial"/>
                <w:sz w:val="20"/>
                <w:lang w:val="fr-FR"/>
              </w:rPr>
              <w:t>–</w:t>
            </w:r>
            <w:r w:rsidRPr="001C695B">
              <w:rPr>
                <w:rFonts w:eastAsia="Calibri" w:cs="Arial"/>
                <w:sz w:val="20"/>
                <w:szCs w:val="20"/>
                <w:lang w:val="fr-FR"/>
              </w:rPr>
              <w:tab/>
              <w:t>Système/mécanisme de contrôle interne, déclaration sur le contrôle interne</w:t>
            </w: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vMerge/>
          </w:tcPr>
          <w:p w:rsidR="00B01C2F" w:rsidRPr="001C695B" w:rsidRDefault="00B01C2F" w:rsidP="00931B29">
            <w:pPr>
              <w:pStyle w:val="Tabletext"/>
              <w:spacing w:before="20" w:after="20"/>
              <w:rPr>
                <w:sz w:val="20"/>
                <w:szCs w:val="20"/>
                <w:lang w:val="fr-FR"/>
              </w:rPr>
            </w:pP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Non-paiement de contributions par les membres</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Faible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Moyen</w:t>
            </w:r>
          </w:p>
        </w:tc>
        <w:tc>
          <w:tcPr>
            <w:tcW w:w="5244" w:type="dxa"/>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vMerge/>
          </w:tcPr>
          <w:p w:rsidR="00B01C2F" w:rsidRPr="001C695B" w:rsidRDefault="00B01C2F" w:rsidP="00931B29">
            <w:pPr>
              <w:pStyle w:val="Tabletext"/>
              <w:spacing w:before="20" w:after="20"/>
              <w:rPr>
                <w:sz w:val="20"/>
                <w:lang w:val="fr-FR"/>
              </w:rPr>
            </w:pP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szCs w:val="20"/>
                <w:lang w:val="fr-FR"/>
              </w:rPr>
              <w:t xml:space="preserve">Réduction importante de la classe de contribution d'Etats Membres </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Moyenne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Elevé</w:t>
            </w:r>
          </w:p>
        </w:tc>
        <w:tc>
          <w:tcPr>
            <w:tcW w:w="5244" w:type="dxa"/>
            <w:vMerge w:val="restart"/>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1C695B">
              <w:rPr>
                <w:rFonts w:eastAsia="Calibri" w:cs="Arial"/>
                <w:sz w:val="20"/>
                <w:lang w:val="fr-FR"/>
              </w:rPr>
              <w:t>–</w:t>
            </w:r>
            <w:r w:rsidRPr="001C695B">
              <w:rPr>
                <w:rFonts w:eastAsia="Calibri" w:cs="Arial"/>
                <w:sz w:val="20"/>
                <w:szCs w:val="20"/>
                <w:lang w:val="fr-FR"/>
              </w:rPr>
              <w:tab/>
              <w:t>Collaboration très tôt avec les membres (aussi bien au siège qu'à travers les bureaux régionaux)</w:t>
            </w: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vMerge/>
          </w:tcPr>
          <w:p w:rsidR="00B01C2F" w:rsidRPr="001C695B" w:rsidRDefault="00B01C2F" w:rsidP="00931B29">
            <w:pPr>
              <w:pStyle w:val="Tabletext"/>
              <w:spacing w:before="20" w:after="20"/>
              <w:rPr>
                <w:sz w:val="20"/>
                <w:lang w:val="fr-FR"/>
              </w:rPr>
            </w:pP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lang w:val="fr-FR"/>
              </w:rPr>
              <w:t>Nombre important de membres dénonçant leur participation</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Faible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Elevé</w:t>
            </w:r>
          </w:p>
        </w:tc>
        <w:tc>
          <w:tcPr>
            <w:tcW w:w="5244" w:type="dxa"/>
            <w:vMerge/>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FR"/>
              </w:rPr>
            </w:pPr>
          </w:p>
        </w:tc>
      </w:tr>
      <w:tr w:rsidR="00B01C2F" w:rsidRPr="001C695B" w:rsidTr="00931B29">
        <w:tc>
          <w:tcPr>
            <w:cnfStyle w:val="001000000000" w:firstRow="0" w:lastRow="0" w:firstColumn="1" w:lastColumn="0" w:oddVBand="0" w:evenVBand="0" w:oddHBand="0" w:evenHBand="0" w:firstRowFirstColumn="0" w:firstRowLastColumn="0" w:lastRowFirstColumn="0" w:lastRowLastColumn="0"/>
            <w:tcW w:w="1656" w:type="dxa"/>
            <w:vMerge/>
          </w:tcPr>
          <w:p w:rsidR="00B01C2F" w:rsidRPr="001C695B" w:rsidRDefault="00B01C2F" w:rsidP="00931B29">
            <w:pPr>
              <w:pStyle w:val="Tabletext"/>
              <w:spacing w:before="20" w:after="20"/>
              <w:rPr>
                <w:sz w:val="20"/>
                <w:lang w:val="fr-FR"/>
              </w:rPr>
            </w:pPr>
          </w:p>
        </w:tc>
        <w:tc>
          <w:tcPr>
            <w:tcW w:w="483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FR"/>
              </w:rPr>
            </w:pPr>
            <w:r w:rsidRPr="001C695B">
              <w:rPr>
                <w:sz w:val="20"/>
                <w:lang w:val="fr-FR"/>
              </w:rPr>
              <w:t>Diminution importante des recettes au titre du recouvrement des coûts</w:t>
            </w:r>
          </w:p>
        </w:tc>
        <w:tc>
          <w:tcPr>
            <w:tcW w:w="1158"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Faible</w:t>
            </w:r>
          </w:p>
        </w:tc>
        <w:tc>
          <w:tcPr>
            <w:tcW w:w="1276" w:type="dxa"/>
          </w:tcPr>
          <w:p w:rsidR="00B01C2F" w:rsidRPr="001C695B" w:rsidRDefault="00B01C2F" w:rsidP="00931B29">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Moyen</w:t>
            </w:r>
          </w:p>
        </w:tc>
        <w:tc>
          <w:tcPr>
            <w:tcW w:w="5244" w:type="dxa"/>
          </w:tcPr>
          <w:p w:rsidR="00B01C2F" w:rsidRPr="001C695B" w:rsidRDefault="00B01C2F" w:rsidP="00931B29">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FR"/>
              </w:rPr>
            </w:pPr>
            <w:r w:rsidRPr="001C695B">
              <w:rPr>
                <w:rFonts w:eastAsia="Calibri" w:cs="Arial"/>
                <w:sz w:val="20"/>
                <w:lang w:val="fr-FR"/>
              </w:rPr>
              <w:t>–</w:t>
            </w:r>
            <w:r w:rsidRPr="001C695B">
              <w:rPr>
                <w:rFonts w:eastAsia="Calibri" w:cs="Arial"/>
                <w:sz w:val="20"/>
                <w:szCs w:val="20"/>
                <w:lang w:val="fr-FR"/>
              </w:rPr>
              <w:tab/>
              <w:t>Mise en oeuvre d'un système de contrôle et d'évaluation</w:t>
            </w:r>
          </w:p>
        </w:tc>
      </w:tr>
    </w:tbl>
    <w:p w:rsidR="00741A31" w:rsidRPr="001C695B" w:rsidRDefault="00741A31" w:rsidP="00741A31">
      <w:pPr>
        <w:pStyle w:val="Heading1"/>
        <w:spacing w:before="360"/>
        <w:rPr>
          <w:lang w:val="fr-FR"/>
        </w:rPr>
      </w:pPr>
      <w:r w:rsidRPr="001C695B">
        <w:rPr>
          <w:lang w:val="fr-FR"/>
        </w:rPr>
        <w:t>5</w:t>
      </w:r>
      <w:r w:rsidRPr="001C695B">
        <w:rPr>
          <w:lang w:val="fr-FR"/>
        </w:rPr>
        <w:tab/>
        <w:t>Catalyseurs des buts et objectifs sectoriels et intersectoriels</w:t>
      </w:r>
    </w:p>
    <w:p w:rsidR="00741A31" w:rsidRPr="001C695B" w:rsidRDefault="00741A31" w:rsidP="00741A31">
      <w:pPr>
        <w:rPr>
          <w:lang w:val="fr-FR"/>
        </w:rPr>
      </w:pPr>
      <w:r w:rsidRPr="001C695B">
        <w:rPr>
          <w:lang w:val="fr-FR"/>
        </w:rPr>
        <w:t>Les Tableaux ci-après présentent les catalyseurs mis en oeuvre afin d'atteindre les buts et les objectifs stratégiques de l'Union ainsi que les indicateurs correspondants permettant d'évaluer la mise en oeuvre de ces catalyseurs au niveau de l'organisation (les départements mentionnés dans la colonne Moyen de mesure sont responsables de la fourniture des données et pas uniquement des résultats). Les données concernant 2014 sont les données de base; les progrès sont indiqués pour 2015 et 2016; la cible à l'horizon 2020 est également indiquée s'il y a lieu.</w:t>
      </w:r>
    </w:p>
    <w:p w:rsidR="00741A31" w:rsidRPr="001C695B" w:rsidRDefault="00741A31" w:rsidP="00741A31">
      <w:pPr>
        <w:pStyle w:val="Heading2"/>
        <w:spacing w:before="240" w:after="120"/>
        <w:rPr>
          <w:lang w:val="fr-FR"/>
        </w:rPr>
      </w:pPr>
      <w:r w:rsidRPr="001C695B">
        <w:rPr>
          <w:lang w:val="fr-FR"/>
        </w:rPr>
        <w:t>5.1</w:t>
      </w:r>
      <w:r w:rsidRPr="001C695B">
        <w:rPr>
          <w:lang w:val="fr-FR"/>
        </w:rPr>
        <w:tab/>
        <w:t>E.1 Veiller à l'utilisation efficace et efficiente des ressources humaines, financières et en capital et garantir un environnement de travail propice, sûr et sécurisé</w:t>
      </w:r>
    </w:p>
    <w:tbl>
      <w:tblPr>
        <w:tblStyle w:val="GridTable4-Accent11"/>
        <w:tblW w:w="14596" w:type="dxa"/>
        <w:tblLook w:val="0620" w:firstRow="1" w:lastRow="0" w:firstColumn="0" w:lastColumn="0" w:noHBand="1" w:noVBand="1"/>
      </w:tblPr>
      <w:tblGrid>
        <w:gridCol w:w="2405"/>
        <w:gridCol w:w="8505"/>
        <w:gridCol w:w="3686"/>
      </w:tblGrid>
      <w:tr w:rsidR="00584E37" w:rsidRPr="001C695B" w:rsidTr="00931B29">
        <w:trPr>
          <w:cnfStyle w:val="100000000000" w:firstRow="1" w:lastRow="0" w:firstColumn="0" w:lastColumn="0" w:oddVBand="0" w:evenVBand="0" w:oddHBand="0" w:evenHBand="0" w:firstRowFirstColumn="0" w:firstRowLastColumn="0" w:lastRowFirstColumn="0" w:lastRowLastColumn="0"/>
        </w:trPr>
        <w:tc>
          <w:tcPr>
            <w:tcW w:w="2405" w:type="dxa"/>
          </w:tcPr>
          <w:p w:rsidR="00584E37" w:rsidRPr="001C695B" w:rsidRDefault="00584E37" w:rsidP="00931B29">
            <w:pPr>
              <w:spacing w:before="20" w:after="20"/>
              <w:rPr>
                <w:sz w:val="22"/>
                <w:lang w:val="fr-FR"/>
              </w:rPr>
            </w:pPr>
            <w:r w:rsidRPr="001C695B">
              <w:rPr>
                <w:sz w:val="22"/>
                <w:lang w:val="fr-FR"/>
              </w:rPr>
              <w:t>Résultat</w:t>
            </w:r>
          </w:p>
        </w:tc>
        <w:tc>
          <w:tcPr>
            <w:tcW w:w="8505" w:type="dxa"/>
          </w:tcPr>
          <w:p w:rsidR="00584E37" w:rsidRPr="001C695B" w:rsidRDefault="00584E37" w:rsidP="00931B29">
            <w:pPr>
              <w:spacing w:before="20" w:after="20"/>
              <w:rPr>
                <w:sz w:val="22"/>
                <w:lang w:val="fr-FR"/>
              </w:rPr>
            </w:pPr>
            <w:r w:rsidRPr="001C695B">
              <w:rPr>
                <w:sz w:val="22"/>
                <w:lang w:val="fr-FR"/>
              </w:rPr>
              <w:t>Indicateur de résultat (valeur actuelle – valeur d'ici à 2020</w:t>
            </w:r>
            <w:r w:rsidRPr="001C695B">
              <w:rPr>
                <w:b w:val="0"/>
                <w:bCs w:val="0"/>
                <w:sz w:val="22"/>
                <w:lang w:val="fr-FR"/>
              </w:rPr>
              <w:t>)</w:t>
            </w:r>
          </w:p>
        </w:tc>
        <w:tc>
          <w:tcPr>
            <w:tcW w:w="3686" w:type="dxa"/>
          </w:tcPr>
          <w:p w:rsidR="00584E37" w:rsidRPr="001C695B" w:rsidRDefault="00584E37" w:rsidP="00931B29">
            <w:pPr>
              <w:spacing w:before="20" w:after="20"/>
              <w:rPr>
                <w:sz w:val="22"/>
                <w:lang w:val="fr-FR"/>
              </w:rPr>
            </w:pPr>
            <w:r w:rsidRPr="001C695B">
              <w:rPr>
                <w:sz w:val="22"/>
                <w:lang w:val="fr-FR"/>
              </w:rPr>
              <w:t>Moyen de mesure</w:t>
            </w:r>
          </w:p>
        </w:tc>
      </w:tr>
      <w:tr w:rsidR="00584E37" w:rsidRPr="001C695B" w:rsidTr="00931B29">
        <w:trPr>
          <w:trHeight w:val="478"/>
        </w:trPr>
        <w:tc>
          <w:tcPr>
            <w:tcW w:w="2405" w:type="dxa"/>
            <w:vMerge w:val="restart"/>
          </w:tcPr>
          <w:p w:rsidR="00584E37" w:rsidRPr="001C695B" w:rsidRDefault="00584E37" w:rsidP="00931B29">
            <w:pPr>
              <w:spacing w:before="20" w:after="20"/>
              <w:rPr>
                <w:rFonts w:eastAsia="Calibri" w:cs="Arial"/>
                <w:sz w:val="22"/>
                <w:lang w:val="fr-FR"/>
              </w:rPr>
            </w:pPr>
            <w:r w:rsidRPr="001C695B">
              <w:rPr>
                <w:rFonts w:eastAsia="Calibri" w:cs="Arial"/>
                <w:b/>
                <w:bCs/>
                <w:color w:val="4F81BD" w:themeColor="accent1"/>
                <w:sz w:val="20"/>
                <w:szCs w:val="20"/>
                <w:lang w:val="fr-FR"/>
              </w:rPr>
              <w:t>E.1</w:t>
            </w:r>
            <w:r w:rsidRPr="001C695B">
              <w:rPr>
                <w:rFonts w:eastAsia="Calibri" w:cs="Arial"/>
                <w:sz w:val="20"/>
                <w:szCs w:val="20"/>
                <w:lang w:val="fr-FR"/>
              </w:rPr>
              <w:t>: Utilisation efficace et efficiente des ressources humaines, financières et en capital et garantir un environnement de travail propice, sûr et sécurisé</w:t>
            </w:r>
          </w:p>
        </w:tc>
        <w:tc>
          <w:tcPr>
            <w:tcW w:w="8505" w:type="dxa"/>
          </w:tcPr>
          <w:p w:rsidR="00584E37" w:rsidRPr="001C695B" w:rsidRDefault="00584E37" w:rsidP="00931B29">
            <w:pPr>
              <w:spacing w:before="20" w:after="20"/>
              <w:rPr>
                <w:sz w:val="22"/>
                <w:lang w:val="fr-FR"/>
              </w:rPr>
            </w:pPr>
            <w:r w:rsidRPr="001C695B">
              <w:rPr>
                <w:sz w:val="20"/>
                <w:szCs w:val="20"/>
                <w:lang w:val="fr-FR"/>
              </w:rPr>
              <w:t>Pourcentage de professionnelles femmes retenues à chaque étape de la procédure de recrutement (objectif pour 2020: 33%, conformément à l'Annexe 2 de la Résolution 48):</w:t>
            </w:r>
          </w:p>
          <w:p w:rsidR="00584E37" w:rsidRPr="001C695B" w:rsidRDefault="00584E37" w:rsidP="00931B29">
            <w:pPr>
              <w:spacing w:before="20" w:after="20"/>
              <w:rPr>
                <w:i/>
                <w:iCs/>
                <w:sz w:val="20"/>
                <w:szCs w:val="20"/>
                <w:lang w:val="fr-FR"/>
              </w:rPr>
            </w:pPr>
            <w:r w:rsidRPr="001C695B">
              <w:rPr>
                <w:i/>
                <w:iCs/>
                <w:sz w:val="20"/>
                <w:szCs w:val="20"/>
                <w:lang w:val="fr-FR"/>
              </w:rPr>
              <w:t>2014: P5 et au-dessus: 16% des candidatures, 27% des candidats présélectionnés, 29% des candidats retenus sur une liste restreinte, et 36% des candidats sélectionnés</w:t>
            </w:r>
            <w:r w:rsidRPr="001C695B">
              <w:rPr>
                <w:i/>
                <w:iCs/>
                <w:sz w:val="20"/>
                <w:szCs w:val="20"/>
                <w:lang w:val="fr-FR"/>
              </w:rPr>
              <w:br/>
              <w:t>2015: P5 et au-dessus: 28% des candidatures, 35% des candidats présélectionnés, 27% des candidats retenus sur une liste restreinte (aucun candidat sélectionné)</w:t>
            </w:r>
          </w:p>
          <w:p w:rsidR="00584E37" w:rsidRPr="001C695B" w:rsidRDefault="00584E37" w:rsidP="00931B29">
            <w:pPr>
              <w:spacing w:before="20" w:after="20"/>
              <w:rPr>
                <w:sz w:val="22"/>
                <w:lang w:val="fr-FR"/>
              </w:rPr>
            </w:pPr>
            <w:r w:rsidRPr="001C695B">
              <w:rPr>
                <w:i/>
                <w:iCs/>
                <w:sz w:val="20"/>
                <w:szCs w:val="20"/>
                <w:lang w:val="fr-FR"/>
              </w:rPr>
              <w:t>2016: P5 et au-dessus: 20% des candidatures, 25% des candidats présélectionnés, 28% des candidats retenus sur une liste restreinte, et 63% des candidats sélectionnés</w:t>
            </w:r>
          </w:p>
        </w:tc>
        <w:tc>
          <w:tcPr>
            <w:tcW w:w="3686" w:type="dxa"/>
          </w:tcPr>
          <w:p w:rsidR="00584E37" w:rsidRPr="001C695B" w:rsidRDefault="00584E37" w:rsidP="00931B29">
            <w:pPr>
              <w:spacing w:before="20" w:after="20"/>
              <w:rPr>
                <w:sz w:val="22"/>
                <w:lang w:val="fr-FR"/>
              </w:rPr>
            </w:pPr>
            <w:r w:rsidRPr="001C695B">
              <w:rPr>
                <w:sz w:val="20"/>
                <w:szCs w:val="20"/>
                <w:lang w:val="fr-FR"/>
              </w:rPr>
              <w:t>Données fournies par le Département de la gestion des ressources humaines</w:t>
            </w:r>
          </w:p>
        </w:tc>
      </w:tr>
      <w:tr w:rsidR="00584E37" w:rsidRPr="001C695B" w:rsidTr="00931B29">
        <w:trPr>
          <w:trHeight w:val="571"/>
        </w:trPr>
        <w:tc>
          <w:tcPr>
            <w:tcW w:w="2405" w:type="dxa"/>
            <w:vMerge/>
          </w:tcPr>
          <w:p w:rsidR="00584E37" w:rsidRPr="001C695B" w:rsidRDefault="00584E37" w:rsidP="00931B29">
            <w:pPr>
              <w:spacing w:before="20" w:after="20"/>
              <w:rPr>
                <w:rFonts w:eastAsia="Calibri" w:cs="Arial"/>
                <w:b/>
                <w:bCs/>
                <w:color w:val="4F81BD" w:themeColor="accent1"/>
                <w:sz w:val="22"/>
                <w:lang w:val="fr-FR"/>
              </w:rPr>
            </w:pPr>
          </w:p>
        </w:tc>
        <w:tc>
          <w:tcPr>
            <w:tcW w:w="8505" w:type="dxa"/>
          </w:tcPr>
          <w:p w:rsidR="00584E37" w:rsidRPr="001C695B" w:rsidRDefault="00584E37" w:rsidP="00931B29">
            <w:pPr>
              <w:spacing w:before="20" w:after="20"/>
              <w:rPr>
                <w:i/>
                <w:iCs/>
                <w:sz w:val="20"/>
                <w:szCs w:val="20"/>
                <w:lang w:val="fr-FR"/>
              </w:rPr>
            </w:pPr>
            <w:r w:rsidRPr="001C695B">
              <w:rPr>
                <w:sz w:val="20"/>
                <w:szCs w:val="20"/>
                <w:lang w:val="fr-FR"/>
              </w:rPr>
              <w:t>Suivi de la mise en oeuvre du budget:</w:t>
            </w:r>
            <w:r w:rsidRPr="001C695B">
              <w:rPr>
                <w:sz w:val="20"/>
                <w:szCs w:val="20"/>
                <w:lang w:val="fr-FR"/>
              </w:rPr>
              <w:br/>
            </w:r>
            <w:r w:rsidRPr="001C695B">
              <w:rPr>
                <w:i/>
                <w:iCs/>
                <w:sz w:val="20"/>
                <w:szCs w:val="20"/>
                <w:lang w:val="fr-FR"/>
              </w:rPr>
              <w:t>2014, 2015, 2016: pas de dépassement des dépenses; objectif pour 2020: pas de dépassement des dépenses</w:t>
            </w:r>
          </w:p>
          <w:p w:rsidR="00584E37" w:rsidRPr="001C695B" w:rsidRDefault="00584E37" w:rsidP="00931B29">
            <w:pPr>
              <w:spacing w:before="20" w:after="20"/>
              <w:rPr>
                <w:i/>
                <w:iCs/>
                <w:sz w:val="20"/>
                <w:szCs w:val="20"/>
                <w:lang w:val="fr-FR"/>
              </w:rPr>
            </w:pPr>
            <w:r w:rsidRPr="001C695B">
              <w:rPr>
                <w:sz w:val="20"/>
                <w:szCs w:val="20"/>
                <w:lang w:val="fr-FR"/>
              </w:rPr>
              <w:t>Respect des normes IPSAS (ou audit annuel des comptes résultant en une opinion sans réserve):</w:t>
            </w:r>
            <w:r w:rsidRPr="001C695B">
              <w:rPr>
                <w:sz w:val="20"/>
                <w:szCs w:val="20"/>
                <w:lang w:val="fr-FR"/>
              </w:rPr>
              <w:br/>
            </w:r>
            <w:r w:rsidRPr="001C695B">
              <w:rPr>
                <w:i/>
                <w:iCs/>
                <w:sz w:val="20"/>
                <w:szCs w:val="20"/>
                <w:lang w:val="fr-FR"/>
              </w:rPr>
              <w:t>2014, 2015, 2016: certification par le vérificateur extérieur des comptes</w:t>
            </w:r>
          </w:p>
          <w:p w:rsidR="00584E37" w:rsidRPr="001C695B" w:rsidRDefault="00584E37" w:rsidP="00931B29">
            <w:pPr>
              <w:spacing w:before="20" w:after="20"/>
              <w:rPr>
                <w:sz w:val="20"/>
                <w:szCs w:val="20"/>
                <w:lang w:val="fr-FR"/>
              </w:rPr>
            </w:pPr>
            <w:r w:rsidRPr="001C695B">
              <w:rPr>
                <w:sz w:val="20"/>
                <w:szCs w:val="20"/>
                <w:lang w:val="fr-FR"/>
              </w:rPr>
              <w:t>Application des lignes directrices en matière de marchés publics et de voyages:</w:t>
            </w:r>
            <w:r w:rsidRPr="001C695B">
              <w:rPr>
                <w:sz w:val="20"/>
                <w:szCs w:val="20"/>
                <w:lang w:val="fr-FR"/>
              </w:rPr>
              <w:br/>
            </w:r>
            <w:r w:rsidRPr="001C695B">
              <w:rPr>
                <w:i/>
                <w:iCs/>
                <w:sz w:val="20"/>
                <w:szCs w:val="20"/>
                <w:lang w:val="fr-FR"/>
              </w:rPr>
              <w:t>2014, 2015, 2016: lignes directrices de l'UIT et bonnes pratiques des Nations Unies en place</w:t>
            </w:r>
          </w:p>
        </w:tc>
        <w:tc>
          <w:tcPr>
            <w:tcW w:w="3686" w:type="dxa"/>
          </w:tcPr>
          <w:p w:rsidR="00584E37" w:rsidRPr="001C695B" w:rsidRDefault="00584E37" w:rsidP="00931B29">
            <w:pPr>
              <w:spacing w:before="20" w:after="20"/>
              <w:rPr>
                <w:sz w:val="20"/>
                <w:szCs w:val="20"/>
                <w:lang w:val="fr-FR"/>
              </w:rPr>
            </w:pPr>
            <w:r w:rsidRPr="001C695B">
              <w:rPr>
                <w:sz w:val="20"/>
                <w:szCs w:val="20"/>
                <w:lang w:val="fr-FR"/>
              </w:rPr>
              <w:t>Rapports issus des audits</w:t>
            </w:r>
          </w:p>
          <w:p w:rsidR="00584E37" w:rsidRPr="001C695B" w:rsidRDefault="00584E37" w:rsidP="00931B29">
            <w:pPr>
              <w:spacing w:before="20" w:after="20"/>
              <w:rPr>
                <w:sz w:val="20"/>
                <w:szCs w:val="20"/>
                <w:lang w:val="fr-FR"/>
              </w:rPr>
            </w:pPr>
            <w:r w:rsidRPr="001C695B">
              <w:rPr>
                <w:sz w:val="20"/>
                <w:szCs w:val="20"/>
                <w:lang w:val="fr-FR"/>
              </w:rPr>
              <w:t xml:space="preserve">Données fournies par le Département de la gestion des ressources humaines </w:t>
            </w:r>
          </w:p>
        </w:tc>
      </w:tr>
      <w:tr w:rsidR="00584E37" w:rsidRPr="001C695B" w:rsidTr="00931B29">
        <w:trPr>
          <w:trHeight w:val="570"/>
        </w:trPr>
        <w:tc>
          <w:tcPr>
            <w:tcW w:w="2405" w:type="dxa"/>
            <w:vMerge/>
          </w:tcPr>
          <w:p w:rsidR="00584E37" w:rsidRPr="001C695B" w:rsidRDefault="00584E37" w:rsidP="00931B29">
            <w:pPr>
              <w:spacing w:before="20" w:after="20"/>
              <w:rPr>
                <w:rFonts w:eastAsia="Calibri" w:cs="Arial"/>
                <w:b/>
                <w:bCs/>
                <w:color w:val="4F81BD" w:themeColor="accent1"/>
                <w:sz w:val="22"/>
                <w:lang w:val="fr-FR"/>
              </w:rPr>
            </w:pPr>
          </w:p>
        </w:tc>
        <w:tc>
          <w:tcPr>
            <w:tcW w:w="8505" w:type="dxa"/>
          </w:tcPr>
          <w:p w:rsidR="00584E37" w:rsidRPr="001C695B" w:rsidRDefault="00584E37" w:rsidP="00931B29">
            <w:pPr>
              <w:spacing w:before="20" w:after="20"/>
              <w:rPr>
                <w:sz w:val="20"/>
                <w:szCs w:val="20"/>
                <w:lang w:val="fr-FR"/>
              </w:rPr>
            </w:pPr>
            <w:r w:rsidRPr="001C695B">
              <w:rPr>
                <w:sz w:val="20"/>
                <w:szCs w:val="20"/>
                <w:lang w:val="fr-FR"/>
              </w:rPr>
              <w:t xml:space="preserve">Nombre de parties prenantes/clients qui signalent une blessure ou un incident lié au travail: </w:t>
            </w:r>
            <w:r w:rsidRPr="001C695B">
              <w:rPr>
                <w:sz w:val="20"/>
                <w:szCs w:val="20"/>
                <w:lang w:val="fr-FR"/>
              </w:rPr>
              <w:br/>
              <w:t>2014: &lt; 2%, 2015: &lt; 2%, 2016 &lt; 2%</w:t>
            </w:r>
          </w:p>
        </w:tc>
        <w:tc>
          <w:tcPr>
            <w:tcW w:w="3686" w:type="dxa"/>
          </w:tcPr>
          <w:p w:rsidR="00584E37" w:rsidRPr="001C695B" w:rsidRDefault="00584E37" w:rsidP="00931B29">
            <w:pPr>
              <w:spacing w:before="20" w:after="20"/>
              <w:rPr>
                <w:sz w:val="20"/>
                <w:szCs w:val="20"/>
                <w:lang w:val="fr-FR"/>
              </w:rPr>
            </w:pPr>
            <w:r w:rsidRPr="001C695B">
              <w:rPr>
                <w:sz w:val="20"/>
                <w:szCs w:val="20"/>
                <w:lang w:val="fr-FR"/>
              </w:rPr>
              <w:t>Base de données des incidents</w:t>
            </w:r>
          </w:p>
        </w:tc>
      </w:tr>
      <w:tr w:rsidR="00584E37" w:rsidRPr="001C695B" w:rsidTr="00931B29">
        <w:trPr>
          <w:trHeight w:val="570"/>
        </w:trPr>
        <w:tc>
          <w:tcPr>
            <w:tcW w:w="2405" w:type="dxa"/>
            <w:vMerge/>
          </w:tcPr>
          <w:p w:rsidR="00584E37" w:rsidRPr="001C695B" w:rsidRDefault="00584E37" w:rsidP="00931B29">
            <w:pPr>
              <w:spacing w:before="20" w:after="20"/>
              <w:rPr>
                <w:rFonts w:eastAsia="Calibri" w:cs="Arial"/>
                <w:b/>
                <w:bCs/>
                <w:color w:val="4F81BD" w:themeColor="accent1"/>
                <w:sz w:val="22"/>
                <w:lang w:val="fr-FR"/>
              </w:rPr>
            </w:pPr>
          </w:p>
        </w:tc>
        <w:tc>
          <w:tcPr>
            <w:tcW w:w="8505" w:type="dxa"/>
          </w:tcPr>
          <w:p w:rsidR="00584E37" w:rsidRPr="001C695B" w:rsidRDefault="00584E37" w:rsidP="00931B29">
            <w:pPr>
              <w:spacing w:before="20" w:after="20"/>
              <w:rPr>
                <w:i/>
                <w:iCs/>
                <w:sz w:val="20"/>
                <w:szCs w:val="20"/>
                <w:lang w:val="fr-FR"/>
              </w:rPr>
            </w:pPr>
            <w:r w:rsidRPr="001C695B">
              <w:rPr>
                <w:sz w:val="20"/>
                <w:szCs w:val="20"/>
                <w:lang w:val="fr-FR"/>
              </w:rPr>
              <w:t>Nombre de parties prenantes/clients en mission officielle qui ont enregistré leur voyage dans le système DSS TRIP des Nations Unies:</w:t>
            </w:r>
            <w:r w:rsidRPr="001C695B">
              <w:rPr>
                <w:sz w:val="20"/>
                <w:szCs w:val="20"/>
                <w:lang w:val="fr-FR"/>
              </w:rPr>
              <w:br/>
            </w:r>
            <w:r w:rsidRPr="001C695B">
              <w:rPr>
                <w:i/>
                <w:iCs/>
                <w:sz w:val="20"/>
                <w:szCs w:val="20"/>
                <w:lang w:val="fr-FR"/>
              </w:rPr>
              <w:t xml:space="preserve">2014: 1 642 missions officielles; 1 427 enregistrements dans le système TRIP; soit 86,9%; </w:t>
            </w:r>
            <w:r w:rsidRPr="001C695B">
              <w:rPr>
                <w:i/>
                <w:iCs/>
                <w:sz w:val="20"/>
                <w:szCs w:val="20"/>
                <w:lang w:val="fr-FR"/>
              </w:rPr>
              <w:br/>
              <w:t xml:space="preserve">2015: 1 183 missions officielles (10 mois); 1 063 enregistrements dans le système TRIP; soit 89,8% </w:t>
            </w:r>
          </w:p>
          <w:p w:rsidR="00584E37" w:rsidRPr="001C695B" w:rsidRDefault="00584E37" w:rsidP="00931B29">
            <w:pPr>
              <w:spacing w:before="20" w:after="20"/>
              <w:rPr>
                <w:sz w:val="20"/>
                <w:szCs w:val="20"/>
                <w:lang w:val="fr-FR"/>
              </w:rPr>
            </w:pPr>
            <w:r w:rsidRPr="001C695B">
              <w:rPr>
                <w:i/>
                <w:iCs/>
                <w:sz w:val="20"/>
                <w:szCs w:val="20"/>
                <w:lang w:val="fr-FR"/>
              </w:rPr>
              <w:t xml:space="preserve">2016: 1 528 missions officielles; 1 381 enregistrements dans le système TRIP; soit 90,3% </w:t>
            </w:r>
            <w:r w:rsidRPr="001C695B">
              <w:rPr>
                <w:i/>
                <w:iCs/>
                <w:sz w:val="20"/>
                <w:szCs w:val="20"/>
                <w:lang w:val="fr-FR"/>
              </w:rPr>
              <w:br/>
              <w:t>Objectif pour 2020: enregistrement dans le système TRIP et suivi des formations de sûreté et de sécurité dans 100% des cas.</w:t>
            </w:r>
          </w:p>
        </w:tc>
        <w:tc>
          <w:tcPr>
            <w:tcW w:w="3686" w:type="dxa"/>
          </w:tcPr>
          <w:p w:rsidR="00584E37" w:rsidRPr="001C695B" w:rsidRDefault="00584E37" w:rsidP="00931B29">
            <w:pPr>
              <w:spacing w:before="20" w:after="20"/>
              <w:rPr>
                <w:sz w:val="20"/>
                <w:szCs w:val="20"/>
                <w:lang w:val="fr-FR"/>
              </w:rPr>
            </w:pPr>
            <w:r w:rsidRPr="001C695B">
              <w:rPr>
                <w:sz w:val="20"/>
                <w:szCs w:val="20"/>
                <w:lang w:val="fr-FR"/>
              </w:rPr>
              <w:t xml:space="preserve">Base de données des formations sur la sûreté et sécurité pour les voyages en mission officielle </w:t>
            </w:r>
          </w:p>
          <w:p w:rsidR="00584E37" w:rsidRPr="001C695B" w:rsidRDefault="00584E37" w:rsidP="00931B29">
            <w:pPr>
              <w:spacing w:before="20" w:after="20"/>
              <w:rPr>
                <w:sz w:val="20"/>
                <w:szCs w:val="20"/>
                <w:lang w:val="fr-FR"/>
              </w:rPr>
            </w:pPr>
            <w:r w:rsidRPr="001C695B">
              <w:rPr>
                <w:sz w:val="20"/>
                <w:szCs w:val="20"/>
                <w:lang w:val="fr-FR"/>
              </w:rPr>
              <w:t xml:space="preserve">Système DSS TRIP des Nations Unies et site web UNSMIN </w:t>
            </w:r>
          </w:p>
        </w:tc>
      </w:tr>
    </w:tbl>
    <w:p w:rsidR="00741A31" w:rsidRPr="001C695B" w:rsidRDefault="00741A31" w:rsidP="00741A31">
      <w:pPr>
        <w:pStyle w:val="Heading2"/>
        <w:spacing w:after="200"/>
        <w:rPr>
          <w:lang w:val="fr-FR"/>
        </w:rPr>
      </w:pPr>
      <w:r w:rsidRPr="001C695B">
        <w:rPr>
          <w:lang w:val="fr-FR"/>
        </w:rPr>
        <w:t>5.2</w:t>
      </w:r>
      <w:r w:rsidRPr="001C695B">
        <w:rPr>
          <w:lang w:val="fr-FR"/>
        </w:rPr>
        <w:tab/>
        <w:t>E.2 Veiller à l'efficacité et à l'accessibilité des infrastructures (conférences, réunions, documentation, publications et information)</w:t>
      </w:r>
    </w:p>
    <w:tbl>
      <w:tblPr>
        <w:tblStyle w:val="GridTable4-Accent11"/>
        <w:tblW w:w="14596" w:type="dxa"/>
        <w:tblLook w:val="0620" w:firstRow="1" w:lastRow="0" w:firstColumn="0" w:lastColumn="0" w:noHBand="1" w:noVBand="1"/>
      </w:tblPr>
      <w:tblGrid>
        <w:gridCol w:w="3114"/>
        <w:gridCol w:w="8221"/>
        <w:gridCol w:w="3261"/>
      </w:tblGrid>
      <w:tr w:rsidR="00584E37" w:rsidRPr="001C695B" w:rsidTr="00931B29">
        <w:trPr>
          <w:cnfStyle w:val="100000000000" w:firstRow="1" w:lastRow="0" w:firstColumn="0" w:lastColumn="0" w:oddVBand="0" w:evenVBand="0" w:oddHBand="0" w:evenHBand="0" w:firstRowFirstColumn="0" w:firstRowLastColumn="0" w:lastRowFirstColumn="0" w:lastRowLastColumn="0"/>
        </w:trPr>
        <w:tc>
          <w:tcPr>
            <w:tcW w:w="3114" w:type="dxa"/>
          </w:tcPr>
          <w:p w:rsidR="00584E37" w:rsidRPr="001C695B" w:rsidRDefault="00584E37" w:rsidP="00931B29">
            <w:pPr>
              <w:spacing w:before="20" w:after="20"/>
              <w:rPr>
                <w:sz w:val="22"/>
                <w:lang w:val="fr-FR"/>
              </w:rPr>
            </w:pPr>
            <w:r w:rsidRPr="001C695B">
              <w:rPr>
                <w:sz w:val="22"/>
                <w:lang w:val="fr-FR"/>
              </w:rPr>
              <w:t>Résultat</w:t>
            </w:r>
          </w:p>
        </w:tc>
        <w:tc>
          <w:tcPr>
            <w:tcW w:w="8221" w:type="dxa"/>
          </w:tcPr>
          <w:p w:rsidR="00584E37" w:rsidRPr="001C695B" w:rsidRDefault="00584E37" w:rsidP="00931B29">
            <w:pPr>
              <w:spacing w:before="20" w:after="20"/>
              <w:rPr>
                <w:sz w:val="22"/>
                <w:lang w:val="fr-FR"/>
              </w:rPr>
            </w:pPr>
            <w:r w:rsidRPr="001C695B">
              <w:rPr>
                <w:sz w:val="22"/>
                <w:lang w:val="fr-FR"/>
              </w:rPr>
              <w:t>Indicateur de résultat (valeur actuelle – valeur d'ici à 2020</w:t>
            </w:r>
            <w:r w:rsidRPr="001C695B">
              <w:rPr>
                <w:b w:val="0"/>
                <w:bCs w:val="0"/>
                <w:sz w:val="22"/>
                <w:lang w:val="fr-FR"/>
              </w:rPr>
              <w:t>)</w:t>
            </w:r>
          </w:p>
        </w:tc>
        <w:tc>
          <w:tcPr>
            <w:tcW w:w="3261" w:type="dxa"/>
          </w:tcPr>
          <w:p w:rsidR="00584E37" w:rsidRPr="001C695B" w:rsidRDefault="00584E37" w:rsidP="00931B29">
            <w:pPr>
              <w:spacing w:before="20" w:after="20"/>
              <w:rPr>
                <w:sz w:val="22"/>
                <w:lang w:val="fr-FR"/>
              </w:rPr>
            </w:pPr>
            <w:r w:rsidRPr="001C695B">
              <w:rPr>
                <w:sz w:val="22"/>
                <w:lang w:val="fr-FR"/>
              </w:rPr>
              <w:t>Moyen de mesure</w:t>
            </w:r>
          </w:p>
        </w:tc>
      </w:tr>
      <w:tr w:rsidR="00584E37" w:rsidRPr="001C695B" w:rsidTr="00931B29">
        <w:trPr>
          <w:trHeight w:val="164"/>
        </w:trPr>
        <w:tc>
          <w:tcPr>
            <w:tcW w:w="3114" w:type="dxa"/>
            <w:vMerge w:val="restart"/>
          </w:tcPr>
          <w:p w:rsidR="00584E37" w:rsidRPr="001C695B" w:rsidRDefault="00584E37" w:rsidP="00931B29">
            <w:pPr>
              <w:spacing w:before="20" w:after="20"/>
              <w:rPr>
                <w:rFonts w:eastAsia="Calibri" w:cs="Arial"/>
                <w:sz w:val="20"/>
                <w:szCs w:val="20"/>
                <w:lang w:val="fr-FR"/>
              </w:rPr>
            </w:pPr>
            <w:r w:rsidRPr="001C695B">
              <w:rPr>
                <w:rFonts w:eastAsia="Calibri" w:cs="Arial"/>
                <w:b/>
                <w:bCs/>
                <w:color w:val="4F81BD" w:themeColor="accent1"/>
                <w:sz w:val="20"/>
                <w:szCs w:val="20"/>
                <w:lang w:val="fr-FR"/>
              </w:rPr>
              <w:t>E.2</w:t>
            </w:r>
            <w:r w:rsidRPr="001C695B">
              <w:rPr>
                <w:rFonts w:eastAsia="Calibri" w:cs="Arial"/>
                <w:sz w:val="20"/>
                <w:szCs w:val="20"/>
                <w:lang w:val="fr-FR"/>
              </w:rPr>
              <w:t>: Efficacité et accessibilité des infrastructures (conférences, réunions, documentation, publications et information)</w:t>
            </w:r>
          </w:p>
        </w:tc>
        <w:tc>
          <w:tcPr>
            <w:tcW w:w="8221" w:type="dxa"/>
          </w:tcPr>
          <w:p w:rsidR="00584E37" w:rsidRPr="001C695B" w:rsidRDefault="00584E37" w:rsidP="00931B29">
            <w:pPr>
              <w:spacing w:before="20" w:after="20"/>
              <w:rPr>
                <w:sz w:val="20"/>
                <w:szCs w:val="20"/>
                <w:lang w:val="fr-FR"/>
              </w:rPr>
            </w:pPr>
            <w:r w:rsidRPr="001C695B">
              <w:rPr>
                <w:sz w:val="20"/>
                <w:szCs w:val="20"/>
                <w:lang w:val="fr-FR"/>
              </w:rPr>
              <w:t>Satisfaction des utilisateurs concernant les manifestations et les réunions:</w:t>
            </w:r>
          </w:p>
          <w:p w:rsidR="00584E37" w:rsidRPr="001C695B" w:rsidRDefault="00584E37" w:rsidP="00931B29">
            <w:pPr>
              <w:spacing w:before="20" w:after="20"/>
              <w:rPr>
                <w:i/>
                <w:iCs/>
                <w:sz w:val="20"/>
                <w:szCs w:val="20"/>
                <w:lang w:val="fr-FR"/>
              </w:rPr>
            </w:pPr>
            <w:r w:rsidRPr="001C695B">
              <w:rPr>
                <w:i/>
                <w:iCs/>
                <w:sz w:val="20"/>
                <w:lang w:val="fr-FR"/>
              </w:rPr>
              <w:t>Une enquête a été réalisée concernant l'AMNT</w:t>
            </w:r>
            <w:r w:rsidRPr="001C695B">
              <w:rPr>
                <w:i/>
                <w:iCs/>
                <w:sz w:val="20"/>
                <w:lang w:val="fr-FR"/>
              </w:rPr>
              <w:noBreakHyphen/>
              <w:t>16</w:t>
            </w:r>
            <w:r w:rsidRPr="001C695B">
              <w:rPr>
                <w:rStyle w:val="FootnoteReference"/>
                <w:i/>
                <w:iCs/>
                <w:szCs w:val="20"/>
                <w:lang w:val="fr-FR"/>
              </w:rPr>
              <w:footnoteReference w:id="2"/>
            </w:r>
            <w:r w:rsidRPr="001C695B">
              <w:rPr>
                <w:i/>
                <w:iCs/>
                <w:sz w:val="20"/>
                <w:szCs w:val="20"/>
                <w:lang w:val="fr-FR"/>
              </w:rPr>
              <w:t xml:space="preserve"> </w:t>
            </w:r>
            <w:r w:rsidRPr="001C695B">
              <w:rPr>
                <w:i/>
                <w:iCs/>
                <w:sz w:val="20"/>
                <w:lang w:val="fr-FR"/>
              </w:rPr>
              <w:t>sur la qualité</w:t>
            </w:r>
            <w:r w:rsidRPr="001C695B" w:rsidDel="00564EDF">
              <w:rPr>
                <w:i/>
                <w:iCs/>
                <w:sz w:val="20"/>
                <w:lang w:val="fr-FR"/>
              </w:rPr>
              <w:t xml:space="preserve"> </w:t>
            </w:r>
            <w:r w:rsidRPr="001C695B">
              <w:rPr>
                <w:i/>
                <w:iCs/>
                <w:sz w:val="20"/>
                <w:szCs w:val="20"/>
                <w:lang w:val="fr-FR"/>
              </w:rPr>
              <w:t xml:space="preserve">des locaux et équipements pour la conférence (y compris l'attribution des places); </w:t>
            </w:r>
            <w:r w:rsidRPr="001C695B">
              <w:rPr>
                <w:i/>
                <w:iCs/>
                <w:sz w:val="20"/>
                <w:szCs w:val="20"/>
                <w:lang w:val="fr-FR"/>
              </w:rPr>
              <w:br/>
              <w:t>la courtoisie et le professionnalisme du personnel du service des conférences de l'UIT;</w:t>
            </w:r>
            <w:r w:rsidRPr="001C695B">
              <w:rPr>
                <w:i/>
                <w:iCs/>
                <w:sz w:val="20"/>
                <w:szCs w:val="20"/>
                <w:lang w:val="fr-FR"/>
              </w:rPr>
              <w:br/>
              <w:t xml:space="preserve">la disponibilité des documents; </w:t>
            </w:r>
          </w:p>
          <w:p w:rsidR="00584E37" w:rsidRPr="001C695B" w:rsidRDefault="00584E37" w:rsidP="00931B29">
            <w:pPr>
              <w:spacing w:before="20" w:after="20"/>
              <w:rPr>
                <w:sz w:val="20"/>
                <w:szCs w:val="20"/>
                <w:lang w:val="fr-FR"/>
              </w:rPr>
            </w:pPr>
            <w:r w:rsidRPr="001C695B">
              <w:rPr>
                <w:i/>
                <w:iCs/>
                <w:sz w:val="20"/>
                <w:szCs w:val="20"/>
                <w:lang w:val="fr-FR"/>
              </w:rPr>
              <w:t>la qualité de la traduction des documents et de l'interprétation. Environ 144 délégués ont répondu au questionnaire (soit environ 20% de l'échantillon)</w:t>
            </w:r>
          </w:p>
          <w:p w:rsidR="00584E37" w:rsidRPr="001C695B" w:rsidRDefault="00584E37" w:rsidP="00931B29">
            <w:pPr>
              <w:spacing w:before="20" w:after="20"/>
              <w:rPr>
                <w:i/>
                <w:iCs/>
                <w:sz w:val="20"/>
                <w:szCs w:val="20"/>
                <w:lang w:val="fr-FR"/>
              </w:rPr>
            </w:pPr>
            <w:r w:rsidRPr="001C695B">
              <w:rPr>
                <w:sz w:val="20"/>
                <w:szCs w:val="20"/>
                <w:lang w:val="fr-FR"/>
              </w:rPr>
              <w:t>Satisfaction des utilisateurs concernant les publications:</w:t>
            </w:r>
            <w:r w:rsidRPr="001C695B">
              <w:rPr>
                <w:sz w:val="20"/>
                <w:szCs w:val="20"/>
                <w:lang w:val="fr-FR"/>
              </w:rPr>
              <w:br/>
            </w:r>
            <w:r w:rsidRPr="001C695B">
              <w:rPr>
                <w:i/>
                <w:iCs/>
                <w:sz w:val="20"/>
                <w:szCs w:val="20"/>
                <w:lang w:val="fr-FR"/>
              </w:rPr>
              <w:t>Environ 90% des utilisateurs interrogés fin 2015 ont considéré les sujets abordés dans les publications de l'UIT comme utiles ou très utiles.</w:t>
            </w:r>
          </w:p>
          <w:p w:rsidR="00584E37" w:rsidRPr="001C695B" w:rsidRDefault="00584E37" w:rsidP="00931B29">
            <w:pPr>
              <w:spacing w:before="20" w:after="20"/>
              <w:rPr>
                <w:sz w:val="20"/>
                <w:szCs w:val="20"/>
                <w:lang w:val="fr-FR"/>
              </w:rPr>
            </w:pPr>
            <w:r w:rsidRPr="001C695B">
              <w:rPr>
                <w:sz w:val="20"/>
                <w:szCs w:val="20"/>
                <w:lang w:val="fr-FR"/>
              </w:rPr>
              <w:t>Qualité globale des publications de l'UIT (d'après l'enquête annuelle 2016 menée auprès des Membres):</w:t>
            </w:r>
            <w:r w:rsidRPr="001C695B">
              <w:rPr>
                <w:sz w:val="20"/>
                <w:szCs w:val="20"/>
                <w:lang w:val="fr-FR"/>
              </w:rPr>
              <w:br/>
            </w:r>
            <w:r w:rsidRPr="001C695B">
              <w:rPr>
                <w:i/>
                <w:iCs/>
                <w:sz w:val="20"/>
                <w:szCs w:val="20"/>
                <w:lang w:val="fr-FR"/>
              </w:rPr>
              <w:t>Plus de 90%</w:t>
            </w:r>
            <w:r w:rsidRPr="001C695B">
              <w:rPr>
                <w:sz w:val="20"/>
                <w:szCs w:val="20"/>
                <w:lang w:val="fr-FR"/>
              </w:rPr>
              <w:t xml:space="preserve"> </w:t>
            </w:r>
            <w:r w:rsidRPr="001C695B">
              <w:rPr>
                <w:i/>
                <w:iCs/>
                <w:sz w:val="20"/>
                <w:szCs w:val="20"/>
                <w:lang w:val="fr-FR"/>
              </w:rPr>
              <w:t>des Membres interrogés fin 2016 ont estimé que la qualité des publications de l'UIT est bonne ou très bonne.</w:t>
            </w:r>
          </w:p>
        </w:tc>
        <w:tc>
          <w:tcPr>
            <w:tcW w:w="3261" w:type="dxa"/>
          </w:tcPr>
          <w:p w:rsidR="00584E37" w:rsidRPr="001C695B" w:rsidRDefault="00584E37" w:rsidP="00931B29">
            <w:pPr>
              <w:spacing w:before="20" w:after="20"/>
              <w:rPr>
                <w:sz w:val="20"/>
                <w:szCs w:val="20"/>
                <w:lang w:val="fr-FR"/>
              </w:rPr>
            </w:pPr>
            <w:r w:rsidRPr="001C695B">
              <w:rPr>
                <w:sz w:val="20"/>
                <w:szCs w:val="20"/>
                <w:lang w:val="fr-FR"/>
              </w:rPr>
              <w:t>Enquêtes de satisfaction des utilisateurs</w:t>
            </w:r>
          </w:p>
        </w:tc>
      </w:tr>
      <w:tr w:rsidR="00584E37" w:rsidRPr="001C695B" w:rsidTr="00931B29">
        <w:trPr>
          <w:trHeight w:val="342"/>
        </w:trPr>
        <w:tc>
          <w:tcPr>
            <w:tcW w:w="3114" w:type="dxa"/>
            <w:vMerge/>
          </w:tcPr>
          <w:p w:rsidR="00584E37" w:rsidRPr="001C695B" w:rsidRDefault="00584E37" w:rsidP="00931B29">
            <w:pPr>
              <w:spacing w:before="20" w:after="20"/>
              <w:rPr>
                <w:rFonts w:eastAsia="Calibri" w:cs="Arial"/>
                <w:b/>
                <w:bCs/>
                <w:color w:val="4F81BD" w:themeColor="accent1"/>
                <w:sz w:val="22"/>
                <w:lang w:val="fr-FR"/>
              </w:rPr>
            </w:pPr>
          </w:p>
        </w:tc>
        <w:tc>
          <w:tcPr>
            <w:tcW w:w="8221" w:type="dxa"/>
          </w:tcPr>
          <w:p w:rsidR="00584E37" w:rsidRPr="001C695B" w:rsidRDefault="00584E37" w:rsidP="00931B29">
            <w:pPr>
              <w:spacing w:before="20" w:after="20"/>
              <w:rPr>
                <w:sz w:val="20"/>
                <w:szCs w:val="20"/>
                <w:lang w:val="fr-FR"/>
              </w:rPr>
            </w:pPr>
            <w:r w:rsidRPr="001C695B">
              <w:rPr>
                <w:sz w:val="20"/>
                <w:szCs w:val="20"/>
                <w:lang w:val="fr-FR"/>
              </w:rPr>
              <w:t>Disponibilité et fonctionnalité des services TIC:</w:t>
            </w:r>
            <w:r w:rsidRPr="001C695B">
              <w:rPr>
                <w:sz w:val="20"/>
                <w:szCs w:val="20"/>
                <w:lang w:val="fr-FR"/>
              </w:rPr>
              <w:br/>
            </w:r>
            <w:r w:rsidRPr="001C695B">
              <w:rPr>
                <w:i/>
                <w:iCs/>
                <w:sz w:val="20"/>
                <w:szCs w:val="20"/>
                <w:lang w:val="fr-FR"/>
              </w:rPr>
              <w:t>2014: disponibilité de 99% de tous les services TIC, 2015: 99,86%, 2016: 99,65%, objectif pour 2020: maintenir une disponibilité de plus de 99%</w:t>
            </w:r>
          </w:p>
        </w:tc>
        <w:tc>
          <w:tcPr>
            <w:tcW w:w="3261" w:type="dxa"/>
          </w:tcPr>
          <w:p w:rsidR="00584E37" w:rsidRPr="001C695B" w:rsidRDefault="00584E37" w:rsidP="00931B29">
            <w:pPr>
              <w:spacing w:before="20" w:after="20"/>
              <w:rPr>
                <w:sz w:val="20"/>
                <w:szCs w:val="20"/>
                <w:lang w:val="fr-FR"/>
              </w:rPr>
            </w:pPr>
            <w:r w:rsidRPr="001C695B">
              <w:rPr>
                <w:sz w:val="20"/>
                <w:szCs w:val="20"/>
                <w:lang w:val="fr-FR"/>
              </w:rPr>
              <w:t>Catalogue des services TIC</w:t>
            </w:r>
          </w:p>
        </w:tc>
      </w:tr>
      <w:tr w:rsidR="00584E37" w:rsidRPr="001C695B" w:rsidTr="00931B29">
        <w:trPr>
          <w:trHeight w:val="341"/>
        </w:trPr>
        <w:tc>
          <w:tcPr>
            <w:tcW w:w="3114" w:type="dxa"/>
            <w:vMerge/>
          </w:tcPr>
          <w:p w:rsidR="00584E37" w:rsidRPr="001C695B" w:rsidRDefault="00584E37" w:rsidP="00931B29">
            <w:pPr>
              <w:spacing w:before="20" w:after="20"/>
              <w:rPr>
                <w:rFonts w:eastAsia="Calibri" w:cs="Arial"/>
                <w:b/>
                <w:bCs/>
                <w:color w:val="4F81BD" w:themeColor="accent1"/>
                <w:sz w:val="22"/>
                <w:lang w:val="fr-FR"/>
              </w:rPr>
            </w:pPr>
          </w:p>
        </w:tc>
        <w:tc>
          <w:tcPr>
            <w:tcW w:w="8221" w:type="dxa"/>
          </w:tcPr>
          <w:p w:rsidR="00584E37" w:rsidRPr="001C695B" w:rsidRDefault="00584E37" w:rsidP="00931B29">
            <w:pPr>
              <w:spacing w:before="20" w:after="20"/>
              <w:rPr>
                <w:sz w:val="20"/>
                <w:szCs w:val="20"/>
                <w:lang w:val="fr-FR"/>
              </w:rPr>
            </w:pPr>
            <w:r w:rsidRPr="001C695B">
              <w:rPr>
                <w:sz w:val="20"/>
                <w:szCs w:val="20"/>
                <w:lang w:val="fr-FR"/>
              </w:rPr>
              <w:t>Satisfaction des utilisateurs en ce qui concerne les services TIC:</w:t>
            </w:r>
            <w:r w:rsidRPr="001C695B">
              <w:rPr>
                <w:sz w:val="20"/>
                <w:szCs w:val="20"/>
                <w:lang w:val="fr-FR"/>
              </w:rPr>
              <w:br/>
            </w:r>
            <w:r w:rsidRPr="001C695B">
              <w:rPr>
                <w:i/>
                <w:iCs/>
                <w:sz w:val="20"/>
                <w:szCs w:val="20"/>
                <w:lang w:val="fr-FR"/>
              </w:rPr>
              <w:t xml:space="preserve">Globalement: 88% d'opinion excellente ou bonne; 11% d'opinion passable ou médiocre; 1% sans </w:t>
            </w:r>
            <w:r w:rsidRPr="001C695B">
              <w:rPr>
                <w:i/>
                <w:iCs/>
                <w:sz w:val="20"/>
                <w:szCs w:val="20"/>
                <w:lang w:val="fr-FR"/>
              </w:rPr>
              <w:lastRenderedPageBreak/>
              <w:t>opinion</w:t>
            </w:r>
            <w:r w:rsidRPr="001C695B">
              <w:rPr>
                <w:i/>
                <w:iCs/>
                <w:sz w:val="20"/>
                <w:szCs w:val="20"/>
                <w:lang w:val="fr-FR"/>
              </w:rPr>
              <w:br/>
              <w:t>Objectif pour 2020: augmentation de 5% du taux de satisfaction d'ici à 2020</w:t>
            </w:r>
          </w:p>
        </w:tc>
        <w:tc>
          <w:tcPr>
            <w:tcW w:w="3261" w:type="dxa"/>
          </w:tcPr>
          <w:p w:rsidR="00584E37" w:rsidRPr="001C695B" w:rsidRDefault="00584E37" w:rsidP="00931B29">
            <w:pPr>
              <w:spacing w:before="20" w:after="20"/>
              <w:rPr>
                <w:sz w:val="20"/>
                <w:szCs w:val="20"/>
                <w:vertAlign w:val="superscript"/>
                <w:lang w:val="fr-FR"/>
              </w:rPr>
            </w:pPr>
            <w:r w:rsidRPr="001C695B">
              <w:rPr>
                <w:sz w:val="20"/>
                <w:szCs w:val="20"/>
                <w:lang w:val="fr-FR"/>
              </w:rPr>
              <w:lastRenderedPageBreak/>
              <w:t>Enquête de satisfaction des utilisateurs</w:t>
            </w:r>
          </w:p>
        </w:tc>
      </w:tr>
    </w:tbl>
    <w:p w:rsidR="00741A31" w:rsidRPr="001C695B" w:rsidRDefault="00741A31" w:rsidP="00741A31">
      <w:pPr>
        <w:pStyle w:val="Heading2"/>
        <w:spacing w:after="120"/>
        <w:rPr>
          <w:lang w:val="fr-FR"/>
        </w:rPr>
      </w:pPr>
      <w:r w:rsidRPr="001C695B">
        <w:rPr>
          <w:lang w:val="fr-FR"/>
        </w:rPr>
        <w:t>5.3</w:t>
      </w:r>
      <w:r w:rsidRPr="001C695B">
        <w:rPr>
          <w:lang w:val="fr-FR"/>
        </w:rPr>
        <w:tab/>
        <w:t>E.3 Fournir des services efficaces en ce qui concerne les membres, le protocole, la communication et la mobilisation des ressources</w:t>
      </w:r>
    </w:p>
    <w:tbl>
      <w:tblPr>
        <w:tblStyle w:val="GridTable4-Accent11"/>
        <w:tblW w:w="14596" w:type="dxa"/>
        <w:tblLook w:val="0620" w:firstRow="1" w:lastRow="0" w:firstColumn="0" w:lastColumn="0" w:noHBand="1" w:noVBand="1"/>
      </w:tblPr>
      <w:tblGrid>
        <w:gridCol w:w="3114"/>
        <w:gridCol w:w="8221"/>
        <w:gridCol w:w="3261"/>
      </w:tblGrid>
      <w:tr w:rsidR="00584E37" w:rsidRPr="001C695B" w:rsidTr="00931B29">
        <w:trPr>
          <w:cnfStyle w:val="100000000000" w:firstRow="1" w:lastRow="0" w:firstColumn="0" w:lastColumn="0" w:oddVBand="0" w:evenVBand="0" w:oddHBand="0" w:evenHBand="0" w:firstRowFirstColumn="0" w:firstRowLastColumn="0" w:lastRowFirstColumn="0" w:lastRowLastColumn="0"/>
        </w:trPr>
        <w:tc>
          <w:tcPr>
            <w:tcW w:w="3114" w:type="dxa"/>
          </w:tcPr>
          <w:p w:rsidR="00584E37" w:rsidRPr="001C695B" w:rsidRDefault="00584E37" w:rsidP="00931B29">
            <w:pPr>
              <w:spacing w:before="20" w:after="20"/>
              <w:rPr>
                <w:sz w:val="22"/>
                <w:lang w:val="fr-FR"/>
              </w:rPr>
            </w:pPr>
            <w:r w:rsidRPr="001C695B">
              <w:rPr>
                <w:sz w:val="22"/>
                <w:lang w:val="fr-FR"/>
              </w:rPr>
              <w:t>Résultat</w:t>
            </w:r>
          </w:p>
        </w:tc>
        <w:tc>
          <w:tcPr>
            <w:tcW w:w="8221" w:type="dxa"/>
          </w:tcPr>
          <w:p w:rsidR="00584E37" w:rsidRPr="001C695B" w:rsidRDefault="00584E37" w:rsidP="00931B29">
            <w:pPr>
              <w:spacing w:before="20" w:after="20"/>
              <w:rPr>
                <w:sz w:val="22"/>
                <w:lang w:val="fr-FR"/>
              </w:rPr>
            </w:pPr>
            <w:r w:rsidRPr="001C695B">
              <w:rPr>
                <w:sz w:val="22"/>
                <w:lang w:val="fr-FR"/>
              </w:rPr>
              <w:t>Indicateur de résultat (valeur actuelle – valeur d'ici à 2020</w:t>
            </w:r>
            <w:r w:rsidRPr="001C695B">
              <w:rPr>
                <w:b w:val="0"/>
                <w:bCs w:val="0"/>
                <w:sz w:val="22"/>
                <w:lang w:val="fr-FR"/>
              </w:rPr>
              <w:t>)</w:t>
            </w:r>
          </w:p>
        </w:tc>
        <w:tc>
          <w:tcPr>
            <w:tcW w:w="3261" w:type="dxa"/>
          </w:tcPr>
          <w:p w:rsidR="00584E37" w:rsidRPr="001C695B" w:rsidRDefault="00584E37" w:rsidP="00931B29">
            <w:pPr>
              <w:spacing w:before="20" w:after="20"/>
              <w:rPr>
                <w:sz w:val="22"/>
                <w:lang w:val="fr-FR"/>
              </w:rPr>
            </w:pPr>
            <w:r w:rsidRPr="001C695B">
              <w:rPr>
                <w:sz w:val="22"/>
                <w:lang w:val="fr-FR"/>
              </w:rPr>
              <w:t>Moyen de mesure</w:t>
            </w:r>
          </w:p>
        </w:tc>
      </w:tr>
      <w:tr w:rsidR="00584E37" w:rsidRPr="001C695B" w:rsidTr="00931B29">
        <w:trPr>
          <w:trHeight w:val="342"/>
        </w:trPr>
        <w:tc>
          <w:tcPr>
            <w:tcW w:w="3114" w:type="dxa"/>
            <w:vMerge w:val="restart"/>
          </w:tcPr>
          <w:p w:rsidR="00584E37" w:rsidRPr="001C695B" w:rsidRDefault="00584E37" w:rsidP="00931B29">
            <w:pPr>
              <w:spacing w:before="20" w:after="20"/>
              <w:rPr>
                <w:rFonts w:eastAsia="Calibri" w:cs="Arial"/>
                <w:sz w:val="20"/>
                <w:szCs w:val="20"/>
                <w:lang w:val="fr-FR"/>
              </w:rPr>
            </w:pPr>
            <w:r w:rsidRPr="001C695B">
              <w:rPr>
                <w:rFonts w:eastAsia="Calibri" w:cs="Arial"/>
                <w:b/>
                <w:bCs/>
                <w:color w:val="4F81BD" w:themeColor="accent1"/>
                <w:sz w:val="20"/>
                <w:szCs w:val="20"/>
                <w:lang w:val="fr-FR"/>
              </w:rPr>
              <w:t>E.3</w:t>
            </w:r>
            <w:r w:rsidRPr="001C695B">
              <w:rPr>
                <w:rFonts w:eastAsia="Calibri" w:cs="Arial"/>
                <w:sz w:val="20"/>
                <w:szCs w:val="20"/>
                <w:lang w:val="fr-FR"/>
              </w:rPr>
              <w:t>: Services efficaces en ce qui concerne les membres, le protocole, la communication et la mobilisation des ressources</w:t>
            </w:r>
          </w:p>
        </w:tc>
        <w:tc>
          <w:tcPr>
            <w:tcW w:w="8221" w:type="dxa"/>
          </w:tcPr>
          <w:p w:rsidR="00584E37" w:rsidRPr="001C695B" w:rsidRDefault="00584E37" w:rsidP="00931B29">
            <w:pPr>
              <w:spacing w:before="20" w:after="20"/>
              <w:rPr>
                <w:i/>
                <w:iCs/>
                <w:sz w:val="20"/>
                <w:szCs w:val="20"/>
                <w:lang w:val="fr-FR"/>
              </w:rPr>
            </w:pPr>
            <w:r w:rsidRPr="001C695B">
              <w:rPr>
                <w:sz w:val="20"/>
                <w:szCs w:val="20"/>
                <w:lang w:val="fr-FR"/>
              </w:rPr>
              <w:t>Satisfaction des membres: Membres de Secteur, Associés et établissements universitaires:</w:t>
            </w:r>
            <w:r w:rsidRPr="001C695B">
              <w:rPr>
                <w:sz w:val="20"/>
                <w:szCs w:val="20"/>
                <w:lang w:val="fr-FR"/>
              </w:rPr>
              <w:br/>
            </w:r>
            <w:r w:rsidRPr="001C695B">
              <w:rPr>
                <w:i/>
                <w:iCs/>
                <w:sz w:val="20"/>
                <w:szCs w:val="20"/>
                <w:lang w:val="fr-FR"/>
              </w:rPr>
              <w:t>2014: 93% des utilisateurs TIES participant – satisfaits/très satisfaits;</w:t>
            </w:r>
            <w:r w:rsidRPr="001C695B">
              <w:rPr>
                <w:i/>
                <w:iCs/>
                <w:sz w:val="20"/>
                <w:szCs w:val="20"/>
                <w:lang w:val="fr-FR"/>
              </w:rPr>
              <w:br/>
              <w:t>2015: 95% des utilisateurs ayant répondu – satisfaits/très satisfaits;</w:t>
            </w:r>
          </w:p>
          <w:p w:rsidR="00584E37" w:rsidRPr="001C695B" w:rsidRDefault="00584E37" w:rsidP="00931B29">
            <w:pPr>
              <w:spacing w:before="20" w:after="20"/>
              <w:rPr>
                <w:sz w:val="20"/>
                <w:szCs w:val="20"/>
                <w:lang w:val="fr-FR"/>
              </w:rPr>
            </w:pPr>
            <w:r w:rsidRPr="001C695B">
              <w:rPr>
                <w:i/>
                <w:iCs/>
                <w:sz w:val="20"/>
                <w:szCs w:val="20"/>
                <w:lang w:val="fr-FR"/>
              </w:rPr>
              <w:t>2016: 95% des utilisateurs ayant répondu – satisfaits/très satisfaits;</w:t>
            </w:r>
            <w:r w:rsidRPr="001C695B">
              <w:rPr>
                <w:i/>
                <w:iCs/>
                <w:sz w:val="20"/>
                <w:szCs w:val="20"/>
                <w:lang w:val="fr-FR"/>
              </w:rPr>
              <w:br/>
              <w:t>Objectif pour 2020: maintenir un taux de satisfaction des membres de plus de 90% chaque année</w:t>
            </w:r>
          </w:p>
        </w:tc>
        <w:tc>
          <w:tcPr>
            <w:tcW w:w="3261" w:type="dxa"/>
          </w:tcPr>
          <w:p w:rsidR="00584E37" w:rsidRPr="001C695B" w:rsidRDefault="00584E37" w:rsidP="00931B29">
            <w:pPr>
              <w:spacing w:before="20" w:after="20"/>
              <w:rPr>
                <w:sz w:val="20"/>
                <w:szCs w:val="20"/>
                <w:lang w:val="fr-FR"/>
              </w:rPr>
            </w:pPr>
            <w:r w:rsidRPr="001C695B">
              <w:rPr>
                <w:sz w:val="20"/>
                <w:szCs w:val="20"/>
                <w:lang w:val="fr-FR"/>
              </w:rPr>
              <w:t>Enquête auprès des membres</w:t>
            </w:r>
          </w:p>
        </w:tc>
      </w:tr>
      <w:tr w:rsidR="00584E37" w:rsidRPr="001C695B" w:rsidTr="00931B29">
        <w:trPr>
          <w:trHeight w:val="341"/>
        </w:trPr>
        <w:tc>
          <w:tcPr>
            <w:tcW w:w="3114" w:type="dxa"/>
            <w:vMerge/>
          </w:tcPr>
          <w:p w:rsidR="00584E37" w:rsidRPr="001C695B" w:rsidRDefault="00584E37" w:rsidP="00931B29">
            <w:pPr>
              <w:spacing w:before="20" w:after="20"/>
              <w:rPr>
                <w:rFonts w:eastAsia="Calibri" w:cs="Arial"/>
                <w:b/>
                <w:bCs/>
                <w:color w:val="4F81BD" w:themeColor="accent1"/>
                <w:sz w:val="22"/>
                <w:lang w:val="fr-FR"/>
              </w:rPr>
            </w:pPr>
          </w:p>
        </w:tc>
        <w:tc>
          <w:tcPr>
            <w:tcW w:w="8221" w:type="dxa"/>
          </w:tcPr>
          <w:p w:rsidR="00584E37" w:rsidRPr="001C695B" w:rsidRDefault="00584E37" w:rsidP="00931B29">
            <w:pPr>
              <w:spacing w:before="20" w:after="20"/>
              <w:rPr>
                <w:i/>
                <w:iCs/>
                <w:sz w:val="20"/>
                <w:szCs w:val="20"/>
                <w:lang w:val="fr-FR"/>
              </w:rPr>
            </w:pPr>
            <w:r w:rsidRPr="001C695B">
              <w:rPr>
                <w:sz w:val="20"/>
                <w:szCs w:val="20"/>
                <w:lang w:val="fr-FR"/>
              </w:rPr>
              <w:t xml:space="preserve">Nombre de membres: </w:t>
            </w:r>
            <w:r w:rsidRPr="001C695B">
              <w:rPr>
                <w:sz w:val="20"/>
                <w:szCs w:val="20"/>
                <w:lang w:val="fr-FR"/>
              </w:rPr>
              <w:br/>
            </w:r>
            <w:r w:rsidRPr="001C695B">
              <w:rPr>
                <w:i/>
                <w:iCs/>
                <w:sz w:val="20"/>
                <w:szCs w:val="20"/>
                <w:lang w:val="fr-FR"/>
              </w:rPr>
              <w:t>2014: Membres de Secteur = 873; Associés = 166; établissements universitaires = 87; total = 1 126;</w:t>
            </w:r>
            <w:r w:rsidRPr="001C695B">
              <w:rPr>
                <w:i/>
                <w:iCs/>
                <w:sz w:val="20"/>
                <w:szCs w:val="20"/>
                <w:lang w:val="fr-FR"/>
              </w:rPr>
              <w:br/>
              <w:t>2015: Membres de Secteur = 881; Associés = 173; établissements universitaires = 109; total = 1 163</w:t>
            </w:r>
          </w:p>
          <w:p w:rsidR="00584E37" w:rsidRPr="001C695B" w:rsidRDefault="00584E37" w:rsidP="00931B29">
            <w:pPr>
              <w:spacing w:before="20" w:after="20"/>
              <w:rPr>
                <w:sz w:val="20"/>
                <w:szCs w:val="20"/>
                <w:lang w:val="fr-FR"/>
              </w:rPr>
            </w:pPr>
            <w:r w:rsidRPr="001C695B">
              <w:rPr>
                <w:i/>
                <w:iCs/>
                <w:sz w:val="20"/>
                <w:szCs w:val="20"/>
                <w:lang w:val="fr-FR"/>
              </w:rPr>
              <w:t>2016: Membres de Secteur = 856; Associés = 169; établissements universitaires = 132; total = 1 157</w:t>
            </w:r>
            <w:r w:rsidRPr="001C695B">
              <w:rPr>
                <w:i/>
                <w:iCs/>
                <w:sz w:val="20"/>
                <w:szCs w:val="20"/>
                <w:lang w:val="fr-FR"/>
              </w:rPr>
              <w:br/>
              <w:t>Objectif pour 2020: croissance de 15% du nombre total de membres; Etat de la situation: plus 3% en 2015 par rapport à 2014</w:t>
            </w:r>
          </w:p>
        </w:tc>
        <w:tc>
          <w:tcPr>
            <w:tcW w:w="3261" w:type="dxa"/>
          </w:tcPr>
          <w:p w:rsidR="00584E37" w:rsidRPr="001C695B" w:rsidRDefault="00584E37" w:rsidP="00931B29">
            <w:pPr>
              <w:spacing w:before="20" w:after="20"/>
              <w:rPr>
                <w:sz w:val="20"/>
                <w:szCs w:val="20"/>
                <w:lang w:val="fr-FR"/>
              </w:rPr>
            </w:pPr>
            <w:r w:rsidRPr="001C695B">
              <w:rPr>
                <w:sz w:val="20"/>
                <w:szCs w:val="20"/>
                <w:lang w:val="fr-FR"/>
              </w:rPr>
              <w:t xml:space="preserve">Données fournies par SPM </w:t>
            </w:r>
          </w:p>
        </w:tc>
      </w:tr>
      <w:tr w:rsidR="00584E37" w:rsidRPr="001C695B" w:rsidTr="00931B29">
        <w:trPr>
          <w:trHeight w:val="109"/>
        </w:trPr>
        <w:tc>
          <w:tcPr>
            <w:tcW w:w="3114" w:type="dxa"/>
            <w:vMerge/>
          </w:tcPr>
          <w:p w:rsidR="00584E37" w:rsidRPr="001C695B" w:rsidRDefault="00584E37" w:rsidP="00931B29">
            <w:pPr>
              <w:spacing w:before="20" w:after="20"/>
              <w:rPr>
                <w:rFonts w:eastAsia="Calibri" w:cs="Arial"/>
                <w:b/>
                <w:bCs/>
                <w:color w:val="4F81BD" w:themeColor="accent1"/>
                <w:sz w:val="22"/>
                <w:lang w:val="fr-FR"/>
              </w:rPr>
            </w:pPr>
          </w:p>
        </w:tc>
        <w:tc>
          <w:tcPr>
            <w:tcW w:w="8221" w:type="dxa"/>
          </w:tcPr>
          <w:p w:rsidR="00584E37" w:rsidRPr="001C695B" w:rsidRDefault="00584E37" w:rsidP="00931B29">
            <w:pPr>
              <w:spacing w:before="20" w:after="20"/>
              <w:rPr>
                <w:sz w:val="20"/>
                <w:szCs w:val="20"/>
                <w:lang w:val="fr-FR"/>
              </w:rPr>
            </w:pPr>
            <w:r w:rsidRPr="001C695B">
              <w:rPr>
                <w:sz w:val="20"/>
                <w:szCs w:val="20"/>
                <w:lang w:val="fr-FR"/>
              </w:rPr>
              <w:t>Volume d'articles dans les médias faisant référence à l'UIT:</w:t>
            </w:r>
            <w:r w:rsidRPr="001C695B">
              <w:rPr>
                <w:sz w:val="20"/>
                <w:szCs w:val="20"/>
                <w:lang w:val="fr-FR"/>
              </w:rPr>
              <w:br/>
            </w:r>
            <w:r w:rsidRPr="001C695B">
              <w:rPr>
                <w:i/>
                <w:iCs/>
                <w:sz w:val="20"/>
                <w:szCs w:val="20"/>
                <w:lang w:val="fr-FR"/>
              </w:rPr>
              <w:t>2015: positifs = 56,3% / neutres = 41,7% / négatifs = 2%</w:t>
            </w:r>
            <w:r w:rsidRPr="001C695B">
              <w:rPr>
                <w:sz w:val="20"/>
                <w:szCs w:val="20"/>
                <w:lang w:val="fr-FR"/>
              </w:rPr>
              <w:t xml:space="preserve"> </w:t>
            </w:r>
          </w:p>
          <w:p w:rsidR="00584E37" w:rsidRPr="001C695B" w:rsidRDefault="00584E37" w:rsidP="00931B29">
            <w:pPr>
              <w:spacing w:before="20" w:after="20"/>
              <w:rPr>
                <w:sz w:val="20"/>
                <w:szCs w:val="20"/>
                <w:lang w:val="fr-FR"/>
              </w:rPr>
            </w:pPr>
            <w:r w:rsidRPr="001C695B">
              <w:rPr>
                <w:sz w:val="20"/>
                <w:szCs w:val="20"/>
                <w:lang w:val="fr-FR"/>
              </w:rPr>
              <w:t>Participation aux canaux numériques en 2015:</w:t>
            </w:r>
            <w:r w:rsidRPr="001C695B">
              <w:rPr>
                <w:sz w:val="20"/>
                <w:szCs w:val="20"/>
                <w:lang w:val="fr-FR"/>
              </w:rPr>
              <w:br/>
            </w:r>
            <w:r w:rsidRPr="001C695B">
              <w:rPr>
                <w:i/>
                <w:iCs/>
                <w:sz w:val="20"/>
                <w:szCs w:val="20"/>
                <w:lang w:val="fr-FR"/>
              </w:rPr>
              <w:t>64% pour les actualités en ligne, 20% pour les blogs, 15% pour les communiqués de presse, 0,1% pour Twitter</w:t>
            </w:r>
          </w:p>
        </w:tc>
        <w:tc>
          <w:tcPr>
            <w:tcW w:w="3261" w:type="dxa"/>
          </w:tcPr>
          <w:p w:rsidR="00584E37" w:rsidRPr="001C695B" w:rsidRDefault="00584E37" w:rsidP="00931B29">
            <w:pPr>
              <w:spacing w:before="20" w:after="20"/>
              <w:rPr>
                <w:sz w:val="20"/>
                <w:szCs w:val="20"/>
                <w:lang w:val="fr-FR"/>
              </w:rPr>
            </w:pPr>
            <w:r w:rsidRPr="001C695B">
              <w:rPr>
                <w:sz w:val="20"/>
                <w:szCs w:val="20"/>
                <w:lang w:val="fr-FR"/>
              </w:rPr>
              <w:t>Outil de contrôle des médias</w:t>
            </w:r>
          </w:p>
          <w:p w:rsidR="00584E37" w:rsidRPr="001C695B" w:rsidRDefault="00584E37" w:rsidP="00931B29">
            <w:pPr>
              <w:spacing w:before="20" w:after="20"/>
              <w:rPr>
                <w:sz w:val="20"/>
                <w:szCs w:val="20"/>
                <w:lang w:val="fr-FR"/>
              </w:rPr>
            </w:pPr>
            <w:r w:rsidRPr="001C695B">
              <w:rPr>
                <w:sz w:val="20"/>
                <w:szCs w:val="20"/>
                <w:lang w:val="fr-FR"/>
              </w:rPr>
              <w:t>Intelligence économique</w:t>
            </w:r>
          </w:p>
        </w:tc>
      </w:tr>
      <w:tr w:rsidR="00584E37" w:rsidRPr="001C695B" w:rsidTr="00931B29">
        <w:trPr>
          <w:trHeight w:val="109"/>
        </w:trPr>
        <w:tc>
          <w:tcPr>
            <w:tcW w:w="3114" w:type="dxa"/>
            <w:vMerge/>
          </w:tcPr>
          <w:p w:rsidR="00584E37" w:rsidRPr="001C695B" w:rsidRDefault="00584E37" w:rsidP="00931B29">
            <w:pPr>
              <w:spacing w:before="20" w:after="20"/>
              <w:rPr>
                <w:rFonts w:eastAsia="Calibri" w:cs="Arial"/>
                <w:b/>
                <w:bCs/>
                <w:color w:val="4F81BD" w:themeColor="accent1"/>
                <w:sz w:val="22"/>
                <w:lang w:val="fr-FR"/>
              </w:rPr>
            </w:pPr>
          </w:p>
        </w:tc>
        <w:tc>
          <w:tcPr>
            <w:tcW w:w="8221" w:type="dxa"/>
          </w:tcPr>
          <w:p w:rsidR="00584E37" w:rsidRPr="001C695B" w:rsidRDefault="00584E37" w:rsidP="00931B29">
            <w:pPr>
              <w:spacing w:before="20" w:after="60"/>
              <w:rPr>
                <w:rFonts w:eastAsia="Calibri" w:cs="Arial"/>
                <w:i/>
                <w:iCs/>
                <w:sz w:val="20"/>
                <w:lang w:val="fr-FR"/>
              </w:rPr>
            </w:pPr>
            <w:r w:rsidRPr="001C695B">
              <w:rPr>
                <w:sz w:val="20"/>
                <w:szCs w:val="20"/>
                <w:lang w:val="fr-FR"/>
              </w:rPr>
              <w:t xml:space="preserve">Recettes totales </w:t>
            </w:r>
            <w:r w:rsidRPr="001C695B">
              <w:rPr>
                <w:rFonts w:eastAsia="Calibri" w:cs="Arial"/>
                <w:sz w:val="20"/>
                <w:lang w:val="fr-FR"/>
              </w:rPr>
              <w:t>pour les Membres de Secteur, les Associés et les établissements universitaires:</w:t>
            </w:r>
            <w:r w:rsidRPr="001C695B">
              <w:rPr>
                <w:rFonts w:eastAsia="Calibri" w:cs="Arial"/>
                <w:sz w:val="20"/>
                <w:lang w:val="fr-FR"/>
              </w:rPr>
              <w:br/>
            </w:r>
            <w:r w:rsidRPr="001C695B">
              <w:rPr>
                <w:rFonts w:eastAsia="Calibri" w:cs="Arial"/>
                <w:i/>
                <w:iCs/>
                <w:sz w:val="20"/>
                <w:lang w:val="fr-FR"/>
              </w:rPr>
              <w:t>2014: 16,8 millions CHF</w:t>
            </w:r>
            <w:r w:rsidRPr="001C695B">
              <w:rPr>
                <w:rFonts w:eastAsia="Calibri" w:cs="Arial"/>
                <w:i/>
                <w:iCs/>
                <w:sz w:val="20"/>
                <w:lang w:val="fr-FR"/>
              </w:rPr>
              <w:br/>
              <w:t>2015: 16,7 millions CHF</w:t>
            </w:r>
            <w:r w:rsidRPr="001C695B">
              <w:rPr>
                <w:rFonts w:eastAsia="Calibri" w:cs="Arial"/>
                <w:i/>
                <w:iCs/>
                <w:sz w:val="20"/>
                <w:lang w:val="fr-FR"/>
              </w:rPr>
              <w:br/>
              <w:t>2016: 16,4 millions CHF</w:t>
            </w:r>
          </w:p>
          <w:p w:rsidR="00584E37" w:rsidRPr="001C695B" w:rsidRDefault="00584E37" w:rsidP="00931B29">
            <w:pPr>
              <w:spacing w:before="20" w:after="20"/>
              <w:rPr>
                <w:i/>
                <w:iCs/>
                <w:sz w:val="20"/>
                <w:szCs w:val="20"/>
                <w:lang w:val="fr-FR"/>
              </w:rPr>
            </w:pPr>
            <w:r w:rsidRPr="001C695B">
              <w:rPr>
                <w:rFonts w:eastAsia="Calibri" w:cs="Arial"/>
                <w:sz w:val="20"/>
                <w:szCs w:val="20"/>
                <w:lang w:val="fr-FR"/>
              </w:rPr>
              <w:t>Recettes totales pour l'Union:</w:t>
            </w:r>
            <w:r w:rsidRPr="001C695B">
              <w:rPr>
                <w:rFonts w:eastAsia="Calibri" w:cs="Arial"/>
                <w:sz w:val="20"/>
                <w:szCs w:val="20"/>
                <w:lang w:val="fr-FR"/>
              </w:rPr>
              <w:br/>
            </w:r>
            <w:r w:rsidRPr="001C695B">
              <w:rPr>
                <w:rFonts w:eastAsia="Calibri" w:cs="Arial"/>
                <w:i/>
                <w:iCs/>
                <w:sz w:val="20"/>
                <w:szCs w:val="20"/>
                <w:lang w:val="fr-FR"/>
              </w:rPr>
              <w:t>2014: 158,4 millions CHF; 2015: 158,0 millions CHF</w:t>
            </w:r>
            <w:r w:rsidRPr="001C695B">
              <w:rPr>
                <w:sz w:val="20"/>
                <w:szCs w:val="20"/>
                <w:lang w:val="fr-FR"/>
              </w:rPr>
              <w:t xml:space="preserve">; </w:t>
            </w:r>
            <w:r w:rsidRPr="001C695B">
              <w:rPr>
                <w:i/>
                <w:iCs/>
                <w:sz w:val="20"/>
                <w:szCs w:val="20"/>
                <w:lang w:val="fr-FR"/>
              </w:rPr>
              <w:t>2016: 157,7 millions CHF</w:t>
            </w:r>
          </w:p>
        </w:tc>
        <w:tc>
          <w:tcPr>
            <w:tcW w:w="3261" w:type="dxa"/>
          </w:tcPr>
          <w:p w:rsidR="00584E37" w:rsidRPr="001C695B" w:rsidRDefault="00584E37" w:rsidP="00931B29">
            <w:pPr>
              <w:spacing w:before="20" w:after="20"/>
              <w:rPr>
                <w:sz w:val="20"/>
                <w:szCs w:val="20"/>
                <w:lang w:val="fr-FR"/>
              </w:rPr>
            </w:pPr>
            <w:r w:rsidRPr="001C695B">
              <w:rPr>
                <w:sz w:val="20"/>
                <w:szCs w:val="20"/>
                <w:lang w:val="fr-FR"/>
              </w:rPr>
              <w:t xml:space="preserve">Données fournies par le Département de la gestion des ressources financières </w:t>
            </w:r>
          </w:p>
        </w:tc>
      </w:tr>
    </w:tbl>
    <w:p w:rsidR="00741A31" w:rsidRPr="001C695B" w:rsidRDefault="00741A31" w:rsidP="00741A31">
      <w:pPr>
        <w:overflowPunct/>
        <w:autoSpaceDE/>
        <w:autoSpaceDN/>
        <w:adjustRightInd/>
        <w:spacing w:before="0"/>
        <w:textAlignment w:val="auto"/>
        <w:rPr>
          <w:b/>
          <w:lang w:val="fr-FR"/>
        </w:rPr>
      </w:pPr>
      <w:r w:rsidRPr="001C695B">
        <w:rPr>
          <w:lang w:val="fr-FR"/>
        </w:rPr>
        <w:br w:type="page"/>
      </w:r>
    </w:p>
    <w:p w:rsidR="00741A31" w:rsidRPr="001C695B" w:rsidRDefault="00741A31" w:rsidP="00741A31">
      <w:pPr>
        <w:pStyle w:val="Heading2"/>
        <w:spacing w:after="120"/>
        <w:rPr>
          <w:lang w:val="fr-FR"/>
        </w:rPr>
      </w:pPr>
      <w:r w:rsidRPr="001C695B">
        <w:rPr>
          <w:lang w:val="fr-FR"/>
        </w:rPr>
        <w:lastRenderedPageBreak/>
        <w:t>5.4</w:t>
      </w:r>
      <w:r w:rsidRPr="001C695B">
        <w:rPr>
          <w:lang w:val="fr-FR"/>
        </w:rPr>
        <w:tab/>
        <w:t>E.4 Veiller à la planification, à la coordination et à l'exécution efficaces du plan stratégique et des plans opérationnels de l'Union</w:t>
      </w:r>
    </w:p>
    <w:tbl>
      <w:tblPr>
        <w:tblStyle w:val="GridTable4-Accent11"/>
        <w:tblW w:w="14596" w:type="dxa"/>
        <w:tblLook w:val="0620" w:firstRow="1" w:lastRow="0" w:firstColumn="0" w:lastColumn="0" w:noHBand="1" w:noVBand="1"/>
      </w:tblPr>
      <w:tblGrid>
        <w:gridCol w:w="3114"/>
        <w:gridCol w:w="8221"/>
        <w:gridCol w:w="3261"/>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3114" w:type="dxa"/>
          </w:tcPr>
          <w:p w:rsidR="00931B29" w:rsidRPr="001C695B" w:rsidRDefault="00931B29" w:rsidP="00931B29">
            <w:pPr>
              <w:spacing w:before="20" w:after="20"/>
              <w:rPr>
                <w:sz w:val="22"/>
                <w:lang w:val="fr-FR"/>
              </w:rPr>
            </w:pPr>
            <w:r w:rsidRPr="001C695B">
              <w:rPr>
                <w:sz w:val="22"/>
                <w:lang w:val="fr-FR"/>
              </w:rPr>
              <w:t>Résultat</w:t>
            </w:r>
          </w:p>
        </w:tc>
        <w:tc>
          <w:tcPr>
            <w:tcW w:w="8221" w:type="dxa"/>
          </w:tcPr>
          <w:p w:rsidR="00931B29" w:rsidRPr="001C695B" w:rsidRDefault="00931B29" w:rsidP="00931B29">
            <w:pPr>
              <w:spacing w:before="20" w:after="20"/>
              <w:rPr>
                <w:sz w:val="22"/>
                <w:lang w:val="fr-FR"/>
              </w:rPr>
            </w:pPr>
            <w:r w:rsidRPr="001C695B">
              <w:rPr>
                <w:sz w:val="22"/>
                <w:lang w:val="fr-FR"/>
              </w:rPr>
              <w:t>Indicateur de résultat (valeur actuelle – valeur d'ici à 2020</w:t>
            </w:r>
            <w:r w:rsidRPr="001C695B">
              <w:rPr>
                <w:b w:val="0"/>
                <w:bCs w:val="0"/>
                <w:sz w:val="22"/>
                <w:lang w:val="fr-FR"/>
              </w:rPr>
              <w:t>)</w:t>
            </w:r>
          </w:p>
        </w:tc>
        <w:tc>
          <w:tcPr>
            <w:tcW w:w="3261" w:type="dxa"/>
          </w:tcPr>
          <w:p w:rsidR="00931B29" w:rsidRPr="001C695B" w:rsidRDefault="00931B29" w:rsidP="00931B29">
            <w:pPr>
              <w:spacing w:before="20" w:after="20"/>
              <w:rPr>
                <w:sz w:val="22"/>
                <w:lang w:val="fr-FR"/>
              </w:rPr>
            </w:pPr>
            <w:r w:rsidRPr="001C695B">
              <w:rPr>
                <w:sz w:val="22"/>
                <w:lang w:val="fr-FR"/>
              </w:rPr>
              <w:t>Moyen de mesure</w:t>
            </w:r>
          </w:p>
        </w:tc>
      </w:tr>
      <w:tr w:rsidR="00931B29" w:rsidRPr="001C695B" w:rsidTr="00931B29">
        <w:trPr>
          <w:trHeight w:val="578"/>
        </w:trPr>
        <w:tc>
          <w:tcPr>
            <w:tcW w:w="3114" w:type="dxa"/>
          </w:tcPr>
          <w:p w:rsidR="00931B29" w:rsidRPr="001C695B" w:rsidRDefault="00931B29" w:rsidP="00931B29">
            <w:pPr>
              <w:spacing w:before="20" w:after="20"/>
              <w:rPr>
                <w:rFonts w:eastAsia="Calibri" w:cs="Arial"/>
                <w:sz w:val="20"/>
                <w:szCs w:val="20"/>
                <w:lang w:val="fr-FR"/>
              </w:rPr>
            </w:pPr>
            <w:r w:rsidRPr="001C695B">
              <w:rPr>
                <w:rFonts w:eastAsia="Calibri" w:cs="Arial"/>
                <w:b/>
                <w:bCs/>
                <w:color w:val="4F81BD" w:themeColor="accent1"/>
                <w:sz w:val="20"/>
                <w:szCs w:val="20"/>
                <w:lang w:val="fr-FR"/>
              </w:rPr>
              <w:t>E.4</w:t>
            </w:r>
            <w:r w:rsidRPr="001C695B">
              <w:rPr>
                <w:rFonts w:eastAsia="Calibri" w:cs="Arial"/>
                <w:sz w:val="20"/>
                <w:szCs w:val="20"/>
                <w:lang w:val="fr-FR"/>
              </w:rPr>
              <w:t>: Planification, coordination et exécution efficaces du plan stratégique et des plans opérationnels de l'Union</w:t>
            </w:r>
          </w:p>
        </w:tc>
        <w:tc>
          <w:tcPr>
            <w:tcW w:w="8221" w:type="dxa"/>
          </w:tcPr>
          <w:p w:rsidR="00931B29" w:rsidRPr="001C695B" w:rsidRDefault="00931B29" w:rsidP="00931B29">
            <w:pPr>
              <w:spacing w:before="20" w:after="20"/>
              <w:rPr>
                <w:sz w:val="22"/>
                <w:lang w:val="fr-FR"/>
              </w:rPr>
            </w:pPr>
            <w:r w:rsidRPr="001C695B">
              <w:rPr>
                <w:sz w:val="22"/>
                <w:lang w:val="fr-FR"/>
              </w:rPr>
              <w:t>Pourcentage des cibles/résultats atteints ou en cours de réalisation:</w:t>
            </w:r>
            <w:r w:rsidRPr="001C695B">
              <w:rPr>
                <w:sz w:val="22"/>
                <w:lang w:val="fr-FR"/>
              </w:rPr>
              <w:br/>
            </w:r>
            <w:r w:rsidRPr="001C695B">
              <w:rPr>
                <w:i/>
                <w:iCs/>
                <w:sz w:val="20"/>
                <w:szCs w:val="20"/>
                <w:lang w:val="fr-FR"/>
              </w:rPr>
              <w:t>~58% des cibles mesurées du Programme Connect 2020 étaient en cours de réalisation à la fin 2015, et 64% à la fin 2016.</w:t>
            </w:r>
          </w:p>
        </w:tc>
        <w:tc>
          <w:tcPr>
            <w:tcW w:w="3261" w:type="dxa"/>
          </w:tcPr>
          <w:p w:rsidR="00931B29" w:rsidRPr="001C695B" w:rsidRDefault="00931B29" w:rsidP="00931B29">
            <w:pPr>
              <w:spacing w:before="20" w:after="20"/>
              <w:rPr>
                <w:sz w:val="20"/>
                <w:szCs w:val="20"/>
                <w:lang w:val="fr-FR"/>
              </w:rPr>
            </w:pPr>
            <w:r w:rsidRPr="001C695B">
              <w:rPr>
                <w:sz w:val="20"/>
                <w:szCs w:val="20"/>
                <w:lang w:val="fr-FR"/>
              </w:rPr>
              <w:t>Rapport sur la mise en oeuvre du plan stratégique/données fournies par SPM</w:t>
            </w:r>
          </w:p>
        </w:tc>
      </w:tr>
    </w:tbl>
    <w:p w:rsidR="00741A31" w:rsidRPr="001C695B" w:rsidRDefault="00741A31" w:rsidP="00741A31">
      <w:pPr>
        <w:pStyle w:val="Heading2"/>
        <w:spacing w:after="120"/>
        <w:rPr>
          <w:lang w:val="fr-FR"/>
        </w:rPr>
      </w:pPr>
      <w:r w:rsidRPr="001C695B">
        <w:rPr>
          <w:lang w:val="fr-FR"/>
        </w:rPr>
        <w:t>5.5</w:t>
      </w:r>
      <w:r w:rsidRPr="001C695B">
        <w:rPr>
          <w:lang w:val="fr-FR"/>
        </w:rPr>
        <w:tab/>
        <w:t>E.5 Veiller à l'efficacité et à l'efficience de la gouvernance de l'organisation (en interne et à l'extérieur)</w:t>
      </w:r>
    </w:p>
    <w:tbl>
      <w:tblPr>
        <w:tblStyle w:val="GridTable4-Accent11"/>
        <w:tblW w:w="14596" w:type="dxa"/>
        <w:tblLook w:val="0620" w:firstRow="1" w:lastRow="0" w:firstColumn="0" w:lastColumn="0" w:noHBand="1" w:noVBand="1"/>
      </w:tblPr>
      <w:tblGrid>
        <w:gridCol w:w="3114"/>
        <w:gridCol w:w="8221"/>
        <w:gridCol w:w="3261"/>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3114" w:type="dxa"/>
          </w:tcPr>
          <w:p w:rsidR="00931B29" w:rsidRPr="001C695B" w:rsidRDefault="00931B29" w:rsidP="00931B29">
            <w:pPr>
              <w:spacing w:before="20" w:after="20"/>
              <w:rPr>
                <w:sz w:val="22"/>
                <w:lang w:val="fr-FR"/>
              </w:rPr>
            </w:pPr>
            <w:r w:rsidRPr="001C695B">
              <w:rPr>
                <w:sz w:val="22"/>
                <w:lang w:val="fr-FR"/>
              </w:rPr>
              <w:t>Résultat</w:t>
            </w:r>
          </w:p>
        </w:tc>
        <w:tc>
          <w:tcPr>
            <w:tcW w:w="8221" w:type="dxa"/>
          </w:tcPr>
          <w:p w:rsidR="00931B29" w:rsidRPr="001C695B" w:rsidRDefault="00931B29" w:rsidP="00931B29">
            <w:pPr>
              <w:spacing w:before="20" w:after="20"/>
              <w:rPr>
                <w:sz w:val="22"/>
                <w:lang w:val="fr-FR"/>
              </w:rPr>
            </w:pPr>
            <w:r w:rsidRPr="001C695B">
              <w:rPr>
                <w:sz w:val="22"/>
                <w:lang w:val="fr-FR"/>
              </w:rPr>
              <w:t>Indicateur de résultat (valeur actuelle – valeur d'ici à 2020</w:t>
            </w:r>
            <w:r w:rsidRPr="001C695B">
              <w:rPr>
                <w:b w:val="0"/>
                <w:bCs w:val="0"/>
                <w:sz w:val="22"/>
                <w:lang w:val="fr-FR"/>
              </w:rPr>
              <w:t>)</w:t>
            </w:r>
          </w:p>
        </w:tc>
        <w:tc>
          <w:tcPr>
            <w:tcW w:w="3261" w:type="dxa"/>
          </w:tcPr>
          <w:p w:rsidR="00931B29" w:rsidRPr="001C695B" w:rsidRDefault="00931B29" w:rsidP="00931B29">
            <w:pPr>
              <w:spacing w:before="20" w:after="20"/>
              <w:rPr>
                <w:sz w:val="22"/>
                <w:lang w:val="fr-FR"/>
              </w:rPr>
            </w:pPr>
            <w:r w:rsidRPr="001C695B">
              <w:rPr>
                <w:sz w:val="22"/>
                <w:lang w:val="fr-FR"/>
              </w:rPr>
              <w:t>Moyen de mesure</w:t>
            </w:r>
          </w:p>
        </w:tc>
      </w:tr>
      <w:tr w:rsidR="00931B29" w:rsidRPr="001C695B" w:rsidTr="00931B29">
        <w:trPr>
          <w:trHeight w:val="376"/>
        </w:trPr>
        <w:tc>
          <w:tcPr>
            <w:tcW w:w="3114" w:type="dxa"/>
            <w:vMerge w:val="restart"/>
          </w:tcPr>
          <w:p w:rsidR="00931B29" w:rsidRPr="001C695B" w:rsidRDefault="00931B29" w:rsidP="00931B29">
            <w:pPr>
              <w:spacing w:before="20" w:after="20"/>
              <w:rPr>
                <w:rFonts w:eastAsia="Calibri" w:cs="Arial"/>
                <w:sz w:val="20"/>
                <w:szCs w:val="20"/>
                <w:lang w:val="fr-FR"/>
              </w:rPr>
            </w:pPr>
            <w:r w:rsidRPr="001C695B">
              <w:rPr>
                <w:rFonts w:eastAsia="Calibri" w:cs="Arial"/>
                <w:b/>
                <w:bCs/>
                <w:color w:val="4F81BD" w:themeColor="accent1"/>
                <w:sz w:val="20"/>
                <w:szCs w:val="20"/>
                <w:lang w:val="fr-FR"/>
              </w:rPr>
              <w:t>E.5</w:t>
            </w:r>
            <w:r w:rsidRPr="001C695B">
              <w:rPr>
                <w:rFonts w:eastAsia="Calibri" w:cs="Arial"/>
                <w:sz w:val="20"/>
                <w:szCs w:val="20"/>
                <w:lang w:val="fr-FR"/>
              </w:rPr>
              <w:t>: Efficacité et efficience de la gouvernance de l'organisation (en interne et à l'extérieur)</w:t>
            </w:r>
          </w:p>
        </w:tc>
        <w:tc>
          <w:tcPr>
            <w:tcW w:w="8221" w:type="dxa"/>
          </w:tcPr>
          <w:p w:rsidR="00931B29" w:rsidRPr="001C695B" w:rsidRDefault="00931B29" w:rsidP="00931B29">
            <w:pPr>
              <w:spacing w:before="20" w:after="20"/>
              <w:rPr>
                <w:sz w:val="22"/>
                <w:lang w:val="fr-FR"/>
              </w:rPr>
            </w:pPr>
            <w:r w:rsidRPr="001C695B">
              <w:rPr>
                <w:sz w:val="20"/>
                <w:szCs w:val="20"/>
                <w:lang w:val="fr-FR"/>
              </w:rPr>
              <w:t>Niveau de mise en oeuvre des décisions des organes directeurs:</w:t>
            </w:r>
            <w:r w:rsidRPr="001C695B">
              <w:rPr>
                <w:sz w:val="22"/>
                <w:lang w:val="fr-FR"/>
              </w:rPr>
              <w:br/>
            </w:r>
            <w:r w:rsidRPr="001C695B">
              <w:rPr>
                <w:i/>
                <w:iCs/>
                <w:sz w:val="20"/>
                <w:szCs w:val="20"/>
                <w:lang w:val="fr-FR"/>
              </w:rPr>
              <w:t>% de Résolutions adoptées/modifiées à la PP-14 nécessitant qu'un rapport annuel soit soumis au Conseil pour lesquelles un rapport annuel a été présenté:</w:t>
            </w:r>
            <w:r w:rsidRPr="001C695B">
              <w:rPr>
                <w:i/>
                <w:iCs/>
                <w:sz w:val="20"/>
                <w:szCs w:val="20"/>
                <w:lang w:val="fr-FR"/>
              </w:rPr>
              <w:br/>
              <w:t>2015: 97,0%, 2016: 100% (objectif pour chaque année: 100%);</w:t>
            </w:r>
            <w:r w:rsidRPr="001C695B">
              <w:rPr>
                <w:i/>
                <w:iCs/>
                <w:sz w:val="20"/>
                <w:szCs w:val="20"/>
                <w:lang w:val="fr-FR"/>
              </w:rPr>
              <w:br/>
              <w:t>% cumulé de Résolutions nécessitant qu'au moins un rapport soit soumis au Conseil pour lesquelles un rapport a été présenté:</w:t>
            </w:r>
            <w:r w:rsidRPr="001C695B">
              <w:rPr>
                <w:i/>
                <w:iCs/>
                <w:sz w:val="20"/>
                <w:szCs w:val="20"/>
                <w:lang w:val="fr-FR"/>
              </w:rPr>
              <w:br/>
              <w:t>2015: 55,0%, 2016: 65% (objectif d'ici à la PP-18: 100%)</w:t>
            </w:r>
          </w:p>
        </w:tc>
        <w:tc>
          <w:tcPr>
            <w:tcW w:w="3261" w:type="dxa"/>
          </w:tcPr>
          <w:p w:rsidR="00931B29" w:rsidRPr="001C695B" w:rsidRDefault="00931B29" w:rsidP="00931B29">
            <w:pPr>
              <w:spacing w:before="20" w:after="20"/>
              <w:rPr>
                <w:sz w:val="20"/>
                <w:szCs w:val="20"/>
                <w:lang w:val="fr-FR"/>
              </w:rPr>
            </w:pPr>
            <w:r w:rsidRPr="001C695B">
              <w:rPr>
                <w:sz w:val="20"/>
                <w:szCs w:val="20"/>
                <w:lang w:val="fr-FR"/>
              </w:rPr>
              <w:t>Données fournies par SPM</w:t>
            </w:r>
          </w:p>
        </w:tc>
      </w:tr>
      <w:tr w:rsidR="00931B29" w:rsidRPr="001C695B" w:rsidTr="00931B29">
        <w:trPr>
          <w:trHeight w:val="70"/>
        </w:trPr>
        <w:tc>
          <w:tcPr>
            <w:tcW w:w="3114" w:type="dxa"/>
            <w:vMerge/>
          </w:tcPr>
          <w:p w:rsidR="00931B29" w:rsidRPr="001C695B" w:rsidRDefault="00931B29" w:rsidP="00931B29">
            <w:pPr>
              <w:spacing w:before="20" w:after="20"/>
              <w:rPr>
                <w:rFonts w:eastAsia="Calibri" w:cs="Arial"/>
                <w:b/>
                <w:bCs/>
                <w:color w:val="4F81BD" w:themeColor="accent1"/>
                <w:sz w:val="22"/>
                <w:lang w:val="fr-FR"/>
              </w:rPr>
            </w:pPr>
          </w:p>
        </w:tc>
        <w:tc>
          <w:tcPr>
            <w:tcW w:w="8221" w:type="dxa"/>
          </w:tcPr>
          <w:p w:rsidR="00931B29" w:rsidRPr="001C695B" w:rsidRDefault="00931B29" w:rsidP="00931B29">
            <w:pPr>
              <w:spacing w:before="20" w:after="20"/>
              <w:rPr>
                <w:i/>
                <w:iCs/>
                <w:sz w:val="20"/>
                <w:szCs w:val="20"/>
                <w:lang w:val="fr-FR"/>
              </w:rPr>
            </w:pPr>
            <w:r w:rsidRPr="001C695B">
              <w:rPr>
                <w:sz w:val="20"/>
                <w:szCs w:val="20"/>
                <w:lang w:val="fr-FR"/>
              </w:rPr>
              <w:t>Conclusions et recommandations de l'Unité de l'audit interne:</w:t>
            </w:r>
            <w:r w:rsidRPr="001C695B">
              <w:rPr>
                <w:sz w:val="22"/>
                <w:lang w:val="fr-FR"/>
              </w:rPr>
              <w:br/>
            </w:r>
            <w:r w:rsidRPr="001C695B">
              <w:rPr>
                <w:i/>
                <w:iCs/>
                <w:sz w:val="20"/>
                <w:szCs w:val="20"/>
                <w:lang w:val="fr-FR"/>
              </w:rPr>
              <w:t>% des recommandations de l'Unité d'audit interne adressées à la direction:</w:t>
            </w:r>
          </w:p>
          <w:p w:rsidR="00931B29" w:rsidRPr="001C695B" w:rsidRDefault="00931B29" w:rsidP="00931B29">
            <w:pPr>
              <w:spacing w:before="20" w:after="20"/>
              <w:rPr>
                <w:i/>
                <w:iCs/>
                <w:sz w:val="20"/>
                <w:szCs w:val="20"/>
                <w:lang w:val="fr-FR"/>
              </w:rPr>
            </w:pPr>
            <w:r w:rsidRPr="001C695B">
              <w:rPr>
                <w:i/>
                <w:iCs/>
                <w:sz w:val="20"/>
                <w:szCs w:val="20"/>
                <w:lang w:val="fr-FR"/>
              </w:rPr>
              <w:t>2015: en cours: 47%; closes: 53%; reportées: 0%</w:t>
            </w:r>
          </w:p>
          <w:p w:rsidR="00931B29" w:rsidRPr="001C695B" w:rsidRDefault="00931B29" w:rsidP="00931B29">
            <w:pPr>
              <w:spacing w:before="20" w:after="20"/>
              <w:rPr>
                <w:sz w:val="22"/>
                <w:lang w:val="fr-FR"/>
              </w:rPr>
            </w:pPr>
            <w:r w:rsidRPr="001C695B">
              <w:rPr>
                <w:i/>
                <w:iCs/>
                <w:sz w:val="20"/>
                <w:szCs w:val="20"/>
                <w:lang w:val="fr-FR"/>
              </w:rPr>
              <w:t>2016: en cours: 91%, closes: 0%, reportées: 0%</w:t>
            </w:r>
          </w:p>
        </w:tc>
        <w:tc>
          <w:tcPr>
            <w:tcW w:w="3261" w:type="dxa"/>
          </w:tcPr>
          <w:p w:rsidR="00931B29" w:rsidRPr="001C695B" w:rsidRDefault="00931B29" w:rsidP="00931B29">
            <w:pPr>
              <w:spacing w:before="20" w:after="20"/>
              <w:rPr>
                <w:sz w:val="20"/>
                <w:szCs w:val="20"/>
                <w:lang w:val="fr-FR"/>
              </w:rPr>
            </w:pPr>
            <w:r w:rsidRPr="001C695B">
              <w:rPr>
                <w:sz w:val="20"/>
                <w:szCs w:val="20"/>
                <w:lang w:val="fr-FR"/>
              </w:rPr>
              <w:t>Données de l'Unité de l'audit interne</w:t>
            </w:r>
          </w:p>
        </w:tc>
      </w:tr>
    </w:tbl>
    <w:p w:rsidR="00741A31" w:rsidRPr="001C695B" w:rsidRDefault="00741A31" w:rsidP="00741A31">
      <w:pPr>
        <w:overflowPunct/>
        <w:autoSpaceDE/>
        <w:autoSpaceDN/>
        <w:adjustRightInd/>
        <w:spacing w:before="0"/>
        <w:textAlignment w:val="auto"/>
        <w:rPr>
          <w:b/>
          <w:sz w:val="28"/>
          <w:lang w:val="fr-FR"/>
        </w:rPr>
      </w:pPr>
      <w:r w:rsidRPr="001C695B">
        <w:rPr>
          <w:lang w:val="fr-FR"/>
        </w:rPr>
        <w:br w:type="page"/>
      </w:r>
    </w:p>
    <w:p w:rsidR="00741A31" w:rsidRPr="001C695B" w:rsidRDefault="00741A31" w:rsidP="00741A31">
      <w:pPr>
        <w:pStyle w:val="Heading1"/>
        <w:rPr>
          <w:lang w:val="fr-FR"/>
        </w:rPr>
      </w:pPr>
      <w:r w:rsidRPr="001C695B">
        <w:rPr>
          <w:lang w:val="fr-FR"/>
        </w:rPr>
        <w:lastRenderedPageBreak/>
        <w:t>6</w:t>
      </w:r>
      <w:r w:rsidRPr="001C695B">
        <w:rPr>
          <w:lang w:val="fr-FR"/>
        </w:rPr>
        <w:tab/>
        <w:t>Objectifs, résultats et produits intersectoriels</w:t>
      </w:r>
    </w:p>
    <w:p w:rsidR="00741A31" w:rsidRPr="001C695B" w:rsidRDefault="00741A31" w:rsidP="00741A31">
      <w:pPr>
        <w:pStyle w:val="Heading2"/>
        <w:spacing w:after="120"/>
        <w:rPr>
          <w:lang w:val="fr-FR"/>
        </w:rPr>
      </w:pPr>
      <w:r w:rsidRPr="001C695B">
        <w:rPr>
          <w:lang w:val="fr-FR"/>
        </w:rPr>
        <w:t>6.1</w:t>
      </w:r>
      <w:r w:rsidRPr="001C695B">
        <w:rPr>
          <w:lang w:val="fr-FR"/>
        </w:rPr>
        <w:tab/>
        <w:t>I1 Renforcer le dialogue international entre les parties prenantes</w:t>
      </w:r>
    </w:p>
    <w:tbl>
      <w:tblPr>
        <w:tblStyle w:val="GridTable4-Accent11"/>
        <w:tblW w:w="14596" w:type="dxa"/>
        <w:tblLook w:val="06A0" w:firstRow="1" w:lastRow="0" w:firstColumn="1" w:lastColumn="0" w:noHBand="1" w:noVBand="1"/>
      </w:tblPr>
      <w:tblGrid>
        <w:gridCol w:w="3681"/>
        <w:gridCol w:w="8505"/>
        <w:gridCol w:w="2410"/>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931B29" w:rsidRPr="001C695B" w:rsidRDefault="00931B29" w:rsidP="00931B29">
            <w:pPr>
              <w:spacing w:before="20" w:after="20"/>
              <w:rPr>
                <w:sz w:val="22"/>
                <w:lang w:val="fr-FR"/>
              </w:rPr>
            </w:pPr>
            <w:r w:rsidRPr="001C695B">
              <w:rPr>
                <w:sz w:val="22"/>
                <w:lang w:val="fr-FR"/>
              </w:rPr>
              <w:t>Résultat</w:t>
            </w:r>
          </w:p>
        </w:tc>
        <w:tc>
          <w:tcPr>
            <w:tcW w:w="8505" w:type="dxa"/>
          </w:tcPr>
          <w:p w:rsidR="00931B29" w:rsidRPr="001C695B" w:rsidRDefault="00931B29" w:rsidP="00931B29">
            <w:pPr>
              <w:spacing w:before="20" w:after="20"/>
              <w:cnfStyle w:val="100000000000" w:firstRow="1" w:lastRow="0" w:firstColumn="0" w:lastColumn="0" w:oddVBand="0" w:evenVBand="0" w:oddHBand="0" w:evenHBand="0" w:firstRowFirstColumn="0" w:firstRowLastColumn="0" w:lastRowFirstColumn="0" w:lastRowLastColumn="0"/>
              <w:rPr>
                <w:sz w:val="22"/>
                <w:lang w:val="fr-FR"/>
              </w:rPr>
            </w:pPr>
            <w:r w:rsidRPr="001C695B">
              <w:rPr>
                <w:sz w:val="22"/>
                <w:lang w:val="fr-FR"/>
              </w:rPr>
              <w:t>Indicateur de résultat (valeur actuelle – valeur d'ici à 2020)</w:t>
            </w:r>
          </w:p>
        </w:tc>
        <w:tc>
          <w:tcPr>
            <w:tcW w:w="2410" w:type="dxa"/>
          </w:tcPr>
          <w:p w:rsidR="00931B29" w:rsidRPr="001C695B" w:rsidRDefault="00931B29" w:rsidP="00931B29">
            <w:pPr>
              <w:spacing w:before="20" w:after="20"/>
              <w:cnfStyle w:val="100000000000" w:firstRow="1" w:lastRow="0" w:firstColumn="0" w:lastColumn="0" w:oddVBand="0" w:evenVBand="0" w:oddHBand="0" w:evenHBand="0" w:firstRowFirstColumn="0" w:firstRowLastColumn="0" w:lastRowFirstColumn="0" w:lastRowLastColumn="0"/>
              <w:rPr>
                <w:sz w:val="22"/>
                <w:lang w:val="fr-FR"/>
              </w:rPr>
            </w:pPr>
            <w:r w:rsidRPr="001C695B">
              <w:rPr>
                <w:sz w:val="22"/>
                <w:lang w:val="fr-FR"/>
              </w:rPr>
              <w:t>Moyen de mesure</w:t>
            </w:r>
          </w:p>
        </w:tc>
      </w:tr>
      <w:tr w:rsidR="00931B29" w:rsidRPr="001C695B" w:rsidTr="00931B29">
        <w:trPr>
          <w:trHeight w:val="1132"/>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931B29" w:rsidRPr="001C695B" w:rsidRDefault="00931B29" w:rsidP="00931B29">
            <w:pPr>
              <w:spacing w:before="60" w:after="60"/>
              <w:rPr>
                <w:rFonts w:eastAsia="Calibri" w:cs="Arial"/>
                <w:b w:val="0"/>
                <w:bCs w:val="0"/>
                <w:sz w:val="20"/>
                <w:szCs w:val="20"/>
                <w:lang w:val="fr-FR"/>
              </w:rPr>
            </w:pPr>
            <w:r w:rsidRPr="001C695B">
              <w:rPr>
                <w:rFonts w:eastAsia="Calibri" w:cs="Arial"/>
                <w:color w:val="4F81BD" w:themeColor="accent1"/>
                <w:sz w:val="20"/>
                <w:szCs w:val="20"/>
                <w:lang w:val="fr-FR"/>
              </w:rPr>
              <w:t>I.1-1</w:t>
            </w:r>
            <w:r w:rsidRPr="001C695B">
              <w:rPr>
                <w:rFonts w:eastAsia="Calibri" w:cs="Arial"/>
                <w:sz w:val="20"/>
                <w:szCs w:val="20"/>
                <w:lang w:val="fr-FR"/>
              </w:rPr>
              <w:t xml:space="preserve">: </w:t>
            </w:r>
            <w:r w:rsidRPr="001C695B">
              <w:rPr>
                <w:rFonts w:eastAsia="Calibri" w:cs="Arial"/>
                <w:b w:val="0"/>
                <w:bCs w:val="0"/>
                <w:sz w:val="20"/>
                <w:szCs w:val="20"/>
                <w:lang w:val="fr-FR"/>
              </w:rPr>
              <w:t>Renforcement de la collaboration entre les parties prenantes concernées, afin d'accroître l'efficacité de l'environnement des télécommunications/TIC</w:t>
            </w:r>
          </w:p>
        </w:tc>
        <w:tc>
          <w:tcPr>
            <w:tcW w:w="8505" w:type="dxa"/>
          </w:tcPr>
          <w:p w:rsidR="00931B29" w:rsidRPr="001C695B" w:rsidRDefault="00931B29" w:rsidP="00931B29">
            <w:pPr>
              <w:spacing w:before="60" w:after="6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Nombre de pays/parties prenantes représentés/niveau de représentation (processus du SMSI/Telecom):</w:t>
            </w:r>
            <w:r w:rsidRPr="001C695B">
              <w:rPr>
                <w:sz w:val="20"/>
                <w:szCs w:val="20"/>
                <w:lang w:val="fr-FR"/>
              </w:rPr>
              <w:br/>
            </w:r>
            <w:r w:rsidRPr="001C695B">
              <w:rPr>
                <w:i/>
                <w:iCs/>
                <w:color w:val="000000"/>
                <w:sz w:val="20"/>
                <w:szCs w:val="20"/>
                <w:lang w:val="fr-FR"/>
              </w:rPr>
              <w:t xml:space="preserve">Nombre de pays présents aux réunions liées au SMSI: 2014: 140; 2015: 150; 2016: 150; objectif pour </w:t>
            </w:r>
            <w:r w:rsidRPr="001C695B">
              <w:rPr>
                <w:i/>
                <w:iCs/>
                <w:sz w:val="20"/>
                <w:szCs w:val="20"/>
                <w:lang w:val="fr-FR"/>
              </w:rPr>
              <w:t>2020</w:t>
            </w:r>
            <w:r w:rsidRPr="001C695B">
              <w:rPr>
                <w:i/>
                <w:iCs/>
                <w:color w:val="000000"/>
                <w:sz w:val="20"/>
                <w:szCs w:val="20"/>
                <w:lang w:val="fr-FR"/>
              </w:rPr>
              <w:t>: 160</w:t>
            </w:r>
            <w:r w:rsidRPr="001C695B">
              <w:rPr>
                <w:i/>
                <w:iCs/>
                <w:color w:val="000000"/>
                <w:sz w:val="20"/>
                <w:szCs w:val="20"/>
                <w:lang w:val="fr-FR"/>
              </w:rPr>
              <w:br/>
              <w:t xml:space="preserve">Nombre de pays présents à Telecom: 2014: 111; 2015: 128; 2016: 128; objectif pour </w:t>
            </w:r>
            <w:r w:rsidRPr="001C695B">
              <w:rPr>
                <w:i/>
                <w:iCs/>
                <w:sz w:val="20"/>
                <w:szCs w:val="20"/>
                <w:lang w:val="fr-FR"/>
              </w:rPr>
              <w:t>2020</w:t>
            </w:r>
            <w:r w:rsidRPr="001C695B">
              <w:rPr>
                <w:i/>
                <w:iCs/>
                <w:color w:val="000000"/>
                <w:sz w:val="20"/>
                <w:szCs w:val="20"/>
                <w:lang w:val="fr-FR"/>
              </w:rPr>
              <w:t>: 170</w:t>
            </w:r>
            <w:r w:rsidRPr="001C695B">
              <w:rPr>
                <w:i/>
                <w:iCs/>
                <w:color w:val="000000"/>
                <w:sz w:val="20"/>
                <w:szCs w:val="20"/>
                <w:lang w:val="fr-FR"/>
              </w:rPr>
              <w:br/>
              <w:t xml:space="preserve">Nombre de participants au Forum du SMSI: 2014: 1 500; 2015: 1 800; 2016: 1 800; objectif pour </w:t>
            </w:r>
            <w:r w:rsidRPr="001C695B">
              <w:rPr>
                <w:i/>
                <w:iCs/>
                <w:sz w:val="20"/>
                <w:szCs w:val="20"/>
                <w:lang w:val="fr-FR"/>
              </w:rPr>
              <w:t>2020</w:t>
            </w:r>
            <w:r w:rsidRPr="001C695B">
              <w:rPr>
                <w:i/>
                <w:iCs/>
                <w:color w:val="000000"/>
                <w:sz w:val="20"/>
                <w:szCs w:val="20"/>
                <w:lang w:val="fr-FR"/>
              </w:rPr>
              <w:t>: 5 000</w:t>
            </w:r>
            <w:r w:rsidRPr="001C695B">
              <w:rPr>
                <w:i/>
                <w:iCs/>
                <w:color w:val="000000"/>
                <w:sz w:val="20"/>
                <w:szCs w:val="20"/>
                <w:lang w:val="fr-FR"/>
              </w:rPr>
              <w:br/>
              <w:t xml:space="preserve">Nombre de participants à Telecom: 2014: 3 494; 2015: 3 971; 2016: 8 764; objectif pour </w:t>
            </w:r>
            <w:r w:rsidRPr="001C695B">
              <w:rPr>
                <w:i/>
                <w:iCs/>
                <w:sz w:val="20"/>
                <w:szCs w:val="20"/>
                <w:lang w:val="fr-FR"/>
              </w:rPr>
              <w:t>2020</w:t>
            </w:r>
            <w:r w:rsidRPr="001C695B">
              <w:rPr>
                <w:i/>
                <w:iCs/>
                <w:color w:val="000000"/>
                <w:sz w:val="20"/>
                <w:szCs w:val="20"/>
                <w:lang w:val="fr-FR"/>
              </w:rPr>
              <w:t>: 8 000</w:t>
            </w:r>
            <w:r w:rsidRPr="001C695B">
              <w:rPr>
                <w:i/>
                <w:iCs/>
                <w:color w:val="000000"/>
                <w:sz w:val="20"/>
                <w:szCs w:val="20"/>
                <w:lang w:val="fr-FR"/>
              </w:rPr>
              <w:br/>
              <w:t xml:space="preserve">Nombre de participants de haut rang au Forum du SMSI: 2014: 75; 2015: 100; 2016: 85; objectif pour </w:t>
            </w:r>
            <w:r w:rsidRPr="001C695B">
              <w:rPr>
                <w:i/>
                <w:iCs/>
                <w:sz w:val="20"/>
                <w:szCs w:val="20"/>
                <w:lang w:val="fr-FR"/>
              </w:rPr>
              <w:t>2020</w:t>
            </w:r>
            <w:r w:rsidRPr="001C695B">
              <w:rPr>
                <w:i/>
                <w:iCs/>
                <w:color w:val="000000"/>
                <w:sz w:val="20"/>
                <w:szCs w:val="20"/>
                <w:lang w:val="fr-FR"/>
              </w:rPr>
              <w:t>: 150</w:t>
            </w:r>
            <w:r w:rsidRPr="001C695B">
              <w:rPr>
                <w:i/>
                <w:iCs/>
                <w:color w:val="000000"/>
                <w:sz w:val="20"/>
                <w:szCs w:val="20"/>
                <w:lang w:val="fr-FR"/>
              </w:rPr>
              <w:br/>
              <w:t xml:space="preserve">Nombre de participants de haut rang </w:t>
            </w:r>
            <w:r w:rsidRPr="001C695B">
              <w:rPr>
                <w:i/>
                <w:iCs/>
                <w:sz w:val="20"/>
                <w:szCs w:val="20"/>
                <w:lang w:val="fr-FR"/>
              </w:rPr>
              <w:t>à Telecom: 2014: 237; 2015: 221; 2016: 338; objectif pour 2020: 300</w:t>
            </w:r>
            <w:r w:rsidRPr="001C695B">
              <w:rPr>
                <w:sz w:val="20"/>
                <w:szCs w:val="20"/>
                <w:lang w:val="fr-FR"/>
              </w:rPr>
              <w:t xml:space="preserve"> </w:t>
            </w:r>
          </w:p>
        </w:tc>
        <w:tc>
          <w:tcPr>
            <w:tcW w:w="2410" w:type="dxa"/>
          </w:tcPr>
          <w:p w:rsidR="00931B29" w:rsidRPr="001C695B" w:rsidRDefault="00931B29" w:rsidP="00931B29">
            <w:pPr>
              <w:spacing w:before="60" w:after="6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Données sur le SMSI, données de Telecom</w:t>
            </w:r>
          </w:p>
        </w:tc>
      </w:tr>
      <w:tr w:rsidR="00931B29" w:rsidRPr="001C695B" w:rsidTr="00931B29">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931B29" w:rsidRPr="001C695B" w:rsidRDefault="00931B29" w:rsidP="00931B29">
            <w:pPr>
              <w:spacing w:before="20" w:after="20"/>
              <w:rPr>
                <w:rFonts w:eastAsia="Calibri" w:cs="Arial"/>
                <w:color w:val="4F81BD" w:themeColor="accent1"/>
                <w:sz w:val="20"/>
                <w:szCs w:val="20"/>
                <w:lang w:val="fr-FR"/>
              </w:rPr>
            </w:pPr>
          </w:p>
        </w:tc>
        <w:tc>
          <w:tcPr>
            <w:tcW w:w="8505" w:type="dxa"/>
          </w:tcPr>
          <w:p w:rsidR="00931B29" w:rsidRPr="001C695B" w:rsidRDefault="00931B29" w:rsidP="00931B29">
            <w:pPr>
              <w:spacing w:before="60" w:after="6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 xml:space="preserve">Niveau de l'indicateur de collaboration entre les parties prenantes concernées: </w:t>
            </w:r>
            <w:r w:rsidRPr="001C695B">
              <w:rPr>
                <w:sz w:val="20"/>
                <w:szCs w:val="20"/>
                <w:lang w:val="fr-FR"/>
              </w:rPr>
              <w:br/>
            </w:r>
            <w:r w:rsidRPr="001C695B">
              <w:rPr>
                <w:i/>
                <w:iCs/>
                <w:color w:val="000000"/>
                <w:sz w:val="20"/>
                <w:szCs w:val="20"/>
                <w:lang w:val="fr-FR"/>
              </w:rPr>
              <w:t xml:space="preserve">nombre d'entités exposantes à Telecom: 2014: 169; 2015: 239; 2016: 250; objectif pour </w:t>
            </w:r>
            <w:r w:rsidRPr="001C695B">
              <w:rPr>
                <w:i/>
                <w:iCs/>
                <w:sz w:val="20"/>
                <w:szCs w:val="20"/>
                <w:lang w:val="fr-FR"/>
              </w:rPr>
              <w:t>2020</w:t>
            </w:r>
            <w:r w:rsidRPr="001C695B">
              <w:rPr>
                <w:i/>
                <w:iCs/>
                <w:color w:val="000000"/>
                <w:sz w:val="20"/>
                <w:szCs w:val="20"/>
                <w:lang w:val="fr-FR"/>
              </w:rPr>
              <w:t>: 500</w:t>
            </w:r>
          </w:p>
        </w:tc>
        <w:tc>
          <w:tcPr>
            <w:tcW w:w="2410" w:type="dxa"/>
          </w:tcPr>
          <w:p w:rsidR="00931B29" w:rsidRPr="001C695B" w:rsidRDefault="00931B29" w:rsidP="00931B29">
            <w:pPr>
              <w:spacing w:before="60" w:after="6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Données de Telecom</w:t>
            </w:r>
          </w:p>
        </w:tc>
      </w:tr>
    </w:tbl>
    <w:p w:rsidR="00741A31" w:rsidRPr="001C695B" w:rsidRDefault="00741A31" w:rsidP="00741A31">
      <w:pPr>
        <w:spacing w:before="20" w:after="20"/>
        <w:rPr>
          <w:sz w:val="28"/>
          <w:szCs w:val="28"/>
          <w:lang w:val="fr-FR"/>
        </w:rPr>
      </w:pPr>
    </w:p>
    <w:tbl>
      <w:tblPr>
        <w:tblStyle w:val="GridTable4-Accent11"/>
        <w:tblW w:w="14596" w:type="dxa"/>
        <w:tblLayout w:type="fixed"/>
        <w:tblLook w:val="0620" w:firstRow="1" w:lastRow="0" w:firstColumn="0" w:lastColumn="0" w:noHBand="1" w:noVBand="1"/>
      </w:tblPr>
      <w:tblGrid>
        <w:gridCol w:w="9493"/>
        <w:gridCol w:w="1275"/>
        <w:gridCol w:w="1418"/>
        <w:gridCol w:w="1276"/>
        <w:gridCol w:w="1134"/>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9493" w:type="dxa"/>
          </w:tcPr>
          <w:p w:rsidR="00931B29" w:rsidRPr="001C695B" w:rsidRDefault="00931B29" w:rsidP="00931B29">
            <w:pPr>
              <w:spacing w:before="20" w:after="20"/>
              <w:rPr>
                <w:sz w:val="22"/>
                <w:lang w:val="fr-FR"/>
              </w:rPr>
            </w:pPr>
            <w:r w:rsidRPr="001C695B">
              <w:rPr>
                <w:sz w:val="22"/>
                <w:lang w:val="fr-FR"/>
              </w:rPr>
              <w:t>Produit</w:t>
            </w:r>
          </w:p>
        </w:tc>
        <w:tc>
          <w:tcPr>
            <w:tcW w:w="5103" w:type="dxa"/>
            <w:gridSpan w:val="4"/>
          </w:tcPr>
          <w:p w:rsidR="00931B29" w:rsidRPr="001C695B" w:rsidRDefault="00931B29" w:rsidP="00931B29">
            <w:pPr>
              <w:spacing w:before="20" w:after="20"/>
              <w:jc w:val="center"/>
              <w:rPr>
                <w:sz w:val="22"/>
                <w:lang w:val="fr-FR"/>
              </w:rPr>
            </w:pPr>
            <w:r w:rsidRPr="001C695B">
              <w:rPr>
                <w:sz w:val="22"/>
                <w:lang w:val="fr-FR"/>
              </w:rPr>
              <w:t>Ressources financières</w:t>
            </w:r>
            <w:r w:rsidRPr="001C695B">
              <w:rPr>
                <w:rStyle w:val="FootnoteReference"/>
                <w:lang w:val="fr-FR"/>
              </w:rPr>
              <w:footnoteReference w:id="3"/>
            </w:r>
            <w:r w:rsidRPr="001C695B">
              <w:rPr>
                <w:sz w:val="22"/>
                <w:lang w:val="fr-FR"/>
              </w:rPr>
              <w:t xml:space="preserve"> (en milliers CHF)</w:t>
            </w:r>
          </w:p>
        </w:tc>
      </w:tr>
      <w:tr w:rsidR="00931B29" w:rsidRPr="001C695B" w:rsidTr="00931B29">
        <w:tc>
          <w:tcPr>
            <w:tcW w:w="9493" w:type="dxa"/>
          </w:tcPr>
          <w:p w:rsidR="00931B29" w:rsidRPr="001C695B" w:rsidRDefault="00931B29" w:rsidP="00931B29">
            <w:pPr>
              <w:spacing w:before="20" w:after="20"/>
              <w:rPr>
                <w:sz w:val="20"/>
                <w:szCs w:val="20"/>
                <w:lang w:val="fr-FR"/>
              </w:rPr>
            </w:pPr>
          </w:p>
        </w:tc>
        <w:tc>
          <w:tcPr>
            <w:tcW w:w="1275" w:type="dxa"/>
          </w:tcPr>
          <w:p w:rsidR="00931B29" w:rsidRPr="001C695B" w:rsidRDefault="00931B29" w:rsidP="00931B29">
            <w:pPr>
              <w:spacing w:before="20" w:after="20"/>
              <w:jc w:val="center"/>
              <w:rPr>
                <w:b/>
                <w:bCs/>
                <w:color w:val="4F81BD" w:themeColor="accent1"/>
                <w:sz w:val="20"/>
                <w:szCs w:val="20"/>
                <w:lang w:val="fr-FR"/>
              </w:rPr>
            </w:pPr>
            <w:r w:rsidRPr="001C695B">
              <w:rPr>
                <w:b/>
                <w:bCs/>
                <w:color w:val="4F81BD" w:themeColor="accent1"/>
                <w:sz w:val="20"/>
                <w:szCs w:val="20"/>
                <w:lang w:val="fr-FR"/>
              </w:rPr>
              <w:t>2018</w:t>
            </w:r>
          </w:p>
        </w:tc>
        <w:tc>
          <w:tcPr>
            <w:tcW w:w="1418" w:type="dxa"/>
          </w:tcPr>
          <w:p w:rsidR="00931B29" w:rsidRPr="001C695B" w:rsidRDefault="00931B29" w:rsidP="00931B29">
            <w:pPr>
              <w:spacing w:before="20" w:after="20"/>
              <w:jc w:val="center"/>
              <w:rPr>
                <w:b/>
                <w:bCs/>
                <w:color w:val="4F81BD" w:themeColor="accent1"/>
                <w:sz w:val="20"/>
                <w:szCs w:val="20"/>
                <w:lang w:val="fr-FR"/>
              </w:rPr>
            </w:pPr>
            <w:r w:rsidRPr="001C695B">
              <w:rPr>
                <w:b/>
                <w:bCs/>
                <w:color w:val="4F81BD" w:themeColor="accent1"/>
                <w:sz w:val="20"/>
                <w:szCs w:val="20"/>
                <w:lang w:val="fr-FR"/>
              </w:rPr>
              <w:t>2019</w:t>
            </w:r>
          </w:p>
        </w:tc>
        <w:tc>
          <w:tcPr>
            <w:tcW w:w="1276" w:type="dxa"/>
          </w:tcPr>
          <w:p w:rsidR="00931B29" w:rsidRPr="001C695B" w:rsidRDefault="00931B29" w:rsidP="00931B29">
            <w:pPr>
              <w:spacing w:before="20" w:after="20"/>
              <w:jc w:val="center"/>
              <w:rPr>
                <w:b/>
                <w:bCs/>
                <w:color w:val="4F81BD" w:themeColor="accent1"/>
                <w:sz w:val="20"/>
                <w:szCs w:val="20"/>
                <w:lang w:val="fr-FR"/>
              </w:rPr>
            </w:pPr>
            <w:r w:rsidRPr="001C695B">
              <w:rPr>
                <w:b/>
                <w:bCs/>
                <w:color w:val="4F81BD" w:themeColor="accent1"/>
                <w:sz w:val="20"/>
                <w:szCs w:val="20"/>
                <w:lang w:val="fr-FR"/>
              </w:rPr>
              <w:t>2020</w:t>
            </w:r>
          </w:p>
        </w:tc>
        <w:tc>
          <w:tcPr>
            <w:tcW w:w="1134" w:type="dxa"/>
          </w:tcPr>
          <w:p w:rsidR="00931B29" w:rsidRPr="001C695B" w:rsidRDefault="00931B29" w:rsidP="00931B29">
            <w:pPr>
              <w:spacing w:before="20" w:after="20"/>
              <w:jc w:val="center"/>
              <w:rPr>
                <w:b/>
                <w:bCs/>
                <w:color w:val="4F81BD" w:themeColor="accent1"/>
                <w:sz w:val="20"/>
                <w:szCs w:val="20"/>
                <w:lang w:val="fr-FR"/>
              </w:rPr>
            </w:pPr>
            <w:r w:rsidRPr="001C695B">
              <w:rPr>
                <w:b/>
                <w:bCs/>
                <w:color w:val="4F81BD" w:themeColor="accent1"/>
                <w:sz w:val="20"/>
                <w:szCs w:val="20"/>
                <w:lang w:val="fr-FR"/>
              </w:rPr>
              <w:t>2021</w:t>
            </w:r>
          </w:p>
        </w:tc>
      </w:tr>
      <w:tr w:rsidR="00931B29" w:rsidRPr="001C695B" w:rsidTr="00931B29">
        <w:tc>
          <w:tcPr>
            <w:tcW w:w="9493" w:type="dxa"/>
          </w:tcPr>
          <w:p w:rsidR="00931B29" w:rsidRPr="001C695B" w:rsidRDefault="00931B29" w:rsidP="00931B29">
            <w:pPr>
              <w:spacing w:before="60" w:after="60"/>
              <w:contextualSpacing/>
              <w:rPr>
                <w:rFonts w:eastAsia="Calibri" w:cs="Arial"/>
                <w:sz w:val="20"/>
                <w:szCs w:val="20"/>
                <w:lang w:val="fr-FR"/>
              </w:rPr>
            </w:pPr>
            <w:r w:rsidRPr="001C695B">
              <w:rPr>
                <w:rFonts w:eastAsia="Calibri" w:cs="Arial"/>
                <w:b/>
                <w:bCs/>
                <w:color w:val="4F81BD" w:themeColor="accent1"/>
                <w:sz w:val="20"/>
                <w:szCs w:val="20"/>
                <w:lang w:val="fr-FR"/>
              </w:rPr>
              <w:t>I.1-1</w:t>
            </w:r>
            <w:r w:rsidRPr="001C695B">
              <w:rPr>
                <w:rFonts w:eastAsia="Calibri" w:cs="Arial"/>
                <w:sz w:val="20"/>
                <w:szCs w:val="20"/>
                <w:lang w:val="fr-FR"/>
              </w:rPr>
              <w:t>: Conférences, forums, manifestations et réunions intersectoriels au niveau mondial offrant un cadre de discussion de haut niveau (par exemple CMTI, FMPT, SMSI, Journée mondiale des télécommunications et de la société de l'information, ITU Telecom)</w:t>
            </w:r>
            <w:r w:rsidRPr="001C695B">
              <w:rPr>
                <w:rStyle w:val="FootnoteReference"/>
                <w:rFonts w:eastAsia="Calibri" w:cs="Arial"/>
                <w:sz w:val="20"/>
                <w:szCs w:val="20"/>
                <w:lang w:val="fr-FR"/>
              </w:rPr>
              <w:footnoteReference w:id="4"/>
            </w:r>
          </w:p>
        </w:tc>
        <w:tc>
          <w:tcPr>
            <w:tcW w:w="1275" w:type="dxa"/>
            <w:tcMar>
              <w:right w:w="454" w:type="dxa"/>
            </w:tcMar>
          </w:tcPr>
          <w:p w:rsidR="00931B29" w:rsidRPr="001C695B" w:rsidRDefault="00931B29" w:rsidP="00931B29">
            <w:pPr>
              <w:pStyle w:val="Tabletext"/>
              <w:ind w:right="-313"/>
              <w:jc w:val="center"/>
              <w:rPr>
                <w:b/>
                <w:bCs/>
                <w:sz w:val="20"/>
                <w:szCs w:val="20"/>
                <w:lang w:val="fr-FR"/>
              </w:rPr>
            </w:pPr>
            <w:r w:rsidRPr="001C695B">
              <w:rPr>
                <w:sz w:val="20"/>
                <w:szCs w:val="20"/>
                <w:lang w:val="fr-FR"/>
              </w:rPr>
              <w:t>2 466</w:t>
            </w:r>
          </w:p>
        </w:tc>
        <w:tc>
          <w:tcPr>
            <w:tcW w:w="1418" w:type="dxa"/>
            <w:tcMar>
              <w:right w:w="454" w:type="dxa"/>
            </w:tcMar>
          </w:tcPr>
          <w:p w:rsidR="00931B29" w:rsidRPr="001C695B" w:rsidRDefault="00931B29" w:rsidP="00931B29">
            <w:pPr>
              <w:pStyle w:val="Tabletext"/>
              <w:ind w:right="-312"/>
              <w:jc w:val="center"/>
              <w:rPr>
                <w:color w:val="948A54" w:themeColor="background2" w:themeShade="80"/>
                <w:sz w:val="20"/>
                <w:szCs w:val="20"/>
                <w:lang w:val="fr-FR"/>
              </w:rPr>
            </w:pPr>
            <w:r w:rsidRPr="001C695B">
              <w:rPr>
                <w:sz w:val="20"/>
                <w:szCs w:val="20"/>
                <w:lang w:val="fr-FR"/>
              </w:rPr>
              <w:t>3 312</w:t>
            </w:r>
          </w:p>
        </w:tc>
        <w:tc>
          <w:tcPr>
            <w:tcW w:w="1276" w:type="dxa"/>
          </w:tcPr>
          <w:p w:rsidR="00931B29" w:rsidRPr="001C695B" w:rsidRDefault="00931B29" w:rsidP="00931B29">
            <w:pPr>
              <w:pStyle w:val="Tabletext"/>
              <w:jc w:val="center"/>
              <w:rPr>
                <w:color w:val="948A54" w:themeColor="background2" w:themeShade="80"/>
                <w:sz w:val="20"/>
                <w:szCs w:val="20"/>
                <w:lang w:val="fr-FR"/>
              </w:rPr>
            </w:pPr>
            <w:r w:rsidRPr="001C695B">
              <w:rPr>
                <w:sz w:val="20"/>
                <w:szCs w:val="20"/>
                <w:lang w:val="fr-FR"/>
              </w:rPr>
              <w:t>2 365</w:t>
            </w:r>
          </w:p>
        </w:tc>
        <w:tc>
          <w:tcPr>
            <w:tcW w:w="1134" w:type="dxa"/>
          </w:tcPr>
          <w:p w:rsidR="00931B29" w:rsidRPr="001C695B" w:rsidRDefault="00931B29" w:rsidP="00931B29">
            <w:pPr>
              <w:pStyle w:val="Tabletext"/>
              <w:ind w:right="34"/>
              <w:jc w:val="center"/>
              <w:rPr>
                <w:color w:val="948A54" w:themeColor="background2" w:themeShade="80"/>
                <w:sz w:val="20"/>
                <w:szCs w:val="20"/>
                <w:lang w:val="fr-FR"/>
              </w:rPr>
            </w:pPr>
            <w:r w:rsidRPr="001C695B">
              <w:rPr>
                <w:sz w:val="20"/>
                <w:szCs w:val="20"/>
                <w:lang w:val="fr-FR"/>
              </w:rPr>
              <w:t>2 249</w:t>
            </w:r>
          </w:p>
        </w:tc>
      </w:tr>
      <w:tr w:rsidR="00931B29" w:rsidRPr="001C695B" w:rsidTr="00931B29">
        <w:tc>
          <w:tcPr>
            <w:tcW w:w="9493" w:type="dxa"/>
          </w:tcPr>
          <w:p w:rsidR="00931B29" w:rsidRPr="001C695B" w:rsidRDefault="00931B29" w:rsidP="00931B29">
            <w:pPr>
              <w:spacing w:before="60" w:after="60"/>
              <w:contextualSpacing/>
              <w:rPr>
                <w:rFonts w:eastAsia="Calibri" w:cs="Arial"/>
                <w:b/>
                <w:bCs/>
                <w:color w:val="4F81BD" w:themeColor="accent1"/>
                <w:sz w:val="20"/>
                <w:szCs w:val="20"/>
                <w:lang w:val="fr-FR"/>
              </w:rPr>
            </w:pPr>
            <w:r w:rsidRPr="001C695B">
              <w:rPr>
                <w:rFonts w:eastAsia="Calibri" w:cs="Arial"/>
                <w:sz w:val="20"/>
                <w:szCs w:val="20"/>
                <w:lang w:val="fr-FR"/>
              </w:rPr>
              <w:t>Imputation des coûts à la Conférence de plénipotentiaires et aux activités du Conseil (</w:t>
            </w:r>
            <w:r w:rsidRPr="001C695B">
              <w:rPr>
                <w:rFonts w:eastAsia="Calibri" w:cs="Arial"/>
                <w:b/>
                <w:bCs/>
                <w:color w:val="4F81BD" w:themeColor="accent1"/>
                <w:sz w:val="20"/>
                <w:szCs w:val="20"/>
                <w:lang w:val="fr-FR"/>
              </w:rPr>
              <w:t>PP</w:t>
            </w:r>
            <w:r w:rsidRPr="001C695B">
              <w:rPr>
                <w:rFonts w:eastAsia="Calibri" w:cs="Arial"/>
                <w:sz w:val="20"/>
                <w:szCs w:val="20"/>
                <w:lang w:val="fr-FR"/>
              </w:rPr>
              <w:t xml:space="preserve">, </w:t>
            </w:r>
            <w:r w:rsidRPr="001C695B">
              <w:rPr>
                <w:rFonts w:eastAsia="Calibri" w:cs="Arial"/>
                <w:b/>
                <w:bCs/>
                <w:color w:val="4F81BD" w:themeColor="accent1"/>
                <w:sz w:val="20"/>
                <w:szCs w:val="20"/>
                <w:lang w:val="fr-FR"/>
              </w:rPr>
              <w:t>Conseil/GTC</w:t>
            </w:r>
            <w:r w:rsidRPr="001C695B">
              <w:rPr>
                <w:rFonts w:eastAsia="Calibri" w:cs="Arial"/>
                <w:sz w:val="20"/>
                <w:szCs w:val="20"/>
                <w:lang w:val="fr-FR"/>
              </w:rPr>
              <w:t>)</w:t>
            </w:r>
          </w:p>
        </w:tc>
        <w:tc>
          <w:tcPr>
            <w:tcW w:w="1275" w:type="dxa"/>
            <w:tcMar>
              <w:right w:w="454" w:type="dxa"/>
            </w:tcMar>
          </w:tcPr>
          <w:p w:rsidR="00931B29" w:rsidRPr="001C695B" w:rsidRDefault="00931B29" w:rsidP="00931B29">
            <w:pPr>
              <w:pStyle w:val="Tabletext"/>
              <w:ind w:right="-313"/>
              <w:jc w:val="center"/>
              <w:rPr>
                <w:b/>
                <w:bCs/>
                <w:sz w:val="20"/>
                <w:szCs w:val="20"/>
                <w:highlight w:val="yellow"/>
                <w:lang w:val="fr-FR"/>
              </w:rPr>
            </w:pPr>
            <w:r w:rsidRPr="001C695B">
              <w:rPr>
                <w:sz w:val="20"/>
                <w:szCs w:val="20"/>
                <w:lang w:val="fr-FR"/>
              </w:rPr>
              <w:t>147</w:t>
            </w:r>
          </w:p>
        </w:tc>
        <w:tc>
          <w:tcPr>
            <w:tcW w:w="1418" w:type="dxa"/>
            <w:tcMar>
              <w:right w:w="454" w:type="dxa"/>
            </w:tcMar>
          </w:tcPr>
          <w:p w:rsidR="00931B29" w:rsidRPr="001C695B" w:rsidRDefault="00931B29" w:rsidP="00931B29">
            <w:pPr>
              <w:pStyle w:val="Tabletext"/>
              <w:ind w:right="-312"/>
              <w:jc w:val="center"/>
              <w:rPr>
                <w:sz w:val="20"/>
                <w:szCs w:val="20"/>
                <w:highlight w:val="yellow"/>
                <w:lang w:val="fr-FR"/>
              </w:rPr>
            </w:pPr>
            <w:r w:rsidRPr="001C695B">
              <w:rPr>
                <w:sz w:val="20"/>
                <w:szCs w:val="20"/>
                <w:lang w:val="fr-FR"/>
              </w:rPr>
              <w:t>99</w:t>
            </w:r>
          </w:p>
        </w:tc>
        <w:tc>
          <w:tcPr>
            <w:tcW w:w="1276" w:type="dxa"/>
          </w:tcPr>
          <w:p w:rsidR="00931B29" w:rsidRPr="001C695B" w:rsidRDefault="00931B29" w:rsidP="00931B29">
            <w:pPr>
              <w:pStyle w:val="Tabletext"/>
              <w:jc w:val="center"/>
              <w:rPr>
                <w:sz w:val="20"/>
                <w:szCs w:val="20"/>
                <w:lang w:val="fr-FR"/>
              </w:rPr>
            </w:pPr>
            <w:r w:rsidRPr="001C695B">
              <w:rPr>
                <w:sz w:val="20"/>
                <w:szCs w:val="20"/>
                <w:lang w:val="fr-FR"/>
              </w:rPr>
              <w:t>73</w:t>
            </w:r>
          </w:p>
        </w:tc>
        <w:tc>
          <w:tcPr>
            <w:tcW w:w="1134" w:type="dxa"/>
          </w:tcPr>
          <w:p w:rsidR="00931B29" w:rsidRPr="001C695B" w:rsidRDefault="00931B29" w:rsidP="00931B29">
            <w:pPr>
              <w:pStyle w:val="Tabletext"/>
              <w:ind w:right="34"/>
              <w:jc w:val="center"/>
              <w:rPr>
                <w:sz w:val="20"/>
                <w:szCs w:val="20"/>
                <w:lang w:val="fr-FR"/>
              </w:rPr>
            </w:pPr>
            <w:r w:rsidRPr="001C695B">
              <w:rPr>
                <w:sz w:val="20"/>
                <w:szCs w:val="20"/>
                <w:lang w:val="fr-FR"/>
              </w:rPr>
              <w:t>79</w:t>
            </w:r>
          </w:p>
        </w:tc>
      </w:tr>
      <w:tr w:rsidR="00931B29" w:rsidRPr="001C695B" w:rsidTr="00931B29">
        <w:tc>
          <w:tcPr>
            <w:tcW w:w="9493" w:type="dxa"/>
          </w:tcPr>
          <w:p w:rsidR="00931B29" w:rsidRPr="001C695B" w:rsidRDefault="00931B29" w:rsidP="00931B29">
            <w:pPr>
              <w:spacing w:before="60" w:after="60"/>
              <w:ind w:right="113"/>
              <w:rPr>
                <w:b/>
                <w:bCs/>
                <w:noProof/>
                <w:color w:val="4F81BD" w:themeColor="accent1"/>
                <w:sz w:val="20"/>
                <w:szCs w:val="20"/>
                <w:lang w:val="fr-FR" w:eastAsia="zh-CN"/>
              </w:rPr>
            </w:pPr>
            <w:r w:rsidRPr="001C695B">
              <w:rPr>
                <w:b/>
                <w:bCs/>
                <w:noProof/>
                <w:color w:val="4F81BD" w:themeColor="accent1"/>
                <w:sz w:val="20"/>
                <w:szCs w:val="20"/>
                <w:lang w:val="fr-FR" w:eastAsia="zh-CN"/>
              </w:rPr>
              <w:t>Total pour l'objectif I.1</w:t>
            </w:r>
          </w:p>
        </w:tc>
        <w:tc>
          <w:tcPr>
            <w:tcW w:w="1275" w:type="dxa"/>
            <w:tcMar>
              <w:right w:w="454" w:type="dxa"/>
            </w:tcMar>
          </w:tcPr>
          <w:p w:rsidR="00931B29" w:rsidRPr="001C695B" w:rsidRDefault="00931B29" w:rsidP="00931B29">
            <w:pPr>
              <w:pStyle w:val="Tabletext"/>
              <w:ind w:right="-313"/>
              <w:jc w:val="center"/>
              <w:rPr>
                <w:b/>
                <w:bCs/>
                <w:sz w:val="20"/>
                <w:szCs w:val="20"/>
                <w:highlight w:val="yellow"/>
                <w:lang w:val="fr-FR"/>
              </w:rPr>
            </w:pPr>
            <w:r w:rsidRPr="001C695B">
              <w:rPr>
                <w:sz w:val="20"/>
                <w:szCs w:val="20"/>
                <w:lang w:val="fr-FR"/>
              </w:rPr>
              <w:t>2 612</w:t>
            </w:r>
          </w:p>
        </w:tc>
        <w:tc>
          <w:tcPr>
            <w:tcW w:w="1418" w:type="dxa"/>
            <w:tcMar>
              <w:right w:w="454" w:type="dxa"/>
            </w:tcMar>
          </w:tcPr>
          <w:p w:rsidR="00931B29" w:rsidRPr="001C695B" w:rsidRDefault="00931B29" w:rsidP="00931B29">
            <w:pPr>
              <w:pStyle w:val="Tabletext"/>
              <w:ind w:right="-312"/>
              <w:jc w:val="center"/>
              <w:rPr>
                <w:b/>
                <w:bCs/>
                <w:sz w:val="20"/>
                <w:szCs w:val="20"/>
                <w:lang w:val="fr-FR"/>
              </w:rPr>
            </w:pPr>
            <w:r w:rsidRPr="001C695B">
              <w:rPr>
                <w:sz w:val="20"/>
                <w:szCs w:val="20"/>
                <w:lang w:val="fr-FR"/>
              </w:rPr>
              <w:t>3 411</w:t>
            </w:r>
          </w:p>
        </w:tc>
        <w:tc>
          <w:tcPr>
            <w:tcW w:w="1276" w:type="dxa"/>
          </w:tcPr>
          <w:p w:rsidR="00931B29" w:rsidRPr="001C695B" w:rsidRDefault="00931B29" w:rsidP="00931B29">
            <w:pPr>
              <w:pStyle w:val="Tabletext"/>
              <w:jc w:val="center"/>
              <w:rPr>
                <w:sz w:val="20"/>
                <w:szCs w:val="20"/>
                <w:lang w:val="fr-FR"/>
              </w:rPr>
            </w:pPr>
            <w:r w:rsidRPr="001C695B">
              <w:rPr>
                <w:sz w:val="20"/>
                <w:szCs w:val="20"/>
                <w:lang w:val="fr-FR"/>
              </w:rPr>
              <w:t>2 438</w:t>
            </w:r>
          </w:p>
        </w:tc>
        <w:tc>
          <w:tcPr>
            <w:tcW w:w="1134" w:type="dxa"/>
          </w:tcPr>
          <w:p w:rsidR="00931B29" w:rsidRPr="001C695B" w:rsidRDefault="00931B29" w:rsidP="00931B29">
            <w:pPr>
              <w:pStyle w:val="Tabletext"/>
              <w:ind w:right="34"/>
              <w:jc w:val="center"/>
              <w:rPr>
                <w:sz w:val="20"/>
                <w:szCs w:val="20"/>
                <w:lang w:val="fr-FR"/>
              </w:rPr>
            </w:pPr>
            <w:r w:rsidRPr="001C695B">
              <w:rPr>
                <w:sz w:val="20"/>
                <w:szCs w:val="20"/>
                <w:lang w:val="fr-FR"/>
              </w:rPr>
              <w:t>2 328</w:t>
            </w:r>
          </w:p>
        </w:tc>
      </w:tr>
    </w:tbl>
    <w:p w:rsidR="00741A31" w:rsidRPr="001C695B" w:rsidRDefault="00741A31" w:rsidP="00741A31">
      <w:pPr>
        <w:pStyle w:val="Heading2"/>
        <w:spacing w:after="120"/>
        <w:rPr>
          <w:lang w:val="fr-FR"/>
        </w:rPr>
      </w:pPr>
      <w:r w:rsidRPr="001C695B">
        <w:rPr>
          <w:lang w:val="fr-FR"/>
        </w:rPr>
        <w:lastRenderedPageBreak/>
        <w:t>6.2</w:t>
      </w:r>
      <w:r w:rsidRPr="001C695B">
        <w:rPr>
          <w:lang w:val="fr-FR"/>
        </w:rPr>
        <w:tab/>
        <w:t>I.2 Renforcer les partenariats et la coopération dans l'environnement des télécommunications/TIC</w:t>
      </w:r>
    </w:p>
    <w:tbl>
      <w:tblPr>
        <w:tblStyle w:val="GridTable4-Accent11"/>
        <w:tblW w:w="14596" w:type="dxa"/>
        <w:tblLook w:val="06A0" w:firstRow="1" w:lastRow="0" w:firstColumn="1" w:lastColumn="0" w:noHBand="1" w:noVBand="1"/>
      </w:tblPr>
      <w:tblGrid>
        <w:gridCol w:w="5240"/>
        <w:gridCol w:w="7229"/>
        <w:gridCol w:w="2127"/>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931B29" w:rsidRPr="001C695B" w:rsidRDefault="00931B29" w:rsidP="00931B29">
            <w:pPr>
              <w:spacing w:before="20" w:after="20"/>
              <w:rPr>
                <w:sz w:val="22"/>
                <w:lang w:val="fr-FR"/>
              </w:rPr>
            </w:pPr>
            <w:r w:rsidRPr="001C695B">
              <w:rPr>
                <w:sz w:val="22"/>
                <w:lang w:val="fr-FR"/>
              </w:rPr>
              <w:t>Résultat</w:t>
            </w:r>
          </w:p>
        </w:tc>
        <w:tc>
          <w:tcPr>
            <w:tcW w:w="7229" w:type="dxa"/>
          </w:tcPr>
          <w:p w:rsidR="00931B29" w:rsidRPr="001C695B" w:rsidRDefault="00931B29" w:rsidP="00931B29">
            <w:pPr>
              <w:spacing w:before="20" w:after="20"/>
              <w:cnfStyle w:val="100000000000" w:firstRow="1" w:lastRow="0" w:firstColumn="0" w:lastColumn="0" w:oddVBand="0" w:evenVBand="0" w:oddHBand="0" w:evenHBand="0" w:firstRowFirstColumn="0" w:firstRowLastColumn="0" w:lastRowFirstColumn="0" w:lastRowLastColumn="0"/>
              <w:rPr>
                <w:sz w:val="22"/>
                <w:lang w:val="fr-FR"/>
              </w:rPr>
            </w:pPr>
            <w:r w:rsidRPr="001C695B">
              <w:rPr>
                <w:sz w:val="22"/>
                <w:lang w:val="fr-FR"/>
              </w:rPr>
              <w:t>Indicateur de résultat (valeur actuelle – valeur d'ici à 2020)</w:t>
            </w:r>
          </w:p>
        </w:tc>
        <w:tc>
          <w:tcPr>
            <w:tcW w:w="2127" w:type="dxa"/>
          </w:tcPr>
          <w:p w:rsidR="00931B29" w:rsidRPr="001C695B" w:rsidRDefault="00931B29" w:rsidP="00931B29">
            <w:pPr>
              <w:spacing w:before="20" w:after="20"/>
              <w:cnfStyle w:val="100000000000" w:firstRow="1" w:lastRow="0" w:firstColumn="0" w:lastColumn="0" w:oddVBand="0" w:evenVBand="0" w:oddHBand="0" w:evenHBand="0" w:firstRowFirstColumn="0" w:firstRowLastColumn="0" w:lastRowFirstColumn="0" w:lastRowLastColumn="0"/>
              <w:rPr>
                <w:sz w:val="22"/>
                <w:lang w:val="fr-FR"/>
              </w:rPr>
            </w:pPr>
            <w:r w:rsidRPr="001C695B">
              <w:rPr>
                <w:sz w:val="22"/>
                <w:lang w:val="fr-FR"/>
              </w:rPr>
              <w:t>Moyen de mesure</w:t>
            </w:r>
          </w:p>
        </w:tc>
      </w:tr>
      <w:tr w:rsidR="00931B29" w:rsidRPr="001C695B" w:rsidTr="00931B29">
        <w:tc>
          <w:tcPr>
            <w:cnfStyle w:val="001000000000" w:firstRow="0" w:lastRow="0" w:firstColumn="1" w:lastColumn="0" w:oddVBand="0" w:evenVBand="0" w:oddHBand="0" w:evenHBand="0" w:firstRowFirstColumn="0" w:firstRowLastColumn="0" w:lastRowFirstColumn="0" w:lastRowLastColumn="0"/>
            <w:tcW w:w="5240" w:type="dxa"/>
          </w:tcPr>
          <w:p w:rsidR="00931B29" w:rsidRPr="001C695B" w:rsidRDefault="00931B29" w:rsidP="00931B29">
            <w:pPr>
              <w:spacing w:before="20" w:after="20"/>
              <w:rPr>
                <w:rFonts w:eastAsia="Calibri" w:cs="Arial"/>
                <w:b w:val="0"/>
                <w:bCs w:val="0"/>
                <w:sz w:val="20"/>
                <w:szCs w:val="20"/>
                <w:lang w:val="fr-FR"/>
              </w:rPr>
            </w:pPr>
            <w:r w:rsidRPr="001C695B">
              <w:rPr>
                <w:rFonts w:eastAsia="Calibri" w:cs="Arial"/>
                <w:color w:val="4F81BD" w:themeColor="accent1"/>
                <w:sz w:val="20"/>
                <w:szCs w:val="20"/>
                <w:lang w:val="fr-FR"/>
              </w:rPr>
              <w:t>I.2-1</w:t>
            </w:r>
            <w:r w:rsidRPr="001C695B">
              <w:rPr>
                <w:rFonts w:eastAsia="Calibri" w:cs="Arial"/>
                <w:sz w:val="20"/>
                <w:szCs w:val="20"/>
                <w:lang w:val="fr-FR"/>
              </w:rPr>
              <w:t xml:space="preserve">: </w:t>
            </w:r>
            <w:r w:rsidRPr="001C695B">
              <w:rPr>
                <w:rFonts w:eastAsia="Calibri" w:cs="Arial"/>
                <w:b w:val="0"/>
                <w:bCs w:val="0"/>
                <w:sz w:val="20"/>
                <w:szCs w:val="20"/>
                <w:lang w:val="fr-FR"/>
              </w:rPr>
              <w:t>Renforcement des synergies nées des partenariats concernant les télécommunications/TIC</w:t>
            </w:r>
          </w:p>
        </w:tc>
        <w:tc>
          <w:tcPr>
            <w:tcW w:w="7229" w:type="dxa"/>
          </w:tcPr>
          <w:p w:rsidR="00931B29" w:rsidRPr="001C695B" w:rsidRDefault="00931B29" w:rsidP="00931B29">
            <w:pPr>
              <w:spacing w:before="20" w:after="2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lang w:val="fr-FR"/>
              </w:rPr>
            </w:pPr>
            <w:r w:rsidRPr="001C695B">
              <w:rPr>
                <w:sz w:val="20"/>
                <w:szCs w:val="20"/>
                <w:lang w:val="fr-FR"/>
              </w:rPr>
              <w:t>Pourcentage de partenariats/accords de collaboration ou arrangements de travail de l'UIT:</w:t>
            </w:r>
            <w:r w:rsidRPr="001C695B">
              <w:rPr>
                <w:i/>
                <w:iCs/>
                <w:color w:val="595959" w:themeColor="text1" w:themeTint="A6"/>
                <w:sz w:val="20"/>
                <w:szCs w:val="20"/>
                <w:lang w:val="fr-FR"/>
              </w:rPr>
              <w:br/>
            </w:r>
            <w:r w:rsidRPr="001C695B">
              <w:rPr>
                <w:i/>
                <w:iCs/>
                <w:color w:val="000000"/>
                <w:sz w:val="20"/>
                <w:szCs w:val="20"/>
                <w:lang w:val="fr-FR"/>
              </w:rPr>
              <w:t>avec des administrations: 2010-2014: 45,9%; 2015: 51%;</w:t>
            </w:r>
            <w:r w:rsidRPr="001C695B">
              <w:rPr>
                <w:i/>
                <w:iCs/>
                <w:color w:val="000000"/>
                <w:sz w:val="20"/>
                <w:szCs w:val="20"/>
                <w:lang w:val="fr-FR"/>
              </w:rPr>
              <w:br/>
              <w:t>avec des organisations intergouvernementales/régionales: 2010-2014: 37,2%; 2015: 37,1%;</w:t>
            </w:r>
            <w:r w:rsidRPr="001C695B">
              <w:rPr>
                <w:i/>
                <w:iCs/>
                <w:color w:val="000000"/>
                <w:sz w:val="20"/>
                <w:szCs w:val="20"/>
                <w:lang w:val="fr-FR"/>
              </w:rPr>
              <w:br/>
              <w:t>avec d'autres entités: 2010-2014: 16,9%; 2015: 11,4%</w:t>
            </w:r>
          </w:p>
        </w:tc>
        <w:tc>
          <w:tcPr>
            <w:tcW w:w="2127" w:type="dxa"/>
          </w:tcPr>
          <w:p w:rsidR="00931B29" w:rsidRPr="001C695B" w:rsidRDefault="00931B29" w:rsidP="00931B29">
            <w:pPr>
              <w:spacing w:before="20" w:after="2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lang w:val="fr-FR"/>
              </w:rPr>
            </w:pPr>
            <w:r w:rsidRPr="001C695B">
              <w:rPr>
                <w:sz w:val="20"/>
                <w:szCs w:val="20"/>
                <w:lang w:val="fr-FR"/>
              </w:rPr>
              <w:t>Données intersectorielles</w:t>
            </w:r>
          </w:p>
        </w:tc>
      </w:tr>
    </w:tbl>
    <w:p w:rsidR="00741A31" w:rsidRPr="001C695B" w:rsidRDefault="00741A31" w:rsidP="00741A31">
      <w:pPr>
        <w:spacing w:before="20" w:after="20"/>
        <w:rPr>
          <w:sz w:val="2"/>
          <w:szCs w:val="2"/>
          <w:lang w:val="fr-FR"/>
        </w:rPr>
      </w:pPr>
    </w:p>
    <w:p w:rsidR="00741A31" w:rsidRPr="001C695B" w:rsidRDefault="00741A31" w:rsidP="00741A31">
      <w:pPr>
        <w:rPr>
          <w:lang w:val="fr-FR"/>
        </w:rPr>
      </w:pPr>
    </w:p>
    <w:tbl>
      <w:tblPr>
        <w:tblStyle w:val="GridTable4-Accent11"/>
        <w:tblW w:w="14596" w:type="dxa"/>
        <w:tblLayout w:type="fixed"/>
        <w:tblLook w:val="0620" w:firstRow="1" w:lastRow="0" w:firstColumn="0" w:lastColumn="0" w:noHBand="1" w:noVBand="1"/>
      </w:tblPr>
      <w:tblGrid>
        <w:gridCol w:w="9776"/>
        <w:gridCol w:w="1276"/>
        <w:gridCol w:w="1134"/>
        <w:gridCol w:w="1276"/>
        <w:gridCol w:w="1134"/>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9776" w:type="dxa"/>
          </w:tcPr>
          <w:p w:rsidR="00931B29" w:rsidRPr="001C695B" w:rsidRDefault="00931B29" w:rsidP="00931B29">
            <w:pPr>
              <w:spacing w:before="20" w:after="20"/>
              <w:rPr>
                <w:sz w:val="22"/>
                <w:lang w:val="fr-FR"/>
              </w:rPr>
            </w:pPr>
            <w:r w:rsidRPr="001C695B">
              <w:rPr>
                <w:sz w:val="22"/>
                <w:lang w:val="fr-FR"/>
              </w:rPr>
              <w:t>Produit</w:t>
            </w:r>
          </w:p>
        </w:tc>
        <w:tc>
          <w:tcPr>
            <w:tcW w:w="4820" w:type="dxa"/>
            <w:gridSpan w:val="4"/>
          </w:tcPr>
          <w:p w:rsidR="00931B29" w:rsidRPr="001C695B" w:rsidRDefault="00931B29" w:rsidP="00931B29">
            <w:pPr>
              <w:spacing w:before="20" w:after="20"/>
              <w:jc w:val="center"/>
              <w:rPr>
                <w:sz w:val="22"/>
                <w:lang w:val="fr-FR"/>
              </w:rPr>
            </w:pPr>
            <w:r w:rsidRPr="001C695B">
              <w:rPr>
                <w:sz w:val="22"/>
                <w:lang w:val="fr-FR"/>
              </w:rPr>
              <w:t>Ressources financières</w:t>
            </w:r>
            <w:r w:rsidRPr="001C695B">
              <w:rPr>
                <w:rStyle w:val="FootnoteReference"/>
                <w:lang w:val="fr-FR"/>
              </w:rPr>
              <w:footnoteReference w:id="5"/>
            </w:r>
            <w:r w:rsidRPr="001C695B">
              <w:rPr>
                <w:sz w:val="22"/>
                <w:lang w:val="fr-FR"/>
              </w:rPr>
              <w:t xml:space="preserve"> (en milliers CHF)</w:t>
            </w:r>
          </w:p>
        </w:tc>
      </w:tr>
      <w:tr w:rsidR="00931B29" w:rsidRPr="001C695B" w:rsidTr="00931B29">
        <w:tc>
          <w:tcPr>
            <w:tcW w:w="9776" w:type="dxa"/>
          </w:tcPr>
          <w:p w:rsidR="00931B29" w:rsidRPr="001C695B" w:rsidRDefault="00931B29" w:rsidP="00931B29">
            <w:pPr>
              <w:spacing w:before="20" w:after="20"/>
              <w:rPr>
                <w:sz w:val="22"/>
                <w:lang w:val="fr-FR"/>
              </w:rPr>
            </w:pPr>
          </w:p>
        </w:tc>
        <w:tc>
          <w:tcPr>
            <w:tcW w:w="1276" w:type="dxa"/>
          </w:tcPr>
          <w:p w:rsidR="00931B29" w:rsidRPr="001C695B" w:rsidRDefault="00931B29" w:rsidP="00931B29">
            <w:pPr>
              <w:spacing w:before="20" w:after="20"/>
              <w:jc w:val="center"/>
              <w:rPr>
                <w:b/>
                <w:bCs/>
                <w:color w:val="4F81BD" w:themeColor="accent1"/>
                <w:sz w:val="22"/>
                <w:lang w:val="fr-FR"/>
              </w:rPr>
            </w:pPr>
            <w:r w:rsidRPr="001C695B">
              <w:rPr>
                <w:b/>
                <w:bCs/>
                <w:color w:val="4F81BD" w:themeColor="accent1"/>
                <w:sz w:val="22"/>
                <w:lang w:val="fr-FR"/>
              </w:rPr>
              <w:t>2018</w:t>
            </w:r>
          </w:p>
        </w:tc>
        <w:tc>
          <w:tcPr>
            <w:tcW w:w="1134" w:type="dxa"/>
          </w:tcPr>
          <w:p w:rsidR="00931B29" w:rsidRPr="001C695B" w:rsidRDefault="00931B29" w:rsidP="00931B29">
            <w:pPr>
              <w:spacing w:before="20" w:after="20"/>
              <w:jc w:val="center"/>
              <w:rPr>
                <w:b/>
                <w:bCs/>
                <w:color w:val="4F81BD" w:themeColor="accent1"/>
                <w:sz w:val="22"/>
                <w:lang w:val="fr-FR"/>
              </w:rPr>
            </w:pPr>
            <w:r w:rsidRPr="001C695B">
              <w:rPr>
                <w:b/>
                <w:bCs/>
                <w:color w:val="4F81BD" w:themeColor="accent1"/>
                <w:sz w:val="22"/>
                <w:lang w:val="fr-FR"/>
              </w:rPr>
              <w:t>2019</w:t>
            </w:r>
          </w:p>
        </w:tc>
        <w:tc>
          <w:tcPr>
            <w:tcW w:w="1276" w:type="dxa"/>
          </w:tcPr>
          <w:p w:rsidR="00931B29" w:rsidRPr="001C695B" w:rsidRDefault="00931B29" w:rsidP="00931B29">
            <w:pPr>
              <w:spacing w:before="20" w:after="20"/>
              <w:jc w:val="center"/>
              <w:rPr>
                <w:b/>
                <w:bCs/>
                <w:color w:val="4F81BD" w:themeColor="accent1"/>
                <w:sz w:val="22"/>
                <w:lang w:val="fr-FR"/>
              </w:rPr>
            </w:pPr>
            <w:r w:rsidRPr="001C695B">
              <w:rPr>
                <w:b/>
                <w:bCs/>
                <w:color w:val="4F81BD" w:themeColor="accent1"/>
                <w:sz w:val="22"/>
                <w:lang w:val="fr-FR"/>
              </w:rPr>
              <w:t>2020</w:t>
            </w:r>
          </w:p>
        </w:tc>
        <w:tc>
          <w:tcPr>
            <w:tcW w:w="1134" w:type="dxa"/>
          </w:tcPr>
          <w:p w:rsidR="00931B29" w:rsidRPr="001C695B" w:rsidRDefault="00931B29" w:rsidP="00931B29">
            <w:pPr>
              <w:spacing w:before="20" w:after="20"/>
              <w:jc w:val="center"/>
              <w:rPr>
                <w:b/>
                <w:bCs/>
                <w:color w:val="4F81BD" w:themeColor="accent1"/>
                <w:sz w:val="22"/>
                <w:lang w:val="fr-FR"/>
              </w:rPr>
            </w:pPr>
            <w:r w:rsidRPr="001C695B">
              <w:rPr>
                <w:b/>
                <w:bCs/>
                <w:color w:val="4F81BD" w:themeColor="accent1"/>
                <w:sz w:val="22"/>
                <w:lang w:val="fr-FR"/>
              </w:rPr>
              <w:t>2021</w:t>
            </w:r>
          </w:p>
        </w:tc>
      </w:tr>
      <w:tr w:rsidR="00931B29" w:rsidRPr="001C695B" w:rsidTr="00931B29">
        <w:tc>
          <w:tcPr>
            <w:tcW w:w="9776" w:type="dxa"/>
          </w:tcPr>
          <w:p w:rsidR="00931B29" w:rsidRPr="001C695B" w:rsidRDefault="00931B29" w:rsidP="00931B29">
            <w:pPr>
              <w:spacing w:before="20" w:after="20"/>
              <w:contextualSpacing/>
              <w:rPr>
                <w:rFonts w:eastAsia="Calibri" w:cs="Arial"/>
                <w:sz w:val="20"/>
                <w:szCs w:val="20"/>
                <w:lang w:val="fr-FR"/>
              </w:rPr>
            </w:pPr>
            <w:r w:rsidRPr="001C695B">
              <w:rPr>
                <w:rFonts w:eastAsia="Calibri" w:cs="Arial"/>
                <w:b/>
                <w:bCs/>
                <w:color w:val="4F81BD" w:themeColor="accent1"/>
                <w:sz w:val="20"/>
                <w:szCs w:val="20"/>
                <w:lang w:val="fr-FR"/>
              </w:rPr>
              <w:t>I.2-1</w:t>
            </w:r>
            <w:r w:rsidRPr="001C695B">
              <w:rPr>
                <w:b/>
                <w:bCs/>
                <w:noProof/>
                <w:color w:val="4F81BD" w:themeColor="accent1"/>
                <w:sz w:val="20"/>
                <w:szCs w:val="20"/>
                <w:lang w:val="fr-FR" w:eastAsia="zh-CN"/>
              </w:rPr>
              <w:t xml:space="preserve"> </w:t>
            </w:r>
            <w:r w:rsidRPr="001C695B">
              <w:rPr>
                <w:rFonts w:eastAsia="Calibri" w:cs="Arial"/>
                <w:sz w:val="20"/>
                <w:szCs w:val="20"/>
                <w:lang w:val="fr-FR"/>
              </w:rPr>
              <w:t>Echange de connaissances, création de réseaux de relations et partenariats</w:t>
            </w:r>
          </w:p>
        </w:tc>
        <w:tc>
          <w:tcPr>
            <w:tcW w:w="1276" w:type="dxa"/>
            <w:tcMar>
              <w:right w:w="454" w:type="dxa"/>
            </w:tcMar>
          </w:tcPr>
          <w:p w:rsidR="00931B29" w:rsidRPr="001C695B" w:rsidRDefault="00931B29" w:rsidP="00931B29">
            <w:pPr>
              <w:spacing w:after="60"/>
              <w:ind w:left="-34"/>
              <w:jc w:val="right"/>
              <w:rPr>
                <w:sz w:val="20"/>
                <w:szCs w:val="20"/>
                <w:lang w:val="fr-FR"/>
              </w:rPr>
            </w:pPr>
            <w:r w:rsidRPr="001C695B">
              <w:rPr>
                <w:sz w:val="20"/>
                <w:szCs w:val="20"/>
                <w:lang w:val="fr-FR"/>
              </w:rPr>
              <w:t>2 287</w:t>
            </w:r>
          </w:p>
        </w:tc>
        <w:tc>
          <w:tcPr>
            <w:tcW w:w="1134" w:type="dxa"/>
            <w:tcMar>
              <w:right w:w="454" w:type="dxa"/>
            </w:tcMar>
          </w:tcPr>
          <w:p w:rsidR="00931B29" w:rsidRPr="001C695B" w:rsidRDefault="00931B29" w:rsidP="00931B29">
            <w:pPr>
              <w:spacing w:after="60"/>
              <w:jc w:val="right"/>
              <w:rPr>
                <w:sz w:val="20"/>
                <w:szCs w:val="20"/>
                <w:lang w:val="fr-FR"/>
              </w:rPr>
            </w:pPr>
            <w:r w:rsidRPr="001C695B">
              <w:rPr>
                <w:sz w:val="20"/>
                <w:szCs w:val="20"/>
                <w:lang w:val="fr-FR"/>
              </w:rPr>
              <w:t>2 107</w:t>
            </w:r>
          </w:p>
        </w:tc>
        <w:tc>
          <w:tcPr>
            <w:tcW w:w="1276" w:type="dxa"/>
          </w:tcPr>
          <w:p w:rsidR="00931B29" w:rsidRPr="001C695B" w:rsidRDefault="00931B29" w:rsidP="00931B29">
            <w:pPr>
              <w:spacing w:after="60"/>
              <w:jc w:val="center"/>
              <w:rPr>
                <w:sz w:val="20"/>
                <w:szCs w:val="20"/>
                <w:lang w:val="fr-FR"/>
              </w:rPr>
            </w:pPr>
            <w:r w:rsidRPr="001C695B">
              <w:rPr>
                <w:sz w:val="20"/>
                <w:szCs w:val="20"/>
                <w:lang w:val="fr-FR"/>
              </w:rPr>
              <w:t>2 813</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2 510</w:t>
            </w:r>
          </w:p>
        </w:tc>
      </w:tr>
      <w:tr w:rsidR="00931B29" w:rsidRPr="001C695B" w:rsidTr="00931B29">
        <w:tc>
          <w:tcPr>
            <w:tcW w:w="9776" w:type="dxa"/>
          </w:tcPr>
          <w:p w:rsidR="00931B29" w:rsidRPr="001C695B" w:rsidRDefault="00931B29" w:rsidP="00931B29">
            <w:pPr>
              <w:spacing w:before="20" w:after="20"/>
              <w:contextualSpacing/>
              <w:rPr>
                <w:rFonts w:eastAsia="Calibri" w:cs="Arial"/>
                <w:b/>
                <w:bCs/>
                <w:color w:val="4F81BD" w:themeColor="accent1"/>
                <w:sz w:val="20"/>
                <w:szCs w:val="20"/>
                <w:lang w:val="fr-FR"/>
              </w:rPr>
            </w:pPr>
            <w:r w:rsidRPr="001C695B">
              <w:rPr>
                <w:rFonts w:eastAsia="Calibri" w:cs="Arial"/>
                <w:b/>
                <w:bCs/>
                <w:color w:val="4F81BD" w:themeColor="accent1"/>
                <w:sz w:val="20"/>
                <w:szCs w:val="20"/>
                <w:lang w:val="fr-FR"/>
              </w:rPr>
              <w:t>I.2-2</w:t>
            </w:r>
            <w:r w:rsidRPr="001C695B">
              <w:rPr>
                <w:b/>
                <w:bCs/>
                <w:noProof/>
                <w:color w:val="4F81BD" w:themeColor="accent1"/>
                <w:sz w:val="20"/>
                <w:szCs w:val="20"/>
                <w:lang w:val="fr-FR" w:eastAsia="zh-CN"/>
              </w:rPr>
              <w:t xml:space="preserve"> </w:t>
            </w:r>
            <w:r w:rsidRPr="001C695B">
              <w:rPr>
                <w:rFonts w:eastAsia="Calibri" w:cs="Arial"/>
                <w:sz w:val="20"/>
                <w:szCs w:val="20"/>
                <w:lang w:val="fr-FR"/>
              </w:rPr>
              <w:t>Mémorandums d'accord</w:t>
            </w:r>
          </w:p>
        </w:tc>
        <w:tc>
          <w:tcPr>
            <w:tcW w:w="1276" w:type="dxa"/>
            <w:tcMar>
              <w:right w:w="454" w:type="dxa"/>
            </w:tcMar>
          </w:tcPr>
          <w:p w:rsidR="00931B29" w:rsidRPr="001C695B" w:rsidRDefault="00931B29" w:rsidP="00931B29">
            <w:pPr>
              <w:spacing w:after="60"/>
              <w:jc w:val="right"/>
              <w:rPr>
                <w:b/>
                <w:bCs/>
                <w:sz w:val="20"/>
                <w:szCs w:val="20"/>
                <w:lang w:val="fr-FR"/>
              </w:rPr>
            </w:pPr>
            <w:r w:rsidRPr="001C695B">
              <w:rPr>
                <w:sz w:val="20"/>
                <w:szCs w:val="20"/>
                <w:lang w:val="fr-FR"/>
              </w:rPr>
              <w:t>145</w:t>
            </w:r>
          </w:p>
        </w:tc>
        <w:tc>
          <w:tcPr>
            <w:tcW w:w="1134" w:type="dxa"/>
            <w:tcMar>
              <w:right w:w="454" w:type="dxa"/>
            </w:tcMar>
          </w:tcPr>
          <w:p w:rsidR="00931B29" w:rsidRPr="001C695B" w:rsidRDefault="00931B29" w:rsidP="00931B29">
            <w:pPr>
              <w:spacing w:after="60"/>
              <w:jc w:val="right"/>
              <w:rPr>
                <w:sz w:val="20"/>
                <w:szCs w:val="20"/>
                <w:lang w:val="fr-FR"/>
              </w:rPr>
            </w:pPr>
            <w:r w:rsidRPr="001C695B">
              <w:rPr>
                <w:sz w:val="20"/>
                <w:szCs w:val="20"/>
                <w:lang w:val="fr-FR"/>
              </w:rPr>
              <w:t>148</w:t>
            </w:r>
          </w:p>
        </w:tc>
        <w:tc>
          <w:tcPr>
            <w:tcW w:w="1276" w:type="dxa"/>
          </w:tcPr>
          <w:p w:rsidR="00931B29" w:rsidRPr="001C695B" w:rsidRDefault="00931B29" w:rsidP="00931B29">
            <w:pPr>
              <w:spacing w:after="60"/>
              <w:jc w:val="center"/>
              <w:rPr>
                <w:sz w:val="20"/>
                <w:szCs w:val="20"/>
                <w:lang w:val="fr-FR"/>
              </w:rPr>
            </w:pPr>
            <w:r w:rsidRPr="001C695B">
              <w:rPr>
                <w:sz w:val="20"/>
                <w:szCs w:val="20"/>
                <w:lang w:val="fr-FR"/>
              </w:rPr>
              <w:t>144</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144</w:t>
            </w:r>
          </w:p>
        </w:tc>
      </w:tr>
      <w:tr w:rsidR="00931B29" w:rsidRPr="001C695B" w:rsidTr="00931B29">
        <w:tc>
          <w:tcPr>
            <w:tcW w:w="9776" w:type="dxa"/>
          </w:tcPr>
          <w:p w:rsidR="00931B29" w:rsidRPr="001C695B" w:rsidRDefault="00931B29" w:rsidP="00931B29">
            <w:pPr>
              <w:spacing w:before="20" w:after="20"/>
              <w:contextualSpacing/>
              <w:rPr>
                <w:b/>
                <w:bCs/>
                <w:noProof/>
                <w:color w:val="4F81BD" w:themeColor="accent1"/>
                <w:sz w:val="20"/>
                <w:szCs w:val="20"/>
                <w:lang w:val="fr-FR" w:eastAsia="zh-CN"/>
              </w:rPr>
            </w:pPr>
            <w:r w:rsidRPr="001C695B">
              <w:rPr>
                <w:rFonts w:eastAsia="Calibri" w:cs="Arial"/>
                <w:sz w:val="20"/>
                <w:szCs w:val="20"/>
                <w:lang w:val="fr-FR"/>
              </w:rPr>
              <w:t>Imputation des coûts à la Conférence de plénipotentiaires et aux activités du Conseil (</w:t>
            </w:r>
            <w:r w:rsidRPr="001C695B">
              <w:rPr>
                <w:rFonts w:eastAsia="Calibri" w:cs="Arial"/>
                <w:b/>
                <w:bCs/>
                <w:color w:val="4F81BD" w:themeColor="accent1"/>
                <w:sz w:val="20"/>
                <w:szCs w:val="20"/>
                <w:lang w:val="fr-FR"/>
              </w:rPr>
              <w:t>PP</w:t>
            </w:r>
            <w:r w:rsidRPr="001C695B">
              <w:rPr>
                <w:rFonts w:eastAsia="Calibri" w:cs="Arial"/>
                <w:sz w:val="20"/>
                <w:szCs w:val="20"/>
                <w:lang w:val="fr-FR"/>
              </w:rPr>
              <w:t xml:space="preserve">, </w:t>
            </w:r>
            <w:r w:rsidRPr="001C695B">
              <w:rPr>
                <w:rFonts w:eastAsia="Calibri" w:cs="Arial"/>
                <w:b/>
                <w:bCs/>
                <w:color w:val="4F81BD" w:themeColor="accent1"/>
                <w:sz w:val="20"/>
                <w:szCs w:val="20"/>
                <w:lang w:val="fr-FR"/>
              </w:rPr>
              <w:t>Conseil/GTC</w:t>
            </w:r>
            <w:r w:rsidRPr="001C695B">
              <w:rPr>
                <w:rFonts w:eastAsia="Calibri" w:cs="Arial"/>
                <w:sz w:val="20"/>
                <w:szCs w:val="20"/>
                <w:lang w:val="fr-FR"/>
              </w:rPr>
              <w:t>)</w:t>
            </w:r>
          </w:p>
        </w:tc>
        <w:tc>
          <w:tcPr>
            <w:tcW w:w="1276" w:type="dxa"/>
            <w:tcMar>
              <w:right w:w="454" w:type="dxa"/>
            </w:tcMar>
          </w:tcPr>
          <w:p w:rsidR="00931B29" w:rsidRPr="001C695B" w:rsidRDefault="00931B29" w:rsidP="00931B29">
            <w:pPr>
              <w:spacing w:after="60"/>
              <w:jc w:val="right"/>
              <w:rPr>
                <w:b/>
                <w:bCs/>
                <w:sz w:val="20"/>
                <w:szCs w:val="20"/>
                <w:lang w:val="fr-FR"/>
              </w:rPr>
            </w:pPr>
            <w:r w:rsidRPr="001C695B">
              <w:rPr>
                <w:sz w:val="20"/>
                <w:szCs w:val="20"/>
                <w:lang w:val="fr-FR"/>
              </w:rPr>
              <w:t>145</w:t>
            </w:r>
          </w:p>
        </w:tc>
        <w:tc>
          <w:tcPr>
            <w:tcW w:w="1134" w:type="dxa"/>
            <w:tcMar>
              <w:right w:w="454" w:type="dxa"/>
            </w:tcMar>
          </w:tcPr>
          <w:p w:rsidR="00931B29" w:rsidRPr="001C695B" w:rsidRDefault="00931B29" w:rsidP="00931B29">
            <w:pPr>
              <w:spacing w:after="60"/>
              <w:jc w:val="right"/>
              <w:rPr>
                <w:sz w:val="20"/>
                <w:szCs w:val="20"/>
                <w:lang w:val="fr-FR"/>
              </w:rPr>
            </w:pPr>
            <w:r w:rsidRPr="001C695B">
              <w:rPr>
                <w:sz w:val="20"/>
                <w:szCs w:val="20"/>
                <w:lang w:val="fr-FR"/>
              </w:rPr>
              <w:t>67</w:t>
            </w:r>
          </w:p>
        </w:tc>
        <w:tc>
          <w:tcPr>
            <w:tcW w:w="1276" w:type="dxa"/>
          </w:tcPr>
          <w:p w:rsidR="00931B29" w:rsidRPr="001C695B" w:rsidRDefault="00931B29" w:rsidP="00931B29">
            <w:pPr>
              <w:spacing w:after="60"/>
              <w:jc w:val="center"/>
              <w:rPr>
                <w:sz w:val="20"/>
                <w:szCs w:val="20"/>
                <w:lang w:val="fr-FR"/>
              </w:rPr>
            </w:pPr>
            <w:r w:rsidRPr="001C695B">
              <w:rPr>
                <w:sz w:val="20"/>
                <w:szCs w:val="20"/>
                <w:lang w:val="fr-FR"/>
              </w:rPr>
              <w:t>91</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93</w:t>
            </w:r>
          </w:p>
        </w:tc>
      </w:tr>
      <w:tr w:rsidR="00931B29" w:rsidRPr="001C695B" w:rsidTr="00931B29">
        <w:tc>
          <w:tcPr>
            <w:tcW w:w="9776" w:type="dxa"/>
          </w:tcPr>
          <w:p w:rsidR="00931B29" w:rsidRPr="001C695B" w:rsidRDefault="00931B29" w:rsidP="00931B29">
            <w:pPr>
              <w:spacing w:before="20" w:after="20"/>
              <w:ind w:right="113"/>
              <w:rPr>
                <w:b/>
                <w:bCs/>
                <w:noProof/>
                <w:color w:val="4F81BD" w:themeColor="accent1"/>
                <w:sz w:val="20"/>
                <w:szCs w:val="20"/>
                <w:lang w:val="fr-FR" w:eastAsia="zh-CN"/>
              </w:rPr>
            </w:pPr>
            <w:r w:rsidRPr="001C695B">
              <w:rPr>
                <w:b/>
                <w:bCs/>
                <w:noProof/>
                <w:color w:val="4F81BD" w:themeColor="accent1"/>
                <w:sz w:val="20"/>
                <w:szCs w:val="20"/>
                <w:lang w:val="fr-FR" w:eastAsia="zh-CN"/>
              </w:rPr>
              <w:t>Total pour l'objectif I.2</w:t>
            </w:r>
          </w:p>
        </w:tc>
        <w:tc>
          <w:tcPr>
            <w:tcW w:w="1276" w:type="dxa"/>
            <w:tcMar>
              <w:right w:w="454" w:type="dxa"/>
            </w:tcMar>
          </w:tcPr>
          <w:p w:rsidR="00931B29" w:rsidRPr="001C695B" w:rsidRDefault="00931B29" w:rsidP="00931B29">
            <w:pPr>
              <w:spacing w:after="60"/>
              <w:jc w:val="right"/>
              <w:rPr>
                <w:b/>
                <w:bCs/>
                <w:sz w:val="20"/>
                <w:szCs w:val="20"/>
                <w:lang w:val="fr-FR"/>
              </w:rPr>
            </w:pPr>
            <w:r w:rsidRPr="001C695B">
              <w:rPr>
                <w:sz w:val="20"/>
                <w:szCs w:val="20"/>
                <w:lang w:val="fr-FR"/>
              </w:rPr>
              <w:t>2 577</w:t>
            </w:r>
          </w:p>
        </w:tc>
        <w:tc>
          <w:tcPr>
            <w:tcW w:w="1134" w:type="dxa"/>
            <w:tcMar>
              <w:right w:w="454" w:type="dxa"/>
            </w:tcMar>
          </w:tcPr>
          <w:p w:rsidR="00931B29" w:rsidRPr="001C695B" w:rsidRDefault="00931B29" w:rsidP="00931B29">
            <w:pPr>
              <w:spacing w:after="60"/>
              <w:jc w:val="right"/>
              <w:rPr>
                <w:sz w:val="20"/>
                <w:szCs w:val="20"/>
                <w:lang w:val="fr-FR"/>
              </w:rPr>
            </w:pPr>
            <w:r w:rsidRPr="001C695B">
              <w:rPr>
                <w:sz w:val="20"/>
                <w:szCs w:val="20"/>
                <w:lang w:val="fr-FR"/>
              </w:rPr>
              <w:t>2 322</w:t>
            </w:r>
          </w:p>
        </w:tc>
        <w:tc>
          <w:tcPr>
            <w:tcW w:w="1276" w:type="dxa"/>
          </w:tcPr>
          <w:p w:rsidR="00931B29" w:rsidRPr="001C695B" w:rsidRDefault="00931B29" w:rsidP="00931B29">
            <w:pPr>
              <w:spacing w:after="60"/>
              <w:jc w:val="center"/>
              <w:rPr>
                <w:sz w:val="20"/>
                <w:szCs w:val="20"/>
                <w:lang w:val="fr-FR"/>
              </w:rPr>
            </w:pPr>
            <w:r w:rsidRPr="001C695B">
              <w:rPr>
                <w:sz w:val="20"/>
                <w:szCs w:val="20"/>
                <w:lang w:val="fr-FR"/>
              </w:rPr>
              <w:t>3 049</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2 748</w:t>
            </w:r>
          </w:p>
        </w:tc>
      </w:tr>
    </w:tbl>
    <w:p w:rsidR="00741A31" w:rsidRPr="001C695B" w:rsidRDefault="00741A31" w:rsidP="00741A31">
      <w:pPr>
        <w:overflowPunct/>
        <w:autoSpaceDE/>
        <w:autoSpaceDN/>
        <w:adjustRightInd/>
        <w:spacing w:before="0"/>
        <w:textAlignment w:val="auto"/>
        <w:rPr>
          <w:b/>
          <w:lang w:val="fr-FR"/>
        </w:rPr>
      </w:pPr>
      <w:r w:rsidRPr="001C695B">
        <w:rPr>
          <w:lang w:val="fr-FR"/>
        </w:rPr>
        <w:br w:type="page"/>
      </w:r>
    </w:p>
    <w:p w:rsidR="00741A31" w:rsidRPr="001C695B" w:rsidRDefault="00741A31" w:rsidP="00741A31">
      <w:pPr>
        <w:pStyle w:val="Heading2"/>
        <w:spacing w:after="120"/>
        <w:rPr>
          <w:lang w:val="fr-FR"/>
        </w:rPr>
      </w:pPr>
      <w:r w:rsidRPr="001C695B">
        <w:rPr>
          <w:lang w:val="fr-FR"/>
        </w:rPr>
        <w:lastRenderedPageBreak/>
        <w:t>6.3</w:t>
      </w:r>
      <w:r w:rsidRPr="001C695B">
        <w:rPr>
          <w:lang w:val="fr-FR"/>
        </w:rPr>
        <w:tab/>
        <w:t xml:space="preserve">I.3 Améliorer l'identification et l'analyse des nouvelles tendances dans l'environnement des télécommunications/TIC </w:t>
      </w:r>
    </w:p>
    <w:tbl>
      <w:tblPr>
        <w:tblStyle w:val="GridTable4-Accent11"/>
        <w:tblW w:w="14596" w:type="dxa"/>
        <w:tblLook w:val="06A0" w:firstRow="1" w:lastRow="0" w:firstColumn="1" w:lastColumn="0" w:noHBand="1" w:noVBand="1"/>
      </w:tblPr>
      <w:tblGrid>
        <w:gridCol w:w="6658"/>
        <w:gridCol w:w="5670"/>
        <w:gridCol w:w="2268"/>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931B29" w:rsidRPr="001C695B" w:rsidRDefault="00931B29" w:rsidP="00931B29">
            <w:pPr>
              <w:spacing w:before="20" w:after="20"/>
              <w:rPr>
                <w:sz w:val="22"/>
                <w:lang w:val="fr-FR"/>
              </w:rPr>
            </w:pPr>
            <w:r w:rsidRPr="001C695B">
              <w:rPr>
                <w:sz w:val="22"/>
                <w:lang w:val="fr-FR"/>
              </w:rPr>
              <w:t>Résultat</w:t>
            </w:r>
          </w:p>
        </w:tc>
        <w:tc>
          <w:tcPr>
            <w:tcW w:w="5670" w:type="dxa"/>
          </w:tcPr>
          <w:p w:rsidR="00931B29" w:rsidRPr="001C695B" w:rsidRDefault="00931B29" w:rsidP="00931B29">
            <w:pPr>
              <w:spacing w:before="20" w:after="20"/>
              <w:cnfStyle w:val="100000000000" w:firstRow="1" w:lastRow="0" w:firstColumn="0" w:lastColumn="0" w:oddVBand="0" w:evenVBand="0" w:oddHBand="0" w:evenHBand="0" w:firstRowFirstColumn="0" w:firstRowLastColumn="0" w:lastRowFirstColumn="0" w:lastRowLastColumn="0"/>
              <w:rPr>
                <w:sz w:val="22"/>
                <w:lang w:val="fr-FR"/>
              </w:rPr>
            </w:pPr>
            <w:r w:rsidRPr="001C695B">
              <w:rPr>
                <w:sz w:val="22"/>
                <w:lang w:val="fr-FR"/>
              </w:rPr>
              <w:t>Indicateur de résultat (valeur actuelle – valeur d'ici à 2020</w:t>
            </w:r>
            <w:r w:rsidRPr="001C695B">
              <w:rPr>
                <w:b w:val="0"/>
                <w:bCs w:val="0"/>
                <w:sz w:val="22"/>
                <w:lang w:val="fr-FR"/>
              </w:rPr>
              <w:t>)</w:t>
            </w:r>
          </w:p>
        </w:tc>
        <w:tc>
          <w:tcPr>
            <w:tcW w:w="2268" w:type="dxa"/>
          </w:tcPr>
          <w:p w:rsidR="00931B29" w:rsidRPr="001C695B" w:rsidRDefault="00931B29" w:rsidP="00931B29">
            <w:pPr>
              <w:spacing w:before="20" w:after="20"/>
              <w:cnfStyle w:val="100000000000" w:firstRow="1" w:lastRow="0" w:firstColumn="0" w:lastColumn="0" w:oddVBand="0" w:evenVBand="0" w:oddHBand="0" w:evenHBand="0" w:firstRowFirstColumn="0" w:firstRowLastColumn="0" w:lastRowFirstColumn="0" w:lastRowLastColumn="0"/>
              <w:rPr>
                <w:sz w:val="22"/>
                <w:lang w:val="fr-FR"/>
              </w:rPr>
            </w:pPr>
            <w:r w:rsidRPr="001C695B">
              <w:rPr>
                <w:sz w:val="22"/>
                <w:lang w:val="fr-FR"/>
              </w:rPr>
              <w:t>Moyen de mesure</w:t>
            </w:r>
          </w:p>
        </w:tc>
      </w:tr>
      <w:tr w:rsidR="00931B29" w:rsidRPr="001C695B" w:rsidTr="00931B29">
        <w:tc>
          <w:tcPr>
            <w:cnfStyle w:val="001000000000" w:firstRow="0" w:lastRow="0" w:firstColumn="1" w:lastColumn="0" w:oddVBand="0" w:evenVBand="0" w:oddHBand="0" w:evenHBand="0" w:firstRowFirstColumn="0" w:firstRowLastColumn="0" w:lastRowFirstColumn="0" w:lastRowLastColumn="0"/>
            <w:tcW w:w="6658" w:type="dxa"/>
          </w:tcPr>
          <w:p w:rsidR="00931B29" w:rsidRPr="001C695B" w:rsidRDefault="00931B29" w:rsidP="00931B29">
            <w:pPr>
              <w:spacing w:before="20" w:after="20"/>
              <w:rPr>
                <w:rFonts w:eastAsia="Calibri" w:cs="Arial"/>
                <w:b w:val="0"/>
                <w:bCs w:val="0"/>
                <w:sz w:val="20"/>
                <w:szCs w:val="20"/>
                <w:lang w:val="fr-FR"/>
              </w:rPr>
            </w:pPr>
            <w:r w:rsidRPr="001C695B">
              <w:rPr>
                <w:rFonts w:eastAsia="Calibri" w:cs="Arial"/>
                <w:bCs w:val="0"/>
                <w:color w:val="4F81BD" w:themeColor="accent1"/>
                <w:sz w:val="20"/>
                <w:szCs w:val="20"/>
                <w:lang w:val="fr-FR"/>
              </w:rPr>
              <w:t>I.3-1</w:t>
            </w:r>
            <w:r w:rsidRPr="001C695B">
              <w:rPr>
                <w:rFonts w:eastAsia="Calibri" w:cs="Arial"/>
                <w:b w:val="0"/>
                <w:sz w:val="20"/>
                <w:szCs w:val="20"/>
                <w:lang w:val="fr-FR"/>
              </w:rPr>
              <w:t>: Identification et analyse rapides des nouvelles tendances des télécommunications/TIC et création de nouveaux domaines d'activité liés à ces nouvelles tendances</w:t>
            </w:r>
          </w:p>
        </w:tc>
        <w:tc>
          <w:tcPr>
            <w:tcW w:w="5670" w:type="dxa"/>
          </w:tcPr>
          <w:p w:rsidR="00931B29" w:rsidRPr="001C695B" w:rsidRDefault="00931B29" w:rsidP="00931B29">
            <w:pPr>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eastAsia="Calibri" w:cs="Arial"/>
                <w:i/>
                <w:iCs/>
                <w:sz w:val="20"/>
                <w:szCs w:val="20"/>
                <w:lang w:val="fr-FR"/>
              </w:rPr>
            </w:pPr>
            <w:r w:rsidRPr="001C695B">
              <w:rPr>
                <w:rFonts w:eastAsia="Calibri" w:cs="Arial"/>
                <w:color w:val="000000"/>
                <w:sz w:val="20"/>
                <w:szCs w:val="20"/>
                <w:lang w:val="fr-FR"/>
              </w:rPr>
              <w:t>Résultats des travaux des Groupes spécialisés de l'UIT-T depuis 2010:</w:t>
            </w:r>
            <w:r w:rsidRPr="001C695B">
              <w:rPr>
                <w:rFonts w:eastAsia="Calibri" w:cs="Arial"/>
                <w:color w:val="000000"/>
                <w:sz w:val="20"/>
                <w:szCs w:val="20"/>
                <w:lang w:val="fr-FR"/>
              </w:rPr>
              <w:br/>
            </w:r>
            <w:r w:rsidRPr="001C695B">
              <w:rPr>
                <w:rFonts w:eastAsia="Calibri" w:cs="Arial"/>
                <w:i/>
                <w:iCs/>
                <w:color w:val="000000"/>
                <w:sz w:val="20"/>
                <w:szCs w:val="20"/>
                <w:lang w:val="fr-FR"/>
              </w:rPr>
              <w:t>3 nouvelles Questions, 1 nouvelle Commission d'études, 1 nouveau Groupe de travail, 49 sujets d'étude / 43 approuvés; autres produits: 92</w:t>
            </w:r>
          </w:p>
          <w:p w:rsidR="00931B29" w:rsidRPr="001C695B" w:rsidRDefault="00931B29" w:rsidP="00931B29">
            <w:pPr>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rFonts w:eastAsia="Calibri" w:cs="Arial"/>
                <w:color w:val="000000"/>
                <w:sz w:val="20"/>
                <w:szCs w:val="20"/>
                <w:lang w:val="fr-FR"/>
              </w:rPr>
              <w:t xml:space="preserve">Contributions aux manifestations Kaléidoscope: </w:t>
            </w:r>
            <w:r w:rsidRPr="001C695B">
              <w:rPr>
                <w:rFonts w:eastAsia="Calibri" w:cs="Arial"/>
                <w:color w:val="000000"/>
                <w:sz w:val="20"/>
                <w:szCs w:val="20"/>
                <w:lang w:val="fr-FR"/>
              </w:rPr>
              <w:br/>
            </w:r>
            <w:r w:rsidRPr="001C695B">
              <w:rPr>
                <w:rFonts w:eastAsia="Calibri" w:cs="Arial"/>
                <w:i/>
                <w:iCs/>
                <w:color w:val="000000"/>
                <w:sz w:val="20"/>
                <w:szCs w:val="20"/>
                <w:lang w:val="fr-FR"/>
              </w:rPr>
              <w:t>Plus de 700 articles soumis depuis la première édition, plus de 250 présentés et publiés. Plus de 20 articles publiés dans la revue IEEE Communications Magazine.</w:t>
            </w:r>
          </w:p>
        </w:tc>
        <w:tc>
          <w:tcPr>
            <w:tcW w:w="2268" w:type="dxa"/>
          </w:tcPr>
          <w:p w:rsidR="00931B29" w:rsidRPr="001C695B" w:rsidRDefault="00931B29" w:rsidP="00931B29">
            <w:pPr>
              <w:spacing w:before="20" w:after="20"/>
              <w:cnfStyle w:val="000000000000" w:firstRow="0" w:lastRow="0" w:firstColumn="0" w:lastColumn="0" w:oddVBand="0" w:evenVBand="0" w:oddHBand="0" w:evenHBand="0" w:firstRowFirstColumn="0" w:firstRowLastColumn="0" w:lastRowFirstColumn="0" w:lastRowLastColumn="0"/>
              <w:rPr>
                <w:sz w:val="20"/>
                <w:szCs w:val="20"/>
                <w:lang w:val="fr-FR"/>
              </w:rPr>
            </w:pPr>
            <w:r w:rsidRPr="001C695B">
              <w:rPr>
                <w:sz w:val="20"/>
                <w:szCs w:val="20"/>
                <w:lang w:val="fr-FR"/>
              </w:rPr>
              <w:t>Données de l'UIT</w:t>
            </w:r>
          </w:p>
        </w:tc>
      </w:tr>
    </w:tbl>
    <w:p w:rsidR="00741A31" w:rsidRPr="001C695B" w:rsidRDefault="00741A31" w:rsidP="00741A31">
      <w:pPr>
        <w:spacing w:before="20" w:after="20"/>
        <w:rPr>
          <w:sz w:val="2"/>
          <w:szCs w:val="2"/>
          <w:lang w:val="fr-FR"/>
        </w:rPr>
      </w:pPr>
    </w:p>
    <w:p w:rsidR="00741A31" w:rsidRPr="001C695B" w:rsidRDefault="00741A31" w:rsidP="00741A31">
      <w:pPr>
        <w:rPr>
          <w:lang w:val="fr-FR"/>
        </w:rPr>
      </w:pPr>
    </w:p>
    <w:tbl>
      <w:tblPr>
        <w:tblStyle w:val="GridTable4-Accent11"/>
        <w:tblW w:w="14596" w:type="dxa"/>
        <w:tblLayout w:type="fixed"/>
        <w:tblLook w:val="0620" w:firstRow="1" w:lastRow="0" w:firstColumn="0" w:lastColumn="0" w:noHBand="1" w:noVBand="1"/>
      </w:tblPr>
      <w:tblGrid>
        <w:gridCol w:w="9776"/>
        <w:gridCol w:w="1276"/>
        <w:gridCol w:w="1276"/>
        <w:gridCol w:w="1134"/>
        <w:gridCol w:w="1134"/>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9776" w:type="dxa"/>
          </w:tcPr>
          <w:p w:rsidR="00931B29" w:rsidRPr="001C695B" w:rsidRDefault="00931B29" w:rsidP="00931B29">
            <w:pPr>
              <w:spacing w:before="20" w:after="20"/>
              <w:rPr>
                <w:sz w:val="22"/>
                <w:lang w:val="fr-FR"/>
              </w:rPr>
            </w:pPr>
            <w:r w:rsidRPr="001C695B">
              <w:rPr>
                <w:sz w:val="22"/>
                <w:lang w:val="fr-FR"/>
              </w:rPr>
              <w:t>Produit</w:t>
            </w:r>
          </w:p>
        </w:tc>
        <w:tc>
          <w:tcPr>
            <w:tcW w:w="4820" w:type="dxa"/>
            <w:gridSpan w:val="4"/>
          </w:tcPr>
          <w:p w:rsidR="00931B29" w:rsidRPr="001C695B" w:rsidRDefault="00931B29" w:rsidP="00931B29">
            <w:pPr>
              <w:spacing w:before="20" w:after="20"/>
              <w:jc w:val="center"/>
              <w:rPr>
                <w:sz w:val="22"/>
                <w:lang w:val="fr-FR"/>
              </w:rPr>
            </w:pPr>
            <w:r w:rsidRPr="001C695B">
              <w:rPr>
                <w:sz w:val="22"/>
                <w:lang w:val="fr-FR"/>
              </w:rPr>
              <w:t>Ressources financières</w:t>
            </w:r>
            <w:r w:rsidRPr="001C695B">
              <w:rPr>
                <w:rStyle w:val="FootnoteReference"/>
                <w:lang w:val="fr-FR"/>
              </w:rPr>
              <w:footnoteReference w:id="6"/>
            </w:r>
            <w:r w:rsidRPr="001C695B">
              <w:rPr>
                <w:sz w:val="22"/>
                <w:lang w:val="fr-FR"/>
              </w:rPr>
              <w:t xml:space="preserve"> (en milliers CHF)</w:t>
            </w:r>
          </w:p>
        </w:tc>
      </w:tr>
      <w:tr w:rsidR="00931B29" w:rsidRPr="001C695B" w:rsidTr="00931B29">
        <w:tc>
          <w:tcPr>
            <w:tcW w:w="9776" w:type="dxa"/>
          </w:tcPr>
          <w:p w:rsidR="00931B29" w:rsidRPr="001C695B" w:rsidRDefault="00931B29" w:rsidP="00931B29">
            <w:pPr>
              <w:spacing w:before="20" w:after="20"/>
              <w:rPr>
                <w:sz w:val="20"/>
                <w:szCs w:val="20"/>
                <w:lang w:val="fr-FR"/>
              </w:rPr>
            </w:pPr>
          </w:p>
        </w:tc>
        <w:tc>
          <w:tcPr>
            <w:tcW w:w="1276"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2018</w:t>
            </w:r>
          </w:p>
        </w:tc>
        <w:tc>
          <w:tcPr>
            <w:tcW w:w="1276"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2019</w:t>
            </w:r>
          </w:p>
        </w:tc>
        <w:tc>
          <w:tcPr>
            <w:tcW w:w="1134"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2020</w:t>
            </w:r>
          </w:p>
        </w:tc>
        <w:tc>
          <w:tcPr>
            <w:tcW w:w="1134"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2021</w:t>
            </w:r>
          </w:p>
        </w:tc>
      </w:tr>
      <w:tr w:rsidR="00931B29" w:rsidRPr="001C695B" w:rsidTr="00931B29">
        <w:tc>
          <w:tcPr>
            <w:tcW w:w="9776" w:type="dxa"/>
          </w:tcPr>
          <w:p w:rsidR="00931B29" w:rsidRPr="001C695B" w:rsidRDefault="00931B29" w:rsidP="00931B29">
            <w:pPr>
              <w:spacing w:before="20" w:after="20"/>
              <w:contextualSpacing/>
              <w:rPr>
                <w:rFonts w:eastAsia="Calibri" w:cs="Arial"/>
                <w:sz w:val="20"/>
                <w:szCs w:val="20"/>
                <w:lang w:val="fr-FR"/>
              </w:rPr>
            </w:pPr>
            <w:r w:rsidRPr="001C695B">
              <w:rPr>
                <w:b/>
                <w:bCs/>
                <w:noProof/>
                <w:color w:val="4F81BD" w:themeColor="accent1"/>
                <w:sz w:val="20"/>
                <w:szCs w:val="20"/>
                <w:lang w:val="fr-FR" w:eastAsia="zh-CN"/>
              </w:rPr>
              <w:t xml:space="preserve">I.3-1 </w:t>
            </w:r>
            <w:r w:rsidRPr="001C695B">
              <w:rPr>
                <w:rFonts w:eastAsia="Calibri" w:cs="Arial"/>
                <w:sz w:val="20"/>
                <w:szCs w:val="20"/>
                <w:lang w:val="fr-FR"/>
              </w:rPr>
              <w:t>Initiatives et rapports intersectoriels sur les nouvelles tendances dans le secteur des télécommunications/TIC et autres initiatives analogues (y compris Les Nouvelles de l'UIT)</w:t>
            </w:r>
          </w:p>
        </w:tc>
        <w:tc>
          <w:tcPr>
            <w:tcW w:w="1276"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2 534 </w:t>
            </w:r>
          </w:p>
        </w:tc>
        <w:tc>
          <w:tcPr>
            <w:tcW w:w="1276"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 xml:space="preserve">2 658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2 771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2 785 </w:t>
            </w:r>
          </w:p>
        </w:tc>
      </w:tr>
      <w:tr w:rsidR="00931B29" w:rsidRPr="001C695B" w:rsidTr="00931B29">
        <w:tc>
          <w:tcPr>
            <w:tcW w:w="9776" w:type="dxa"/>
          </w:tcPr>
          <w:p w:rsidR="00931B29" w:rsidRPr="001C695B" w:rsidRDefault="00931B29" w:rsidP="00931B29">
            <w:pPr>
              <w:spacing w:before="20" w:after="20"/>
              <w:contextualSpacing/>
              <w:rPr>
                <w:rFonts w:eastAsia="Calibri" w:cs="Arial"/>
                <w:b/>
                <w:bCs/>
                <w:color w:val="4F81BD" w:themeColor="accent1"/>
                <w:sz w:val="20"/>
                <w:szCs w:val="20"/>
                <w:lang w:val="fr-FR"/>
              </w:rPr>
            </w:pPr>
            <w:r w:rsidRPr="001C695B">
              <w:rPr>
                <w:rFonts w:eastAsia="Calibri" w:cs="Arial"/>
                <w:sz w:val="20"/>
                <w:szCs w:val="20"/>
                <w:lang w:val="fr-FR"/>
              </w:rPr>
              <w:t>Imputation des coûts à la Conférence de plénipotentiaires et aux activités du Conseil (</w:t>
            </w:r>
            <w:r w:rsidRPr="001C695B">
              <w:rPr>
                <w:rFonts w:eastAsia="Calibri" w:cs="Arial"/>
                <w:b/>
                <w:bCs/>
                <w:color w:val="4F81BD" w:themeColor="accent1"/>
                <w:sz w:val="20"/>
                <w:szCs w:val="20"/>
                <w:lang w:val="fr-FR"/>
              </w:rPr>
              <w:t>PP</w:t>
            </w:r>
            <w:r w:rsidRPr="001C695B">
              <w:rPr>
                <w:rFonts w:eastAsia="Calibri" w:cs="Arial"/>
                <w:sz w:val="20"/>
                <w:szCs w:val="20"/>
                <w:lang w:val="fr-FR"/>
              </w:rPr>
              <w:t xml:space="preserve">, </w:t>
            </w:r>
            <w:r w:rsidRPr="001C695B">
              <w:rPr>
                <w:rFonts w:eastAsia="Calibri" w:cs="Arial"/>
                <w:b/>
                <w:bCs/>
                <w:color w:val="4F81BD" w:themeColor="accent1"/>
                <w:sz w:val="20"/>
                <w:szCs w:val="20"/>
                <w:lang w:val="fr-FR"/>
              </w:rPr>
              <w:t>Conseil/GTC</w:t>
            </w:r>
            <w:r w:rsidRPr="001C695B">
              <w:rPr>
                <w:rFonts w:eastAsia="Calibri" w:cs="Arial"/>
                <w:sz w:val="20"/>
                <w:szCs w:val="20"/>
                <w:lang w:val="fr-FR"/>
              </w:rPr>
              <w:t>)</w:t>
            </w:r>
          </w:p>
        </w:tc>
        <w:tc>
          <w:tcPr>
            <w:tcW w:w="1276"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151 </w:t>
            </w:r>
          </w:p>
        </w:tc>
        <w:tc>
          <w:tcPr>
            <w:tcW w:w="1276"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79</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85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98 </w:t>
            </w:r>
          </w:p>
        </w:tc>
      </w:tr>
      <w:tr w:rsidR="00931B29" w:rsidRPr="001C695B" w:rsidTr="00931B29">
        <w:tc>
          <w:tcPr>
            <w:tcW w:w="9776" w:type="dxa"/>
          </w:tcPr>
          <w:p w:rsidR="00931B29" w:rsidRPr="001C695B" w:rsidRDefault="00931B29" w:rsidP="00931B29">
            <w:pPr>
              <w:spacing w:before="20" w:after="20"/>
              <w:ind w:right="113"/>
              <w:rPr>
                <w:b/>
                <w:bCs/>
                <w:noProof/>
                <w:color w:val="4F81BD" w:themeColor="accent1"/>
                <w:sz w:val="20"/>
                <w:szCs w:val="20"/>
                <w:lang w:val="fr-FR" w:eastAsia="zh-CN"/>
              </w:rPr>
            </w:pPr>
            <w:r w:rsidRPr="001C695B">
              <w:rPr>
                <w:b/>
                <w:bCs/>
                <w:noProof/>
                <w:color w:val="4F81BD" w:themeColor="accent1"/>
                <w:sz w:val="20"/>
                <w:szCs w:val="20"/>
                <w:lang w:val="fr-FR" w:eastAsia="zh-CN"/>
              </w:rPr>
              <w:t>Total pour l'objectif I.3</w:t>
            </w:r>
          </w:p>
        </w:tc>
        <w:tc>
          <w:tcPr>
            <w:tcW w:w="1276"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2 685 </w:t>
            </w:r>
          </w:p>
        </w:tc>
        <w:tc>
          <w:tcPr>
            <w:tcW w:w="1276"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2 737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2 856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2 883 </w:t>
            </w:r>
          </w:p>
        </w:tc>
      </w:tr>
    </w:tbl>
    <w:p w:rsidR="00741A31" w:rsidRPr="001C695B" w:rsidRDefault="00741A31" w:rsidP="00553907">
      <w:pPr>
        <w:rPr>
          <w:lang w:val="fr-FR"/>
        </w:rPr>
      </w:pPr>
    </w:p>
    <w:p w:rsidR="00741A31" w:rsidRPr="001C695B" w:rsidRDefault="00741A31" w:rsidP="00741A31">
      <w:pPr>
        <w:overflowPunct/>
        <w:autoSpaceDE/>
        <w:autoSpaceDN/>
        <w:adjustRightInd/>
        <w:spacing w:before="0"/>
        <w:textAlignment w:val="auto"/>
        <w:rPr>
          <w:b/>
          <w:lang w:val="fr-FR"/>
        </w:rPr>
      </w:pPr>
      <w:r w:rsidRPr="001C695B">
        <w:rPr>
          <w:lang w:val="fr-FR"/>
        </w:rPr>
        <w:br w:type="page"/>
      </w:r>
    </w:p>
    <w:p w:rsidR="00741A31" w:rsidRPr="001C695B" w:rsidRDefault="00741A31" w:rsidP="00741A31">
      <w:pPr>
        <w:pStyle w:val="Heading2"/>
        <w:spacing w:after="120"/>
        <w:rPr>
          <w:lang w:val="fr-FR"/>
        </w:rPr>
      </w:pPr>
      <w:r w:rsidRPr="001C695B">
        <w:rPr>
          <w:lang w:val="fr-FR"/>
        </w:rPr>
        <w:lastRenderedPageBreak/>
        <w:t>6.4</w:t>
      </w:r>
      <w:r w:rsidRPr="001C695B">
        <w:rPr>
          <w:lang w:val="fr-FR"/>
        </w:rPr>
        <w:tab/>
        <w:t>I.4 Promouvoir/mieux faire reconnaître (l'importance des) les télécommunications/TIC en tant que catalyseur essentiel du développement social, économique et écologiquement durable</w:t>
      </w:r>
    </w:p>
    <w:tbl>
      <w:tblPr>
        <w:tblStyle w:val="GridTable4-Accent11"/>
        <w:tblW w:w="14596" w:type="dxa"/>
        <w:tblLook w:val="0620" w:firstRow="1" w:lastRow="0" w:firstColumn="0" w:lastColumn="0" w:noHBand="1" w:noVBand="1"/>
      </w:tblPr>
      <w:tblGrid>
        <w:gridCol w:w="6374"/>
        <w:gridCol w:w="6095"/>
        <w:gridCol w:w="2127"/>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6374" w:type="dxa"/>
          </w:tcPr>
          <w:p w:rsidR="00931B29" w:rsidRPr="001C695B" w:rsidRDefault="00931B29" w:rsidP="00931B29">
            <w:pPr>
              <w:spacing w:before="20" w:after="20"/>
              <w:rPr>
                <w:sz w:val="22"/>
                <w:lang w:val="fr-FR"/>
              </w:rPr>
            </w:pPr>
            <w:r w:rsidRPr="001C695B">
              <w:rPr>
                <w:sz w:val="22"/>
                <w:lang w:val="fr-FR"/>
              </w:rPr>
              <w:t>Résultat</w:t>
            </w:r>
          </w:p>
        </w:tc>
        <w:tc>
          <w:tcPr>
            <w:tcW w:w="6095" w:type="dxa"/>
          </w:tcPr>
          <w:p w:rsidR="00931B29" w:rsidRPr="001C695B" w:rsidRDefault="00931B29" w:rsidP="00931B29">
            <w:pPr>
              <w:spacing w:before="20" w:after="20"/>
              <w:rPr>
                <w:sz w:val="22"/>
                <w:lang w:val="fr-FR"/>
              </w:rPr>
            </w:pPr>
            <w:r w:rsidRPr="001C695B">
              <w:rPr>
                <w:sz w:val="22"/>
                <w:lang w:val="fr-FR"/>
              </w:rPr>
              <w:t>Indicateur de résultat (valeur actuelle – valeur d'ici à 2020)</w:t>
            </w:r>
          </w:p>
        </w:tc>
        <w:tc>
          <w:tcPr>
            <w:tcW w:w="2127" w:type="dxa"/>
          </w:tcPr>
          <w:p w:rsidR="00931B29" w:rsidRPr="001C695B" w:rsidRDefault="00931B29" w:rsidP="00931B29">
            <w:pPr>
              <w:spacing w:before="20" w:after="20"/>
              <w:rPr>
                <w:sz w:val="22"/>
                <w:lang w:val="fr-FR"/>
              </w:rPr>
            </w:pPr>
            <w:r w:rsidRPr="001C695B">
              <w:rPr>
                <w:sz w:val="22"/>
                <w:lang w:val="fr-FR"/>
              </w:rPr>
              <w:t>Moyen de mesure</w:t>
            </w:r>
          </w:p>
        </w:tc>
      </w:tr>
      <w:tr w:rsidR="00931B29" w:rsidRPr="001C695B" w:rsidTr="00931B29">
        <w:tc>
          <w:tcPr>
            <w:tcW w:w="6374" w:type="dxa"/>
          </w:tcPr>
          <w:p w:rsidR="00931B29" w:rsidRPr="001C695B" w:rsidRDefault="00931B29" w:rsidP="00931B29">
            <w:pPr>
              <w:spacing w:before="20" w:after="20"/>
              <w:rPr>
                <w:rFonts w:eastAsia="Calibri" w:cs="Arial"/>
                <w:b/>
                <w:bCs/>
                <w:sz w:val="20"/>
                <w:szCs w:val="20"/>
                <w:lang w:val="fr-FR"/>
              </w:rPr>
            </w:pPr>
            <w:r w:rsidRPr="001C695B">
              <w:rPr>
                <w:rFonts w:eastAsia="Calibri" w:cs="Arial"/>
                <w:b/>
                <w:bCs/>
                <w:color w:val="4F81BD" w:themeColor="accent1"/>
                <w:sz w:val="20"/>
                <w:szCs w:val="20"/>
                <w:lang w:val="fr-FR"/>
              </w:rPr>
              <w:t>I.4-1</w:t>
            </w:r>
            <w:r w:rsidRPr="001C695B">
              <w:rPr>
                <w:rFonts w:eastAsia="Calibri" w:cs="Arial"/>
                <w:sz w:val="20"/>
                <w:szCs w:val="20"/>
                <w:lang w:val="fr-FR"/>
              </w:rPr>
              <w:t xml:space="preserve">: </w:t>
            </w:r>
            <w:r w:rsidRPr="001C695B">
              <w:rPr>
                <w:rFonts w:cs="Calibri"/>
                <w:sz w:val="20"/>
                <w:szCs w:val="20"/>
                <w:lang w:val="fr-FR"/>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6095" w:type="dxa"/>
          </w:tcPr>
          <w:p w:rsidR="00931B29" w:rsidRPr="001C695B" w:rsidRDefault="00931B29" w:rsidP="00931B29">
            <w:pPr>
              <w:overflowPunct/>
              <w:autoSpaceDE/>
              <w:autoSpaceDN/>
              <w:adjustRightInd/>
              <w:spacing w:before="0" w:after="60"/>
              <w:textAlignment w:val="auto"/>
              <w:rPr>
                <w:rFonts w:eastAsia="Calibri" w:cs="Arial"/>
                <w:sz w:val="20"/>
                <w:szCs w:val="20"/>
                <w:lang w:val="fr-FR"/>
              </w:rPr>
            </w:pPr>
            <w:r w:rsidRPr="001C695B">
              <w:rPr>
                <w:rFonts w:eastAsia="Calibri" w:cs="Arial"/>
                <w:sz w:val="20"/>
                <w:szCs w:val="20"/>
                <w:lang w:val="fr-FR"/>
              </w:rPr>
              <w:t>Référence aux TIC et aux TIC au service du développement dans:</w:t>
            </w:r>
            <w:r w:rsidRPr="001C695B">
              <w:rPr>
                <w:rFonts w:eastAsia="Calibri" w:cs="Arial"/>
                <w:sz w:val="20"/>
                <w:szCs w:val="20"/>
                <w:lang w:val="fr-FR"/>
              </w:rPr>
              <w:br/>
            </w:r>
            <w:r w:rsidRPr="001C695B">
              <w:rPr>
                <w:rFonts w:eastAsia="Calibri" w:cs="Arial"/>
                <w:i/>
                <w:iCs/>
                <w:sz w:val="20"/>
                <w:szCs w:val="20"/>
                <w:lang w:val="fr-FR"/>
              </w:rPr>
              <w:t xml:space="preserve">i) </w:t>
            </w:r>
            <w:r w:rsidRPr="001C695B">
              <w:rPr>
                <w:rFonts w:eastAsia="Calibri" w:cs="Arial"/>
                <w:sz w:val="20"/>
                <w:szCs w:val="20"/>
                <w:lang w:val="fr-FR"/>
              </w:rPr>
              <w:t>des Résolutions de l'ECOSOC:</w:t>
            </w:r>
          </w:p>
          <w:p w:rsidR="00931B29" w:rsidRPr="001C695B" w:rsidRDefault="00931B29" w:rsidP="00931B29">
            <w:pPr>
              <w:overflowPunct/>
              <w:autoSpaceDE/>
              <w:autoSpaceDN/>
              <w:adjustRightInd/>
              <w:spacing w:before="0" w:after="60"/>
              <w:textAlignment w:val="auto"/>
              <w:rPr>
                <w:rFonts w:eastAsia="Calibri" w:cs="Arial"/>
                <w:i/>
                <w:iCs/>
                <w:sz w:val="20"/>
                <w:szCs w:val="20"/>
                <w:lang w:val="fr-FR"/>
              </w:rPr>
            </w:pPr>
            <w:r w:rsidRPr="001C695B">
              <w:rPr>
                <w:rFonts w:eastAsia="Calibri" w:cs="Arial"/>
                <w:i/>
                <w:iCs/>
                <w:sz w:val="20"/>
                <w:szCs w:val="20"/>
                <w:lang w:val="fr-FR"/>
              </w:rPr>
              <w:t>2016: référence clé: 25,0%; référence: 14,0%; pas de référence: 61,0%</w:t>
            </w:r>
            <w:r w:rsidRPr="001C695B">
              <w:rPr>
                <w:rFonts w:eastAsia="Calibri" w:cs="Arial"/>
                <w:sz w:val="20"/>
                <w:szCs w:val="20"/>
                <w:lang w:val="fr-FR"/>
              </w:rPr>
              <w:br/>
            </w:r>
            <w:r w:rsidRPr="001C695B">
              <w:rPr>
                <w:rFonts w:eastAsia="Calibri" w:cs="Arial"/>
                <w:i/>
                <w:iCs/>
                <w:sz w:val="20"/>
                <w:szCs w:val="20"/>
                <w:lang w:val="fr-FR"/>
              </w:rPr>
              <w:t>2015: référence clé: 14,3%; référence: 54,3%; pas de référence: 31,4%</w:t>
            </w:r>
            <w:r w:rsidRPr="001C695B">
              <w:rPr>
                <w:rFonts w:eastAsia="Calibri" w:cs="Arial"/>
                <w:i/>
                <w:iCs/>
                <w:sz w:val="20"/>
                <w:szCs w:val="20"/>
                <w:lang w:val="fr-FR"/>
              </w:rPr>
              <w:br/>
              <w:t>2014: référence clé: 28,9%, référence: 18,4%; pas de référence: 52,6%</w:t>
            </w:r>
          </w:p>
          <w:p w:rsidR="00931B29" w:rsidRPr="001C695B" w:rsidRDefault="00931B29" w:rsidP="00931B29">
            <w:pPr>
              <w:overflowPunct/>
              <w:autoSpaceDE/>
              <w:autoSpaceDN/>
              <w:adjustRightInd/>
              <w:spacing w:before="0" w:after="60"/>
              <w:textAlignment w:val="auto"/>
              <w:rPr>
                <w:rFonts w:eastAsia="Calibri" w:cs="Arial"/>
                <w:sz w:val="20"/>
                <w:szCs w:val="20"/>
                <w:lang w:val="fr-FR"/>
              </w:rPr>
            </w:pPr>
            <w:r w:rsidRPr="001C695B">
              <w:rPr>
                <w:rFonts w:eastAsia="Calibri" w:cs="Arial"/>
                <w:i/>
                <w:iCs/>
                <w:sz w:val="20"/>
                <w:szCs w:val="20"/>
                <w:lang w:val="fr-FR"/>
              </w:rPr>
              <w:t xml:space="preserve">ii) </w:t>
            </w:r>
            <w:r w:rsidRPr="001C695B">
              <w:rPr>
                <w:rFonts w:eastAsia="Calibri" w:cs="Arial"/>
                <w:sz w:val="20"/>
                <w:szCs w:val="20"/>
                <w:lang w:val="fr-FR"/>
              </w:rPr>
              <w:t>des Résolutions de l'Assemblée générale des Nations Unies</w:t>
            </w:r>
          </w:p>
          <w:p w:rsidR="00931B29" w:rsidRPr="001C695B" w:rsidRDefault="00931B29" w:rsidP="00931B29">
            <w:pPr>
              <w:overflowPunct/>
              <w:autoSpaceDE/>
              <w:autoSpaceDN/>
              <w:adjustRightInd/>
              <w:spacing w:before="0" w:after="60"/>
              <w:textAlignment w:val="auto"/>
              <w:rPr>
                <w:rFonts w:eastAsia="Calibri" w:cs="Arial"/>
                <w:i/>
                <w:iCs/>
                <w:sz w:val="20"/>
                <w:szCs w:val="20"/>
                <w:lang w:val="fr-FR"/>
              </w:rPr>
            </w:pPr>
            <w:r w:rsidRPr="001C695B">
              <w:rPr>
                <w:rFonts w:eastAsia="Calibri" w:cs="Arial"/>
                <w:i/>
                <w:iCs/>
                <w:sz w:val="20"/>
                <w:szCs w:val="20"/>
                <w:lang w:val="fr-FR"/>
              </w:rPr>
              <w:t>2016: référence clé: 25%; référence: 32%; pas de référence: 42%</w:t>
            </w:r>
            <w:r w:rsidRPr="001C695B">
              <w:rPr>
                <w:rFonts w:eastAsia="Calibri" w:cs="Arial"/>
                <w:sz w:val="20"/>
                <w:szCs w:val="20"/>
                <w:lang w:val="fr-FR"/>
              </w:rPr>
              <w:br/>
            </w:r>
            <w:r w:rsidRPr="001C695B">
              <w:rPr>
                <w:rFonts w:eastAsia="Calibri" w:cs="Arial"/>
                <w:i/>
                <w:iCs/>
                <w:sz w:val="20"/>
                <w:szCs w:val="20"/>
                <w:lang w:val="fr-FR"/>
              </w:rPr>
              <w:t>2015: référence clé: 5%; référence: 23%; pas de référence: 72%</w:t>
            </w:r>
          </w:p>
          <w:p w:rsidR="00931B29" w:rsidRPr="001C695B" w:rsidRDefault="00931B29" w:rsidP="00931B29">
            <w:pPr>
              <w:spacing w:before="20" w:after="20"/>
              <w:rPr>
                <w:sz w:val="20"/>
                <w:szCs w:val="20"/>
                <w:lang w:val="fr-FR"/>
              </w:rPr>
            </w:pPr>
            <w:r w:rsidRPr="001C695B">
              <w:rPr>
                <w:rFonts w:eastAsia="Calibri" w:cs="Arial"/>
                <w:i/>
                <w:iCs/>
                <w:sz w:val="20"/>
                <w:szCs w:val="20"/>
                <w:lang w:val="fr-FR"/>
              </w:rPr>
              <w:t xml:space="preserve">iii) </w:t>
            </w:r>
            <w:r w:rsidRPr="001C695B">
              <w:rPr>
                <w:rFonts w:eastAsia="Calibri" w:cs="Arial"/>
                <w:sz w:val="20"/>
                <w:szCs w:val="20"/>
                <w:lang w:val="fr-FR"/>
              </w:rPr>
              <w:t>des documents importants élaborées dans le cadre du système des Nations Unies (sommets, etc.) et des rapports du Secrétaire général de l'ONU:</w:t>
            </w:r>
            <w:r w:rsidRPr="001C695B">
              <w:rPr>
                <w:rFonts w:eastAsia="Calibri" w:cs="Arial"/>
                <w:sz w:val="20"/>
                <w:szCs w:val="20"/>
                <w:lang w:val="fr-FR"/>
              </w:rPr>
              <w:br/>
            </w:r>
            <w:r w:rsidRPr="001C695B">
              <w:rPr>
                <w:rFonts w:eastAsia="Calibri" w:cs="Arial"/>
                <w:i/>
                <w:iCs/>
                <w:sz w:val="20"/>
                <w:szCs w:val="20"/>
                <w:lang w:val="fr-FR"/>
              </w:rPr>
              <w:t>2015: référence clé: 47%; référence: 53%</w:t>
            </w:r>
          </w:p>
        </w:tc>
        <w:tc>
          <w:tcPr>
            <w:tcW w:w="2127" w:type="dxa"/>
          </w:tcPr>
          <w:p w:rsidR="00931B29" w:rsidRPr="001C695B" w:rsidRDefault="00931B29" w:rsidP="00931B29">
            <w:pPr>
              <w:spacing w:before="20" w:after="20"/>
              <w:rPr>
                <w:sz w:val="20"/>
                <w:szCs w:val="20"/>
                <w:lang w:val="fr-FR"/>
              </w:rPr>
            </w:pPr>
            <w:r w:rsidRPr="001C695B">
              <w:rPr>
                <w:sz w:val="20"/>
                <w:szCs w:val="20"/>
                <w:lang w:val="fr-FR"/>
              </w:rPr>
              <w:t>Données fournies par SPM</w:t>
            </w:r>
          </w:p>
        </w:tc>
      </w:tr>
    </w:tbl>
    <w:p w:rsidR="00741A31" w:rsidRPr="001C695B" w:rsidRDefault="00741A31" w:rsidP="00741A31">
      <w:pPr>
        <w:spacing w:before="20" w:after="20"/>
        <w:rPr>
          <w:sz w:val="2"/>
          <w:szCs w:val="2"/>
          <w:lang w:val="fr-FR"/>
        </w:rPr>
      </w:pPr>
    </w:p>
    <w:p w:rsidR="00741A31" w:rsidRPr="001C695B" w:rsidRDefault="00741A31" w:rsidP="00741A31">
      <w:pPr>
        <w:rPr>
          <w:lang w:val="fr-FR"/>
        </w:rPr>
      </w:pPr>
    </w:p>
    <w:tbl>
      <w:tblPr>
        <w:tblStyle w:val="GridTable4-Accent11"/>
        <w:tblW w:w="14596" w:type="dxa"/>
        <w:tblLayout w:type="fixed"/>
        <w:tblLook w:val="0620" w:firstRow="1" w:lastRow="0" w:firstColumn="0" w:lastColumn="0" w:noHBand="1" w:noVBand="1"/>
      </w:tblPr>
      <w:tblGrid>
        <w:gridCol w:w="9493"/>
        <w:gridCol w:w="1559"/>
        <w:gridCol w:w="1134"/>
        <w:gridCol w:w="1276"/>
        <w:gridCol w:w="1134"/>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9493" w:type="dxa"/>
          </w:tcPr>
          <w:p w:rsidR="00931B29" w:rsidRPr="001C695B" w:rsidRDefault="00931B29" w:rsidP="00931B29">
            <w:pPr>
              <w:spacing w:before="20" w:after="20"/>
              <w:rPr>
                <w:sz w:val="22"/>
                <w:lang w:val="fr-FR"/>
              </w:rPr>
            </w:pPr>
            <w:r w:rsidRPr="001C695B">
              <w:rPr>
                <w:sz w:val="22"/>
                <w:lang w:val="fr-FR"/>
              </w:rPr>
              <w:t>Produit</w:t>
            </w:r>
          </w:p>
        </w:tc>
        <w:tc>
          <w:tcPr>
            <w:tcW w:w="5103" w:type="dxa"/>
            <w:gridSpan w:val="4"/>
          </w:tcPr>
          <w:p w:rsidR="00931B29" w:rsidRPr="001C695B" w:rsidRDefault="00931B29" w:rsidP="00931B29">
            <w:pPr>
              <w:spacing w:before="20" w:after="20"/>
              <w:jc w:val="center"/>
              <w:rPr>
                <w:sz w:val="22"/>
                <w:lang w:val="fr-FR"/>
              </w:rPr>
            </w:pPr>
            <w:r w:rsidRPr="001C695B">
              <w:rPr>
                <w:sz w:val="22"/>
                <w:lang w:val="fr-FR"/>
              </w:rPr>
              <w:t>Ressources financières</w:t>
            </w:r>
            <w:r w:rsidRPr="001C695B">
              <w:rPr>
                <w:rStyle w:val="FootnoteReference"/>
                <w:lang w:val="fr-FR"/>
              </w:rPr>
              <w:footnoteReference w:id="7"/>
            </w:r>
            <w:r w:rsidRPr="001C695B">
              <w:rPr>
                <w:sz w:val="22"/>
                <w:lang w:val="fr-FR"/>
              </w:rPr>
              <w:t xml:space="preserve"> </w:t>
            </w:r>
            <w:r w:rsidRPr="001C695B">
              <w:rPr>
                <w:b w:val="0"/>
                <w:bCs w:val="0"/>
                <w:sz w:val="22"/>
                <w:lang w:val="fr-FR"/>
              </w:rPr>
              <w:t>(en milliers CHF)</w:t>
            </w:r>
          </w:p>
        </w:tc>
      </w:tr>
      <w:tr w:rsidR="00931B29" w:rsidRPr="001C695B" w:rsidTr="00931B29">
        <w:tc>
          <w:tcPr>
            <w:tcW w:w="9493" w:type="dxa"/>
          </w:tcPr>
          <w:p w:rsidR="00931B29" w:rsidRPr="001C695B" w:rsidRDefault="00931B29" w:rsidP="00931B29">
            <w:pPr>
              <w:spacing w:before="20" w:after="20"/>
              <w:rPr>
                <w:sz w:val="20"/>
                <w:szCs w:val="20"/>
                <w:lang w:val="fr-FR"/>
              </w:rPr>
            </w:pPr>
          </w:p>
        </w:tc>
        <w:tc>
          <w:tcPr>
            <w:tcW w:w="1559"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2018</w:t>
            </w:r>
          </w:p>
        </w:tc>
        <w:tc>
          <w:tcPr>
            <w:tcW w:w="1134"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2019</w:t>
            </w:r>
          </w:p>
        </w:tc>
        <w:tc>
          <w:tcPr>
            <w:tcW w:w="1276"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2020</w:t>
            </w:r>
          </w:p>
        </w:tc>
        <w:tc>
          <w:tcPr>
            <w:tcW w:w="1134"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2021</w:t>
            </w:r>
          </w:p>
        </w:tc>
      </w:tr>
      <w:tr w:rsidR="00931B29" w:rsidRPr="001C695B" w:rsidTr="00931B29">
        <w:tc>
          <w:tcPr>
            <w:tcW w:w="9493" w:type="dxa"/>
          </w:tcPr>
          <w:p w:rsidR="00931B29" w:rsidRPr="001C695B" w:rsidRDefault="00931B29" w:rsidP="00931B29">
            <w:pPr>
              <w:spacing w:before="20" w:after="20"/>
              <w:contextualSpacing/>
              <w:rPr>
                <w:rFonts w:eastAsia="Calibri" w:cs="Arial"/>
                <w:sz w:val="20"/>
                <w:szCs w:val="20"/>
                <w:lang w:val="fr-FR"/>
              </w:rPr>
            </w:pPr>
            <w:r w:rsidRPr="001C695B">
              <w:rPr>
                <w:rFonts w:eastAsia="Calibri" w:cs="Arial"/>
                <w:b/>
                <w:bCs/>
                <w:color w:val="4F81BD" w:themeColor="accent1"/>
                <w:sz w:val="20"/>
                <w:szCs w:val="20"/>
                <w:lang w:val="fr-FR"/>
              </w:rPr>
              <w:t>I.4-1:</w:t>
            </w:r>
            <w:r w:rsidRPr="001C695B">
              <w:rPr>
                <w:sz w:val="20"/>
                <w:szCs w:val="20"/>
                <w:lang w:val="fr-FR"/>
              </w:rPr>
              <w:t xml:space="preserve"> </w:t>
            </w:r>
            <w:r w:rsidRPr="001C695B">
              <w:rPr>
                <w:rFonts w:eastAsia="Calibri" w:cs="Arial"/>
                <w:sz w:val="20"/>
                <w:szCs w:val="20"/>
                <w:lang w:val="fr-FR"/>
              </w:rPr>
              <w:t>Rapports et autres contributions aux processus interinstitutions des Nations Unies, multilatéraux et intergouvernementaux</w:t>
            </w:r>
          </w:p>
        </w:tc>
        <w:tc>
          <w:tcPr>
            <w:tcW w:w="1559"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1 262 </w:t>
            </w:r>
          </w:p>
        </w:tc>
        <w:tc>
          <w:tcPr>
            <w:tcW w:w="1134"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 xml:space="preserve">1 386 </w:t>
            </w:r>
          </w:p>
        </w:tc>
        <w:tc>
          <w:tcPr>
            <w:tcW w:w="1276" w:type="dxa"/>
          </w:tcPr>
          <w:p w:rsidR="00931B29" w:rsidRPr="001C695B" w:rsidRDefault="00931B29" w:rsidP="00931B29">
            <w:pPr>
              <w:spacing w:after="60"/>
              <w:jc w:val="center"/>
              <w:rPr>
                <w:sz w:val="20"/>
                <w:szCs w:val="20"/>
                <w:lang w:val="fr-FR"/>
              </w:rPr>
            </w:pPr>
            <w:r w:rsidRPr="001C695B">
              <w:rPr>
                <w:sz w:val="20"/>
                <w:szCs w:val="20"/>
                <w:lang w:val="fr-FR"/>
              </w:rPr>
              <w:t xml:space="preserve">1 331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1 496 </w:t>
            </w:r>
          </w:p>
        </w:tc>
      </w:tr>
      <w:tr w:rsidR="00931B29" w:rsidRPr="001C695B" w:rsidTr="00931B29">
        <w:tc>
          <w:tcPr>
            <w:tcW w:w="9493" w:type="dxa"/>
          </w:tcPr>
          <w:p w:rsidR="00931B29" w:rsidRPr="001C695B" w:rsidRDefault="00931B29" w:rsidP="00931B29">
            <w:pPr>
              <w:spacing w:before="20" w:after="20"/>
              <w:contextualSpacing/>
              <w:rPr>
                <w:rFonts w:eastAsia="Calibri" w:cs="Arial"/>
                <w:b/>
                <w:bCs/>
                <w:color w:val="4F81BD" w:themeColor="accent1"/>
                <w:sz w:val="20"/>
                <w:szCs w:val="20"/>
                <w:lang w:val="fr-FR"/>
              </w:rPr>
            </w:pPr>
            <w:r w:rsidRPr="001C695B">
              <w:rPr>
                <w:rFonts w:eastAsia="Calibri" w:cs="Arial"/>
                <w:sz w:val="20"/>
                <w:szCs w:val="20"/>
                <w:lang w:val="fr-FR"/>
              </w:rPr>
              <w:t>Imputation des coûts à la Conférence de plénipotentiaires et aux activités du Conseil (</w:t>
            </w:r>
            <w:r w:rsidRPr="001C695B">
              <w:rPr>
                <w:rFonts w:eastAsia="Calibri" w:cs="Arial"/>
                <w:b/>
                <w:bCs/>
                <w:color w:val="4F81BD" w:themeColor="accent1"/>
                <w:sz w:val="20"/>
                <w:szCs w:val="20"/>
                <w:lang w:val="fr-FR"/>
              </w:rPr>
              <w:t>PP</w:t>
            </w:r>
            <w:r w:rsidRPr="001C695B">
              <w:rPr>
                <w:rFonts w:eastAsia="Calibri" w:cs="Arial"/>
                <w:sz w:val="20"/>
                <w:szCs w:val="20"/>
                <w:lang w:val="fr-FR"/>
              </w:rPr>
              <w:t xml:space="preserve">, </w:t>
            </w:r>
            <w:r w:rsidRPr="001C695B">
              <w:rPr>
                <w:rFonts w:eastAsia="Calibri" w:cs="Arial"/>
                <w:b/>
                <w:bCs/>
                <w:color w:val="4F81BD" w:themeColor="accent1"/>
                <w:sz w:val="20"/>
                <w:szCs w:val="20"/>
                <w:lang w:val="fr-FR"/>
              </w:rPr>
              <w:t>Conseil/GTC</w:t>
            </w:r>
            <w:r w:rsidRPr="001C695B">
              <w:rPr>
                <w:rFonts w:eastAsia="Calibri" w:cs="Arial"/>
                <w:sz w:val="20"/>
                <w:szCs w:val="20"/>
                <w:lang w:val="fr-FR"/>
              </w:rPr>
              <w:t>)</w:t>
            </w:r>
          </w:p>
        </w:tc>
        <w:tc>
          <w:tcPr>
            <w:tcW w:w="1559"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75 </w:t>
            </w:r>
          </w:p>
        </w:tc>
        <w:tc>
          <w:tcPr>
            <w:tcW w:w="1134"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 xml:space="preserve">41 </w:t>
            </w:r>
          </w:p>
        </w:tc>
        <w:tc>
          <w:tcPr>
            <w:tcW w:w="1276" w:type="dxa"/>
          </w:tcPr>
          <w:p w:rsidR="00931B29" w:rsidRPr="001C695B" w:rsidRDefault="00931B29" w:rsidP="00931B29">
            <w:pPr>
              <w:spacing w:after="60"/>
              <w:jc w:val="center"/>
              <w:rPr>
                <w:sz w:val="20"/>
                <w:szCs w:val="20"/>
                <w:lang w:val="fr-FR"/>
              </w:rPr>
            </w:pPr>
            <w:r w:rsidRPr="001C695B">
              <w:rPr>
                <w:sz w:val="20"/>
                <w:szCs w:val="20"/>
                <w:lang w:val="fr-FR"/>
              </w:rPr>
              <w:t xml:space="preserve">41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53 </w:t>
            </w:r>
          </w:p>
        </w:tc>
      </w:tr>
      <w:tr w:rsidR="00931B29" w:rsidRPr="001C695B" w:rsidTr="00931B29">
        <w:tc>
          <w:tcPr>
            <w:tcW w:w="9493" w:type="dxa"/>
          </w:tcPr>
          <w:p w:rsidR="00931B29" w:rsidRPr="001C695B" w:rsidRDefault="00931B29" w:rsidP="00931B29">
            <w:pPr>
              <w:spacing w:before="20" w:after="20"/>
              <w:ind w:right="113"/>
              <w:rPr>
                <w:b/>
                <w:bCs/>
                <w:noProof/>
                <w:color w:val="4F81BD" w:themeColor="accent1"/>
                <w:sz w:val="20"/>
                <w:szCs w:val="20"/>
                <w:lang w:val="fr-FR" w:eastAsia="zh-CN"/>
              </w:rPr>
            </w:pPr>
            <w:r w:rsidRPr="001C695B">
              <w:rPr>
                <w:b/>
                <w:bCs/>
                <w:noProof/>
                <w:color w:val="4F81BD" w:themeColor="accent1"/>
                <w:sz w:val="20"/>
                <w:szCs w:val="20"/>
                <w:lang w:val="fr-FR" w:eastAsia="zh-CN"/>
              </w:rPr>
              <w:t>Total pour l'objectif I.4</w:t>
            </w:r>
          </w:p>
        </w:tc>
        <w:tc>
          <w:tcPr>
            <w:tcW w:w="1559"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1 337 </w:t>
            </w:r>
          </w:p>
        </w:tc>
        <w:tc>
          <w:tcPr>
            <w:tcW w:w="1134"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1 427 </w:t>
            </w:r>
          </w:p>
        </w:tc>
        <w:tc>
          <w:tcPr>
            <w:tcW w:w="1276" w:type="dxa"/>
          </w:tcPr>
          <w:p w:rsidR="00931B29" w:rsidRPr="001C695B" w:rsidRDefault="00931B29" w:rsidP="00931B29">
            <w:pPr>
              <w:spacing w:after="60"/>
              <w:jc w:val="center"/>
              <w:rPr>
                <w:b/>
                <w:bCs/>
                <w:sz w:val="20"/>
                <w:szCs w:val="20"/>
                <w:lang w:val="fr-FR"/>
              </w:rPr>
            </w:pPr>
            <w:r w:rsidRPr="001C695B">
              <w:rPr>
                <w:sz w:val="20"/>
                <w:szCs w:val="20"/>
                <w:lang w:val="fr-FR"/>
              </w:rPr>
              <w:t xml:space="preserve">1 372 </w:t>
            </w:r>
          </w:p>
        </w:tc>
        <w:tc>
          <w:tcPr>
            <w:tcW w:w="1134" w:type="dxa"/>
          </w:tcPr>
          <w:p w:rsidR="00931B29" w:rsidRPr="001C695B" w:rsidRDefault="00931B29" w:rsidP="00931B29">
            <w:pPr>
              <w:spacing w:after="60"/>
              <w:jc w:val="center"/>
              <w:rPr>
                <w:b/>
                <w:bCs/>
                <w:sz w:val="20"/>
                <w:szCs w:val="20"/>
                <w:lang w:val="fr-FR"/>
              </w:rPr>
            </w:pPr>
            <w:r w:rsidRPr="001C695B">
              <w:rPr>
                <w:sz w:val="20"/>
                <w:szCs w:val="20"/>
                <w:lang w:val="fr-FR"/>
              </w:rPr>
              <w:t xml:space="preserve">1 549 </w:t>
            </w:r>
          </w:p>
        </w:tc>
      </w:tr>
    </w:tbl>
    <w:p w:rsidR="00741A31" w:rsidRPr="001C695B" w:rsidRDefault="00741A31" w:rsidP="00741A31">
      <w:pPr>
        <w:overflowPunct/>
        <w:autoSpaceDE/>
        <w:autoSpaceDN/>
        <w:adjustRightInd/>
        <w:spacing w:before="0"/>
        <w:textAlignment w:val="auto"/>
        <w:rPr>
          <w:b/>
          <w:lang w:val="fr-FR"/>
        </w:rPr>
      </w:pPr>
    </w:p>
    <w:p w:rsidR="00741A31" w:rsidRPr="001C695B" w:rsidRDefault="00741A31" w:rsidP="00741A31">
      <w:pPr>
        <w:overflowPunct/>
        <w:autoSpaceDE/>
        <w:autoSpaceDN/>
        <w:adjustRightInd/>
        <w:spacing w:before="0"/>
        <w:textAlignment w:val="auto"/>
        <w:rPr>
          <w:b/>
          <w:lang w:val="fr-FR"/>
        </w:rPr>
      </w:pPr>
      <w:r w:rsidRPr="001C695B">
        <w:rPr>
          <w:lang w:val="fr-FR"/>
        </w:rPr>
        <w:br w:type="page"/>
      </w:r>
    </w:p>
    <w:p w:rsidR="00741A31" w:rsidRPr="001C695B" w:rsidRDefault="00741A31" w:rsidP="00741A31">
      <w:pPr>
        <w:pStyle w:val="Heading2"/>
        <w:spacing w:after="120"/>
        <w:rPr>
          <w:lang w:val="fr-FR"/>
        </w:rPr>
      </w:pPr>
      <w:r w:rsidRPr="001C695B">
        <w:rPr>
          <w:lang w:val="fr-FR"/>
        </w:rPr>
        <w:lastRenderedPageBreak/>
        <w:t>6.5</w:t>
      </w:r>
      <w:r w:rsidRPr="001C695B">
        <w:rPr>
          <w:lang w:val="fr-FR"/>
        </w:rPr>
        <w:tab/>
        <w:t>I.5 Améliorer l'accès aux télécommunications/TIC pour les personnes handicapées et pour les personnes ayant des besoins particuliers</w:t>
      </w:r>
    </w:p>
    <w:tbl>
      <w:tblPr>
        <w:tblStyle w:val="GridTable4-Accent11"/>
        <w:tblW w:w="14596" w:type="dxa"/>
        <w:tblLook w:val="0620" w:firstRow="1" w:lastRow="0" w:firstColumn="0" w:lastColumn="0" w:noHBand="1" w:noVBand="1"/>
      </w:tblPr>
      <w:tblGrid>
        <w:gridCol w:w="5382"/>
        <w:gridCol w:w="6662"/>
        <w:gridCol w:w="2552"/>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5382" w:type="dxa"/>
          </w:tcPr>
          <w:p w:rsidR="00931B29" w:rsidRPr="001C695B" w:rsidRDefault="00931B29" w:rsidP="00931B29">
            <w:pPr>
              <w:spacing w:before="20" w:after="20"/>
              <w:rPr>
                <w:sz w:val="22"/>
                <w:lang w:val="fr-FR"/>
              </w:rPr>
            </w:pPr>
            <w:r w:rsidRPr="001C695B">
              <w:rPr>
                <w:sz w:val="22"/>
                <w:lang w:val="fr-FR"/>
              </w:rPr>
              <w:t>Résultat</w:t>
            </w:r>
          </w:p>
        </w:tc>
        <w:tc>
          <w:tcPr>
            <w:tcW w:w="6662" w:type="dxa"/>
          </w:tcPr>
          <w:p w:rsidR="00931B29" w:rsidRPr="001C695B" w:rsidRDefault="00931B29" w:rsidP="00931B29">
            <w:pPr>
              <w:spacing w:before="20" w:after="20"/>
              <w:rPr>
                <w:sz w:val="22"/>
                <w:lang w:val="fr-FR"/>
              </w:rPr>
            </w:pPr>
            <w:r w:rsidRPr="001C695B">
              <w:rPr>
                <w:sz w:val="22"/>
                <w:lang w:val="fr-FR"/>
              </w:rPr>
              <w:t>Indicateur de résultat (valeur actuelle – valeur d'ici à 2020</w:t>
            </w:r>
            <w:r w:rsidRPr="001C695B">
              <w:rPr>
                <w:b w:val="0"/>
                <w:bCs w:val="0"/>
                <w:sz w:val="22"/>
                <w:lang w:val="fr-FR"/>
              </w:rPr>
              <w:t>)</w:t>
            </w:r>
          </w:p>
        </w:tc>
        <w:tc>
          <w:tcPr>
            <w:tcW w:w="2552" w:type="dxa"/>
          </w:tcPr>
          <w:p w:rsidR="00931B29" w:rsidRPr="001C695B" w:rsidRDefault="00931B29" w:rsidP="00931B29">
            <w:pPr>
              <w:spacing w:before="20" w:after="20"/>
              <w:rPr>
                <w:sz w:val="22"/>
                <w:lang w:val="fr-FR"/>
              </w:rPr>
            </w:pPr>
            <w:r w:rsidRPr="001C695B">
              <w:rPr>
                <w:sz w:val="22"/>
                <w:lang w:val="fr-FR"/>
              </w:rPr>
              <w:t>Moyen de mesure</w:t>
            </w:r>
          </w:p>
        </w:tc>
      </w:tr>
      <w:tr w:rsidR="00931B29" w:rsidRPr="001C695B" w:rsidTr="00931B29">
        <w:tc>
          <w:tcPr>
            <w:tcW w:w="5382" w:type="dxa"/>
          </w:tcPr>
          <w:p w:rsidR="00931B29" w:rsidRPr="001C695B" w:rsidRDefault="00931B29" w:rsidP="00931B29">
            <w:pPr>
              <w:spacing w:before="20" w:after="20"/>
              <w:rPr>
                <w:rFonts w:eastAsia="Calibri" w:cs="Arial"/>
                <w:b/>
                <w:bCs/>
                <w:sz w:val="20"/>
                <w:szCs w:val="20"/>
                <w:lang w:val="fr-FR"/>
              </w:rPr>
            </w:pPr>
            <w:r w:rsidRPr="001C695B">
              <w:rPr>
                <w:rFonts w:eastAsia="Calibri" w:cs="Arial"/>
                <w:b/>
                <w:bCs/>
                <w:color w:val="4F81BD" w:themeColor="accent1"/>
                <w:sz w:val="20"/>
                <w:szCs w:val="20"/>
                <w:lang w:val="fr-FR"/>
              </w:rPr>
              <w:t xml:space="preserve">I.5-1: </w:t>
            </w:r>
            <w:r w:rsidRPr="001C695B">
              <w:rPr>
                <w:rFonts w:cs="Calibri"/>
                <w:sz w:val="20"/>
                <w:szCs w:val="20"/>
                <w:lang w:val="fr-FR"/>
              </w:rPr>
              <w:t>Disponibilité accrue d'équipements, de services et d'applications de télécommunication/TIC conformes aux principes de conception universelle</w:t>
            </w:r>
          </w:p>
        </w:tc>
        <w:tc>
          <w:tcPr>
            <w:tcW w:w="6662" w:type="dxa"/>
          </w:tcPr>
          <w:p w:rsidR="00931B29" w:rsidRPr="001C695B" w:rsidRDefault="00931B29" w:rsidP="00931B29">
            <w:pPr>
              <w:tabs>
                <w:tab w:val="left" w:pos="317"/>
              </w:tabs>
              <w:overflowPunct/>
              <w:autoSpaceDE/>
              <w:autoSpaceDN/>
              <w:adjustRightInd/>
              <w:spacing w:before="0" w:after="60"/>
              <w:textAlignment w:val="auto"/>
              <w:rPr>
                <w:rFonts w:eastAsia="Calibri" w:cs="Arial"/>
                <w:sz w:val="20"/>
                <w:szCs w:val="20"/>
                <w:lang w:val="fr-FR"/>
              </w:rPr>
            </w:pPr>
            <w:r w:rsidRPr="001C695B">
              <w:rPr>
                <w:rFonts w:eastAsia="Calibri" w:cs="Arial"/>
                <w:sz w:val="20"/>
                <w:szCs w:val="20"/>
                <w:lang w:val="fr-FR"/>
              </w:rPr>
              <w:t>Nombre de publications techniques de l'UIT</w:t>
            </w:r>
            <w:r w:rsidRPr="001C695B">
              <w:rPr>
                <w:rFonts w:eastAsia="Calibri" w:cs="Arial"/>
                <w:sz w:val="20"/>
                <w:szCs w:val="20"/>
                <w:lang w:val="fr-FR"/>
              </w:rPr>
              <w:noBreakHyphen/>
              <w:t>T (recommandations, suppléments, rapports techniques, etc.):</w:t>
            </w:r>
          </w:p>
          <w:p w:rsidR="00931B29" w:rsidRPr="001C695B" w:rsidRDefault="00931B29" w:rsidP="00931B29">
            <w:pPr>
              <w:tabs>
                <w:tab w:val="left" w:pos="317"/>
              </w:tabs>
              <w:overflowPunct/>
              <w:autoSpaceDE/>
              <w:autoSpaceDN/>
              <w:adjustRightInd/>
              <w:spacing w:before="0" w:after="60"/>
              <w:ind w:left="317" w:hanging="317"/>
              <w:textAlignment w:val="auto"/>
              <w:rPr>
                <w:rFonts w:eastAsia="Calibri" w:cs="Arial"/>
                <w:i/>
                <w:iCs/>
                <w:sz w:val="20"/>
                <w:szCs w:val="20"/>
                <w:lang w:val="fr-FR"/>
              </w:rPr>
            </w:pPr>
            <w:r w:rsidRPr="001C695B">
              <w:rPr>
                <w:rFonts w:eastAsia="Calibri" w:cs="Arial"/>
                <w:sz w:val="20"/>
                <w:szCs w:val="20"/>
                <w:lang w:val="fr-FR"/>
              </w:rPr>
              <w:t>–</w:t>
            </w:r>
            <w:r w:rsidRPr="001C695B">
              <w:rPr>
                <w:rFonts w:eastAsia="Calibri" w:cs="Arial"/>
                <w:sz w:val="20"/>
                <w:szCs w:val="20"/>
                <w:lang w:val="fr-FR"/>
              </w:rPr>
              <w:tab/>
              <w:t>dans le corps desquelles figurent des éléments pour l'accessibilité des TIC:</w:t>
            </w:r>
            <w:r w:rsidRPr="001C695B">
              <w:rPr>
                <w:rFonts w:eastAsia="Calibri" w:cs="Arial"/>
                <w:sz w:val="20"/>
                <w:szCs w:val="20"/>
                <w:lang w:val="fr-FR"/>
              </w:rPr>
              <w:br/>
            </w:r>
            <w:r w:rsidRPr="001C695B">
              <w:rPr>
                <w:rFonts w:eastAsia="Calibri" w:cs="Arial"/>
                <w:i/>
                <w:iCs/>
                <w:sz w:val="20"/>
                <w:szCs w:val="20"/>
                <w:lang w:val="fr-FR"/>
              </w:rPr>
              <w:t>2010-2014: 4; 2015: 4; 2016: sans objet</w:t>
            </w:r>
          </w:p>
          <w:p w:rsidR="00931B29" w:rsidRPr="001C695B" w:rsidRDefault="00931B29" w:rsidP="00931B29">
            <w:pPr>
              <w:tabs>
                <w:tab w:val="left" w:pos="317"/>
              </w:tabs>
              <w:spacing w:before="20" w:after="20"/>
              <w:ind w:left="317" w:hanging="317"/>
              <w:rPr>
                <w:color w:val="948A54" w:themeColor="background2" w:themeShade="80"/>
                <w:sz w:val="20"/>
                <w:szCs w:val="20"/>
                <w:lang w:val="fr-FR"/>
              </w:rPr>
            </w:pPr>
            <w:r w:rsidRPr="001C695B">
              <w:rPr>
                <w:rFonts w:eastAsia="Calibri" w:cs="Arial"/>
                <w:sz w:val="20"/>
                <w:szCs w:val="20"/>
                <w:lang w:val="fr-FR"/>
              </w:rPr>
              <w:t>–</w:t>
            </w:r>
            <w:r w:rsidRPr="001C695B">
              <w:rPr>
                <w:rFonts w:eastAsia="Calibri" w:cs="Arial"/>
                <w:sz w:val="20"/>
                <w:szCs w:val="20"/>
                <w:lang w:val="fr-FR"/>
              </w:rPr>
              <w:tab/>
              <w:t>permettant d'améliorer l'accessibilité ou intégrant des caractéristiques d'accessibilité:</w:t>
            </w:r>
            <w:r w:rsidRPr="001C695B">
              <w:rPr>
                <w:rFonts w:eastAsia="Calibri" w:cs="Arial"/>
                <w:sz w:val="20"/>
                <w:szCs w:val="20"/>
                <w:lang w:val="fr-FR"/>
              </w:rPr>
              <w:br/>
            </w:r>
            <w:r w:rsidRPr="001C695B">
              <w:rPr>
                <w:rFonts w:eastAsia="Calibri" w:cs="Arial"/>
                <w:i/>
                <w:iCs/>
                <w:sz w:val="20"/>
                <w:szCs w:val="20"/>
                <w:lang w:val="fr-FR"/>
              </w:rPr>
              <w:t>2010-2014: 30, 2015: 10; 2016: sans objet</w:t>
            </w:r>
          </w:p>
        </w:tc>
        <w:tc>
          <w:tcPr>
            <w:tcW w:w="2552" w:type="dxa"/>
          </w:tcPr>
          <w:p w:rsidR="00931B29" w:rsidRPr="001C695B" w:rsidRDefault="00931B29" w:rsidP="00931B29">
            <w:pPr>
              <w:spacing w:before="20" w:after="20"/>
              <w:rPr>
                <w:color w:val="948A54" w:themeColor="background2" w:themeShade="80"/>
                <w:sz w:val="20"/>
                <w:szCs w:val="20"/>
                <w:lang w:val="fr-FR"/>
              </w:rPr>
            </w:pPr>
            <w:r w:rsidRPr="001C695B">
              <w:rPr>
                <w:sz w:val="20"/>
                <w:szCs w:val="20"/>
                <w:lang w:val="fr-FR"/>
              </w:rPr>
              <w:t>Références dans les Recommandations de l'UIT</w:t>
            </w:r>
          </w:p>
        </w:tc>
      </w:tr>
      <w:tr w:rsidR="00931B29" w:rsidRPr="001C695B" w:rsidTr="00931B29">
        <w:tc>
          <w:tcPr>
            <w:tcW w:w="5382" w:type="dxa"/>
          </w:tcPr>
          <w:p w:rsidR="00931B29" w:rsidRPr="001C695B" w:rsidRDefault="00931B29" w:rsidP="00931B29">
            <w:pPr>
              <w:spacing w:before="20" w:after="20"/>
              <w:rPr>
                <w:rFonts w:eastAsia="Calibri" w:cs="Arial"/>
                <w:bCs/>
                <w:color w:val="4F81BD" w:themeColor="accent1"/>
                <w:sz w:val="20"/>
                <w:szCs w:val="20"/>
                <w:lang w:val="fr-FR"/>
              </w:rPr>
            </w:pPr>
            <w:r w:rsidRPr="001C695B">
              <w:rPr>
                <w:rFonts w:eastAsia="Calibri" w:cs="Arial"/>
                <w:b/>
                <w:bCs/>
                <w:color w:val="4F81BD" w:themeColor="accent1"/>
                <w:sz w:val="20"/>
                <w:szCs w:val="20"/>
                <w:lang w:val="fr-FR"/>
              </w:rPr>
              <w:t xml:space="preserve">I.5-2: </w:t>
            </w:r>
            <w:r w:rsidRPr="001C695B">
              <w:rPr>
                <w:rFonts w:cs="Calibri"/>
                <w:sz w:val="20"/>
                <w:szCs w:val="20"/>
                <w:lang w:val="fr-FR"/>
              </w:rPr>
              <w:t>Renforcement de la participation des organisations de personnes handicapées et de personnes ayant des besoins particuliers aux travaux de l'Union</w:t>
            </w:r>
          </w:p>
        </w:tc>
        <w:tc>
          <w:tcPr>
            <w:tcW w:w="6662" w:type="dxa"/>
          </w:tcPr>
          <w:p w:rsidR="00931B29" w:rsidRPr="001C695B" w:rsidRDefault="00931B29" w:rsidP="00931B29">
            <w:pPr>
              <w:spacing w:before="20" w:after="20"/>
              <w:rPr>
                <w:sz w:val="20"/>
                <w:szCs w:val="20"/>
                <w:highlight w:val="cyan"/>
                <w:lang w:val="fr-FR"/>
              </w:rPr>
            </w:pPr>
            <w:r w:rsidRPr="001C695B">
              <w:rPr>
                <w:sz w:val="20"/>
                <w:szCs w:val="20"/>
                <w:lang w:val="fr-FR"/>
              </w:rPr>
              <w:t xml:space="preserve">Nombre d'organisations (membres ou non) de défense des personnes handicapées qui contribuent aux travaux de l'UIT en participant à ses activités (réunions, soumission de contributions, informations en retour concernant les publications de l'UIT, etc.): </w:t>
            </w:r>
            <w:r w:rsidRPr="001C695B">
              <w:rPr>
                <w:i/>
                <w:iCs/>
                <w:sz w:val="20"/>
                <w:szCs w:val="20"/>
                <w:lang w:val="fr-FR"/>
              </w:rPr>
              <w:t>2014: 6; 2015: 5</w:t>
            </w:r>
            <w:r w:rsidRPr="001C695B">
              <w:rPr>
                <w:i/>
                <w:iCs/>
                <w:sz w:val="20"/>
                <w:szCs w:val="20"/>
                <w:lang w:val="fr-FR"/>
              </w:rPr>
              <w:br/>
            </w:r>
            <w:r w:rsidRPr="001C695B">
              <w:rPr>
                <w:sz w:val="20"/>
                <w:szCs w:val="20"/>
                <w:lang w:val="fr-FR"/>
              </w:rPr>
              <w:t xml:space="preserve">Nombre de réunions avec interprétation en langue des signes: </w:t>
            </w:r>
            <w:r w:rsidRPr="001C695B">
              <w:rPr>
                <w:i/>
                <w:iCs/>
                <w:sz w:val="20"/>
                <w:szCs w:val="20"/>
                <w:lang w:val="fr-FR"/>
              </w:rPr>
              <w:t>2014: 4; 2015: 9; 2016: 5</w:t>
            </w:r>
            <w:r w:rsidRPr="001C695B">
              <w:rPr>
                <w:i/>
                <w:iCs/>
                <w:sz w:val="20"/>
                <w:szCs w:val="20"/>
                <w:lang w:val="fr-FR"/>
              </w:rPr>
              <w:br/>
            </w:r>
            <w:r w:rsidRPr="001C695B">
              <w:rPr>
                <w:sz w:val="20"/>
                <w:szCs w:val="20"/>
                <w:lang w:val="fr-FR"/>
              </w:rPr>
              <w:t xml:space="preserve">Nombre de réunions avec sous-titrage: </w:t>
            </w:r>
            <w:r w:rsidRPr="001C695B">
              <w:rPr>
                <w:i/>
                <w:iCs/>
                <w:sz w:val="20"/>
                <w:szCs w:val="20"/>
                <w:lang w:val="fr-FR"/>
              </w:rPr>
              <w:t>2014: 16; 2015: 11; 2016: 7</w:t>
            </w:r>
            <w:r w:rsidRPr="001C695B">
              <w:rPr>
                <w:i/>
                <w:iCs/>
                <w:sz w:val="20"/>
                <w:szCs w:val="20"/>
                <w:lang w:val="fr-FR"/>
              </w:rPr>
              <w:br/>
            </w:r>
            <w:r w:rsidRPr="001C695B">
              <w:rPr>
                <w:sz w:val="20"/>
                <w:szCs w:val="20"/>
                <w:lang w:val="fr-FR"/>
              </w:rPr>
              <w:t xml:space="preserve">Nombre d'experts vivant avec un handicap ayant reçu des fonds du TSB: </w:t>
            </w:r>
            <w:r w:rsidRPr="001C695B">
              <w:rPr>
                <w:i/>
                <w:iCs/>
                <w:sz w:val="20"/>
                <w:szCs w:val="20"/>
                <w:lang w:val="fr-FR"/>
              </w:rPr>
              <w:t>2014: 7; 2015: 9; 2016: 14</w:t>
            </w:r>
            <w:r w:rsidRPr="001C695B">
              <w:rPr>
                <w:i/>
                <w:iCs/>
                <w:sz w:val="20"/>
                <w:szCs w:val="20"/>
                <w:lang w:val="fr-FR"/>
              </w:rPr>
              <w:br/>
              <w:t>Le TSB fournit 50 000 CHF pour le sous-titrage, l'interprétation en langue des signes et les missions d'experts.</w:t>
            </w:r>
          </w:p>
        </w:tc>
        <w:tc>
          <w:tcPr>
            <w:tcW w:w="2552" w:type="dxa"/>
          </w:tcPr>
          <w:p w:rsidR="00931B29" w:rsidRPr="001C695B" w:rsidRDefault="00931B29" w:rsidP="00931B29">
            <w:pPr>
              <w:spacing w:before="20" w:after="20"/>
              <w:rPr>
                <w:sz w:val="20"/>
                <w:szCs w:val="20"/>
                <w:lang w:val="fr-FR"/>
              </w:rPr>
            </w:pPr>
            <w:r w:rsidRPr="001C695B">
              <w:rPr>
                <w:sz w:val="20"/>
                <w:szCs w:val="20"/>
                <w:lang w:val="fr-FR"/>
              </w:rPr>
              <w:t>Données de l'UIT</w:t>
            </w:r>
            <w:r w:rsidRPr="001C695B">
              <w:rPr>
                <w:sz w:val="20"/>
                <w:szCs w:val="20"/>
                <w:lang w:val="fr-FR"/>
              </w:rPr>
              <w:noBreakHyphen/>
              <w:t>T</w:t>
            </w:r>
          </w:p>
        </w:tc>
      </w:tr>
      <w:tr w:rsidR="00931B29" w:rsidRPr="001C695B" w:rsidTr="00931B29">
        <w:tc>
          <w:tcPr>
            <w:tcW w:w="5382" w:type="dxa"/>
          </w:tcPr>
          <w:p w:rsidR="00931B29" w:rsidRPr="001C695B" w:rsidRDefault="00931B29" w:rsidP="00931B29">
            <w:pPr>
              <w:spacing w:before="20" w:after="20"/>
              <w:rPr>
                <w:rFonts w:eastAsia="Calibri" w:cs="Arial"/>
                <w:bCs/>
                <w:color w:val="4F81BD" w:themeColor="accent1"/>
                <w:sz w:val="20"/>
                <w:szCs w:val="20"/>
                <w:lang w:val="fr-FR"/>
              </w:rPr>
            </w:pPr>
            <w:r w:rsidRPr="001C695B">
              <w:rPr>
                <w:rFonts w:eastAsia="Calibri" w:cs="Arial"/>
                <w:b/>
                <w:bCs/>
                <w:color w:val="4F81BD" w:themeColor="accent1"/>
                <w:sz w:val="20"/>
                <w:szCs w:val="20"/>
                <w:lang w:val="fr-FR"/>
              </w:rPr>
              <w:t xml:space="preserve">I.5-3: </w:t>
            </w:r>
            <w:r w:rsidRPr="001C695B">
              <w:rPr>
                <w:rFonts w:cs="Calibri"/>
                <w:sz w:val="20"/>
                <w:szCs w:val="20"/>
                <w:lang w:val="fr-FR"/>
              </w:rPr>
              <w:t>Sensibilisation accrue, y compris par une reconnaissance multilatérale et intergouvernementale, à la nécessité d'améliorer l'accès aux télécommunications/TIC pour les personnes handicapées et pour les personnes ayant des besoins particuliers</w:t>
            </w:r>
          </w:p>
        </w:tc>
        <w:tc>
          <w:tcPr>
            <w:tcW w:w="6662" w:type="dxa"/>
          </w:tcPr>
          <w:p w:rsidR="00931B29" w:rsidRPr="001C695B" w:rsidRDefault="00931B29" w:rsidP="00931B29">
            <w:pPr>
              <w:spacing w:before="20" w:after="20"/>
              <w:rPr>
                <w:sz w:val="20"/>
                <w:szCs w:val="20"/>
                <w:lang w:val="fr-FR"/>
              </w:rPr>
            </w:pPr>
            <w:r w:rsidRPr="001C695B">
              <w:rPr>
                <w:sz w:val="20"/>
                <w:szCs w:val="20"/>
                <w:lang w:val="fr-FR"/>
              </w:rPr>
              <w:t>Nombre de pays ayant une politique en matière d'accessibilité:</w:t>
            </w:r>
            <w:r w:rsidRPr="001C695B">
              <w:rPr>
                <w:sz w:val="20"/>
                <w:szCs w:val="20"/>
                <w:lang w:val="fr-FR"/>
              </w:rPr>
              <w:br/>
            </w:r>
            <w:r w:rsidRPr="001C695B">
              <w:rPr>
                <w:i/>
                <w:iCs/>
                <w:sz w:val="20"/>
                <w:szCs w:val="20"/>
                <w:lang w:val="fr-FR"/>
              </w:rPr>
              <w:t>2015: 40 pays (sur 98 interrogés) ont déclaré disposer d'un cadre réglementaire pour permettre aux personnes handicapées d'avoir accès aux TIC</w:t>
            </w:r>
          </w:p>
        </w:tc>
        <w:tc>
          <w:tcPr>
            <w:tcW w:w="2552" w:type="dxa"/>
          </w:tcPr>
          <w:p w:rsidR="00931B29" w:rsidRPr="001C695B" w:rsidRDefault="00931B29" w:rsidP="00931B29">
            <w:pPr>
              <w:spacing w:before="20" w:after="20"/>
              <w:rPr>
                <w:sz w:val="20"/>
                <w:szCs w:val="20"/>
                <w:lang w:val="fr-FR"/>
              </w:rPr>
            </w:pPr>
            <w:r w:rsidRPr="001C695B">
              <w:rPr>
                <w:sz w:val="20"/>
                <w:szCs w:val="20"/>
                <w:lang w:val="fr-FR"/>
              </w:rPr>
              <w:t>Données de l'UIT</w:t>
            </w:r>
            <w:r w:rsidRPr="001C695B">
              <w:rPr>
                <w:sz w:val="20"/>
                <w:szCs w:val="20"/>
                <w:lang w:val="fr-FR"/>
              </w:rPr>
              <w:noBreakHyphen/>
              <w:t>D (enquête sur la réglementation)</w:t>
            </w:r>
          </w:p>
        </w:tc>
      </w:tr>
    </w:tbl>
    <w:p w:rsidR="00741A31" w:rsidRPr="001C695B" w:rsidRDefault="00741A31" w:rsidP="00741A31">
      <w:pPr>
        <w:spacing w:before="20" w:after="20"/>
        <w:rPr>
          <w:sz w:val="2"/>
          <w:szCs w:val="2"/>
          <w:lang w:val="fr-FR"/>
        </w:rPr>
      </w:pPr>
    </w:p>
    <w:p w:rsidR="00741A31" w:rsidRPr="001C695B" w:rsidRDefault="00741A31" w:rsidP="00741A31">
      <w:pPr>
        <w:overflowPunct/>
        <w:autoSpaceDE/>
        <w:autoSpaceDN/>
        <w:adjustRightInd/>
        <w:spacing w:before="0"/>
        <w:textAlignment w:val="auto"/>
        <w:rPr>
          <w:lang w:val="fr-FR"/>
        </w:rPr>
      </w:pPr>
      <w:r w:rsidRPr="001C695B">
        <w:rPr>
          <w:lang w:val="fr-FR"/>
        </w:rPr>
        <w:br w:type="page"/>
      </w:r>
    </w:p>
    <w:p w:rsidR="00741A31" w:rsidRPr="001C695B" w:rsidRDefault="00741A31" w:rsidP="00741A31">
      <w:pPr>
        <w:rPr>
          <w:lang w:val="fr-FR"/>
        </w:rPr>
      </w:pPr>
    </w:p>
    <w:tbl>
      <w:tblPr>
        <w:tblStyle w:val="GridTable4-Accent11"/>
        <w:tblW w:w="14596" w:type="dxa"/>
        <w:tblLayout w:type="fixed"/>
        <w:tblLook w:val="0620" w:firstRow="1" w:lastRow="0" w:firstColumn="0" w:lastColumn="0" w:noHBand="1" w:noVBand="1"/>
      </w:tblPr>
      <w:tblGrid>
        <w:gridCol w:w="9918"/>
        <w:gridCol w:w="1134"/>
        <w:gridCol w:w="1276"/>
        <w:gridCol w:w="1134"/>
        <w:gridCol w:w="1134"/>
      </w:tblGrid>
      <w:tr w:rsidR="00931B29" w:rsidRPr="001C695B" w:rsidTr="00931B29">
        <w:trPr>
          <w:cnfStyle w:val="100000000000" w:firstRow="1" w:lastRow="0" w:firstColumn="0" w:lastColumn="0" w:oddVBand="0" w:evenVBand="0" w:oddHBand="0" w:evenHBand="0" w:firstRowFirstColumn="0" w:firstRowLastColumn="0" w:lastRowFirstColumn="0" w:lastRowLastColumn="0"/>
        </w:trPr>
        <w:tc>
          <w:tcPr>
            <w:tcW w:w="9918" w:type="dxa"/>
          </w:tcPr>
          <w:p w:rsidR="00931B29" w:rsidRPr="001C695B" w:rsidRDefault="00931B29" w:rsidP="00931B29">
            <w:pPr>
              <w:spacing w:before="20" w:after="20"/>
              <w:rPr>
                <w:sz w:val="22"/>
                <w:lang w:val="fr-FR"/>
              </w:rPr>
            </w:pPr>
            <w:r w:rsidRPr="001C695B">
              <w:rPr>
                <w:sz w:val="22"/>
                <w:lang w:val="fr-FR"/>
              </w:rPr>
              <w:t>Produit</w:t>
            </w:r>
          </w:p>
        </w:tc>
        <w:tc>
          <w:tcPr>
            <w:tcW w:w="4678" w:type="dxa"/>
            <w:gridSpan w:val="4"/>
          </w:tcPr>
          <w:p w:rsidR="00931B29" w:rsidRPr="001C695B" w:rsidRDefault="00931B29" w:rsidP="00931B29">
            <w:pPr>
              <w:spacing w:before="20" w:after="20"/>
              <w:jc w:val="center"/>
              <w:rPr>
                <w:sz w:val="22"/>
                <w:lang w:val="fr-FR"/>
              </w:rPr>
            </w:pPr>
            <w:r w:rsidRPr="001C695B">
              <w:rPr>
                <w:sz w:val="22"/>
                <w:lang w:val="fr-FR"/>
              </w:rPr>
              <w:t>Ressources financières</w:t>
            </w:r>
            <w:r w:rsidRPr="001C695B">
              <w:rPr>
                <w:rStyle w:val="FootnoteReference"/>
                <w:lang w:val="fr-FR"/>
              </w:rPr>
              <w:footnoteReference w:id="8"/>
            </w:r>
            <w:r w:rsidRPr="001C695B">
              <w:rPr>
                <w:sz w:val="22"/>
                <w:lang w:val="fr-FR"/>
              </w:rPr>
              <w:t xml:space="preserve"> (en milliers CHF)</w:t>
            </w:r>
          </w:p>
        </w:tc>
      </w:tr>
      <w:tr w:rsidR="00931B29" w:rsidRPr="001C695B" w:rsidTr="00931B29">
        <w:tc>
          <w:tcPr>
            <w:tcW w:w="9918" w:type="dxa"/>
          </w:tcPr>
          <w:p w:rsidR="00931B29" w:rsidRPr="001C695B" w:rsidRDefault="00931B29" w:rsidP="00931B29">
            <w:pPr>
              <w:spacing w:before="20" w:after="20"/>
              <w:rPr>
                <w:sz w:val="20"/>
                <w:szCs w:val="20"/>
                <w:lang w:val="fr-FR"/>
              </w:rPr>
            </w:pPr>
          </w:p>
        </w:tc>
        <w:tc>
          <w:tcPr>
            <w:tcW w:w="1134"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2018</w:t>
            </w:r>
          </w:p>
        </w:tc>
        <w:tc>
          <w:tcPr>
            <w:tcW w:w="1276"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2019</w:t>
            </w:r>
          </w:p>
        </w:tc>
        <w:tc>
          <w:tcPr>
            <w:tcW w:w="1134"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2020</w:t>
            </w:r>
          </w:p>
        </w:tc>
        <w:tc>
          <w:tcPr>
            <w:tcW w:w="1134" w:type="dxa"/>
          </w:tcPr>
          <w:p w:rsidR="00931B29" w:rsidRPr="001C695B" w:rsidRDefault="00931B29" w:rsidP="00931B29">
            <w:pPr>
              <w:jc w:val="center"/>
              <w:rPr>
                <w:b/>
                <w:bCs/>
                <w:color w:val="4F81BD" w:themeColor="accent1"/>
                <w:sz w:val="20"/>
                <w:szCs w:val="20"/>
                <w:lang w:val="fr-FR"/>
              </w:rPr>
            </w:pPr>
            <w:r w:rsidRPr="001C695B">
              <w:rPr>
                <w:b/>
                <w:bCs/>
                <w:color w:val="4F81BD" w:themeColor="accent1"/>
                <w:sz w:val="20"/>
                <w:szCs w:val="20"/>
                <w:lang w:val="fr-FR"/>
              </w:rPr>
              <w:t>2021</w:t>
            </w:r>
          </w:p>
        </w:tc>
      </w:tr>
      <w:tr w:rsidR="00931B29" w:rsidRPr="001C695B" w:rsidTr="00931B29">
        <w:tc>
          <w:tcPr>
            <w:tcW w:w="9918" w:type="dxa"/>
          </w:tcPr>
          <w:p w:rsidR="00931B29" w:rsidRPr="001C695B" w:rsidRDefault="00931B29" w:rsidP="00931B29">
            <w:pPr>
              <w:spacing w:before="20" w:after="20"/>
              <w:contextualSpacing/>
              <w:rPr>
                <w:rFonts w:eastAsia="Calibri" w:cs="Arial"/>
                <w:sz w:val="20"/>
                <w:szCs w:val="20"/>
                <w:lang w:val="fr-FR"/>
              </w:rPr>
            </w:pPr>
            <w:r w:rsidRPr="001C695B">
              <w:rPr>
                <w:b/>
                <w:bCs/>
                <w:noProof/>
                <w:color w:val="4F81BD" w:themeColor="accent1"/>
                <w:sz w:val="20"/>
                <w:szCs w:val="20"/>
                <w:lang w:val="fr-FR" w:eastAsia="zh-CN"/>
              </w:rPr>
              <w:t xml:space="preserve">I.5-1 </w:t>
            </w:r>
            <w:r w:rsidRPr="001C695B">
              <w:rPr>
                <w:rFonts w:eastAsia="Calibri" w:cs="Arial"/>
                <w:sz w:val="20"/>
                <w:szCs w:val="20"/>
                <w:lang w:val="fr-FR"/>
              </w:rPr>
              <w:t>Rapports, lignes directrices et récapitulatifs concernant l'accessibilité des télécommunications/TIC</w:t>
            </w:r>
          </w:p>
        </w:tc>
        <w:tc>
          <w:tcPr>
            <w:tcW w:w="1134"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378 </w:t>
            </w:r>
          </w:p>
        </w:tc>
        <w:tc>
          <w:tcPr>
            <w:tcW w:w="1276"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 xml:space="preserve">391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398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401 </w:t>
            </w:r>
          </w:p>
        </w:tc>
      </w:tr>
      <w:tr w:rsidR="00931B29" w:rsidRPr="001C695B" w:rsidTr="00931B29">
        <w:tc>
          <w:tcPr>
            <w:tcW w:w="9918" w:type="dxa"/>
          </w:tcPr>
          <w:p w:rsidR="00931B29" w:rsidRPr="001C695B" w:rsidRDefault="00931B29" w:rsidP="00931B29">
            <w:pPr>
              <w:spacing w:before="20" w:after="20"/>
              <w:contextualSpacing/>
              <w:rPr>
                <w:rFonts w:eastAsia="Calibri" w:cs="Arial"/>
                <w:b/>
                <w:bCs/>
                <w:color w:val="4F81BD" w:themeColor="accent1"/>
                <w:sz w:val="20"/>
                <w:szCs w:val="20"/>
                <w:lang w:val="fr-FR"/>
              </w:rPr>
            </w:pPr>
            <w:r w:rsidRPr="001C695B">
              <w:rPr>
                <w:b/>
                <w:bCs/>
                <w:noProof/>
                <w:color w:val="4F81BD" w:themeColor="accent1"/>
                <w:sz w:val="20"/>
                <w:szCs w:val="20"/>
                <w:lang w:val="fr-FR" w:eastAsia="zh-CN"/>
              </w:rPr>
              <w:t xml:space="preserve">I.5-2 </w:t>
            </w:r>
            <w:r w:rsidRPr="001C695B">
              <w:rPr>
                <w:rFonts w:eastAsia="Calibri" w:cs="Arial"/>
                <w:sz w:val="20"/>
                <w:szCs w:val="20"/>
                <w:lang w:val="fr-FR"/>
              </w:rPr>
              <w:t>Mobilisation de ressources et de compétences techniques, par exemple, en encourageant une participation accrue des personnes handicapées et des personnes ayant des besoins particuliers aux réunions internationales et régionales</w:t>
            </w:r>
          </w:p>
        </w:tc>
        <w:tc>
          <w:tcPr>
            <w:tcW w:w="1134"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72 </w:t>
            </w:r>
          </w:p>
        </w:tc>
        <w:tc>
          <w:tcPr>
            <w:tcW w:w="1276"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 xml:space="preserve">64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73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74 </w:t>
            </w:r>
          </w:p>
        </w:tc>
      </w:tr>
      <w:tr w:rsidR="00931B29" w:rsidRPr="001C695B" w:rsidTr="00931B29">
        <w:tc>
          <w:tcPr>
            <w:tcW w:w="9918" w:type="dxa"/>
          </w:tcPr>
          <w:p w:rsidR="00931B29" w:rsidRPr="001C695B" w:rsidRDefault="00931B29" w:rsidP="00931B29">
            <w:pPr>
              <w:spacing w:before="20" w:after="20"/>
              <w:contextualSpacing/>
              <w:rPr>
                <w:rFonts w:eastAsia="Calibri" w:cs="Arial"/>
                <w:b/>
                <w:bCs/>
                <w:color w:val="4F81BD" w:themeColor="accent1"/>
                <w:sz w:val="20"/>
                <w:szCs w:val="20"/>
                <w:lang w:val="fr-FR"/>
              </w:rPr>
            </w:pPr>
            <w:r w:rsidRPr="001C695B">
              <w:rPr>
                <w:b/>
                <w:bCs/>
                <w:noProof/>
                <w:color w:val="4F81BD" w:themeColor="accent1"/>
                <w:sz w:val="20"/>
                <w:szCs w:val="20"/>
                <w:lang w:val="fr-FR" w:eastAsia="zh-CN"/>
              </w:rPr>
              <w:t xml:space="preserve">I.5-3 </w:t>
            </w:r>
            <w:r w:rsidRPr="001C695B">
              <w:rPr>
                <w:rFonts w:eastAsia="Calibri" w:cs="Arial"/>
                <w:sz w:val="20"/>
                <w:szCs w:val="20"/>
                <w:lang w:val="fr-FR"/>
              </w:rPr>
              <w:t>Poursuite de l'amélioration et de la mise en oeuvre de la politique de l'UIT en matière d'accessibilité et des plans connexes</w:t>
            </w:r>
          </w:p>
        </w:tc>
        <w:tc>
          <w:tcPr>
            <w:tcW w:w="1134"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42 </w:t>
            </w:r>
          </w:p>
        </w:tc>
        <w:tc>
          <w:tcPr>
            <w:tcW w:w="1276"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 xml:space="preserve">44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37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39 </w:t>
            </w:r>
          </w:p>
        </w:tc>
      </w:tr>
      <w:tr w:rsidR="00931B29" w:rsidRPr="001C695B" w:rsidTr="00931B29">
        <w:tc>
          <w:tcPr>
            <w:tcW w:w="9918" w:type="dxa"/>
          </w:tcPr>
          <w:p w:rsidR="00931B29" w:rsidRPr="001C695B" w:rsidRDefault="00931B29" w:rsidP="00931B29">
            <w:pPr>
              <w:spacing w:before="20" w:after="20"/>
              <w:contextualSpacing/>
              <w:rPr>
                <w:rFonts w:eastAsia="Calibri" w:cs="Arial"/>
                <w:b/>
                <w:bCs/>
                <w:color w:val="4F81BD" w:themeColor="accent1"/>
                <w:sz w:val="20"/>
                <w:szCs w:val="20"/>
                <w:lang w:val="fr-FR"/>
              </w:rPr>
            </w:pPr>
            <w:r w:rsidRPr="001C695B">
              <w:rPr>
                <w:b/>
                <w:bCs/>
                <w:noProof/>
                <w:color w:val="4F81BD" w:themeColor="accent1"/>
                <w:sz w:val="20"/>
                <w:szCs w:val="20"/>
                <w:lang w:val="fr-FR" w:eastAsia="zh-CN"/>
              </w:rPr>
              <w:t xml:space="preserve">I.5-4 </w:t>
            </w:r>
            <w:r w:rsidRPr="001C695B">
              <w:rPr>
                <w:rFonts w:eastAsia="Calibri" w:cs="Arial"/>
                <w:sz w:val="20"/>
                <w:szCs w:val="20"/>
                <w:lang w:val="fr-FR"/>
              </w:rPr>
              <w:t>Campagnes de sensibilisation, tant au niveau des Nations Unies qu'aux niveaux régional et national</w:t>
            </w:r>
          </w:p>
        </w:tc>
        <w:tc>
          <w:tcPr>
            <w:tcW w:w="1134"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45 </w:t>
            </w:r>
          </w:p>
        </w:tc>
        <w:tc>
          <w:tcPr>
            <w:tcW w:w="1276"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 xml:space="preserve">72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46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72 </w:t>
            </w:r>
          </w:p>
        </w:tc>
      </w:tr>
      <w:tr w:rsidR="00931B29" w:rsidRPr="001C695B" w:rsidTr="00931B29">
        <w:tc>
          <w:tcPr>
            <w:tcW w:w="9918" w:type="dxa"/>
          </w:tcPr>
          <w:p w:rsidR="00931B29" w:rsidRPr="001C695B" w:rsidRDefault="00931B29" w:rsidP="00931B29">
            <w:pPr>
              <w:spacing w:before="20" w:after="20"/>
              <w:contextualSpacing/>
              <w:rPr>
                <w:rFonts w:eastAsia="Calibri" w:cs="Arial"/>
                <w:b/>
                <w:bCs/>
                <w:color w:val="4F81BD" w:themeColor="accent1"/>
                <w:sz w:val="20"/>
                <w:szCs w:val="20"/>
                <w:lang w:val="fr-FR"/>
              </w:rPr>
            </w:pPr>
            <w:r w:rsidRPr="001C695B">
              <w:rPr>
                <w:rFonts w:eastAsia="Calibri" w:cs="Arial"/>
                <w:sz w:val="20"/>
                <w:szCs w:val="20"/>
                <w:lang w:val="fr-FR"/>
              </w:rPr>
              <w:t>Imputation des coûts à la Conférence de plénipotentiaires et aux activités du Conseil (</w:t>
            </w:r>
            <w:r w:rsidRPr="001C695B">
              <w:rPr>
                <w:rFonts w:eastAsia="Calibri" w:cs="Arial"/>
                <w:b/>
                <w:bCs/>
                <w:color w:val="4F81BD" w:themeColor="accent1"/>
                <w:sz w:val="20"/>
                <w:szCs w:val="20"/>
                <w:lang w:val="fr-FR"/>
              </w:rPr>
              <w:t>PP</w:t>
            </w:r>
            <w:r w:rsidRPr="001C695B">
              <w:rPr>
                <w:rFonts w:eastAsia="Calibri" w:cs="Arial"/>
                <w:sz w:val="20"/>
                <w:szCs w:val="20"/>
                <w:lang w:val="fr-FR"/>
              </w:rPr>
              <w:t xml:space="preserve">, </w:t>
            </w:r>
            <w:r w:rsidRPr="001C695B">
              <w:rPr>
                <w:rFonts w:eastAsia="Calibri" w:cs="Arial"/>
                <w:b/>
                <w:bCs/>
                <w:color w:val="4F81BD" w:themeColor="accent1"/>
                <w:sz w:val="20"/>
                <w:szCs w:val="20"/>
                <w:lang w:val="fr-FR"/>
              </w:rPr>
              <w:t>Conseil/GTC</w:t>
            </w:r>
            <w:r w:rsidRPr="001C695B">
              <w:rPr>
                <w:rFonts w:eastAsia="Calibri" w:cs="Arial"/>
                <w:sz w:val="20"/>
                <w:szCs w:val="20"/>
                <w:lang w:val="fr-FR"/>
              </w:rPr>
              <w:t>)</w:t>
            </w:r>
          </w:p>
        </w:tc>
        <w:tc>
          <w:tcPr>
            <w:tcW w:w="1134"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32 </w:t>
            </w:r>
          </w:p>
        </w:tc>
        <w:tc>
          <w:tcPr>
            <w:tcW w:w="1276" w:type="dxa"/>
            <w:tcMar>
              <w:right w:w="227" w:type="dxa"/>
            </w:tcMar>
          </w:tcPr>
          <w:p w:rsidR="00931B29" w:rsidRPr="001C695B" w:rsidRDefault="00931B29" w:rsidP="00931B29">
            <w:pPr>
              <w:spacing w:after="60"/>
              <w:jc w:val="center"/>
              <w:rPr>
                <w:sz w:val="20"/>
                <w:szCs w:val="20"/>
                <w:lang w:val="fr-FR"/>
              </w:rPr>
            </w:pPr>
            <w:r w:rsidRPr="001C695B">
              <w:rPr>
                <w:sz w:val="20"/>
                <w:szCs w:val="20"/>
                <w:lang w:val="fr-FR"/>
              </w:rPr>
              <w:t xml:space="preserve">17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17 </w:t>
            </w:r>
          </w:p>
        </w:tc>
        <w:tc>
          <w:tcPr>
            <w:tcW w:w="1134" w:type="dxa"/>
          </w:tcPr>
          <w:p w:rsidR="00931B29" w:rsidRPr="001C695B" w:rsidRDefault="00931B29" w:rsidP="00931B29">
            <w:pPr>
              <w:spacing w:after="60"/>
              <w:jc w:val="center"/>
              <w:rPr>
                <w:sz w:val="20"/>
                <w:szCs w:val="20"/>
                <w:lang w:val="fr-FR"/>
              </w:rPr>
            </w:pPr>
            <w:r w:rsidRPr="001C695B">
              <w:rPr>
                <w:sz w:val="20"/>
                <w:szCs w:val="20"/>
                <w:lang w:val="fr-FR"/>
              </w:rPr>
              <w:t xml:space="preserve">21 </w:t>
            </w:r>
          </w:p>
        </w:tc>
      </w:tr>
      <w:tr w:rsidR="00931B29" w:rsidRPr="001C695B" w:rsidTr="00931B29">
        <w:tc>
          <w:tcPr>
            <w:tcW w:w="9918" w:type="dxa"/>
          </w:tcPr>
          <w:p w:rsidR="00931B29" w:rsidRPr="001C695B" w:rsidRDefault="00931B29" w:rsidP="00931B29">
            <w:pPr>
              <w:spacing w:before="20" w:after="20"/>
              <w:ind w:right="113"/>
              <w:rPr>
                <w:b/>
                <w:bCs/>
                <w:noProof/>
                <w:color w:val="4F81BD" w:themeColor="accent1"/>
                <w:sz w:val="20"/>
                <w:szCs w:val="20"/>
                <w:lang w:val="fr-FR" w:eastAsia="zh-CN"/>
              </w:rPr>
            </w:pPr>
            <w:r w:rsidRPr="001C695B">
              <w:rPr>
                <w:b/>
                <w:bCs/>
                <w:noProof/>
                <w:color w:val="4F81BD" w:themeColor="accent1"/>
                <w:sz w:val="20"/>
                <w:szCs w:val="20"/>
                <w:lang w:val="fr-FR" w:eastAsia="zh-CN"/>
              </w:rPr>
              <w:t>Total pour l'objectif I.5</w:t>
            </w:r>
          </w:p>
        </w:tc>
        <w:tc>
          <w:tcPr>
            <w:tcW w:w="1134"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570 </w:t>
            </w:r>
          </w:p>
        </w:tc>
        <w:tc>
          <w:tcPr>
            <w:tcW w:w="1276" w:type="dxa"/>
            <w:tcMar>
              <w:right w:w="227" w:type="dxa"/>
            </w:tcMar>
          </w:tcPr>
          <w:p w:rsidR="00931B29" w:rsidRPr="001C695B" w:rsidRDefault="00931B29" w:rsidP="00931B29">
            <w:pPr>
              <w:spacing w:after="60"/>
              <w:jc w:val="center"/>
              <w:rPr>
                <w:b/>
                <w:bCs/>
                <w:sz w:val="20"/>
                <w:szCs w:val="20"/>
                <w:lang w:val="fr-FR"/>
              </w:rPr>
            </w:pPr>
            <w:r w:rsidRPr="001C695B">
              <w:rPr>
                <w:sz w:val="20"/>
                <w:szCs w:val="20"/>
                <w:lang w:val="fr-FR"/>
              </w:rPr>
              <w:t xml:space="preserve">588 </w:t>
            </w:r>
          </w:p>
        </w:tc>
        <w:tc>
          <w:tcPr>
            <w:tcW w:w="1134" w:type="dxa"/>
          </w:tcPr>
          <w:p w:rsidR="00931B29" w:rsidRPr="001C695B" w:rsidRDefault="00931B29" w:rsidP="00931B29">
            <w:pPr>
              <w:spacing w:after="60"/>
              <w:jc w:val="center"/>
              <w:rPr>
                <w:b/>
                <w:bCs/>
                <w:sz w:val="20"/>
                <w:szCs w:val="20"/>
                <w:lang w:val="fr-FR"/>
              </w:rPr>
            </w:pPr>
            <w:r w:rsidRPr="001C695B">
              <w:rPr>
                <w:sz w:val="20"/>
                <w:szCs w:val="20"/>
                <w:lang w:val="fr-FR"/>
              </w:rPr>
              <w:t xml:space="preserve">571 </w:t>
            </w:r>
          </w:p>
        </w:tc>
        <w:tc>
          <w:tcPr>
            <w:tcW w:w="1134" w:type="dxa"/>
          </w:tcPr>
          <w:p w:rsidR="00931B29" w:rsidRPr="001C695B" w:rsidRDefault="00931B29" w:rsidP="00931B29">
            <w:pPr>
              <w:spacing w:after="60"/>
              <w:jc w:val="center"/>
              <w:rPr>
                <w:b/>
                <w:bCs/>
                <w:sz w:val="20"/>
                <w:szCs w:val="20"/>
                <w:lang w:val="fr-FR"/>
              </w:rPr>
            </w:pPr>
            <w:r w:rsidRPr="001C695B">
              <w:rPr>
                <w:sz w:val="20"/>
                <w:szCs w:val="20"/>
                <w:lang w:val="fr-FR"/>
              </w:rPr>
              <w:t xml:space="preserve">606 </w:t>
            </w:r>
          </w:p>
        </w:tc>
      </w:tr>
    </w:tbl>
    <w:p w:rsidR="00741A31" w:rsidRPr="001C695B" w:rsidRDefault="00741A31" w:rsidP="00741A31">
      <w:pPr>
        <w:pStyle w:val="Heading1"/>
        <w:rPr>
          <w:lang w:val="fr-FR"/>
        </w:rPr>
      </w:pPr>
      <w:r w:rsidRPr="001C695B">
        <w:rPr>
          <w:lang w:val="fr-FR"/>
        </w:rPr>
        <w:t>7</w:t>
      </w:r>
      <w:r w:rsidRPr="001C695B">
        <w:rPr>
          <w:lang w:val="fr-FR"/>
        </w:rPr>
        <w:tab/>
        <w:t xml:space="preserve">Mise en oeuvre du Plan opérationnel </w:t>
      </w:r>
    </w:p>
    <w:p w:rsidR="00741A31" w:rsidRPr="001C695B" w:rsidRDefault="00741A31" w:rsidP="00741A31">
      <w:pPr>
        <w:rPr>
          <w:lang w:val="fr-FR"/>
        </w:rPr>
      </w:pPr>
      <w:r w:rsidRPr="001C695B">
        <w:rPr>
          <w:lang w:val="fr-FR"/>
        </w:rPr>
        <w:t>Les produits et les services d'appui seront fournis par les Départements concernés du Secrétariat général, dans le cadre de la mise en oeuvre des activités des programmes de travail internes de chaque département et selon des accords de niveau de service (pour la fourniture des services internes); les bureaux régionaux participeront à la mise en oeuvre de ce Plan opérationnel. La fourniture des produits et des services d'appui est planifiée, suivie et évaluée par la direction de l'UIT, l'objectif étant d'établir un lien entre les évaluations du comportement professionnel des fonctionnaires et les objectifs définis dans le Plan stratégique de l'UIT. Le rapport annuel sur la mise en oeuvre du Plan stratégique rend compte des progrès accomplis en vue d'atteindre ces objectifs ainsi que les buts généraux. En ce qui concerne la gestion des risques, outre les risques inclus dans le présent Plan opérationnel qui donneront lieu à un examen périodique par la haute direction, chaque département identifie, évalue et gère les risques associés à la fourniture de ses produits et services d'appui.</w:t>
      </w:r>
    </w:p>
    <w:p w:rsidR="00741A31" w:rsidRPr="001C695B" w:rsidRDefault="00741A31" w:rsidP="00553907">
      <w:pPr>
        <w:rPr>
          <w:lang w:val="fr-FR"/>
        </w:rPr>
      </w:pPr>
      <w:r w:rsidRPr="001C695B">
        <w:rPr>
          <w:lang w:val="fr-FR"/>
        </w:rPr>
        <w:br w:type="page"/>
      </w:r>
    </w:p>
    <w:p w:rsidR="00741A31" w:rsidRPr="001C695B" w:rsidRDefault="00741A31" w:rsidP="00741A31">
      <w:pPr>
        <w:pStyle w:val="AnnexNo"/>
        <w:rPr>
          <w:lang w:val="fr-FR"/>
        </w:rPr>
      </w:pPr>
      <w:r w:rsidRPr="001C695B">
        <w:rPr>
          <w:lang w:val="fr-FR"/>
        </w:rPr>
        <w:lastRenderedPageBreak/>
        <w:t>Annexe 1</w:t>
      </w:r>
    </w:p>
    <w:p w:rsidR="00741A31" w:rsidRPr="001C695B" w:rsidRDefault="00741A31" w:rsidP="00741A31">
      <w:pPr>
        <w:pStyle w:val="Annextitle"/>
        <w:rPr>
          <w:lang w:val="fr-FR"/>
        </w:rPr>
      </w:pPr>
      <w:r w:rsidRPr="001C695B">
        <w:rPr>
          <w:lang w:val="fr-FR"/>
        </w:rPr>
        <w:t>Ventilation des ressources entre les objectifs intersectoriels et les buts stratégiques de l'UIT</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189"/>
        <w:gridCol w:w="47"/>
        <w:gridCol w:w="785"/>
        <w:gridCol w:w="47"/>
        <w:gridCol w:w="469"/>
        <w:gridCol w:w="760"/>
        <w:gridCol w:w="47"/>
        <w:gridCol w:w="335"/>
        <w:gridCol w:w="912"/>
        <w:gridCol w:w="47"/>
        <w:gridCol w:w="176"/>
        <w:gridCol w:w="1053"/>
        <w:gridCol w:w="47"/>
        <w:gridCol w:w="214"/>
        <w:gridCol w:w="23"/>
        <w:gridCol w:w="24"/>
        <w:gridCol w:w="968"/>
        <w:gridCol w:w="870"/>
        <w:gridCol w:w="23"/>
        <w:gridCol w:w="24"/>
        <w:gridCol w:w="783"/>
        <w:gridCol w:w="23"/>
        <w:gridCol w:w="24"/>
        <w:gridCol w:w="901"/>
        <w:gridCol w:w="47"/>
      </w:tblGrid>
      <w:tr w:rsidR="00741A31" w:rsidRPr="001C695B" w:rsidTr="00741A31">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20"/>
                <w:lang w:val="fr-FR"/>
              </w:rPr>
            </w:pPr>
            <w:r w:rsidRPr="001C695B">
              <w:rPr>
                <w:b/>
                <w:bCs/>
                <w:color w:val="FFFFFF"/>
                <w:sz w:val="20"/>
                <w:lang w:val="fr-FR"/>
              </w:rPr>
              <w:t>Objectifs intersectoriels de l'UIT pour 2018</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color w:val="FFFFFF"/>
                <w:sz w:val="20"/>
                <w:lang w:val="fr-FR"/>
              </w:rPr>
            </w:pPr>
            <w:r w:rsidRPr="001C695B">
              <w:rPr>
                <w:color w:val="FFFFFF"/>
                <w:sz w:val="20"/>
                <w:lang w:val="fr-FR"/>
              </w:rPr>
              <w:t>SG/</w:t>
            </w:r>
            <w:r w:rsidRPr="001C695B">
              <w:rPr>
                <w:color w:val="FFFFFF"/>
                <w:sz w:val="20"/>
                <w:lang w:val="fr-FR"/>
              </w:rPr>
              <w:br/>
              <w:t>coût direct</w:t>
            </w:r>
          </w:p>
        </w:tc>
        <w:tc>
          <w:tcPr>
            <w:tcW w:w="925" w:type="dxa"/>
            <w:tcBorders>
              <w:top w:val="single" w:sz="8" w:space="0" w:color="5B9BD5"/>
              <w:left w:val="nil"/>
              <w:bottom w:val="single" w:sz="8" w:space="0" w:color="5B9BD5"/>
              <w:right w:val="nil"/>
            </w:tcBorders>
            <w:shd w:val="clear" w:color="auto" w:fill="5B9BD5"/>
            <w:vAlign w:val="center"/>
          </w:tcPr>
          <w:p w:rsidR="00741A31" w:rsidRPr="001C695B" w:rsidRDefault="00741A31" w:rsidP="00741A31">
            <w:pPr>
              <w:spacing w:before="20" w:after="20"/>
              <w:jc w:val="center"/>
              <w:rPr>
                <w:color w:val="FFFFFF"/>
                <w:sz w:val="20"/>
                <w:lang w:val="fr-FR"/>
              </w:rPr>
            </w:pPr>
            <w:r w:rsidRPr="001C695B">
              <w:rPr>
                <w:color w:val="FFFFFF"/>
                <w:sz w:val="20"/>
                <w:lang w:val="fr-FR"/>
              </w:rPr>
              <w:t>Coût réimputé à partir du SG</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color w:val="FFFFFF"/>
                <w:sz w:val="20"/>
                <w:lang w:val="fr-FR"/>
              </w:rPr>
            </w:pPr>
            <w:r w:rsidRPr="001C695B">
              <w:rPr>
                <w:color w:val="FFFFFF"/>
                <w:sz w:val="20"/>
                <w:lang w:val="fr-FR"/>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 </w:t>
            </w:r>
          </w:p>
        </w:tc>
        <w:tc>
          <w:tcPr>
            <w:tcW w:w="832"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1: crois-sance</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2: inclusion</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3: durabilité</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4: innovation et partenariats</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18"/>
                <w:szCs w:val="18"/>
                <w:lang w:val="fr-FR"/>
              </w:rPr>
            </w:pPr>
            <w:r w:rsidRPr="001C695B">
              <w:rPr>
                <w:b/>
                <w:bCs/>
                <w:color w:val="FFFFFF"/>
                <w:sz w:val="18"/>
                <w:szCs w:val="18"/>
                <w:lang w:val="fr-FR"/>
              </w:rPr>
              <w:t> </w:t>
            </w:r>
          </w:p>
        </w:tc>
        <w:tc>
          <w:tcPr>
            <w:tcW w:w="96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1</w:t>
            </w:r>
          </w:p>
        </w:tc>
        <w:tc>
          <w:tcPr>
            <w:tcW w:w="91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4</w:t>
            </w:r>
          </w:p>
        </w:tc>
      </w:tr>
      <w:tr w:rsidR="00741A31" w:rsidRPr="001C695B" w:rsidTr="00741A3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I.1 </w:t>
            </w:r>
            <w:r w:rsidRPr="001C695B">
              <w:rPr>
                <w:color w:val="000000"/>
                <w:sz w:val="20"/>
                <w:lang w:val="fr-FR"/>
              </w:rPr>
              <w:t xml:space="preserve">Objectif intersectoriel </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2 612</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227</w:t>
            </w:r>
          </w:p>
        </w:tc>
        <w:tc>
          <w:tcPr>
            <w:tcW w:w="925" w:type="dxa"/>
            <w:tcBorders>
              <w:top w:val="single" w:sz="8" w:space="0" w:color="5B9BD5"/>
              <w:left w:val="single" w:sz="8" w:space="0" w:color="5B9BD5"/>
              <w:bottom w:val="single" w:sz="8" w:space="0" w:color="5B9BD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2 353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32</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741A31" w:rsidRPr="001C695B" w:rsidRDefault="00741A31" w:rsidP="00741A31">
            <w:pPr>
              <w:spacing w:before="20" w:after="20"/>
              <w:ind w:left="113" w:right="113"/>
              <w:jc w:val="center"/>
              <w:rPr>
                <w:b/>
                <w:bCs/>
                <w:sz w:val="20"/>
                <w:lang w:val="fr-FR"/>
              </w:rPr>
            </w:pPr>
            <w:r w:rsidRPr="001C695B">
              <w:rPr>
                <w:b/>
                <w:bCs/>
                <w:sz w:val="20"/>
                <w:lang w:val="fr-FR"/>
              </w:rPr>
              <w:t>Réimputation</w:t>
            </w: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sz w:val="20"/>
                <w:lang w:val="fr-FR"/>
              </w:rPr>
            </w:pPr>
            <w:r w:rsidRPr="001C695B">
              <w:rPr>
                <w:sz w:val="20"/>
                <w:lang w:val="fr-FR"/>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sz w:val="20"/>
                <w:lang w:val="fr-FR"/>
              </w:rPr>
            </w:pPr>
            <w:r w:rsidRPr="001C695B">
              <w:rPr>
                <w:sz w:val="20"/>
                <w:lang w:val="fr-FR"/>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sz w:val="20"/>
                <w:lang w:val="fr-FR"/>
              </w:rPr>
            </w:pPr>
            <w:r w:rsidRPr="001C695B">
              <w:rPr>
                <w:sz w:val="20"/>
                <w:lang w:val="fr-FR"/>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sz w:val="20"/>
                <w:lang w:val="fr-FR"/>
              </w:rPr>
            </w:pPr>
            <w:r w:rsidRPr="001C695B">
              <w:rPr>
                <w:sz w:val="20"/>
                <w:lang w:val="fr-FR"/>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right"/>
              <w:rPr>
                <w:sz w:val="20"/>
                <w:lang w:val="fr-FR"/>
              </w:rPr>
            </w:pPr>
            <w:r w:rsidRPr="001C695B">
              <w:rPr>
                <w:sz w:val="20"/>
                <w:lang w:val="fr-FR"/>
              </w:rPr>
              <w:t> </w:t>
            </w: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392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392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392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1 437 </w:t>
            </w:r>
          </w:p>
        </w:tc>
      </w:tr>
      <w:tr w:rsidR="00741A31" w:rsidRPr="001C695B" w:rsidTr="00741A3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I.2 </w:t>
            </w:r>
            <w:r w:rsidRPr="001C695B">
              <w:rPr>
                <w:color w:val="000000"/>
                <w:sz w:val="20"/>
                <w:lang w:val="fr-FR"/>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2 577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596</w:t>
            </w:r>
          </w:p>
        </w:tc>
        <w:tc>
          <w:tcPr>
            <w:tcW w:w="925" w:type="dxa"/>
            <w:tcBorders>
              <w:top w:val="single" w:sz="8" w:space="0" w:color="5B9BD5"/>
              <w:left w:val="single" w:sz="8" w:space="0" w:color="5B9BD5"/>
              <w:bottom w:val="single" w:sz="8" w:space="0" w:color="5B9BD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1 978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rPr>
                <w:rFonts w:eastAsiaTheme="minorEastAsia"/>
                <w:b/>
                <w:bCs/>
                <w:color w:val="000000"/>
                <w:sz w:val="20"/>
                <w:lang w:val="fr-FR"/>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55%</w:t>
            </w:r>
          </w:p>
        </w:tc>
        <w:tc>
          <w:tcPr>
            <w:tcW w:w="261" w:type="dxa"/>
            <w:gridSpan w:val="2"/>
            <w:vMerge/>
            <w:tcBorders>
              <w:top w:val="nil"/>
              <w:left w:val="nil"/>
              <w:bottom w:val="single" w:sz="8" w:space="0" w:color="9CC2E5"/>
              <w:right w:val="single" w:sz="8" w:space="0" w:color="9CC2E5"/>
            </w:tcBorders>
            <w:vAlign w:val="center"/>
            <w:hideMark/>
          </w:tcPr>
          <w:p w:rsidR="00741A31" w:rsidRPr="001C695B" w:rsidRDefault="00741A31" w:rsidP="00741A31">
            <w:pPr>
              <w:spacing w:before="20" w:after="20"/>
              <w:rPr>
                <w:rFonts w:eastAsiaTheme="minorEastAsia"/>
                <w:color w:val="000000"/>
                <w:sz w:val="20"/>
                <w:lang w:val="fr-FR"/>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387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387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387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1 417 </w:t>
            </w:r>
          </w:p>
        </w:tc>
      </w:tr>
      <w:tr w:rsidR="00741A31" w:rsidRPr="001C695B" w:rsidTr="00741A3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I.3 </w:t>
            </w:r>
            <w:r w:rsidRPr="001C695B">
              <w:rPr>
                <w:color w:val="000000"/>
                <w:sz w:val="20"/>
                <w:lang w:val="fr-FR"/>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2 685</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830</w:t>
            </w:r>
          </w:p>
        </w:tc>
        <w:tc>
          <w:tcPr>
            <w:tcW w:w="925" w:type="dxa"/>
            <w:tcBorders>
              <w:top w:val="single" w:sz="8" w:space="0" w:color="5B9BD5"/>
              <w:left w:val="single" w:sz="8" w:space="0" w:color="5B9BD5"/>
              <w:bottom w:val="single" w:sz="8" w:space="0" w:color="5B9BD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1 853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rPr>
                <w:rFonts w:eastAsiaTheme="minorEastAsia"/>
                <w:b/>
                <w:bCs/>
                <w:color w:val="000000"/>
                <w:sz w:val="20"/>
                <w:lang w:val="fr-FR"/>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70%</w:t>
            </w:r>
          </w:p>
        </w:tc>
        <w:tc>
          <w:tcPr>
            <w:tcW w:w="261" w:type="dxa"/>
            <w:gridSpan w:val="2"/>
            <w:vMerge/>
            <w:tcBorders>
              <w:top w:val="nil"/>
              <w:left w:val="nil"/>
              <w:bottom w:val="single" w:sz="8" w:space="0" w:color="9CC2E5"/>
              <w:right w:val="single" w:sz="8" w:space="0" w:color="9CC2E5"/>
            </w:tcBorders>
            <w:vAlign w:val="center"/>
            <w:hideMark/>
          </w:tcPr>
          <w:p w:rsidR="00741A31" w:rsidRPr="001C695B" w:rsidRDefault="00741A31" w:rsidP="00741A31">
            <w:pPr>
              <w:spacing w:before="20" w:after="20"/>
              <w:rPr>
                <w:rFonts w:eastAsiaTheme="minorEastAsia"/>
                <w:color w:val="000000"/>
                <w:sz w:val="20"/>
                <w:lang w:val="fr-FR"/>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268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268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268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1 879 </w:t>
            </w:r>
          </w:p>
        </w:tc>
      </w:tr>
      <w:tr w:rsidR="00741A31" w:rsidRPr="001C695B" w:rsidTr="00741A3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I.4 </w:t>
            </w:r>
            <w:r w:rsidRPr="001C695B">
              <w:rPr>
                <w:color w:val="000000"/>
                <w:sz w:val="20"/>
                <w:lang w:val="fr-FR"/>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1 337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67</w:t>
            </w:r>
          </w:p>
        </w:tc>
        <w:tc>
          <w:tcPr>
            <w:tcW w:w="925" w:type="dxa"/>
            <w:tcBorders>
              <w:top w:val="single" w:sz="8" w:space="0" w:color="5B9BD5"/>
              <w:left w:val="single" w:sz="8" w:space="0" w:color="5B9BD5"/>
              <w:bottom w:val="single" w:sz="8" w:space="0" w:color="5B9BD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1 268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rPr>
                <w:rFonts w:eastAsiaTheme="minorEastAsia"/>
                <w:b/>
                <w:bCs/>
                <w:color w:val="000000"/>
                <w:sz w:val="20"/>
                <w:lang w:val="fr-FR"/>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0%</w:t>
            </w:r>
          </w:p>
        </w:tc>
        <w:tc>
          <w:tcPr>
            <w:tcW w:w="261" w:type="dxa"/>
            <w:gridSpan w:val="2"/>
            <w:vMerge/>
            <w:tcBorders>
              <w:top w:val="nil"/>
              <w:left w:val="nil"/>
              <w:bottom w:val="single" w:sz="8" w:space="0" w:color="9CC2E5"/>
              <w:right w:val="single" w:sz="8" w:space="0" w:color="9CC2E5"/>
            </w:tcBorders>
            <w:vAlign w:val="center"/>
            <w:hideMark/>
          </w:tcPr>
          <w:p w:rsidR="00741A31" w:rsidRPr="001C695B" w:rsidRDefault="00741A31" w:rsidP="00741A31">
            <w:pPr>
              <w:spacing w:before="20" w:after="20"/>
              <w:rPr>
                <w:rFonts w:eastAsiaTheme="minorEastAsia"/>
                <w:color w:val="000000"/>
                <w:sz w:val="20"/>
                <w:lang w:val="fr-FR"/>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668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668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r>
      <w:tr w:rsidR="00741A31" w:rsidRPr="001C695B" w:rsidTr="00741A3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I.5 </w:t>
            </w:r>
            <w:r w:rsidRPr="001C695B">
              <w:rPr>
                <w:color w:val="000000"/>
                <w:sz w:val="20"/>
                <w:lang w:val="fr-FR"/>
              </w:rPr>
              <w:t>Objectif intersectoriel</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570</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63</w:t>
            </w:r>
          </w:p>
        </w:tc>
        <w:tc>
          <w:tcPr>
            <w:tcW w:w="925" w:type="dxa"/>
            <w:tcBorders>
              <w:top w:val="single" w:sz="8" w:space="0" w:color="5B9BD5"/>
              <w:left w:val="single" w:sz="8" w:space="0" w:color="5B9BD5"/>
              <w:bottom w:val="single" w:sz="8" w:space="0" w:color="9CC2E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335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172</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rPr>
                <w:rFonts w:eastAsiaTheme="minorEastAsia"/>
                <w:b/>
                <w:bCs/>
                <w:color w:val="000000"/>
                <w:sz w:val="20"/>
                <w:lang w:val="fr-FR"/>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rPr>
              <w:t>0%</w:t>
            </w:r>
          </w:p>
        </w:tc>
        <w:tc>
          <w:tcPr>
            <w:tcW w:w="261" w:type="dxa"/>
            <w:gridSpan w:val="2"/>
            <w:vMerge/>
            <w:tcBorders>
              <w:top w:val="nil"/>
              <w:left w:val="nil"/>
              <w:bottom w:val="single" w:sz="8" w:space="0" w:color="9CC2E5"/>
              <w:right w:val="single" w:sz="8" w:space="0" w:color="9CC2E5"/>
            </w:tcBorders>
            <w:vAlign w:val="center"/>
            <w:hideMark/>
          </w:tcPr>
          <w:p w:rsidR="00741A31" w:rsidRPr="001C695B" w:rsidRDefault="00741A31" w:rsidP="00741A31">
            <w:pPr>
              <w:spacing w:before="20" w:after="20"/>
              <w:rPr>
                <w:rFonts w:eastAsiaTheme="minorEastAsia"/>
                <w:color w:val="000000"/>
                <w:sz w:val="20"/>
                <w:lang w:val="fr-FR"/>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570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r>
      <w:tr w:rsidR="00741A31" w:rsidRPr="001C695B" w:rsidTr="00741A31">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TOTAL</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jc w:val="center"/>
              <w:rPr>
                <w:b/>
                <w:bCs/>
                <w:color w:val="FFFFFF"/>
                <w:sz w:val="20"/>
                <w:lang w:val="fr-FR"/>
              </w:rPr>
            </w:pPr>
            <w:r w:rsidRPr="001C695B">
              <w:rPr>
                <w:b/>
                <w:bCs/>
                <w:color w:val="FFFFFF"/>
                <w:sz w:val="20"/>
                <w:lang w:val="fr-FR"/>
              </w:rPr>
              <w:t>9 781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741A31" w:rsidRPr="001C695B" w:rsidRDefault="00741A31" w:rsidP="00741A31">
            <w:pPr>
              <w:spacing w:after="60"/>
              <w:jc w:val="center"/>
              <w:rPr>
                <w:b/>
                <w:bCs/>
                <w:color w:val="FFFFFF"/>
                <w:sz w:val="20"/>
                <w:lang w:val="fr-FR"/>
              </w:rPr>
            </w:pPr>
          </w:p>
        </w:tc>
        <w:tc>
          <w:tcPr>
            <w:tcW w:w="925" w:type="dxa"/>
            <w:tcBorders>
              <w:top w:val="nil"/>
              <w:left w:val="nil"/>
              <w:bottom w:val="single" w:sz="8" w:space="0" w:color="5B9BD5"/>
              <w:right w:val="nil"/>
            </w:tcBorders>
            <w:shd w:val="clear" w:color="auto" w:fill="5B9BD5"/>
          </w:tcPr>
          <w:p w:rsidR="00741A31" w:rsidRPr="001C695B" w:rsidRDefault="00741A31" w:rsidP="00741A31">
            <w:pPr>
              <w:spacing w:after="60"/>
              <w:jc w:val="center"/>
              <w:rPr>
                <w:b/>
                <w:bCs/>
                <w:color w:val="FFFFFF"/>
                <w:sz w:val="20"/>
                <w:lang w:val="fr-FR"/>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jc w:val="center"/>
              <w:rPr>
                <w:b/>
                <w:bCs/>
                <w:color w:val="FFFFFF"/>
                <w:sz w:val="20"/>
                <w:lang w:val="fr-FR"/>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rPr>
                <w:b/>
                <w:bCs/>
                <w:color w:val="FFFFFF"/>
                <w:sz w:val="20"/>
                <w:lang w:val="fr-FR"/>
              </w:rPr>
            </w:pPr>
            <w:r w:rsidRPr="001C695B">
              <w:rPr>
                <w:b/>
                <w:bCs/>
                <w:color w:val="FFFFFF"/>
                <w:sz w:val="20"/>
                <w:lang w:val="fr-FR"/>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rPr>
                <w:b/>
                <w:bCs/>
                <w:color w:val="FFFFFF"/>
                <w:sz w:val="20"/>
                <w:lang w:val="fr-FR"/>
              </w:rPr>
            </w:pPr>
            <w:r w:rsidRPr="001C695B">
              <w:rPr>
                <w:b/>
                <w:bCs/>
                <w:color w:val="FFFFFF"/>
                <w:sz w:val="20"/>
                <w:lang w:val="fr-FR"/>
              </w:rPr>
              <w:t> </w:t>
            </w:r>
          </w:p>
        </w:tc>
        <w:tc>
          <w:tcPr>
            <w:tcW w:w="130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jc w:val="center"/>
              <w:rPr>
                <w:b/>
                <w:bCs/>
                <w:color w:val="FFFFFF"/>
                <w:sz w:val="20"/>
                <w:lang w:val="fr-FR"/>
              </w:rPr>
            </w:pPr>
            <w:r w:rsidRPr="001C695B">
              <w:rPr>
                <w:b/>
                <w:bCs/>
                <w:color w:val="FFFFFF"/>
                <w:sz w:val="20"/>
                <w:lang w:val="fr-FR"/>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jc w:val="center"/>
              <w:rPr>
                <w:b/>
                <w:bCs/>
                <w:color w:val="FFFFFF"/>
                <w:sz w:val="20"/>
                <w:lang w:val="fr-FR"/>
              </w:rPr>
            </w:pPr>
            <w:r w:rsidRPr="001C695B">
              <w:rPr>
                <w:b/>
                <w:bCs/>
                <w:color w:val="FFFFFF"/>
                <w:sz w:val="20"/>
                <w:lang w:val="fr-FR"/>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jc w:val="center"/>
              <w:rPr>
                <w:b/>
                <w:bCs/>
                <w:color w:val="FFFFFF"/>
                <w:sz w:val="20"/>
                <w:lang w:val="fr-FR"/>
              </w:rPr>
            </w:pPr>
            <w:r w:rsidRPr="001C695B">
              <w:rPr>
                <w:b/>
                <w:bCs/>
                <w:color w:val="FFFFFF"/>
                <w:sz w:val="20"/>
                <w:lang w:val="fr-FR"/>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jc w:val="center"/>
              <w:rPr>
                <w:b/>
                <w:bCs/>
                <w:color w:val="FFFFFF"/>
                <w:sz w:val="20"/>
                <w:lang w:val="fr-FR"/>
              </w:rPr>
            </w:pPr>
            <w:r w:rsidRPr="001C695B">
              <w:rPr>
                <w:b/>
                <w:bCs/>
                <w:color w:val="FFFFFF"/>
                <w:sz w:val="20"/>
                <w:lang w:val="fr-FR"/>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after="60"/>
              <w:rPr>
                <w:b/>
                <w:bCs/>
                <w:color w:val="FFFFFF"/>
                <w:sz w:val="20"/>
                <w:lang w:val="fr-FR"/>
              </w:rPr>
            </w:pPr>
            <w:r w:rsidRPr="001C695B">
              <w:rPr>
                <w:b/>
                <w:bCs/>
                <w:color w:val="FFFFFF"/>
                <w:sz w:val="20"/>
                <w:lang w:val="fr-FR"/>
              </w:rPr>
              <w:t> </w:t>
            </w:r>
          </w:p>
        </w:tc>
        <w:tc>
          <w:tcPr>
            <w:tcW w:w="96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jc w:val="right"/>
              <w:rPr>
                <w:b/>
                <w:bCs/>
                <w:color w:val="FFFFFF"/>
                <w:sz w:val="20"/>
                <w:lang w:val="fr-FR" w:eastAsia="zh-CN"/>
              </w:rPr>
            </w:pPr>
            <w:r w:rsidRPr="001C695B">
              <w:rPr>
                <w:b/>
                <w:bCs/>
                <w:color w:val="FFFFFF"/>
                <w:sz w:val="20"/>
                <w:lang w:val="fr-FR" w:eastAsia="zh-CN"/>
              </w:rPr>
              <w:t xml:space="preserve">1 047 </w:t>
            </w:r>
          </w:p>
        </w:tc>
        <w:tc>
          <w:tcPr>
            <w:tcW w:w="9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jc w:val="right"/>
              <w:rPr>
                <w:b/>
                <w:bCs/>
                <w:color w:val="FFFFFF"/>
                <w:sz w:val="20"/>
                <w:lang w:val="fr-FR" w:eastAsia="zh-CN"/>
              </w:rPr>
            </w:pPr>
            <w:r w:rsidRPr="001C695B">
              <w:rPr>
                <w:b/>
                <w:bCs/>
                <w:color w:val="FFFFFF"/>
                <w:sz w:val="20"/>
                <w:lang w:val="fr-FR" w:eastAsia="zh-CN"/>
              </w:rPr>
              <w:t xml:space="preserve">2 285 </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jc w:val="right"/>
              <w:rPr>
                <w:b/>
                <w:bCs/>
                <w:color w:val="FFFFFF"/>
                <w:sz w:val="20"/>
                <w:lang w:val="fr-FR" w:eastAsia="zh-CN"/>
              </w:rPr>
            </w:pPr>
            <w:r w:rsidRPr="001C695B">
              <w:rPr>
                <w:b/>
                <w:bCs/>
                <w:color w:val="FFFFFF"/>
                <w:sz w:val="20"/>
                <w:lang w:val="fr-FR" w:eastAsia="zh-CN"/>
              </w:rPr>
              <w:t xml:space="preserve">1 715 </w:t>
            </w:r>
          </w:p>
        </w:tc>
        <w:tc>
          <w:tcPr>
            <w:tcW w:w="948"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741A31" w:rsidRPr="001C695B" w:rsidRDefault="00741A31" w:rsidP="00741A31">
            <w:pPr>
              <w:jc w:val="right"/>
              <w:rPr>
                <w:b/>
                <w:bCs/>
                <w:color w:val="FFFFFF"/>
                <w:sz w:val="20"/>
                <w:lang w:val="fr-FR" w:eastAsia="zh-CN"/>
              </w:rPr>
            </w:pPr>
            <w:r w:rsidRPr="001C695B">
              <w:rPr>
                <w:b/>
                <w:bCs/>
                <w:color w:val="FFFFFF"/>
                <w:sz w:val="20"/>
                <w:lang w:val="fr-FR" w:eastAsia="zh-CN"/>
              </w:rPr>
              <w:t xml:space="preserve">4 733 </w:t>
            </w:r>
          </w:p>
        </w:tc>
      </w:tr>
      <w:tr w:rsidR="00741A31" w:rsidRPr="001C695B" w:rsidTr="00741A31">
        <w:trPr>
          <w:trHeight w:val="300"/>
        </w:trPr>
        <w:tc>
          <w:tcPr>
            <w:tcW w:w="745" w:type="dxa"/>
            <w:shd w:val="clear" w:color="auto" w:fill="FFFFFF"/>
          </w:tcPr>
          <w:p w:rsidR="00741A31" w:rsidRPr="001C695B" w:rsidRDefault="00741A31" w:rsidP="00741A31">
            <w:pPr>
              <w:spacing w:before="20" w:after="20"/>
              <w:rPr>
                <w:color w:val="000000"/>
                <w:sz w:val="20"/>
                <w:lang w:val="fr-FR"/>
              </w:rPr>
            </w:pPr>
          </w:p>
        </w:tc>
        <w:tc>
          <w:tcPr>
            <w:tcW w:w="10440" w:type="dxa"/>
            <w:gridSpan w:val="21"/>
            <w:shd w:val="clear" w:color="auto" w:fill="FFFFFF"/>
            <w:noWrap/>
            <w:tcMar>
              <w:top w:w="0" w:type="dxa"/>
              <w:left w:w="108" w:type="dxa"/>
              <w:bottom w:w="0" w:type="dxa"/>
              <w:right w:w="108" w:type="dxa"/>
            </w:tcMar>
            <w:vAlign w:val="bottom"/>
            <w:hideMark/>
          </w:tcPr>
          <w:p w:rsidR="00741A31" w:rsidRPr="001C695B" w:rsidRDefault="00741A31" w:rsidP="00741A31">
            <w:pPr>
              <w:spacing w:before="20" w:after="20"/>
              <w:rPr>
                <w:color w:val="000000"/>
                <w:lang w:val="fr-FR"/>
              </w:rPr>
            </w:pPr>
          </w:p>
        </w:tc>
        <w:tc>
          <w:tcPr>
            <w:tcW w:w="992" w:type="dxa"/>
            <w:gridSpan w:val="2"/>
            <w:shd w:val="clear" w:color="auto" w:fill="5B9BD5"/>
            <w:tcMar>
              <w:top w:w="0" w:type="dxa"/>
              <w:left w:w="108" w:type="dxa"/>
              <w:bottom w:w="0" w:type="dxa"/>
              <w:right w:w="108" w:type="dxa"/>
            </w:tcMar>
            <w:vAlign w:val="center"/>
            <w:hideMark/>
          </w:tcPr>
          <w:p w:rsidR="00741A31" w:rsidRPr="001C695B" w:rsidRDefault="00741A31" w:rsidP="00741A31">
            <w:pPr>
              <w:spacing w:after="60"/>
              <w:jc w:val="right"/>
              <w:rPr>
                <w:b/>
                <w:bCs/>
                <w:color w:val="FFFFFF"/>
                <w:sz w:val="20"/>
                <w:lang w:val="fr-FR"/>
              </w:rPr>
            </w:pPr>
            <w:r w:rsidRPr="001C695B">
              <w:rPr>
                <w:b/>
                <w:bCs/>
                <w:color w:val="FFFFFF"/>
                <w:sz w:val="20"/>
                <w:lang w:val="fr-FR"/>
              </w:rPr>
              <w:t>10,7%</w:t>
            </w:r>
          </w:p>
        </w:tc>
        <w:tc>
          <w:tcPr>
            <w:tcW w:w="893" w:type="dxa"/>
            <w:gridSpan w:val="2"/>
            <w:shd w:val="clear" w:color="auto" w:fill="5B9BD5"/>
            <w:tcMar>
              <w:top w:w="0" w:type="dxa"/>
              <w:left w:w="108" w:type="dxa"/>
              <w:bottom w:w="0" w:type="dxa"/>
              <w:right w:w="108" w:type="dxa"/>
            </w:tcMar>
            <w:vAlign w:val="center"/>
            <w:hideMark/>
          </w:tcPr>
          <w:p w:rsidR="00741A31" w:rsidRPr="001C695B" w:rsidRDefault="00741A31" w:rsidP="00741A31">
            <w:pPr>
              <w:spacing w:after="60"/>
              <w:jc w:val="right"/>
              <w:rPr>
                <w:b/>
                <w:bCs/>
                <w:color w:val="FFFFFF"/>
                <w:sz w:val="20"/>
                <w:lang w:val="fr-FR"/>
              </w:rPr>
            </w:pPr>
            <w:r w:rsidRPr="001C695B">
              <w:rPr>
                <w:b/>
                <w:bCs/>
                <w:color w:val="FFFFFF"/>
                <w:sz w:val="20"/>
                <w:lang w:val="fr-FR"/>
              </w:rPr>
              <w:t>23,4%</w:t>
            </w:r>
          </w:p>
        </w:tc>
        <w:tc>
          <w:tcPr>
            <w:tcW w:w="830" w:type="dxa"/>
            <w:gridSpan w:val="3"/>
            <w:shd w:val="clear" w:color="auto" w:fill="5B9BD5"/>
            <w:tcMar>
              <w:top w:w="0" w:type="dxa"/>
              <w:left w:w="108" w:type="dxa"/>
              <w:bottom w:w="0" w:type="dxa"/>
              <w:right w:w="108" w:type="dxa"/>
            </w:tcMar>
            <w:vAlign w:val="center"/>
            <w:hideMark/>
          </w:tcPr>
          <w:p w:rsidR="00741A31" w:rsidRPr="001C695B" w:rsidRDefault="00741A31" w:rsidP="00741A31">
            <w:pPr>
              <w:spacing w:after="60"/>
              <w:jc w:val="right"/>
              <w:rPr>
                <w:b/>
                <w:bCs/>
                <w:color w:val="FFFFFF"/>
                <w:sz w:val="20"/>
                <w:lang w:val="fr-FR"/>
              </w:rPr>
            </w:pPr>
            <w:r w:rsidRPr="001C695B">
              <w:rPr>
                <w:b/>
                <w:bCs/>
                <w:color w:val="FFFFFF"/>
                <w:sz w:val="20"/>
                <w:lang w:val="fr-FR"/>
              </w:rPr>
              <w:t>17,5%</w:t>
            </w:r>
          </w:p>
        </w:tc>
        <w:tc>
          <w:tcPr>
            <w:tcW w:w="972" w:type="dxa"/>
            <w:gridSpan w:val="3"/>
            <w:shd w:val="clear" w:color="auto" w:fill="5B9BD5"/>
            <w:tcMar>
              <w:top w:w="0" w:type="dxa"/>
              <w:left w:w="108" w:type="dxa"/>
              <w:bottom w:w="0" w:type="dxa"/>
              <w:right w:w="108" w:type="dxa"/>
            </w:tcMar>
            <w:vAlign w:val="center"/>
            <w:hideMark/>
          </w:tcPr>
          <w:p w:rsidR="00741A31" w:rsidRPr="001C695B" w:rsidRDefault="00741A31" w:rsidP="00741A31">
            <w:pPr>
              <w:spacing w:after="60"/>
              <w:jc w:val="right"/>
              <w:rPr>
                <w:b/>
                <w:bCs/>
                <w:color w:val="FFFFFF"/>
                <w:sz w:val="20"/>
                <w:lang w:val="fr-FR"/>
              </w:rPr>
            </w:pPr>
            <w:r w:rsidRPr="001C695B">
              <w:rPr>
                <w:b/>
                <w:bCs/>
                <w:color w:val="FFFFFF"/>
                <w:sz w:val="20"/>
                <w:lang w:val="fr-FR"/>
              </w:rPr>
              <w:t>48,4%</w:t>
            </w:r>
          </w:p>
        </w:tc>
      </w:tr>
    </w:tbl>
    <w:p w:rsidR="00741A31" w:rsidRPr="001C695B" w:rsidRDefault="00741A31" w:rsidP="00741A31">
      <w:pPr>
        <w:spacing w:before="20" w:after="20"/>
        <w:rPr>
          <w:highlight w:val="yellow"/>
          <w:lang w:val="fr-FR"/>
        </w:rPr>
      </w:pPr>
    </w:p>
    <w:tbl>
      <w:tblPr>
        <w:tblW w:w="14712" w:type="dxa"/>
        <w:tblInd w:w="4" w:type="dxa"/>
        <w:tblLayout w:type="fixed"/>
        <w:tblCellMar>
          <w:left w:w="0" w:type="dxa"/>
          <w:right w:w="0" w:type="dxa"/>
        </w:tblCellMar>
        <w:tblLook w:val="04A0" w:firstRow="1" w:lastRow="0" w:firstColumn="1" w:lastColumn="0" w:noHBand="0" w:noVBand="1"/>
      </w:tblPr>
      <w:tblGrid>
        <w:gridCol w:w="2171"/>
        <w:gridCol w:w="835"/>
        <w:gridCol w:w="762"/>
        <w:gridCol w:w="903"/>
        <w:gridCol w:w="1113"/>
        <w:gridCol w:w="236"/>
        <w:gridCol w:w="189"/>
        <w:gridCol w:w="47"/>
        <w:gridCol w:w="790"/>
        <w:gridCol w:w="46"/>
        <w:gridCol w:w="461"/>
        <w:gridCol w:w="744"/>
        <w:gridCol w:w="47"/>
        <w:gridCol w:w="329"/>
        <w:gridCol w:w="877"/>
        <w:gridCol w:w="47"/>
        <w:gridCol w:w="173"/>
        <w:gridCol w:w="1033"/>
        <w:gridCol w:w="47"/>
        <w:gridCol w:w="214"/>
        <w:gridCol w:w="47"/>
        <w:gridCol w:w="952"/>
        <w:gridCol w:w="836"/>
        <w:gridCol w:w="19"/>
        <w:gridCol w:w="817"/>
        <w:gridCol w:w="931"/>
        <w:gridCol w:w="46"/>
      </w:tblGrid>
      <w:tr w:rsidR="00741A31" w:rsidRPr="001C695B" w:rsidTr="00741A31">
        <w:trPr>
          <w:trHeight w:val="553"/>
        </w:trPr>
        <w:tc>
          <w:tcPr>
            <w:tcW w:w="2171"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20"/>
                <w:lang w:val="fr-FR"/>
              </w:rPr>
            </w:pPr>
            <w:r w:rsidRPr="001C695B">
              <w:rPr>
                <w:b/>
                <w:bCs/>
                <w:color w:val="FFFFFF"/>
                <w:sz w:val="20"/>
                <w:lang w:val="fr-FR"/>
              </w:rPr>
              <w:t>Objectifs intersectoriels de l'UIT pour 2019</w:t>
            </w:r>
          </w:p>
        </w:tc>
        <w:tc>
          <w:tcPr>
            <w:tcW w:w="835"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TOTAL</w:t>
            </w:r>
          </w:p>
        </w:tc>
        <w:tc>
          <w:tcPr>
            <w:tcW w:w="76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color w:val="FFFFFF"/>
                <w:sz w:val="20"/>
                <w:lang w:val="fr-FR"/>
              </w:rPr>
            </w:pPr>
            <w:r w:rsidRPr="001C695B">
              <w:rPr>
                <w:color w:val="FFFFFF"/>
                <w:sz w:val="20"/>
                <w:lang w:val="fr-FR"/>
              </w:rPr>
              <w:t>SG/</w:t>
            </w:r>
            <w:r w:rsidRPr="001C695B">
              <w:rPr>
                <w:color w:val="FFFFFF"/>
                <w:sz w:val="20"/>
                <w:lang w:val="fr-FR"/>
              </w:rPr>
              <w:br/>
              <w:t>coût direct</w:t>
            </w:r>
          </w:p>
        </w:tc>
        <w:tc>
          <w:tcPr>
            <w:tcW w:w="903" w:type="dxa"/>
            <w:tcBorders>
              <w:top w:val="single" w:sz="8" w:space="0" w:color="5B9BD5"/>
              <w:left w:val="nil"/>
              <w:bottom w:val="single" w:sz="8" w:space="0" w:color="5B9BD5"/>
              <w:right w:val="nil"/>
            </w:tcBorders>
            <w:shd w:val="clear" w:color="auto" w:fill="5B9BD5"/>
            <w:vAlign w:val="center"/>
          </w:tcPr>
          <w:p w:rsidR="00741A31" w:rsidRPr="001C695B" w:rsidRDefault="00741A31" w:rsidP="00741A31">
            <w:pPr>
              <w:spacing w:before="20" w:after="20"/>
              <w:jc w:val="center"/>
              <w:rPr>
                <w:color w:val="FFFFFF"/>
                <w:sz w:val="20"/>
                <w:lang w:val="fr-FR"/>
              </w:rPr>
            </w:pPr>
            <w:r w:rsidRPr="001C695B">
              <w:rPr>
                <w:color w:val="FFFFFF"/>
                <w:sz w:val="20"/>
                <w:lang w:val="fr-FR"/>
              </w:rPr>
              <w:t>Coût réimputé à partir du SG</w:t>
            </w:r>
          </w:p>
        </w:tc>
        <w:tc>
          <w:tcPr>
            <w:tcW w:w="1113"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color w:val="FFFFFF"/>
                <w:sz w:val="20"/>
                <w:lang w:val="fr-FR"/>
              </w:rPr>
            </w:pPr>
            <w:r w:rsidRPr="001C695B">
              <w:rPr>
                <w:color w:val="FFFFFF"/>
                <w:sz w:val="20"/>
                <w:lang w:val="fr-FR"/>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 </w:t>
            </w:r>
          </w:p>
        </w:tc>
        <w:tc>
          <w:tcPr>
            <w:tcW w:w="8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1: croissance</w:t>
            </w:r>
          </w:p>
        </w:tc>
        <w:tc>
          <w:tcPr>
            <w:tcW w:w="125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2: inclusion</w:t>
            </w:r>
          </w:p>
        </w:tc>
        <w:tc>
          <w:tcPr>
            <w:tcW w:w="1253"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3: durabilité</w:t>
            </w:r>
          </w:p>
        </w:tc>
        <w:tc>
          <w:tcPr>
            <w:tcW w:w="1253"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4: innovation et partenariats</w:t>
            </w:r>
          </w:p>
        </w:tc>
        <w:tc>
          <w:tcPr>
            <w:tcW w:w="261"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18"/>
                <w:szCs w:val="18"/>
                <w:lang w:val="fr-FR"/>
              </w:rPr>
            </w:pPr>
            <w:r w:rsidRPr="001C695B">
              <w:rPr>
                <w:b/>
                <w:bCs/>
                <w:color w:val="FFFFFF"/>
                <w:sz w:val="18"/>
                <w:szCs w:val="18"/>
                <w:lang w:val="fr-FR"/>
              </w:rPr>
              <w:t> </w:t>
            </w:r>
          </w:p>
        </w:tc>
        <w:tc>
          <w:tcPr>
            <w:tcW w:w="95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1</w:t>
            </w:r>
          </w:p>
        </w:tc>
        <w:tc>
          <w:tcPr>
            <w:tcW w:w="8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2</w:t>
            </w:r>
          </w:p>
        </w:tc>
        <w:tc>
          <w:tcPr>
            <w:tcW w:w="8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3</w:t>
            </w:r>
          </w:p>
        </w:tc>
        <w:tc>
          <w:tcPr>
            <w:tcW w:w="977"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18"/>
                <w:szCs w:val="18"/>
                <w:lang w:val="fr-FR"/>
              </w:rPr>
            </w:pPr>
            <w:r w:rsidRPr="001C695B">
              <w:rPr>
                <w:b/>
                <w:bCs/>
                <w:color w:val="FFFFFF"/>
                <w:sz w:val="18"/>
                <w:szCs w:val="18"/>
                <w:lang w:val="fr-FR"/>
              </w:rPr>
              <w:t>But 4</w:t>
            </w:r>
          </w:p>
        </w:tc>
      </w:tr>
      <w:tr w:rsidR="00741A31" w:rsidRPr="001C695B" w:rsidTr="00741A31">
        <w:trPr>
          <w:gridAfter w:val="1"/>
          <w:wAfter w:w="46" w:type="dxa"/>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I.1 </w:t>
            </w:r>
            <w:r w:rsidRPr="001C695B">
              <w:rPr>
                <w:color w:val="000000"/>
                <w:sz w:val="20"/>
                <w:lang w:val="fr-FR"/>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3 411</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581</w:t>
            </w:r>
          </w:p>
        </w:tc>
        <w:tc>
          <w:tcPr>
            <w:tcW w:w="903" w:type="dxa"/>
            <w:tcBorders>
              <w:top w:val="single" w:sz="8" w:space="0" w:color="5B9BD5"/>
              <w:left w:val="single" w:sz="8" w:space="0" w:color="5B9BD5"/>
              <w:bottom w:val="single" w:sz="8" w:space="0" w:color="5B9BD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2 797</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32</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741A31" w:rsidRPr="001C695B" w:rsidRDefault="00741A31" w:rsidP="00741A31">
            <w:pPr>
              <w:spacing w:before="20" w:after="20"/>
              <w:ind w:left="113" w:right="113"/>
              <w:jc w:val="center"/>
              <w:rPr>
                <w:b/>
                <w:bCs/>
                <w:color w:val="000000"/>
                <w:sz w:val="20"/>
                <w:lang w:val="fr-FR"/>
              </w:rPr>
            </w:pPr>
            <w:r w:rsidRPr="001C695B">
              <w:rPr>
                <w:b/>
                <w:bCs/>
                <w:color w:val="000000"/>
                <w:sz w:val="20"/>
                <w:lang w:val="fr-FR"/>
              </w:rPr>
              <w:t>Réimputation</w:t>
            </w: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eastAsia="zh-CN"/>
              </w:rPr>
            </w:pPr>
            <w:r w:rsidRPr="001C695B">
              <w:rPr>
                <w:color w:val="000000"/>
                <w:sz w:val="20"/>
                <w:lang w:val="fr-FR" w:eastAsia="zh-CN"/>
              </w:rPr>
              <w:t>15%</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eastAsia="zh-CN"/>
              </w:rPr>
            </w:pPr>
            <w:r w:rsidRPr="001C695B">
              <w:rPr>
                <w:color w:val="000000"/>
                <w:sz w:val="20"/>
                <w:lang w:val="fr-FR"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eastAsia="zh-CN"/>
              </w:rPr>
            </w:pPr>
            <w:r w:rsidRPr="001C695B">
              <w:rPr>
                <w:color w:val="000000"/>
                <w:sz w:val="20"/>
                <w:lang w:val="fr-FR"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eastAsia="zh-CN"/>
              </w:rPr>
            </w:pPr>
            <w:r w:rsidRPr="001C695B">
              <w:rPr>
                <w:color w:val="000000"/>
                <w:sz w:val="20"/>
                <w:lang w:val="fr-FR" w:eastAsia="zh-CN"/>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right"/>
              <w:rPr>
                <w:color w:val="000000"/>
                <w:sz w:val="20"/>
                <w:lang w:val="fr-FR" w:eastAsia="zh-CN"/>
              </w:rPr>
            </w:pPr>
            <w:r w:rsidRPr="001C695B">
              <w:rPr>
                <w:color w:val="000000"/>
                <w:sz w:val="20"/>
                <w:lang w:val="fr-FR" w:eastAsia="zh-CN"/>
              </w:rPr>
              <w:t> </w:t>
            </w: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512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512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512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1 876 </w:t>
            </w:r>
          </w:p>
        </w:tc>
      </w:tr>
      <w:tr w:rsidR="00741A31" w:rsidRPr="001C695B" w:rsidTr="00741A31">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I.2 </w:t>
            </w:r>
            <w:r w:rsidRPr="001C695B">
              <w:rPr>
                <w:color w:val="000000"/>
                <w:sz w:val="20"/>
                <w:lang w:val="fr-FR"/>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2 322</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485</w:t>
            </w:r>
          </w:p>
        </w:tc>
        <w:tc>
          <w:tcPr>
            <w:tcW w:w="903" w:type="dxa"/>
            <w:tcBorders>
              <w:top w:val="single" w:sz="8" w:space="0" w:color="5B9BD5"/>
              <w:left w:val="single" w:sz="8" w:space="0" w:color="5B9BD5"/>
              <w:bottom w:val="single" w:sz="8" w:space="0" w:color="5B9BD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1 835</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rPr>
                <w:rFonts w:eastAsiaTheme="minorEastAsia"/>
                <w:b/>
                <w:bCs/>
                <w:color w:val="000000"/>
                <w:sz w:val="20"/>
                <w:lang w:val="fr-FR"/>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15%</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55%</w:t>
            </w:r>
          </w:p>
        </w:tc>
        <w:tc>
          <w:tcPr>
            <w:tcW w:w="261" w:type="dxa"/>
            <w:gridSpan w:val="2"/>
            <w:vMerge/>
            <w:tcBorders>
              <w:top w:val="nil"/>
              <w:left w:val="nil"/>
              <w:bottom w:val="single" w:sz="8" w:space="0" w:color="9CC2E5"/>
              <w:right w:val="single" w:sz="8" w:space="0" w:color="9CC2E5"/>
            </w:tcBorders>
            <w:vAlign w:val="center"/>
            <w:hideMark/>
          </w:tcPr>
          <w:p w:rsidR="00741A31" w:rsidRPr="001C695B" w:rsidRDefault="00741A31" w:rsidP="00741A31">
            <w:pPr>
              <w:spacing w:before="20" w:after="20"/>
              <w:rPr>
                <w:rFonts w:eastAsiaTheme="minorEastAsia"/>
                <w:color w:val="000000"/>
                <w:sz w:val="20"/>
                <w:lang w:val="fr-FR"/>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348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348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348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1 277 </w:t>
            </w:r>
          </w:p>
        </w:tc>
      </w:tr>
      <w:tr w:rsidR="00741A31" w:rsidRPr="001C695B" w:rsidTr="00741A31">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I.3 </w:t>
            </w:r>
            <w:r w:rsidRPr="001C695B">
              <w:rPr>
                <w:color w:val="000000"/>
                <w:sz w:val="20"/>
                <w:lang w:val="fr-FR"/>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2 737</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718</w:t>
            </w:r>
          </w:p>
        </w:tc>
        <w:tc>
          <w:tcPr>
            <w:tcW w:w="903" w:type="dxa"/>
            <w:tcBorders>
              <w:top w:val="single" w:sz="8" w:space="0" w:color="5B9BD5"/>
              <w:left w:val="single" w:sz="8" w:space="0" w:color="5B9BD5"/>
              <w:bottom w:val="single" w:sz="8" w:space="0" w:color="5B9BD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2 017</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rPr>
                <w:rFonts w:eastAsiaTheme="minorEastAsia"/>
                <w:b/>
                <w:bCs/>
                <w:color w:val="000000"/>
                <w:sz w:val="20"/>
                <w:lang w:val="fr-FR"/>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10%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10%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10%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70%</w:t>
            </w:r>
          </w:p>
        </w:tc>
        <w:tc>
          <w:tcPr>
            <w:tcW w:w="261" w:type="dxa"/>
            <w:gridSpan w:val="2"/>
            <w:vMerge/>
            <w:tcBorders>
              <w:top w:val="nil"/>
              <w:left w:val="nil"/>
              <w:bottom w:val="single" w:sz="8" w:space="0" w:color="9CC2E5"/>
              <w:right w:val="single" w:sz="8" w:space="0" w:color="9CC2E5"/>
            </w:tcBorders>
            <w:vAlign w:val="center"/>
            <w:hideMark/>
          </w:tcPr>
          <w:p w:rsidR="00741A31" w:rsidRPr="001C695B" w:rsidRDefault="00741A31" w:rsidP="00741A31">
            <w:pPr>
              <w:spacing w:before="20" w:after="20"/>
              <w:rPr>
                <w:rFonts w:eastAsiaTheme="minorEastAsia"/>
                <w:color w:val="000000"/>
                <w:sz w:val="20"/>
                <w:lang w:val="fr-FR"/>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274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274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274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1 916 </w:t>
            </w:r>
          </w:p>
        </w:tc>
      </w:tr>
      <w:tr w:rsidR="00741A31" w:rsidRPr="001C695B" w:rsidTr="00741A31">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I.4 </w:t>
            </w:r>
            <w:r w:rsidRPr="001C695B">
              <w:rPr>
                <w:color w:val="000000"/>
                <w:sz w:val="20"/>
                <w:lang w:val="fr-FR"/>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1 427</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38</w:t>
            </w:r>
          </w:p>
        </w:tc>
        <w:tc>
          <w:tcPr>
            <w:tcW w:w="903" w:type="dxa"/>
            <w:tcBorders>
              <w:top w:val="single" w:sz="8" w:space="0" w:color="5B9BD5"/>
              <w:left w:val="single" w:sz="8" w:space="0" w:color="5B9BD5"/>
              <w:bottom w:val="single" w:sz="8" w:space="0" w:color="5B9BD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1 388</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rPr>
                <w:rFonts w:eastAsiaTheme="minorEastAsia"/>
                <w:b/>
                <w:bCs/>
                <w:color w:val="000000"/>
                <w:sz w:val="20"/>
                <w:lang w:val="fr-FR"/>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50%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50%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0%</w:t>
            </w:r>
          </w:p>
        </w:tc>
        <w:tc>
          <w:tcPr>
            <w:tcW w:w="261" w:type="dxa"/>
            <w:gridSpan w:val="2"/>
            <w:vMerge/>
            <w:tcBorders>
              <w:top w:val="nil"/>
              <w:left w:val="nil"/>
              <w:bottom w:val="single" w:sz="8" w:space="0" w:color="9CC2E5"/>
              <w:right w:val="single" w:sz="8" w:space="0" w:color="9CC2E5"/>
            </w:tcBorders>
            <w:vAlign w:val="center"/>
            <w:hideMark/>
          </w:tcPr>
          <w:p w:rsidR="00741A31" w:rsidRPr="001C695B" w:rsidRDefault="00741A31" w:rsidP="00741A31">
            <w:pPr>
              <w:spacing w:before="20" w:after="20"/>
              <w:rPr>
                <w:rFonts w:eastAsiaTheme="minorEastAsia"/>
                <w:color w:val="000000"/>
                <w:sz w:val="20"/>
                <w:lang w:val="fr-FR"/>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714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714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r>
      <w:tr w:rsidR="00741A31" w:rsidRPr="001C695B" w:rsidTr="00741A31">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741A31" w:rsidRPr="001C695B" w:rsidRDefault="00741A31" w:rsidP="00741A31">
            <w:pPr>
              <w:spacing w:before="20" w:after="20"/>
              <w:rPr>
                <w:b/>
                <w:bCs/>
                <w:color w:val="5B9BD5"/>
                <w:sz w:val="20"/>
                <w:lang w:val="fr-FR"/>
              </w:rPr>
            </w:pPr>
            <w:r w:rsidRPr="001C695B">
              <w:rPr>
                <w:b/>
                <w:bCs/>
                <w:color w:val="5B9BD5"/>
                <w:sz w:val="20"/>
                <w:lang w:val="fr-FR"/>
              </w:rPr>
              <w:t xml:space="preserve">I.5 </w:t>
            </w:r>
            <w:r w:rsidRPr="001C695B">
              <w:rPr>
                <w:color w:val="000000"/>
                <w:sz w:val="20"/>
                <w:lang w:val="fr-FR"/>
              </w:rPr>
              <w:t>Objectif intersectoriel</w:t>
            </w:r>
          </w:p>
        </w:tc>
        <w:tc>
          <w:tcPr>
            <w:tcW w:w="835"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588</w:t>
            </w:r>
          </w:p>
        </w:tc>
        <w:tc>
          <w:tcPr>
            <w:tcW w:w="762"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50</w:t>
            </w:r>
          </w:p>
        </w:tc>
        <w:tc>
          <w:tcPr>
            <w:tcW w:w="903" w:type="dxa"/>
            <w:tcBorders>
              <w:top w:val="single" w:sz="8" w:space="0" w:color="5B9BD5"/>
              <w:left w:val="single" w:sz="8" w:space="0" w:color="5B9BD5"/>
              <w:bottom w:val="single" w:sz="8" w:space="0" w:color="9CC2E5"/>
              <w:right w:val="single" w:sz="8" w:space="0" w:color="5B9BD5"/>
            </w:tcBorders>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363</w:t>
            </w:r>
          </w:p>
        </w:tc>
        <w:tc>
          <w:tcPr>
            <w:tcW w:w="1113"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174</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rPr>
                <w:rFonts w:eastAsiaTheme="minorEastAsia"/>
                <w:b/>
                <w:bCs/>
                <w:color w:val="000000"/>
                <w:sz w:val="20"/>
                <w:lang w:val="fr-FR"/>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100%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41A31" w:rsidRPr="001C695B" w:rsidRDefault="00741A31" w:rsidP="00741A31">
            <w:pPr>
              <w:spacing w:before="20" w:after="20"/>
              <w:jc w:val="center"/>
              <w:rPr>
                <w:color w:val="000000"/>
                <w:sz w:val="20"/>
                <w:lang w:val="fr-FR"/>
              </w:rPr>
            </w:pPr>
            <w:r w:rsidRPr="001C695B">
              <w:rPr>
                <w:color w:val="000000"/>
                <w:sz w:val="20"/>
                <w:lang w:val="fr-FR" w:eastAsia="zh-CN"/>
              </w:rPr>
              <w:t>0%</w:t>
            </w:r>
          </w:p>
        </w:tc>
        <w:tc>
          <w:tcPr>
            <w:tcW w:w="261" w:type="dxa"/>
            <w:gridSpan w:val="2"/>
            <w:vMerge/>
            <w:tcBorders>
              <w:top w:val="nil"/>
              <w:left w:val="nil"/>
              <w:bottom w:val="single" w:sz="8" w:space="0" w:color="9CC2E5"/>
              <w:right w:val="single" w:sz="8" w:space="0" w:color="9CC2E5"/>
            </w:tcBorders>
            <w:vAlign w:val="center"/>
            <w:hideMark/>
          </w:tcPr>
          <w:p w:rsidR="00741A31" w:rsidRPr="001C695B" w:rsidRDefault="00741A31" w:rsidP="00741A31">
            <w:pPr>
              <w:spacing w:before="20" w:after="20"/>
              <w:rPr>
                <w:rFonts w:eastAsiaTheme="minorEastAsia"/>
                <w:color w:val="000000"/>
                <w:sz w:val="20"/>
                <w:lang w:val="fr-FR"/>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588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741A31" w:rsidRPr="001C695B" w:rsidRDefault="00741A31" w:rsidP="00741A31">
            <w:pPr>
              <w:pStyle w:val="Tabletext"/>
              <w:jc w:val="right"/>
              <w:rPr>
                <w:sz w:val="20"/>
                <w:szCs w:val="18"/>
                <w:lang w:val="fr-FR" w:eastAsia="zh-CN"/>
              </w:rPr>
            </w:pPr>
            <w:r w:rsidRPr="001C695B">
              <w:rPr>
                <w:sz w:val="20"/>
                <w:szCs w:val="18"/>
                <w:lang w:val="fr-FR" w:eastAsia="zh-CN"/>
              </w:rPr>
              <w:t xml:space="preserve">0 </w:t>
            </w:r>
          </w:p>
        </w:tc>
      </w:tr>
      <w:tr w:rsidR="00741A31" w:rsidRPr="001C695B" w:rsidTr="00741A31">
        <w:trPr>
          <w:trHeight w:val="300"/>
        </w:trPr>
        <w:tc>
          <w:tcPr>
            <w:tcW w:w="2171" w:type="dxa"/>
            <w:tcBorders>
              <w:top w:val="nil"/>
              <w:left w:val="single" w:sz="8" w:space="0" w:color="5B9BD5"/>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 xml:space="preserve"> TOTAL </w:t>
            </w:r>
          </w:p>
        </w:tc>
        <w:tc>
          <w:tcPr>
            <w:tcW w:w="835" w:type="dxa"/>
            <w:tcBorders>
              <w:top w:val="nil"/>
              <w:left w:val="single" w:sz="8" w:space="0" w:color="5B9BD5"/>
              <w:right w:val="nil"/>
            </w:tcBorders>
            <w:shd w:val="clear" w:color="auto" w:fill="5B9BD5"/>
            <w:tcMar>
              <w:top w:w="0" w:type="dxa"/>
              <w:left w:w="108" w:type="dxa"/>
              <w:bottom w:w="0" w:type="dxa"/>
              <w:right w:w="108" w:type="dxa"/>
            </w:tcMar>
            <w:vAlign w:val="center"/>
          </w:tcPr>
          <w:p w:rsidR="00741A31" w:rsidRPr="001C695B" w:rsidRDefault="00741A31" w:rsidP="00741A31">
            <w:pPr>
              <w:spacing w:before="20" w:after="20"/>
              <w:jc w:val="right"/>
              <w:rPr>
                <w:b/>
                <w:bCs/>
                <w:color w:val="FFFFFF"/>
                <w:sz w:val="20"/>
                <w:lang w:val="fr-FR"/>
              </w:rPr>
            </w:pPr>
            <w:r w:rsidRPr="001C695B">
              <w:rPr>
                <w:b/>
                <w:bCs/>
                <w:color w:val="FFFFFF"/>
                <w:sz w:val="20"/>
                <w:lang w:val="fr-FR"/>
              </w:rPr>
              <w:t>10 485</w:t>
            </w:r>
          </w:p>
        </w:tc>
        <w:tc>
          <w:tcPr>
            <w:tcW w:w="762" w:type="dxa"/>
            <w:tcBorders>
              <w:top w:val="nil"/>
              <w:left w:val="nil"/>
              <w:right w:val="nil"/>
            </w:tcBorders>
            <w:shd w:val="clear" w:color="auto" w:fill="5B9BD5"/>
            <w:tcMar>
              <w:top w:w="0" w:type="dxa"/>
              <w:left w:w="108" w:type="dxa"/>
              <w:bottom w:w="0" w:type="dxa"/>
              <w:right w:w="108" w:type="dxa"/>
            </w:tcMar>
            <w:vAlign w:val="center"/>
          </w:tcPr>
          <w:p w:rsidR="00741A31" w:rsidRPr="001C695B" w:rsidRDefault="00741A31" w:rsidP="00741A31">
            <w:pPr>
              <w:spacing w:before="20" w:after="20"/>
              <w:jc w:val="right"/>
              <w:rPr>
                <w:b/>
                <w:bCs/>
                <w:color w:val="FFFFFF"/>
                <w:sz w:val="20"/>
                <w:lang w:val="fr-FR"/>
              </w:rPr>
            </w:pPr>
          </w:p>
        </w:tc>
        <w:tc>
          <w:tcPr>
            <w:tcW w:w="903" w:type="dxa"/>
            <w:tcBorders>
              <w:top w:val="nil"/>
              <w:left w:val="nil"/>
              <w:right w:val="nil"/>
            </w:tcBorders>
            <w:shd w:val="clear" w:color="auto" w:fill="5B9BD5"/>
          </w:tcPr>
          <w:p w:rsidR="00741A31" w:rsidRPr="001C695B" w:rsidRDefault="00741A31" w:rsidP="00741A31">
            <w:pPr>
              <w:spacing w:before="20" w:after="20"/>
              <w:jc w:val="right"/>
              <w:rPr>
                <w:b/>
                <w:bCs/>
                <w:color w:val="FFFFFF"/>
                <w:sz w:val="20"/>
                <w:lang w:val="fr-FR"/>
              </w:rPr>
            </w:pPr>
          </w:p>
        </w:tc>
        <w:tc>
          <w:tcPr>
            <w:tcW w:w="1113" w:type="dxa"/>
            <w:tcBorders>
              <w:top w:val="nil"/>
              <w:left w:val="nil"/>
              <w:right w:val="nil"/>
            </w:tcBorders>
            <w:shd w:val="clear" w:color="auto" w:fill="5B9BD5"/>
            <w:tcMar>
              <w:top w:w="0" w:type="dxa"/>
              <w:left w:w="108" w:type="dxa"/>
              <w:bottom w:w="0" w:type="dxa"/>
              <w:right w:w="108" w:type="dxa"/>
            </w:tcMar>
            <w:vAlign w:val="center"/>
          </w:tcPr>
          <w:p w:rsidR="00741A31" w:rsidRPr="001C695B" w:rsidRDefault="00741A31" w:rsidP="00741A31">
            <w:pPr>
              <w:spacing w:before="20" w:after="20"/>
              <w:jc w:val="right"/>
              <w:rPr>
                <w:b/>
                <w:bCs/>
                <w:color w:val="FFFFFF"/>
                <w:sz w:val="20"/>
                <w:lang w:val="fr-FR"/>
              </w:rPr>
            </w:pPr>
          </w:p>
        </w:tc>
        <w:tc>
          <w:tcPr>
            <w:tcW w:w="236" w:type="dxa"/>
            <w:tcBorders>
              <w:top w:val="nil"/>
              <w:left w:val="nil"/>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 </w:t>
            </w:r>
          </w:p>
        </w:tc>
        <w:tc>
          <w:tcPr>
            <w:tcW w:w="236" w:type="dxa"/>
            <w:gridSpan w:val="2"/>
            <w:tcBorders>
              <w:top w:val="nil"/>
              <w:left w:val="nil"/>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 </w:t>
            </w:r>
          </w:p>
        </w:tc>
        <w:tc>
          <w:tcPr>
            <w:tcW w:w="1297" w:type="dxa"/>
            <w:gridSpan w:val="3"/>
            <w:tcBorders>
              <w:top w:val="nil"/>
              <w:left w:val="nil"/>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20"/>
                <w:lang w:val="fr-FR"/>
              </w:rPr>
            </w:pPr>
            <w:r w:rsidRPr="001C695B">
              <w:rPr>
                <w:b/>
                <w:bCs/>
                <w:color w:val="FFFFFF"/>
                <w:sz w:val="20"/>
                <w:lang w:val="fr-FR"/>
              </w:rPr>
              <w:t> </w:t>
            </w:r>
          </w:p>
        </w:tc>
        <w:tc>
          <w:tcPr>
            <w:tcW w:w="1120" w:type="dxa"/>
            <w:gridSpan w:val="3"/>
            <w:tcBorders>
              <w:top w:val="nil"/>
              <w:left w:val="nil"/>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20"/>
                <w:lang w:val="fr-FR"/>
              </w:rPr>
            </w:pPr>
            <w:r w:rsidRPr="001C695B">
              <w:rPr>
                <w:b/>
                <w:bCs/>
                <w:color w:val="FFFFFF"/>
                <w:sz w:val="20"/>
                <w:lang w:val="fr-FR"/>
              </w:rPr>
              <w:t> </w:t>
            </w:r>
          </w:p>
        </w:tc>
        <w:tc>
          <w:tcPr>
            <w:tcW w:w="1097" w:type="dxa"/>
            <w:gridSpan w:val="3"/>
            <w:tcBorders>
              <w:top w:val="nil"/>
              <w:left w:val="nil"/>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20"/>
                <w:lang w:val="fr-FR"/>
              </w:rPr>
            </w:pPr>
            <w:r w:rsidRPr="001C695B">
              <w:rPr>
                <w:b/>
                <w:bCs/>
                <w:color w:val="FFFFFF"/>
                <w:sz w:val="20"/>
                <w:lang w:val="fr-FR"/>
              </w:rPr>
              <w:t> </w:t>
            </w:r>
          </w:p>
        </w:tc>
        <w:tc>
          <w:tcPr>
            <w:tcW w:w="1080" w:type="dxa"/>
            <w:gridSpan w:val="2"/>
            <w:tcBorders>
              <w:top w:val="nil"/>
              <w:left w:val="nil"/>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jc w:val="center"/>
              <w:rPr>
                <w:b/>
                <w:bCs/>
                <w:color w:val="FFFFFF"/>
                <w:sz w:val="20"/>
                <w:lang w:val="fr-FR"/>
              </w:rPr>
            </w:pPr>
            <w:r w:rsidRPr="001C695B">
              <w:rPr>
                <w:b/>
                <w:bCs/>
                <w:color w:val="FFFFFF"/>
                <w:sz w:val="20"/>
                <w:lang w:val="fr-FR"/>
              </w:rPr>
              <w:t> </w:t>
            </w:r>
          </w:p>
        </w:tc>
        <w:tc>
          <w:tcPr>
            <w:tcW w:w="261" w:type="dxa"/>
            <w:gridSpan w:val="2"/>
            <w:tcBorders>
              <w:top w:val="nil"/>
              <w:left w:val="nil"/>
              <w:right w:val="nil"/>
            </w:tcBorders>
            <w:shd w:val="clear" w:color="auto" w:fill="5B9BD5"/>
            <w:tcMar>
              <w:top w:w="0" w:type="dxa"/>
              <w:left w:w="108" w:type="dxa"/>
              <w:bottom w:w="0" w:type="dxa"/>
              <w:right w:w="108" w:type="dxa"/>
            </w:tcMar>
            <w:vAlign w:val="center"/>
            <w:hideMark/>
          </w:tcPr>
          <w:p w:rsidR="00741A31" w:rsidRPr="001C695B" w:rsidRDefault="00741A31" w:rsidP="00741A31">
            <w:pPr>
              <w:spacing w:before="20" w:after="20"/>
              <w:rPr>
                <w:b/>
                <w:bCs/>
                <w:color w:val="FFFFFF"/>
                <w:sz w:val="20"/>
                <w:lang w:val="fr-FR"/>
              </w:rPr>
            </w:pPr>
            <w:r w:rsidRPr="001C695B">
              <w:rPr>
                <w:b/>
                <w:bCs/>
                <w:color w:val="FFFFFF"/>
                <w:sz w:val="20"/>
                <w:lang w:val="fr-FR"/>
              </w:rPr>
              <w:t> </w:t>
            </w:r>
          </w:p>
        </w:tc>
        <w:tc>
          <w:tcPr>
            <w:tcW w:w="952" w:type="dxa"/>
            <w:tcBorders>
              <w:top w:val="nil"/>
              <w:left w:val="nil"/>
              <w:bottom w:val="nil"/>
              <w:right w:val="nil"/>
            </w:tcBorders>
            <w:shd w:val="clear" w:color="auto" w:fill="5B9BD5"/>
            <w:tcMar>
              <w:top w:w="0" w:type="dxa"/>
              <w:left w:w="108" w:type="dxa"/>
              <w:bottom w:w="0" w:type="dxa"/>
              <w:right w:w="108" w:type="dxa"/>
            </w:tcMar>
            <w:vAlign w:val="center"/>
          </w:tcPr>
          <w:p w:rsidR="00741A31" w:rsidRPr="001C695B" w:rsidRDefault="00741A31" w:rsidP="00741A31">
            <w:pPr>
              <w:jc w:val="right"/>
              <w:rPr>
                <w:b/>
                <w:bCs/>
                <w:color w:val="FFFFFF"/>
                <w:sz w:val="20"/>
                <w:lang w:val="fr-FR" w:eastAsia="zh-CN"/>
              </w:rPr>
            </w:pPr>
            <w:r w:rsidRPr="001C695B">
              <w:rPr>
                <w:b/>
                <w:bCs/>
                <w:color w:val="FFFFFF"/>
                <w:sz w:val="20"/>
                <w:lang w:val="fr-FR" w:eastAsia="zh-CN"/>
              </w:rPr>
              <w:t xml:space="preserve">1 134 </w:t>
            </w:r>
          </w:p>
        </w:tc>
        <w:tc>
          <w:tcPr>
            <w:tcW w:w="836" w:type="dxa"/>
            <w:tcBorders>
              <w:top w:val="nil"/>
              <w:left w:val="nil"/>
              <w:bottom w:val="nil"/>
              <w:right w:val="nil"/>
            </w:tcBorders>
            <w:shd w:val="clear" w:color="auto" w:fill="5B9BD5"/>
            <w:tcMar>
              <w:top w:w="0" w:type="dxa"/>
              <w:left w:w="108" w:type="dxa"/>
              <w:bottom w:w="0" w:type="dxa"/>
              <w:right w:w="108" w:type="dxa"/>
            </w:tcMar>
            <w:vAlign w:val="center"/>
          </w:tcPr>
          <w:p w:rsidR="00741A31" w:rsidRPr="001C695B" w:rsidRDefault="00741A31" w:rsidP="00741A31">
            <w:pPr>
              <w:jc w:val="right"/>
              <w:rPr>
                <w:b/>
                <w:bCs/>
                <w:color w:val="FFFFFF"/>
                <w:sz w:val="20"/>
                <w:lang w:val="fr-FR" w:eastAsia="zh-CN"/>
              </w:rPr>
            </w:pPr>
            <w:r w:rsidRPr="001C695B">
              <w:rPr>
                <w:b/>
                <w:bCs/>
                <w:color w:val="FFFFFF"/>
                <w:sz w:val="20"/>
                <w:lang w:val="fr-FR" w:eastAsia="zh-CN"/>
              </w:rPr>
              <w:t xml:space="preserve">2 435 </w:t>
            </w:r>
          </w:p>
        </w:tc>
        <w:tc>
          <w:tcPr>
            <w:tcW w:w="836" w:type="dxa"/>
            <w:gridSpan w:val="2"/>
            <w:tcBorders>
              <w:top w:val="nil"/>
              <w:left w:val="nil"/>
              <w:bottom w:val="nil"/>
              <w:right w:val="nil"/>
            </w:tcBorders>
            <w:shd w:val="clear" w:color="auto" w:fill="5B9BD5"/>
            <w:tcMar>
              <w:top w:w="0" w:type="dxa"/>
              <w:left w:w="108" w:type="dxa"/>
              <w:bottom w:w="0" w:type="dxa"/>
              <w:right w:w="108" w:type="dxa"/>
            </w:tcMar>
            <w:vAlign w:val="center"/>
          </w:tcPr>
          <w:p w:rsidR="00741A31" w:rsidRPr="001C695B" w:rsidRDefault="00741A31" w:rsidP="00741A31">
            <w:pPr>
              <w:jc w:val="right"/>
              <w:rPr>
                <w:b/>
                <w:bCs/>
                <w:color w:val="FFFFFF"/>
                <w:sz w:val="20"/>
                <w:lang w:val="fr-FR" w:eastAsia="zh-CN"/>
              </w:rPr>
            </w:pPr>
            <w:r w:rsidRPr="001C695B">
              <w:rPr>
                <w:b/>
                <w:bCs/>
                <w:color w:val="FFFFFF"/>
                <w:sz w:val="20"/>
                <w:lang w:val="fr-FR" w:eastAsia="zh-CN"/>
              </w:rPr>
              <w:t xml:space="preserve">1 847 </w:t>
            </w:r>
          </w:p>
        </w:tc>
        <w:tc>
          <w:tcPr>
            <w:tcW w:w="977" w:type="dxa"/>
            <w:gridSpan w:val="2"/>
            <w:tcBorders>
              <w:top w:val="nil"/>
              <w:left w:val="nil"/>
              <w:bottom w:val="nil"/>
              <w:right w:val="single" w:sz="8" w:space="0" w:color="5B9BD5"/>
            </w:tcBorders>
            <w:shd w:val="clear" w:color="auto" w:fill="5B9BD5"/>
            <w:tcMar>
              <w:top w:w="0" w:type="dxa"/>
              <w:left w:w="108" w:type="dxa"/>
              <w:bottom w:w="0" w:type="dxa"/>
              <w:right w:w="108" w:type="dxa"/>
            </w:tcMar>
            <w:vAlign w:val="center"/>
          </w:tcPr>
          <w:p w:rsidR="00741A31" w:rsidRPr="001C695B" w:rsidRDefault="00741A31" w:rsidP="00741A31">
            <w:pPr>
              <w:jc w:val="right"/>
              <w:rPr>
                <w:b/>
                <w:bCs/>
                <w:color w:val="FFFFFF"/>
                <w:sz w:val="20"/>
                <w:lang w:val="fr-FR" w:eastAsia="zh-CN"/>
              </w:rPr>
            </w:pPr>
            <w:r w:rsidRPr="001C695B">
              <w:rPr>
                <w:b/>
                <w:bCs/>
                <w:color w:val="FFFFFF"/>
                <w:sz w:val="20"/>
                <w:lang w:val="fr-FR" w:eastAsia="zh-CN"/>
              </w:rPr>
              <w:t xml:space="preserve">5 069 </w:t>
            </w:r>
          </w:p>
        </w:tc>
      </w:tr>
      <w:tr w:rsidR="00741A31" w:rsidRPr="001C695B" w:rsidTr="00741A31">
        <w:trPr>
          <w:trHeight w:val="300"/>
        </w:trPr>
        <w:tc>
          <w:tcPr>
            <w:tcW w:w="11111" w:type="dxa"/>
            <w:gridSpan w:val="21"/>
            <w:tcBorders>
              <w:top w:val="nil"/>
              <w:right w:val="nil"/>
            </w:tcBorders>
            <w:shd w:val="clear" w:color="auto" w:fill="FFFFFF" w:themeFill="background1"/>
            <w:tcMar>
              <w:top w:w="0" w:type="dxa"/>
              <w:left w:w="108" w:type="dxa"/>
              <w:bottom w:w="0" w:type="dxa"/>
              <w:right w:w="108" w:type="dxa"/>
            </w:tcMar>
            <w:vAlign w:val="center"/>
          </w:tcPr>
          <w:p w:rsidR="00741A31" w:rsidRPr="001C695B" w:rsidRDefault="00741A31" w:rsidP="00741A31">
            <w:pPr>
              <w:spacing w:before="20" w:after="20"/>
              <w:rPr>
                <w:b/>
                <w:bCs/>
                <w:color w:val="FFFFFF"/>
                <w:sz w:val="20"/>
                <w:lang w:val="fr-FR"/>
              </w:rPr>
            </w:pPr>
          </w:p>
        </w:tc>
        <w:tc>
          <w:tcPr>
            <w:tcW w:w="952"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741A31" w:rsidRPr="001C695B" w:rsidRDefault="00741A31" w:rsidP="00741A31">
            <w:pPr>
              <w:jc w:val="right"/>
              <w:rPr>
                <w:b/>
                <w:bCs/>
                <w:color w:val="FFFFFF"/>
                <w:sz w:val="20"/>
                <w:lang w:val="fr-FR" w:eastAsia="zh-CN"/>
              </w:rPr>
            </w:pPr>
            <w:r w:rsidRPr="001C695B">
              <w:rPr>
                <w:b/>
                <w:bCs/>
                <w:color w:val="FFFFFF"/>
                <w:sz w:val="20"/>
                <w:lang w:val="fr-FR" w:eastAsia="zh-CN"/>
              </w:rPr>
              <w:t>10,8%</w:t>
            </w:r>
          </w:p>
        </w:tc>
        <w:tc>
          <w:tcPr>
            <w:tcW w:w="83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741A31" w:rsidRPr="001C695B" w:rsidRDefault="00741A31" w:rsidP="00741A31">
            <w:pPr>
              <w:jc w:val="right"/>
              <w:rPr>
                <w:b/>
                <w:bCs/>
                <w:color w:val="FFFFFF"/>
                <w:sz w:val="20"/>
                <w:lang w:val="fr-FR" w:eastAsia="zh-CN"/>
              </w:rPr>
            </w:pPr>
            <w:r w:rsidRPr="001C695B">
              <w:rPr>
                <w:b/>
                <w:bCs/>
                <w:color w:val="FFFFFF"/>
                <w:sz w:val="20"/>
                <w:lang w:val="fr-FR" w:eastAsia="zh-CN"/>
              </w:rPr>
              <w:t>23,2%</w:t>
            </w:r>
          </w:p>
        </w:tc>
        <w:tc>
          <w:tcPr>
            <w:tcW w:w="8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741A31" w:rsidRPr="001C695B" w:rsidRDefault="00741A31" w:rsidP="00741A31">
            <w:pPr>
              <w:jc w:val="right"/>
              <w:rPr>
                <w:b/>
                <w:bCs/>
                <w:color w:val="FFFFFF"/>
                <w:sz w:val="20"/>
                <w:lang w:val="fr-FR" w:eastAsia="zh-CN"/>
              </w:rPr>
            </w:pPr>
            <w:r w:rsidRPr="001C695B">
              <w:rPr>
                <w:b/>
                <w:bCs/>
                <w:color w:val="FFFFFF"/>
                <w:sz w:val="20"/>
                <w:lang w:val="fr-FR" w:eastAsia="zh-CN"/>
              </w:rPr>
              <w:t>17,6%</w:t>
            </w:r>
          </w:p>
        </w:tc>
        <w:tc>
          <w:tcPr>
            <w:tcW w:w="977"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741A31" w:rsidRPr="001C695B" w:rsidRDefault="00741A31" w:rsidP="00741A31">
            <w:pPr>
              <w:jc w:val="right"/>
              <w:rPr>
                <w:b/>
                <w:bCs/>
                <w:color w:val="FFFFFF"/>
                <w:sz w:val="20"/>
                <w:lang w:val="fr-FR" w:eastAsia="zh-CN"/>
              </w:rPr>
            </w:pPr>
            <w:r w:rsidRPr="001C695B">
              <w:rPr>
                <w:b/>
                <w:bCs/>
                <w:color w:val="FFFFFF"/>
                <w:sz w:val="20"/>
                <w:lang w:val="fr-FR" w:eastAsia="zh-CN"/>
              </w:rPr>
              <w:t>48,3%</w:t>
            </w:r>
          </w:p>
        </w:tc>
      </w:tr>
    </w:tbl>
    <w:p w:rsidR="00741A31" w:rsidRPr="001C695B" w:rsidRDefault="00741A31" w:rsidP="00741A31">
      <w:pPr>
        <w:spacing w:before="20" w:after="20"/>
        <w:rPr>
          <w:highlight w:val="yellow"/>
          <w:lang w:val="fr-FR"/>
        </w:rPr>
      </w:pPr>
    </w:p>
    <w:p w:rsidR="00741A31" w:rsidRPr="001C695B" w:rsidRDefault="00741A31" w:rsidP="00741A31">
      <w:pPr>
        <w:pStyle w:val="AnnexNo"/>
        <w:rPr>
          <w:lang w:val="fr-FR"/>
        </w:rPr>
      </w:pPr>
      <w:r w:rsidRPr="001C695B">
        <w:rPr>
          <w:lang w:val="fr-FR"/>
        </w:rPr>
        <w:lastRenderedPageBreak/>
        <w:t>Annexe 2</w:t>
      </w:r>
    </w:p>
    <w:p w:rsidR="00741A31" w:rsidRPr="001C695B" w:rsidRDefault="00741A31" w:rsidP="00741A31">
      <w:pPr>
        <w:pStyle w:val="Annextitle"/>
        <w:spacing w:before="120" w:after="120"/>
        <w:rPr>
          <w:lang w:val="fr-FR"/>
        </w:rPr>
      </w:pPr>
      <w:r w:rsidRPr="001C695B">
        <w:rPr>
          <w:lang w:val="fr-FR"/>
        </w:rPr>
        <w:t xml:space="preserve">Ventilation des ressources pour les services d'appui fournis par le Secrétariat général </w:t>
      </w:r>
      <w:r w:rsidRPr="001C695B">
        <w:rPr>
          <w:lang w:val="fr-FR"/>
        </w:rPr>
        <w:br/>
        <w:t xml:space="preserve">entre les objectifs et les buts stratégiques de l'UIT </w:t>
      </w:r>
    </w:p>
    <w:p w:rsidR="00741A31" w:rsidRPr="001C695B" w:rsidRDefault="00741A31" w:rsidP="00741A31">
      <w:pPr>
        <w:overflowPunct/>
        <w:autoSpaceDE/>
        <w:autoSpaceDN/>
        <w:adjustRightInd/>
        <w:spacing w:before="0" w:after="120"/>
        <w:jc w:val="both"/>
        <w:textAlignment w:val="auto"/>
        <w:rPr>
          <w:rFonts w:eastAsia="Calibri" w:cs="Arial"/>
          <w:sz w:val="20"/>
          <w:lang w:val="fr-FR"/>
        </w:rPr>
      </w:pPr>
      <w:r w:rsidRPr="001C695B">
        <w:rPr>
          <w:rFonts w:eastAsia="Calibri" w:cs="Arial"/>
          <w:sz w:val="20"/>
          <w:lang w:val="fr-FR"/>
        </w:rPr>
        <w:t>Pour 2018:</w:t>
      </w:r>
    </w:p>
    <w:tbl>
      <w:tblPr>
        <w:tblW w:w="14692"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82"/>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741A31" w:rsidRPr="001C695B" w:rsidTr="00741A31">
        <w:tc>
          <w:tcPr>
            <w:tcW w:w="1582" w:type="dxa"/>
            <w:tcBorders>
              <w:right w:val="single" w:sz="12" w:space="0" w:color="95B3D7" w:themeColor="accent1" w:themeTint="99"/>
            </w:tcBorders>
            <w:shd w:val="clear" w:color="auto" w:fill="4F81BD" w:themeFill="accent1"/>
            <w:vAlign w:val="center"/>
          </w:tcPr>
          <w:p w:rsidR="00741A31" w:rsidRPr="001C695B" w:rsidRDefault="00741A31" w:rsidP="00741A31">
            <w:pPr>
              <w:spacing w:before="40" w:after="40"/>
              <w:rPr>
                <w:b/>
                <w:bCs/>
                <w:color w:val="FFFFFF" w:themeColor="background1"/>
                <w:sz w:val="16"/>
                <w:szCs w:val="16"/>
                <w:lang w:val="fr-FR"/>
              </w:rPr>
            </w:pPr>
            <w:r w:rsidRPr="001C695B">
              <w:rPr>
                <w:b/>
                <w:bCs/>
                <w:color w:val="FFFFFF" w:themeColor="background1"/>
                <w:sz w:val="16"/>
                <w:szCs w:val="16"/>
                <w:lang w:val="fr-FR"/>
              </w:rPr>
              <w:t xml:space="preserve">Dépenses d'appui </w:t>
            </w:r>
            <w:r w:rsidRPr="001C695B">
              <w:rPr>
                <w:b/>
                <w:bCs/>
                <w:color w:val="FFFFFF" w:themeColor="background1"/>
                <w:sz w:val="16"/>
                <w:szCs w:val="16"/>
                <w:lang w:val="fr-FR"/>
              </w:rPr>
              <w:br/>
              <w:t>du SG</w:t>
            </w:r>
          </w:p>
        </w:tc>
        <w:tc>
          <w:tcPr>
            <w:tcW w:w="567" w:type="dxa"/>
            <w:tcBorders>
              <w:lef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R.1</w:t>
            </w:r>
          </w:p>
        </w:tc>
        <w:tc>
          <w:tcPr>
            <w:tcW w:w="567"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R.2</w:t>
            </w:r>
          </w:p>
        </w:tc>
        <w:tc>
          <w:tcPr>
            <w:tcW w:w="567" w:type="dxa"/>
            <w:tcBorders>
              <w:righ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R.3</w:t>
            </w:r>
          </w:p>
        </w:tc>
        <w:tc>
          <w:tcPr>
            <w:tcW w:w="567" w:type="dxa"/>
            <w:tcBorders>
              <w:lef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T.1</w:t>
            </w:r>
          </w:p>
        </w:tc>
        <w:tc>
          <w:tcPr>
            <w:tcW w:w="567"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T.2</w:t>
            </w:r>
          </w:p>
        </w:tc>
        <w:tc>
          <w:tcPr>
            <w:tcW w:w="567"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T.3</w:t>
            </w:r>
          </w:p>
        </w:tc>
        <w:tc>
          <w:tcPr>
            <w:tcW w:w="567"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T.4</w:t>
            </w:r>
          </w:p>
        </w:tc>
        <w:tc>
          <w:tcPr>
            <w:tcW w:w="462" w:type="dxa"/>
            <w:tcBorders>
              <w:righ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T.5</w:t>
            </w:r>
          </w:p>
        </w:tc>
        <w:tc>
          <w:tcPr>
            <w:tcW w:w="553" w:type="dxa"/>
            <w:tcBorders>
              <w:lef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D.1</w:t>
            </w:r>
          </w:p>
        </w:tc>
        <w:tc>
          <w:tcPr>
            <w:tcW w:w="554"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D.2</w:t>
            </w:r>
          </w:p>
        </w:tc>
        <w:tc>
          <w:tcPr>
            <w:tcW w:w="554"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D.3</w:t>
            </w:r>
          </w:p>
        </w:tc>
        <w:tc>
          <w:tcPr>
            <w:tcW w:w="554"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D.4</w:t>
            </w:r>
          </w:p>
        </w:tc>
        <w:tc>
          <w:tcPr>
            <w:tcW w:w="553" w:type="dxa"/>
            <w:tcBorders>
              <w:righ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D.5</w:t>
            </w:r>
          </w:p>
        </w:tc>
        <w:tc>
          <w:tcPr>
            <w:tcW w:w="554" w:type="dxa"/>
            <w:tcBorders>
              <w:lef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I.1</w:t>
            </w:r>
          </w:p>
        </w:tc>
        <w:tc>
          <w:tcPr>
            <w:tcW w:w="554"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I.2</w:t>
            </w:r>
          </w:p>
        </w:tc>
        <w:tc>
          <w:tcPr>
            <w:tcW w:w="554"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I.3</w:t>
            </w:r>
          </w:p>
        </w:tc>
        <w:tc>
          <w:tcPr>
            <w:tcW w:w="554"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I.4</w:t>
            </w:r>
          </w:p>
        </w:tc>
        <w:tc>
          <w:tcPr>
            <w:tcW w:w="477" w:type="dxa"/>
            <w:tcBorders>
              <w:righ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Total</w:t>
            </w:r>
          </w:p>
        </w:tc>
        <w:tc>
          <w:tcPr>
            <w:tcW w:w="140" w:type="dxa"/>
            <w:tcBorders>
              <w:left w:val="single" w:sz="12" w:space="0" w:color="95B3D7" w:themeColor="accent1" w:themeTint="99"/>
            </w:tcBorders>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p>
        </w:tc>
        <w:tc>
          <w:tcPr>
            <w:tcW w:w="616"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But 1</w:t>
            </w:r>
          </w:p>
        </w:tc>
        <w:tc>
          <w:tcPr>
            <w:tcW w:w="616"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But 2</w:t>
            </w:r>
          </w:p>
        </w:tc>
        <w:tc>
          <w:tcPr>
            <w:tcW w:w="602"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But 3</w:t>
            </w:r>
          </w:p>
        </w:tc>
        <w:tc>
          <w:tcPr>
            <w:tcW w:w="602" w:type="dxa"/>
            <w:shd w:val="clear" w:color="auto" w:fill="4F81BD" w:themeFill="accent1"/>
            <w:vAlign w:val="center"/>
          </w:tcPr>
          <w:p w:rsidR="00741A31" w:rsidRPr="001C695B" w:rsidRDefault="00741A31" w:rsidP="00741A31">
            <w:pPr>
              <w:spacing w:before="40" w:after="40"/>
              <w:jc w:val="center"/>
              <w:rPr>
                <w:b/>
                <w:bCs/>
                <w:color w:val="FFFFFF" w:themeColor="background1"/>
                <w:sz w:val="16"/>
                <w:szCs w:val="16"/>
                <w:lang w:val="fr-FR"/>
              </w:rPr>
            </w:pPr>
            <w:r w:rsidRPr="001C695B">
              <w:rPr>
                <w:b/>
                <w:bCs/>
                <w:color w:val="FFFFFF" w:themeColor="background1"/>
                <w:sz w:val="16"/>
                <w:szCs w:val="16"/>
                <w:lang w:val="fr-FR"/>
              </w:rPr>
              <w:t>But 4</w:t>
            </w:r>
          </w:p>
        </w:tc>
      </w:tr>
      <w:tr w:rsidR="00741A31" w:rsidRPr="001C695B" w:rsidTr="00741A31">
        <w:tc>
          <w:tcPr>
            <w:tcW w:w="1582" w:type="dxa"/>
            <w:tcBorders>
              <w:right w:val="single" w:sz="12" w:space="0" w:color="95B3D7" w:themeColor="accent1" w:themeTint="99"/>
            </w:tcBorders>
          </w:tcPr>
          <w:p w:rsidR="00741A31" w:rsidRPr="001C695B" w:rsidRDefault="00741A31" w:rsidP="00741A31">
            <w:pPr>
              <w:spacing w:before="40" w:after="40"/>
              <w:rPr>
                <w:sz w:val="16"/>
                <w:szCs w:val="16"/>
                <w:lang w:val="fr-FR"/>
              </w:rPr>
            </w:pPr>
            <w:r w:rsidRPr="001C695B">
              <w:rPr>
                <w:sz w:val="16"/>
                <w:szCs w:val="16"/>
                <w:lang w:val="fr-FR"/>
              </w:rPr>
              <w:t>Coûts de la documentation</w:t>
            </w:r>
          </w:p>
        </w:tc>
        <w:tc>
          <w:tcPr>
            <w:tcW w:w="567"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1 781</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1 073</w:t>
            </w:r>
          </w:p>
        </w:tc>
        <w:tc>
          <w:tcPr>
            <w:tcW w:w="567"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3 434</w:t>
            </w:r>
          </w:p>
        </w:tc>
        <w:tc>
          <w:tcPr>
            <w:tcW w:w="567"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365</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883</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64</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899</w:t>
            </w:r>
          </w:p>
        </w:tc>
        <w:tc>
          <w:tcPr>
            <w:tcW w:w="462"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21</w:t>
            </w:r>
          </w:p>
        </w:tc>
        <w:tc>
          <w:tcPr>
            <w:tcW w:w="553"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1 878</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981</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397</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848</w:t>
            </w:r>
          </w:p>
        </w:tc>
        <w:tc>
          <w:tcPr>
            <w:tcW w:w="553"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123</w:t>
            </w:r>
          </w:p>
        </w:tc>
        <w:tc>
          <w:tcPr>
            <w:tcW w:w="554"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164</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445</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455</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36</w:t>
            </w:r>
          </w:p>
        </w:tc>
        <w:tc>
          <w:tcPr>
            <w:tcW w:w="477"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13</w:t>
            </w:r>
          </w:p>
        </w:tc>
        <w:tc>
          <w:tcPr>
            <w:tcW w:w="642" w:type="dxa"/>
            <w:tcBorders>
              <w:left w:val="single" w:sz="12" w:space="0" w:color="95B3D7" w:themeColor="accent1" w:themeTint="99"/>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13 861</w:t>
            </w:r>
          </w:p>
        </w:tc>
        <w:tc>
          <w:tcPr>
            <w:tcW w:w="140"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p>
        </w:tc>
        <w:tc>
          <w:tcPr>
            <w:tcW w:w="616" w:type="dxa"/>
            <w:vAlign w:val="bottom"/>
          </w:tcPr>
          <w:p w:rsidR="00741A31" w:rsidRPr="001C695B" w:rsidRDefault="00741A31" w:rsidP="00741A31">
            <w:pPr>
              <w:spacing w:before="40" w:after="40"/>
              <w:jc w:val="right"/>
              <w:rPr>
                <w:sz w:val="16"/>
                <w:szCs w:val="16"/>
                <w:lang w:val="fr-FR"/>
              </w:rPr>
            </w:pPr>
            <w:r w:rsidRPr="001C695B">
              <w:rPr>
                <w:sz w:val="16"/>
                <w:szCs w:val="16"/>
                <w:lang w:val="fr-FR"/>
              </w:rPr>
              <w:t>3 122</w:t>
            </w:r>
          </w:p>
        </w:tc>
        <w:tc>
          <w:tcPr>
            <w:tcW w:w="616" w:type="dxa"/>
            <w:vAlign w:val="bottom"/>
          </w:tcPr>
          <w:p w:rsidR="00741A31" w:rsidRPr="001C695B" w:rsidRDefault="00741A31" w:rsidP="00741A31">
            <w:pPr>
              <w:spacing w:before="40" w:after="40"/>
              <w:jc w:val="right"/>
              <w:rPr>
                <w:sz w:val="16"/>
                <w:szCs w:val="16"/>
                <w:lang w:val="fr-FR"/>
              </w:rPr>
            </w:pPr>
            <w:r w:rsidRPr="001C695B">
              <w:rPr>
                <w:sz w:val="16"/>
                <w:szCs w:val="16"/>
                <w:lang w:val="fr-FR"/>
              </w:rPr>
              <w:t>8 650</w:t>
            </w:r>
          </w:p>
        </w:tc>
        <w:tc>
          <w:tcPr>
            <w:tcW w:w="602" w:type="dxa"/>
            <w:vAlign w:val="bottom"/>
          </w:tcPr>
          <w:p w:rsidR="00741A31" w:rsidRPr="001C695B" w:rsidRDefault="00741A31" w:rsidP="00741A31">
            <w:pPr>
              <w:spacing w:before="40" w:after="40"/>
              <w:jc w:val="right"/>
              <w:rPr>
                <w:sz w:val="16"/>
                <w:szCs w:val="16"/>
                <w:lang w:val="fr-FR"/>
              </w:rPr>
            </w:pPr>
            <w:r w:rsidRPr="001C695B">
              <w:rPr>
                <w:sz w:val="16"/>
                <w:szCs w:val="16"/>
                <w:lang w:val="fr-FR"/>
              </w:rPr>
              <w:t>972</w:t>
            </w:r>
          </w:p>
        </w:tc>
        <w:tc>
          <w:tcPr>
            <w:tcW w:w="602"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1 117</w:t>
            </w:r>
          </w:p>
        </w:tc>
      </w:tr>
      <w:tr w:rsidR="00741A31" w:rsidRPr="001C695B" w:rsidTr="00741A31">
        <w:tc>
          <w:tcPr>
            <w:tcW w:w="1582" w:type="dxa"/>
            <w:tcBorders>
              <w:right w:val="single" w:sz="12" w:space="0" w:color="95B3D7" w:themeColor="accent1" w:themeTint="99"/>
            </w:tcBorders>
          </w:tcPr>
          <w:p w:rsidR="00741A31" w:rsidRPr="001C695B" w:rsidRDefault="00741A31" w:rsidP="00741A31">
            <w:pPr>
              <w:spacing w:before="40" w:after="40"/>
              <w:rPr>
                <w:sz w:val="16"/>
                <w:szCs w:val="16"/>
                <w:lang w:val="fr-FR"/>
              </w:rPr>
            </w:pPr>
            <w:r w:rsidRPr="001C695B">
              <w:rPr>
                <w:sz w:val="16"/>
                <w:szCs w:val="16"/>
                <w:lang w:val="fr-FR"/>
              </w:rPr>
              <w:t>Services administratifs</w:t>
            </w:r>
          </w:p>
        </w:tc>
        <w:tc>
          <w:tcPr>
            <w:tcW w:w="567"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11 590</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2 037</w:t>
            </w:r>
          </w:p>
        </w:tc>
        <w:tc>
          <w:tcPr>
            <w:tcW w:w="567"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4 018</w:t>
            </w:r>
          </w:p>
        </w:tc>
        <w:tc>
          <w:tcPr>
            <w:tcW w:w="567"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4 093</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1 875</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1 034</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 xml:space="preserve">1 368 </w:t>
            </w:r>
          </w:p>
        </w:tc>
        <w:tc>
          <w:tcPr>
            <w:tcW w:w="462"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286</w:t>
            </w:r>
          </w:p>
        </w:tc>
        <w:tc>
          <w:tcPr>
            <w:tcW w:w="553"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2 795</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5 300</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2 830</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5 698</w:t>
            </w:r>
          </w:p>
        </w:tc>
        <w:tc>
          <w:tcPr>
            <w:tcW w:w="553"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1 637</w:t>
            </w:r>
          </w:p>
        </w:tc>
        <w:tc>
          <w:tcPr>
            <w:tcW w:w="554"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812</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659</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647</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440</w:t>
            </w:r>
          </w:p>
        </w:tc>
        <w:tc>
          <w:tcPr>
            <w:tcW w:w="477"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171</w:t>
            </w:r>
          </w:p>
        </w:tc>
        <w:tc>
          <w:tcPr>
            <w:tcW w:w="642" w:type="dxa"/>
            <w:tcBorders>
              <w:left w:val="single" w:sz="12" w:space="0" w:color="95B3D7" w:themeColor="accent1" w:themeTint="99"/>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47 290</w:t>
            </w:r>
          </w:p>
        </w:tc>
        <w:tc>
          <w:tcPr>
            <w:tcW w:w="140"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p>
        </w:tc>
        <w:tc>
          <w:tcPr>
            <w:tcW w:w="616"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16 686</w:t>
            </w:r>
          </w:p>
        </w:tc>
        <w:tc>
          <w:tcPr>
            <w:tcW w:w="616"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21 429</w:t>
            </w:r>
          </w:p>
        </w:tc>
        <w:tc>
          <w:tcPr>
            <w:tcW w:w="602" w:type="dxa"/>
            <w:vAlign w:val="bottom"/>
          </w:tcPr>
          <w:p w:rsidR="00741A31" w:rsidRPr="001C695B" w:rsidRDefault="00741A31" w:rsidP="00741A31">
            <w:pPr>
              <w:spacing w:before="40" w:after="40"/>
              <w:jc w:val="right"/>
              <w:rPr>
                <w:sz w:val="16"/>
                <w:szCs w:val="16"/>
                <w:lang w:val="fr-FR"/>
              </w:rPr>
            </w:pPr>
            <w:r w:rsidRPr="001C695B">
              <w:rPr>
                <w:sz w:val="16"/>
                <w:szCs w:val="16"/>
                <w:lang w:val="fr-FR"/>
              </w:rPr>
              <w:t>5 377</w:t>
            </w:r>
          </w:p>
        </w:tc>
        <w:tc>
          <w:tcPr>
            <w:tcW w:w="602" w:type="dxa"/>
            <w:vAlign w:val="bottom"/>
          </w:tcPr>
          <w:p w:rsidR="00741A31" w:rsidRPr="001C695B" w:rsidRDefault="00741A31" w:rsidP="00741A31">
            <w:pPr>
              <w:spacing w:before="40" w:after="40"/>
              <w:jc w:val="right"/>
              <w:rPr>
                <w:sz w:val="16"/>
                <w:szCs w:val="16"/>
                <w:lang w:val="fr-FR"/>
              </w:rPr>
            </w:pPr>
            <w:r w:rsidRPr="001C695B">
              <w:rPr>
                <w:sz w:val="16"/>
                <w:szCs w:val="16"/>
                <w:lang w:val="fr-FR"/>
              </w:rPr>
              <w:t>3 798</w:t>
            </w:r>
          </w:p>
        </w:tc>
      </w:tr>
      <w:tr w:rsidR="00741A31" w:rsidRPr="001C695B" w:rsidTr="00741A31">
        <w:tc>
          <w:tcPr>
            <w:tcW w:w="1582" w:type="dxa"/>
            <w:tcBorders>
              <w:right w:val="single" w:sz="12" w:space="0" w:color="95B3D7" w:themeColor="accent1" w:themeTint="99"/>
            </w:tcBorders>
          </w:tcPr>
          <w:p w:rsidR="00741A31" w:rsidRPr="001C695B" w:rsidRDefault="00741A31" w:rsidP="00741A31">
            <w:pPr>
              <w:spacing w:before="40" w:after="40"/>
              <w:rPr>
                <w:sz w:val="16"/>
                <w:szCs w:val="16"/>
                <w:lang w:val="fr-FR"/>
              </w:rPr>
            </w:pPr>
            <w:r w:rsidRPr="001C695B">
              <w:rPr>
                <w:sz w:val="16"/>
                <w:szCs w:val="16"/>
                <w:lang w:val="fr-FR"/>
              </w:rPr>
              <w:t>Services d'appui</w:t>
            </w:r>
          </w:p>
        </w:tc>
        <w:tc>
          <w:tcPr>
            <w:tcW w:w="567"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4 462</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784</w:t>
            </w:r>
          </w:p>
        </w:tc>
        <w:tc>
          <w:tcPr>
            <w:tcW w:w="567"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1 547</w:t>
            </w:r>
          </w:p>
        </w:tc>
        <w:tc>
          <w:tcPr>
            <w:tcW w:w="567"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1 576</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722</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398</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527</w:t>
            </w:r>
          </w:p>
        </w:tc>
        <w:tc>
          <w:tcPr>
            <w:tcW w:w="462"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110</w:t>
            </w:r>
          </w:p>
        </w:tc>
        <w:tc>
          <w:tcPr>
            <w:tcW w:w="553"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1 076</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2 040</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1 090</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2 194</w:t>
            </w:r>
          </w:p>
        </w:tc>
        <w:tc>
          <w:tcPr>
            <w:tcW w:w="553"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630</w:t>
            </w:r>
          </w:p>
        </w:tc>
        <w:tc>
          <w:tcPr>
            <w:tcW w:w="554"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313</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254</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249</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169</w:t>
            </w:r>
          </w:p>
        </w:tc>
        <w:tc>
          <w:tcPr>
            <w:tcW w:w="477"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66</w:t>
            </w:r>
          </w:p>
        </w:tc>
        <w:tc>
          <w:tcPr>
            <w:tcW w:w="642" w:type="dxa"/>
            <w:tcBorders>
              <w:left w:val="single" w:sz="12" w:space="0" w:color="95B3D7" w:themeColor="accent1" w:themeTint="99"/>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18 205</w:t>
            </w:r>
          </w:p>
        </w:tc>
        <w:tc>
          <w:tcPr>
            <w:tcW w:w="140"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p>
        </w:tc>
        <w:tc>
          <w:tcPr>
            <w:tcW w:w="616" w:type="dxa"/>
            <w:vAlign w:val="bottom"/>
          </w:tcPr>
          <w:p w:rsidR="00741A31" w:rsidRPr="001C695B" w:rsidRDefault="00741A31" w:rsidP="00741A31">
            <w:pPr>
              <w:spacing w:before="40" w:after="40"/>
              <w:jc w:val="right"/>
              <w:rPr>
                <w:sz w:val="16"/>
                <w:szCs w:val="16"/>
                <w:lang w:val="fr-FR"/>
              </w:rPr>
            </w:pPr>
            <w:r w:rsidRPr="001C695B">
              <w:rPr>
                <w:sz w:val="16"/>
                <w:szCs w:val="16"/>
                <w:lang w:val="fr-FR"/>
              </w:rPr>
              <w:t>6 424</w:t>
            </w:r>
          </w:p>
        </w:tc>
        <w:tc>
          <w:tcPr>
            <w:tcW w:w="616" w:type="dxa"/>
            <w:vAlign w:val="bottom"/>
          </w:tcPr>
          <w:p w:rsidR="00741A31" w:rsidRPr="001C695B" w:rsidRDefault="00741A31" w:rsidP="00741A31">
            <w:pPr>
              <w:spacing w:before="40" w:after="40"/>
              <w:jc w:val="right"/>
              <w:rPr>
                <w:sz w:val="16"/>
                <w:szCs w:val="16"/>
                <w:lang w:val="fr-FR"/>
              </w:rPr>
            </w:pPr>
            <w:r w:rsidRPr="001C695B">
              <w:rPr>
                <w:sz w:val="16"/>
                <w:szCs w:val="16"/>
                <w:lang w:val="fr-FR"/>
              </w:rPr>
              <w:t>8 250</w:t>
            </w:r>
          </w:p>
        </w:tc>
        <w:tc>
          <w:tcPr>
            <w:tcW w:w="602"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2 070</w:t>
            </w:r>
          </w:p>
        </w:tc>
        <w:tc>
          <w:tcPr>
            <w:tcW w:w="602"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1 462</w:t>
            </w:r>
          </w:p>
        </w:tc>
      </w:tr>
      <w:tr w:rsidR="00741A31" w:rsidRPr="001C695B" w:rsidTr="00741A31">
        <w:tc>
          <w:tcPr>
            <w:tcW w:w="1582" w:type="dxa"/>
            <w:tcBorders>
              <w:right w:val="single" w:sz="12" w:space="0" w:color="95B3D7" w:themeColor="accent1" w:themeTint="99"/>
            </w:tcBorders>
          </w:tcPr>
          <w:p w:rsidR="00741A31" w:rsidRPr="001C695B" w:rsidRDefault="00741A31" w:rsidP="00741A31">
            <w:pPr>
              <w:spacing w:before="40" w:after="40"/>
              <w:rPr>
                <w:sz w:val="16"/>
                <w:szCs w:val="16"/>
                <w:lang w:val="fr-FR"/>
              </w:rPr>
            </w:pPr>
            <w:r w:rsidRPr="001C695B">
              <w:rPr>
                <w:sz w:val="16"/>
                <w:szCs w:val="16"/>
                <w:lang w:val="fr-FR"/>
              </w:rPr>
              <w:t>Activités intersectorielles</w:t>
            </w:r>
          </w:p>
        </w:tc>
        <w:tc>
          <w:tcPr>
            <w:tcW w:w="567"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546</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112</w:t>
            </w:r>
          </w:p>
        </w:tc>
        <w:tc>
          <w:tcPr>
            <w:tcW w:w="567"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604</w:t>
            </w:r>
          </w:p>
        </w:tc>
        <w:tc>
          <w:tcPr>
            <w:tcW w:w="567"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197</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469</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45</w:t>
            </w:r>
          </w:p>
        </w:tc>
        <w:tc>
          <w:tcPr>
            <w:tcW w:w="567" w:type="dxa"/>
            <w:vAlign w:val="bottom"/>
          </w:tcPr>
          <w:p w:rsidR="00741A31" w:rsidRPr="001C695B" w:rsidRDefault="00741A31" w:rsidP="00741A31">
            <w:pPr>
              <w:spacing w:before="40" w:after="40"/>
              <w:jc w:val="right"/>
              <w:rPr>
                <w:sz w:val="16"/>
                <w:szCs w:val="16"/>
                <w:lang w:val="fr-FR"/>
              </w:rPr>
            </w:pPr>
            <w:r w:rsidRPr="001C695B">
              <w:rPr>
                <w:sz w:val="16"/>
                <w:szCs w:val="16"/>
                <w:lang w:val="fr-FR"/>
              </w:rPr>
              <w:t>307</w:t>
            </w:r>
          </w:p>
        </w:tc>
        <w:tc>
          <w:tcPr>
            <w:tcW w:w="462"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253</w:t>
            </w:r>
          </w:p>
        </w:tc>
        <w:tc>
          <w:tcPr>
            <w:tcW w:w="553"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212</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708</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236</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403</w:t>
            </w:r>
          </w:p>
        </w:tc>
        <w:tc>
          <w:tcPr>
            <w:tcW w:w="553"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160</w:t>
            </w:r>
          </w:p>
        </w:tc>
        <w:tc>
          <w:tcPr>
            <w:tcW w:w="554"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1 205</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1 046</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939</w:t>
            </w:r>
          </w:p>
        </w:tc>
        <w:tc>
          <w:tcPr>
            <w:tcW w:w="554" w:type="dxa"/>
            <w:vAlign w:val="bottom"/>
          </w:tcPr>
          <w:p w:rsidR="00741A31" w:rsidRPr="001C695B" w:rsidRDefault="00741A31" w:rsidP="00741A31">
            <w:pPr>
              <w:spacing w:before="40" w:after="40"/>
              <w:jc w:val="right"/>
              <w:rPr>
                <w:sz w:val="16"/>
                <w:szCs w:val="16"/>
                <w:lang w:val="fr-FR"/>
              </w:rPr>
            </w:pPr>
            <w:r w:rsidRPr="001C695B">
              <w:rPr>
                <w:sz w:val="16"/>
                <w:szCs w:val="16"/>
                <w:lang w:val="fr-FR"/>
              </w:rPr>
              <w:t>647</w:t>
            </w:r>
          </w:p>
        </w:tc>
        <w:tc>
          <w:tcPr>
            <w:tcW w:w="477" w:type="dxa"/>
            <w:tcBorders>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96</w:t>
            </w:r>
          </w:p>
        </w:tc>
        <w:tc>
          <w:tcPr>
            <w:tcW w:w="642" w:type="dxa"/>
            <w:tcBorders>
              <w:left w:val="single" w:sz="12" w:space="0" w:color="95B3D7" w:themeColor="accent1" w:themeTint="99"/>
              <w:righ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r w:rsidRPr="001C695B">
              <w:rPr>
                <w:sz w:val="16"/>
                <w:szCs w:val="16"/>
                <w:lang w:val="fr-FR"/>
              </w:rPr>
              <w:t>8 186</w:t>
            </w:r>
          </w:p>
        </w:tc>
        <w:tc>
          <w:tcPr>
            <w:tcW w:w="140" w:type="dxa"/>
            <w:tcBorders>
              <w:left w:val="single" w:sz="12" w:space="0" w:color="95B3D7" w:themeColor="accent1" w:themeTint="99"/>
            </w:tcBorders>
            <w:vAlign w:val="bottom"/>
          </w:tcPr>
          <w:p w:rsidR="00741A31" w:rsidRPr="001C695B" w:rsidRDefault="00741A31" w:rsidP="00741A31">
            <w:pPr>
              <w:spacing w:before="40" w:after="40"/>
              <w:jc w:val="right"/>
              <w:rPr>
                <w:sz w:val="16"/>
                <w:szCs w:val="16"/>
                <w:lang w:val="fr-FR"/>
              </w:rPr>
            </w:pPr>
          </w:p>
        </w:tc>
        <w:tc>
          <w:tcPr>
            <w:tcW w:w="616"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1 899</w:t>
            </w:r>
          </w:p>
        </w:tc>
        <w:tc>
          <w:tcPr>
            <w:tcW w:w="616" w:type="dxa"/>
            <w:vAlign w:val="bottom"/>
          </w:tcPr>
          <w:p w:rsidR="00741A31" w:rsidRPr="001C695B" w:rsidRDefault="00741A31" w:rsidP="00741A31">
            <w:pPr>
              <w:spacing w:before="40" w:after="40"/>
              <w:jc w:val="right"/>
              <w:rPr>
                <w:sz w:val="16"/>
                <w:szCs w:val="16"/>
                <w:lang w:val="fr-FR"/>
              </w:rPr>
            </w:pPr>
            <w:r w:rsidRPr="001C695B">
              <w:rPr>
                <w:sz w:val="16"/>
                <w:szCs w:val="16"/>
                <w:lang w:val="fr-FR"/>
              </w:rPr>
              <w:t>3 013</w:t>
            </w:r>
          </w:p>
        </w:tc>
        <w:tc>
          <w:tcPr>
            <w:tcW w:w="602" w:type="dxa"/>
            <w:vAlign w:val="bottom"/>
          </w:tcPr>
          <w:p w:rsidR="00741A31" w:rsidRPr="001C695B" w:rsidRDefault="00741A31" w:rsidP="00741A31">
            <w:pPr>
              <w:spacing w:before="40" w:after="40"/>
              <w:jc w:val="right"/>
              <w:rPr>
                <w:sz w:val="16"/>
                <w:szCs w:val="16"/>
                <w:lang w:val="fr-FR"/>
              </w:rPr>
            </w:pPr>
            <w:r w:rsidRPr="001C695B">
              <w:rPr>
                <w:sz w:val="16"/>
                <w:szCs w:val="16"/>
                <w:lang w:val="fr-FR"/>
              </w:rPr>
              <w:t>1 137</w:t>
            </w:r>
          </w:p>
        </w:tc>
        <w:tc>
          <w:tcPr>
            <w:tcW w:w="602" w:type="dxa"/>
            <w:vAlign w:val="bottom"/>
          </w:tcPr>
          <w:p w:rsidR="00741A31" w:rsidRPr="001C695B" w:rsidRDefault="00741A31" w:rsidP="00741A31">
            <w:pPr>
              <w:spacing w:before="40" w:after="40"/>
              <w:jc w:val="right"/>
              <w:rPr>
                <w:sz w:val="16"/>
                <w:szCs w:val="16"/>
                <w:lang w:val="fr-FR"/>
              </w:rPr>
            </w:pPr>
            <w:r w:rsidRPr="001C695B">
              <w:rPr>
                <w:sz w:val="16"/>
                <w:szCs w:val="16"/>
                <w:lang w:val="fr-FR"/>
              </w:rPr>
              <w:t>2 137</w:t>
            </w:r>
          </w:p>
        </w:tc>
      </w:tr>
      <w:tr w:rsidR="00741A31" w:rsidRPr="001C695B" w:rsidTr="00741A31">
        <w:tc>
          <w:tcPr>
            <w:tcW w:w="1582" w:type="dxa"/>
            <w:tcBorders>
              <w:right w:val="single" w:sz="12" w:space="0" w:color="95B3D7" w:themeColor="accent1" w:themeTint="99"/>
            </w:tcBorders>
            <w:shd w:val="clear" w:color="auto" w:fill="4F81BD" w:themeFill="accent1"/>
          </w:tcPr>
          <w:p w:rsidR="00741A31" w:rsidRPr="001C695B" w:rsidRDefault="00741A31" w:rsidP="00741A31">
            <w:pPr>
              <w:spacing w:before="40" w:after="40"/>
              <w:rPr>
                <w:b/>
                <w:bCs/>
                <w:color w:val="FFFFFF" w:themeColor="background1"/>
                <w:sz w:val="16"/>
                <w:szCs w:val="16"/>
                <w:lang w:val="fr-FR"/>
              </w:rPr>
            </w:pPr>
            <w:r w:rsidRPr="001C695B">
              <w:rPr>
                <w:b/>
                <w:bCs/>
                <w:color w:val="FFFFFF" w:themeColor="background1"/>
                <w:sz w:val="16"/>
                <w:szCs w:val="16"/>
                <w:lang w:val="fr-FR"/>
              </w:rPr>
              <w:t>Total</w:t>
            </w:r>
          </w:p>
        </w:tc>
        <w:tc>
          <w:tcPr>
            <w:tcW w:w="567" w:type="dxa"/>
            <w:tcBorders>
              <w:lef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18 379</w:t>
            </w:r>
          </w:p>
        </w:tc>
        <w:tc>
          <w:tcPr>
            <w:tcW w:w="567"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4 007</w:t>
            </w:r>
          </w:p>
        </w:tc>
        <w:tc>
          <w:tcPr>
            <w:tcW w:w="567" w:type="dxa"/>
            <w:tcBorders>
              <w:righ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9 603</w:t>
            </w:r>
          </w:p>
        </w:tc>
        <w:tc>
          <w:tcPr>
            <w:tcW w:w="567" w:type="dxa"/>
            <w:tcBorders>
              <w:lef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6 231</w:t>
            </w:r>
          </w:p>
        </w:tc>
        <w:tc>
          <w:tcPr>
            <w:tcW w:w="567"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3 948</w:t>
            </w:r>
          </w:p>
        </w:tc>
        <w:tc>
          <w:tcPr>
            <w:tcW w:w="567"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1 542</w:t>
            </w:r>
          </w:p>
        </w:tc>
        <w:tc>
          <w:tcPr>
            <w:tcW w:w="567"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3 102</w:t>
            </w:r>
          </w:p>
        </w:tc>
        <w:tc>
          <w:tcPr>
            <w:tcW w:w="462" w:type="dxa"/>
            <w:tcBorders>
              <w:righ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 xml:space="preserve">670 </w:t>
            </w:r>
          </w:p>
        </w:tc>
        <w:tc>
          <w:tcPr>
            <w:tcW w:w="553" w:type="dxa"/>
            <w:tcBorders>
              <w:lef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5 962</w:t>
            </w:r>
          </w:p>
        </w:tc>
        <w:tc>
          <w:tcPr>
            <w:tcW w:w="554"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9 030</w:t>
            </w:r>
          </w:p>
        </w:tc>
        <w:tc>
          <w:tcPr>
            <w:tcW w:w="554"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4 553</w:t>
            </w:r>
          </w:p>
        </w:tc>
        <w:tc>
          <w:tcPr>
            <w:tcW w:w="554"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9 142</w:t>
            </w:r>
          </w:p>
        </w:tc>
        <w:tc>
          <w:tcPr>
            <w:tcW w:w="553" w:type="dxa"/>
            <w:tcBorders>
              <w:righ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2 550</w:t>
            </w:r>
          </w:p>
        </w:tc>
        <w:tc>
          <w:tcPr>
            <w:tcW w:w="554" w:type="dxa"/>
            <w:tcBorders>
              <w:lef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2 494</w:t>
            </w:r>
          </w:p>
        </w:tc>
        <w:tc>
          <w:tcPr>
            <w:tcW w:w="554"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2 403</w:t>
            </w:r>
          </w:p>
        </w:tc>
        <w:tc>
          <w:tcPr>
            <w:tcW w:w="554"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2 290</w:t>
            </w:r>
          </w:p>
        </w:tc>
        <w:tc>
          <w:tcPr>
            <w:tcW w:w="554"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1 292</w:t>
            </w:r>
          </w:p>
        </w:tc>
        <w:tc>
          <w:tcPr>
            <w:tcW w:w="477" w:type="dxa"/>
            <w:tcBorders>
              <w:righ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345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87 542</w:t>
            </w:r>
          </w:p>
        </w:tc>
        <w:tc>
          <w:tcPr>
            <w:tcW w:w="140" w:type="dxa"/>
            <w:tcBorders>
              <w:left w:val="single" w:sz="12" w:space="0" w:color="95B3D7" w:themeColor="accent1" w:themeTint="99"/>
            </w:tcBorders>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p>
        </w:tc>
        <w:tc>
          <w:tcPr>
            <w:tcW w:w="616"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28 131</w:t>
            </w:r>
          </w:p>
        </w:tc>
        <w:tc>
          <w:tcPr>
            <w:tcW w:w="616"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41 342</w:t>
            </w:r>
          </w:p>
        </w:tc>
        <w:tc>
          <w:tcPr>
            <w:tcW w:w="602"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9 555</w:t>
            </w:r>
          </w:p>
        </w:tc>
        <w:tc>
          <w:tcPr>
            <w:tcW w:w="602" w:type="dxa"/>
            <w:shd w:val="clear" w:color="auto" w:fill="4F81BD" w:themeFill="accent1"/>
            <w:vAlign w:val="bottom"/>
          </w:tcPr>
          <w:p w:rsidR="00741A31" w:rsidRPr="001C695B" w:rsidRDefault="00741A31" w:rsidP="00741A31">
            <w:pPr>
              <w:spacing w:before="40" w:after="40"/>
              <w:jc w:val="right"/>
              <w:rPr>
                <w:b/>
                <w:bCs/>
                <w:color w:val="FFFFFF" w:themeColor="background1"/>
                <w:sz w:val="16"/>
                <w:szCs w:val="16"/>
                <w:lang w:val="fr-FR"/>
              </w:rPr>
            </w:pPr>
            <w:r w:rsidRPr="001C695B">
              <w:rPr>
                <w:b/>
                <w:bCs/>
                <w:color w:val="FFFFFF" w:themeColor="background1"/>
                <w:sz w:val="16"/>
                <w:szCs w:val="16"/>
                <w:lang w:val="fr-FR"/>
              </w:rPr>
              <w:t>8 514</w:t>
            </w:r>
          </w:p>
        </w:tc>
      </w:tr>
    </w:tbl>
    <w:p w:rsidR="00741A31" w:rsidRPr="001C695B" w:rsidRDefault="00741A31" w:rsidP="00741A31">
      <w:pPr>
        <w:pStyle w:val="Normalaftertitle"/>
        <w:spacing w:before="120"/>
        <w:rPr>
          <w:lang w:val="fr-FR"/>
        </w:rPr>
      </w:pPr>
      <w:r w:rsidRPr="001C695B">
        <w:rPr>
          <w:lang w:val="fr-FR"/>
        </w:rPr>
        <w:t>Dans la présente version abrégée des ressources imputées depuis le Secrétariat général:</w:t>
      </w:r>
    </w:p>
    <w:p w:rsidR="00741A31" w:rsidRPr="001C695B" w:rsidRDefault="00741A31" w:rsidP="00741A31">
      <w:pPr>
        <w:pStyle w:val="enumlev1"/>
        <w:rPr>
          <w:lang w:val="fr-FR"/>
        </w:rPr>
      </w:pPr>
      <w:r w:rsidRPr="001C695B">
        <w:rPr>
          <w:lang w:val="fr-FR"/>
        </w:rPr>
        <w:t>–</w:t>
      </w:r>
      <w:r w:rsidRPr="001C695B">
        <w:rPr>
          <w:lang w:val="fr-FR"/>
        </w:rPr>
        <w:tab/>
        <w:t>les coûts de la documentation comprennent la traduction, la dactylographie et la reprographie (C&amp;P);</w:t>
      </w:r>
    </w:p>
    <w:p w:rsidR="00741A31" w:rsidRPr="001C695B" w:rsidRDefault="00741A31" w:rsidP="00741A31">
      <w:pPr>
        <w:pStyle w:val="enumlev1"/>
        <w:rPr>
          <w:lang w:val="fr-FR"/>
        </w:rPr>
      </w:pPr>
      <w:r w:rsidRPr="001C695B">
        <w:rPr>
          <w:lang w:val="fr-FR"/>
        </w:rPr>
        <w:t>–</w:t>
      </w:r>
      <w:r w:rsidRPr="001C695B">
        <w:rPr>
          <w:lang w:val="fr-FR"/>
        </w:rPr>
        <w:tab/>
        <w:t>les coûts des services administratifs comprennent le Bureau du Secrétaire général, l'Unité des affaires juridiques, la fonction d'audit, le CCIG, le Responsable de la déontologie, la Sécurité, une partie du Département de la gestion des ressources humaines, le Département de la gestion des ressources financières, les Services informatiques, sauf la Division des conférences, l'Assurance-maladie après la cessation de service (ASHI), 50% des coûts des bâ</w:t>
      </w:r>
      <w:bookmarkStart w:id="8" w:name="_GoBack"/>
      <w:bookmarkEnd w:id="8"/>
      <w:r w:rsidRPr="001C695B">
        <w:rPr>
          <w:lang w:val="fr-FR"/>
        </w:rPr>
        <w:t>timents et 50% des coûts des TIC;</w:t>
      </w:r>
    </w:p>
    <w:p w:rsidR="00741A31" w:rsidRPr="001C695B" w:rsidRDefault="00741A31" w:rsidP="00741A31">
      <w:pPr>
        <w:pStyle w:val="enumlev1"/>
        <w:rPr>
          <w:lang w:val="fr-FR"/>
        </w:rPr>
      </w:pPr>
      <w:r w:rsidRPr="001C695B">
        <w:rPr>
          <w:lang w:val="fr-FR"/>
        </w:rPr>
        <w:t>–</w:t>
      </w:r>
      <w:r w:rsidRPr="001C695B">
        <w:rPr>
          <w:lang w:val="fr-FR"/>
        </w:rPr>
        <w:tab/>
        <w:t>les services d'appui comprennent C&amp;P, une partie du Département de la gestion des ressources humaines, l'appui fourni par les services informatiques pour les conférences, 50% des coûts des bâtiments et 50% des coûts des TIC;</w:t>
      </w:r>
    </w:p>
    <w:p w:rsidR="00741A31" w:rsidRPr="001C695B" w:rsidRDefault="00741A31" w:rsidP="00741A31">
      <w:pPr>
        <w:pStyle w:val="enumlev1"/>
        <w:rPr>
          <w:lang w:val="fr-FR"/>
        </w:rPr>
      </w:pPr>
      <w:r w:rsidRPr="001C695B">
        <w:rPr>
          <w:lang w:val="fr-FR"/>
        </w:rPr>
        <w:t>–</w:t>
      </w:r>
      <w:r w:rsidRPr="001C695B">
        <w:rPr>
          <w:lang w:val="fr-FR"/>
        </w:rPr>
        <w:tab/>
        <w:t>les coûts pour les activités intersectorielles comprennent les coûts SPM.</w:t>
      </w:r>
    </w:p>
    <w:p w:rsidR="00741A31" w:rsidRPr="001C695B" w:rsidRDefault="00741A31" w:rsidP="00741A31">
      <w:pPr>
        <w:pStyle w:val="Normalaftertitle"/>
        <w:spacing w:before="120"/>
        <w:rPr>
          <w:lang w:val="fr-FR"/>
        </w:rPr>
      </w:pPr>
      <w:r w:rsidRPr="001C695B">
        <w:rPr>
          <w:lang w:val="fr-FR"/>
        </w:rPr>
        <w:t>Les rubriques dans la longue liste de la section 3.5 correspondent aux quatre catégories suivantes:</w:t>
      </w:r>
    </w:p>
    <w:p w:rsidR="00741A31" w:rsidRPr="001C695B" w:rsidRDefault="00741A31" w:rsidP="00741A31">
      <w:pPr>
        <w:pStyle w:val="enumlev1"/>
        <w:rPr>
          <w:lang w:val="fr-FR"/>
        </w:rPr>
      </w:pPr>
      <w:r w:rsidRPr="001C695B">
        <w:rPr>
          <w:lang w:val="fr-FR"/>
        </w:rPr>
        <w:t>–</w:t>
      </w:r>
      <w:r w:rsidRPr="001C695B">
        <w:rPr>
          <w:lang w:val="fr-FR"/>
        </w:rPr>
        <w:tab/>
        <w:t>Coûts de la documentation: partie de S.2.</w:t>
      </w:r>
    </w:p>
    <w:p w:rsidR="00741A31" w:rsidRPr="001C695B" w:rsidRDefault="00741A31" w:rsidP="00741A31">
      <w:pPr>
        <w:pStyle w:val="enumlev1"/>
        <w:rPr>
          <w:lang w:val="fr-FR"/>
        </w:rPr>
      </w:pPr>
      <w:r w:rsidRPr="001C695B">
        <w:rPr>
          <w:lang w:val="fr-FR"/>
        </w:rPr>
        <w:t>–</w:t>
      </w:r>
      <w:r w:rsidRPr="001C695B">
        <w:rPr>
          <w:lang w:val="fr-FR"/>
        </w:rPr>
        <w:tab/>
        <w:t>Services administratifs: S.1, partie de S.4 moins la part des coûts des TIC, S.5, S.6 moins la part des coûts des bâtiments, S.7, S.8 et S.9.</w:t>
      </w:r>
    </w:p>
    <w:p w:rsidR="00741A31" w:rsidRPr="001C695B" w:rsidRDefault="00741A31" w:rsidP="00741A31">
      <w:pPr>
        <w:pStyle w:val="enumlev1"/>
        <w:rPr>
          <w:lang w:val="fr-FR"/>
        </w:rPr>
      </w:pPr>
      <w:r w:rsidRPr="001C695B">
        <w:rPr>
          <w:lang w:val="fr-FR"/>
        </w:rPr>
        <w:t>–</w:t>
      </w:r>
      <w:r w:rsidRPr="001C695B">
        <w:rPr>
          <w:lang w:val="fr-FR"/>
        </w:rPr>
        <w:tab/>
        <w:t>Services d'appui: S.2, S.3, partie de S.4 pour les TIC et partie de S.6 pour les bâtiments.</w:t>
      </w:r>
    </w:p>
    <w:p w:rsidR="00931B29" w:rsidRPr="001C695B" w:rsidRDefault="00741A31" w:rsidP="00931B29">
      <w:pPr>
        <w:pStyle w:val="enumlev1"/>
        <w:rPr>
          <w:lang w:val="fr-FR"/>
        </w:rPr>
      </w:pPr>
      <w:r w:rsidRPr="001C695B">
        <w:rPr>
          <w:lang w:val="fr-FR"/>
        </w:rPr>
        <w:t>–</w:t>
      </w:r>
      <w:r w:rsidRPr="001C695B">
        <w:rPr>
          <w:lang w:val="fr-FR"/>
        </w:rPr>
        <w:tab/>
        <w:t>Activités intersectorielles: S.10, S.11, S.12, S.13, S.14, S.15 et S.16.</w:t>
      </w:r>
    </w:p>
    <w:p w:rsidR="00931B29" w:rsidRPr="001C695B" w:rsidRDefault="00931B29">
      <w:pPr>
        <w:jc w:val="center"/>
        <w:rPr>
          <w:lang w:val="fr-FR"/>
        </w:rPr>
      </w:pPr>
      <w:r w:rsidRPr="001C695B">
        <w:rPr>
          <w:lang w:val="fr-FR"/>
        </w:rPr>
        <w:t>______________</w:t>
      </w:r>
    </w:p>
    <w:sectPr w:rsidR="00931B29" w:rsidRPr="001C695B" w:rsidSect="00B01C2F">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29" w:rsidRDefault="00931B29">
      <w:r>
        <w:separator/>
      </w:r>
    </w:p>
  </w:endnote>
  <w:endnote w:type="continuationSeparator" w:id="0">
    <w:p w:rsidR="00931B29" w:rsidRDefault="0093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9" w:rsidRPr="00741A31" w:rsidRDefault="00931B29" w:rsidP="00A525CC">
    <w:pPr>
      <w:pStyle w:val="Footer"/>
      <w:rPr>
        <w:caps w:val="0"/>
        <w:sz w:val="18"/>
        <w:szCs w:val="18"/>
        <w:lang w:val="es-ES"/>
      </w:rPr>
    </w:pPr>
    <w:r w:rsidRPr="003125C3">
      <w:rPr>
        <w:caps w:val="0"/>
        <w:sz w:val="18"/>
        <w:szCs w:val="18"/>
      </w:rPr>
      <w:fldChar w:fldCharType="begin"/>
    </w:r>
    <w:r w:rsidRPr="00741A31">
      <w:rPr>
        <w:caps w:val="0"/>
        <w:sz w:val="18"/>
        <w:szCs w:val="18"/>
        <w:lang w:val="es-ES"/>
      </w:rPr>
      <w:instrText xml:space="preserve"> FILENAME \p \* MERGEFORMAT </w:instrText>
    </w:r>
    <w:r w:rsidRPr="003125C3">
      <w:rPr>
        <w:caps w:val="0"/>
        <w:sz w:val="18"/>
        <w:szCs w:val="18"/>
      </w:rPr>
      <w:fldChar w:fldCharType="separate"/>
    </w:r>
    <w:r w:rsidR="00A67971">
      <w:rPr>
        <w:caps w:val="0"/>
        <w:sz w:val="18"/>
        <w:szCs w:val="18"/>
        <w:lang w:val="es-ES"/>
      </w:rPr>
      <w:t>P:\FRA\ITU-D\CONF-D\TDAG17\000\024F.docx</w:t>
    </w:r>
    <w:r w:rsidRPr="003125C3">
      <w:rPr>
        <w:caps w:val="0"/>
        <w:sz w:val="18"/>
        <w:szCs w:val="18"/>
        <w:lang w:val="en-US"/>
      </w:rPr>
      <w:fldChar w:fldCharType="end"/>
    </w:r>
    <w:r w:rsidRPr="00741A31">
      <w:rPr>
        <w:caps w:val="0"/>
        <w:sz w:val="18"/>
        <w:szCs w:val="18"/>
        <w:lang w:val="es-ES"/>
      </w:rPr>
      <w:t>(413987)</w:t>
    </w:r>
    <w:r>
      <w:rPr>
        <w:caps w:val="0"/>
        <w:sz w:val="18"/>
        <w:szCs w:val="18"/>
        <w:lang w:val="es-ES"/>
      </w:rPr>
      <w:tab/>
    </w:r>
    <w:r w:rsidRPr="00741A31">
      <w:rPr>
        <w:caps w:val="0"/>
        <w:sz w:val="18"/>
        <w:szCs w:val="18"/>
        <w:lang w:val="es-ES"/>
      </w:rPr>
      <w:tab/>
      <w:t>07.01.2015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9" w:rsidRPr="008802F9" w:rsidRDefault="00542045" w:rsidP="00B80157">
    <w:pPr>
      <w:pStyle w:val="Footer"/>
      <w:jc w:val="center"/>
    </w:pPr>
    <w:hyperlink r:id="rId1" w:history="1">
      <w:r w:rsidR="00931B29"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29" w:rsidRDefault="00931B29">
      <w:r>
        <w:t>____________________</w:t>
      </w:r>
    </w:p>
  </w:footnote>
  <w:footnote w:type="continuationSeparator" w:id="0">
    <w:p w:rsidR="00931B29" w:rsidRDefault="00931B29">
      <w:r>
        <w:continuationSeparator/>
      </w:r>
    </w:p>
  </w:footnote>
  <w:footnote w:id="1">
    <w:p w:rsidR="00931B29" w:rsidRPr="001C763C" w:rsidRDefault="00931B29" w:rsidP="00741A31">
      <w:pPr>
        <w:pStyle w:val="FootnoteText"/>
        <w:spacing w:before="0"/>
        <w:rPr>
          <w:sz w:val="18"/>
          <w:szCs w:val="18"/>
        </w:rPr>
      </w:pPr>
      <w:r w:rsidRPr="001C763C">
        <w:rPr>
          <w:rStyle w:val="FootnoteReference"/>
          <w:szCs w:val="18"/>
        </w:rPr>
        <w:footnoteRef/>
      </w:r>
      <w:r w:rsidRPr="001C763C">
        <w:rPr>
          <w:sz w:val="18"/>
          <w:szCs w:val="18"/>
        </w:rPr>
        <w:t xml:space="preserve"> </w:t>
      </w:r>
      <w:r w:rsidRPr="001C763C">
        <w:rPr>
          <w:sz w:val="18"/>
          <w:szCs w:val="18"/>
        </w:rPr>
        <w:tab/>
        <w:t>Les cases et les croix indiquent les liens primaires et secondaires avec les buts.</w:t>
      </w:r>
    </w:p>
  </w:footnote>
  <w:footnote w:id="2">
    <w:p w:rsidR="00931B29" w:rsidRPr="00666832" w:rsidRDefault="00931B29" w:rsidP="00584E37">
      <w:pPr>
        <w:pStyle w:val="FootnoteText"/>
        <w:rPr>
          <w:sz w:val="18"/>
          <w:szCs w:val="18"/>
        </w:rPr>
      </w:pPr>
      <w:r w:rsidRPr="00666832">
        <w:rPr>
          <w:rStyle w:val="FootnoteReference"/>
          <w:szCs w:val="18"/>
        </w:rPr>
        <w:footnoteRef/>
      </w:r>
      <w:r>
        <w:rPr>
          <w:sz w:val="18"/>
          <w:szCs w:val="18"/>
        </w:rPr>
        <w:tab/>
        <w:t>On trouvera des informations détaillées au § 7 du</w:t>
      </w:r>
      <w:r w:rsidRPr="00666832">
        <w:rPr>
          <w:sz w:val="18"/>
          <w:szCs w:val="18"/>
        </w:rPr>
        <w:t xml:space="preserve"> </w:t>
      </w:r>
      <w:hyperlink r:id="rId1" w:history="1">
        <w:r>
          <w:rPr>
            <w:rStyle w:val="Hyperlink"/>
            <w:sz w:val="18"/>
            <w:szCs w:val="18"/>
          </w:rPr>
          <w:t>Document C17</w:t>
        </w:r>
        <w:r w:rsidRPr="008D3668">
          <w:rPr>
            <w:rStyle w:val="Hyperlink"/>
            <w:sz w:val="18"/>
            <w:szCs w:val="18"/>
          </w:rPr>
          <w:t>/35</w:t>
        </w:r>
      </w:hyperlink>
      <w:r w:rsidRPr="004B71E0">
        <w:rPr>
          <w:sz w:val="18"/>
          <w:szCs w:val="18"/>
          <w:u w:val="single"/>
        </w:rPr>
        <w:t>,</w:t>
      </w:r>
      <w:r w:rsidRPr="00666832">
        <w:rPr>
          <w:sz w:val="18"/>
          <w:szCs w:val="18"/>
        </w:rPr>
        <w:t xml:space="preserve"> </w:t>
      </w:r>
      <w:r>
        <w:rPr>
          <w:sz w:val="18"/>
          <w:szCs w:val="18"/>
        </w:rPr>
        <w:t>intitulé</w:t>
      </w:r>
      <w:r w:rsidRPr="00666832">
        <w:rPr>
          <w:sz w:val="18"/>
          <w:szCs w:val="18"/>
        </w:rPr>
        <w:t xml:space="preserve"> </w:t>
      </w:r>
      <w:r>
        <w:rPr>
          <w:sz w:val="18"/>
          <w:szCs w:val="18"/>
        </w:rPr>
        <w:t>"</w:t>
      </w:r>
      <w:r w:rsidRPr="00666832">
        <w:rPr>
          <w:rFonts w:cs="Calibri"/>
          <w:color w:val="000000"/>
          <w:sz w:val="18"/>
          <w:szCs w:val="18"/>
        </w:rPr>
        <w:t>Catalyseur E.2: Veiller à l</w:t>
      </w:r>
      <w:r>
        <w:rPr>
          <w:rFonts w:cs="Calibri"/>
          <w:color w:val="000000"/>
          <w:sz w:val="18"/>
          <w:szCs w:val="18"/>
        </w:rPr>
        <w:t>'</w:t>
      </w:r>
      <w:r w:rsidRPr="00666832">
        <w:rPr>
          <w:rFonts w:cs="Calibri"/>
          <w:color w:val="000000"/>
          <w:sz w:val="18"/>
          <w:szCs w:val="18"/>
        </w:rPr>
        <w:t>efficacité et à l</w:t>
      </w:r>
      <w:r>
        <w:rPr>
          <w:rFonts w:cs="Calibri"/>
          <w:color w:val="000000"/>
          <w:sz w:val="18"/>
          <w:szCs w:val="18"/>
        </w:rPr>
        <w:t>'</w:t>
      </w:r>
      <w:r w:rsidRPr="00666832">
        <w:rPr>
          <w:rFonts w:cs="Calibri"/>
          <w:color w:val="000000"/>
          <w:sz w:val="18"/>
          <w:szCs w:val="18"/>
        </w:rPr>
        <w:t>accessibilité des infrastructures (conférences, réunions, documentation, publications et information)</w:t>
      </w:r>
      <w:r>
        <w:rPr>
          <w:rFonts w:cs="Calibri"/>
          <w:color w:val="000000"/>
          <w:sz w:val="18"/>
          <w:szCs w:val="18"/>
        </w:rPr>
        <w:t>".</w:t>
      </w:r>
    </w:p>
  </w:footnote>
  <w:footnote w:id="3">
    <w:p w:rsidR="00931B29" w:rsidRPr="00580355" w:rsidRDefault="00931B29" w:rsidP="00931B29">
      <w:pPr>
        <w:pStyle w:val="FootnoteText"/>
        <w:spacing w:before="0"/>
        <w:rPr>
          <w:sz w:val="18"/>
          <w:szCs w:val="18"/>
        </w:rPr>
      </w:pPr>
      <w:r w:rsidRPr="00580355">
        <w:rPr>
          <w:rStyle w:val="FootnoteReference"/>
          <w:szCs w:val="18"/>
        </w:rPr>
        <w:footnoteRef/>
      </w:r>
      <w:r w:rsidRPr="00580355">
        <w:rPr>
          <w:sz w:val="18"/>
          <w:szCs w:val="18"/>
        </w:rPr>
        <w:t xml:space="preserve"> </w:t>
      </w:r>
      <w:r w:rsidRPr="00580355">
        <w:rPr>
          <w:sz w:val="18"/>
          <w:szCs w:val="18"/>
        </w:rPr>
        <w:tab/>
        <w:t>Estimations, en particulier pour la période 2020</w:t>
      </w:r>
      <w:r w:rsidRPr="00580355">
        <w:rPr>
          <w:sz w:val="18"/>
          <w:szCs w:val="18"/>
        </w:rPr>
        <w:noBreakHyphen/>
        <w:t>2021. L'affectation des ressources pour les prochaines années pourra être modifiée à la suite de décisions de la haute direction.</w:t>
      </w:r>
    </w:p>
  </w:footnote>
  <w:footnote w:id="4">
    <w:p w:rsidR="00931B29" w:rsidRPr="000C2D0F" w:rsidRDefault="00931B29" w:rsidP="00931B29">
      <w:pPr>
        <w:pStyle w:val="FootnoteText"/>
        <w:spacing w:before="0"/>
      </w:pPr>
      <w:r w:rsidRPr="00580355">
        <w:rPr>
          <w:rStyle w:val="FootnoteReference"/>
          <w:szCs w:val="18"/>
        </w:rPr>
        <w:footnoteRef/>
      </w:r>
      <w:r w:rsidRPr="00580355">
        <w:rPr>
          <w:sz w:val="18"/>
          <w:szCs w:val="18"/>
        </w:rPr>
        <w:tab/>
        <w:t>Les ressources extrabudgétaires de Telecom et du SMSI ne sont pas prises en compte.</w:t>
      </w:r>
    </w:p>
  </w:footnote>
  <w:footnote w:id="5">
    <w:p w:rsidR="00931B29" w:rsidRPr="001C763C" w:rsidRDefault="00931B29" w:rsidP="00931B29">
      <w:pPr>
        <w:pStyle w:val="FootnoteText"/>
        <w:spacing w:before="0"/>
        <w:rPr>
          <w:sz w:val="18"/>
          <w:szCs w:val="18"/>
        </w:rPr>
      </w:pPr>
      <w:r w:rsidRPr="001C763C">
        <w:rPr>
          <w:rStyle w:val="FootnoteReference"/>
          <w:szCs w:val="18"/>
        </w:rPr>
        <w:footnoteRef/>
      </w:r>
      <w:r w:rsidRPr="001C763C">
        <w:rPr>
          <w:sz w:val="18"/>
          <w:szCs w:val="18"/>
        </w:rPr>
        <w:tab/>
        <w:t>Estimations, en particulier pour la période 2020-2021. L'affectation des ressources pour les prochaines années pourra être modifiée à la suite de décisions de la haute direction.</w:t>
      </w:r>
    </w:p>
  </w:footnote>
  <w:footnote w:id="6">
    <w:p w:rsidR="00931B29" w:rsidRPr="00531F88" w:rsidRDefault="00931B29" w:rsidP="00931B29">
      <w:pPr>
        <w:pStyle w:val="FootnoteText"/>
        <w:spacing w:before="0"/>
        <w:rPr>
          <w:sz w:val="18"/>
          <w:szCs w:val="18"/>
        </w:rPr>
      </w:pPr>
      <w:r w:rsidRPr="00531F88">
        <w:rPr>
          <w:rStyle w:val="FootnoteReference"/>
          <w:szCs w:val="18"/>
        </w:rPr>
        <w:footnoteRef/>
      </w:r>
      <w:r w:rsidRPr="00531F88">
        <w:rPr>
          <w:sz w:val="18"/>
          <w:szCs w:val="18"/>
        </w:rPr>
        <w:tab/>
        <w:t>Estimations, en particulier pour la période 2020-2021. L'affectation des ressources pour les prochaines années pourra être modifiée à la suite de décisions de la haute direction.</w:t>
      </w:r>
    </w:p>
  </w:footnote>
  <w:footnote w:id="7">
    <w:p w:rsidR="00931B29" w:rsidRPr="00531F88" w:rsidRDefault="00931B29" w:rsidP="00931B29">
      <w:pPr>
        <w:pStyle w:val="FootnoteText"/>
        <w:spacing w:before="0"/>
        <w:rPr>
          <w:sz w:val="18"/>
          <w:szCs w:val="18"/>
        </w:rPr>
      </w:pPr>
      <w:r w:rsidRPr="00531F88">
        <w:rPr>
          <w:rStyle w:val="FootnoteReference"/>
          <w:szCs w:val="18"/>
        </w:rPr>
        <w:footnoteRef/>
      </w:r>
      <w:r w:rsidRPr="00531F88">
        <w:rPr>
          <w:sz w:val="18"/>
          <w:szCs w:val="18"/>
        </w:rPr>
        <w:tab/>
        <w:t>Estimations, en particulier pour la période 2020</w:t>
      </w:r>
      <w:r w:rsidRPr="00531F88">
        <w:rPr>
          <w:sz w:val="18"/>
          <w:szCs w:val="18"/>
        </w:rPr>
        <w:noBreakHyphen/>
        <w:t>2021. L'affectation des ressources pour les prochaines années pourra être modifiée à la suite de décisions de la haute direction.</w:t>
      </w:r>
    </w:p>
  </w:footnote>
  <w:footnote w:id="8">
    <w:p w:rsidR="00931B29" w:rsidRPr="00531F88" w:rsidRDefault="00931B29" w:rsidP="00931B29">
      <w:pPr>
        <w:pStyle w:val="FootnoteText"/>
        <w:spacing w:before="0"/>
        <w:rPr>
          <w:sz w:val="18"/>
          <w:szCs w:val="18"/>
        </w:rPr>
      </w:pPr>
      <w:r w:rsidRPr="00531F88">
        <w:rPr>
          <w:rStyle w:val="FootnoteReference"/>
          <w:szCs w:val="18"/>
        </w:rPr>
        <w:footnoteRef/>
      </w:r>
      <w:r w:rsidRPr="00531F88">
        <w:rPr>
          <w:sz w:val="18"/>
          <w:szCs w:val="18"/>
        </w:rPr>
        <w:tab/>
        <w:t>Estimations, en particulier pour la période 2020</w:t>
      </w:r>
      <w:r w:rsidRPr="00531F88">
        <w:rPr>
          <w:sz w:val="18"/>
          <w:szCs w:val="18"/>
        </w:rPr>
        <w:noBreakHyphen/>
        <w:t>2021.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9" w:rsidRPr="006D271A" w:rsidRDefault="00931B29" w:rsidP="00741A31">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24F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42045">
      <w:rPr>
        <w:noProof/>
        <w:sz w:val="22"/>
        <w:szCs w:val="22"/>
        <w:lang w:val="de-CH"/>
      </w:rPr>
      <w:t>24</w:t>
    </w:r>
    <w:r w:rsidRPr="00972BCD">
      <w:rPr>
        <w:sz w:val="22"/>
        <w:szCs w:val="22"/>
      </w:rPr>
      <w:fldChar w:fldCharType="end"/>
    </w:r>
  </w:p>
  <w:p w:rsidR="00931B29" w:rsidRPr="00741A31" w:rsidRDefault="00931B29" w:rsidP="00A525CC">
    <w:pPr>
      <w:pStyle w:val="Header"/>
      <w:rPr>
        <w:rStyle w:val="PageNumbe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1CF40C8"/>
    <w:multiLevelType w:val="hybridMultilevel"/>
    <w:tmpl w:val="4A3E8B6A"/>
    <w:lvl w:ilvl="0" w:tplc="F7285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
  </w:num>
  <w:num w:numId="3">
    <w:abstractNumId w:val="15"/>
  </w:num>
  <w:num w:numId="4">
    <w:abstractNumId w:val="13"/>
  </w:num>
  <w:num w:numId="5">
    <w:abstractNumId w:val="20"/>
  </w:num>
  <w:num w:numId="6">
    <w:abstractNumId w:val="18"/>
  </w:num>
  <w:num w:numId="7">
    <w:abstractNumId w:val="25"/>
  </w:num>
  <w:num w:numId="8">
    <w:abstractNumId w:val="8"/>
  </w:num>
  <w:num w:numId="9">
    <w:abstractNumId w:val="9"/>
  </w:num>
  <w:num w:numId="10">
    <w:abstractNumId w:val="6"/>
  </w:num>
  <w:num w:numId="11">
    <w:abstractNumId w:val="26"/>
  </w:num>
  <w:num w:numId="12">
    <w:abstractNumId w:val="4"/>
  </w:num>
  <w:num w:numId="13">
    <w:abstractNumId w:val="5"/>
  </w:num>
  <w:num w:numId="14">
    <w:abstractNumId w:val="14"/>
  </w:num>
  <w:num w:numId="15">
    <w:abstractNumId w:val="7"/>
  </w:num>
  <w:num w:numId="16">
    <w:abstractNumId w:val="23"/>
  </w:num>
  <w:num w:numId="17">
    <w:abstractNumId w:val="16"/>
  </w:num>
  <w:num w:numId="18">
    <w:abstractNumId w:val="3"/>
  </w:num>
  <w:num w:numId="19">
    <w:abstractNumId w:val="11"/>
  </w:num>
  <w:num w:numId="20">
    <w:abstractNumId w:val="27"/>
  </w:num>
  <w:num w:numId="21">
    <w:abstractNumId w:val="1"/>
  </w:num>
  <w:num w:numId="22">
    <w:abstractNumId w:val="21"/>
  </w:num>
  <w:num w:numId="23">
    <w:abstractNumId w:val="22"/>
  </w:num>
  <w:num w:numId="24">
    <w:abstractNumId w:val="28"/>
  </w:num>
  <w:num w:numId="25">
    <w:abstractNumId w:val="17"/>
  </w:num>
  <w:num w:numId="26">
    <w:abstractNumId w:val="12"/>
  </w:num>
  <w:num w:numId="27">
    <w:abstractNumId w:val="0"/>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695B"/>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125"/>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3268C"/>
    <w:rsid w:val="00542045"/>
    <w:rsid w:val="0054420E"/>
    <w:rsid w:val="00544D1B"/>
    <w:rsid w:val="00545DC0"/>
    <w:rsid w:val="00545F6C"/>
    <w:rsid w:val="005477D9"/>
    <w:rsid w:val="00553907"/>
    <w:rsid w:val="0055720C"/>
    <w:rsid w:val="005632DD"/>
    <w:rsid w:val="0056423B"/>
    <w:rsid w:val="00573424"/>
    <w:rsid w:val="0057402F"/>
    <w:rsid w:val="005849D6"/>
    <w:rsid w:val="00584E37"/>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0C99"/>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41A31"/>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1B29"/>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7971"/>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01C2F"/>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51850"/>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A31"/>
    <w:rPr>
      <w:rFonts w:asciiTheme="minorHAnsi" w:hAnsiTheme="minorHAnsi"/>
      <w:b/>
      <w:sz w:val="28"/>
      <w:lang w:val="fr-CH" w:eastAsia="en-US"/>
    </w:rPr>
  </w:style>
  <w:style w:type="character" w:customStyle="1" w:styleId="Heading2Char">
    <w:name w:val="Heading 2 Char"/>
    <w:basedOn w:val="DefaultParagraphFont"/>
    <w:link w:val="Heading2"/>
    <w:uiPriority w:val="9"/>
    <w:rsid w:val="00741A31"/>
    <w:rPr>
      <w:rFonts w:asciiTheme="minorHAnsi" w:hAnsiTheme="minorHAnsi"/>
      <w:b/>
      <w:sz w:val="24"/>
      <w:lang w:val="fr-CH" w:eastAsia="en-US"/>
    </w:rPr>
  </w:style>
  <w:style w:type="character" w:customStyle="1" w:styleId="Heading3Char">
    <w:name w:val="Heading 3 Char"/>
    <w:basedOn w:val="DefaultParagraphFont"/>
    <w:link w:val="Heading3"/>
    <w:uiPriority w:val="9"/>
    <w:rsid w:val="00741A31"/>
    <w:rPr>
      <w:rFonts w:asciiTheme="minorHAnsi" w:hAnsiTheme="minorHAnsi"/>
      <w:b/>
      <w:sz w:val="24"/>
      <w:lang w:val="fr-CH" w:eastAsia="en-US"/>
    </w:rPr>
  </w:style>
  <w:style w:type="character" w:customStyle="1" w:styleId="Heading4Char">
    <w:name w:val="Heading 4 Char"/>
    <w:basedOn w:val="DefaultParagraphFont"/>
    <w:link w:val="Heading4"/>
    <w:uiPriority w:val="9"/>
    <w:rsid w:val="00741A31"/>
    <w:rPr>
      <w:rFonts w:asciiTheme="minorHAnsi" w:hAnsiTheme="minorHAnsi"/>
      <w:b/>
      <w:sz w:val="24"/>
      <w:lang w:val="fr-CH" w:eastAsia="en-US"/>
    </w:rPr>
  </w:style>
  <w:style w:type="character" w:customStyle="1" w:styleId="Heading5Char">
    <w:name w:val="Heading 5 Char"/>
    <w:basedOn w:val="DefaultParagraphFont"/>
    <w:link w:val="Heading5"/>
    <w:uiPriority w:val="9"/>
    <w:rsid w:val="00741A31"/>
    <w:rPr>
      <w:rFonts w:asciiTheme="minorHAnsi" w:hAnsiTheme="minorHAnsi"/>
      <w:b/>
      <w:sz w:val="24"/>
      <w:lang w:val="fr-CH" w:eastAsia="en-US"/>
    </w:rPr>
  </w:style>
  <w:style w:type="character" w:customStyle="1" w:styleId="Heading6Char">
    <w:name w:val="Heading 6 Char"/>
    <w:basedOn w:val="DefaultParagraphFont"/>
    <w:link w:val="Heading6"/>
    <w:uiPriority w:val="9"/>
    <w:rsid w:val="00741A31"/>
    <w:rPr>
      <w:rFonts w:asciiTheme="minorHAnsi" w:hAnsiTheme="minorHAnsi"/>
      <w:b/>
      <w:sz w:val="24"/>
      <w:lang w:val="fr-CH" w:eastAsia="en-US"/>
    </w:rPr>
  </w:style>
  <w:style w:type="character" w:customStyle="1" w:styleId="Heading7Char">
    <w:name w:val="Heading 7 Char"/>
    <w:basedOn w:val="DefaultParagraphFont"/>
    <w:link w:val="Heading7"/>
    <w:uiPriority w:val="9"/>
    <w:rsid w:val="00741A31"/>
    <w:rPr>
      <w:rFonts w:asciiTheme="minorHAnsi" w:hAnsiTheme="minorHAnsi"/>
      <w:b/>
      <w:sz w:val="24"/>
      <w:lang w:val="fr-CH" w:eastAsia="en-US"/>
    </w:rPr>
  </w:style>
  <w:style w:type="character" w:customStyle="1" w:styleId="Heading8Char">
    <w:name w:val="Heading 8 Char"/>
    <w:basedOn w:val="DefaultParagraphFont"/>
    <w:link w:val="Heading8"/>
    <w:uiPriority w:val="9"/>
    <w:rsid w:val="00741A31"/>
    <w:rPr>
      <w:rFonts w:asciiTheme="minorHAnsi" w:hAnsiTheme="minorHAnsi"/>
      <w:b/>
      <w:sz w:val="24"/>
      <w:lang w:val="fr-CH" w:eastAsia="en-US"/>
    </w:rPr>
  </w:style>
  <w:style w:type="character" w:customStyle="1" w:styleId="Heading9Char">
    <w:name w:val="Heading 9 Char"/>
    <w:basedOn w:val="DefaultParagraphFont"/>
    <w:link w:val="Heading9"/>
    <w:uiPriority w:val="9"/>
    <w:rsid w:val="00741A31"/>
    <w:rPr>
      <w:rFonts w:asciiTheme="minorHAnsi" w:hAnsiTheme="minorHAnsi"/>
      <w:b/>
      <w:sz w:val="24"/>
      <w:lang w:val="fr-CH" w:eastAsia="en-US"/>
    </w:rPr>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character" w:customStyle="1" w:styleId="FootnoteTextChar">
    <w:name w:val="Footnote Text Char"/>
    <w:basedOn w:val="DefaultParagraphFont"/>
    <w:link w:val="FootnoteText"/>
    <w:rsid w:val="00741A31"/>
    <w:rPr>
      <w:rFonts w:asciiTheme="minorHAnsi" w:hAnsiTheme="minorHAnsi"/>
      <w:sz w:val="24"/>
      <w:lang w:val="fr-CH" w:eastAsia="en-US"/>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basedOn w:val="DefaultParagraphFont"/>
    <w:link w:val="Call"/>
    <w:locked/>
    <w:rsid w:val="00741A31"/>
    <w:rPr>
      <w:rFonts w:asciiTheme="minorHAnsi" w:hAnsiTheme="minorHAnsi"/>
      <w:i/>
      <w:sz w:val="24"/>
      <w:lang w:val="fr-CH"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53268C"/>
    <w:rPr>
      <w:color w:val="800080" w:themeColor="followedHyperlink"/>
      <w:u w:val="single"/>
    </w:rPr>
  </w:style>
  <w:style w:type="paragraph" w:customStyle="1" w:styleId="DeclNo">
    <w:name w:val="Decl_No"/>
    <w:basedOn w:val="AnnexNo"/>
    <w:next w:val="Normalaftertitle"/>
    <w:qFormat/>
    <w:rsid w:val="00741A31"/>
    <w:rPr>
      <w:bCs/>
    </w:rPr>
  </w:style>
  <w:style w:type="character" w:customStyle="1" w:styleId="BalloonTextChar">
    <w:name w:val="Balloon Text Char"/>
    <w:basedOn w:val="DefaultParagraphFont"/>
    <w:link w:val="BalloonText"/>
    <w:uiPriority w:val="99"/>
    <w:semiHidden/>
    <w:rsid w:val="00741A31"/>
    <w:rPr>
      <w:rFonts w:ascii="Tahoma" w:hAnsi="Tahoma" w:cs="Tahoma"/>
      <w:sz w:val="16"/>
      <w:szCs w:val="16"/>
      <w:lang w:val="fr-CH" w:eastAsia="en-US"/>
    </w:rPr>
  </w:style>
  <w:style w:type="paragraph" w:styleId="BalloonText">
    <w:name w:val="Balloon Text"/>
    <w:basedOn w:val="Normal"/>
    <w:link w:val="BalloonTextChar"/>
    <w:uiPriority w:val="99"/>
    <w:semiHidden/>
    <w:unhideWhenUsed/>
    <w:rsid w:val="00741A31"/>
    <w:pPr>
      <w:spacing w:before="0"/>
    </w:pPr>
    <w:rPr>
      <w:rFonts w:ascii="Tahoma" w:hAnsi="Tahoma" w:cs="Tahoma"/>
      <w:sz w:val="16"/>
      <w:szCs w:val="16"/>
    </w:rPr>
  </w:style>
  <w:style w:type="paragraph" w:customStyle="1" w:styleId="Head">
    <w:name w:val="Head"/>
    <w:basedOn w:val="Normal"/>
    <w:rsid w:val="00741A31"/>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fr-FR"/>
    </w:rPr>
  </w:style>
  <w:style w:type="paragraph" w:styleId="List">
    <w:name w:val="List"/>
    <w:basedOn w:val="Normal"/>
    <w:rsid w:val="00741A31"/>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fr-FR"/>
    </w:rPr>
  </w:style>
  <w:style w:type="paragraph" w:customStyle="1" w:styleId="Part">
    <w:name w:val="Part"/>
    <w:basedOn w:val="Normal"/>
    <w:rsid w:val="00741A31"/>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lang w:val="fr-FR"/>
    </w:rPr>
  </w:style>
  <w:style w:type="paragraph" w:customStyle="1" w:styleId="meeting">
    <w:name w:val="meeting"/>
    <w:basedOn w:val="Head"/>
    <w:next w:val="Head"/>
    <w:rsid w:val="00741A31"/>
    <w:pPr>
      <w:tabs>
        <w:tab w:val="left" w:pos="7371"/>
      </w:tabs>
      <w:spacing w:after="567"/>
    </w:pPr>
  </w:style>
  <w:style w:type="paragraph" w:customStyle="1" w:styleId="Subject">
    <w:name w:val="Subject"/>
    <w:basedOn w:val="Normal"/>
    <w:next w:val="Source"/>
    <w:rsid w:val="00741A31"/>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lang w:val="fr-FR"/>
    </w:rPr>
  </w:style>
  <w:style w:type="paragraph" w:customStyle="1" w:styleId="Object">
    <w:name w:val="Object"/>
    <w:basedOn w:val="Subject"/>
    <w:next w:val="Subject"/>
    <w:rsid w:val="00741A31"/>
  </w:style>
  <w:style w:type="paragraph" w:customStyle="1" w:styleId="Data">
    <w:name w:val="Data"/>
    <w:basedOn w:val="Subject"/>
    <w:next w:val="Subject"/>
    <w:rsid w:val="00741A31"/>
  </w:style>
  <w:style w:type="paragraph" w:customStyle="1" w:styleId="Figure">
    <w:name w:val="Figure"/>
    <w:basedOn w:val="Normal"/>
    <w:next w:val="Figuretitle"/>
    <w:rsid w:val="00741A31"/>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lang w:val="fr-FR"/>
    </w:rPr>
  </w:style>
  <w:style w:type="paragraph" w:customStyle="1" w:styleId="firstfooter0">
    <w:name w:val="firstfooter"/>
    <w:basedOn w:val="Normal"/>
    <w:rsid w:val="00741A3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741A31"/>
    <w:pPr>
      <w:keepNext/>
      <w:overflowPunct/>
      <w:autoSpaceDE/>
      <w:autoSpaceDN/>
      <w:adjustRightInd/>
      <w:spacing w:before="560" w:after="120"/>
      <w:jc w:val="center"/>
      <w:textAlignment w:val="auto"/>
    </w:pPr>
    <w:rPr>
      <w:rFonts w:ascii="Times New Roman" w:hAnsi="Times New Roman"/>
      <w:caps/>
      <w:lang w:val="en-GB"/>
    </w:rPr>
  </w:style>
  <w:style w:type="paragraph" w:customStyle="1" w:styleId="docnoted">
    <w:name w:val="docnoted"/>
    <w:basedOn w:val="Normal"/>
    <w:rsid w:val="00741A31"/>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fr-FR"/>
    </w:rPr>
  </w:style>
  <w:style w:type="paragraph" w:styleId="Title">
    <w:name w:val="Title"/>
    <w:basedOn w:val="Normal"/>
    <w:next w:val="Normal"/>
    <w:link w:val="TitleChar"/>
    <w:uiPriority w:val="10"/>
    <w:qFormat/>
    <w:rsid w:val="00741A31"/>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741A31"/>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741A31"/>
    <w:rPr>
      <w:b/>
      <w:bCs/>
    </w:rPr>
  </w:style>
  <w:style w:type="paragraph" w:styleId="IntenseQuote">
    <w:name w:val="Intense Quote"/>
    <w:basedOn w:val="Normal"/>
    <w:next w:val="Normal"/>
    <w:link w:val="IntenseQuoteChar"/>
    <w:uiPriority w:val="30"/>
    <w:qFormat/>
    <w:rsid w:val="00741A31"/>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41A31"/>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41A31"/>
    <w:rPr>
      <w:b/>
      <w:bCs/>
      <w:smallCaps/>
      <w:color w:val="4F81BD" w:themeColor="accent1"/>
      <w:spacing w:val="5"/>
    </w:rPr>
  </w:style>
  <w:style w:type="character" w:styleId="SubtleReference">
    <w:name w:val="Subtle Reference"/>
    <w:basedOn w:val="DefaultParagraphFont"/>
    <w:uiPriority w:val="31"/>
    <w:qFormat/>
    <w:rsid w:val="00741A31"/>
    <w:rPr>
      <w:smallCaps/>
      <w:color w:val="5A5A5A" w:themeColor="text1" w:themeTint="A5"/>
    </w:rPr>
  </w:style>
  <w:style w:type="paragraph" w:customStyle="1" w:styleId="SimpleHeading">
    <w:name w:val="Simple Heading"/>
    <w:basedOn w:val="Normal"/>
    <w:link w:val="SimpleHeadingChar"/>
    <w:qFormat/>
    <w:rsid w:val="00741A31"/>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741A31"/>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41A31"/>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lang w:val="fr-FR"/>
    </w:rPr>
  </w:style>
  <w:style w:type="character" w:customStyle="1" w:styleId="IdeasChar">
    <w:name w:val="Ideas Char"/>
    <w:basedOn w:val="Heading1Char"/>
    <w:link w:val="Ideas"/>
    <w:rsid w:val="00741A31"/>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741A31"/>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741A31"/>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741A31"/>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SubjectChar">
    <w:name w:val="Comment Subject Char"/>
    <w:basedOn w:val="CommentTextChar"/>
    <w:link w:val="CommentSubject"/>
    <w:uiPriority w:val="99"/>
    <w:semiHidden/>
    <w:rsid w:val="00741A31"/>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741A31"/>
    <w:rPr>
      <w:b/>
      <w:bCs/>
    </w:rPr>
  </w:style>
  <w:style w:type="paragraph" w:customStyle="1" w:styleId="Otherideas">
    <w:name w:val="Other ideas"/>
    <w:basedOn w:val="Heading2"/>
    <w:link w:val="OtherideasChar"/>
    <w:qFormat/>
    <w:rsid w:val="00741A31"/>
    <w:pPr>
      <w:numPr>
        <w:ilvl w:val="1"/>
      </w:numPr>
      <w:tabs>
        <w:tab w:val="clear" w:pos="794"/>
        <w:tab w:val="clear" w:pos="1191"/>
        <w:tab w:val="clear" w:pos="1588"/>
        <w:tab w:val="clear" w:pos="1985"/>
      </w:tabs>
      <w:overflowPunct/>
      <w:autoSpaceDE/>
      <w:autoSpaceDN/>
      <w:adjustRightInd/>
      <w:spacing w:before="240"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lang w:val="fr-FR"/>
    </w:rPr>
  </w:style>
  <w:style w:type="character" w:customStyle="1" w:styleId="OtherideasChar">
    <w:name w:val="Other ideas Char"/>
    <w:basedOn w:val="Heading2Char"/>
    <w:link w:val="Otherideas"/>
    <w:rsid w:val="00741A31"/>
    <w:rPr>
      <w:rFonts w:asciiTheme="majorHAnsi" w:eastAsiaTheme="majorEastAsia" w:hAnsiTheme="majorHAnsi" w:cstheme="majorBidi"/>
      <w:b w:val="0"/>
      <w:color w:val="E36C0A" w:themeColor="accent6" w:themeShade="BF"/>
      <w:sz w:val="26"/>
      <w:szCs w:val="26"/>
      <w:lang w:val="fr-FR" w:eastAsia="en-US"/>
    </w:rPr>
  </w:style>
  <w:style w:type="table" w:customStyle="1" w:styleId="GridTable4-Accent11">
    <w:name w:val="Grid Table 4 - Accent 11"/>
    <w:basedOn w:val="TableNormal"/>
    <w:uiPriority w:val="49"/>
    <w:rsid w:val="00741A3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41A31"/>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table" w:customStyle="1" w:styleId="GridTable4-Accent12">
    <w:name w:val="Grid Table 4 - Accent 12"/>
    <w:basedOn w:val="TableNormal"/>
    <w:uiPriority w:val="49"/>
    <w:rsid w:val="00741A3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741A31"/>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fr" TargetMode="External"/><Relationship Id="rId17" Type="http://schemas.openxmlformats.org/officeDocument/2006/relationships/package" Target="embeddings/Microsoft_PowerPoint_Slide1.sl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pub/S-CONF-PLEN-2015/fr"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f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 prévisionnelle des ressources 	par catalyseur</a:t>
            </a:r>
          </a:p>
        </c:rich>
      </c:tx>
      <c:layout>
        <c:manualLayout>
          <c:xMode val="edge"/>
          <c:yMode val="edge"/>
          <c:x val="0.2094775570272259"/>
          <c:y val="2.889686583294735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 prévisionnelle des ressources </a:t>
            </a:r>
            <a:br>
              <a:rPr lang="en-US" sz="1400" b="0">
                <a:solidFill>
                  <a:schemeClr val="accent1"/>
                </a:solidFill>
                <a:latin typeface="+mj-lt"/>
              </a:rPr>
            </a:br>
            <a:r>
              <a:rPr lang="en-US" sz="1400" b="0">
                <a:solidFill>
                  <a:schemeClr val="accent1"/>
                </a:solidFill>
                <a:latin typeface="+mj-lt"/>
              </a:rPr>
              <a:t>par objectif</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B11B-E517-4E1C-8613-7555506D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24</Pages>
  <Words>6588</Words>
  <Characters>38390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Bontemps, Johann</dc:creator>
  <cp:lastModifiedBy>Margaret Murphy</cp:lastModifiedBy>
  <cp:revision>7</cp:revision>
  <cp:lastPrinted>2017-05-08T11:25:00Z</cp:lastPrinted>
  <dcterms:created xsi:type="dcterms:W3CDTF">2017-05-08T09:48:00Z</dcterms:created>
  <dcterms:modified xsi:type="dcterms:W3CDTF">2017-05-08T12:58:00Z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