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FC393E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C393E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C393E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FC393E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C393E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C393E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FC393E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C393E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FC393E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 w:rsidRPr="00FC393E"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FC393E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FC393E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FC393E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FC393E" w:rsidTr="004B7893">
        <w:trPr>
          <w:cantSplit/>
        </w:trPr>
        <w:tc>
          <w:tcPr>
            <w:tcW w:w="6663" w:type="dxa"/>
            <w:gridSpan w:val="2"/>
          </w:tcPr>
          <w:p w:rsidR="004B7893" w:rsidRPr="00FC393E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FC393E" w:rsidRDefault="005637B9" w:rsidP="00184FED">
            <w:pPr>
              <w:spacing w:before="0"/>
              <w:rPr>
                <w:bCs/>
                <w:lang w:val="es-ES_tradnl"/>
              </w:rPr>
            </w:pPr>
            <w:r w:rsidRPr="00FC393E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FC393E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184FED" w:rsidRPr="00FC393E">
              <w:rPr>
                <w:b/>
                <w:bCs/>
                <w:lang w:val="es-ES_tradnl"/>
              </w:rPr>
              <w:t>25</w:t>
            </w:r>
            <w:r w:rsidRPr="00FC393E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FC393E" w:rsidTr="004B7893">
        <w:trPr>
          <w:cantSplit/>
        </w:trPr>
        <w:tc>
          <w:tcPr>
            <w:tcW w:w="6663" w:type="dxa"/>
            <w:gridSpan w:val="2"/>
          </w:tcPr>
          <w:p w:rsidR="004B7893" w:rsidRPr="00FC393E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C393E" w:rsidRDefault="00184FED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FC393E">
              <w:rPr>
                <w:b/>
                <w:bCs/>
                <w:szCs w:val="24"/>
                <w:lang w:val="es-ES_tradnl"/>
              </w:rPr>
              <w:t>28 de febrero de 2017</w:t>
            </w:r>
          </w:p>
        </w:tc>
      </w:tr>
      <w:tr w:rsidR="004B7893" w:rsidRPr="00FC393E" w:rsidTr="004B7893">
        <w:trPr>
          <w:cantSplit/>
        </w:trPr>
        <w:tc>
          <w:tcPr>
            <w:tcW w:w="6663" w:type="dxa"/>
            <w:gridSpan w:val="2"/>
          </w:tcPr>
          <w:p w:rsidR="004B7893" w:rsidRPr="00FC393E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C393E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FC393E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FC393E">
              <w:rPr>
                <w:b/>
                <w:lang w:val="es-ES_tradnl"/>
              </w:rPr>
              <w:t xml:space="preserve"> </w:t>
            </w:r>
            <w:r w:rsidR="00184FED" w:rsidRPr="00FC393E">
              <w:rPr>
                <w:b/>
                <w:lang w:val="es-ES_tradnl"/>
              </w:rPr>
              <w:t>inglés</w:t>
            </w:r>
          </w:p>
        </w:tc>
      </w:tr>
      <w:tr w:rsidR="004B7893" w:rsidRPr="00FC393E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FC393E" w:rsidRDefault="00184FED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FC393E">
              <w:rPr>
                <w:szCs w:val="28"/>
                <w:lang w:val="es-ES_tradnl"/>
              </w:rPr>
              <w:t>Director de la Oficina de Desarrollo de las Telecomunicaciones</w:t>
            </w:r>
          </w:p>
        </w:tc>
      </w:tr>
      <w:tr w:rsidR="004B7893" w:rsidRPr="00FC393E" w:rsidTr="004B7893">
        <w:trPr>
          <w:cantSplit/>
        </w:trPr>
        <w:tc>
          <w:tcPr>
            <w:tcW w:w="9888" w:type="dxa"/>
            <w:gridSpan w:val="3"/>
          </w:tcPr>
          <w:p w:rsidR="004B7893" w:rsidRPr="00FC393E" w:rsidRDefault="00184FED" w:rsidP="00184FED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FC393E">
              <w:rPr>
                <w:szCs w:val="28"/>
                <w:lang w:val="es-ES_tradnl"/>
              </w:rPr>
              <w:t>RESULTADOS DE LA ENCUESTA DE SATISFACCIÓN</w:t>
            </w:r>
            <w:r w:rsidRPr="00FC393E">
              <w:rPr>
                <w:szCs w:val="28"/>
                <w:lang w:val="es-ES_tradnl"/>
              </w:rPr>
              <w:br/>
              <w:t>CON RESPECTO A LA PRESENCIA REGIONAL DE LA UIT</w:t>
            </w:r>
          </w:p>
        </w:tc>
      </w:tr>
      <w:tr w:rsidR="004B7893" w:rsidRPr="00FC393E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FC393E" w:rsidRDefault="004B7893" w:rsidP="00BC7208">
            <w:pPr>
              <w:rPr>
                <w:lang w:val="es-ES_tradnl"/>
              </w:rPr>
            </w:pPr>
          </w:p>
        </w:tc>
      </w:tr>
      <w:tr w:rsidR="004B7893" w:rsidRPr="00FC393E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FC393E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FC393E">
              <w:rPr>
                <w:b/>
                <w:bCs/>
                <w:lang w:val="es-ES_tradnl"/>
              </w:rPr>
              <w:t>Resumen:</w:t>
            </w:r>
          </w:p>
          <w:p w:rsidR="004B7893" w:rsidRPr="00FC393E" w:rsidRDefault="00184FED" w:rsidP="004B7893">
            <w:pPr>
              <w:rPr>
                <w:b/>
                <w:bCs/>
                <w:lang w:val="es-ES_tradnl"/>
              </w:rPr>
            </w:pPr>
            <w:r w:rsidRPr="00FC393E">
              <w:rPr>
                <w:lang w:val="es-ES_tradnl"/>
              </w:rPr>
              <w:t>En este documento se presentan los resultados preliminares de la encuesta de satisfacción con respecto a la presencia regional de la UIT</w:t>
            </w:r>
          </w:p>
          <w:p w:rsidR="004B7893" w:rsidRPr="00FC393E" w:rsidRDefault="004B7893" w:rsidP="004B7893">
            <w:pPr>
              <w:rPr>
                <w:b/>
                <w:bCs/>
                <w:lang w:val="es-ES_tradnl"/>
              </w:rPr>
            </w:pPr>
            <w:r w:rsidRPr="00FC393E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FC393E" w:rsidRDefault="00184FED" w:rsidP="004B7893">
            <w:pPr>
              <w:rPr>
                <w:b/>
                <w:bCs/>
                <w:lang w:val="es-ES_tradnl"/>
              </w:rPr>
            </w:pPr>
            <w:r w:rsidRPr="00FC393E">
              <w:rPr>
                <w:lang w:val="es-ES_tradnl"/>
              </w:rPr>
              <w:t>Se invita al GADT a que examine el Informe y facilite las orientaciones que considere convenientes</w:t>
            </w:r>
          </w:p>
          <w:p w:rsidR="004B7893" w:rsidRPr="00FC393E" w:rsidRDefault="004B7893" w:rsidP="004B7893">
            <w:pPr>
              <w:rPr>
                <w:b/>
                <w:bCs/>
                <w:lang w:val="es-ES_tradnl"/>
              </w:rPr>
            </w:pPr>
            <w:r w:rsidRPr="00FC393E">
              <w:rPr>
                <w:b/>
                <w:bCs/>
                <w:lang w:val="es-ES_tradnl"/>
              </w:rPr>
              <w:t>Referencias:</w:t>
            </w:r>
          </w:p>
          <w:p w:rsidR="004B7893" w:rsidRPr="00FC393E" w:rsidRDefault="00184FED" w:rsidP="004B7893">
            <w:pPr>
              <w:rPr>
                <w:b/>
                <w:bCs/>
                <w:lang w:val="es-ES_tradnl"/>
              </w:rPr>
            </w:pPr>
            <w:r w:rsidRPr="00FC393E">
              <w:rPr>
                <w:lang w:val="es-ES_tradnl"/>
              </w:rPr>
              <w:t>Resolución 25 (Rev. Busán, 2014) y sus Anexos</w:t>
            </w:r>
          </w:p>
        </w:tc>
      </w:tr>
    </w:tbl>
    <w:p w:rsidR="00184FED" w:rsidRPr="00FC393E" w:rsidRDefault="00154A60" w:rsidP="00154A60">
      <w:pPr>
        <w:pStyle w:val="enumlev1"/>
        <w:spacing w:before="240"/>
        <w:rPr>
          <w:lang w:val="es-ES_tradnl"/>
        </w:rPr>
      </w:pPr>
      <w:r>
        <w:rPr>
          <w:rFonts w:eastAsia="Arial Unicode MS"/>
          <w:lang w:val="es-ES_tradnl"/>
        </w:rPr>
        <w:t>1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La finalidad de este documento es la presentación de los resultados de la encuesta de </w:t>
      </w:r>
      <w:r w:rsidR="00184FED" w:rsidRPr="00154A60">
        <w:rPr>
          <w:lang w:val="es-ES_tradnl"/>
        </w:rPr>
        <w:t>satisfacción</w:t>
      </w:r>
      <w:r w:rsidR="00184FED" w:rsidRPr="00FC393E">
        <w:rPr>
          <w:rFonts w:eastAsia="Arial Unicode MS"/>
          <w:lang w:val="es-ES_tradnl"/>
        </w:rPr>
        <w:t xml:space="preserve"> con respecto a la presencia regional de la UIT.</w:t>
      </w:r>
    </w:p>
    <w:p w:rsidR="00184FED" w:rsidRPr="00FC393E" w:rsidRDefault="00154A60" w:rsidP="00154A60">
      <w:pPr>
        <w:pStyle w:val="enumlev1"/>
        <w:rPr>
          <w:lang w:val="es-ES_tradnl"/>
        </w:rPr>
      </w:pPr>
      <w:r>
        <w:rPr>
          <w:lang w:val="es-ES_tradnl"/>
        </w:rPr>
        <w:t>2</w:t>
      </w:r>
      <w:r>
        <w:rPr>
          <w:lang w:val="es-ES_tradnl"/>
        </w:rPr>
        <w:tab/>
      </w:r>
      <w:r w:rsidR="00184FED" w:rsidRPr="00FC393E">
        <w:rPr>
          <w:lang w:val="es-ES_tradnl"/>
        </w:rPr>
        <w:t>La UIT ha recibido 129 respuestas a la encuesta, 88 de Estados Miembros y 41 de Miembros de Sector, Asociados, Instituciones Académicas, organizaciones regionales y organizaciones internacionales con la distribución que se muestra en los Cuadros 1 y 2 de la página siguiente.</w:t>
      </w:r>
    </w:p>
    <w:p w:rsidR="00184FED" w:rsidRPr="00FC393E" w:rsidRDefault="00184FED" w:rsidP="00184FED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es-ES_tradnl"/>
        </w:rPr>
      </w:pPr>
      <w:r w:rsidRPr="00FC393E">
        <w:rPr>
          <w:rFonts w:cstheme="minorHAnsi"/>
          <w:szCs w:val="24"/>
          <w:lang w:val="es-ES_tradnl"/>
        </w:rPr>
        <w:br w:type="page"/>
      </w:r>
    </w:p>
    <w:p w:rsidR="00184FED" w:rsidRPr="00FC393E" w:rsidRDefault="00184FED" w:rsidP="00686C1F">
      <w:pPr>
        <w:pStyle w:val="TableNo"/>
        <w:rPr>
          <w:rFonts w:eastAsia="Arial Unicode MS"/>
        </w:rPr>
      </w:pPr>
      <w:r w:rsidRPr="00FC393E">
        <w:rPr>
          <w:rFonts w:eastAsia="Arial Unicode MS"/>
        </w:rPr>
        <w:lastRenderedPageBreak/>
        <w:t>Cuadro 1</w:t>
      </w:r>
    </w:p>
    <w:tbl>
      <w:tblPr>
        <w:tblStyle w:val="TableGrid1"/>
        <w:tblpPr w:leftFromText="180" w:rightFromText="180" w:vertAnchor="page" w:horzAnchor="margin" w:tblpXSpec="center" w:tblpY="2056"/>
        <w:tblW w:w="9401" w:type="dxa"/>
        <w:tblLook w:val="04A0" w:firstRow="1" w:lastRow="0" w:firstColumn="1" w:lastColumn="0" w:noHBand="0" w:noVBand="1"/>
      </w:tblPr>
      <w:tblGrid>
        <w:gridCol w:w="1879"/>
        <w:gridCol w:w="1739"/>
        <w:gridCol w:w="1876"/>
        <w:gridCol w:w="1885"/>
        <w:gridCol w:w="2022"/>
      </w:tblGrid>
      <w:tr w:rsidR="00184FED" w:rsidRPr="00FC393E" w:rsidTr="00084FB7">
        <w:trPr>
          <w:trHeight w:val="386"/>
        </w:trPr>
        <w:tc>
          <w:tcPr>
            <w:tcW w:w="1879" w:type="dxa"/>
            <w:shd w:val="clear" w:color="auto" w:fill="B8CCE4"/>
            <w:noWrap/>
            <w:hideMark/>
          </w:tcPr>
          <w:p w:rsidR="00184FED" w:rsidRPr="00686C1F" w:rsidRDefault="00184FED" w:rsidP="00686C1F">
            <w:pPr>
              <w:pStyle w:val="Tablehead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ab/>
            </w:r>
          </w:p>
        </w:tc>
        <w:tc>
          <w:tcPr>
            <w:tcW w:w="1739" w:type="dxa"/>
            <w:shd w:val="clear" w:color="auto" w:fill="B8CCE4"/>
            <w:noWrap/>
            <w:hideMark/>
          </w:tcPr>
          <w:p w:rsidR="00184FED" w:rsidRPr="00686C1F" w:rsidRDefault="00184FED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>Países desarrollados</w:t>
            </w:r>
          </w:p>
        </w:tc>
        <w:tc>
          <w:tcPr>
            <w:tcW w:w="1876" w:type="dxa"/>
            <w:shd w:val="clear" w:color="auto" w:fill="B8CCE4"/>
            <w:noWrap/>
            <w:hideMark/>
          </w:tcPr>
          <w:p w:rsidR="00184FED" w:rsidRPr="00686C1F" w:rsidRDefault="00184FED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 xml:space="preserve">Países </w:t>
            </w:r>
            <w:r w:rsidRPr="00686C1F">
              <w:rPr>
                <w:rFonts w:asciiTheme="minorHAnsi" w:hAnsiTheme="minorHAnsi"/>
                <w:bCs/>
                <w:lang w:val="es-ES_tradnl"/>
              </w:rPr>
              <w:br/>
              <w:t>en transición</w:t>
            </w:r>
          </w:p>
        </w:tc>
        <w:tc>
          <w:tcPr>
            <w:tcW w:w="1885" w:type="dxa"/>
            <w:shd w:val="clear" w:color="auto" w:fill="B8CCE4"/>
            <w:noWrap/>
            <w:hideMark/>
          </w:tcPr>
          <w:p w:rsidR="00184FED" w:rsidRPr="00686C1F" w:rsidRDefault="00184FED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 xml:space="preserve">Países </w:t>
            </w:r>
            <w:r w:rsidRPr="00686C1F">
              <w:rPr>
                <w:rFonts w:asciiTheme="minorHAnsi" w:hAnsiTheme="minorHAnsi"/>
                <w:bCs/>
                <w:lang w:val="es-ES_tradnl"/>
              </w:rPr>
              <w:br/>
              <w:t>en desarrollo</w:t>
            </w:r>
          </w:p>
        </w:tc>
        <w:tc>
          <w:tcPr>
            <w:tcW w:w="2022" w:type="dxa"/>
            <w:shd w:val="clear" w:color="auto" w:fill="B8CCE4"/>
            <w:noWrap/>
            <w:hideMark/>
          </w:tcPr>
          <w:p w:rsidR="00184FED" w:rsidRPr="00686C1F" w:rsidRDefault="00184FED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 xml:space="preserve">Países </w:t>
            </w:r>
            <w:r w:rsidRPr="00686C1F">
              <w:rPr>
                <w:rFonts w:asciiTheme="minorHAnsi" w:hAnsiTheme="minorHAnsi"/>
                <w:bCs/>
                <w:lang w:val="es-ES_tradnl"/>
              </w:rPr>
              <w:br/>
              <w:t>menos adelantados</w:t>
            </w:r>
          </w:p>
        </w:tc>
      </w:tr>
      <w:tr w:rsidR="00184FED" w:rsidRPr="00FC393E" w:rsidTr="00686C1F">
        <w:trPr>
          <w:trHeight w:val="323"/>
        </w:trPr>
        <w:tc>
          <w:tcPr>
            <w:tcW w:w="1879" w:type="dxa"/>
            <w:shd w:val="clear" w:color="auto" w:fill="DBE5F1"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/>
                <w:bCs/>
                <w:lang w:val="es-ES_tradnl"/>
              </w:rPr>
              <w:t>%</w:t>
            </w:r>
          </w:p>
        </w:tc>
        <w:tc>
          <w:tcPr>
            <w:tcW w:w="1739" w:type="dxa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9,52 %</w:t>
            </w:r>
          </w:p>
        </w:tc>
        <w:tc>
          <w:tcPr>
            <w:tcW w:w="1876" w:type="dxa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16,67 %</w:t>
            </w:r>
          </w:p>
        </w:tc>
        <w:tc>
          <w:tcPr>
            <w:tcW w:w="1885" w:type="dxa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60,32 %</w:t>
            </w:r>
          </w:p>
        </w:tc>
        <w:tc>
          <w:tcPr>
            <w:tcW w:w="2022" w:type="dxa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13,49 %</w:t>
            </w:r>
          </w:p>
        </w:tc>
      </w:tr>
    </w:tbl>
    <w:p w:rsidR="00184FED" w:rsidRPr="00686C1F" w:rsidRDefault="00184FED" w:rsidP="00686C1F">
      <w:pPr>
        <w:pStyle w:val="TableNo"/>
        <w:rPr>
          <w:rFonts w:eastAsia="Arial Unicode MS"/>
        </w:rPr>
      </w:pPr>
      <w:r w:rsidRPr="00686C1F">
        <w:rPr>
          <w:rFonts w:eastAsia="Arial Unicode MS"/>
        </w:rPr>
        <w:t>Cuadro 2</w:t>
      </w:r>
    </w:p>
    <w:tbl>
      <w:tblPr>
        <w:tblStyle w:val="TableGrid1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763"/>
        <w:gridCol w:w="4725"/>
      </w:tblGrid>
      <w:tr w:rsidR="00686C1F" w:rsidRPr="00FC393E" w:rsidTr="00686C1F">
        <w:trPr>
          <w:trHeight w:val="344"/>
        </w:trPr>
        <w:tc>
          <w:tcPr>
            <w:tcW w:w="9488" w:type="dxa"/>
            <w:gridSpan w:val="2"/>
            <w:shd w:val="clear" w:color="auto" w:fill="B8CCE4"/>
          </w:tcPr>
          <w:p w:rsidR="00686C1F" w:rsidRPr="00686C1F" w:rsidRDefault="00686C1F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>Distribución regional</w:t>
            </w:r>
          </w:p>
        </w:tc>
      </w:tr>
      <w:tr w:rsidR="00686C1F" w:rsidRPr="00FC393E" w:rsidTr="00686C1F">
        <w:trPr>
          <w:trHeight w:val="438"/>
        </w:trPr>
        <w:tc>
          <w:tcPr>
            <w:tcW w:w="4763" w:type="dxa"/>
            <w:shd w:val="clear" w:color="auto" w:fill="DBE5F1"/>
          </w:tcPr>
          <w:p w:rsidR="00686C1F" w:rsidRPr="00686C1F" w:rsidRDefault="00686C1F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>Región</w:t>
            </w:r>
          </w:p>
        </w:tc>
        <w:tc>
          <w:tcPr>
            <w:tcW w:w="4725" w:type="dxa"/>
            <w:shd w:val="clear" w:color="auto" w:fill="DBE5F1"/>
          </w:tcPr>
          <w:p w:rsidR="00686C1F" w:rsidRPr="00686C1F" w:rsidRDefault="00686C1F" w:rsidP="00686C1F">
            <w:pPr>
              <w:pStyle w:val="Tablehead"/>
              <w:rPr>
                <w:rFonts w:asciiTheme="minorHAnsi" w:hAnsiTheme="minorHAnsi"/>
                <w:bCs/>
                <w:lang w:val="es-ES_tradnl"/>
              </w:rPr>
            </w:pPr>
            <w:r w:rsidRPr="00686C1F">
              <w:rPr>
                <w:rFonts w:asciiTheme="minorHAnsi" w:hAnsiTheme="minorHAnsi"/>
                <w:bCs/>
                <w:lang w:val="es-ES_tradnl"/>
              </w:rPr>
              <w:t>%</w:t>
            </w:r>
          </w:p>
        </w:tc>
      </w:tr>
      <w:tr w:rsidR="00686C1F" w:rsidRPr="00FC393E" w:rsidTr="00686C1F">
        <w:trPr>
          <w:trHeight w:val="423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África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14,29 %</w:t>
            </w:r>
          </w:p>
        </w:tc>
      </w:tr>
      <w:tr w:rsidR="00686C1F" w:rsidRPr="00FC393E" w:rsidTr="00686C1F">
        <w:trPr>
          <w:trHeight w:val="423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Américas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38,88 %</w:t>
            </w:r>
          </w:p>
        </w:tc>
      </w:tr>
      <w:tr w:rsidR="00686C1F" w:rsidRPr="00FC393E" w:rsidTr="00686C1F">
        <w:trPr>
          <w:trHeight w:val="423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Estados Árabes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14,29 %</w:t>
            </w:r>
          </w:p>
        </w:tc>
      </w:tr>
      <w:tr w:rsidR="00686C1F" w:rsidRPr="00FC393E" w:rsidTr="00686C1F">
        <w:trPr>
          <w:trHeight w:val="423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Asia-Pacífico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8,73 %</w:t>
            </w:r>
          </w:p>
        </w:tc>
      </w:tr>
      <w:tr w:rsidR="00686C1F" w:rsidRPr="00FC393E" w:rsidTr="00686C1F">
        <w:trPr>
          <w:trHeight w:val="438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Europa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7,94 %</w:t>
            </w:r>
          </w:p>
        </w:tc>
      </w:tr>
      <w:tr w:rsidR="00686C1F" w:rsidRPr="00FC393E" w:rsidTr="00686C1F">
        <w:trPr>
          <w:trHeight w:val="423"/>
        </w:trPr>
        <w:tc>
          <w:tcPr>
            <w:tcW w:w="4763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Países de la CEI</w:t>
            </w:r>
          </w:p>
        </w:tc>
        <w:tc>
          <w:tcPr>
            <w:tcW w:w="4725" w:type="dxa"/>
          </w:tcPr>
          <w:p w:rsidR="00686C1F" w:rsidRPr="00686C1F" w:rsidRDefault="00686C1F" w:rsidP="00686C1F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r w:rsidRPr="00686C1F">
              <w:rPr>
                <w:rFonts w:asciiTheme="minorHAnsi" w:hAnsiTheme="minorHAnsi"/>
                <w:lang w:val="es-ES_tradnl"/>
              </w:rPr>
              <w:t>18,87 %</w:t>
            </w:r>
          </w:p>
        </w:tc>
      </w:tr>
    </w:tbl>
    <w:p w:rsidR="00184FED" w:rsidRPr="00FC393E" w:rsidRDefault="00184FED" w:rsidP="00686C1F">
      <w:pPr>
        <w:pStyle w:val="enumlev1"/>
        <w:rPr>
          <w:lang w:val="es-ES_tradnl"/>
        </w:rPr>
      </w:pPr>
      <w:r w:rsidRPr="00FC393E">
        <w:rPr>
          <w:noProof/>
          <w:lang w:val="en-US" w:eastAsia="zh-CN"/>
        </w:rPr>
        <w:drawing>
          <wp:anchor distT="0" distB="0" distL="114300" distR="114300" simplePos="0" relativeHeight="251664384" behindDoc="1" locked="0" layoutInCell="1" allowOverlap="1" wp14:anchorId="43EF3BBD" wp14:editId="4BD38851">
            <wp:simplePos x="0" y="0"/>
            <wp:positionH relativeFrom="margin">
              <wp:posOffset>-47625</wp:posOffset>
            </wp:positionH>
            <wp:positionV relativeFrom="paragraph">
              <wp:posOffset>3036570</wp:posOffset>
            </wp:positionV>
            <wp:extent cx="6120765" cy="4013200"/>
            <wp:effectExtent l="0" t="0" r="0" b="6350"/>
            <wp:wrapTight wrapText="bothSides">
              <wp:wrapPolygon edited="0">
                <wp:start x="0" y="0"/>
                <wp:lineTo x="0" y="21532"/>
                <wp:lineTo x="21513" y="21532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C1F">
        <w:rPr>
          <w:lang w:val="es-ES_tradnl"/>
        </w:rPr>
        <w:t>3</w:t>
      </w:r>
      <w:r w:rsidR="00686C1F">
        <w:rPr>
          <w:lang w:val="es-ES_tradnl"/>
        </w:rPr>
        <w:tab/>
      </w:r>
      <w:r w:rsidRPr="00FC393E">
        <w:rPr>
          <w:lang w:val="es-ES_tradnl"/>
        </w:rPr>
        <w:t>La distribución geográfica de la participación en la encuesta de satisfacción con respecto a la presencia regional de la UIT, se muestra a continuación:</w:t>
      </w:r>
    </w:p>
    <w:p w:rsidR="00184FED" w:rsidRPr="00FC393E" w:rsidRDefault="00184FED" w:rsidP="00686C1F">
      <w:pPr>
        <w:pStyle w:val="enumlev1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lastRenderedPageBreak/>
        <w:t>4</w:t>
      </w:r>
      <w:r w:rsidRPr="00FC393E">
        <w:rPr>
          <w:rFonts w:eastAsia="Arial Unicode MS"/>
          <w:lang w:val="es-ES_tradnl"/>
        </w:rPr>
        <w:tab/>
        <w:t>Los resultados globales son generalmente satisfactorios para todos los aspectos de la encuesta. Se presentan a continuación, en el documento, los resultados detallados:</w:t>
      </w:r>
    </w:p>
    <w:p w:rsidR="00184FED" w:rsidRPr="00FC393E" w:rsidRDefault="00184FED" w:rsidP="00686C1F">
      <w:pPr>
        <w:pStyle w:val="Heading2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t>4.1</w:t>
      </w:r>
      <w:r w:rsidRPr="00FC393E">
        <w:rPr>
          <w:rFonts w:eastAsia="Arial Unicode MS"/>
          <w:lang w:val="es-ES_tradnl"/>
        </w:rPr>
        <w:tab/>
        <w:t>Ubicación de las Oficinas Regionales y de zona, y calidad del servicio proporcionado</w:t>
      </w:r>
    </w:p>
    <w:p w:rsidR="00184FED" w:rsidRPr="00FC393E" w:rsidRDefault="00184FED" w:rsidP="00686C1F">
      <w:pPr>
        <w:spacing w:after="240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t xml:space="preserve">La amplia mayoría de los participantes en la encuesta han indicado que la ubicación de las Oficinas Regionales y de zona es adecuada, y que están familiarizados con las actividades de la UIT a nivel regional. La mayoría de los participantes en la encuesta han indicado también que consideraban apropiado el nivel de personal de las Oficinas Regionales y de zona. Los diagramas de las páginas siguientes muestran los detalles de los resultados de la encuesta en los aspectos relativos a la ubicación de las Oficinas Regionales y de zona y la calidad del servicio proporcionado: 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</w:tblGrid>
      <w:tr w:rsidR="00184FED" w:rsidRPr="00FC393E" w:rsidTr="00084FB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rFonts w:ascii="Calibri" w:hAnsi="Calibri"/>
                <w:color w:val="000000"/>
                <w:lang w:val="es-ES_tradnl"/>
              </w:rPr>
            </w:pPr>
            <w:r w:rsidRPr="00FC393E">
              <w:rPr>
                <w:rFonts w:ascii="Calibri" w:hAnsi="Calibri"/>
                <w:color w:val="000000"/>
                <w:lang w:val="es-ES_trad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686C1F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text"/>
              <w:rPr>
                <w:lang w:val="es-ES_tradnl"/>
              </w:rPr>
            </w:pPr>
            <w:r w:rsidRPr="00686C1F">
              <w:rPr>
                <w:lang w:val="es-ES_tradnl"/>
              </w:rPr>
              <w:t>¿Está usted familiarizado con las actividades de la UIT?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lang w:val="es-ES_tradnl"/>
              </w:rPr>
            </w:pPr>
            <w:r w:rsidRPr="00686C1F">
              <w:rPr>
                <w:lang w:val="es-ES_tradn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686C1F" w:rsidRDefault="00184FED" w:rsidP="00686C1F">
            <w:pPr>
              <w:pStyle w:val="Tabletext"/>
              <w:jc w:val="center"/>
              <w:rPr>
                <w:lang w:val="es-ES_tradnl"/>
              </w:rPr>
            </w:pPr>
            <w:r w:rsidRPr="00686C1F">
              <w:rPr>
                <w:lang w:val="es-ES_tradnl"/>
              </w:rPr>
              <w:t>3</w:t>
            </w:r>
          </w:p>
        </w:tc>
      </w:tr>
    </w:tbl>
    <w:p w:rsidR="00184FED" w:rsidRPr="00FC393E" w:rsidRDefault="00184FED" w:rsidP="00686C1F">
      <w:pPr>
        <w:rPr>
          <w:rFonts w:eastAsia="Arial Unicode MS" w:cstheme="minorHAnsi"/>
          <w:lang w:val="es-ES_tradnl"/>
        </w:rPr>
      </w:pPr>
      <w:r w:rsidRPr="00FC393E">
        <w:rPr>
          <w:rFonts w:eastAsia="Arial Unicode MS" w:cstheme="minorHAnsi"/>
          <w:lang w:val="es-ES_tradnl"/>
        </w:rPr>
        <w:t xml:space="preserve">Número de respuestas a esta pregunta: 129/129 (100,00%)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1</w:t>
      </w:r>
    </w:p>
    <w:p w:rsidR="00184FED" w:rsidRPr="00FC393E" w:rsidRDefault="00184FED" w:rsidP="00184FED">
      <w:pPr>
        <w:jc w:val="center"/>
        <w:rPr>
          <w:rFonts w:eastAsia="Arial Unicode MS" w:cstheme="minorHAnsi"/>
          <w:b/>
          <w:bCs/>
          <w:szCs w:val="24"/>
          <w:lang w:val="es-ES_tradnl"/>
        </w:rPr>
      </w:pPr>
      <w:r w:rsidRPr="00FC393E">
        <w:rPr>
          <w:noProof/>
          <w:highlight w:val="yellow"/>
          <w:lang w:val="en-US" w:eastAsia="zh-CN"/>
        </w:rPr>
        <w:drawing>
          <wp:inline distT="0" distB="0" distL="0" distR="0" wp14:anchorId="0D217048" wp14:editId="56DD405D">
            <wp:extent cx="5543550" cy="22002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b/>
          <w:bCs/>
          <w:szCs w:val="24"/>
          <w:lang w:val="es-ES_tradnl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</w:tblGrid>
      <w:tr w:rsidR="00184FED" w:rsidRPr="00FC393E" w:rsidTr="00084FB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D91123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lang w:val="es-ES_tradnl"/>
              </w:rPr>
            </w:pPr>
            <w:r w:rsidRPr="00FC393E">
              <w:rPr>
                <w:rFonts w:cs="Arial"/>
                <w:color w:val="000000"/>
                <w:lang w:val="es-ES_tradnl"/>
              </w:rPr>
              <w:t xml:space="preserve">¿Conoce usted las actividades regionales de la UIT?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8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129/129 (100,00%)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2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00FB1132" wp14:editId="3ACF63BC">
            <wp:extent cx="5524500" cy="2264410"/>
            <wp:effectExtent l="0" t="0" r="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D91123" w:rsidP="00D91123">
      <w:pPr>
        <w:pStyle w:val="enumlev1"/>
        <w:rPr>
          <w:rFonts w:eastAsia="Arial Unicode MS"/>
          <w:lang w:val="es-ES_tradnl"/>
        </w:rPr>
      </w:pPr>
      <w:r w:rsidRPr="00D9112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La </w:t>
      </w:r>
      <w:r w:rsidR="00184FED" w:rsidRPr="00FC393E">
        <w:rPr>
          <w:rFonts w:eastAsia="Arial Unicode MS"/>
          <w:bCs/>
          <w:lang w:val="es-ES_tradnl"/>
        </w:rPr>
        <w:t>ubicación de las Oficinas Regionales y de zona</w:t>
      </w:r>
      <w:r w:rsidR="00184FED" w:rsidRPr="00FC393E">
        <w:rPr>
          <w:rFonts w:eastAsia="Arial Unicode MS"/>
          <w:lang w:val="es-ES_tradnl"/>
        </w:rPr>
        <w:t xml:space="preserve"> podría ser objeto de una rotación periódica entre los países de la Región;</w:t>
      </w:r>
    </w:p>
    <w:p w:rsidR="00184FED" w:rsidRPr="00FC393E" w:rsidRDefault="00D91123" w:rsidP="00D91123">
      <w:pPr>
        <w:pStyle w:val="enumlev1"/>
        <w:spacing w:after="120"/>
        <w:rPr>
          <w:rFonts w:eastAsia="Arial Unicode MS" w:cstheme="minorHAnsi"/>
          <w:szCs w:val="24"/>
          <w:lang w:val="es-ES_tradnl"/>
        </w:rPr>
      </w:pPr>
      <w:r w:rsidRPr="00D9112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 xml:space="preserve">Algunos países plantearon cuestiones relativas a la posibilidad de un cambio de Región. 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184FED" w:rsidRPr="00FC393E" w:rsidTr="00084FB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686C1F" w:rsidRDefault="00184FED" w:rsidP="00686C1F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D91123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lang w:val="es-ES_tradnl"/>
              </w:rPr>
            </w:pPr>
            <w:r w:rsidRPr="00FC393E">
              <w:rPr>
                <w:rFonts w:cs="Arial"/>
                <w:color w:val="000000"/>
                <w:lang w:val="es-ES_tradnl"/>
              </w:rPr>
              <w:t>¿Considera usted óptima la ubicación de las Oficinas Regionales y de zona?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128/129 (99,22%)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3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41320275" wp14:editId="36951BAB">
            <wp:extent cx="5486400" cy="2160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pPr w:leftFromText="180" w:rightFromText="180" w:vertAnchor="text" w:horzAnchor="margin" w:tblpY="353"/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184FED" w:rsidRPr="00FC393E" w:rsidTr="00D91123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D91123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lang w:val="es-ES_tradnl"/>
              </w:rPr>
            </w:pPr>
            <w:r w:rsidRPr="00FC393E">
              <w:rPr>
                <w:rFonts w:cs="Arial"/>
                <w:color w:val="000000"/>
                <w:lang w:val="es-ES_tradnl"/>
              </w:rPr>
              <w:t>¿Considera usted apropiado el nivel de personal de las Oficinas Regionales y de zona?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11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lastRenderedPageBreak/>
        <w:t xml:space="preserve">Número de respuestas a esta pregunta: 109/129 (84,49%) </w:t>
      </w:r>
    </w:p>
    <w:p w:rsidR="00184FED" w:rsidRPr="00FC393E" w:rsidRDefault="00184FED" w:rsidP="00D91123">
      <w:pPr>
        <w:spacing w:before="0"/>
        <w:rPr>
          <w:rFonts w:eastAsia="Arial Unicode MS" w:cstheme="minorHAnsi"/>
          <w:szCs w:val="24"/>
          <w:lang w:val="es-ES_tradnl"/>
        </w:rPr>
      </w:pP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4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11534ECF" wp14:editId="44030CF4">
            <wp:extent cx="5600700" cy="22479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D91123" w:rsidP="00D91123">
      <w:pPr>
        <w:pStyle w:val="enumlev1"/>
        <w:rPr>
          <w:rFonts w:eastAsia="Arial Unicode MS"/>
          <w:lang w:val="es-ES_tradnl"/>
        </w:rPr>
      </w:pPr>
      <w:r w:rsidRPr="00D9112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Ante el creciente aumento de las actividades, el nivel de personal debería incrementarse para responder a la demanda muy elevada;</w:t>
      </w:r>
    </w:p>
    <w:p w:rsidR="00184FED" w:rsidRPr="00FC393E" w:rsidRDefault="00D91123" w:rsidP="00D91123">
      <w:pPr>
        <w:pStyle w:val="enumlev1"/>
        <w:rPr>
          <w:rFonts w:eastAsia="Arial Unicode MS" w:cstheme="minorHAnsi"/>
          <w:szCs w:val="24"/>
          <w:lang w:val="es-ES_tradnl"/>
        </w:rPr>
      </w:pPr>
      <w:r w:rsidRPr="00D9112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Debe considerarse una redistribución del personal de la Sede a las Oficinas en el terreno para responder mejor a las necesidades de los Miembros</w:t>
      </w:r>
    </w:p>
    <w:tbl>
      <w:tblPr>
        <w:tblpPr w:leftFromText="180" w:rightFromText="180" w:vertAnchor="page" w:horzAnchor="margin" w:tblpY="2233"/>
        <w:tblW w:w="1024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843"/>
        <w:gridCol w:w="1318"/>
      </w:tblGrid>
      <w:tr w:rsidR="00184FED" w:rsidRPr="00FC393E" w:rsidTr="00D91123">
        <w:trPr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D91123">
            <w:pPr>
              <w:rPr>
                <w:color w:val="00000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Siempre de alta calidad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Generalmente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Satisfactoria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La calidad varía en función de la petición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686C1F" w:rsidRDefault="00184FED" w:rsidP="00D9112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Mala calidad</w:t>
            </w:r>
          </w:p>
        </w:tc>
      </w:tr>
      <w:tr w:rsidR="00184FED" w:rsidRPr="00FC393E" w:rsidTr="00D91123">
        <w:trPr>
          <w:trHeight w:val="104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¿Cómo valora usted la calidad del servicio proporcionado por las Oficinas Regionales o de área?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D9112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</w:t>
            </w:r>
          </w:p>
        </w:tc>
      </w:tr>
    </w:tbl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5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4414B77E" wp14:editId="69D04838">
            <wp:extent cx="5562600" cy="24193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184FED" w:rsidRPr="00FC393E" w:rsidTr="00CD1363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keepNext/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D1363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 w:val="20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¿Se contesta a sus preguntas o consultas dentro de un plazo razonable?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6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766F7850" wp14:editId="2D678B73">
            <wp:extent cx="5562600" cy="2302510"/>
            <wp:effectExtent l="0" t="0" r="0" b="2540"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D1363" w:rsidP="00CD1363">
      <w:pPr>
        <w:pStyle w:val="enumlev1"/>
        <w:rPr>
          <w:rFonts w:eastAsia="Arial Unicode MS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En algunos casos poco frecuentes, no hubo contestación o una </w:t>
      </w:r>
      <w:r>
        <w:rPr>
          <w:rFonts w:eastAsia="Arial Unicode MS"/>
          <w:lang w:val="es-ES_tradnl"/>
        </w:rPr>
        <w:t>contestación con mucho retraso.</w:t>
      </w:r>
    </w:p>
    <w:p w:rsidR="00184FED" w:rsidRPr="00FC393E" w:rsidRDefault="00184FED" w:rsidP="00CD1363">
      <w:pPr>
        <w:pStyle w:val="Heading2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t>4.2</w:t>
      </w:r>
      <w:r w:rsidRPr="00FC393E">
        <w:rPr>
          <w:rFonts w:eastAsia="Arial Unicode MS"/>
          <w:lang w:val="es-ES_tradnl"/>
        </w:rPr>
        <w:tab/>
        <w:t>Regularidad de los contactos y calidad de la recepción/servicios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La amplia mayoría de los participantes en la encuesta han indicado que tienen regularmente contactos con la UIT, al menos varias veces al mes o más. La calidad de las respuestas a las consultas se considera en general de la más alta calidad. Los puntos de contacto están </w:t>
      </w:r>
      <w:r w:rsidRPr="00FC393E">
        <w:rPr>
          <w:rFonts w:eastAsia="Arial Unicode MS" w:cstheme="minorHAnsi"/>
          <w:szCs w:val="24"/>
          <w:lang w:val="es-ES_tradnl"/>
        </w:rPr>
        <w:lastRenderedPageBreak/>
        <w:t xml:space="preserve">generalmente en la Sede para unos 2/3 de los participantes en la encuesta. Las Oficinas Regionales están en segunda posición como puntos de contacto. 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Una mayoría de los participantes en la encuesta ha indicado que la información recibida de las Oficinas regionales y de zona era de la más alta calidad. 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Según esta encuesta, las tres áreas de actividad más interesantes son:</w:t>
      </w:r>
    </w:p>
    <w:p w:rsidR="00184FED" w:rsidRPr="00FC393E" w:rsidRDefault="00CD1363" w:rsidP="00CD1363">
      <w:pPr>
        <w:pStyle w:val="enumlev1"/>
        <w:rPr>
          <w:rFonts w:eastAsia="Arial Unicode MS" w:cstheme="minorHAnsi"/>
          <w:szCs w:val="24"/>
          <w:lang w:val="es-ES_tradnl"/>
        </w:rPr>
      </w:pPr>
      <w:r w:rsidRPr="00CD1363">
        <w:rPr>
          <w:rFonts w:eastAsia="Arial Unicode MS" w:cstheme="minorHAnsi"/>
          <w:szCs w:val="24"/>
          <w:lang w:val="es-ES_tradnl"/>
        </w:rPr>
        <w:t>•</w:t>
      </w:r>
      <w:r>
        <w:rPr>
          <w:rFonts w:eastAsia="Arial Unicode MS" w:cstheme="minorHAnsi"/>
          <w:szCs w:val="24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Desarrollo de la tecnología y las redes;</w:t>
      </w:r>
    </w:p>
    <w:p w:rsidR="00184FED" w:rsidRPr="00FC393E" w:rsidRDefault="00CD1363" w:rsidP="00CD1363">
      <w:pPr>
        <w:pStyle w:val="enumlev1"/>
        <w:rPr>
          <w:rFonts w:eastAsia="Arial Unicode MS" w:cstheme="minorHAnsi"/>
          <w:szCs w:val="24"/>
          <w:lang w:val="es-ES_tradnl"/>
        </w:rPr>
      </w:pPr>
      <w:r w:rsidRPr="00CD1363">
        <w:rPr>
          <w:rFonts w:eastAsia="Arial Unicode MS" w:cstheme="minorHAnsi"/>
          <w:szCs w:val="24"/>
          <w:lang w:val="es-ES_tradnl"/>
        </w:rPr>
        <w:t>•</w:t>
      </w:r>
      <w:r>
        <w:rPr>
          <w:rFonts w:eastAsia="Arial Unicode MS" w:cstheme="minorHAnsi"/>
          <w:szCs w:val="24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Eventos de la UIT;</w:t>
      </w:r>
    </w:p>
    <w:p w:rsidR="00184FED" w:rsidRPr="00FC393E" w:rsidRDefault="00CD1363" w:rsidP="00CD1363">
      <w:pPr>
        <w:pStyle w:val="enumlev1"/>
        <w:spacing w:after="240"/>
        <w:rPr>
          <w:rFonts w:eastAsia="Arial Unicode MS" w:cstheme="minorHAnsi"/>
          <w:szCs w:val="24"/>
          <w:lang w:val="es-ES_tradnl"/>
        </w:rPr>
      </w:pPr>
      <w:r w:rsidRPr="00CD1363">
        <w:rPr>
          <w:rFonts w:eastAsia="Arial Unicode MS" w:cstheme="minorHAnsi"/>
          <w:szCs w:val="24"/>
          <w:lang w:val="es-ES_tradnl"/>
        </w:rPr>
        <w:t>•</w:t>
      </w:r>
      <w:r>
        <w:rPr>
          <w:rFonts w:eastAsia="Arial Unicode MS" w:cstheme="minorHAnsi"/>
          <w:szCs w:val="24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Ciberseguridad.</w:t>
      </w:r>
    </w:p>
    <w:tbl>
      <w:tblPr>
        <w:tblW w:w="8841" w:type="dxa"/>
        <w:tblInd w:w="-5" w:type="dxa"/>
        <w:tblLook w:val="04A0" w:firstRow="1" w:lastRow="0" w:firstColumn="1" w:lastColumn="0" w:noHBand="0" w:noVBand="1"/>
      </w:tblPr>
      <w:tblGrid>
        <w:gridCol w:w="2268"/>
        <w:gridCol w:w="1727"/>
        <w:gridCol w:w="1727"/>
        <w:gridCol w:w="1701"/>
        <w:gridCol w:w="1418"/>
      </w:tblGrid>
      <w:tr w:rsidR="00184FED" w:rsidRPr="00FC393E" w:rsidTr="00CD1363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CD1363">
            <w:pPr>
              <w:spacing w:after="240"/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Frecuentemente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mes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año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Nunca</w:t>
            </w:r>
          </w:p>
        </w:tc>
      </w:tr>
      <w:tr w:rsidR="00184FED" w:rsidRPr="00FC393E" w:rsidTr="00CD1363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¿Con qué frecuencia contacta usted la UIT?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7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785D9450" wp14:editId="390FC397">
            <wp:extent cx="5486400" cy="21600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2684"/>
        <w:gridCol w:w="1564"/>
        <w:gridCol w:w="1613"/>
        <w:gridCol w:w="1409"/>
        <w:gridCol w:w="2363"/>
      </w:tblGrid>
      <w:tr w:rsidR="00184FED" w:rsidRPr="00FC393E" w:rsidTr="00CD1363">
        <w:trPr>
          <w:trHeight w:val="57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Siempre de alta calidad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Generalmente buena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Satisfactoria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La calidad varía en función de la petición</w:t>
            </w:r>
          </w:p>
        </w:tc>
      </w:tr>
      <w:tr w:rsidR="00184FED" w:rsidRPr="00FC393E" w:rsidTr="00CD1363">
        <w:trPr>
          <w:trHeight w:val="71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¿Cómo valora usted la calidad de las respuestas a sus consultas?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7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8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2CCF3B84" wp14:editId="252B119E">
            <wp:extent cx="5486400" cy="21600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tbl>
      <w:tblPr>
        <w:tblW w:w="8678" w:type="dxa"/>
        <w:tblLook w:val="04A0" w:firstRow="1" w:lastRow="0" w:firstColumn="1" w:lastColumn="0" w:noHBand="0" w:noVBand="1"/>
      </w:tblPr>
      <w:tblGrid>
        <w:gridCol w:w="2984"/>
        <w:gridCol w:w="1615"/>
        <w:gridCol w:w="2190"/>
        <w:gridCol w:w="1889"/>
      </w:tblGrid>
      <w:tr w:rsidR="00184FED" w:rsidRPr="00FC393E" w:rsidTr="00CD1363">
        <w:trPr>
          <w:trHeight w:val="60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rFonts w:ascii="Calibri" w:hAnsi="Calibri"/>
                <w:color w:val="000000"/>
                <w:lang w:val="es-ES_tradnl"/>
              </w:rPr>
            </w:pPr>
            <w:r w:rsidRPr="00FC393E">
              <w:rPr>
                <w:rFonts w:ascii="Calibri" w:hAnsi="Calibri"/>
                <w:color w:val="000000"/>
                <w:lang w:val="es-ES_tradn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Sede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Oficina Regional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Oficina de zona</w:t>
            </w:r>
          </w:p>
        </w:tc>
      </w:tr>
      <w:tr w:rsidR="00184FED" w:rsidRPr="00FC393E" w:rsidTr="00CD1363">
        <w:trPr>
          <w:trHeight w:val="60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 w:val="20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¿Dónde están ubicados sus puntos de contacto en la UIT?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71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43</w:t>
            </w:r>
          </w:p>
        </w:tc>
      </w:tr>
    </w:tbl>
    <w:p w:rsidR="00184FED" w:rsidRPr="00FC393E" w:rsidRDefault="00184FED" w:rsidP="00184FED">
      <w:pPr>
        <w:spacing w:before="240"/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9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004FAC00" wp14:editId="0B862810">
            <wp:extent cx="5486400" cy="21600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84FED" w:rsidRPr="00FC393E" w:rsidRDefault="00184FED" w:rsidP="00184FED">
      <w:pPr>
        <w:keepNext/>
        <w:rPr>
          <w:rFonts w:eastAsia="Arial Unicode MS" w:cstheme="minorHAnsi"/>
          <w:szCs w:val="24"/>
          <w:lang w:val="es-ES_tradnl"/>
        </w:rPr>
      </w:pPr>
    </w:p>
    <w:tbl>
      <w:tblPr>
        <w:tblW w:w="8893" w:type="dxa"/>
        <w:tblLook w:val="04A0" w:firstRow="1" w:lastRow="0" w:firstColumn="1" w:lastColumn="0" w:noHBand="0" w:noVBand="1"/>
      </w:tblPr>
      <w:tblGrid>
        <w:gridCol w:w="2467"/>
        <w:gridCol w:w="1727"/>
        <w:gridCol w:w="1810"/>
        <w:gridCol w:w="1561"/>
        <w:gridCol w:w="1720"/>
      </w:tblGrid>
      <w:tr w:rsidR="00184FED" w:rsidRPr="00FC393E" w:rsidTr="00CD1363">
        <w:trPr>
          <w:trHeight w:val="6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Frecuentemente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mes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año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Nunca</w:t>
            </w:r>
          </w:p>
        </w:tc>
      </w:tr>
      <w:tr w:rsidR="00184FED" w:rsidRPr="00FC393E" w:rsidTr="00CD1363">
        <w:trPr>
          <w:trHeight w:val="1056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¿Recibe usted información de las Oficinas Regionales y de zona?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6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10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34BB99CC" wp14:editId="1C0800DE">
            <wp:extent cx="5343525" cy="20764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</w:p>
    <w:tbl>
      <w:tblPr>
        <w:tblW w:w="10122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1651"/>
        <w:gridCol w:w="1467"/>
        <w:gridCol w:w="2204"/>
        <w:gridCol w:w="972"/>
      </w:tblGrid>
      <w:tr w:rsidR="00184FED" w:rsidRPr="00FC393E" w:rsidTr="00CD1363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Siempre de alta calidad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Generalmente buena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Satisfactoria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La calidad varía en función de la petición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Mala calidad</w:t>
            </w:r>
          </w:p>
        </w:tc>
      </w:tr>
      <w:tr w:rsidR="00184FED" w:rsidRPr="00FC393E" w:rsidTr="00CD1363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¿Cómo valora usted la calidad de la información recibida de las Oficinas Regionales o de zona?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11</w:t>
      </w:r>
    </w:p>
    <w:p w:rsidR="00184FED" w:rsidRPr="00FC393E" w:rsidRDefault="00184FED" w:rsidP="00184FED">
      <w:pPr>
        <w:keepNext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7A16001A" wp14:editId="390ED786">
            <wp:simplePos x="0" y="0"/>
            <wp:positionH relativeFrom="column">
              <wp:posOffset>260985</wp:posOffset>
            </wp:positionH>
            <wp:positionV relativeFrom="paragraph">
              <wp:posOffset>75565</wp:posOffset>
            </wp:positionV>
            <wp:extent cx="5514975" cy="2847975"/>
            <wp:effectExtent l="0" t="0" r="0" b="0"/>
            <wp:wrapTopAndBottom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972"/>
        <w:gridCol w:w="1727"/>
        <w:gridCol w:w="1959"/>
        <w:gridCol w:w="1822"/>
        <w:gridCol w:w="1580"/>
      </w:tblGrid>
      <w:tr w:rsidR="00184FED" w:rsidRPr="00FC393E" w:rsidTr="00CD1363">
        <w:trPr>
          <w:trHeight w:val="4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CD1363">
            <w:pPr>
              <w:keepNext/>
              <w:keepLines/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Frecuentemente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mes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Varias veces al año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Nunca</w:t>
            </w:r>
          </w:p>
        </w:tc>
      </w:tr>
      <w:tr w:rsidR="00184FED" w:rsidRPr="00FC393E" w:rsidTr="00CD1363">
        <w:trPr>
          <w:trHeight w:val="7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CD1363">
            <w:pPr>
              <w:pStyle w:val="Tabletext"/>
              <w:keepNext/>
              <w:keepLines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¿Con qué frecuencia se reúne usted con los representantes de la UIT de las Oficinas regionales o de zona?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15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12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096F0B78" wp14:editId="0417C1A1">
            <wp:extent cx="5486400" cy="21600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13</w:t>
      </w:r>
    </w:p>
    <w:p w:rsidR="00184FED" w:rsidRPr="00FC393E" w:rsidRDefault="00184FED" w:rsidP="00184FED">
      <w:pPr>
        <w:keepNext/>
        <w:jc w:val="center"/>
        <w:rPr>
          <w:noProof/>
          <w:lang w:val="es-ES_tradnl"/>
        </w:rPr>
      </w:pPr>
      <w:r w:rsidRPr="00FC393E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6BF876" wp14:editId="2F277879">
                <wp:simplePos x="0" y="0"/>
                <wp:positionH relativeFrom="column">
                  <wp:posOffset>365760</wp:posOffset>
                </wp:positionH>
                <wp:positionV relativeFrom="paragraph">
                  <wp:posOffset>485140</wp:posOffset>
                </wp:positionV>
                <wp:extent cx="2314575" cy="315277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Gestión del espectro 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r</w:t>
                            </w: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adiodifusión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Inclusión digital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Desarrollo de la tecnología y las redes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Estadísticas e indicadores de las TIC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Aplicaciones de las TIC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Cambio climático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Eventos de la UIT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Normalización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Telecomunicaciones de emergencia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Entorno reglamentario y de mercado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Países menos avanzados y PEID</w:t>
                            </w:r>
                          </w:p>
                          <w:p w:rsidR="00184FED" w:rsidRPr="00FB2655" w:rsidRDefault="00184FED" w:rsidP="00184FED">
                            <w:pPr>
                              <w:spacing w:before="160"/>
                              <w:jc w:val="right"/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B2655">
                              <w:rPr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Ciberseguridad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F8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8pt;margin-top:38.2pt;width:182.25pt;height:24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" stroked="f">
                <v:textbox>
                  <w:txbxContent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 xml:space="preserve">Gestión del espectro y 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r</w:t>
                      </w: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adiodifusión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Inclusión digital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Desarrollo de la tecnología y las redes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Estadísticas e indicadores de las TIC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Aplicaciones de las TIC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Cambio climático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Eventos de la UIT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Normalización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Telecomunicaciones de emergencia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Entorno reglamentario y de mercado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Países menos avanzados y PEID</w:t>
                      </w:r>
                    </w:p>
                    <w:p w:rsidR="00184FED" w:rsidRPr="00FB2655" w:rsidRDefault="00184FED" w:rsidP="00184FED">
                      <w:pPr>
                        <w:spacing w:before="160"/>
                        <w:jc w:val="right"/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FB2655">
                        <w:rPr>
                          <w:color w:val="000000" w:themeColor="text1"/>
                          <w:sz w:val="20"/>
                          <w:szCs w:val="18"/>
                          <w:lang w:val="es-ES"/>
                        </w:rPr>
                        <w:t>Ciberseguridad</w:t>
                      </w:r>
                    </w:p>
                  </w:txbxContent>
                </v:textbox>
              </v:shape>
            </w:pict>
          </mc:Fallback>
        </mc:AlternateContent>
      </w:r>
      <w:r w:rsidRPr="00FC393E">
        <w:rPr>
          <w:noProof/>
          <w:lang w:val="en-US" w:eastAsia="zh-CN"/>
        </w:rPr>
        <w:drawing>
          <wp:inline distT="0" distB="0" distL="0" distR="0" wp14:anchorId="184576E0" wp14:editId="3BEE3CB4">
            <wp:extent cx="6120765" cy="424942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D1363" w:rsidP="00CD1363">
      <w:pPr>
        <w:pStyle w:val="enumlev1"/>
        <w:rPr>
          <w:rFonts w:eastAsia="Arial Unicode MS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Se indicaron otras áreas de interés como: eventos de otros Sectores (PP, CMR, UIT-T Comisiones de Estudio, CMSI), IoT, Ciudades inteligentes y desarrollo electrónico, Telesalud, etc.</w:t>
      </w:r>
    </w:p>
    <w:p w:rsidR="00184FED" w:rsidRPr="00FC393E" w:rsidRDefault="00184FED" w:rsidP="00CD1363">
      <w:pPr>
        <w:pStyle w:val="Heading2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t>4.3</w:t>
      </w:r>
      <w:r w:rsidRPr="00FC393E">
        <w:rPr>
          <w:rFonts w:eastAsia="Arial Unicode MS"/>
          <w:lang w:val="es-ES_tradnl"/>
        </w:rPr>
        <w:tab/>
        <w:t>Pertinencia de las actividades o requisitos futuros</w:t>
      </w:r>
    </w:p>
    <w:p w:rsidR="00184FED" w:rsidRPr="00FC393E" w:rsidRDefault="00184FED" w:rsidP="00CD1363">
      <w:pPr>
        <w:spacing w:after="240"/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La mayoría de los participantes considera que las actividades de las Oficinas Regionales y de zona son pertinentes y que no existe una duplicación de las actividades realizadas por otras organizaciones nacionales e internacionales. La mayoría de los participantes considera que las Oficinas Regionales y de zona tratan adecuadamente las iniciativas regionales y que contribuyen de manera positiva a conseguir los objetivos y los resultados del Plan Estratégico. Una parte importante de los participantes considera que las Oficinas Regionales y de zona no representan de manera adecuada todos los Sectores de la Unión. 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3382"/>
        <w:gridCol w:w="1511"/>
        <w:gridCol w:w="2744"/>
        <w:gridCol w:w="2273"/>
      </w:tblGrid>
      <w:tr w:rsidR="00184FED" w:rsidRPr="00FC393E" w:rsidTr="00CD1363">
        <w:trPr>
          <w:trHeight w:val="32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CD1363">
            <w:pPr>
              <w:rPr>
                <w:rFonts w:ascii="Calibri" w:hAnsi="Calibri"/>
                <w:color w:val="000000"/>
                <w:lang w:val="es-ES_tradnl"/>
              </w:rPr>
            </w:pPr>
            <w:r w:rsidRPr="00FC393E">
              <w:rPr>
                <w:rFonts w:ascii="Calibri" w:hAnsi="Calibri"/>
                <w:color w:val="000000"/>
                <w:lang w:val="es-ES_tradnl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Pertinente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 pertinente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 pertinente</w:t>
            </w:r>
          </w:p>
        </w:tc>
      </w:tr>
      <w:tr w:rsidR="00184FED" w:rsidRPr="00FC393E" w:rsidTr="00CD1363">
        <w:trPr>
          <w:trHeight w:val="874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¿Cómo valora usted la pertinencia de las actividades de las Oficinas Regionales o de zona?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124/129 (96,12%)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14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3D9B8A40" wp14:editId="13139052">
            <wp:extent cx="5705475" cy="22574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D1363" w:rsidP="00CD1363">
      <w:pPr>
        <w:pStyle w:val="enumlev1"/>
        <w:rPr>
          <w:rFonts w:eastAsia="Arial Unicode MS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Algunos participantes han expresado reservas con respecto a la pertinencia de las actividades y  la adecuada vinculación entre las actividades y las iniciativas regionales;</w:t>
      </w:r>
    </w:p>
    <w:p w:rsidR="00184FED" w:rsidRPr="00FC393E" w:rsidRDefault="00CD1363" w:rsidP="00CD1363">
      <w:pPr>
        <w:pStyle w:val="enumlev1"/>
        <w:spacing w:after="240"/>
        <w:rPr>
          <w:rFonts w:eastAsia="Arial Unicode MS" w:cstheme="minorHAnsi"/>
          <w:szCs w:val="24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Muchos comentarios han reconocido la calidad de las actividades de las Oficinas Regionales y de zona.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4750"/>
        <w:gridCol w:w="1982"/>
        <w:gridCol w:w="1716"/>
        <w:gridCol w:w="1398"/>
      </w:tblGrid>
      <w:tr w:rsidR="00184FED" w:rsidRPr="00FC393E" w:rsidTr="00CD1363">
        <w:trPr>
          <w:trHeight w:val="28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D1363">
        <w:trPr>
          <w:trHeight w:val="1214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¿Considera usted que se produce, con los servicios proporcionados por las Oficinas Regionales o de zona de la UIT, una duplicación de las actividades realizadas por otras organizaciones nacionales o internacionales?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77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125/129 (96,89%)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15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70944FCF" wp14:editId="04C6B6FB">
            <wp:extent cx="5638800" cy="22288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FC393E">
        <w:rPr>
          <w:rFonts w:eastAsia="Arial Unicode MS" w:cstheme="minorHAnsi"/>
          <w:szCs w:val="24"/>
          <w:lang w:val="es-ES_tradnl"/>
        </w:rPr>
        <w:t xml:space="preserve"> 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CD1363" w:rsidRDefault="00CD1363" w:rsidP="00CD1363">
      <w:pPr>
        <w:pStyle w:val="enumlev1"/>
        <w:spacing w:after="240"/>
        <w:rPr>
          <w:rFonts w:eastAsia="Arial Unicode MS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 w:rsidRPr="00CD1363">
        <w:rPr>
          <w:rFonts w:eastAsia="Arial Unicode MS"/>
          <w:lang w:val="es-ES_tradnl"/>
        </w:rPr>
        <w:tab/>
      </w:r>
      <w:r w:rsidR="00184FED" w:rsidRPr="00CD1363">
        <w:rPr>
          <w:rFonts w:eastAsia="Arial Unicode MS"/>
          <w:lang w:val="es-ES_tradnl"/>
        </w:rPr>
        <w:t>Muchos comentarios indican que los participantes consideran que no se produce solapamiento.</w:t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3361"/>
        <w:gridCol w:w="2259"/>
        <w:gridCol w:w="1970"/>
        <w:gridCol w:w="2259"/>
      </w:tblGrid>
      <w:tr w:rsidR="00184FED" w:rsidRPr="00FC393E" w:rsidTr="00CD1363">
        <w:trPr>
          <w:trHeight w:val="304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keepNext/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rFonts w:eastAsia="Arial Unicode MS" w:cstheme="minorHAnsi"/>
                <w:szCs w:val="24"/>
                <w:lang w:val="es-ES_tradnl"/>
              </w:rPr>
              <w:lastRenderedPageBreak/>
              <w:br w:type="page"/>
            </w: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D1363">
        <w:trPr>
          <w:trHeight w:val="77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¿Considera usted que las iniciativas regionales de la UIT abordan de manera adecuada las necesidades regionales?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83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</w:t>
            </w:r>
          </w:p>
        </w:tc>
      </w:tr>
    </w:tbl>
    <w:p w:rsidR="00184FED" w:rsidRPr="00FC393E" w:rsidRDefault="00184FED" w:rsidP="00CD1363">
      <w:pPr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t xml:space="preserve">Número de respuestas a esta pregunta: 125/129 (96,89%)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16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56667B8C" wp14:editId="349E84D3">
            <wp:extent cx="5381625" cy="22098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D1363" w:rsidP="00CD1363">
      <w:pPr>
        <w:pStyle w:val="enumlev1"/>
        <w:spacing w:after="240"/>
        <w:rPr>
          <w:rFonts w:eastAsia="Arial Unicode MS"/>
          <w:lang w:val="es-ES_tradnl"/>
        </w:rPr>
      </w:pPr>
      <w:r w:rsidRPr="00CD136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Se ha destacado la importancia de la revisión anual de la implementación de las iniciativas regionales. 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3720"/>
        <w:gridCol w:w="2500"/>
        <w:gridCol w:w="2180"/>
      </w:tblGrid>
      <w:tr w:rsidR="00184FED" w:rsidRPr="00FC393E" w:rsidTr="00CD1363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D136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D1363">
        <w:trPr>
          <w:trHeight w:val="76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 xml:space="preserve">¿Desearía usted que las Oficinas Regionales o de zona emprendieran otras actividades?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D136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59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121/129 (93,79%)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17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405A59C2" wp14:editId="65324FC6">
            <wp:extent cx="5467350" cy="225742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rPr>
          <w:rFonts w:eastAsia="Arial Unicode MS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Se identificaron las áreas principales de actividad siguientes:</w:t>
      </w:r>
    </w:p>
    <w:p w:rsidR="00184FED" w:rsidRPr="00FC393E" w:rsidRDefault="00CF4553" w:rsidP="00CF4553">
      <w:pPr>
        <w:pStyle w:val="enumlev2"/>
        <w:rPr>
          <w:rFonts w:eastAsia="Arial Unicode MS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Creación de capacidad;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Actividades de normalización;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Macrodatos, computación en la nube;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 xml:space="preserve">Televisión digital terrenal; 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IPv6;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Actividades de otros Sectores;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Banda ancha;</w:t>
      </w:r>
    </w:p>
    <w:p w:rsidR="00184FED" w:rsidRPr="00FC393E" w:rsidRDefault="00CF4553" w:rsidP="00CF4553">
      <w:pPr>
        <w:pStyle w:val="enumlev2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Coordinación de frecuencias;</w:t>
      </w:r>
    </w:p>
    <w:p w:rsidR="00184FED" w:rsidRPr="00FC393E" w:rsidRDefault="00CF4553" w:rsidP="00CF4553">
      <w:pPr>
        <w:pStyle w:val="enumlev2"/>
        <w:spacing w:after="240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–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>Actividades reglamentarias y de políticas para el desarrollo del mercado.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135"/>
      </w:tblGrid>
      <w:tr w:rsidR="00184FED" w:rsidRPr="00FC393E" w:rsidTr="00CF4553">
        <w:trPr>
          <w:trHeight w:val="1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lang w:val="es-ES_tradnl"/>
              </w:rPr>
            </w:pPr>
            <w:r w:rsidRPr="00FC393E">
              <w:rPr>
                <w:color w:val="00000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F4553">
        <w:trPr>
          <w:trHeight w:val="64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¿Considera usted que las Oficinas Regionales y de zona contribuyen a conseguir los objetivos y los resultados del Plan Estratégico de la UIT?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18</w:t>
      </w:r>
    </w:p>
    <w:p w:rsidR="00184FED" w:rsidRPr="00FC393E" w:rsidRDefault="00184FED" w:rsidP="00184FED">
      <w:pPr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562B5923" wp14:editId="5807775E">
            <wp:extent cx="5572125" cy="215265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spacing w:after="240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La mayoría de los comentarios han sido positivos y los participantes consideran que las iniciativas regionales contribuyen de manera significativa a conseguir los objetivos y los resultados del Plan Estratégico de la UIT.</w:t>
      </w:r>
    </w:p>
    <w:tbl>
      <w:tblPr>
        <w:tblW w:w="9833" w:type="dxa"/>
        <w:tblLook w:val="04A0" w:firstRow="1" w:lastRow="0" w:firstColumn="1" w:lastColumn="0" w:noHBand="0" w:noVBand="1"/>
      </w:tblPr>
      <w:tblGrid>
        <w:gridCol w:w="4106"/>
        <w:gridCol w:w="2126"/>
        <w:gridCol w:w="1843"/>
        <w:gridCol w:w="1758"/>
      </w:tblGrid>
      <w:tr w:rsidR="00184FED" w:rsidRPr="00FC393E" w:rsidTr="00CF4553">
        <w:trPr>
          <w:trHeight w:val="2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rFonts w:ascii="Calibri" w:hAnsi="Calibri"/>
                <w:color w:val="000000"/>
                <w:lang w:val="es-ES_tradnl"/>
              </w:rPr>
            </w:pPr>
            <w:r w:rsidRPr="00FC393E">
              <w:rPr>
                <w:rFonts w:ascii="Calibri" w:hAnsi="Calibri"/>
                <w:color w:val="000000"/>
                <w:lang w:val="es-ES_tradn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F4553">
        <w:trPr>
          <w:trHeight w:val="8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¿Considera usted que las Oficinas Regionales o de zona representan adecuadamente todos los Sectores y actividades de la UIT?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13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125/129 (96,89%)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19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317B4151" wp14:editId="6085970B">
            <wp:extent cx="5372100" cy="2114550"/>
            <wp:effectExtent l="0" t="0" r="0" b="0"/>
            <wp:docPr id="193" name="Chart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rPr>
          <w:rFonts w:eastAsia="Arial Unicode MS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Muchos participantes han indicado que se deberían hacer esfuerzos para reflejar mejor el trabajo de los Sectores del UIT-R y UIT-T.</w:t>
      </w:r>
    </w:p>
    <w:p w:rsidR="00184FED" w:rsidRPr="00FC393E" w:rsidRDefault="00184FED" w:rsidP="00CF4553">
      <w:pPr>
        <w:pStyle w:val="Heading2"/>
        <w:rPr>
          <w:rFonts w:eastAsia="Arial Unicode MS"/>
          <w:lang w:val="es-ES_tradnl"/>
        </w:rPr>
      </w:pPr>
      <w:r w:rsidRPr="00FC393E">
        <w:rPr>
          <w:rFonts w:eastAsia="Arial Unicode MS"/>
          <w:lang w:val="es-ES_tradnl"/>
        </w:rPr>
        <w:lastRenderedPageBreak/>
        <w:t>4.4</w:t>
      </w:r>
      <w:r w:rsidRPr="00FC393E">
        <w:rPr>
          <w:rFonts w:eastAsia="Arial Unicode MS"/>
          <w:lang w:val="es-ES_tradnl"/>
        </w:rPr>
        <w:tab/>
        <w:t xml:space="preserve">Comunicación y accesibilidad/pertinencia de la información 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Solo la mitad de los participantes en la encuesta están familiarizados con el sitio web de la UIT para la información de las Oficinas Regionales y consideran que la calidad y pertinencia de la información sobre la presencia regional de la UIT, proporcionada en el sitio web de la UIT, es de alta calidad. </w:t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La mayoría de los participantes en la encuesta consideran que el sitio web de la UIT debería tener un enfoque regional específico para las noticias y eventos en el idioma correspondiente. Solo la mitad de los participantes en la encuesta consideran que las actividades de comunicaciones y en los medios ofrecen una visibilidad suficiente de las actividades de la UIT.</w:t>
      </w:r>
    </w:p>
    <w:tbl>
      <w:tblPr>
        <w:tblpPr w:leftFromText="180" w:rightFromText="180" w:vertAnchor="text" w:horzAnchor="margin" w:tblpY="241"/>
        <w:tblW w:w="9552" w:type="dxa"/>
        <w:tblLook w:val="04A0" w:firstRow="1" w:lastRow="0" w:firstColumn="1" w:lastColumn="0" w:noHBand="0" w:noVBand="1"/>
      </w:tblPr>
      <w:tblGrid>
        <w:gridCol w:w="3808"/>
        <w:gridCol w:w="1954"/>
        <w:gridCol w:w="1853"/>
        <w:gridCol w:w="1937"/>
      </w:tblGrid>
      <w:tr w:rsidR="00E13901" w:rsidRPr="00FC393E" w:rsidTr="00E13901">
        <w:trPr>
          <w:trHeight w:val="30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13901" w:rsidRPr="00FC393E" w:rsidRDefault="00E13901" w:rsidP="00E13901">
            <w:pPr>
              <w:keepNext/>
              <w:rPr>
                <w:color w:val="000000"/>
                <w:sz w:val="22"/>
                <w:szCs w:val="22"/>
                <w:lang w:val="es-ES_tradnl"/>
              </w:rPr>
            </w:pPr>
            <w:bookmarkStart w:id="6" w:name="_GoBack"/>
            <w:bookmarkEnd w:id="6"/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13901" w:rsidRPr="00686C1F" w:rsidRDefault="00E13901" w:rsidP="00E13901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13901" w:rsidRPr="00686C1F" w:rsidRDefault="00E13901" w:rsidP="00E13901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13901" w:rsidRPr="00686C1F" w:rsidRDefault="00E13901" w:rsidP="00E13901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E13901" w:rsidRPr="00FC393E" w:rsidTr="00E13901">
        <w:trPr>
          <w:trHeight w:val="6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3901" w:rsidRPr="00FC393E" w:rsidRDefault="00E13901" w:rsidP="00E13901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¿Está usted familiarizado con el sitio web de la UIT para la información de las Oficinas Regionales?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1" w:rsidRPr="00D91123" w:rsidRDefault="00E13901" w:rsidP="00E13901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1" w:rsidRPr="00D91123" w:rsidRDefault="00E13901" w:rsidP="00E13901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42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1" w:rsidRPr="00D91123" w:rsidRDefault="00E13901" w:rsidP="00E13901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13</w:t>
            </w:r>
          </w:p>
        </w:tc>
      </w:tr>
    </w:tbl>
    <w:p w:rsidR="00184FED" w:rsidRPr="00FC393E" w:rsidRDefault="00184FED" w:rsidP="00184FED">
      <w:pPr>
        <w:keepNext/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128/129 (99,22 %)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20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000059F1" wp14:editId="288716F8">
            <wp:extent cx="5848350" cy="2276475"/>
            <wp:effectExtent l="0" t="0" r="0" b="0"/>
            <wp:docPr id="194" name="Chart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84FED" w:rsidRPr="00FC393E" w:rsidRDefault="00184FED" w:rsidP="00184FED">
      <w:pPr>
        <w:keepNext/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rPr>
          <w:rFonts w:eastAsia="Arial Unicode MS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Muchos participantes indicaron que deben realizarse esfuerzos para mejorar el sitio web de la UIT para las Oficinas Regionales e indicaron que no era fácil encontrar el sitio web.</w:t>
      </w:r>
    </w:p>
    <w:p w:rsidR="00184FED" w:rsidRPr="00FC393E" w:rsidRDefault="00CF4553" w:rsidP="00CF4553">
      <w:pPr>
        <w:pStyle w:val="enumlev1"/>
        <w:spacing w:after="240"/>
        <w:rPr>
          <w:rFonts w:eastAsia="Arial Unicode MS" w:cstheme="minorHAnsi"/>
          <w:szCs w:val="24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 w:cstheme="minorHAnsi"/>
          <w:szCs w:val="24"/>
          <w:lang w:val="es-ES_tradnl"/>
        </w:rPr>
        <w:t xml:space="preserve">Otros participantes indicaron que el canal principal de información se establecía a través del Jefe de la Oficina Regional. 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353"/>
        <w:gridCol w:w="1789"/>
        <w:gridCol w:w="1161"/>
      </w:tblGrid>
      <w:tr w:rsidR="00184FED" w:rsidRPr="00FC393E" w:rsidTr="00CF4553">
        <w:trPr>
          <w:trHeight w:val="8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CF4553">
            <w:pPr>
              <w:keepNext/>
              <w:keepLines/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Siempre de alta calidad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Generalmente buena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Satisfactoria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4FED" w:rsidRPr="00686C1F" w:rsidRDefault="00184FED" w:rsidP="00CF455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La calidad varía en función de la petición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keepLines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Mala calidad</w:t>
            </w:r>
          </w:p>
        </w:tc>
      </w:tr>
      <w:tr w:rsidR="00184FED" w:rsidRPr="00FC393E" w:rsidTr="00CF4553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CF4553">
            <w:pPr>
              <w:pStyle w:val="Tabletext"/>
              <w:keepNext/>
              <w:keepLines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¿Cómo valora usted la calidad/pertinencia de la información sobre la presencia regional de la UIT proporcionada por el sitio web de la UIT?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</w:t>
            </w:r>
          </w:p>
        </w:tc>
      </w:tr>
    </w:tbl>
    <w:p w:rsidR="00184FED" w:rsidRPr="00FC393E" w:rsidRDefault="00184FED" w:rsidP="00184FED">
      <w:pPr>
        <w:keepNext/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125/129 (96,89%)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t>Diagrama 21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6188E636" wp14:editId="5BF47D22">
            <wp:extent cx="5238750" cy="2800350"/>
            <wp:effectExtent l="0" t="0" r="0" b="0"/>
            <wp:docPr id="196" name="Chart 1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spacing w:after="240"/>
        <w:rPr>
          <w:rFonts w:cs="Arial"/>
          <w:color w:val="000000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Se realizaron algunos comentarios sobre la calidad y disponibilidad de la información y de los sitios web. 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3856"/>
        <w:gridCol w:w="1979"/>
        <w:gridCol w:w="1877"/>
        <w:gridCol w:w="1962"/>
      </w:tblGrid>
      <w:tr w:rsidR="00184FED" w:rsidRPr="00FC393E" w:rsidTr="00CF4553">
        <w:trPr>
          <w:trHeight w:val="31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F4553">
        <w:trPr>
          <w:trHeight w:val="100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¿Cree usted que el sitio web de la UIT debería tener un enfoque regional específico para las noticias y eventos en el idioma correspondiente?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88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15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124/129 (96,12%) </w:t>
      </w:r>
    </w:p>
    <w:p w:rsidR="00184FED" w:rsidRPr="00BB25D2" w:rsidRDefault="00184FED" w:rsidP="00BB25D2">
      <w:pPr>
        <w:pStyle w:val="TableNo"/>
        <w:rPr>
          <w:rFonts w:eastAsia="Arial Unicode MS"/>
        </w:rPr>
      </w:pPr>
      <w:r w:rsidRPr="00BB25D2">
        <w:rPr>
          <w:rFonts w:eastAsia="Arial Unicode MS"/>
        </w:rPr>
        <w:lastRenderedPageBreak/>
        <w:t>Diagrama 22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4D71612F" wp14:editId="11AA2E21">
            <wp:extent cx="5295900" cy="2009775"/>
            <wp:effectExtent l="0" t="0" r="0" b="0"/>
            <wp:docPr id="198" name="Chart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spacing w:after="240"/>
        <w:rPr>
          <w:rFonts w:cs="Arial"/>
          <w:color w:val="000000"/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 xml:space="preserve">Muchos participantes indicaron que es necesario proporcionar más información en el idioma correspondiente en comparación con la situación actual. 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4390"/>
        <w:gridCol w:w="1701"/>
        <w:gridCol w:w="1984"/>
        <w:gridCol w:w="1808"/>
      </w:tblGrid>
      <w:tr w:rsidR="00184FED" w:rsidRPr="00FC393E" w:rsidTr="00CF4553">
        <w:trPr>
          <w:trHeight w:val="3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84FED" w:rsidRPr="00FC393E" w:rsidRDefault="00184FED" w:rsidP="00084FB7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C393E">
              <w:rPr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Sí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En parte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184FED" w:rsidRPr="00686C1F" w:rsidRDefault="00184FED" w:rsidP="00CF4553">
            <w:pPr>
              <w:pStyle w:val="Tablehead"/>
              <w:rPr>
                <w:bCs/>
                <w:lang w:val="es-ES_tradnl"/>
              </w:rPr>
            </w:pPr>
            <w:r w:rsidRPr="00686C1F">
              <w:rPr>
                <w:bCs/>
                <w:lang w:val="es-ES_tradnl"/>
              </w:rPr>
              <w:t>No</w:t>
            </w:r>
          </w:p>
        </w:tc>
      </w:tr>
      <w:tr w:rsidR="00184FED" w:rsidRPr="00FC393E" w:rsidTr="00CF4553">
        <w:trPr>
          <w:trHeight w:val="8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84FED" w:rsidRPr="00FC393E" w:rsidRDefault="00184FED" w:rsidP="00D91123">
            <w:pPr>
              <w:pStyle w:val="Tabletext"/>
              <w:rPr>
                <w:rFonts w:cs="Arial"/>
                <w:color w:val="000000"/>
                <w:szCs w:val="22"/>
                <w:lang w:val="es-ES_tradnl"/>
              </w:rPr>
            </w:pPr>
            <w:r w:rsidRPr="00FC393E">
              <w:rPr>
                <w:rFonts w:cs="Arial"/>
                <w:color w:val="000000"/>
                <w:szCs w:val="22"/>
                <w:lang w:val="es-ES_tradnl"/>
              </w:rPr>
              <w:t>¿Cree usted que las actividades de comunicaciones y en los medios proporcionan suficiente visibilidad de los trabajos de la UIT?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D" w:rsidRPr="00D91123" w:rsidRDefault="00184FED" w:rsidP="00CF4553">
            <w:pPr>
              <w:pStyle w:val="Tabletext"/>
              <w:jc w:val="center"/>
              <w:rPr>
                <w:lang w:val="es-ES_tradnl"/>
              </w:rPr>
            </w:pPr>
            <w:r w:rsidRPr="00D91123">
              <w:rPr>
                <w:lang w:val="es-ES_tradnl"/>
              </w:rPr>
              <w:t>10</w:t>
            </w:r>
          </w:p>
        </w:tc>
      </w:tr>
    </w:tbl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 xml:space="preserve">Número de respuestas a esta pregunta: 126/129 (97,67%) </w:t>
      </w:r>
    </w:p>
    <w:p w:rsidR="00184FED" w:rsidRPr="00FC393E" w:rsidRDefault="00184FED" w:rsidP="00BB25D2">
      <w:pPr>
        <w:pStyle w:val="TableNo"/>
        <w:rPr>
          <w:rFonts w:eastAsia="Arial Unicode MS"/>
        </w:rPr>
      </w:pPr>
      <w:r w:rsidRPr="00FC393E">
        <w:rPr>
          <w:rFonts w:eastAsia="Arial Unicode MS"/>
        </w:rPr>
        <w:t>Diagrama 23</w:t>
      </w:r>
    </w:p>
    <w:p w:rsidR="00184FED" w:rsidRPr="00FC393E" w:rsidRDefault="00184FED" w:rsidP="00184FED">
      <w:pPr>
        <w:keepNext/>
        <w:jc w:val="center"/>
        <w:rPr>
          <w:rFonts w:eastAsia="Arial Unicode MS" w:cstheme="minorHAnsi"/>
          <w:szCs w:val="24"/>
          <w:lang w:val="es-ES_tradnl"/>
        </w:rPr>
      </w:pPr>
      <w:r w:rsidRPr="00FC393E">
        <w:rPr>
          <w:noProof/>
          <w:lang w:val="en-US" w:eastAsia="zh-CN"/>
        </w:rPr>
        <w:drawing>
          <wp:inline distT="0" distB="0" distL="0" distR="0" wp14:anchorId="48B86A99" wp14:editId="65DE5BC7">
            <wp:extent cx="4972050" cy="1819275"/>
            <wp:effectExtent l="0" t="0" r="0" b="0"/>
            <wp:docPr id="199" name="Chart 1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84FED" w:rsidRPr="00FC393E" w:rsidRDefault="00184FED" w:rsidP="00184FED">
      <w:pPr>
        <w:rPr>
          <w:rFonts w:eastAsia="Arial Unicode MS" w:cstheme="minorHAnsi"/>
          <w:szCs w:val="24"/>
          <w:lang w:val="es-ES_tradnl"/>
        </w:rPr>
      </w:pPr>
      <w:r w:rsidRPr="00FC393E">
        <w:rPr>
          <w:rFonts w:eastAsia="Arial Unicode MS" w:cstheme="minorHAnsi"/>
          <w:szCs w:val="24"/>
          <w:lang w:val="es-ES_tradnl"/>
        </w:rPr>
        <w:t>Comentarios:</w:t>
      </w:r>
    </w:p>
    <w:p w:rsidR="00184FED" w:rsidRPr="00FC393E" w:rsidRDefault="00CF4553" w:rsidP="00CF4553">
      <w:pPr>
        <w:pStyle w:val="enumlev1"/>
        <w:rPr>
          <w:lang w:val="es-ES_tradnl"/>
        </w:rPr>
      </w:pPr>
      <w:r w:rsidRPr="00CF4553">
        <w:rPr>
          <w:rFonts w:eastAsia="Arial Unicode MS"/>
          <w:lang w:val="es-ES_tradnl"/>
        </w:rPr>
        <w:t>•</w:t>
      </w:r>
      <w:r>
        <w:rPr>
          <w:rFonts w:eastAsia="Arial Unicode MS"/>
          <w:lang w:val="es-ES_tradnl"/>
        </w:rPr>
        <w:tab/>
      </w:r>
      <w:r w:rsidR="00184FED" w:rsidRPr="00FC393E">
        <w:rPr>
          <w:rFonts w:eastAsia="Arial Unicode MS"/>
          <w:lang w:val="es-ES_tradnl"/>
        </w:rPr>
        <w:t>Algunos participantes indicaron que todavía pueden mejorar para proporcionar suficiente visibilidad de los trabajos de la UIT.</w:t>
      </w:r>
    </w:p>
    <w:p w:rsidR="00835A77" w:rsidRPr="00FC393E" w:rsidRDefault="00835A77" w:rsidP="00BC7208">
      <w:pPr>
        <w:rPr>
          <w:lang w:val="es-ES_tradnl"/>
        </w:rPr>
      </w:pPr>
    </w:p>
    <w:p w:rsidR="006E4AB3" w:rsidRPr="00FC393E" w:rsidRDefault="006E4AB3">
      <w:pPr>
        <w:jc w:val="center"/>
        <w:rPr>
          <w:lang w:val="es-ES_tradnl"/>
        </w:rPr>
      </w:pPr>
      <w:r w:rsidRPr="00FC393E">
        <w:rPr>
          <w:lang w:val="es-ES_tradnl"/>
        </w:rPr>
        <w:t>______________</w:t>
      </w:r>
    </w:p>
    <w:sectPr w:rsidR="006E4AB3" w:rsidRPr="00FC393E" w:rsidSect="004B7893">
      <w:headerReference w:type="default" r:id="rId34"/>
      <w:footerReference w:type="default" r:id="rId35"/>
      <w:footerReference w:type="first" r:id="rId3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ED" w:rsidRDefault="00184FED" w:rsidP="0088106F">
      <w:r>
        <w:separator/>
      </w:r>
    </w:p>
  </w:endnote>
  <w:endnote w:type="continuationSeparator" w:id="0">
    <w:p w:rsidR="00184FED" w:rsidRDefault="00184FED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9A6FC4" w:rsidRDefault="00E13901" w:rsidP="00D9112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91123">
      <w:t>P:\ESP\ITU-D\CONF-D\TDAG17\000\025S.docx</w:t>
    </w:r>
    <w:r>
      <w:fldChar w:fldCharType="end"/>
    </w:r>
    <w:r w:rsidR="00D91123">
      <w:t xml:space="preserve"> (413988)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B3" w:rsidRPr="006E4AB3" w:rsidRDefault="00E13901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ED" w:rsidRDefault="00184FED" w:rsidP="0088106F">
      <w:r>
        <w:separator/>
      </w:r>
    </w:p>
  </w:footnote>
  <w:footnote w:type="continuationSeparator" w:id="0">
    <w:p w:rsidR="00184FED" w:rsidRDefault="00184FED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D9112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Pr="003D4CFB">
      <w:rPr>
        <w:sz w:val="22"/>
        <w:szCs w:val="22"/>
        <w:lang w:val="en-US"/>
      </w:rPr>
      <w:t>/</w:t>
    </w:r>
    <w:r w:rsidR="00D91123">
      <w:rPr>
        <w:sz w:val="22"/>
        <w:szCs w:val="22"/>
        <w:lang w:val="en-US"/>
      </w:rPr>
      <w:t>25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13901">
      <w:rPr>
        <w:noProof/>
        <w:sz w:val="22"/>
        <w:szCs w:val="22"/>
        <w:lang w:val="en-US"/>
      </w:rPr>
      <w:t>18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AA9"/>
    <w:multiLevelType w:val="hybridMultilevel"/>
    <w:tmpl w:val="DA7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F2B04"/>
    <w:multiLevelType w:val="hybridMultilevel"/>
    <w:tmpl w:val="C714E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13B7"/>
    <w:multiLevelType w:val="hybridMultilevel"/>
    <w:tmpl w:val="DDACC770"/>
    <w:lvl w:ilvl="0" w:tplc="AEC0AA94">
      <w:start w:val="1"/>
      <w:numFmt w:val="bullet"/>
      <w:pStyle w:val="enumagraph"/>
      <w:lvlText w:val=""/>
      <w:lvlJc w:val="left"/>
      <w:pPr>
        <w:ind w:left="-1080" w:hanging="360"/>
      </w:pPr>
      <w:rPr>
        <w:rFonts w:ascii="Wingdings" w:hAnsi="Wingdings" w:cs="Wingdings" w:hint="default"/>
        <w:color w:val="4BACC6" w:themeColor="accent5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791C6C53"/>
    <w:multiLevelType w:val="hybridMultilevel"/>
    <w:tmpl w:val="96F83412"/>
    <w:lvl w:ilvl="0" w:tplc="CCBC0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33D49"/>
    <w:rsid w:val="000C0AA7"/>
    <w:rsid w:val="000E7A0A"/>
    <w:rsid w:val="00154A60"/>
    <w:rsid w:val="00184FED"/>
    <w:rsid w:val="00194CB2"/>
    <w:rsid w:val="00213302"/>
    <w:rsid w:val="00221C14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535C50"/>
    <w:rsid w:val="005557A3"/>
    <w:rsid w:val="005637B9"/>
    <w:rsid w:val="005643DC"/>
    <w:rsid w:val="006339E7"/>
    <w:rsid w:val="00635A62"/>
    <w:rsid w:val="00686C1F"/>
    <w:rsid w:val="006E4AB3"/>
    <w:rsid w:val="006F39EB"/>
    <w:rsid w:val="007C3061"/>
    <w:rsid w:val="007E471D"/>
    <w:rsid w:val="00835A77"/>
    <w:rsid w:val="0088106F"/>
    <w:rsid w:val="008C1852"/>
    <w:rsid w:val="008D789A"/>
    <w:rsid w:val="00917B12"/>
    <w:rsid w:val="009752D2"/>
    <w:rsid w:val="009952F6"/>
    <w:rsid w:val="009A6FC4"/>
    <w:rsid w:val="00A33516"/>
    <w:rsid w:val="00A87DD9"/>
    <w:rsid w:val="00AE1BA7"/>
    <w:rsid w:val="00BB25D2"/>
    <w:rsid w:val="00BC7208"/>
    <w:rsid w:val="00CD1363"/>
    <w:rsid w:val="00CF4553"/>
    <w:rsid w:val="00D16175"/>
    <w:rsid w:val="00D91123"/>
    <w:rsid w:val="00E13901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C393E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84FE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4FED"/>
    <w:rPr>
      <w:rFonts w:eastAsia="Times New Roman" w:cs="Times New Roman"/>
      <w:sz w:val="24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184FE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agraph">
    <w:name w:val="enumagraph"/>
    <w:basedOn w:val="ListParagraph"/>
    <w:rsid w:val="00CD1363"/>
    <w:pPr>
      <w:numPr>
        <w:numId w:val="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0"/>
      <w:textAlignment w:val="auto"/>
    </w:pPr>
    <w:rPr>
      <w:rFonts w:eastAsia="Arial Unicode MS" w:cstheme="minorHAnsi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499999999999999E-2"/>
          <c:y val="0.219344196558764"/>
          <c:w val="0.93888888888888899"/>
          <c:h val="0.64832239720035001"/>
        </c:manualLayout>
      </c:layout>
      <c:pie3DChart>
        <c:varyColors val="1"/>
        <c:ser>
          <c:idx val="0"/>
          <c:order val="0"/>
          <c:tx>
            <c:strRef>
              <c:f>'Sheet 1'!$A$4</c:f>
              <c:strCache>
                <c:ptCount val="1"/>
                <c:pt idx="0">
                  <c:v>Are you familiar with the activities of the ITU?</c:v>
                </c:pt>
              </c:strCache>
            </c:strRef>
          </c:tx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1'!$B$3:$C$3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1'!$B$4:$C$4</c:f>
              <c:numCache>
                <c:formatCode>General</c:formatCode>
                <c:ptCount val="2"/>
                <c:pt idx="0">
                  <c:v>126</c:v>
                </c:pt>
                <c:pt idx="1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756759079810303E-3"/>
          <c:y val="0.182661111111111"/>
          <c:w val="0.99602435112277599"/>
          <c:h val="0.68548379629629597"/>
        </c:manualLayout>
      </c:layout>
      <c:pie3DChart>
        <c:varyColors val="1"/>
        <c:ser>
          <c:idx val="0"/>
          <c:order val="0"/>
          <c:tx>
            <c:strRef>
              <c:f>Sheet2!$A$70</c:f>
              <c:strCache>
                <c:ptCount val="1"/>
                <c:pt idx="0">
                  <c:v>Do you receive information from ITU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Sheet2!$B$69:$E$69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Sheet2!$B$70:$E$70</c:f>
              <c:numCache>
                <c:formatCode>General</c:formatCode>
                <c:ptCount val="4"/>
                <c:pt idx="0">
                  <c:v>54</c:v>
                </c:pt>
                <c:pt idx="1">
                  <c:v>38</c:v>
                </c:pt>
                <c:pt idx="2">
                  <c:v>30</c:v>
                </c:pt>
                <c:pt idx="3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68838480682144"/>
          <c:y val="0.1114433939904669"/>
          <c:w val="0.72182118649310301"/>
          <c:h val="0.50923749665721996"/>
        </c:manualLayout>
      </c:layout>
      <c:pie3DChart>
        <c:varyColors val="1"/>
        <c:ser>
          <c:idx val="0"/>
          <c:order val="0"/>
          <c:tx>
            <c:strRef>
              <c:f>Sheet2!$A$91</c:f>
              <c:strCache>
                <c:ptCount val="1"/>
                <c:pt idx="0">
                  <c:v>How would you rate the quality of information received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Sheet2!$B$90:$F$90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Sheet2!$B$91:$F$91</c:f>
              <c:numCache>
                <c:formatCode>General</c:formatCode>
                <c:ptCount val="5"/>
                <c:pt idx="0">
                  <c:v>50</c:v>
                </c:pt>
                <c:pt idx="1">
                  <c:v>52</c:v>
                </c:pt>
                <c:pt idx="2">
                  <c:v>16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925925925925902E-2"/>
          <c:y val="8.0699074074074104E-2"/>
          <c:w val="0.93055555555555602"/>
          <c:h val="0.72425324074074104"/>
        </c:manualLayout>
      </c:layout>
      <c:pie3DChart>
        <c:varyColors val="1"/>
        <c:ser>
          <c:idx val="0"/>
          <c:order val="0"/>
          <c:tx>
            <c:strRef>
              <c:f>Sheet2!$A$113</c:f>
              <c:strCache>
                <c:ptCount val="1"/>
                <c:pt idx="0">
                  <c:v>How often do you meet ITU representatives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5.9890091863517098E-2"/>
                  <c:y val="0.113183333333333"/>
                </c:manualLayout>
              </c:layout>
              <c:tx>
                <c:rich>
                  <a:bodyPr/>
                  <a:lstStyle/>
                  <a:p>
                    <a:fld id="{73916946-F6EF-4954-A292-6382685988B9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Sheet2!$B$112:$E$112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Sheet2!$B$113:$E$113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87</c:v>
                </c:pt>
                <c:pt idx="3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¿Qué area</a:t>
            </a:r>
            <a:r>
              <a:rPr lang="en-US" b="1" baseline="0"/>
              <a:t> o áreas de actividad le interesan más? </a:t>
            </a:r>
            <a:endParaRPr lang="en-US" b="1"/>
          </a:p>
        </c:rich>
      </c:tx>
      <c:layout>
        <c:manualLayout>
          <c:xMode val="edge"/>
          <c:yMode val="edge"/>
          <c:x val="2.86544247328561E-2"/>
          <c:y val="2.09205020920502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Sheet2!$A$133</c:f>
              <c:strCache>
                <c:ptCount val="1"/>
                <c:pt idx="0">
                  <c:v>What area(s) of activity are you mainly interested 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023475659406401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7793445742579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273882693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7949950138622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262934596543799E-2"/>
                  <c:y val="-1.2933419081163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527388269307401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62910824039612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2535213489109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1283257184159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03130087920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2535213489109598E-2"/>
                  <c:y val="-3.26357303917202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8794995013862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Sheet2!$B$132:$M$132</c:f>
              <c:strCache>
                <c:ptCount val="12"/>
                <c:pt idx="0">
                  <c:v>Cybersecurity</c:v>
                </c:pt>
                <c:pt idx="1">
                  <c:v>Least developed countries and SIDS</c:v>
                </c:pt>
                <c:pt idx="2">
                  <c:v>Regulatory and market environment</c:v>
                </c:pt>
                <c:pt idx="3">
                  <c:v>Emergency Telecommunications</c:v>
                </c:pt>
                <c:pt idx="4">
                  <c:v>Standardization</c:v>
                </c:pt>
                <c:pt idx="5">
                  <c:v>ITU events </c:v>
                </c:pt>
                <c:pt idx="6">
                  <c:v>Climate change</c:v>
                </c:pt>
                <c:pt idx="7">
                  <c:v>ICT applications</c:v>
                </c:pt>
                <c:pt idx="8">
                  <c:v>ICT statistics and indicators</c:v>
                </c:pt>
                <c:pt idx="9">
                  <c:v>Technology and network development</c:v>
                </c:pt>
                <c:pt idx="10">
                  <c:v>Digital inclusion</c:v>
                </c:pt>
                <c:pt idx="11">
                  <c:v>Spectrum management and broadcasting</c:v>
                </c:pt>
              </c:strCache>
            </c:strRef>
          </c:cat>
          <c:val>
            <c:numRef>
              <c:f>Sheet2!$B$133:$M$133</c:f>
              <c:numCache>
                <c:formatCode>General</c:formatCode>
                <c:ptCount val="12"/>
                <c:pt idx="0">
                  <c:v>88</c:v>
                </c:pt>
                <c:pt idx="1">
                  <c:v>40</c:v>
                </c:pt>
                <c:pt idx="2">
                  <c:v>78</c:v>
                </c:pt>
                <c:pt idx="3">
                  <c:v>59</c:v>
                </c:pt>
                <c:pt idx="4">
                  <c:v>73</c:v>
                </c:pt>
                <c:pt idx="5">
                  <c:v>91</c:v>
                </c:pt>
                <c:pt idx="6">
                  <c:v>28</c:v>
                </c:pt>
                <c:pt idx="7">
                  <c:v>68</c:v>
                </c:pt>
                <c:pt idx="8">
                  <c:v>82</c:v>
                </c:pt>
                <c:pt idx="9">
                  <c:v>92</c:v>
                </c:pt>
                <c:pt idx="10">
                  <c:v>80</c:v>
                </c:pt>
                <c:pt idx="11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52806920"/>
        <c:axId val="952807312"/>
        <c:axId val="0"/>
      </c:bar3DChart>
      <c:catAx>
        <c:axId val="9528069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2807312"/>
        <c:crosses val="autoZero"/>
        <c:auto val="1"/>
        <c:lblAlgn val="ctr"/>
        <c:lblOffset val="100"/>
        <c:noMultiLvlLbl val="0"/>
      </c:catAx>
      <c:valAx>
        <c:axId val="952807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2806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</c:f>
              <c:strCache>
                <c:ptCount val="1"/>
                <c:pt idx="0">
                  <c:v>How would you rate the pertinence of regional / area offices activities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Sheet3!$B$5:$D$5</c:f>
              <c:strCache>
                <c:ptCount val="3"/>
                <c:pt idx="0">
                  <c:v>Pertinent</c:v>
                </c:pt>
                <c:pt idx="1">
                  <c:v>Partially pertinent</c:v>
                </c:pt>
                <c:pt idx="2">
                  <c:v>Not pertinent</c:v>
                </c:pt>
              </c:strCache>
            </c:strRef>
          </c:cat>
          <c:val>
            <c:numRef>
              <c:f>Sheet3!$B$6:$D$6</c:f>
              <c:numCache>
                <c:formatCode>General</c:formatCode>
                <c:ptCount val="3"/>
                <c:pt idx="0">
                  <c:v>93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Sheet3!$A$25</c:f>
              <c:strCache>
                <c:ptCount val="1"/>
                <c:pt idx="0">
                  <c:v>Do you consider that there is duplication in the services provided by the ITU regional / area offices with other international / national organizations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Sheet3!$B$24:$D$24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Sheet3!$B$25:$D$25</c:f>
              <c:numCache>
                <c:formatCode>General</c:formatCode>
                <c:ptCount val="3"/>
                <c:pt idx="0">
                  <c:v>9</c:v>
                </c:pt>
                <c:pt idx="1">
                  <c:v>39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Sheet3!$A$46</c:f>
              <c:strCache>
                <c:ptCount val="1"/>
                <c:pt idx="0">
                  <c:v>Do you consider that ITU regional initiatives properly address regional needs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Sheet3!$B$45:$D$45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Sheet3!$B$46:$D$46</c:f>
              <c:numCache>
                <c:formatCode>General</c:formatCode>
                <c:ptCount val="3"/>
                <c:pt idx="0">
                  <c:v>83</c:v>
                </c:pt>
                <c:pt idx="1">
                  <c:v>38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Sheet3!$A$67</c:f>
              <c:strCache>
                <c:ptCount val="1"/>
                <c:pt idx="0">
                  <c:v>Are there any other activities you would like the ITU regional / area offices to undertake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Sheet3!$B$66:$C$66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Sheet3!$B$67:$C$67</c:f>
              <c:numCache>
                <c:formatCode>General</c:formatCode>
                <c:ptCount val="2"/>
                <c:pt idx="0">
                  <c:v>62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Sheet3!$A$88</c:f>
              <c:strCache>
                <c:ptCount val="1"/>
                <c:pt idx="0">
                  <c:v>Do you consider that the regional / area offices contribute to the fulfillment of the objectives and outcomes of the ITU strategic plan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Sheet3!$B$87:$D$87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Sheet3!$B$88:$D$88</c:f>
              <c:numCache>
                <c:formatCode>General</c:formatCode>
                <c:ptCount val="3"/>
                <c:pt idx="0">
                  <c:v>97</c:v>
                </c:pt>
                <c:pt idx="1">
                  <c:v>24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244184994117098E-2"/>
          <c:y val="0.16283314417442099"/>
          <c:w val="0.92185039370078703"/>
          <c:h val="0.65355416666666699"/>
        </c:manualLayout>
      </c:layout>
      <c:pie3DChart>
        <c:varyColors val="1"/>
        <c:ser>
          <c:idx val="0"/>
          <c:order val="0"/>
          <c:tx>
            <c:strRef>
              <c:f>Sheet3!$A$109</c:f>
              <c:strCache>
                <c:ptCount val="1"/>
                <c:pt idx="0">
                  <c:v>Do you consider that regional / area offices properly represent all sectors / activities of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Sheet3!$B$108:$D$108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Sheet3!$B$109:$D$109</c:f>
              <c:numCache>
                <c:formatCode>General</c:formatCode>
                <c:ptCount val="3"/>
                <c:pt idx="0">
                  <c:v>65</c:v>
                </c:pt>
                <c:pt idx="1">
                  <c:v>46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220399533391702"/>
          <c:w val="1"/>
          <c:h val="0.62567111402741304"/>
        </c:manualLayout>
      </c:layout>
      <c:pie3DChart>
        <c:varyColors val="1"/>
        <c:ser>
          <c:idx val="0"/>
          <c:order val="0"/>
          <c:tx>
            <c:strRef>
              <c:f>'Sheet 1'!$A$24</c:f>
              <c:strCache>
                <c:ptCount val="1"/>
                <c:pt idx="0">
                  <c:v>Are you aware of the regional activities of the ITU?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68314377369496E-2"/>
                  <c:y val="-6.898512685914260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1'!$B$23:$C$23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1'!$B$24:$C$24</c:f>
              <c:numCache>
                <c:formatCode>General</c:formatCode>
                <c:ptCount val="2"/>
                <c:pt idx="0">
                  <c:v>121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03703703703698E-2"/>
          <c:y val="0.112321759259259"/>
          <c:w val="0.906944444444445"/>
          <c:h val="0.64630509259259294"/>
        </c:manualLayout>
      </c:layout>
      <c:pie3DChart>
        <c:varyColors val="1"/>
        <c:ser>
          <c:idx val="0"/>
          <c:order val="0"/>
          <c:tx>
            <c:strRef>
              <c:f>Sheet4!$A$4</c:f>
              <c:strCache>
                <c:ptCount val="1"/>
                <c:pt idx="0">
                  <c:v>Are you familiar with the ITU website for Regional Offices information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Sheet4!$B$3:$D$3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Sheet4!$B$4:$D$4</c:f>
              <c:numCache>
                <c:formatCode>General</c:formatCode>
                <c:ptCount val="3"/>
                <c:pt idx="0">
                  <c:v>73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72706517603098E-2"/>
          <c:y val="0.13779113784782701"/>
          <c:w val="0.88359317127347403"/>
          <c:h val="0.54628369180506398"/>
        </c:manualLayout>
      </c:layout>
      <c:pie3DChart>
        <c:varyColors val="1"/>
        <c:ser>
          <c:idx val="0"/>
          <c:order val="0"/>
          <c:tx>
            <c:strRef>
              <c:f>Sheet4!$A$24</c:f>
              <c:strCache>
                <c:ptCount val="1"/>
                <c:pt idx="0">
                  <c:v>How would you rate the quality / pertinence of the information on ITU regional presence provided on the ITU website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8.1207831823496196E-2"/>
                  <c:y val="-2.2422813757169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Sheet4!$B$23:$F$23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Sheet4!$B$24:$F$24</c:f>
              <c:numCache>
                <c:formatCode>General</c:formatCode>
                <c:ptCount val="5"/>
                <c:pt idx="0">
                  <c:v>25</c:v>
                </c:pt>
                <c:pt idx="1">
                  <c:v>55</c:v>
                </c:pt>
                <c:pt idx="2">
                  <c:v>36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8683061536739188E-2"/>
          <c:w val="1"/>
          <c:h val="0.68359583333333396"/>
        </c:manualLayout>
      </c:layout>
      <c:pie3DChart>
        <c:varyColors val="1"/>
        <c:ser>
          <c:idx val="0"/>
          <c:order val="0"/>
          <c:tx>
            <c:strRef>
              <c:f>Sheet4!$A$44</c:f>
              <c:strCache>
                <c:ptCount val="1"/>
                <c:pt idx="0">
                  <c:v>Do you think that the ITU website should have specific regional focus for news and events in the relevant language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Sheet4!$B$43:$D$43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Sheet4!$B$44:$D$44</c:f>
              <c:numCache>
                <c:formatCode>General</c:formatCode>
                <c:ptCount val="3"/>
                <c:pt idx="0">
                  <c:v>88</c:v>
                </c:pt>
                <c:pt idx="1">
                  <c:v>21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098E-2"/>
          <c:y val="7.7612037037037104E-2"/>
          <c:w val="0.94675925925925897"/>
          <c:h val="0.72203796296296296"/>
        </c:manualLayout>
      </c:layout>
      <c:pie3DChart>
        <c:varyColors val="1"/>
        <c:ser>
          <c:idx val="0"/>
          <c:order val="0"/>
          <c:tx>
            <c:strRef>
              <c:f>Sheet4!$A$65</c:f>
              <c:strCache>
                <c:ptCount val="1"/>
                <c:pt idx="0">
                  <c:v>Are the communications and media activities providing sufficient visibility of the work of ITU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Sheet4!$B$64:$D$64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Sheet4!$B$65:$D$65</c:f>
              <c:numCache>
                <c:formatCode>General</c:formatCode>
                <c:ptCount val="3"/>
                <c:pt idx="0">
                  <c:v>65</c:v>
                </c:pt>
                <c:pt idx="1">
                  <c:v>51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425925925926"/>
          <c:y val="0.106457421988918"/>
          <c:w val="0.82407407407407396"/>
          <c:h val="0.67559018664333603"/>
        </c:manualLayout>
      </c:layout>
      <c:pie3DChart>
        <c:varyColors val="1"/>
        <c:ser>
          <c:idx val="0"/>
          <c:order val="0"/>
          <c:tx>
            <c:strRef>
              <c:f>'Sheet 1'!$A$43</c:f>
              <c:strCache>
                <c:ptCount val="1"/>
                <c:pt idx="0">
                  <c:v>Do you consider the location of the regional / area offices optimal?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1'!$B$42:$D$42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1'!$B$43:$D$43</c:f>
              <c:numCache>
                <c:formatCode>General</c:formatCode>
                <c:ptCount val="3"/>
                <c:pt idx="0">
                  <c:v>102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6773111694372"/>
          <c:w val="1"/>
          <c:h val="0.64760316418781005"/>
        </c:manualLayout>
      </c:layout>
      <c:pie3DChart>
        <c:varyColors val="1"/>
        <c:ser>
          <c:idx val="0"/>
          <c:order val="0"/>
          <c:tx>
            <c:strRef>
              <c:f>'Sheet 1'!$A$63</c:f>
              <c:strCache>
                <c:ptCount val="1"/>
                <c:pt idx="0">
                  <c:v>Do you consider the staffing level of the regional / area offices appropriate?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E29B9876-DCE8-4CEC-8882-02C693B0EC26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7911198600175002E-2"/>
                  <c:y val="6.64133129192183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1'!$B$62:$D$62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1'!$B$63:$D$63</c:f>
              <c:numCache>
                <c:formatCode>General</c:formatCode>
                <c:ptCount val="3"/>
                <c:pt idx="0">
                  <c:v>94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547945205479499E-2"/>
          <c:y val="0.156671006675347"/>
          <c:w val="0.96570632438068504"/>
          <c:h val="0.59201190402380799"/>
        </c:manualLayout>
      </c:layout>
      <c:pie3DChart>
        <c:varyColors val="1"/>
        <c:ser>
          <c:idx val="0"/>
          <c:order val="0"/>
          <c:tx>
            <c:strRef>
              <c:f>'Sheet 1'!$A$83</c:f>
              <c:strCache>
                <c:ptCount val="1"/>
                <c:pt idx="0">
                  <c:v>How would you rate the quality of service provided by regional / area offices ?
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5596784776902893E-2"/>
                  <c:y val="1.841280256634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915244969379"/>
                  <c:y val="-3.4004811898512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3101487314086E-2"/>
                  <c:y val="9.179425488480609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1'!$B$82:$F$82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'Sheet 1'!$B$83:$F$83</c:f>
              <c:numCache>
                <c:formatCode>General</c:formatCode>
                <c:ptCount val="5"/>
                <c:pt idx="0">
                  <c:v>46</c:v>
                </c:pt>
                <c:pt idx="1">
                  <c:v>60</c:v>
                </c:pt>
                <c:pt idx="2">
                  <c:v>14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827209098862595E-2"/>
          <c:y val="0.81886410032079304"/>
          <c:w val="0.90923447069116403"/>
          <c:h val="0.153358121901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32152944065301"/>
          <c:y val="0.18350413890571399"/>
          <c:w val="0.74757472127856694"/>
          <c:h val="0.63265156470825801"/>
        </c:manualLayout>
      </c:layout>
      <c:pie3DChart>
        <c:varyColors val="1"/>
        <c:ser>
          <c:idx val="0"/>
          <c:order val="0"/>
          <c:tx>
            <c:strRef>
              <c:f>'Sheet 1'!$A$106</c:f>
              <c:strCache>
                <c:ptCount val="1"/>
                <c:pt idx="0">
                  <c:v>Are your questions / queries answered within a reasonable timeframe?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1'!$B$105:$D$105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1'!$B$106:$D$106</c:f>
              <c:numCache>
                <c:formatCode>General</c:formatCode>
                <c:ptCount val="3"/>
                <c:pt idx="0">
                  <c:v>109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132159950594402E-2"/>
          <c:y val="0.211483020477716"/>
          <c:w val="0.87392125984252"/>
          <c:h val="0.62597582056905599"/>
        </c:manualLayout>
      </c:layout>
      <c:pie3DChart>
        <c:varyColors val="1"/>
        <c:ser>
          <c:idx val="0"/>
          <c:order val="0"/>
          <c:tx>
            <c:strRef>
              <c:f>Sheet2!$A$4</c:f>
              <c:strCache>
                <c:ptCount val="1"/>
                <c:pt idx="0">
                  <c:v>How often do you contact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Sheet2!$B$3:$E$3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Sheet2!$B$4:$E$4</c:f>
              <c:numCache>
                <c:formatCode>General</c:formatCode>
                <c:ptCount val="4"/>
                <c:pt idx="0">
                  <c:v>50</c:v>
                </c:pt>
                <c:pt idx="1">
                  <c:v>26</c:v>
                </c:pt>
                <c:pt idx="2">
                  <c:v>48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208953047535704E-4"/>
          <c:y val="0.14169861111111101"/>
          <c:w val="0.98511902158063602"/>
          <c:h val="0.662504166666667"/>
        </c:manualLayout>
      </c:layout>
      <c:pie3DChart>
        <c:varyColors val="1"/>
        <c:ser>
          <c:idx val="0"/>
          <c:order val="0"/>
          <c:tx>
            <c:strRef>
              <c:f>Sheet2!$A$24</c:f>
              <c:strCache>
                <c:ptCount val="1"/>
                <c:pt idx="0">
                  <c:v>How would you rate the quality of our responses to your inquiries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3.5836431904345302E-2"/>
                  <c:y val="-1.6154629629629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Sheet2!$B$23:$E$23</c:f>
              <c:strCache>
                <c:ptCount val="4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 </c:v>
                </c:pt>
              </c:strCache>
            </c:strRef>
          </c:cat>
          <c:val>
            <c:numRef>
              <c:f>Sheet2!$B$24:$F$24</c:f>
              <c:numCache>
                <c:formatCode>General</c:formatCode>
                <c:ptCount val="5"/>
                <c:pt idx="0">
                  <c:v>59</c:v>
                </c:pt>
                <c:pt idx="1">
                  <c:v>51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87966525546401E-2"/>
          <c:y val="0.157886843091982"/>
          <c:w val="0.95358062205335603"/>
          <c:h val="0.64520316539379896"/>
        </c:manualLayout>
      </c:layout>
      <c:pie3DChart>
        <c:varyColors val="1"/>
        <c:ser>
          <c:idx val="0"/>
          <c:order val="0"/>
          <c:tx>
            <c:strRef>
              <c:f>Sheet2!$A$48</c:f>
              <c:strCache>
                <c:ptCount val="1"/>
                <c:pt idx="0">
                  <c:v>Where are your contact points in ITU ?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Sheet2!$B$47:$D$47</c:f>
              <c:strCache>
                <c:ptCount val="3"/>
                <c:pt idx="0">
                  <c:v>Headquarters</c:v>
                </c:pt>
                <c:pt idx="1">
                  <c:v>Regional office</c:v>
                </c:pt>
                <c:pt idx="2">
                  <c:v>Area office</c:v>
                </c:pt>
              </c:strCache>
            </c:strRef>
          </c:cat>
          <c:val>
            <c:numRef>
              <c:f>Sheet2!$B$48:$D$48</c:f>
              <c:numCache>
                <c:formatCode>General</c:formatCode>
                <c:ptCount val="3"/>
                <c:pt idx="0">
                  <c:v>83</c:v>
                </c:pt>
                <c:pt idx="1">
                  <c:v>71</c:v>
                </c:pt>
                <c:pt idx="2">
                  <c:v>43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BAB3-2D8A-4EDE-8758-7178C40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7</cp:revision>
  <dcterms:created xsi:type="dcterms:W3CDTF">2017-04-24T09:31:00Z</dcterms:created>
  <dcterms:modified xsi:type="dcterms:W3CDTF">2017-04-24T10:03:00Z</dcterms:modified>
</cp:coreProperties>
</file>