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FA509F">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2D6488" w:rsidP="00966A58">
            <w:pPr>
              <w:spacing w:before="60" w:after="6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966A58">
              <w:rPr>
                <w:b/>
                <w:bCs/>
                <w:lang w:bidi="ar-EG"/>
              </w:rPr>
              <w:t>27</w:t>
            </w:r>
            <w:r w:rsidR="00D94196">
              <w:rPr>
                <w:b/>
                <w:bCs/>
                <w:lang w:bidi="ar-EG"/>
              </w:rPr>
              <w:t>-A</w:t>
            </w:r>
          </w:p>
        </w:tc>
      </w:tr>
      <w:tr w:rsidR="002D6488" w:rsidTr="00FA509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966A58" w:rsidP="002D6488">
            <w:pPr>
              <w:spacing w:before="60" w:after="60" w:line="340" w:lineRule="exact"/>
              <w:rPr>
                <w:b/>
                <w:bCs/>
                <w:rtl/>
                <w:lang w:bidi="ar-EG"/>
              </w:rPr>
            </w:pPr>
            <w:r>
              <w:rPr>
                <w:b/>
                <w:bCs/>
                <w:lang w:bidi="ar-EG"/>
              </w:rPr>
              <w:t>16</w:t>
            </w:r>
            <w:r>
              <w:rPr>
                <w:rFonts w:hint="cs"/>
                <w:b/>
                <w:bCs/>
                <w:rtl/>
                <w:lang w:bidi="ar-EG"/>
              </w:rPr>
              <w:t xml:space="preserve"> مارس </w:t>
            </w:r>
            <w:r>
              <w:rPr>
                <w:b/>
                <w:bCs/>
                <w:lang w:bidi="ar-EG"/>
              </w:rPr>
              <w:t>2017</w:t>
            </w:r>
          </w:p>
        </w:tc>
      </w:tr>
      <w:tr w:rsidR="002D6488" w:rsidTr="00FA509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966A58">
            <w:pPr>
              <w:spacing w:before="60" w:after="60" w:line="340" w:lineRule="exact"/>
              <w:rPr>
                <w:b/>
                <w:bCs/>
                <w:rtl/>
                <w:lang w:bidi="ar-EG"/>
              </w:rPr>
            </w:pPr>
            <w:r w:rsidRPr="002D6488">
              <w:rPr>
                <w:rFonts w:hint="cs"/>
                <w:b/>
                <w:bCs/>
                <w:rtl/>
                <w:lang w:bidi="ar-EG"/>
              </w:rPr>
              <w:t>الأصل: بالإنكليزية</w:t>
            </w:r>
          </w:p>
        </w:tc>
      </w:tr>
      <w:tr w:rsidR="002D6488" w:rsidTr="00FA509F">
        <w:tc>
          <w:tcPr>
            <w:tcW w:w="7069" w:type="dxa"/>
            <w:gridSpan w:val="2"/>
          </w:tcPr>
          <w:p w:rsidR="002D6488" w:rsidRPr="002D6488" w:rsidRDefault="002D6488" w:rsidP="00707FC4">
            <w:pPr>
              <w:spacing w:before="0" w:line="200" w:lineRule="exact"/>
              <w:rPr>
                <w:b/>
                <w:bCs/>
                <w:rtl/>
                <w:lang w:bidi="ar-EG"/>
              </w:rPr>
            </w:pPr>
          </w:p>
        </w:tc>
        <w:tc>
          <w:tcPr>
            <w:tcW w:w="2570" w:type="dxa"/>
          </w:tcPr>
          <w:p w:rsidR="002D6488" w:rsidRDefault="002D6488" w:rsidP="00707FC4">
            <w:pPr>
              <w:spacing w:before="0" w:line="200" w:lineRule="exact"/>
              <w:rPr>
                <w:rtl/>
                <w:lang w:bidi="ar-EG"/>
              </w:rPr>
            </w:pPr>
          </w:p>
        </w:tc>
      </w:tr>
      <w:tr w:rsidR="002D6488" w:rsidTr="004E20B0">
        <w:tc>
          <w:tcPr>
            <w:tcW w:w="9639" w:type="dxa"/>
            <w:gridSpan w:val="3"/>
          </w:tcPr>
          <w:p w:rsidR="002D6488" w:rsidRDefault="00966A58" w:rsidP="00707FC4">
            <w:pPr>
              <w:pStyle w:val="Source"/>
              <w:rPr>
                <w:rtl/>
              </w:rPr>
            </w:pPr>
            <w:r>
              <w:rPr>
                <w:rFonts w:hint="cs"/>
                <w:rtl/>
              </w:rPr>
              <w:t>مدير مكتب تنمية الاتصالات</w:t>
            </w:r>
          </w:p>
        </w:tc>
      </w:tr>
      <w:tr w:rsidR="00707FC4" w:rsidTr="002909CE">
        <w:tc>
          <w:tcPr>
            <w:tcW w:w="9639" w:type="dxa"/>
            <w:gridSpan w:val="3"/>
          </w:tcPr>
          <w:p w:rsidR="00707FC4" w:rsidRDefault="00966A58" w:rsidP="00986C32">
            <w:pPr>
              <w:pStyle w:val="Title1"/>
              <w:rPr>
                <w:rtl/>
              </w:rPr>
            </w:pPr>
            <w:r>
              <w:rPr>
                <w:rFonts w:hint="cs"/>
                <w:rtl/>
              </w:rPr>
              <w:t xml:space="preserve">تقرير عن الندوة العالمية لمؤشرات </w:t>
            </w:r>
            <w:r w:rsidR="00A01B82">
              <w:rPr>
                <w:rFonts w:hint="cs"/>
                <w:rtl/>
              </w:rPr>
              <w:t>ا</w:t>
            </w:r>
            <w:r>
              <w:rPr>
                <w:rFonts w:hint="cs"/>
                <w:rtl/>
              </w:rPr>
              <w:t>لاتصالات/تكنولوجيا المعلومات والاتصالات للعامين </w:t>
            </w:r>
            <w:r>
              <w:t>2016</w:t>
            </w:r>
            <w:r>
              <w:rPr>
                <w:rFonts w:hint="cs"/>
                <w:rtl/>
              </w:rPr>
              <w:t xml:space="preserve"> و</w:t>
            </w:r>
            <w:r>
              <w:t>2017</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966A58" w:rsidRPr="00D822EC" w:rsidRDefault="00966A58" w:rsidP="00D822EC">
            <w:pPr>
              <w:rPr>
                <w:rtl/>
              </w:rPr>
            </w:pPr>
            <w:r w:rsidRPr="00D822EC">
              <w:rPr>
                <w:rFonts w:hint="eastAsia"/>
                <w:rtl/>
              </w:rPr>
              <w:t>تقدم</w:t>
            </w:r>
            <w:r w:rsidRPr="00D822EC">
              <w:rPr>
                <w:rtl/>
              </w:rPr>
              <w:t xml:space="preserve"> </w:t>
            </w:r>
            <w:r w:rsidRPr="00D822EC">
              <w:rPr>
                <w:rFonts w:hint="eastAsia"/>
                <w:rtl/>
              </w:rPr>
              <w:t>هذه</w:t>
            </w:r>
            <w:r w:rsidRPr="00D822EC">
              <w:rPr>
                <w:rtl/>
              </w:rPr>
              <w:t xml:space="preserve"> </w:t>
            </w:r>
            <w:r w:rsidRPr="00D822EC">
              <w:rPr>
                <w:rFonts w:hint="eastAsia"/>
                <w:rtl/>
              </w:rPr>
              <w:t>الوثيقة</w:t>
            </w:r>
            <w:r w:rsidRPr="00D822EC">
              <w:rPr>
                <w:rtl/>
              </w:rPr>
              <w:t xml:space="preserve"> </w:t>
            </w:r>
            <w:r w:rsidRPr="00D822EC">
              <w:rPr>
                <w:rFonts w:hint="eastAsia"/>
                <w:rtl/>
              </w:rPr>
              <w:t>ملخصاً</w:t>
            </w:r>
            <w:r w:rsidRPr="00D822EC">
              <w:rPr>
                <w:rtl/>
              </w:rPr>
              <w:t xml:space="preserve"> </w:t>
            </w:r>
            <w:r w:rsidRPr="00D822EC">
              <w:rPr>
                <w:rFonts w:hint="cs"/>
                <w:rtl/>
              </w:rPr>
              <w:t>عن ا</w:t>
            </w:r>
            <w:r w:rsidRPr="00D822EC">
              <w:rPr>
                <w:rFonts w:hint="eastAsia"/>
                <w:rtl/>
              </w:rPr>
              <w:t>لندوة</w:t>
            </w:r>
            <w:r w:rsidRPr="00D822EC">
              <w:rPr>
                <w:rtl/>
              </w:rPr>
              <w:t xml:space="preserve"> </w:t>
            </w:r>
            <w:r w:rsidRPr="00D822EC">
              <w:rPr>
                <w:rFonts w:hint="eastAsia"/>
                <w:rtl/>
              </w:rPr>
              <w:t>العالمية</w:t>
            </w:r>
            <w:r w:rsidRPr="00D822EC">
              <w:rPr>
                <w:rtl/>
              </w:rPr>
              <w:t xml:space="preserve"> </w:t>
            </w:r>
            <w:r w:rsidRPr="00D822EC">
              <w:rPr>
                <w:rFonts w:hint="cs"/>
                <w:rtl/>
              </w:rPr>
              <w:t>الرابعة</w:t>
            </w:r>
            <w:r w:rsidRPr="00D822EC">
              <w:rPr>
                <w:rtl/>
              </w:rPr>
              <w:t xml:space="preserve"> </w:t>
            </w:r>
            <w:r w:rsidRPr="00D822EC">
              <w:rPr>
                <w:rFonts w:hint="eastAsia"/>
                <w:rtl/>
              </w:rPr>
              <w:t>عشرة</w:t>
            </w:r>
            <w:r w:rsidRPr="00D822EC">
              <w:rPr>
                <w:rtl/>
              </w:rPr>
              <w:t xml:space="preserve"> </w:t>
            </w:r>
            <w:r w:rsidRPr="00D822EC">
              <w:rPr>
                <w:rFonts w:hint="eastAsia"/>
                <w:rtl/>
              </w:rPr>
              <w:t>لمؤشرات</w:t>
            </w:r>
            <w:r w:rsidRPr="00D822EC">
              <w:rPr>
                <w:rtl/>
              </w:rPr>
              <w:t xml:space="preserve"> </w:t>
            </w:r>
            <w:r w:rsidRPr="00D822EC">
              <w:rPr>
                <w:rFonts w:hint="eastAsia"/>
                <w:rtl/>
              </w:rPr>
              <w:t>الاتصالات</w:t>
            </w:r>
            <w:r w:rsidRPr="00D822EC">
              <w:rPr>
                <w:rtl/>
              </w:rPr>
              <w:t>/</w:t>
            </w:r>
            <w:r w:rsidRPr="00D822EC">
              <w:rPr>
                <w:rFonts w:hint="eastAsia"/>
                <w:rtl/>
              </w:rPr>
              <w:t>تكنولوجيا</w:t>
            </w:r>
            <w:r w:rsidRPr="00D822EC">
              <w:rPr>
                <w:rtl/>
              </w:rPr>
              <w:t xml:space="preserve"> </w:t>
            </w:r>
            <w:r w:rsidRPr="00D822EC">
              <w:rPr>
                <w:rFonts w:hint="eastAsia"/>
                <w:rtl/>
              </w:rPr>
              <w:t>المعلومات</w:t>
            </w:r>
            <w:r w:rsidRPr="00D822EC">
              <w:rPr>
                <w:rtl/>
              </w:rPr>
              <w:t xml:space="preserve"> </w:t>
            </w:r>
            <w:r w:rsidRPr="00D822EC">
              <w:rPr>
                <w:rFonts w:hint="eastAsia"/>
                <w:rtl/>
              </w:rPr>
              <w:t>والاتصالات</w:t>
            </w:r>
            <w:r w:rsidRPr="00D822EC">
              <w:rPr>
                <w:rtl/>
              </w:rPr>
              <w:t xml:space="preserve"> </w:t>
            </w:r>
            <w:r w:rsidRPr="00D822EC">
              <w:rPr>
                <w:rFonts w:hint="cs"/>
                <w:rtl/>
              </w:rPr>
              <w:t>التي عُقدت ف</w:t>
            </w:r>
            <w:r w:rsidRPr="00D822EC">
              <w:rPr>
                <w:rFonts w:hint="eastAsia"/>
                <w:rtl/>
              </w:rPr>
              <w:t>ي </w:t>
            </w:r>
            <w:r w:rsidRPr="00D822EC">
              <w:rPr>
                <w:rtl/>
              </w:rPr>
              <w:t xml:space="preserve">غابورون، </w:t>
            </w:r>
            <w:r w:rsidRPr="00D822EC">
              <w:rPr>
                <w:rFonts w:hint="cs"/>
                <w:rtl/>
              </w:rPr>
              <w:t>بوتسوانا</w:t>
            </w:r>
            <w:r w:rsidRPr="00D822EC">
              <w:rPr>
                <w:rFonts w:hint="eastAsia"/>
                <w:rtl/>
              </w:rPr>
              <w:t>،</w:t>
            </w:r>
            <w:r w:rsidRPr="00D822EC">
              <w:rPr>
                <w:rtl/>
              </w:rPr>
              <w:t xml:space="preserve"> </w:t>
            </w:r>
            <w:r w:rsidRPr="00D822EC">
              <w:rPr>
                <w:rFonts w:hint="cs"/>
                <w:rtl/>
              </w:rPr>
              <w:t>في الفترة </w:t>
            </w:r>
            <w:r w:rsidRPr="00D822EC">
              <w:t>23-21</w:t>
            </w:r>
            <w:r w:rsidRPr="00D822EC">
              <w:rPr>
                <w:rtl/>
              </w:rPr>
              <w:t xml:space="preserve"> </w:t>
            </w:r>
            <w:r w:rsidRPr="00D822EC">
              <w:rPr>
                <w:rFonts w:hint="cs"/>
                <w:rtl/>
              </w:rPr>
              <w:t>نوفمبر</w:t>
            </w:r>
            <w:r w:rsidRPr="00D822EC">
              <w:rPr>
                <w:rtl/>
              </w:rPr>
              <w:t xml:space="preserve"> </w:t>
            </w:r>
            <w:r w:rsidRPr="00D822EC">
              <w:t>2016</w:t>
            </w:r>
            <w:r w:rsidRPr="00D822EC">
              <w:rPr>
                <w:rtl/>
              </w:rPr>
              <w:t xml:space="preserve">. </w:t>
            </w:r>
            <w:r w:rsidRPr="00D822EC">
              <w:rPr>
                <w:rFonts w:hint="cs"/>
                <w:rtl/>
              </w:rPr>
              <w:t>وتميزت الندوة بعدد من الحوارات رفيعة المستوى</w:t>
            </w:r>
            <w:r w:rsidR="00D822EC" w:rsidRPr="00D822EC">
              <w:rPr>
                <w:rFonts w:hint="cs"/>
                <w:rtl/>
              </w:rPr>
              <w:t xml:space="preserve"> المتعلقة بالسياسة</w:t>
            </w:r>
            <w:r w:rsidRPr="00D822EC">
              <w:rPr>
                <w:rFonts w:hint="cs"/>
                <w:rtl/>
              </w:rPr>
              <w:t xml:space="preserve"> التي دارت حول قضايا هامة ذات صلة بالسياسة العامة لتكنولوجيا المعلومات والاتصالات ورصدها من أجل التنمية المستدامة، جامعةً بين مستخدمي بيانات تكنولوجيا المعلومات والاتصالات ومنتجيها. وأُطلق</w:t>
            </w:r>
            <w:r w:rsidRPr="00D822EC">
              <w:rPr>
                <w:rtl/>
              </w:rPr>
              <w:t xml:space="preserve"> </w:t>
            </w:r>
            <w:r w:rsidRPr="00D822EC">
              <w:rPr>
                <w:rFonts w:hint="eastAsia"/>
                <w:rtl/>
              </w:rPr>
              <w:t>خلال</w:t>
            </w:r>
            <w:r w:rsidRPr="00D822EC">
              <w:rPr>
                <w:rtl/>
              </w:rPr>
              <w:t xml:space="preserve"> </w:t>
            </w:r>
            <w:r w:rsidRPr="00D822EC">
              <w:rPr>
                <w:rFonts w:hint="eastAsia"/>
                <w:rtl/>
              </w:rPr>
              <w:t>الندوة</w:t>
            </w:r>
            <w:r w:rsidRPr="00D822EC">
              <w:rPr>
                <w:rFonts w:hint="cs"/>
                <w:rtl/>
              </w:rPr>
              <w:t xml:space="preserve"> التقرير</w:t>
            </w:r>
            <w:r w:rsidRPr="00D822EC">
              <w:rPr>
                <w:rtl/>
              </w:rPr>
              <w:t xml:space="preserve"> </w:t>
            </w:r>
            <w:r w:rsidRPr="00D822EC">
              <w:rPr>
                <w:rFonts w:hint="eastAsia"/>
                <w:rtl/>
              </w:rPr>
              <w:t>الشهير</w:t>
            </w:r>
            <w:r w:rsidRPr="00D822EC">
              <w:rPr>
                <w:rtl/>
              </w:rPr>
              <w:t xml:space="preserve"> </w:t>
            </w:r>
            <w:r w:rsidRPr="00D822EC">
              <w:rPr>
                <w:rFonts w:hint="eastAsia"/>
                <w:rtl/>
              </w:rPr>
              <w:t>للاتحاد</w:t>
            </w:r>
            <w:r w:rsidRPr="00D822EC">
              <w:rPr>
                <w:rFonts w:hint="cs"/>
                <w:rtl/>
              </w:rPr>
              <w:t>، وهو</w:t>
            </w:r>
            <w:r w:rsidRPr="00D822EC">
              <w:rPr>
                <w:rFonts w:hint="eastAsia"/>
                <w:rtl/>
              </w:rPr>
              <w:t> </w:t>
            </w:r>
            <w:r w:rsidRPr="00D822EC">
              <w:rPr>
                <w:rFonts w:hint="cs"/>
                <w:rtl/>
              </w:rPr>
              <w:t xml:space="preserve">تقرير </w:t>
            </w:r>
            <w:r w:rsidRPr="00D822EC">
              <w:rPr>
                <w:rFonts w:hint="eastAsia"/>
                <w:rtl/>
              </w:rPr>
              <w:t>قياس</w:t>
            </w:r>
            <w:r w:rsidRPr="00D822EC">
              <w:rPr>
                <w:rtl/>
              </w:rPr>
              <w:t xml:space="preserve"> </w:t>
            </w:r>
            <w:r w:rsidRPr="00D822EC">
              <w:rPr>
                <w:rFonts w:hint="eastAsia"/>
                <w:rtl/>
              </w:rPr>
              <w:t>مجتمع</w:t>
            </w:r>
            <w:r w:rsidRPr="00D822EC">
              <w:rPr>
                <w:rtl/>
              </w:rPr>
              <w:t xml:space="preserve"> </w:t>
            </w:r>
            <w:r w:rsidRPr="00D822EC">
              <w:rPr>
                <w:rFonts w:hint="eastAsia"/>
                <w:rtl/>
              </w:rPr>
              <w:t>المعلومات</w:t>
            </w:r>
            <w:r w:rsidRPr="00D822EC">
              <w:rPr>
                <w:rtl/>
              </w:rPr>
              <w:t xml:space="preserve"> </w:t>
            </w:r>
            <w:r w:rsidRPr="00D822EC">
              <w:rPr>
                <w:rFonts w:hint="eastAsia"/>
                <w:rtl/>
              </w:rPr>
              <w:t>لعام</w:t>
            </w:r>
            <w:r w:rsidRPr="00D822EC">
              <w:rPr>
                <w:rFonts w:hint="cs"/>
                <w:rtl/>
              </w:rPr>
              <w:t> </w:t>
            </w:r>
            <w:r w:rsidRPr="00D822EC">
              <w:t>2016</w:t>
            </w:r>
            <w:r w:rsidRPr="00D822EC">
              <w:rPr>
                <w:rFonts w:hint="cs"/>
                <w:rtl/>
              </w:rPr>
              <w:t xml:space="preserve"> الذي</w:t>
            </w:r>
            <w:r w:rsidRPr="00D822EC">
              <w:rPr>
                <w:rtl/>
              </w:rPr>
              <w:t xml:space="preserve"> </w:t>
            </w:r>
            <w:r w:rsidRPr="00D822EC">
              <w:rPr>
                <w:rFonts w:hint="cs"/>
                <w:rtl/>
              </w:rPr>
              <w:t>يتضمن</w:t>
            </w:r>
            <w:r w:rsidRPr="00D822EC">
              <w:rPr>
                <w:rtl/>
              </w:rPr>
              <w:t xml:space="preserve"> </w:t>
            </w:r>
            <w:r w:rsidRPr="00D822EC">
              <w:rPr>
                <w:rFonts w:hint="cs"/>
                <w:rtl/>
              </w:rPr>
              <w:t>أحدث رقم قياسي</w:t>
            </w:r>
            <w:r w:rsidRPr="00D822EC">
              <w:rPr>
                <w:rtl/>
              </w:rPr>
              <w:t xml:space="preserve"> </w:t>
            </w:r>
            <w:r w:rsidRPr="00D822EC">
              <w:rPr>
                <w:rFonts w:hint="cs"/>
                <w:rtl/>
              </w:rPr>
              <w:t>ل</w:t>
            </w:r>
            <w:r w:rsidRPr="00D822EC">
              <w:rPr>
                <w:rFonts w:hint="eastAsia"/>
                <w:rtl/>
              </w:rPr>
              <w:t>تنمية</w:t>
            </w:r>
            <w:r w:rsidRPr="00D822EC">
              <w:rPr>
                <w:rtl/>
              </w:rPr>
              <w:t xml:space="preserve"> </w:t>
            </w:r>
            <w:r w:rsidRPr="00D822EC">
              <w:rPr>
                <w:rFonts w:hint="eastAsia"/>
                <w:rtl/>
              </w:rPr>
              <w:t>تكنولوجيا</w:t>
            </w:r>
            <w:r w:rsidRPr="00D822EC">
              <w:rPr>
                <w:rtl/>
              </w:rPr>
              <w:t xml:space="preserve"> </w:t>
            </w:r>
            <w:r w:rsidRPr="00D822EC">
              <w:rPr>
                <w:rFonts w:hint="eastAsia"/>
                <w:rtl/>
              </w:rPr>
              <w:t>المعلومات</w:t>
            </w:r>
            <w:r w:rsidRPr="00D822EC">
              <w:rPr>
                <w:rtl/>
              </w:rPr>
              <w:t xml:space="preserve"> </w:t>
            </w:r>
            <w:r w:rsidRPr="00D822EC">
              <w:rPr>
                <w:rFonts w:hint="eastAsia"/>
                <w:rtl/>
              </w:rPr>
              <w:t>والاتصالات</w:t>
            </w:r>
            <w:r w:rsidRPr="00D822EC">
              <w:rPr>
                <w:rFonts w:hint="cs"/>
                <w:rtl/>
              </w:rPr>
              <w:t> </w:t>
            </w:r>
            <w:r w:rsidRPr="00D822EC">
              <w:t>(IDI)</w:t>
            </w:r>
            <w:r w:rsidR="00D822EC" w:rsidRPr="00D822EC">
              <w:rPr>
                <w:rFonts w:hint="eastAsia"/>
                <w:rtl/>
              </w:rPr>
              <w:t> </w:t>
            </w:r>
            <w:r w:rsidRPr="00D822EC">
              <w:rPr>
                <w:rFonts w:hint="cs"/>
                <w:rtl/>
              </w:rPr>
              <w:t>-</w:t>
            </w:r>
            <w:r w:rsidRPr="00D822EC">
              <w:rPr>
                <w:rtl/>
              </w:rPr>
              <w:t xml:space="preserve"> </w:t>
            </w:r>
            <w:r w:rsidRPr="00D822EC">
              <w:rPr>
                <w:rFonts w:hint="eastAsia"/>
                <w:rtl/>
              </w:rPr>
              <w:t>وهو</w:t>
            </w:r>
            <w:r w:rsidRPr="00D822EC">
              <w:rPr>
                <w:rtl/>
              </w:rPr>
              <w:t xml:space="preserve"> </w:t>
            </w:r>
            <w:r w:rsidRPr="00D822EC">
              <w:rPr>
                <w:rFonts w:hint="eastAsia"/>
                <w:rtl/>
              </w:rPr>
              <w:t>أداة</w:t>
            </w:r>
            <w:r w:rsidRPr="00D822EC">
              <w:rPr>
                <w:rtl/>
              </w:rPr>
              <w:t xml:space="preserve"> </w:t>
            </w:r>
            <w:r w:rsidRPr="00D822EC">
              <w:rPr>
                <w:rFonts w:hint="eastAsia"/>
                <w:rtl/>
              </w:rPr>
              <w:t>قياس</w:t>
            </w:r>
            <w:r w:rsidRPr="00D822EC">
              <w:rPr>
                <w:rtl/>
              </w:rPr>
              <w:t xml:space="preserve"> </w:t>
            </w:r>
            <w:r w:rsidRPr="00D822EC">
              <w:rPr>
                <w:rFonts w:hint="eastAsia"/>
                <w:rtl/>
              </w:rPr>
              <w:t>ترصد</w:t>
            </w:r>
            <w:r w:rsidRPr="00D822EC">
              <w:rPr>
                <w:rtl/>
              </w:rPr>
              <w:t xml:space="preserve"> </w:t>
            </w:r>
            <w:r w:rsidRPr="00D822EC">
              <w:rPr>
                <w:rFonts w:hint="eastAsia"/>
                <w:rtl/>
              </w:rPr>
              <w:t>تطورات</w:t>
            </w:r>
            <w:r w:rsidRPr="00D822EC">
              <w:rPr>
                <w:rtl/>
              </w:rPr>
              <w:t xml:space="preserve"> </w:t>
            </w:r>
            <w:r w:rsidRPr="00D822EC">
              <w:rPr>
                <w:rFonts w:hint="eastAsia"/>
                <w:rtl/>
              </w:rPr>
              <w:t>مجتمع</w:t>
            </w:r>
            <w:r w:rsidRPr="00D822EC">
              <w:rPr>
                <w:rtl/>
              </w:rPr>
              <w:t xml:space="preserve"> </w:t>
            </w:r>
            <w:r w:rsidRPr="00D822EC">
              <w:rPr>
                <w:rFonts w:hint="eastAsia"/>
                <w:rtl/>
              </w:rPr>
              <w:t>المعلومات</w:t>
            </w:r>
            <w:r w:rsidRPr="00D822EC">
              <w:rPr>
                <w:rtl/>
              </w:rPr>
              <w:t xml:space="preserve"> </w:t>
            </w:r>
            <w:r w:rsidRPr="00D822EC">
              <w:rPr>
                <w:rFonts w:hint="eastAsia"/>
                <w:rtl/>
              </w:rPr>
              <w:t>على</w:t>
            </w:r>
            <w:r w:rsidRPr="00D822EC">
              <w:rPr>
                <w:rtl/>
              </w:rPr>
              <w:t xml:space="preserve"> </w:t>
            </w:r>
            <w:r w:rsidRPr="00D822EC">
              <w:rPr>
                <w:rFonts w:hint="eastAsia"/>
                <w:rtl/>
              </w:rPr>
              <w:t>الصعيد</w:t>
            </w:r>
            <w:r w:rsidRPr="00D822EC">
              <w:rPr>
                <w:rtl/>
              </w:rPr>
              <w:t xml:space="preserve"> </w:t>
            </w:r>
            <w:r w:rsidRPr="00D822EC">
              <w:rPr>
                <w:rFonts w:hint="eastAsia"/>
                <w:rtl/>
              </w:rPr>
              <w:t>العالمي</w:t>
            </w:r>
            <w:r w:rsidRPr="00D822EC">
              <w:rPr>
                <w:rtl/>
              </w:rPr>
              <w:t>.</w:t>
            </w:r>
            <w:r w:rsidRPr="00D822EC">
              <w:rPr>
                <w:rFonts w:hint="cs"/>
                <w:rtl/>
              </w:rPr>
              <w:t xml:space="preserve"> وأشاد المندوبون بعمل </w:t>
            </w:r>
            <w:r w:rsidRPr="00D822EC">
              <w:rPr>
                <w:rFonts w:hint="eastAsia"/>
                <w:rtl/>
              </w:rPr>
              <w:t>فريق</w:t>
            </w:r>
            <w:r w:rsidRPr="00D822EC">
              <w:rPr>
                <w:rtl/>
              </w:rPr>
              <w:t xml:space="preserve"> </w:t>
            </w:r>
            <w:r w:rsidRPr="00D822EC">
              <w:rPr>
                <w:rFonts w:hint="eastAsia"/>
                <w:rtl/>
              </w:rPr>
              <w:t>الخبراء</w:t>
            </w:r>
            <w:r w:rsidRPr="00D822EC">
              <w:rPr>
                <w:rtl/>
              </w:rPr>
              <w:t xml:space="preserve"> </w:t>
            </w:r>
            <w:r w:rsidRPr="00D822EC">
              <w:rPr>
                <w:rFonts w:hint="eastAsia"/>
                <w:rtl/>
              </w:rPr>
              <w:t>المعني</w:t>
            </w:r>
            <w:r w:rsidRPr="00D822EC">
              <w:rPr>
                <w:rtl/>
              </w:rPr>
              <w:t xml:space="preserve"> </w:t>
            </w:r>
            <w:r w:rsidRPr="00D822EC">
              <w:rPr>
                <w:rFonts w:hint="eastAsia"/>
                <w:rtl/>
              </w:rPr>
              <w:t>بمؤشرات</w:t>
            </w:r>
            <w:r w:rsidRPr="00D822EC">
              <w:rPr>
                <w:rtl/>
              </w:rPr>
              <w:t xml:space="preserve"> </w:t>
            </w:r>
            <w:r w:rsidRPr="00D822EC">
              <w:rPr>
                <w:rFonts w:hint="eastAsia"/>
                <w:rtl/>
              </w:rPr>
              <w:t>الاتصالات</w:t>
            </w:r>
            <w:r w:rsidRPr="00D822EC">
              <w:rPr>
                <w:rtl/>
              </w:rPr>
              <w:t>/</w:t>
            </w:r>
            <w:r w:rsidRPr="00D822EC">
              <w:rPr>
                <w:rFonts w:hint="eastAsia"/>
                <w:rtl/>
              </w:rPr>
              <w:t>تكنولوجيا</w:t>
            </w:r>
            <w:r w:rsidRPr="00D822EC">
              <w:rPr>
                <w:rtl/>
              </w:rPr>
              <w:t xml:space="preserve"> </w:t>
            </w:r>
            <w:r w:rsidRPr="00D822EC">
              <w:rPr>
                <w:rFonts w:hint="eastAsia"/>
                <w:rtl/>
              </w:rPr>
              <w:t>المعلومات</w:t>
            </w:r>
            <w:r w:rsidRPr="00D822EC">
              <w:rPr>
                <w:rtl/>
              </w:rPr>
              <w:t xml:space="preserve"> </w:t>
            </w:r>
            <w:r w:rsidRPr="00D822EC">
              <w:rPr>
                <w:rFonts w:hint="eastAsia"/>
                <w:rtl/>
              </w:rPr>
              <w:t>والاتصالات</w:t>
            </w:r>
            <w:r w:rsidRPr="00D822EC">
              <w:rPr>
                <w:rFonts w:hint="cs"/>
                <w:rtl/>
              </w:rPr>
              <w:t> </w:t>
            </w:r>
            <w:r w:rsidRPr="00D822EC">
              <w:t>(EGTI)</w:t>
            </w:r>
            <w:r w:rsidRPr="00D822EC">
              <w:rPr>
                <w:rFonts w:hint="cs"/>
                <w:rtl/>
              </w:rPr>
              <w:t xml:space="preserve"> و</w:t>
            </w:r>
            <w:r w:rsidRPr="00D822EC">
              <w:rPr>
                <w:rFonts w:hint="eastAsia"/>
                <w:rtl/>
              </w:rPr>
              <w:t>فريق</w:t>
            </w:r>
            <w:r w:rsidRPr="00D822EC">
              <w:rPr>
                <w:rtl/>
              </w:rPr>
              <w:t xml:space="preserve"> </w:t>
            </w:r>
            <w:r w:rsidRPr="00D822EC">
              <w:rPr>
                <w:rFonts w:hint="eastAsia"/>
                <w:rtl/>
              </w:rPr>
              <w:t>الخبراء</w:t>
            </w:r>
            <w:r w:rsidRPr="00D822EC">
              <w:rPr>
                <w:rtl/>
              </w:rPr>
              <w:t xml:space="preserve"> </w:t>
            </w:r>
            <w:r w:rsidRPr="00D822EC">
              <w:rPr>
                <w:rFonts w:hint="eastAsia"/>
                <w:rtl/>
              </w:rPr>
              <w:t>المعني</w:t>
            </w:r>
            <w:r w:rsidRPr="00D822EC">
              <w:rPr>
                <w:rtl/>
              </w:rPr>
              <w:t xml:space="preserve"> </w:t>
            </w:r>
            <w:r w:rsidRPr="00D822EC">
              <w:rPr>
                <w:rFonts w:hint="eastAsia"/>
                <w:rtl/>
              </w:rPr>
              <w:t>بالمؤشرات</w:t>
            </w:r>
            <w:r w:rsidRPr="00D822EC">
              <w:rPr>
                <w:rtl/>
              </w:rPr>
              <w:t xml:space="preserve"> </w:t>
            </w:r>
            <w:r w:rsidRPr="00D822EC">
              <w:rPr>
                <w:rFonts w:hint="eastAsia"/>
                <w:rtl/>
              </w:rPr>
              <w:t>الأسرية</w:t>
            </w:r>
            <w:r w:rsidRPr="00D822EC">
              <w:rPr>
                <w:rtl/>
              </w:rPr>
              <w:t xml:space="preserve"> </w:t>
            </w:r>
            <w:r w:rsidRPr="00D822EC">
              <w:rPr>
                <w:rFonts w:hint="eastAsia"/>
                <w:rtl/>
              </w:rPr>
              <w:t>لتكنولوجيا</w:t>
            </w:r>
            <w:r w:rsidRPr="00D822EC">
              <w:rPr>
                <w:rtl/>
              </w:rPr>
              <w:t xml:space="preserve"> </w:t>
            </w:r>
            <w:r w:rsidRPr="00D822EC">
              <w:rPr>
                <w:rFonts w:hint="eastAsia"/>
                <w:rtl/>
              </w:rPr>
              <w:t>المعلومات</w:t>
            </w:r>
            <w:r w:rsidRPr="00D822EC">
              <w:rPr>
                <w:rtl/>
              </w:rPr>
              <w:t xml:space="preserve"> </w:t>
            </w:r>
            <w:r w:rsidRPr="00D822EC">
              <w:rPr>
                <w:rFonts w:hint="eastAsia"/>
                <w:rtl/>
              </w:rPr>
              <w:t>والاتصالات</w:t>
            </w:r>
            <w:r w:rsidR="00D822EC">
              <w:rPr>
                <w:rFonts w:hint="eastAsia"/>
                <w:rtl/>
              </w:rPr>
              <w:t> </w:t>
            </w:r>
            <w:r w:rsidRPr="00D822EC">
              <w:t>(EGH)</w:t>
            </w:r>
            <w:r w:rsidRPr="00D822EC">
              <w:rPr>
                <w:rFonts w:hint="cs"/>
                <w:rtl/>
              </w:rPr>
              <w:t>، واتفقوا على عدد من الاستنتاجات والتوصيات المتعلقة بالأعمال التي ستضطلع بها الجهات الوطنية والدولية مستقبلاً لقياس تكنولوجيا المعلومات والاتصالات.</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الإجراء المطلوب:</w:t>
            </w:r>
          </w:p>
          <w:p w:rsidR="0056509A" w:rsidRDefault="00966A58" w:rsidP="00966A58">
            <w:pPr>
              <w:tabs>
                <w:tab w:val="clear" w:pos="1134"/>
                <w:tab w:val="left" w:pos="1701"/>
              </w:tabs>
              <w:spacing w:before="60" w:after="60"/>
              <w:rPr>
                <w:rtl/>
                <w:lang w:bidi="ar-EG"/>
              </w:rPr>
            </w:pPr>
            <w:r w:rsidRPr="00A3264E">
              <w:rPr>
                <w:rFonts w:hint="cs"/>
                <w:spacing w:val="-2"/>
                <w:rtl/>
              </w:rPr>
              <w:t>يُرجى من ال</w:t>
            </w:r>
            <w:r w:rsidRPr="00A3264E">
              <w:rPr>
                <w:rFonts w:hint="eastAsia"/>
                <w:spacing w:val="-2"/>
                <w:rtl/>
              </w:rPr>
              <w:t>فريق</w:t>
            </w:r>
            <w:r w:rsidRPr="00A3264E">
              <w:rPr>
                <w:spacing w:val="-2"/>
                <w:rtl/>
              </w:rPr>
              <w:t xml:space="preserve"> </w:t>
            </w:r>
            <w:r w:rsidRPr="00A3264E">
              <w:rPr>
                <w:rFonts w:hint="eastAsia"/>
                <w:spacing w:val="-2"/>
                <w:rtl/>
              </w:rPr>
              <w:t>الاستشاري</w:t>
            </w:r>
            <w:r w:rsidRPr="00A3264E">
              <w:rPr>
                <w:spacing w:val="-2"/>
                <w:rtl/>
              </w:rPr>
              <w:t xml:space="preserve"> </w:t>
            </w:r>
            <w:r w:rsidRPr="00A3264E">
              <w:rPr>
                <w:rFonts w:hint="eastAsia"/>
                <w:spacing w:val="-2"/>
                <w:rtl/>
              </w:rPr>
              <w:t>لتنمية</w:t>
            </w:r>
            <w:r w:rsidRPr="00A3264E">
              <w:rPr>
                <w:spacing w:val="-2"/>
                <w:rtl/>
              </w:rPr>
              <w:t xml:space="preserve"> </w:t>
            </w:r>
            <w:r w:rsidRPr="00A3264E">
              <w:rPr>
                <w:rFonts w:hint="eastAsia"/>
                <w:spacing w:val="-2"/>
                <w:rtl/>
              </w:rPr>
              <w:t>الاتصالات</w:t>
            </w:r>
            <w:r w:rsidRPr="00A3264E">
              <w:rPr>
                <w:rFonts w:hint="cs"/>
                <w:spacing w:val="-2"/>
                <w:rtl/>
              </w:rPr>
              <w:t xml:space="preserve"> </w:t>
            </w:r>
            <w:r w:rsidRPr="00A3264E">
              <w:rPr>
                <w:spacing w:val="-2"/>
                <w:lang w:val="en-GB" w:bidi="ar-SY"/>
              </w:rPr>
              <w:t>(TDAG)</w:t>
            </w:r>
            <w:r w:rsidRPr="00A3264E">
              <w:rPr>
                <w:rFonts w:hint="cs"/>
                <w:spacing w:val="-2"/>
                <w:rtl/>
              </w:rPr>
              <w:t xml:space="preserve"> الإحاطة علماً بهذا التقرير وتقديم أي توجيهات يراها مناسبة.</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المراجع:</w:t>
            </w:r>
          </w:p>
          <w:p w:rsidR="0056509A" w:rsidRPr="00012189" w:rsidRDefault="00966A58" w:rsidP="00966A58">
            <w:pPr>
              <w:tabs>
                <w:tab w:val="clear" w:pos="1134"/>
                <w:tab w:val="left" w:pos="1701"/>
              </w:tabs>
              <w:spacing w:before="60" w:after="60"/>
              <w:rPr>
                <w:spacing w:val="-4"/>
                <w:rtl/>
                <w:lang w:bidi="ar-EG"/>
              </w:rPr>
            </w:pPr>
            <w:r w:rsidRPr="00012189">
              <w:rPr>
                <w:rFonts w:hint="cs"/>
                <w:spacing w:val="-4"/>
                <w:rtl/>
              </w:rPr>
              <w:t xml:space="preserve">القرار </w:t>
            </w:r>
            <w:r w:rsidRPr="00012189">
              <w:rPr>
                <w:spacing w:val="-4"/>
                <w:lang w:val="fr-CH" w:bidi="ar-SY"/>
              </w:rPr>
              <w:t>8</w:t>
            </w:r>
            <w:r w:rsidRPr="00012189">
              <w:rPr>
                <w:rFonts w:hint="cs"/>
                <w:spacing w:val="-4"/>
                <w:rtl/>
                <w:lang w:bidi="ar-EG"/>
              </w:rPr>
              <w:t xml:space="preserve"> </w:t>
            </w:r>
            <w:r w:rsidRPr="00012189">
              <w:rPr>
                <w:rFonts w:hint="cs"/>
                <w:spacing w:val="-4"/>
                <w:rtl/>
              </w:rPr>
              <w:t xml:space="preserve">(المراجَع في دبي، </w:t>
            </w:r>
            <w:r w:rsidRPr="00012189">
              <w:rPr>
                <w:spacing w:val="-4"/>
                <w:lang w:val="fr-CH" w:bidi="ar-SY"/>
              </w:rPr>
              <w:t>2014</w:t>
            </w:r>
            <w:r w:rsidRPr="00012189">
              <w:rPr>
                <w:rFonts w:hint="cs"/>
                <w:spacing w:val="-4"/>
                <w:rtl/>
                <w:lang w:bidi="ar-EG"/>
              </w:rPr>
              <w:t xml:space="preserve">) </w:t>
            </w:r>
            <w:r w:rsidRPr="00012189">
              <w:rPr>
                <w:rFonts w:hint="eastAsia"/>
                <w:spacing w:val="-4"/>
                <w:rtl/>
              </w:rPr>
              <w:t>للمؤتمر</w:t>
            </w:r>
            <w:r w:rsidRPr="00012189">
              <w:rPr>
                <w:spacing w:val="-4"/>
                <w:rtl/>
              </w:rPr>
              <w:t xml:space="preserve"> </w:t>
            </w:r>
            <w:r w:rsidRPr="00012189">
              <w:rPr>
                <w:rFonts w:hint="eastAsia"/>
                <w:spacing w:val="-4"/>
                <w:rtl/>
              </w:rPr>
              <w:t>العالمي</w:t>
            </w:r>
            <w:r w:rsidRPr="00012189">
              <w:rPr>
                <w:spacing w:val="-4"/>
                <w:rtl/>
              </w:rPr>
              <w:t xml:space="preserve"> </w:t>
            </w:r>
            <w:r w:rsidRPr="00012189">
              <w:rPr>
                <w:rFonts w:hint="eastAsia"/>
                <w:spacing w:val="-4"/>
                <w:rtl/>
              </w:rPr>
              <w:t>لتنمية</w:t>
            </w:r>
            <w:r w:rsidRPr="00012189">
              <w:rPr>
                <w:spacing w:val="-4"/>
                <w:rtl/>
              </w:rPr>
              <w:t xml:space="preserve"> </w:t>
            </w:r>
            <w:r w:rsidRPr="00012189">
              <w:rPr>
                <w:rFonts w:hint="eastAsia"/>
                <w:spacing w:val="-4"/>
                <w:rtl/>
              </w:rPr>
              <w:t>الاتصالات</w:t>
            </w:r>
            <w:r w:rsidRPr="00012189">
              <w:rPr>
                <w:rFonts w:hint="cs"/>
                <w:spacing w:val="-4"/>
                <w:rtl/>
                <w:lang w:bidi="ar-EG"/>
              </w:rPr>
              <w:t xml:space="preserve">، والقرار </w:t>
            </w:r>
            <w:r w:rsidRPr="00012189">
              <w:rPr>
                <w:spacing w:val="-4"/>
                <w:lang w:val="fr-CH" w:bidi="ar-SY"/>
              </w:rPr>
              <w:t>131</w:t>
            </w:r>
            <w:r w:rsidRPr="00012189">
              <w:rPr>
                <w:rFonts w:hint="cs"/>
                <w:spacing w:val="-4"/>
                <w:rtl/>
                <w:lang w:bidi="ar-EG"/>
              </w:rPr>
              <w:t xml:space="preserve"> (المراجَع في</w:t>
            </w:r>
            <w:r w:rsidRPr="00012189">
              <w:rPr>
                <w:rFonts w:hint="eastAsia"/>
                <w:spacing w:val="-4"/>
                <w:rtl/>
                <w:lang w:bidi="ar-EG"/>
              </w:rPr>
              <w:t> </w:t>
            </w:r>
            <w:r w:rsidRPr="00012189">
              <w:rPr>
                <w:rFonts w:hint="cs"/>
                <w:spacing w:val="-4"/>
                <w:rtl/>
                <w:lang w:bidi="ar-EG"/>
              </w:rPr>
              <w:t>بوسان،</w:t>
            </w:r>
            <w:r w:rsidRPr="00012189">
              <w:rPr>
                <w:rFonts w:hint="eastAsia"/>
                <w:spacing w:val="-4"/>
                <w:rtl/>
                <w:lang w:bidi="ar-EG"/>
              </w:rPr>
              <w:t> </w:t>
            </w:r>
            <w:r w:rsidRPr="00012189">
              <w:rPr>
                <w:spacing w:val="-4"/>
                <w:lang w:val="fr-CH" w:bidi="ar-SY"/>
              </w:rPr>
              <w:t>2014</w:t>
            </w:r>
            <w:r w:rsidRPr="00012189">
              <w:rPr>
                <w:rFonts w:hint="cs"/>
                <w:spacing w:val="-4"/>
                <w:rtl/>
                <w:lang w:bidi="ar-EG"/>
              </w:rPr>
              <w:t>) لمؤتمر المندوبين المفوضين.</w:t>
            </w:r>
          </w:p>
          <w:p w:rsidR="0056509A" w:rsidRPr="0056509A" w:rsidRDefault="0056509A" w:rsidP="006E77E7">
            <w:pPr>
              <w:tabs>
                <w:tab w:val="clear" w:pos="1134"/>
                <w:tab w:val="left" w:pos="1701"/>
              </w:tabs>
              <w:spacing w:before="60" w:after="60"/>
              <w:jc w:val="left"/>
              <w:rPr>
                <w:sz w:val="2"/>
                <w:szCs w:val="2"/>
                <w:rtl/>
                <w:lang w:bidi="ar-EG"/>
              </w:rPr>
            </w:pPr>
          </w:p>
        </w:tc>
      </w:tr>
    </w:tbl>
    <w:p w:rsidR="006E77E7" w:rsidRDefault="006E77E7" w:rsidP="008B5B5D">
      <w:pPr>
        <w:rPr>
          <w:rtl/>
          <w:lang w:bidi="ar-EG"/>
        </w:rPr>
      </w:pPr>
      <w:r>
        <w:rPr>
          <w:rtl/>
          <w:lang w:bidi="ar-EG"/>
        </w:rPr>
        <w:br w:type="page"/>
      </w:r>
    </w:p>
    <w:p w:rsidR="00966A58" w:rsidRPr="00966A58" w:rsidRDefault="00966A58" w:rsidP="00966A58">
      <w:pPr>
        <w:pStyle w:val="Headingb"/>
      </w:pPr>
      <w:r w:rsidRPr="00966A58">
        <w:rPr>
          <w:rtl/>
        </w:rPr>
        <w:lastRenderedPageBreak/>
        <w:t>مقدمة</w:t>
      </w:r>
    </w:p>
    <w:p w:rsidR="00966A58" w:rsidRPr="00966A58" w:rsidRDefault="00966A58" w:rsidP="0006524B">
      <w:pPr>
        <w:rPr>
          <w:lang w:bidi="ar-EG"/>
        </w:rPr>
      </w:pPr>
      <w:r w:rsidRPr="00966A58">
        <w:rPr>
          <w:rFonts w:hint="cs"/>
          <w:rtl/>
          <w:lang w:bidi="ar-LB"/>
        </w:rPr>
        <w:t xml:space="preserve">إن الندوة العالمية لمؤشرات الاتصالات/تكنولوجيا المعلومات والاتصالات </w:t>
      </w:r>
      <w:r w:rsidRPr="00966A58">
        <w:rPr>
          <w:lang w:bidi="ar-EG"/>
        </w:rPr>
        <w:t>(WTIS)</w:t>
      </w:r>
      <w:r w:rsidRPr="00966A58">
        <w:rPr>
          <w:rFonts w:hint="cs"/>
          <w:rtl/>
          <w:lang w:bidi="ar-LB"/>
        </w:rPr>
        <w:t xml:space="preserve"> للاتحاد التي عُقدت لأول مرة في عام </w:t>
      </w:r>
      <w:r w:rsidRPr="00966A58">
        <w:rPr>
          <w:lang w:bidi="ar-EG"/>
        </w:rPr>
        <w:t>1996</w:t>
      </w:r>
      <w:r w:rsidRPr="00966A58">
        <w:rPr>
          <w:rFonts w:hint="cs"/>
          <w:rtl/>
          <w:lang w:bidi="ar-LB"/>
        </w:rPr>
        <w:t xml:space="preserve"> والتي أصبحت تنظم سنوياً منذ عام </w:t>
      </w:r>
      <w:r w:rsidRPr="00966A58">
        <w:rPr>
          <w:lang w:bidi="ar-EG"/>
        </w:rPr>
        <w:t>2005</w:t>
      </w:r>
      <w:r w:rsidRPr="00966A58">
        <w:rPr>
          <w:rFonts w:hint="cs"/>
          <w:rtl/>
          <w:lang w:bidi="ar-LB"/>
        </w:rPr>
        <w:t xml:space="preserve"> قد تطورت لتصبح أهم منتدى عالمي لقياسات الاتصالات ومجتمع المعلومات. وهي تجمع بين مندوبين من جميع أنحاء العالم، من </w:t>
      </w:r>
      <w:r w:rsidR="0006524B">
        <w:rPr>
          <w:rFonts w:hint="cs"/>
          <w:rtl/>
          <w:lang w:bidi="ar-LB"/>
        </w:rPr>
        <w:t>وزراء الحكومات</w:t>
      </w:r>
      <w:r w:rsidRPr="00966A58">
        <w:rPr>
          <w:rFonts w:hint="cs"/>
          <w:rtl/>
          <w:lang w:bidi="ar-LB"/>
        </w:rPr>
        <w:t xml:space="preserve"> وقادة الشركات إلى منظمين وإحصائيين وطنيين وأكاديميين رائدين ومنتجين ومحللين لبيانات تكنولوجيا المعلومات والاتصالات.</w:t>
      </w:r>
    </w:p>
    <w:p w:rsidR="00966A58" w:rsidRPr="00966A58" w:rsidRDefault="00966A58" w:rsidP="00966A58">
      <w:pPr>
        <w:rPr>
          <w:rtl/>
          <w:lang w:bidi="ar-EG"/>
        </w:rPr>
      </w:pPr>
      <w:r w:rsidRPr="00966A58">
        <w:rPr>
          <w:rFonts w:hint="cs"/>
          <w:rtl/>
          <w:lang w:bidi="ar-EG"/>
        </w:rPr>
        <w:t xml:space="preserve">والهدف من الندوة مناقشة القضايا الجديدة والناشئة في مجال بيانات وإحصاءات تكنولوجيا المعلومات والاتصالات ودورها في وضع السياسة العامة، وتوفير التوجيه الاستراتيجي للمجتمعات الوطنية والمجتمع الدولي بشأن اتجاهات مجتمع المعلومات ورصدها في المستقبل، وتسليط الضوء على أثر تكنولوجيا المعلومات والاتصالات </w:t>
      </w:r>
      <w:r w:rsidRPr="00966A58">
        <w:rPr>
          <w:lang w:val="en-GB" w:bidi="ar-EG"/>
        </w:rPr>
        <w:t>(ICT)</w:t>
      </w:r>
      <w:r w:rsidRPr="00966A58">
        <w:rPr>
          <w:rFonts w:hint="cs"/>
          <w:rtl/>
          <w:lang w:bidi="ar-EG"/>
        </w:rPr>
        <w:t xml:space="preserve"> في التنمية استناداً إلى التحليل الكمي، ووضع معايير ومنهجيات لإنتاج بيانات ومؤشرات إحصائية عالية الجودة. وتتيح الندوة محفلاً فريداً لمستعملي ومنتجي بيانات تكنولوجيا المعلومات والاتصالات من أجل الاجتماع معاً وتبادل المعارف وتقاسم أفضل الممارسات وتحديد الفرص التجارية وتعزيز التعاون.</w:t>
      </w:r>
    </w:p>
    <w:p w:rsidR="00966A58" w:rsidRPr="00966A58" w:rsidRDefault="00966A58" w:rsidP="00966A58">
      <w:pPr>
        <w:pStyle w:val="Headingb"/>
        <w:rPr>
          <w:rtl/>
        </w:rPr>
      </w:pPr>
      <w:r w:rsidRPr="00966A58">
        <w:rPr>
          <w:rFonts w:hint="cs"/>
          <w:rtl/>
        </w:rPr>
        <w:t xml:space="preserve">الندوة العالمية لمؤشرات الاتصالات/تكنولوجيا المعلومات والاتصالات لعام </w:t>
      </w:r>
      <w:r w:rsidRPr="00966A58">
        <w:t>2016</w:t>
      </w:r>
    </w:p>
    <w:p w:rsidR="00966A58" w:rsidRPr="00966A58" w:rsidRDefault="00966A58" w:rsidP="0006524B">
      <w:pPr>
        <w:rPr>
          <w:rtl/>
        </w:rPr>
      </w:pPr>
      <w:r w:rsidRPr="00966A58">
        <w:rPr>
          <w:rFonts w:hint="cs"/>
          <w:rtl/>
          <w:lang w:bidi="ar-EG"/>
        </w:rPr>
        <w:t xml:space="preserve">عُقدت الندوة العالمية الرابعة عشرة لمؤشرات الاتصالات/تكنولوجيا المعلومات والاتصالات </w:t>
      </w:r>
      <w:r w:rsidRPr="00966A58">
        <w:rPr>
          <w:rFonts w:hint="cs"/>
          <w:rtl/>
        </w:rPr>
        <w:t>ف</w:t>
      </w:r>
      <w:r w:rsidRPr="00966A58">
        <w:rPr>
          <w:rFonts w:hint="eastAsia"/>
          <w:rtl/>
        </w:rPr>
        <w:t>ي</w:t>
      </w:r>
      <w:r w:rsidRPr="00966A58">
        <w:rPr>
          <w:rFonts w:hint="cs"/>
          <w:rtl/>
        </w:rPr>
        <w:t xml:space="preserve"> </w:t>
      </w:r>
      <w:r w:rsidRPr="00966A58">
        <w:rPr>
          <w:rtl/>
        </w:rPr>
        <w:t xml:space="preserve">غابورون، </w:t>
      </w:r>
      <w:r w:rsidRPr="00966A58">
        <w:rPr>
          <w:rFonts w:hint="cs"/>
          <w:rtl/>
        </w:rPr>
        <w:t>بوتسوانا</w:t>
      </w:r>
      <w:r w:rsidRPr="00966A58">
        <w:rPr>
          <w:rFonts w:hint="eastAsia"/>
          <w:rtl/>
        </w:rPr>
        <w:t>،</w:t>
      </w:r>
      <w:r w:rsidRPr="00966A58">
        <w:rPr>
          <w:rtl/>
        </w:rPr>
        <w:t xml:space="preserve"> </w:t>
      </w:r>
      <w:r>
        <w:rPr>
          <w:rFonts w:hint="cs"/>
          <w:rtl/>
        </w:rPr>
        <w:t>في</w:t>
      </w:r>
      <w:r>
        <w:rPr>
          <w:rFonts w:hint="eastAsia"/>
          <w:rtl/>
        </w:rPr>
        <w:t> </w:t>
      </w:r>
      <w:r>
        <w:rPr>
          <w:rFonts w:hint="cs"/>
          <w:rtl/>
        </w:rPr>
        <w:t>الفترة </w:t>
      </w:r>
      <w:r w:rsidRPr="00966A58">
        <w:rPr>
          <w:lang w:bidi="ar-EG"/>
        </w:rPr>
        <w:t>23</w:t>
      </w:r>
      <w:r>
        <w:rPr>
          <w:lang w:bidi="ar-EG"/>
        </w:rPr>
        <w:noBreakHyphen/>
      </w:r>
      <w:r w:rsidRPr="00966A58">
        <w:rPr>
          <w:lang w:bidi="ar-EG"/>
        </w:rPr>
        <w:t>21</w:t>
      </w:r>
      <w:r>
        <w:rPr>
          <w:rFonts w:hint="cs"/>
          <w:rtl/>
        </w:rPr>
        <w:t> </w:t>
      </w:r>
      <w:r w:rsidRPr="00966A58">
        <w:rPr>
          <w:rFonts w:hint="cs"/>
          <w:rtl/>
        </w:rPr>
        <w:t>نوفمبر</w:t>
      </w:r>
      <w:r w:rsidR="0006524B">
        <w:rPr>
          <w:rFonts w:hint="cs"/>
          <w:rtl/>
        </w:rPr>
        <w:t> </w:t>
      </w:r>
      <w:r w:rsidRPr="00966A58">
        <w:rPr>
          <w:lang w:bidi="ar-EG"/>
        </w:rPr>
        <w:t>2016</w:t>
      </w:r>
      <w:r w:rsidRPr="00966A58">
        <w:rPr>
          <w:rFonts w:hint="cs"/>
          <w:rtl/>
          <w:lang w:bidi="ar-EG"/>
        </w:rPr>
        <w:t xml:space="preserve">. </w:t>
      </w:r>
      <w:r w:rsidRPr="00966A58">
        <w:rPr>
          <w:rtl/>
        </w:rPr>
        <w:t>ونظم الندوة الاتحاد الدولي للاتصالات واستضافتها حكومة بوتسوانا</w:t>
      </w:r>
      <w:r w:rsidRPr="00966A58">
        <w:rPr>
          <w:rFonts w:hint="cs"/>
          <w:rtl/>
        </w:rPr>
        <w:t>.</w:t>
      </w:r>
    </w:p>
    <w:p w:rsidR="00966A58" w:rsidRDefault="00966A58" w:rsidP="006114BC">
      <w:pPr>
        <w:rPr>
          <w:rtl/>
          <w:lang w:bidi="ar-EG"/>
        </w:rPr>
      </w:pPr>
      <w:r>
        <w:rPr>
          <w:rFonts w:hint="cs"/>
          <w:rtl/>
        </w:rPr>
        <w:t>وشارك في </w:t>
      </w:r>
      <w:r w:rsidRPr="00966A58">
        <w:rPr>
          <w:rFonts w:hint="cs"/>
          <w:rtl/>
        </w:rPr>
        <w:t xml:space="preserve">الندوة العالمية لمؤشرات الاتصالات/تكنولوجيا المعلومات والاتصالات لعام </w:t>
      </w:r>
      <w:r w:rsidRPr="00966A58">
        <w:t>2016</w:t>
      </w:r>
      <w:r>
        <w:rPr>
          <w:rFonts w:hint="cs"/>
          <w:rtl/>
        </w:rPr>
        <w:t xml:space="preserve"> نحو </w:t>
      </w:r>
      <w:r>
        <w:t>400</w:t>
      </w:r>
      <w:r>
        <w:rPr>
          <w:rFonts w:hint="eastAsia"/>
          <w:rtl/>
          <w:lang w:bidi="ar-EG"/>
        </w:rPr>
        <w:t xml:space="preserve"> مشارك من </w:t>
      </w:r>
      <w:r>
        <w:rPr>
          <w:lang w:bidi="ar-EG"/>
        </w:rPr>
        <w:t>60</w:t>
      </w:r>
      <w:r>
        <w:rPr>
          <w:rFonts w:hint="eastAsia"/>
          <w:rtl/>
          <w:lang w:bidi="ar-EG"/>
        </w:rPr>
        <w:t> بلداً، يمثلون منظمات القطاعين العام والخاص، بما في ذلك وزارات وهيئات تنظيمية</w:t>
      </w:r>
      <w:r>
        <w:rPr>
          <w:rFonts w:hint="cs"/>
          <w:rtl/>
          <w:lang w:bidi="ar-EG"/>
        </w:rPr>
        <w:t xml:space="preserve"> ومكاتب إحصائية </w:t>
      </w:r>
      <w:r w:rsidR="006114BC">
        <w:rPr>
          <w:rFonts w:hint="cs"/>
          <w:rtl/>
          <w:lang w:bidi="ar-EG"/>
        </w:rPr>
        <w:t>وطنية</w:t>
      </w:r>
      <w:r>
        <w:rPr>
          <w:rFonts w:hint="cs"/>
          <w:rtl/>
          <w:lang w:bidi="ar-EG"/>
        </w:rPr>
        <w:t xml:space="preserve"> وجامعات ومؤسسات بحثية فضلاً عن منظمات إقليمية ودولية.</w:t>
      </w:r>
    </w:p>
    <w:p w:rsidR="00966A58" w:rsidRPr="00966A58" w:rsidRDefault="00966A58" w:rsidP="00966A58">
      <w:pPr>
        <w:rPr>
          <w:rtl/>
          <w:lang w:bidi="ar-EG"/>
        </w:rPr>
      </w:pPr>
      <w:r w:rsidRPr="00966A58">
        <w:rPr>
          <w:rFonts w:hint="cs"/>
          <w:rtl/>
          <w:lang w:bidi="ar-EG"/>
        </w:rPr>
        <w:t>وسلطت الندوة الضوء على الأعمال الهامة التي يضطلع بها الاتحاد فيما يتعلق بإحصاءات تكنولوجيا المعلومات والاتصالات ودور الندوة في</w:t>
      </w:r>
      <w:r>
        <w:rPr>
          <w:rFonts w:hint="eastAsia"/>
          <w:rtl/>
          <w:lang w:bidi="ar-EG"/>
        </w:rPr>
        <w:t> </w:t>
      </w:r>
      <w:r w:rsidRPr="00966A58">
        <w:rPr>
          <w:rFonts w:hint="cs"/>
          <w:rtl/>
          <w:lang w:bidi="ar-EG"/>
        </w:rPr>
        <w:t>الجمع بين منتجي بيانات تكنولوجيا المعلومات والاتصالات ومستعمليها، والفرص التي تتيحها من حيث مناقشة القضايا المتعلقة بقياس تكنولوجيا المعلومات والاتصالات وتبادل المعلومات بشأن الخبرات والتعلم من تجارب الآخرين.</w:t>
      </w:r>
    </w:p>
    <w:p w:rsidR="00966A58" w:rsidRPr="00966A58" w:rsidRDefault="00966A58" w:rsidP="00966A58">
      <w:pPr>
        <w:rPr>
          <w:rtl/>
          <w:lang w:bidi="ar-EG"/>
        </w:rPr>
      </w:pPr>
      <w:r w:rsidRPr="00966A58">
        <w:rPr>
          <w:rFonts w:hint="cs"/>
          <w:rtl/>
          <w:lang w:bidi="ar-EG"/>
        </w:rPr>
        <w:t>وأبرزت الندوة الحاجة المستمرة إلى بيانات تكنولوجيا المعلومات والاتصالات عالية الجودة والمتاحة في الوقت المطلوب والمصنفة لتمكين واضعي السياسات من اتخاذ قرارات السياسة العامة المستنيرة وتحقيق التنمية المستدامة. وفي الوقت نفسه قدمت الندوة توجيهات بشأن كيفية توفير بيانات أفضل في مجال تكنولوجيا المعلومات والاتصالات لتحسين السياسات العامة.</w:t>
      </w:r>
    </w:p>
    <w:p w:rsidR="00966A58" w:rsidRDefault="00966A58" w:rsidP="006114BC">
      <w:pPr>
        <w:rPr>
          <w:rtl/>
          <w:lang w:bidi="ar-EG"/>
        </w:rPr>
      </w:pPr>
      <w:r>
        <w:rPr>
          <w:rFonts w:hint="cs"/>
          <w:rtl/>
          <w:lang w:bidi="ar-EG"/>
        </w:rPr>
        <w:t xml:space="preserve">وأكدت المائدة المستديرة </w:t>
      </w:r>
      <w:r w:rsidR="006114BC">
        <w:rPr>
          <w:rFonts w:hint="cs"/>
          <w:rtl/>
          <w:lang w:bidi="ar-EG"/>
        </w:rPr>
        <w:t xml:space="preserve">الوزارية </w:t>
      </w:r>
      <w:r>
        <w:rPr>
          <w:rFonts w:hint="cs"/>
          <w:rtl/>
          <w:lang w:bidi="ar-EG"/>
        </w:rPr>
        <w:t>على أن وجود مجتمع معلومات شامل للجميع يعد شرطاً أساسياً لتحقيق خطة التنمية المستدامة لعام </w:t>
      </w:r>
      <w:r>
        <w:rPr>
          <w:lang w:bidi="ar-EG"/>
        </w:rPr>
        <w:t>2030</w:t>
      </w:r>
      <w:r>
        <w:rPr>
          <w:rFonts w:hint="cs"/>
          <w:rtl/>
          <w:lang w:bidi="ar-EG"/>
        </w:rPr>
        <w:t xml:space="preserve"> التي تتعهد بألا يتخلف أحد عن الركب في المساعي الرامية إلى تحويل الأرض إلى كوكب أكثر سلاماً وازدهاراً. وأقر الوزراء بأن العالم الموصول بالكامل هو فقط الذي سيمكن جميع الشعوب من الاستفادة بصورة منصفة من الحقوق والفرص التي تنادي بها أهداف التنمية المستدامة.</w:t>
      </w:r>
    </w:p>
    <w:p w:rsidR="00966A58" w:rsidRDefault="00966A58" w:rsidP="00966A58">
      <w:pPr>
        <w:rPr>
          <w:rtl/>
          <w:lang w:bidi="ar-EG"/>
        </w:rPr>
      </w:pPr>
      <w:r>
        <w:rPr>
          <w:rFonts w:hint="cs"/>
          <w:rtl/>
          <w:lang w:bidi="ar-EG"/>
        </w:rPr>
        <w:t>وأقر حوار القادة بأن تكنولوجيا المعلومات والاتصالات تحدث تغي</w:t>
      </w:r>
      <w:bookmarkStart w:id="0" w:name="_GoBack"/>
      <w:bookmarkEnd w:id="0"/>
      <w:r>
        <w:rPr>
          <w:rFonts w:hint="cs"/>
          <w:rtl/>
          <w:lang w:bidi="ar-EG"/>
        </w:rPr>
        <w:t>رات جذرية في المجتمع والبيئة والاقتصاد. ويؤدي ذلك إلى ظهور أنظمة إ</w:t>
      </w:r>
      <w:r w:rsidR="00012189">
        <w:rPr>
          <w:rFonts w:hint="cs"/>
          <w:rtl/>
          <w:lang w:bidi="ar-EG"/>
        </w:rPr>
        <w:t>يكولوجية رقمية جديدة ويطرح فرصاً</w:t>
      </w:r>
      <w:r>
        <w:rPr>
          <w:rFonts w:hint="cs"/>
          <w:rtl/>
          <w:lang w:bidi="ar-EG"/>
        </w:rPr>
        <w:t xml:space="preserve"> وتحديات في نفس الوقت للأفراد والمجتمعات. ومن أجل تأسيس اقتصادات المعرفة والاستفادة من التيسر والاستعمال واسعي النطاق لتكنولوجيا المعلومات والاتصالات، يتعين وجود بنية تحتية أساسية صلبة. ومن شأن ذلك أن يفضي إلى مزيد من الابتكار والتقدم التقني وتحقيق كفاءة أفضل والمزيد من الخدمات الأفضل والأكثر استدامة.</w:t>
      </w:r>
    </w:p>
    <w:p w:rsidR="00966A58" w:rsidRDefault="00966A58" w:rsidP="00E929EE">
      <w:pPr>
        <w:rPr>
          <w:rtl/>
          <w:lang w:bidi="ar-EG"/>
        </w:rPr>
      </w:pPr>
      <w:r w:rsidRPr="00966A58">
        <w:rPr>
          <w:rFonts w:hint="cs"/>
          <w:rtl/>
          <w:lang w:bidi="ar-EG"/>
        </w:rPr>
        <w:t>وأ</w:t>
      </w:r>
      <w:r w:rsidRPr="00966A58">
        <w:rPr>
          <w:rFonts w:hint="eastAsia"/>
          <w:rtl/>
          <w:lang w:bidi="ar-EG"/>
        </w:rPr>
        <w:t>ُطلق</w:t>
      </w:r>
      <w:r w:rsidRPr="00966A58">
        <w:rPr>
          <w:rtl/>
          <w:lang w:bidi="ar-EG"/>
        </w:rPr>
        <w:t xml:space="preserve"> </w:t>
      </w:r>
      <w:r w:rsidRPr="00966A58">
        <w:rPr>
          <w:rFonts w:hint="cs"/>
          <w:i/>
          <w:iCs/>
          <w:rtl/>
        </w:rPr>
        <w:t>تقرير</w:t>
      </w:r>
      <w:r w:rsidRPr="00966A58">
        <w:rPr>
          <w:rFonts w:hint="cs"/>
          <w:rtl/>
        </w:rPr>
        <w:t xml:space="preserve"> </w:t>
      </w:r>
      <w:r w:rsidRPr="00966A58">
        <w:rPr>
          <w:rFonts w:hint="eastAsia"/>
          <w:i/>
          <w:iCs/>
          <w:rtl/>
        </w:rPr>
        <w:t>قياس</w:t>
      </w:r>
      <w:r w:rsidRPr="00966A58">
        <w:rPr>
          <w:i/>
          <w:iCs/>
          <w:rtl/>
        </w:rPr>
        <w:t xml:space="preserve"> </w:t>
      </w:r>
      <w:r w:rsidRPr="00966A58">
        <w:rPr>
          <w:rFonts w:hint="eastAsia"/>
          <w:i/>
          <w:iCs/>
          <w:rtl/>
        </w:rPr>
        <w:t>مجتمع</w:t>
      </w:r>
      <w:r w:rsidRPr="00966A58">
        <w:rPr>
          <w:i/>
          <w:iCs/>
          <w:rtl/>
        </w:rPr>
        <w:t xml:space="preserve"> </w:t>
      </w:r>
      <w:r w:rsidRPr="00966A58">
        <w:rPr>
          <w:rFonts w:hint="eastAsia"/>
          <w:i/>
          <w:iCs/>
          <w:rtl/>
        </w:rPr>
        <w:t>المعلومات</w:t>
      </w:r>
      <w:r w:rsidRPr="00966A58">
        <w:rPr>
          <w:i/>
          <w:iCs/>
          <w:rtl/>
        </w:rPr>
        <w:t xml:space="preserve"> </w:t>
      </w:r>
      <w:r w:rsidRPr="00966A58">
        <w:rPr>
          <w:rFonts w:hint="eastAsia"/>
          <w:i/>
          <w:iCs/>
          <w:rtl/>
        </w:rPr>
        <w:t>لعام</w:t>
      </w:r>
      <w:r w:rsidRPr="00966A58">
        <w:rPr>
          <w:i/>
          <w:iCs/>
          <w:rtl/>
        </w:rPr>
        <w:t xml:space="preserve"> </w:t>
      </w:r>
      <w:r w:rsidRPr="00966A58">
        <w:rPr>
          <w:i/>
          <w:iCs/>
          <w:lang w:bidi="ar-EG"/>
        </w:rPr>
        <w:t>2016</w:t>
      </w:r>
      <w:r w:rsidRPr="00966A58">
        <w:rPr>
          <w:rFonts w:hint="cs"/>
          <w:rtl/>
        </w:rPr>
        <w:t xml:space="preserve"> في اليوم الثاني من الندوة.</w:t>
      </w:r>
      <w:r w:rsidRPr="00966A58">
        <w:rPr>
          <w:rtl/>
          <w:lang w:bidi="ar-EG"/>
        </w:rPr>
        <w:t xml:space="preserve"> </w:t>
      </w:r>
      <w:r w:rsidRPr="00966A58">
        <w:rPr>
          <w:rFonts w:hint="eastAsia"/>
          <w:rtl/>
          <w:lang w:bidi="ar-EG"/>
        </w:rPr>
        <w:t>ويتضمن</w:t>
      </w:r>
      <w:r w:rsidRPr="00966A58">
        <w:rPr>
          <w:rtl/>
          <w:lang w:bidi="ar-EG"/>
        </w:rPr>
        <w:t xml:space="preserve"> </w:t>
      </w:r>
      <w:r w:rsidRPr="00966A58">
        <w:rPr>
          <w:rFonts w:hint="eastAsia"/>
          <w:rtl/>
          <w:lang w:bidi="ar-EG"/>
        </w:rPr>
        <w:t>التقرير</w:t>
      </w:r>
      <w:r w:rsidRPr="00966A58">
        <w:rPr>
          <w:rtl/>
          <w:lang w:bidi="ar-EG"/>
        </w:rPr>
        <w:t xml:space="preserve"> </w:t>
      </w:r>
      <w:r w:rsidRPr="00966A58">
        <w:rPr>
          <w:rFonts w:hint="eastAsia"/>
          <w:rtl/>
          <w:lang w:bidi="ar-EG"/>
        </w:rPr>
        <w:t>أحدث</w:t>
      </w:r>
      <w:r w:rsidRPr="00966A58">
        <w:rPr>
          <w:rtl/>
          <w:lang w:bidi="ar-EG"/>
        </w:rPr>
        <w:t xml:space="preserve"> </w:t>
      </w:r>
      <w:r w:rsidRPr="00966A58">
        <w:rPr>
          <w:rFonts w:hint="cs"/>
          <w:rtl/>
          <w:lang w:bidi="ar-EG"/>
        </w:rPr>
        <w:t>رقم قياسي</w:t>
      </w:r>
      <w:r w:rsidRPr="00966A58">
        <w:rPr>
          <w:rtl/>
          <w:lang w:bidi="ar-EG"/>
        </w:rPr>
        <w:t xml:space="preserve"> </w:t>
      </w:r>
      <w:r w:rsidRPr="00966A58">
        <w:rPr>
          <w:rFonts w:hint="eastAsia"/>
          <w:rtl/>
          <w:lang w:bidi="ar-EG"/>
        </w:rPr>
        <w:t>لتنمية</w:t>
      </w:r>
      <w:r w:rsidRPr="00966A58">
        <w:rPr>
          <w:rtl/>
          <w:lang w:bidi="ar-EG"/>
        </w:rPr>
        <w:t xml:space="preserve"> </w:t>
      </w:r>
      <w:r w:rsidRPr="00966A58">
        <w:rPr>
          <w:rFonts w:hint="eastAsia"/>
          <w:rtl/>
          <w:lang w:bidi="ar-EG"/>
        </w:rPr>
        <w:t>تكنولوجيا</w:t>
      </w:r>
      <w:r w:rsidRPr="00966A58">
        <w:rPr>
          <w:rtl/>
          <w:lang w:bidi="ar-EG"/>
        </w:rPr>
        <w:t xml:space="preserve"> </w:t>
      </w:r>
      <w:r w:rsidRPr="00966A58">
        <w:rPr>
          <w:rFonts w:hint="eastAsia"/>
          <w:rtl/>
          <w:lang w:bidi="ar-EG"/>
        </w:rPr>
        <w:t>المعلومات</w:t>
      </w:r>
      <w:r w:rsidRPr="00966A58">
        <w:rPr>
          <w:rtl/>
          <w:lang w:bidi="ar-EG"/>
        </w:rPr>
        <w:t xml:space="preserve"> </w:t>
      </w:r>
      <w:r w:rsidRPr="00966A58">
        <w:rPr>
          <w:rFonts w:hint="eastAsia"/>
          <w:rtl/>
          <w:lang w:bidi="ar-EG"/>
        </w:rPr>
        <w:t>والاتصالات</w:t>
      </w:r>
      <w:r w:rsidRPr="00966A58">
        <w:rPr>
          <w:rtl/>
          <w:lang w:bidi="ar-EG"/>
        </w:rPr>
        <w:t xml:space="preserve"> </w:t>
      </w:r>
      <w:r w:rsidRPr="00966A58">
        <w:rPr>
          <w:lang w:val="fr-CH" w:bidi="ar-EG"/>
        </w:rPr>
        <w:t>(IDI)</w:t>
      </w:r>
      <w:r w:rsidRPr="00966A58">
        <w:rPr>
          <w:rFonts w:hint="eastAsia"/>
          <w:rtl/>
          <w:lang w:bidi="ar-EG"/>
        </w:rPr>
        <w:t>،</w:t>
      </w:r>
      <w:r w:rsidRPr="00966A58">
        <w:rPr>
          <w:rtl/>
          <w:lang w:bidi="ar-EG"/>
        </w:rPr>
        <w:t xml:space="preserve"> </w:t>
      </w:r>
      <w:r w:rsidRPr="00966A58">
        <w:rPr>
          <w:rFonts w:hint="eastAsia"/>
          <w:rtl/>
          <w:lang w:bidi="ar-EG"/>
        </w:rPr>
        <w:t>وهو</w:t>
      </w:r>
      <w:r w:rsidRPr="00966A58">
        <w:rPr>
          <w:rtl/>
          <w:lang w:bidi="ar-EG"/>
        </w:rPr>
        <w:t xml:space="preserve"> </w:t>
      </w:r>
      <w:r w:rsidRPr="00966A58">
        <w:rPr>
          <w:rFonts w:hint="eastAsia"/>
          <w:rtl/>
          <w:lang w:bidi="ar-EG"/>
        </w:rPr>
        <w:t>أداة</w:t>
      </w:r>
      <w:r w:rsidRPr="00966A58">
        <w:rPr>
          <w:rtl/>
          <w:lang w:bidi="ar-EG"/>
        </w:rPr>
        <w:t xml:space="preserve"> </w:t>
      </w:r>
      <w:r w:rsidRPr="00966A58">
        <w:rPr>
          <w:rFonts w:hint="eastAsia"/>
          <w:rtl/>
          <w:lang w:bidi="ar-EG"/>
        </w:rPr>
        <w:t>قياس</w:t>
      </w:r>
      <w:r w:rsidRPr="00966A58">
        <w:rPr>
          <w:rtl/>
          <w:lang w:bidi="ar-EG"/>
        </w:rPr>
        <w:t xml:space="preserve"> </w:t>
      </w:r>
      <w:r w:rsidRPr="00966A58">
        <w:rPr>
          <w:rFonts w:hint="eastAsia"/>
          <w:rtl/>
          <w:lang w:bidi="ar-EG"/>
        </w:rPr>
        <w:t>ترصد</w:t>
      </w:r>
      <w:r w:rsidRPr="00966A58">
        <w:rPr>
          <w:rtl/>
          <w:lang w:bidi="ar-EG"/>
        </w:rPr>
        <w:t xml:space="preserve"> </w:t>
      </w:r>
      <w:r w:rsidRPr="00966A58">
        <w:rPr>
          <w:rFonts w:hint="eastAsia"/>
          <w:rtl/>
          <w:lang w:bidi="ar-EG"/>
        </w:rPr>
        <w:t>تطورات</w:t>
      </w:r>
      <w:r w:rsidRPr="00966A58">
        <w:rPr>
          <w:rtl/>
          <w:lang w:bidi="ar-EG"/>
        </w:rPr>
        <w:t xml:space="preserve"> </w:t>
      </w:r>
      <w:r w:rsidRPr="00966A58">
        <w:rPr>
          <w:rFonts w:hint="eastAsia"/>
          <w:rtl/>
          <w:lang w:bidi="ar-EG"/>
        </w:rPr>
        <w:t>مجتمع</w:t>
      </w:r>
      <w:r w:rsidRPr="00966A58">
        <w:rPr>
          <w:rtl/>
          <w:lang w:bidi="ar-EG"/>
        </w:rPr>
        <w:t xml:space="preserve"> </w:t>
      </w:r>
      <w:r w:rsidRPr="00966A58">
        <w:rPr>
          <w:rFonts w:hint="eastAsia"/>
          <w:rtl/>
          <w:lang w:bidi="ar-EG"/>
        </w:rPr>
        <w:t>المعلومات</w:t>
      </w:r>
      <w:r w:rsidRPr="00966A58">
        <w:rPr>
          <w:rtl/>
          <w:lang w:bidi="ar-EG"/>
        </w:rPr>
        <w:t xml:space="preserve"> </w:t>
      </w:r>
      <w:r w:rsidRPr="00966A58">
        <w:rPr>
          <w:rFonts w:hint="eastAsia"/>
          <w:rtl/>
          <w:lang w:bidi="ar-EG"/>
        </w:rPr>
        <w:t>على</w:t>
      </w:r>
      <w:r w:rsidRPr="00966A58">
        <w:rPr>
          <w:rtl/>
          <w:lang w:bidi="ar-EG"/>
        </w:rPr>
        <w:t xml:space="preserve"> </w:t>
      </w:r>
      <w:r w:rsidRPr="00966A58">
        <w:rPr>
          <w:rFonts w:hint="eastAsia"/>
          <w:rtl/>
          <w:lang w:bidi="ar-EG"/>
        </w:rPr>
        <w:t>الصعيد</w:t>
      </w:r>
      <w:r w:rsidRPr="00966A58">
        <w:rPr>
          <w:rtl/>
          <w:lang w:bidi="ar-EG"/>
        </w:rPr>
        <w:t xml:space="preserve"> </w:t>
      </w:r>
      <w:r w:rsidRPr="00966A58">
        <w:rPr>
          <w:rFonts w:hint="eastAsia"/>
          <w:rtl/>
          <w:lang w:bidi="ar-EG"/>
        </w:rPr>
        <w:t>العالمي</w:t>
      </w:r>
      <w:r w:rsidRPr="00966A58">
        <w:rPr>
          <w:rtl/>
          <w:lang w:bidi="ar-EG"/>
        </w:rPr>
        <w:t xml:space="preserve">. </w:t>
      </w:r>
      <w:r w:rsidRPr="00966A58">
        <w:rPr>
          <w:rFonts w:hint="eastAsia"/>
          <w:rtl/>
          <w:lang w:bidi="ar-EG"/>
        </w:rPr>
        <w:t>ويسمح</w:t>
      </w:r>
      <w:r w:rsidRPr="00966A58">
        <w:rPr>
          <w:rtl/>
          <w:lang w:bidi="ar-EG"/>
        </w:rPr>
        <w:t xml:space="preserve"> </w:t>
      </w:r>
      <w:r w:rsidRPr="00966A58">
        <w:rPr>
          <w:rFonts w:hint="cs"/>
          <w:rtl/>
          <w:lang w:bidi="ar-EG"/>
        </w:rPr>
        <w:t>الرقم القياسي</w:t>
      </w:r>
      <w:r w:rsidRPr="00966A58">
        <w:rPr>
          <w:rtl/>
          <w:lang w:bidi="ar-EG"/>
        </w:rPr>
        <w:t xml:space="preserve"> </w:t>
      </w:r>
      <w:r w:rsidR="00E929EE">
        <w:rPr>
          <w:rFonts w:hint="cs"/>
          <w:rtl/>
          <w:lang w:bidi="ar-EG"/>
        </w:rPr>
        <w:t>في</w:t>
      </w:r>
      <w:r w:rsidR="00E929EE">
        <w:rPr>
          <w:rFonts w:hint="eastAsia"/>
          <w:rtl/>
          <w:lang w:bidi="ar-EG"/>
        </w:rPr>
        <w:t> </w:t>
      </w:r>
      <w:r w:rsidR="00E929EE">
        <w:rPr>
          <w:rFonts w:hint="cs"/>
          <w:rtl/>
          <w:lang w:bidi="ar-EG"/>
        </w:rPr>
        <w:t xml:space="preserve">آخر إصداراته </w:t>
      </w:r>
      <w:r w:rsidRPr="00966A58">
        <w:rPr>
          <w:rFonts w:hint="eastAsia"/>
          <w:rtl/>
          <w:lang w:bidi="ar-EG"/>
        </w:rPr>
        <w:t>بإبراز</w:t>
      </w:r>
      <w:r w:rsidRPr="00966A58">
        <w:rPr>
          <w:rtl/>
          <w:lang w:bidi="ar-EG"/>
        </w:rPr>
        <w:t xml:space="preserve"> </w:t>
      </w:r>
      <w:r w:rsidRPr="00966A58">
        <w:rPr>
          <w:rFonts w:hint="eastAsia"/>
          <w:rtl/>
          <w:lang w:bidi="ar-EG"/>
        </w:rPr>
        <w:t>مستوى</w:t>
      </w:r>
      <w:r w:rsidRPr="00966A58">
        <w:rPr>
          <w:rtl/>
          <w:lang w:bidi="ar-EG"/>
        </w:rPr>
        <w:t xml:space="preserve"> </w:t>
      </w:r>
      <w:r w:rsidRPr="00966A58">
        <w:rPr>
          <w:rFonts w:hint="eastAsia"/>
          <w:rtl/>
          <w:lang w:bidi="ar-EG"/>
        </w:rPr>
        <w:t>تطور</w:t>
      </w:r>
      <w:r w:rsidRPr="00966A58">
        <w:rPr>
          <w:rtl/>
          <w:lang w:bidi="ar-EG"/>
        </w:rPr>
        <w:t xml:space="preserve"> </w:t>
      </w:r>
      <w:r w:rsidRPr="00966A58">
        <w:rPr>
          <w:rFonts w:hint="eastAsia"/>
          <w:rtl/>
          <w:lang w:bidi="ar-EG"/>
        </w:rPr>
        <w:t>تكنولوجيا</w:t>
      </w:r>
      <w:r w:rsidRPr="00966A58">
        <w:rPr>
          <w:rtl/>
          <w:lang w:bidi="ar-EG"/>
        </w:rPr>
        <w:t xml:space="preserve"> </w:t>
      </w:r>
      <w:r w:rsidRPr="00966A58">
        <w:rPr>
          <w:rFonts w:hint="eastAsia"/>
          <w:rtl/>
          <w:lang w:bidi="ar-EG"/>
        </w:rPr>
        <w:t>المعلومات</w:t>
      </w:r>
      <w:r w:rsidRPr="00966A58">
        <w:rPr>
          <w:rtl/>
          <w:lang w:bidi="ar-EG"/>
        </w:rPr>
        <w:t xml:space="preserve"> </w:t>
      </w:r>
      <w:r w:rsidRPr="00966A58">
        <w:rPr>
          <w:rFonts w:hint="eastAsia"/>
          <w:rtl/>
          <w:lang w:bidi="ar-EG"/>
        </w:rPr>
        <w:t>والاتصالات</w:t>
      </w:r>
      <w:r w:rsidRPr="00966A58">
        <w:rPr>
          <w:rtl/>
          <w:lang w:bidi="ar-EG"/>
        </w:rPr>
        <w:t xml:space="preserve"> </w:t>
      </w:r>
      <w:r w:rsidRPr="00966A58">
        <w:rPr>
          <w:rFonts w:hint="eastAsia"/>
          <w:rtl/>
          <w:lang w:bidi="ar-EG"/>
        </w:rPr>
        <w:t>في</w:t>
      </w:r>
      <w:r w:rsidRPr="00966A58">
        <w:rPr>
          <w:rtl/>
          <w:lang w:bidi="ar-EG"/>
        </w:rPr>
        <w:t xml:space="preserve"> </w:t>
      </w:r>
      <w:r w:rsidRPr="00966A58">
        <w:rPr>
          <w:lang w:bidi="ar-EG"/>
        </w:rPr>
        <w:t>175</w:t>
      </w:r>
      <w:r w:rsidRPr="00966A58">
        <w:rPr>
          <w:rtl/>
          <w:lang w:bidi="ar-EG"/>
        </w:rPr>
        <w:t xml:space="preserve"> </w:t>
      </w:r>
      <w:r w:rsidRPr="00966A58">
        <w:rPr>
          <w:rFonts w:hint="eastAsia"/>
          <w:rtl/>
          <w:lang w:bidi="ar-EG"/>
        </w:rPr>
        <w:t>اقتصاداً</w:t>
      </w:r>
      <w:r w:rsidRPr="00966A58">
        <w:rPr>
          <w:rtl/>
          <w:lang w:bidi="ar-EG"/>
        </w:rPr>
        <w:t xml:space="preserve"> </w:t>
      </w:r>
      <w:r w:rsidRPr="00966A58">
        <w:rPr>
          <w:rFonts w:hint="eastAsia"/>
          <w:rtl/>
          <w:lang w:bidi="ar-EG"/>
        </w:rPr>
        <w:t>في</w:t>
      </w:r>
      <w:r w:rsidRPr="00966A58">
        <w:rPr>
          <w:rtl/>
          <w:lang w:bidi="ar-EG"/>
        </w:rPr>
        <w:t xml:space="preserve"> </w:t>
      </w:r>
      <w:r w:rsidRPr="00966A58">
        <w:rPr>
          <w:rFonts w:hint="eastAsia"/>
          <w:rtl/>
          <w:lang w:bidi="ar-EG"/>
        </w:rPr>
        <w:t>العالم،</w:t>
      </w:r>
      <w:r w:rsidRPr="00966A58">
        <w:rPr>
          <w:rtl/>
          <w:lang w:bidi="ar-EG"/>
        </w:rPr>
        <w:t xml:space="preserve"> </w:t>
      </w:r>
      <w:r w:rsidRPr="00966A58">
        <w:rPr>
          <w:rFonts w:hint="eastAsia"/>
          <w:rtl/>
          <w:lang w:bidi="ar-EG"/>
        </w:rPr>
        <w:t>وعرض</w:t>
      </w:r>
      <w:r w:rsidRPr="00966A58">
        <w:rPr>
          <w:rtl/>
          <w:lang w:bidi="ar-EG"/>
        </w:rPr>
        <w:t xml:space="preserve"> </w:t>
      </w:r>
      <w:r w:rsidRPr="00966A58">
        <w:rPr>
          <w:rFonts w:hint="eastAsia"/>
          <w:rtl/>
          <w:lang w:bidi="ar-EG"/>
        </w:rPr>
        <w:t>ترتيب</w:t>
      </w:r>
      <w:r w:rsidRPr="00966A58">
        <w:rPr>
          <w:rtl/>
          <w:lang w:bidi="ar-EG"/>
        </w:rPr>
        <w:t xml:space="preserve"> </w:t>
      </w:r>
      <w:r w:rsidRPr="00966A58">
        <w:rPr>
          <w:rFonts w:hint="eastAsia"/>
          <w:rtl/>
          <w:lang w:bidi="ar-EG"/>
        </w:rPr>
        <w:t>البلدان</w:t>
      </w:r>
      <w:r w:rsidRPr="00966A58">
        <w:rPr>
          <w:rtl/>
          <w:lang w:bidi="ar-EG"/>
        </w:rPr>
        <w:t xml:space="preserve"> </w:t>
      </w:r>
      <w:r w:rsidRPr="00966A58">
        <w:rPr>
          <w:rFonts w:hint="eastAsia"/>
          <w:rtl/>
          <w:lang w:bidi="ar-EG"/>
        </w:rPr>
        <w:t>ومقارنة</w:t>
      </w:r>
      <w:r w:rsidRPr="00966A58">
        <w:rPr>
          <w:rtl/>
          <w:lang w:bidi="ar-EG"/>
        </w:rPr>
        <w:t xml:space="preserve"> </w:t>
      </w:r>
      <w:r w:rsidRPr="00966A58">
        <w:rPr>
          <w:rFonts w:hint="eastAsia"/>
          <w:rtl/>
          <w:lang w:bidi="ar-EG"/>
        </w:rPr>
        <w:t>التقدم</w:t>
      </w:r>
      <w:r w:rsidRPr="00966A58">
        <w:rPr>
          <w:rtl/>
          <w:lang w:bidi="ar-EG"/>
        </w:rPr>
        <w:t xml:space="preserve"> </w:t>
      </w:r>
      <w:r w:rsidRPr="00966A58">
        <w:rPr>
          <w:rFonts w:hint="eastAsia"/>
          <w:rtl/>
          <w:lang w:bidi="ar-EG"/>
        </w:rPr>
        <w:t>المحرز</w:t>
      </w:r>
      <w:r w:rsidRPr="00966A58">
        <w:rPr>
          <w:rtl/>
          <w:lang w:bidi="ar-EG"/>
        </w:rPr>
        <w:t xml:space="preserve"> </w:t>
      </w:r>
      <w:r w:rsidRPr="00966A58">
        <w:rPr>
          <w:rFonts w:hint="eastAsia"/>
          <w:rtl/>
          <w:lang w:bidi="ar-EG"/>
        </w:rPr>
        <w:t>خلال</w:t>
      </w:r>
      <w:r w:rsidRPr="00966A58">
        <w:rPr>
          <w:rtl/>
          <w:lang w:bidi="ar-EG"/>
        </w:rPr>
        <w:t xml:space="preserve"> </w:t>
      </w:r>
      <w:r w:rsidRPr="00966A58">
        <w:rPr>
          <w:rFonts w:hint="eastAsia"/>
          <w:rtl/>
          <w:lang w:bidi="ar-EG"/>
        </w:rPr>
        <w:t>العامين</w:t>
      </w:r>
      <w:r w:rsidRPr="00966A58">
        <w:rPr>
          <w:rtl/>
          <w:lang w:bidi="ar-EG"/>
        </w:rPr>
        <w:t xml:space="preserve"> </w:t>
      </w:r>
      <w:r w:rsidRPr="00966A58">
        <w:rPr>
          <w:rFonts w:hint="eastAsia"/>
          <w:rtl/>
          <w:lang w:bidi="ar-EG"/>
        </w:rPr>
        <w:t>الماضيين</w:t>
      </w:r>
      <w:r w:rsidRPr="00966A58">
        <w:rPr>
          <w:rtl/>
          <w:lang w:bidi="ar-EG"/>
        </w:rPr>
        <w:t>.</w:t>
      </w:r>
      <w:r w:rsidRPr="00966A58">
        <w:rPr>
          <w:rFonts w:hint="cs"/>
          <w:rtl/>
          <w:lang w:bidi="ar-EG"/>
        </w:rPr>
        <w:t xml:space="preserve"> ومُنحت جوائز إلى البلد الذي حقق أعلى مستوى وفق الرقم القياسي لتنمية تكنولوجيا المعلومات والاتصالات في </w:t>
      </w:r>
      <w:r w:rsidRPr="00966A58">
        <w:rPr>
          <w:lang w:bidi="ar-EG"/>
        </w:rPr>
        <w:t>2016</w:t>
      </w:r>
      <w:r w:rsidRPr="00966A58">
        <w:rPr>
          <w:rFonts w:hint="cs"/>
          <w:rtl/>
          <w:lang w:bidi="ar-EG"/>
        </w:rPr>
        <w:t xml:space="preserve"> وهو جمهورية كوريا وإلى </w:t>
      </w:r>
      <w:r w:rsidR="00E929EE">
        <w:rPr>
          <w:rFonts w:hint="cs"/>
          <w:rtl/>
          <w:lang w:bidi="ar-EG"/>
        </w:rPr>
        <w:t xml:space="preserve">البلد الأكثر </w:t>
      </w:r>
      <w:r w:rsidRPr="00966A58">
        <w:rPr>
          <w:rFonts w:hint="cs"/>
          <w:rtl/>
          <w:lang w:bidi="ar-EG"/>
        </w:rPr>
        <w:t>دينامية من حيث التغيرات وفق الرقم القياسي للتنمية</w:t>
      </w:r>
      <w:r w:rsidRPr="00966A58">
        <w:rPr>
          <w:rFonts w:hint="eastAsia"/>
          <w:rtl/>
          <w:lang w:bidi="ar-EG"/>
        </w:rPr>
        <w:t> </w:t>
      </w:r>
      <w:r w:rsidRPr="00966A58">
        <w:rPr>
          <w:lang w:bidi="ar-EG"/>
        </w:rPr>
        <w:t>(IDI)</w:t>
      </w:r>
      <w:r w:rsidRPr="00966A58">
        <w:rPr>
          <w:rFonts w:hint="cs"/>
          <w:rtl/>
          <w:lang w:bidi="ar-EG"/>
        </w:rPr>
        <w:t xml:space="preserve"> بين عامي</w:t>
      </w:r>
      <w:r w:rsidR="00E929EE">
        <w:rPr>
          <w:rFonts w:hint="eastAsia"/>
          <w:rtl/>
          <w:lang w:bidi="ar-EG"/>
        </w:rPr>
        <w:t> </w:t>
      </w:r>
      <w:r w:rsidRPr="00966A58">
        <w:rPr>
          <w:lang w:bidi="ar-EG"/>
        </w:rPr>
        <w:t>2015</w:t>
      </w:r>
      <w:r w:rsidRPr="00966A58">
        <w:rPr>
          <w:rFonts w:hint="cs"/>
          <w:rtl/>
          <w:lang w:bidi="ar-EG"/>
        </w:rPr>
        <w:t xml:space="preserve"> و</w:t>
      </w:r>
      <w:r w:rsidRPr="00966A58">
        <w:rPr>
          <w:lang w:bidi="ar-EG"/>
        </w:rPr>
        <w:t>2016</w:t>
      </w:r>
      <w:r w:rsidR="00E929EE">
        <w:rPr>
          <w:rFonts w:hint="cs"/>
          <w:rtl/>
          <w:lang w:bidi="ar-EG"/>
        </w:rPr>
        <w:t xml:space="preserve">، وهي سانت كيتس ونيفيس. واتفقت الندوة على أن البيانات المعروضة في التقرير توفر رؤى مفيدة عن التقدم </w:t>
      </w:r>
      <w:r w:rsidR="00E929EE">
        <w:rPr>
          <w:rFonts w:hint="cs"/>
          <w:rtl/>
          <w:lang w:bidi="ar-EG"/>
        </w:rPr>
        <w:lastRenderedPageBreak/>
        <w:t>المحرز في</w:t>
      </w:r>
      <w:r w:rsidR="00E929EE">
        <w:rPr>
          <w:rFonts w:hint="eastAsia"/>
          <w:rtl/>
          <w:lang w:bidi="ar-EG"/>
        </w:rPr>
        <w:t> </w:t>
      </w:r>
      <w:r w:rsidR="00E929EE">
        <w:rPr>
          <w:rFonts w:hint="cs"/>
          <w:rtl/>
          <w:lang w:bidi="ar-EG"/>
        </w:rPr>
        <w:t>النفاذ إلى تكنولوجيا المعلومات والاتصالات واستعمالها ومهاراتها وتطورات الفجوة الرقمية العالمية والعوائق أمام استخدام الإنترنت، بما في ذلك تكلفة خدمات</w:t>
      </w:r>
      <w:r w:rsidR="0045603F">
        <w:rPr>
          <w:rFonts w:hint="cs"/>
          <w:rtl/>
          <w:lang w:bidi="ar-EG"/>
        </w:rPr>
        <w:t xml:space="preserve"> تكنولوجيا</w:t>
      </w:r>
      <w:r w:rsidR="00E929EE">
        <w:rPr>
          <w:rFonts w:hint="cs"/>
          <w:rtl/>
          <w:lang w:bidi="ar-EG"/>
        </w:rPr>
        <w:t xml:space="preserve"> المعلومات والاتصالات. ويتعين على واضعي السياسات التصدي لحالات عدم التكافؤ الاجتماعي والاقتصادي الأكثر بروزاً ومساعدة الأفراد على اكتساب المهارات اللازمة لهم للاستفادة الكاملة من الإنترنت.</w:t>
      </w:r>
    </w:p>
    <w:p w:rsidR="00966A58" w:rsidRPr="00E929EE" w:rsidRDefault="00966A58" w:rsidP="00E929EE">
      <w:pPr>
        <w:rPr>
          <w:rtl/>
          <w:lang w:bidi="ar-EG"/>
        </w:rPr>
      </w:pPr>
      <w:r w:rsidRPr="00966A58">
        <w:rPr>
          <w:rtl/>
        </w:rPr>
        <w:t>وعُرض وأقر في الندوة تقرير فريق الخبراء المعني بمؤشرات الاتصالات/تكنولوجيا المعلومات والاتصالات</w:t>
      </w:r>
      <w:r w:rsidRPr="00966A58">
        <w:rPr>
          <w:rFonts w:hint="cs"/>
          <w:rtl/>
          <w:lang w:bidi="ar-EG"/>
        </w:rPr>
        <w:t xml:space="preserve"> </w:t>
      </w:r>
      <w:r w:rsidRPr="00966A58">
        <w:rPr>
          <w:lang w:bidi="ar-EG"/>
        </w:rPr>
        <w:t>(EGTI)</w:t>
      </w:r>
      <w:r w:rsidRPr="00966A58">
        <w:rPr>
          <w:rFonts w:hint="cs"/>
          <w:rtl/>
          <w:lang w:bidi="ar-EG"/>
        </w:rPr>
        <w:t xml:space="preserve"> </w:t>
      </w:r>
      <w:r w:rsidRPr="00966A58">
        <w:rPr>
          <w:rtl/>
        </w:rPr>
        <w:t>وتقرير فريق الخبراء المعني بالمؤشرات الأسرية لتكنولوجيا المعلومات والاتصالات</w:t>
      </w:r>
      <w:r w:rsidR="00E929EE">
        <w:rPr>
          <w:rFonts w:hint="cs"/>
          <w:rtl/>
        </w:rPr>
        <w:t> </w:t>
      </w:r>
      <w:r w:rsidR="00E929EE">
        <w:rPr>
          <w:lang w:bidi="ar-EG"/>
        </w:rPr>
        <w:t>(EGH)</w:t>
      </w:r>
      <w:r w:rsidR="00E929EE">
        <w:rPr>
          <w:rFonts w:hint="cs"/>
          <w:rtl/>
          <w:lang w:bidi="ar-EG"/>
        </w:rPr>
        <w:t>، بما في ذلك مقترحاته بشأن العمل في المستقبل، خاصةً الفريق الفرعي المشكل حديثاً لاستعراض المؤشرات المدرجة في الرقم القياسي </w:t>
      </w:r>
      <w:r w:rsidR="00E929EE">
        <w:rPr>
          <w:lang w:bidi="ar-EG"/>
        </w:rPr>
        <w:t>IDI</w:t>
      </w:r>
      <w:r w:rsidR="00E929EE">
        <w:rPr>
          <w:rFonts w:hint="cs"/>
          <w:rtl/>
          <w:lang w:bidi="ar-EG"/>
        </w:rPr>
        <w:t>.</w:t>
      </w:r>
    </w:p>
    <w:p w:rsidR="00966A58" w:rsidRDefault="00E929EE" w:rsidP="00282107">
      <w:pPr>
        <w:rPr>
          <w:rtl/>
          <w:lang w:bidi="ar-EG"/>
        </w:rPr>
      </w:pPr>
      <w:r>
        <w:rPr>
          <w:rFonts w:hint="cs"/>
          <w:rtl/>
          <w:lang w:bidi="ar-EG"/>
        </w:rPr>
        <w:t>وسل</w:t>
      </w:r>
      <w:r w:rsidR="00282107">
        <w:rPr>
          <w:rFonts w:hint="cs"/>
          <w:rtl/>
          <w:lang w:bidi="ar-EG"/>
        </w:rPr>
        <w:t>ط</w:t>
      </w:r>
      <w:r>
        <w:rPr>
          <w:rFonts w:hint="cs"/>
          <w:rtl/>
          <w:lang w:bidi="ar-EG"/>
        </w:rPr>
        <w:t xml:space="preserve">ت الندوة </w:t>
      </w:r>
      <w:r w:rsidR="00282107">
        <w:rPr>
          <w:rFonts w:hint="cs"/>
          <w:rtl/>
          <w:lang w:bidi="ar-EG"/>
        </w:rPr>
        <w:t>الضوء على أهمية تحسين عملية جمع الإحصاءات الخاصة بتكنولوجيا المعلومات والاتصالات وتصنيفها، بما في ذلك حسب الإعاقة، وحثت البلدان على تحسين توفير المعلومات من أجل مراقبة تنفيذ أهداف التنمية المستدامة وضمان "عدم تخلف أحد عن الركب" فيما يتعلق بالنفاذ إلى تكنولوجيا المعلومات والاتصالات واستعمالها.</w:t>
      </w:r>
    </w:p>
    <w:p w:rsidR="00282107" w:rsidRPr="003B067E" w:rsidRDefault="00282107" w:rsidP="00012189">
      <w:pPr>
        <w:rPr>
          <w:spacing w:val="-4"/>
          <w:rtl/>
          <w:lang w:bidi="ar-EG"/>
        </w:rPr>
      </w:pPr>
      <w:r w:rsidRPr="003B067E">
        <w:rPr>
          <w:rFonts w:hint="cs"/>
          <w:spacing w:val="-4"/>
          <w:rtl/>
          <w:lang w:bidi="ar-EG"/>
        </w:rPr>
        <w:t>وأقرت الندوة بأهمية استكشاف استعمال البيانات الضخمة في الإحصاءات الرسمية ورحبت بالمشروع التجريبي للاتحاد بشأن</w:t>
      </w:r>
      <w:r w:rsidR="00012189" w:rsidRPr="003B067E">
        <w:rPr>
          <w:rFonts w:hint="eastAsia"/>
          <w:spacing w:val="-4"/>
          <w:rtl/>
          <w:lang w:bidi="ar-EG"/>
        </w:rPr>
        <w:t> </w:t>
      </w:r>
      <w:r w:rsidRPr="003B067E">
        <w:rPr>
          <w:rFonts w:hint="cs"/>
          <w:spacing w:val="-4"/>
          <w:rtl/>
          <w:lang w:bidi="ar-EG"/>
        </w:rPr>
        <w:t>"البيانات الضخمة من أجل قياس مجتمع المعلومات" الذي يهدف إلى استكشاف الأساليب التي يمكن بها استعمال البيانات الصادرة عن صناعة تكنولوجيا المعلومات والاتصالات في إنتاج مؤشرات جديدة أو مؤشرات مكملة لمؤشرات تكنولوجيا المعلومات والاتصالات الحالية.</w:t>
      </w:r>
    </w:p>
    <w:p w:rsidR="00966A58" w:rsidRDefault="00282107" w:rsidP="00282107">
      <w:pPr>
        <w:rPr>
          <w:rtl/>
          <w:lang w:bidi="ar-EG"/>
        </w:rPr>
      </w:pPr>
      <w:r>
        <w:rPr>
          <w:rFonts w:hint="cs"/>
          <w:rtl/>
          <w:lang w:bidi="ar-EG"/>
        </w:rPr>
        <w:t>وأقرت الندوة بالآثار المدمرة للكوارث على الكائنات البشرية وعلى التنمية الاقتصادية، خاصةً على شرائح السكان الأكثر هشاشة في</w:t>
      </w:r>
      <w:r>
        <w:rPr>
          <w:rFonts w:hint="eastAsia"/>
          <w:rtl/>
          <w:lang w:bidi="ar-EG"/>
        </w:rPr>
        <w:t> </w:t>
      </w:r>
      <w:r>
        <w:rPr>
          <w:rFonts w:hint="cs"/>
          <w:rtl/>
          <w:lang w:bidi="ar-EG"/>
        </w:rPr>
        <w:t>العالم. وتوفر تكنولوجيا المعلومات والاتصالات فرصاً غير مسبوقة لاستنباط أدوات حاسمة من أجل مراقبة الكوارث والإنذار المبكر بوقوعها وجهود الاستجابة في حالات الطوارئ ومعالجة قضية تغير المناخ بفعالية.</w:t>
      </w:r>
    </w:p>
    <w:p w:rsidR="00966A58" w:rsidRPr="00057272" w:rsidRDefault="00966A58" w:rsidP="00966A58">
      <w:pPr>
        <w:rPr>
          <w:spacing w:val="6"/>
          <w:rtl/>
          <w:lang w:bidi="ar-EG"/>
        </w:rPr>
      </w:pPr>
      <w:r w:rsidRPr="00057272">
        <w:rPr>
          <w:rFonts w:hint="cs"/>
          <w:spacing w:val="6"/>
          <w:rtl/>
          <w:lang w:bidi="ar-EG"/>
        </w:rPr>
        <w:t xml:space="preserve">ويمكن الاطلاع على أبرز الاستنتاجات والتوصيات التي جرى الاتفاق عليها في </w:t>
      </w:r>
      <w:r w:rsidRPr="00057272">
        <w:rPr>
          <w:rFonts w:hint="cs"/>
          <w:spacing w:val="6"/>
          <w:rtl/>
          <w:lang w:bidi="ar-LB"/>
        </w:rPr>
        <w:t xml:space="preserve">الندوة العالمية لمؤشرات الاتصالات/تكنولوجيا المعلومات والاتصالات لعام </w:t>
      </w:r>
      <w:r w:rsidRPr="00057272">
        <w:rPr>
          <w:spacing w:val="6"/>
          <w:lang w:val="fr-CH" w:bidi="ar-EG"/>
        </w:rPr>
        <w:t>2016</w:t>
      </w:r>
      <w:r w:rsidRPr="00057272">
        <w:rPr>
          <w:rFonts w:hint="cs"/>
          <w:spacing w:val="6"/>
          <w:rtl/>
          <w:lang w:bidi="ar-EG"/>
        </w:rPr>
        <w:t xml:space="preserve"> في الموقع الإلكتروني الخاص بالندوة المتاح في العنوان التالي: </w:t>
      </w:r>
      <w:hyperlink r:id="rId12" w:history="1">
        <w:r w:rsidRPr="00057272">
          <w:rPr>
            <w:rStyle w:val="Hyperlink"/>
            <w:rFonts w:ascii="Calibri" w:hAnsi="Calibri"/>
            <w:spacing w:val="6"/>
            <w:lang w:bidi="ar-EG"/>
          </w:rPr>
          <w:t>http://www.itu.int/en/ITU-D/Statistics/Pages/events/wtis2016</w:t>
        </w:r>
      </w:hyperlink>
      <w:r w:rsidRPr="00057272">
        <w:rPr>
          <w:rFonts w:hint="cs"/>
          <w:spacing w:val="6"/>
          <w:rtl/>
          <w:lang w:bidi="ar-EG"/>
        </w:rPr>
        <w:t>.</w:t>
      </w:r>
    </w:p>
    <w:p w:rsidR="00966A58" w:rsidRPr="00966A58" w:rsidRDefault="00282107" w:rsidP="00282107">
      <w:pPr>
        <w:pStyle w:val="Headingb"/>
        <w:rPr>
          <w:rtl/>
        </w:rPr>
      </w:pPr>
      <w:r>
        <w:rPr>
          <w:rFonts w:hint="cs"/>
          <w:rtl/>
        </w:rPr>
        <w:t>الاجتماع غير العادي لفريق الخبراء المعني بمؤشرات الاتصالات/تكنولوجيا المعلومات والاتصالات </w:t>
      </w:r>
      <w:r>
        <w:t>(EGTI)</w:t>
      </w:r>
      <w:r>
        <w:rPr>
          <w:rFonts w:hint="cs"/>
          <w:rtl/>
        </w:rPr>
        <w:t xml:space="preserve"> وفريق الخبراء المعني بالمؤشرات الأسرية لتكنولوجيا المعلومات والاتصالات </w:t>
      </w:r>
      <w:r>
        <w:t>(EGH)</w:t>
      </w:r>
    </w:p>
    <w:p w:rsidR="00966A58" w:rsidRDefault="00282107" w:rsidP="00282107">
      <w:pPr>
        <w:rPr>
          <w:rtl/>
          <w:lang w:bidi="ar-EG"/>
        </w:rPr>
      </w:pPr>
      <w:r>
        <w:rPr>
          <w:rFonts w:hint="cs"/>
          <w:rtl/>
          <w:lang w:bidi="ar-EG"/>
        </w:rPr>
        <w:t>في إطار أعمال المتابعة للاجتماع المشترك للفريقين </w:t>
      </w:r>
      <w:r>
        <w:rPr>
          <w:lang w:bidi="ar-EG"/>
        </w:rPr>
        <w:t>EGH/EGTI</w:t>
      </w:r>
      <w:r>
        <w:rPr>
          <w:rFonts w:hint="cs"/>
          <w:rtl/>
          <w:lang w:bidi="ar-EG"/>
        </w:rPr>
        <w:t xml:space="preserve"> الذي عُقد في أكتوبر </w:t>
      </w:r>
      <w:r>
        <w:rPr>
          <w:lang w:bidi="ar-EG"/>
        </w:rPr>
        <w:t>2016</w:t>
      </w:r>
      <w:r>
        <w:rPr>
          <w:rFonts w:hint="cs"/>
          <w:rtl/>
          <w:lang w:bidi="ar-EG"/>
        </w:rPr>
        <w:t xml:space="preserve"> والقرار الخاص باستعراض المؤشرات المدرجة في</w:t>
      </w:r>
      <w:r>
        <w:rPr>
          <w:rFonts w:hint="eastAsia"/>
          <w:rtl/>
          <w:lang w:bidi="ar-EG"/>
        </w:rPr>
        <w:t> </w:t>
      </w:r>
      <w:r>
        <w:rPr>
          <w:rFonts w:hint="cs"/>
          <w:rtl/>
          <w:lang w:bidi="ar-EG"/>
        </w:rPr>
        <w:t>الرقم القياسي </w:t>
      </w:r>
      <w:r>
        <w:rPr>
          <w:lang w:bidi="ar-EG"/>
        </w:rPr>
        <w:t>IDI</w:t>
      </w:r>
      <w:r>
        <w:rPr>
          <w:rFonts w:hint="cs"/>
          <w:rtl/>
          <w:lang w:bidi="ar-EG"/>
        </w:rPr>
        <w:t>، عُقد في جنيف، سويسرا، في الفترة </w:t>
      </w:r>
      <w:r>
        <w:rPr>
          <w:lang w:bidi="ar-EG"/>
        </w:rPr>
        <w:t>3-1</w:t>
      </w:r>
      <w:r>
        <w:rPr>
          <w:rFonts w:hint="cs"/>
          <w:rtl/>
          <w:lang w:bidi="ar-EG"/>
        </w:rPr>
        <w:t> مارس </w:t>
      </w:r>
      <w:r>
        <w:rPr>
          <w:lang w:bidi="ar-EG"/>
        </w:rPr>
        <w:t>2017</w:t>
      </w:r>
      <w:r>
        <w:rPr>
          <w:rFonts w:hint="cs"/>
          <w:rtl/>
          <w:lang w:bidi="ar-EG"/>
        </w:rPr>
        <w:t xml:space="preserve"> اجتماع غير عادي للفريقين. وكان الهدف الأساسي للاجتماع مناقشة مجموعة منقحة من المؤشرات التي يتعين إدراجها في الرقم القياسي </w:t>
      </w:r>
      <w:r>
        <w:rPr>
          <w:lang w:bidi="ar-EG"/>
        </w:rPr>
        <w:t>IDI</w:t>
      </w:r>
      <w:r>
        <w:rPr>
          <w:rFonts w:hint="cs"/>
          <w:rtl/>
          <w:lang w:bidi="ar-EG"/>
        </w:rPr>
        <w:t xml:space="preserve"> وتمحيصها والاتفاق عليها، وذلك استناداً إلى وثيقتين أعدهما الفريق الفرعي التابع للفريق </w:t>
      </w:r>
      <w:r>
        <w:rPr>
          <w:lang w:bidi="ar-EG"/>
        </w:rPr>
        <w:t>EGTI</w:t>
      </w:r>
      <w:r>
        <w:rPr>
          <w:rFonts w:hint="cs"/>
          <w:rtl/>
          <w:lang w:bidi="ar-EG"/>
        </w:rPr>
        <w:t xml:space="preserve"> وفريق خبراء مستقل.</w:t>
      </w:r>
    </w:p>
    <w:p w:rsidR="00282107" w:rsidRPr="00966A58" w:rsidRDefault="00282107" w:rsidP="00282107">
      <w:pPr>
        <w:rPr>
          <w:rtl/>
          <w:lang w:bidi="ar-EG"/>
        </w:rPr>
      </w:pPr>
      <w:r>
        <w:rPr>
          <w:rFonts w:hint="cs"/>
          <w:rtl/>
          <w:lang w:bidi="ar-EG"/>
        </w:rPr>
        <w:t xml:space="preserve">واعتمد الاجتماع غير العادي ما مجموعه </w:t>
      </w:r>
      <w:r>
        <w:rPr>
          <w:lang w:bidi="ar-EG"/>
        </w:rPr>
        <w:t>14</w:t>
      </w:r>
      <w:r>
        <w:rPr>
          <w:rFonts w:hint="eastAsia"/>
          <w:rtl/>
          <w:lang w:bidi="ar-EG"/>
        </w:rPr>
        <w:t> مؤشراً لإدراجهم في الرقم القياسي </w:t>
      </w:r>
      <w:r>
        <w:rPr>
          <w:lang w:bidi="ar-EG"/>
        </w:rPr>
        <w:t>IDI</w:t>
      </w:r>
      <w:r>
        <w:rPr>
          <w:rFonts w:hint="cs"/>
          <w:rtl/>
          <w:lang w:bidi="ar-EG"/>
        </w:rPr>
        <w:t xml:space="preserve"> مقارنة</w:t>
      </w:r>
      <w:r w:rsidR="00DB0080">
        <w:rPr>
          <w:rFonts w:hint="cs"/>
          <w:rtl/>
          <w:lang w:bidi="ar-EG"/>
        </w:rPr>
        <w:t>ً</w:t>
      </w:r>
      <w:r>
        <w:rPr>
          <w:rFonts w:hint="cs"/>
          <w:rtl/>
          <w:lang w:bidi="ar-EG"/>
        </w:rPr>
        <w:t xml:space="preserve"> بقائمة المؤشرات الحالية التي تضم </w:t>
      </w:r>
      <w:r>
        <w:rPr>
          <w:lang w:bidi="ar-EG"/>
        </w:rPr>
        <w:t>11</w:t>
      </w:r>
      <w:r>
        <w:rPr>
          <w:rFonts w:hint="eastAsia"/>
          <w:rtl/>
          <w:lang w:bidi="ar-EG"/>
        </w:rPr>
        <w:t xml:space="preserve"> مؤشراً. </w:t>
      </w:r>
      <w:r>
        <w:rPr>
          <w:rFonts w:hint="cs"/>
          <w:rtl/>
          <w:lang w:bidi="ar-EG"/>
        </w:rPr>
        <w:t>واتفق الاجتماع على أن تنشر نتائج المؤشر </w:t>
      </w:r>
      <w:r>
        <w:rPr>
          <w:lang w:bidi="ar-EG"/>
        </w:rPr>
        <w:t>IDI</w:t>
      </w:r>
      <w:r>
        <w:rPr>
          <w:rFonts w:hint="cs"/>
          <w:rtl/>
          <w:lang w:bidi="ar-EG"/>
        </w:rPr>
        <w:t xml:space="preserve"> الجديد في </w:t>
      </w:r>
      <w:r>
        <w:rPr>
          <w:lang w:bidi="ar-EG"/>
        </w:rPr>
        <w:t>2018</w:t>
      </w:r>
      <w:r>
        <w:rPr>
          <w:rFonts w:hint="cs"/>
          <w:rtl/>
          <w:lang w:bidi="ar-EG"/>
        </w:rPr>
        <w:t>، وذلك لإتاحة الوقت الكافي لإجراء الاختبارات الإحصائية وتمكين البلدان من جمع وتقديم البيانات المتعلقة بالمؤشرات الجديدة المزمع إدراجها في الرقم القياسي </w:t>
      </w:r>
      <w:r>
        <w:rPr>
          <w:lang w:bidi="ar-EG"/>
        </w:rPr>
        <w:t>IDI</w:t>
      </w:r>
      <w:r>
        <w:rPr>
          <w:rFonts w:hint="cs"/>
          <w:rtl/>
          <w:lang w:bidi="ar-EG"/>
        </w:rPr>
        <w:t>.</w:t>
      </w:r>
    </w:p>
    <w:p w:rsidR="00966A58" w:rsidRPr="00966A58" w:rsidRDefault="00966A58" w:rsidP="00282107">
      <w:pPr>
        <w:pStyle w:val="Headingb"/>
        <w:rPr>
          <w:rtl/>
        </w:rPr>
      </w:pPr>
      <w:r w:rsidRPr="00966A58">
        <w:rPr>
          <w:rFonts w:hint="cs"/>
          <w:rtl/>
        </w:rPr>
        <w:t xml:space="preserve">الندوة العالمية لمؤشرات الاتصالات/تكنولوجيا المعلومات والاتصالات لعام </w:t>
      </w:r>
      <w:r w:rsidRPr="00966A58">
        <w:t>2017</w:t>
      </w:r>
    </w:p>
    <w:p w:rsidR="00966A58" w:rsidRPr="003B067E" w:rsidRDefault="00966A58" w:rsidP="00966A58">
      <w:pPr>
        <w:rPr>
          <w:spacing w:val="-6"/>
          <w:lang w:bidi="ar-EG"/>
        </w:rPr>
      </w:pPr>
      <w:r w:rsidRPr="003B067E">
        <w:rPr>
          <w:rFonts w:hint="cs"/>
          <w:spacing w:val="-6"/>
          <w:rtl/>
          <w:lang w:bidi="ar-EG"/>
        </w:rPr>
        <w:t>ستُعقد الندوة العالمية الخامسة عشرة لمؤشرات الاتصالات/تكنولوجيا المعلومات والاتصالات في تونس، في</w:t>
      </w:r>
      <w:r w:rsidRPr="003B067E">
        <w:rPr>
          <w:rFonts w:hint="eastAsia"/>
          <w:spacing w:val="-6"/>
          <w:rtl/>
          <w:lang w:bidi="ar-EG"/>
        </w:rPr>
        <w:t> </w:t>
      </w:r>
      <w:r w:rsidRPr="003B067E">
        <w:rPr>
          <w:rFonts w:hint="cs"/>
          <w:spacing w:val="-6"/>
          <w:rtl/>
          <w:lang w:bidi="ar-EG"/>
        </w:rPr>
        <w:t xml:space="preserve">نوفمبر </w:t>
      </w:r>
      <w:r w:rsidRPr="003B067E">
        <w:rPr>
          <w:spacing w:val="-6"/>
          <w:lang w:bidi="ar-EG"/>
        </w:rPr>
        <w:t>2017</w:t>
      </w:r>
      <w:r w:rsidRPr="003B067E">
        <w:rPr>
          <w:rStyle w:val="FootnoteReference"/>
          <w:spacing w:val="-6"/>
          <w:rtl/>
          <w:lang w:bidi="ar-EG"/>
        </w:rPr>
        <w:footnoteReference w:id="1"/>
      </w:r>
      <w:r w:rsidR="005D637A" w:rsidRPr="003B067E">
        <w:rPr>
          <w:rFonts w:hint="cs"/>
          <w:spacing w:val="-6"/>
          <w:rtl/>
          <w:lang w:bidi="ar-EG"/>
        </w:rPr>
        <w:t>، وستستضيفها حكومة تونس</w:t>
      </w:r>
      <w:r w:rsidRPr="003B067E">
        <w:rPr>
          <w:rFonts w:hint="cs"/>
          <w:spacing w:val="-6"/>
          <w:rtl/>
          <w:lang w:bidi="ar-EG"/>
        </w:rPr>
        <w:t>. وستشمل عدداً من حلقات النقاش الدولية رفيعة المستوى حول القضايا الرئيسية المتصلة بسياسة ورصد تكنولوجيا المعلومات والاتصالات وستجمع بين مستخدمي بيانات تكنولوجيا المعلومات والاتصالات ومنتجيها. وسيكون من بين المتحدثين وزراء ومديرون عامون للمكاتب الإحصائية الوطنية ورؤساء الهيئات التنظيمية وكبار المديرين التنفيذيين من قطاع الأعمال وغيرهم من الخبراء رفيعي المستوى.</w:t>
      </w:r>
    </w:p>
    <w:p w:rsidR="00966A58" w:rsidRPr="00966A58" w:rsidRDefault="00966A58" w:rsidP="003B067E">
      <w:pPr>
        <w:spacing w:before="360"/>
        <w:jc w:val="center"/>
        <w:rPr>
          <w:rtl/>
          <w:lang w:bidi="ar-EG"/>
        </w:rPr>
      </w:pPr>
      <w:r w:rsidRPr="00966A58">
        <w:rPr>
          <w:rFonts w:hint="cs"/>
          <w:rtl/>
        </w:rPr>
        <w:t>___________</w:t>
      </w:r>
    </w:p>
    <w:sectPr w:rsidR="00966A58" w:rsidRPr="00966A58"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44B" w:rsidRDefault="004A744B" w:rsidP="00E07379">
      <w:pPr>
        <w:spacing w:before="0" w:line="240" w:lineRule="auto"/>
      </w:pPr>
      <w:r>
        <w:separator/>
      </w:r>
    </w:p>
  </w:endnote>
  <w:endnote w:type="continuationSeparator" w:id="0">
    <w:p w:rsidR="004A744B" w:rsidRDefault="004A744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966A58" w:rsidRDefault="0056509A" w:rsidP="00276B13">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276B13">
      <w:rPr>
        <w:rFonts w:eastAsiaTheme="minorEastAsia" w:cs="Calibri"/>
        <w:noProof/>
        <w:sz w:val="16"/>
        <w:szCs w:val="16"/>
        <w:lang w:val="es-ES" w:eastAsia="zh-CN"/>
      </w:rPr>
      <w:t>P:\ARA\ITU-D\CONF-D\TDAG17\000\027A.docx</w:t>
    </w:r>
    <w:r w:rsidRPr="0056509A">
      <w:rPr>
        <w:rFonts w:eastAsiaTheme="minorEastAsia" w:cs="Calibri"/>
        <w:sz w:val="16"/>
        <w:szCs w:val="16"/>
        <w:lang w:eastAsia="zh-CN"/>
      </w:rPr>
      <w:fldChar w:fldCharType="end"/>
    </w:r>
    <w:r w:rsidR="00276B13">
      <w:rPr>
        <w:rFonts w:eastAsiaTheme="minorEastAsia" w:cs="Calibri" w:hint="cs"/>
        <w:sz w:val="16"/>
        <w:szCs w:val="16"/>
        <w:rtl/>
        <w:lang w:val="es-ES" w:eastAsia="zh-CN"/>
      </w:rPr>
      <w:t>   </w:t>
    </w:r>
    <w:r w:rsidRPr="0056509A">
      <w:rPr>
        <w:rFonts w:eastAsiaTheme="minorEastAsia" w:cs="Calibri"/>
        <w:sz w:val="16"/>
        <w:szCs w:val="16"/>
        <w:lang w:val="es-ES" w:eastAsia="zh-CN"/>
      </w:rPr>
      <w:t>(</w:t>
    </w:r>
    <w:r w:rsidR="00966A58">
      <w:rPr>
        <w:rFonts w:eastAsiaTheme="minorEastAsia" w:cs="Calibri" w:hint="cs"/>
        <w:sz w:val="16"/>
        <w:szCs w:val="16"/>
        <w:rtl/>
        <w:lang w:val="es-ES" w:eastAsia="zh-CN"/>
      </w:rPr>
      <w:t>413990</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276B13">
      <w:rPr>
        <w:rFonts w:eastAsiaTheme="minorEastAsia" w:cs="Calibri"/>
        <w:noProof/>
        <w:sz w:val="16"/>
        <w:szCs w:val="16"/>
        <w:lang w:val="en-GB" w:eastAsia="zh-CN"/>
      </w:rPr>
      <w:t>18.04.17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276B13">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CB30F8" w:rsidRDefault="006221A0"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56509A" w:rsidRPr="00CB30F8">
        <w:rPr>
          <w:rFonts w:cs="Times New Roman"/>
          <w:color w:val="0000FF"/>
          <w:sz w:val="18"/>
          <w:szCs w:val="18"/>
          <w:u w:val="single"/>
        </w:rPr>
        <w:t>http://www.itu.int/ITU-D/TDAG/</w:t>
      </w:r>
    </w:hyperlink>
    <w:hyperlink r:id="rId2" w:history="1"/>
  </w:p>
  <w:p w:rsidR="0056509A" w:rsidRPr="00966A58" w:rsidRDefault="0056509A" w:rsidP="00276B13">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966A58">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276B13">
      <w:rPr>
        <w:rFonts w:eastAsiaTheme="minorEastAsia" w:cs="Calibri"/>
        <w:noProof/>
        <w:vanish/>
        <w:sz w:val="16"/>
        <w:szCs w:val="16"/>
        <w:lang w:val="es-ES" w:eastAsia="zh-CN"/>
      </w:rPr>
      <w:t>P:\ARA\ITU-D\CONF-D\TDAG17\000\027A.docx</w:t>
    </w:r>
    <w:r w:rsidRPr="0056509A">
      <w:rPr>
        <w:rFonts w:eastAsiaTheme="minorEastAsia" w:cs="Calibri"/>
        <w:vanish/>
        <w:sz w:val="16"/>
        <w:szCs w:val="16"/>
        <w:lang w:eastAsia="zh-CN"/>
      </w:rPr>
      <w:fldChar w:fldCharType="end"/>
    </w:r>
    <w:r w:rsidR="00276B13">
      <w:rPr>
        <w:rFonts w:eastAsiaTheme="minorEastAsia" w:cs="Calibri"/>
        <w:vanish/>
        <w:sz w:val="16"/>
        <w:szCs w:val="16"/>
        <w:lang w:val="es-ES" w:eastAsia="zh-CN"/>
      </w:rPr>
      <w:t>   </w:t>
    </w:r>
    <w:r w:rsidRPr="00966A58">
      <w:rPr>
        <w:rFonts w:eastAsiaTheme="minorEastAsia" w:cs="Calibri"/>
        <w:vanish/>
        <w:sz w:val="16"/>
        <w:szCs w:val="16"/>
        <w:lang w:val="es-ES" w:eastAsia="zh-CN"/>
      </w:rPr>
      <w:t>(</w:t>
    </w:r>
    <w:r w:rsidR="00966A58">
      <w:rPr>
        <w:rFonts w:eastAsiaTheme="minorEastAsia" w:cs="Calibri" w:hint="cs"/>
        <w:vanish/>
        <w:sz w:val="16"/>
        <w:szCs w:val="16"/>
        <w:rtl/>
        <w:lang w:val="fr-FR" w:eastAsia="zh-CN"/>
      </w:rPr>
      <w:t>413990</w:t>
    </w:r>
    <w:r w:rsidRPr="00966A58">
      <w:rPr>
        <w:rFonts w:eastAsiaTheme="minorEastAsia" w:cs="Calibri"/>
        <w:vanish/>
        <w:sz w:val="16"/>
        <w:szCs w:val="16"/>
        <w:lang w:val="es-ES" w:eastAsia="zh-CN"/>
      </w:rPr>
      <w:t>)</w:t>
    </w:r>
    <w:r w:rsidRPr="00966A58">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276B13">
      <w:rPr>
        <w:rFonts w:eastAsiaTheme="minorEastAsia" w:cs="Calibri"/>
        <w:noProof/>
        <w:vanish/>
        <w:sz w:val="16"/>
        <w:szCs w:val="16"/>
        <w:lang w:val="en-GB" w:eastAsia="zh-CN"/>
      </w:rPr>
      <w:t>18.04.17</w:t>
    </w:r>
    <w:r w:rsidRPr="0056509A">
      <w:rPr>
        <w:rFonts w:eastAsiaTheme="minorEastAsia" w:cs="Calibri"/>
        <w:vanish/>
        <w:sz w:val="16"/>
        <w:szCs w:val="16"/>
        <w:lang w:eastAsia="zh-CN"/>
      </w:rPr>
      <w:fldChar w:fldCharType="end"/>
    </w:r>
    <w:r w:rsidRPr="00966A58">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276B13">
      <w:rPr>
        <w:rFonts w:eastAsiaTheme="minorEastAsia" w:cs="Calibri"/>
        <w:noProof/>
        <w:vanish/>
        <w:sz w:val="16"/>
        <w:szCs w:val="16"/>
        <w:lang w:val="en-GB" w:eastAsia="zh-CN"/>
      </w:rPr>
      <w:t>13.03.17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44B" w:rsidRDefault="004A744B" w:rsidP="00E07379">
      <w:pPr>
        <w:spacing w:before="0" w:line="240" w:lineRule="auto"/>
      </w:pPr>
      <w:r>
        <w:separator/>
      </w:r>
    </w:p>
  </w:footnote>
  <w:footnote w:type="continuationSeparator" w:id="0">
    <w:p w:rsidR="004A744B" w:rsidRDefault="004A744B" w:rsidP="00E07379">
      <w:pPr>
        <w:spacing w:before="0" w:line="240" w:lineRule="auto"/>
      </w:pPr>
      <w:r>
        <w:continuationSeparator/>
      </w:r>
    </w:p>
  </w:footnote>
  <w:footnote w:id="1">
    <w:p w:rsidR="00966A58" w:rsidRDefault="00966A58" w:rsidP="00966A58">
      <w:pPr>
        <w:pStyle w:val="FootnoteText"/>
        <w:ind w:left="227" w:hanging="227"/>
        <w:rPr>
          <w:rtl/>
        </w:rPr>
      </w:pPr>
      <w:r>
        <w:rPr>
          <w:rStyle w:val="FootnoteReference"/>
        </w:rPr>
        <w:footnoteRef/>
      </w:r>
      <w:r>
        <w:rPr>
          <w:rtl/>
        </w:rPr>
        <w:tab/>
      </w:r>
      <w:r>
        <w:rPr>
          <w:rFonts w:hint="cs"/>
          <w:rtl/>
        </w:rPr>
        <w:t>ستُؤكد المواعيد فيما بعد.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966A58">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56509A">
      <w:rPr>
        <w:rFonts w:cs="Calibri"/>
        <w:sz w:val="20"/>
        <w:szCs w:val="20"/>
      </w:rPr>
      <w:t>ITU-D/TDAG17-22/</w:t>
    </w:r>
    <w:r w:rsidR="00966A58">
      <w:rPr>
        <w:rFonts w:cs="Calibri"/>
        <w:sz w:val="20"/>
        <w:szCs w:val="20"/>
      </w:rPr>
      <w:t>27</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6221A0">
      <w:rPr>
        <w:rFonts w:cs="Times New Roman"/>
        <w:noProof/>
        <w:sz w:val="20"/>
        <w:szCs w:val="20"/>
        <w:rtl/>
        <w:lang w:val="en-GB"/>
      </w:rPr>
      <w:t>3</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4B"/>
    <w:rsid w:val="00012189"/>
    <w:rsid w:val="000124CC"/>
    <w:rsid w:val="00041F8B"/>
    <w:rsid w:val="00046444"/>
    <w:rsid w:val="00057272"/>
    <w:rsid w:val="0006023B"/>
    <w:rsid w:val="0006524B"/>
    <w:rsid w:val="0008638B"/>
    <w:rsid w:val="00090574"/>
    <w:rsid w:val="00092FC2"/>
    <w:rsid w:val="000A1677"/>
    <w:rsid w:val="000B407F"/>
    <w:rsid w:val="000C13C2"/>
    <w:rsid w:val="000D3BEF"/>
    <w:rsid w:val="000F0B1C"/>
    <w:rsid w:val="000F1D42"/>
    <w:rsid w:val="000F4D07"/>
    <w:rsid w:val="00102A03"/>
    <w:rsid w:val="001040A3"/>
    <w:rsid w:val="00173915"/>
    <w:rsid w:val="00186911"/>
    <w:rsid w:val="0022345D"/>
    <w:rsid w:val="00225854"/>
    <w:rsid w:val="0023283D"/>
    <w:rsid w:val="00252E0C"/>
    <w:rsid w:val="00276881"/>
    <w:rsid w:val="00276B13"/>
    <w:rsid w:val="00282107"/>
    <w:rsid w:val="002916BE"/>
    <w:rsid w:val="002978F4"/>
    <w:rsid w:val="002B028D"/>
    <w:rsid w:val="002B435E"/>
    <w:rsid w:val="002C4DAE"/>
    <w:rsid w:val="002D4DD1"/>
    <w:rsid w:val="002D6488"/>
    <w:rsid w:val="002D6669"/>
    <w:rsid w:val="002E6541"/>
    <w:rsid w:val="002F5560"/>
    <w:rsid w:val="002F7232"/>
    <w:rsid w:val="0030486B"/>
    <w:rsid w:val="003231B9"/>
    <w:rsid w:val="003275AC"/>
    <w:rsid w:val="00333D29"/>
    <w:rsid w:val="003409F4"/>
    <w:rsid w:val="00357185"/>
    <w:rsid w:val="003B067E"/>
    <w:rsid w:val="003C475F"/>
    <w:rsid w:val="003E4132"/>
    <w:rsid w:val="003E5E3F"/>
    <w:rsid w:val="003F678F"/>
    <w:rsid w:val="0042686F"/>
    <w:rsid w:val="004367CE"/>
    <w:rsid w:val="00443869"/>
    <w:rsid w:val="0045603F"/>
    <w:rsid w:val="004712C6"/>
    <w:rsid w:val="00497703"/>
    <w:rsid w:val="004A744B"/>
    <w:rsid w:val="004F0F06"/>
    <w:rsid w:val="00501E0E"/>
    <w:rsid w:val="005204D7"/>
    <w:rsid w:val="00530420"/>
    <w:rsid w:val="00552BC5"/>
    <w:rsid w:val="0055516A"/>
    <w:rsid w:val="0056374C"/>
    <w:rsid w:val="0056509A"/>
    <w:rsid w:val="0056614F"/>
    <w:rsid w:val="0057656F"/>
    <w:rsid w:val="00576731"/>
    <w:rsid w:val="0059285F"/>
    <w:rsid w:val="005A24B1"/>
    <w:rsid w:val="005B7B8A"/>
    <w:rsid w:val="005D637A"/>
    <w:rsid w:val="005D6476"/>
    <w:rsid w:val="005D6C0D"/>
    <w:rsid w:val="005E5283"/>
    <w:rsid w:val="005E58F5"/>
    <w:rsid w:val="00606660"/>
    <w:rsid w:val="006114BC"/>
    <w:rsid w:val="006157A3"/>
    <w:rsid w:val="00617F70"/>
    <w:rsid w:val="00620E60"/>
    <w:rsid w:val="006221A0"/>
    <w:rsid w:val="0063315A"/>
    <w:rsid w:val="0065591D"/>
    <w:rsid w:val="00662C5A"/>
    <w:rsid w:val="00670AF5"/>
    <w:rsid w:val="006C1556"/>
    <w:rsid w:val="006E77E7"/>
    <w:rsid w:val="006F267F"/>
    <w:rsid w:val="006F63F7"/>
    <w:rsid w:val="006F6F03"/>
    <w:rsid w:val="00706D7A"/>
    <w:rsid w:val="00707FC4"/>
    <w:rsid w:val="00726AEC"/>
    <w:rsid w:val="007530CA"/>
    <w:rsid w:val="0079553D"/>
    <w:rsid w:val="007B0163"/>
    <w:rsid w:val="007B01CC"/>
    <w:rsid w:val="007E7C6C"/>
    <w:rsid w:val="007F6238"/>
    <w:rsid w:val="007F646C"/>
    <w:rsid w:val="00801FCD"/>
    <w:rsid w:val="00803D7E"/>
    <w:rsid w:val="00803F08"/>
    <w:rsid w:val="008235CD"/>
    <w:rsid w:val="00823A07"/>
    <w:rsid w:val="00835FEC"/>
    <w:rsid w:val="008513CB"/>
    <w:rsid w:val="00874D9C"/>
    <w:rsid w:val="008A1810"/>
    <w:rsid w:val="008B0945"/>
    <w:rsid w:val="008B5B5D"/>
    <w:rsid w:val="00917694"/>
    <w:rsid w:val="00923199"/>
    <w:rsid w:val="009263CD"/>
    <w:rsid w:val="00930E6D"/>
    <w:rsid w:val="00966A58"/>
    <w:rsid w:val="00972CA2"/>
    <w:rsid w:val="00982B28"/>
    <w:rsid w:val="00984EA5"/>
    <w:rsid w:val="00986C32"/>
    <w:rsid w:val="00992593"/>
    <w:rsid w:val="009C17E1"/>
    <w:rsid w:val="009C35ED"/>
    <w:rsid w:val="009F1C12"/>
    <w:rsid w:val="00A01B82"/>
    <w:rsid w:val="00A124CB"/>
    <w:rsid w:val="00A2167A"/>
    <w:rsid w:val="00A25A43"/>
    <w:rsid w:val="00A3295B"/>
    <w:rsid w:val="00A42AE5"/>
    <w:rsid w:val="00A52B61"/>
    <w:rsid w:val="00A64820"/>
    <w:rsid w:val="00A71DD6"/>
    <w:rsid w:val="00A723C7"/>
    <w:rsid w:val="00A80E11"/>
    <w:rsid w:val="00A97F94"/>
    <w:rsid w:val="00AA6BF1"/>
    <w:rsid w:val="00AB1309"/>
    <w:rsid w:val="00AC2C52"/>
    <w:rsid w:val="00AD1503"/>
    <w:rsid w:val="00AE7244"/>
    <w:rsid w:val="00AF3FEE"/>
    <w:rsid w:val="00B02F46"/>
    <w:rsid w:val="00B2000C"/>
    <w:rsid w:val="00B20ADE"/>
    <w:rsid w:val="00B66B9A"/>
    <w:rsid w:val="00B750BB"/>
    <w:rsid w:val="00B82089"/>
    <w:rsid w:val="00B970AE"/>
    <w:rsid w:val="00BA1427"/>
    <w:rsid w:val="00BD2824"/>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822EC"/>
    <w:rsid w:val="00D94196"/>
    <w:rsid w:val="00DA1CF0"/>
    <w:rsid w:val="00DB008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29EE"/>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A36D08-F338-4009-B9A6-E40D8544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ITU-D/Statistics/Pages/events/wtis20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050E-6CBB-4089-8006-D02220CF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88</TotalTime>
  <Pages>3</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15</cp:revision>
  <cp:lastPrinted>2017-03-13T12:32:00Z</cp:lastPrinted>
  <dcterms:created xsi:type="dcterms:W3CDTF">2017-04-13T08:25:00Z</dcterms:created>
  <dcterms:modified xsi:type="dcterms:W3CDTF">2017-04-18T13:43:00Z</dcterms:modified>
  <cp:category>Conference document</cp:category>
</cp:coreProperties>
</file>