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DC69A9" w:rsidRPr="006C2561" w14:paraId="563EE1D3" w14:textId="77777777" w:rsidTr="004644C2">
        <w:trPr>
          <w:cantSplit/>
          <w:trHeight w:val="1134"/>
        </w:trPr>
        <w:tc>
          <w:tcPr>
            <w:tcW w:w="1276" w:type="dxa"/>
          </w:tcPr>
          <w:p w14:paraId="117D52CA" w14:textId="77777777" w:rsidR="00DC69A9" w:rsidRPr="006C2561" w:rsidRDefault="00DC69A9" w:rsidP="004644C2">
            <w:pPr>
              <w:tabs>
                <w:tab w:val="clear" w:pos="1191"/>
                <w:tab w:val="clear" w:pos="1588"/>
                <w:tab w:val="clear" w:pos="1985"/>
              </w:tabs>
              <w:spacing w:before="0"/>
              <w:ind w:left="1311"/>
              <w:rPr>
                <w:rFonts w:ascii="Calibri" w:eastAsia="SimSun" w:hAnsi="Calibri"/>
                <w:sz w:val="28"/>
                <w:szCs w:val="28"/>
              </w:rPr>
            </w:pPr>
            <w:r w:rsidRPr="006C2561">
              <w:rPr>
                <w:rFonts w:ascii="Calibri" w:eastAsia="SimSun" w:hAnsi="Calibri"/>
                <w:noProof/>
                <w:color w:val="3399FF"/>
                <w:lang w:val="en-US" w:eastAsia="zh-CN"/>
              </w:rPr>
              <w:drawing>
                <wp:anchor distT="0" distB="0" distL="114300" distR="114300" simplePos="0" relativeHeight="251659264" behindDoc="0" locked="0" layoutInCell="1" allowOverlap="1" wp14:anchorId="0B21E807" wp14:editId="7BBDCDE2">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79EAFED3" w14:textId="77777777" w:rsidR="000830E8" w:rsidRPr="006C2561" w:rsidRDefault="000830E8" w:rsidP="000830E8">
            <w:pPr>
              <w:pStyle w:val="Heading1"/>
              <w:spacing w:before="120" w:after="120"/>
              <w:rPr>
                <w:rFonts w:ascii="Calibri" w:eastAsia="SimSun" w:hAnsi="Calibri"/>
                <w:sz w:val="36"/>
                <w:szCs w:val="36"/>
                <w:lang w:eastAsia="zh-CN"/>
              </w:rPr>
            </w:pPr>
            <w:r w:rsidRPr="006C2561">
              <w:rPr>
                <w:rFonts w:ascii="Calibri" w:eastAsia="SimSun" w:hAnsi="Calibri" w:cs="SimSun" w:hint="eastAsia"/>
                <w:sz w:val="32"/>
                <w:szCs w:val="22"/>
                <w:lang w:eastAsia="zh-CN"/>
              </w:rPr>
              <w:t>电信发展顾问组</w:t>
            </w:r>
            <w:r w:rsidRPr="006C2561">
              <w:rPr>
                <w:rFonts w:ascii="Calibri" w:eastAsia="SimSun" w:hAnsi="Calibri" w:cs="SimSun"/>
                <w:sz w:val="32"/>
                <w:szCs w:val="22"/>
                <w:lang w:eastAsia="zh-CN"/>
              </w:rPr>
              <w:t>（</w:t>
            </w:r>
            <w:r w:rsidRPr="006C2561">
              <w:rPr>
                <w:rFonts w:ascii="Calibri" w:eastAsia="SimSun" w:hAnsi="Calibri" w:cstheme="minorHAnsi"/>
                <w:sz w:val="32"/>
                <w:szCs w:val="22"/>
                <w:lang w:eastAsia="zh-CN"/>
              </w:rPr>
              <w:t>TDAG</w:t>
            </w:r>
            <w:r w:rsidRPr="006C2561">
              <w:rPr>
                <w:rFonts w:ascii="Calibri" w:eastAsia="SimSun" w:hAnsi="Calibri" w:cs="SimSun"/>
                <w:sz w:val="32"/>
                <w:szCs w:val="22"/>
                <w:lang w:eastAsia="zh-CN"/>
              </w:rPr>
              <w:t>）</w:t>
            </w:r>
          </w:p>
          <w:p w14:paraId="4ADC7455" w14:textId="26FA0417" w:rsidR="00DC69A9" w:rsidRPr="006C2561" w:rsidRDefault="000830E8" w:rsidP="000830E8">
            <w:pPr>
              <w:tabs>
                <w:tab w:val="clear" w:pos="1191"/>
                <w:tab w:val="clear" w:pos="1588"/>
                <w:tab w:val="clear" w:pos="1985"/>
              </w:tabs>
              <w:spacing w:before="100"/>
              <w:ind w:left="34"/>
              <w:rPr>
                <w:rFonts w:ascii="Calibri" w:eastAsia="SimSun" w:hAnsi="Calibri"/>
                <w:sz w:val="28"/>
                <w:szCs w:val="28"/>
                <w:lang w:eastAsia="zh-CN"/>
              </w:rPr>
            </w:pPr>
            <w:r w:rsidRPr="006C2561">
              <w:rPr>
                <w:rFonts w:ascii="Calibri" w:eastAsia="SimSun" w:hAnsi="Calibri" w:hint="eastAsia"/>
                <w:b/>
                <w:bCs/>
                <w:szCs w:val="24"/>
                <w:lang w:val="fr-CH" w:eastAsia="zh-CN"/>
              </w:rPr>
              <w:t>第</w:t>
            </w:r>
            <w:r w:rsidRPr="006C2561">
              <w:rPr>
                <w:rFonts w:ascii="Calibri" w:eastAsia="SimSun" w:hAnsi="Calibri"/>
                <w:b/>
                <w:bCs/>
                <w:szCs w:val="24"/>
                <w:lang w:val="fr-CH" w:eastAsia="zh-CN"/>
              </w:rPr>
              <w:t>22</w:t>
            </w:r>
            <w:r w:rsidRPr="006C2561">
              <w:rPr>
                <w:rFonts w:ascii="Calibri" w:eastAsia="SimSun" w:hAnsi="Calibri" w:hint="eastAsia"/>
                <w:b/>
                <w:bCs/>
                <w:szCs w:val="24"/>
                <w:lang w:val="fr-CH" w:eastAsia="zh-CN"/>
              </w:rPr>
              <w:t>次</w:t>
            </w:r>
            <w:r w:rsidRPr="006C2561">
              <w:rPr>
                <w:rFonts w:ascii="Calibri" w:eastAsia="SimSun" w:hAnsi="Calibri"/>
                <w:b/>
                <w:bCs/>
                <w:szCs w:val="24"/>
                <w:lang w:val="fr-CH" w:eastAsia="zh-CN"/>
              </w:rPr>
              <w:t>会议，</w:t>
            </w:r>
            <w:r w:rsidRPr="006C2561">
              <w:rPr>
                <w:rFonts w:ascii="Calibri" w:eastAsia="SimSun" w:hAnsi="Calibri"/>
                <w:b/>
                <w:bCs/>
                <w:szCs w:val="24"/>
                <w:lang w:eastAsia="zh-CN"/>
              </w:rPr>
              <w:t>2017</w:t>
            </w:r>
            <w:r w:rsidRPr="006C2561">
              <w:rPr>
                <w:rFonts w:ascii="Calibri" w:eastAsia="SimSun" w:hAnsi="Calibri"/>
                <w:b/>
                <w:bCs/>
                <w:szCs w:val="24"/>
                <w:lang w:eastAsia="zh-CN"/>
              </w:rPr>
              <w:t>年</w:t>
            </w:r>
            <w:r w:rsidRPr="006C2561">
              <w:rPr>
                <w:rFonts w:ascii="Calibri" w:eastAsia="SimSun" w:hAnsi="Calibri"/>
                <w:b/>
                <w:bCs/>
                <w:szCs w:val="24"/>
                <w:lang w:eastAsia="zh-CN"/>
              </w:rPr>
              <w:t>5</w:t>
            </w:r>
            <w:r w:rsidRPr="006C2561">
              <w:rPr>
                <w:rFonts w:ascii="Calibri" w:eastAsia="SimSun" w:hAnsi="Calibri"/>
                <w:b/>
                <w:bCs/>
                <w:szCs w:val="24"/>
                <w:lang w:eastAsia="zh-CN"/>
              </w:rPr>
              <w:t>月</w:t>
            </w:r>
            <w:r w:rsidRPr="006C2561">
              <w:rPr>
                <w:rFonts w:ascii="Calibri" w:eastAsia="SimSun" w:hAnsi="Calibri"/>
                <w:b/>
                <w:bCs/>
                <w:szCs w:val="24"/>
                <w:lang w:eastAsia="zh-CN"/>
              </w:rPr>
              <w:t>9-12</w:t>
            </w:r>
            <w:r w:rsidRPr="006C2561">
              <w:rPr>
                <w:rFonts w:ascii="Calibri" w:eastAsia="SimSun" w:hAnsi="Calibri"/>
                <w:b/>
                <w:bCs/>
                <w:szCs w:val="24"/>
                <w:lang w:eastAsia="zh-CN"/>
              </w:rPr>
              <w:t>日，日内瓦</w:t>
            </w:r>
          </w:p>
        </w:tc>
        <w:tc>
          <w:tcPr>
            <w:tcW w:w="3225" w:type="dxa"/>
          </w:tcPr>
          <w:p w14:paraId="0667C6B6" w14:textId="77777777" w:rsidR="00DC69A9" w:rsidRPr="006C2561" w:rsidRDefault="00DC69A9" w:rsidP="004644C2">
            <w:pPr>
              <w:spacing w:before="0"/>
              <w:ind w:right="142"/>
              <w:jc w:val="right"/>
              <w:rPr>
                <w:rFonts w:ascii="Calibri" w:eastAsia="SimSun" w:hAnsi="Calibri"/>
                <w:lang w:eastAsia="zh-CN"/>
              </w:rPr>
            </w:pPr>
            <w:r w:rsidRPr="006C2561">
              <w:rPr>
                <w:rFonts w:ascii="Calibri" w:eastAsia="SimSun" w:hAnsi="Calibri"/>
                <w:noProof/>
                <w:color w:val="189CD7"/>
                <w:lang w:val="en-US" w:eastAsia="zh-CN"/>
              </w:rPr>
              <w:drawing>
                <wp:anchor distT="0" distB="0" distL="114300" distR="114300" simplePos="0" relativeHeight="251660288" behindDoc="0" locked="0" layoutInCell="1" allowOverlap="1" wp14:anchorId="5A89F5EC" wp14:editId="79AC49BB">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C69A9" w:rsidRPr="006C2561" w14:paraId="2EAA61F5" w14:textId="77777777" w:rsidTr="004644C2">
        <w:trPr>
          <w:cantSplit/>
        </w:trPr>
        <w:tc>
          <w:tcPr>
            <w:tcW w:w="6663" w:type="dxa"/>
            <w:gridSpan w:val="2"/>
            <w:tcBorders>
              <w:top w:val="single" w:sz="12" w:space="0" w:color="auto"/>
            </w:tcBorders>
          </w:tcPr>
          <w:p w14:paraId="456A2DD9" w14:textId="77777777" w:rsidR="00DC69A9" w:rsidRPr="006C2561" w:rsidRDefault="00DC69A9" w:rsidP="004644C2">
            <w:pPr>
              <w:spacing w:before="0"/>
              <w:rPr>
                <w:rFonts w:ascii="Calibri" w:eastAsia="SimSun" w:hAnsi="Calibri" w:cs="Arial"/>
                <w:b/>
                <w:bCs/>
                <w:sz w:val="20"/>
                <w:lang w:eastAsia="zh-CN"/>
              </w:rPr>
            </w:pPr>
          </w:p>
        </w:tc>
        <w:tc>
          <w:tcPr>
            <w:tcW w:w="3225" w:type="dxa"/>
            <w:tcBorders>
              <w:top w:val="single" w:sz="12" w:space="0" w:color="auto"/>
            </w:tcBorders>
          </w:tcPr>
          <w:p w14:paraId="156DC1A4" w14:textId="77777777" w:rsidR="00DC69A9" w:rsidRPr="006C2561" w:rsidRDefault="00DC69A9" w:rsidP="004644C2">
            <w:pPr>
              <w:spacing w:before="0"/>
              <w:rPr>
                <w:rFonts w:ascii="Calibri" w:eastAsia="SimSun" w:hAnsi="Calibri"/>
                <w:b/>
                <w:bCs/>
                <w:sz w:val="20"/>
                <w:lang w:eastAsia="zh-CN"/>
              </w:rPr>
            </w:pPr>
          </w:p>
        </w:tc>
      </w:tr>
      <w:tr w:rsidR="00DC69A9" w:rsidRPr="006C2561" w14:paraId="20DD5A33" w14:textId="77777777" w:rsidTr="004644C2">
        <w:trPr>
          <w:cantSplit/>
        </w:trPr>
        <w:tc>
          <w:tcPr>
            <w:tcW w:w="6663" w:type="dxa"/>
            <w:gridSpan w:val="2"/>
            <w:vMerge w:val="restart"/>
          </w:tcPr>
          <w:p w14:paraId="597CC261" w14:textId="77777777" w:rsidR="00DC69A9" w:rsidRPr="006C2561" w:rsidRDefault="00DC69A9" w:rsidP="004644C2">
            <w:pPr>
              <w:pStyle w:val="Committee"/>
              <w:rPr>
                <w:rFonts w:ascii="Calibri" w:eastAsia="SimSun" w:hAnsi="Calibri"/>
                <w:b w:val="0"/>
                <w:lang w:eastAsia="zh-CN"/>
              </w:rPr>
            </w:pPr>
          </w:p>
        </w:tc>
        <w:tc>
          <w:tcPr>
            <w:tcW w:w="3225" w:type="dxa"/>
          </w:tcPr>
          <w:p w14:paraId="2239DCEE" w14:textId="313DE837" w:rsidR="00DC69A9" w:rsidRPr="006C2561" w:rsidRDefault="000830E8" w:rsidP="000830E8">
            <w:pPr>
              <w:spacing w:before="0"/>
              <w:jc w:val="both"/>
              <w:rPr>
                <w:rFonts w:ascii="Calibri" w:eastAsia="SimSun" w:hAnsi="Calibri"/>
                <w:bCs/>
                <w:lang w:val="en-US"/>
              </w:rPr>
            </w:pPr>
            <w:r w:rsidRPr="006C2561">
              <w:rPr>
                <w:rFonts w:ascii="Calibri" w:eastAsia="SimSun" w:hAnsi="Calibri" w:hint="eastAsia"/>
                <w:b/>
                <w:bCs/>
                <w:lang w:val="en-US" w:eastAsia="zh-CN"/>
              </w:rPr>
              <w:t>文件</w:t>
            </w:r>
            <w:r w:rsidR="00DC69A9" w:rsidRPr="006C2561">
              <w:rPr>
                <w:rFonts w:ascii="Calibri" w:eastAsia="SimSun" w:hAnsi="Calibri"/>
                <w:b/>
                <w:bCs/>
                <w:lang w:val="en-US"/>
              </w:rPr>
              <w:t xml:space="preserve"> </w:t>
            </w:r>
            <w:bookmarkStart w:id="0" w:name="DocRef1"/>
            <w:bookmarkEnd w:id="0"/>
            <w:r w:rsidR="00DC69A9" w:rsidRPr="006C2561">
              <w:rPr>
                <w:rFonts w:ascii="Calibri" w:eastAsia="SimSun" w:hAnsi="Calibri"/>
                <w:b/>
                <w:bCs/>
                <w:lang w:val="en-US"/>
              </w:rPr>
              <w:t>TDAG17</w:t>
            </w:r>
            <w:r w:rsidR="00E45213" w:rsidRPr="006C2561">
              <w:rPr>
                <w:rFonts w:ascii="Calibri" w:eastAsia="SimSun" w:hAnsi="Calibri"/>
                <w:b/>
                <w:bCs/>
                <w:lang w:val="en-US"/>
              </w:rPr>
              <w:t>-22</w:t>
            </w:r>
            <w:r w:rsidR="00DC69A9" w:rsidRPr="006C2561">
              <w:rPr>
                <w:rFonts w:ascii="Calibri" w:eastAsia="SimSun" w:hAnsi="Calibri"/>
                <w:b/>
                <w:bCs/>
                <w:lang w:val="en-US"/>
              </w:rPr>
              <w:t>/</w:t>
            </w:r>
            <w:bookmarkStart w:id="1" w:name="DocNo1"/>
            <w:bookmarkEnd w:id="1"/>
            <w:r w:rsidR="00DC69A9" w:rsidRPr="006C2561">
              <w:rPr>
                <w:rFonts w:ascii="Calibri" w:eastAsia="SimSun" w:hAnsi="Calibri"/>
                <w:b/>
                <w:bCs/>
                <w:lang w:val="en-US"/>
              </w:rPr>
              <w:t>28-</w:t>
            </w:r>
            <w:r w:rsidRPr="006C2561">
              <w:rPr>
                <w:rFonts w:ascii="Calibri" w:eastAsia="SimSun" w:hAnsi="Calibri"/>
                <w:b/>
                <w:bCs/>
                <w:lang w:val="en-US"/>
              </w:rPr>
              <w:t>C</w:t>
            </w:r>
          </w:p>
        </w:tc>
      </w:tr>
      <w:tr w:rsidR="00DC69A9" w:rsidRPr="006C2561" w14:paraId="58C32949" w14:textId="77777777" w:rsidTr="004644C2">
        <w:trPr>
          <w:cantSplit/>
        </w:trPr>
        <w:tc>
          <w:tcPr>
            <w:tcW w:w="6663" w:type="dxa"/>
            <w:gridSpan w:val="2"/>
            <w:vMerge/>
          </w:tcPr>
          <w:p w14:paraId="66DA11CB" w14:textId="77777777" w:rsidR="00DC69A9" w:rsidRPr="006C2561" w:rsidRDefault="00DC69A9" w:rsidP="004644C2">
            <w:pPr>
              <w:spacing w:after="120"/>
              <w:rPr>
                <w:rFonts w:ascii="Calibri" w:eastAsia="SimSun" w:hAnsi="Calibri"/>
                <w:b/>
                <w:bCs/>
                <w:smallCaps/>
                <w:lang w:val="en-US"/>
              </w:rPr>
            </w:pPr>
          </w:p>
        </w:tc>
        <w:tc>
          <w:tcPr>
            <w:tcW w:w="3225" w:type="dxa"/>
          </w:tcPr>
          <w:p w14:paraId="56E98C96" w14:textId="2E1F753E" w:rsidR="00DC69A9" w:rsidRPr="006C2561" w:rsidRDefault="004B076B" w:rsidP="004644C2">
            <w:pPr>
              <w:spacing w:before="0"/>
              <w:rPr>
                <w:rFonts w:ascii="Calibri" w:eastAsia="SimSun" w:hAnsi="Calibri"/>
                <w:b/>
              </w:rPr>
            </w:pPr>
            <w:bookmarkStart w:id="2" w:name="CreationDate"/>
            <w:bookmarkEnd w:id="2"/>
            <w:r w:rsidRPr="006C2561">
              <w:rPr>
                <w:rFonts w:ascii="Calibri" w:eastAsia="SimSun" w:hAnsi="Calibri"/>
                <w:b/>
              </w:rPr>
              <w:t>2017</w:t>
            </w:r>
            <w:r w:rsidR="000830E8" w:rsidRPr="006C2561">
              <w:rPr>
                <w:rFonts w:ascii="Calibri" w:eastAsia="SimSun" w:hAnsi="Calibri" w:hint="eastAsia"/>
                <w:b/>
                <w:lang w:eastAsia="zh-CN"/>
              </w:rPr>
              <w:t>年</w:t>
            </w:r>
            <w:r w:rsidR="000830E8" w:rsidRPr="006C2561">
              <w:rPr>
                <w:rFonts w:ascii="Calibri" w:eastAsia="SimSun" w:hAnsi="Calibri" w:hint="eastAsia"/>
                <w:b/>
                <w:lang w:eastAsia="zh-CN"/>
              </w:rPr>
              <w:t>3</w:t>
            </w:r>
            <w:r w:rsidR="000830E8" w:rsidRPr="006C2561">
              <w:rPr>
                <w:rFonts w:ascii="Calibri" w:eastAsia="SimSun" w:hAnsi="Calibri" w:hint="eastAsia"/>
                <w:b/>
                <w:lang w:eastAsia="zh-CN"/>
              </w:rPr>
              <w:t>月</w:t>
            </w:r>
            <w:r w:rsidR="000830E8" w:rsidRPr="006C2561">
              <w:rPr>
                <w:rFonts w:ascii="Calibri" w:eastAsia="SimSun" w:hAnsi="Calibri" w:hint="eastAsia"/>
                <w:b/>
                <w:lang w:eastAsia="zh-CN"/>
              </w:rPr>
              <w:t>9</w:t>
            </w:r>
            <w:r w:rsidR="000830E8" w:rsidRPr="006C2561">
              <w:rPr>
                <w:rFonts w:ascii="Calibri" w:eastAsia="SimSun" w:hAnsi="Calibri" w:hint="eastAsia"/>
                <w:b/>
                <w:lang w:eastAsia="zh-CN"/>
              </w:rPr>
              <w:t>日</w:t>
            </w:r>
          </w:p>
        </w:tc>
      </w:tr>
      <w:tr w:rsidR="00DC69A9" w:rsidRPr="006C2561" w14:paraId="2BC92234" w14:textId="77777777" w:rsidTr="004644C2">
        <w:trPr>
          <w:cantSplit/>
        </w:trPr>
        <w:tc>
          <w:tcPr>
            <w:tcW w:w="6663" w:type="dxa"/>
            <w:gridSpan w:val="2"/>
            <w:vMerge/>
          </w:tcPr>
          <w:p w14:paraId="5213CAB5" w14:textId="77777777" w:rsidR="00DC69A9" w:rsidRPr="006C2561" w:rsidRDefault="00DC69A9" w:rsidP="004644C2">
            <w:pPr>
              <w:spacing w:after="120"/>
              <w:rPr>
                <w:rFonts w:ascii="Calibri" w:eastAsia="SimSun" w:hAnsi="Calibri"/>
                <w:b/>
                <w:bCs/>
                <w:smallCaps/>
              </w:rPr>
            </w:pPr>
          </w:p>
        </w:tc>
        <w:tc>
          <w:tcPr>
            <w:tcW w:w="3225" w:type="dxa"/>
          </w:tcPr>
          <w:p w14:paraId="5C545EE3" w14:textId="3215272D" w:rsidR="00DC69A9" w:rsidRPr="006C2561" w:rsidRDefault="000830E8" w:rsidP="000830E8">
            <w:pPr>
              <w:spacing w:before="0" w:after="240"/>
              <w:rPr>
                <w:rFonts w:ascii="Calibri" w:eastAsia="SimSun" w:hAnsi="Calibri"/>
              </w:rPr>
            </w:pPr>
            <w:r w:rsidRPr="006C2561">
              <w:rPr>
                <w:rFonts w:ascii="Calibri" w:eastAsia="SimSun" w:hAnsi="Calibri" w:cstheme="minorHAnsi" w:hint="eastAsia"/>
                <w:b/>
                <w:bCs/>
                <w:szCs w:val="24"/>
                <w:lang w:eastAsia="zh-CN"/>
              </w:rPr>
              <w:t>原文：</w:t>
            </w:r>
            <w:r w:rsidRPr="006C2561">
              <w:rPr>
                <w:rFonts w:ascii="Calibri" w:eastAsia="SimSun" w:hAnsi="Calibri" w:cstheme="minorHAnsi"/>
                <w:b/>
                <w:bCs/>
                <w:szCs w:val="24"/>
                <w:lang w:eastAsia="zh-CN"/>
              </w:rPr>
              <w:t>英文</w:t>
            </w:r>
            <w:bookmarkStart w:id="3" w:name="Original"/>
            <w:bookmarkEnd w:id="3"/>
          </w:p>
        </w:tc>
      </w:tr>
      <w:tr w:rsidR="000830E8" w:rsidRPr="006C2561" w14:paraId="3AC78E7E" w14:textId="77777777" w:rsidTr="004644C2">
        <w:trPr>
          <w:cantSplit/>
          <w:trHeight w:val="852"/>
        </w:trPr>
        <w:tc>
          <w:tcPr>
            <w:tcW w:w="9888" w:type="dxa"/>
            <w:gridSpan w:val="3"/>
          </w:tcPr>
          <w:p w14:paraId="5E31E268" w14:textId="1D634B55" w:rsidR="000830E8" w:rsidRPr="006C2561" w:rsidRDefault="000830E8" w:rsidP="000830E8">
            <w:pPr>
              <w:pStyle w:val="Source"/>
              <w:spacing w:before="240" w:after="120"/>
              <w:jc w:val="center"/>
              <w:rPr>
                <w:rFonts w:ascii="Calibri" w:eastAsia="SimSun" w:hAnsi="Calibri"/>
                <w:sz w:val="28"/>
                <w:szCs w:val="28"/>
                <w:lang w:eastAsia="zh-CN"/>
              </w:rPr>
            </w:pPr>
            <w:bookmarkStart w:id="4" w:name="Source"/>
            <w:bookmarkEnd w:id="4"/>
            <w:r w:rsidRPr="006C2561">
              <w:rPr>
                <w:rFonts w:ascii="Calibri" w:eastAsia="SimSun" w:hAnsi="Calibri" w:cs="Times New Roman Bold" w:hint="eastAsia"/>
                <w:sz w:val="28"/>
                <w:szCs w:val="22"/>
                <w:lang w:eastAsia="zh-CN"/>
              </w:rPr>
              <w:t>电信发展局主任的报告</w:t>
            </w:r>
          </w:p>
        </w:tc>
      </w:tr>
      <w:tr w:rsidR="00DC69A9" w:rsidRPr="006C2561" w14:paraId="7D0072E2" w14:textId="77777777" w:rsidTr="004644C2">
        <w:trPr>
          <w:cantSplit/>
        </w:trPr>
        <w:tc>
          <w:tcPr>
            <w:tcW w:w="9888" w:type="dxa"/>
            <w:gridSpan w:val="3"/>
          </w:tcPr>
          <w:p w14:paraId="1C301E20" w14:textId="3B168A66" w:rsidR="00DC69A9" w:rsidRPr="006C2561" w:rsidRDefault="00B47687" w:rsidP="004644C2">
            <w:pPr>
              <w:pStyle w:val="Title1"/>
              <w:spacing w:after="120"/>
              <w:jc w:val="center"/>
              <w:rPr>
                <w:rFonts w:ascii="Calibri" w:eastAsia="SimSun" w:hAnsi="Calibri"/>
                <w:b w:val="0"/>
                <w:sz w:val="28"/>
                <w:szCs w:val="28"/>
                <w:lang w:eastAsia="zh-CN"/>
              </w:rPr>
            </w:pPr>
            <w:bookmarkStart w:id="5" w:name="Title"/>
            <w:bookmarkEnd w:id="5"/>
            <w:r w:rsidRPr="006C2561">
              <w:rPr>
                <w:rFonts w:ascii="Calibri" w:eastAsia="SimSun" w:hAnsi="Calibri"/>
                <w:sz w:val="28"/>
                <w:szCs w:val="22"/>
              </w:rPr>
              <w:t>ITU-D</w:t>
            </w:r>
            <w:proofErr w:type="spellStart"/>
            <w:r w:rsidRPr="006C2561">
              <w:rPr>
                <w:rFonts w:ascii="Calibri" w:eastAsia="SimSun" w:hAnsi="Calibri" w:hint="eastAsia"/>
                <w:sz w:val="28"/>
                <w:szCs w:val="22"/>
              </w:rPr>
              <w:t>部门成员</w:t>
            </w:r>
            <w:proofErr w:type="spellEnd"/>
          </w:p>
        </w:tc>
      </w:tr>
    </w:tbl>
    <w:p w14:paraId="15445053" w14:textId="77777777" w:rsidR="00DC69A9" w:rsidRPr="006C2561" w:rsidRDefault="00DC69A9" w:rsidP="005F140D">
      <w:pPr>
        <w:rPr>
          <w:rFonts w:ascii="Calibri" w:eastAsia="SimSun" w:hAnsi="Calibri"/>
          <w:lang w:eastAsia="zh-CN"/>
        </w:rPr>
      </w:pPr>
    </w:p>
    <w:tbl>
      <w:tblPr>
        <w:tblStyle w:val="TableGrid"/>
        <w:tblW w:w="0" w:type="auto"/>
        <w:tblLook w:val="04A0" w:firstRow="1" w:lastRow="0" w:firstColumn="1" w:lastColumn="0" w:noHBand="0" w:noVBand="1"/>
      </w:tblPr>
      <w:tblGrid>
        <w:gridCol w:w="9488"/>
      </w:tblGrid>
      <w:tr w:rsidR="00B47687" w:rsidRPr="006C2561" w14:paraId="7E9DFE35" w14:textId="77777777" w:rsidTr="00B47687">
        <w:tc>
          <w:tcPr>
            <w:tcW w:w="9488" w:type="dxa"/>
          </w:tcPr>
          <w:p w14:paraId="550B80DE" w14:textId="77777777" w:rsidR="00B47687" w:rsidRPr="006C2561" w:rsidRDefault="00B47687" w:rsidP="00B47687">
            <w:pPr>
              <w:pStyle w:val="Headingb"/>
              <w:rPr>
                <w:rFonts w:ascii="Calibri" w:eastAsia="SimSun" w:hAnsi="Calibri"/>
                <w:szCs w:val="24"/>
                <w:lang w:eastAsia="zh-CN"/>
              </w:rPr>
            </w:pPr>
            <w:r w:rsidRPr="006C2561">
              <w:rPr>
                <w:rFonts w:ascii="Calibri" w:eastAsia="SimSun" w:hAnsi="Calibri" w:hint="eastAsia"/>
                <w:szCs w:val="24"/>
                <w:lang w:eastAsia="zh-CN"/>
              </w:rPr>
              <w:t>摘要</w:t>
            </w:r>
            <w:r w:rsidRPr="006C2561">
              <w:rPr>
                <w:rFonts w:ascii="Calibri" w:eastAsia="SimSun" w:hAnsi="Calibri"/>
                <w:szCs w:val="24"/>
                <w:lang w:eastAsia="zh-CN"/>
              </w:rPr>
              <w:t>：</w:t>
            </w:r>
          </w:p>
          <w:p w14:paraId="355BA921" w14:textId="77777777" w:rsidR="00B47687" w:rsidRPr="006C2561" w:rsidRDefault="00B47687" w:rsidP="00B47687">
            <w:pPr>
              <w:ind w:firstLineChars="200" w:firstLine="480"/>
              <w:rPr>
                <w:rFonts w:ascii="Calibri" w:eastAsia="SimSun" w:hAnsi="Calibri" w:cstheme="minorHAnsi"/>
                <w:szCs w:val="24"/>
                <w:lang w:eastAsia="zh-CN"/>
              </w:rPr>
            </w:pPr>
            <w:r w:rsidRPr="006C2561">
              <w:rPr>
                <w:rFonts w:ascii="Calibri" w:eastAsia="SimSun" w:hAnsi="Calibri" w:hint="eastAsia"/>
                <w:color w:val="000000" w:themeColor="text1"/>
                <w:szCs w:val="24"/>
                <w:lang w:val="en-US" w:eastAsia="zh-CN"/>
              </w:rPr>
              <w:t>ITU-D</w:t>
            </w:r>
            <w:r w:rsidRPr="006C2561">
              <w:rPr>
                <w:rFonts w:ascii="Calibri" w:eastAsia="SimSun" w:hAnsi="Calibri" w:hint="eastAsia"/>
                <w:color w:val="000000" w:themeColor="text1"/>
                <w:szCs w:val="24"/>
                <w:lang w:val="en-US" w:eastAsia="zh-CN"/>
              </w:rPr>
              <w:t>部门成员队伍包括部门成员、部门准成员和学术成员。本文件概述了</w:t>
            </w:r>
            <w:r w:rsidRPr="006C2561">
              <w:rPr>
                <w:rFonts w:ascii="Calibri" w:eastAsia="SimSun" w:hAnsi="Calibri" w:hint="eastAsia"/>
                <w:color w:val="000000" w:themeColor="text1"/>
                <w:szCs w:val="24"/>
                <w:lang w:val="en-US" w:eastAsia="zh-CN"/>
              </w:rPr>
              <w:t>ITU-D</w:t>
            </w:r>
            <w:r w:rsidRPr="006C2561">
              <w:rPr>
                <w:rFonts w:ascii="Calibri" w:eastAsia="SimSun" w:hAnsi="Calibri" w:hint="eastAsia"/>
                <w:color w:val="000000" w:themeColor="text1"/>
                <w:szCs w:val="24"/>
                <w:lang w:val="en-US" w:eastAsia="zh-CN"/>
              </w:rPr>
              <w:t>部门成员队伍的演变以及根据</w:t>
            </w:r>
            <w:r w:rsidRPr="006C2561">
              <w:rPr>
                <w:rFonts w:ascii="Calibri" w:eastAsia="SimSun" w:hAnsi="Calibri" w:hint="eastAsia"/>
                <w:color w:val="000000" w:themeColor="text1"/>
                <w:szCs w:val="24"/>
                <w:lang w:val="en-US" w:eastAsia="zh-CN"/>
              </w:rPr>
              <w:t>WTDC-14</w:t>
            </w:r>
            <w:r w:rsidRPr="006C2561">
              <w:rPr>
                <w:rFonts w:ascii="Calibri" w:eastAsia="SimSun" w:hAnsi="Calibri" w:hint="eastAsia"/>
                <w:color w:val="000000" w:themeColor="text1"/>
                <w:szCs w:val="24"/>
                <w:lang w:val="en-US" w:eastAsia="zh-CN"/>
              </w:rPr>
              <w:t>和</w:t>
            </w:r>
            <w:r w:rsidRPr="006C2561">
              <w:rPr>
                <w:rFonts w:ascii="Calibri" w:eastAsia="SimSun" w:hAnsi="Calibri" w:hint="eastAsia"/>
                <w:color w:val="000000" w:themeColor="text1"/>
                <w:szCs w:val="24"/>
                <w:lang w:val="en-US" w:eastAsia="zh-CN"/>
              </w:rPr>
              <w:t>PP-14</w:t>
            </w:r>
            <w:r w:rsidRPr="006C2561">
              <w:rPr>
                <w:rFonts w:ascii="Calibri" w:eastAsia="SimSun" w:hAnsi="Calibri" w:hint="eastAsia"/>
                <w:color w:val="000000" w:themeColor="text1"/>
                <w:szCs w:val="24"/>
                <w:lang w:val="en-US" w:eastAsia="zh-CN"/>
              </w:rPr>
              <w:t>成果为加强这一成员结构而制定的相关目标、采取的战略和行动。</w:t>
            </w:r>
          </w:p>
          <w:p w14:paraId="187420B8" w14:textId="77777777" w:rsidR="00B47687" w:rsidRPr="006C2561" w:rsidRDefault="00B47687" w:rsidP="00B47687">
            <w:pPr>
              <w:rPr>
                <w:rFonts w:ascii="Calibri" w:eastAsia="SimSun" w:hAnsi="Calibri" w:cs="SimSun"/>
                <w:b/>
                <w:bCs/>
                <w:lang w:eastAsia="zh-CN"/>
              </w:rPr>
            </w:pPr>
            <w:r w:rsidRPr="006C2561">
              <w:rPr>
                <w:rFonts w:ascii="Calibri" w:eastAsia="SimSun" w:hAnsi="Calibri" w:cs="SimSun"/>
                <w:b/>
                <w:bCs/>
                <w:lang w:eastAsia="zh-CN"/>
              </w:rPr>
              <w:t>须采取的行动：</w:t>
            </w:r>
          </w:p>
          <w:p w14:paraId="3A18027E" w14:textId="77777777" w:rsidR="00B47687" w:rsidRPr="006C2561" w:rsidRDefault="00B47687" w:rsidP="00B47687">
            <w:pPr>
              <w:ind w:firstLineChars="200" w:firstLine="480"/>
              <w:rPr>
                <w:rFonts w:ascii="Calibri" w:eastAsia="SimSun" w:hAnsi="Calibri"/>
                <w:lang w:eastAsia="zh-CN"/>
              </w:rPr>
            </w:pPr>
            <w:r w:rsidRPr="006C2561">
              <w:rPr>
                <w:rFonts w:ascii="Calibri" w:eastAsia="SimSun" w:hAnsi="Calibri" w:hint="eastAsia"/>
                <w:color w:val="000000" w:themeColor="text1"/>
                <w:szCs w:val="24"/>
                <w:lang w:val="en-US" w:eastAsia="zh-CN"/>
              </w:rPr>
              <w:t>请电信发展顾问组将本报告记录在案并</w:t>
            </w:r>
            <w:r w:rsidRPr="006C2561">
              <w:rPr>
                <w:rFonts w:ascii="Calibri" w:eastAsia="SimSun" w:hAnsi="Calibri"/>
                <w:color w:val="000000" w:themeColor="text1"/>
                <w:szCs w:val="24"/>
                <w:lang w:val="en-US" w:eastAsia="zh-CN"/>
              </w:rPr>
              <w:t>酌情提供指导</w:t>
            </w:r>
            <w:r w:rsidRPr="006C2561">
              <w:rPr>
                <w:rFonts w:ascii="Calibri" w:eastAsia="SimSun" w:hAnsi="Calibri" w:hint="eastAsia"/>
                <w:color w:val="000000" w:themeColor="text1"/>
                <w:szCs w:val="24"/>
                <w:lang w:val="en-US" w:eastAsia="zh-CN"/>
              </w:rPr>
              <w:t>。</w:t>
            </w:r>
          </w:p>
          <w:p w14:paraId="462478D6" w14:textId="77777777" w:rsidR="00B47687" w:rsidRPr="006C2561" w:rsidRDefault="00B47687" w:rsidP="00B47687">
            <w:pPr>
              <w:rPr>
                <w:rFonts w:ascii="Calibri" w:eastAsia="SimSun" w:hAnsi="Calibri" w:cs="SimSun"/>
                <w:b/>
                <w:bCs/>
                <w:lang w:eastAsia="zh-CN"/>
              </w:rPr>
            </w:pPr>
            <w:r w:rsidRPr="006C2561">
              <w:rPr>
                <w:rFonts w:ascii="Calibri" w:eastAsia="SimSun" w:hAnsi="Calibri" w:cs="SimSun"/>
                <w:b/>
                <w:bCs/>
                <w:lang w:eastAsia="zh-CN"/>
              </w:rPr>
              <w:t>参考文件：</w:t>
            </w:r>
          </w:p>
          <w:p w14:paraId="003C7426" w14:textId="77777777" w:rsidR="00B47687" w:rsidRPr="006C2561" w:rsidRDefault="00B47687" w:rsidP="00B47687">
            <w:pPr>
              <w:ind w:firstLineChars="200" w:firstLine="480"/>
              <w:rPr>
                <w:rFonts w:ascii="Calibri" w:eastAsia="SimSun" w:hAnsi="Calibri"/>
                <w:szCs w:val="24"/>
                <w:lang w:val="en-US" w:eastAsia="zh-CN"/>
              </w:rPr>
            </w:pPr>
            <w:r w:rsidRPr="006C2561">
              <w:rPr>
                <w:rFonts w:ascii="Calibri" w:eastAsia="SimSun" w:hAnsi="Calibri"/>
                <w:color w:val="000000" w:themeColor="text1"/>
                <w:szCs w:val="24"/>
                <w:lang w:val="en-US" w:eastAsia="zh-CN"/>
              </w:rPr>
              <w:t>WTDC-14</w:t>
            </w:r>
            <w:r w:rsidRPr="006C2561">
              <w:rPr>
                <w:rFonts w:ascii="Calibri" w:eastAsia="SimSun" w:hAnsi="Calibri" w:hint="eastAsia"/>
                <w:color w:val="000000" w:themeColor="text1"/>
                <w:szCs w:val="24"/>
                <w:lang w:val="en-US" w:eastAsia="zh-CN"/>
              </w:rPr>
              <w:t>输出成果</w:t>
            </w:r>
            <w:r w:rsidRPr="006C2561">
              <w:rPr>
                <w:rFonts w:ascii="Calibri" w:eastAsia="SimSun" w:hAnsi="Calibri"/>
                <w:color w:val="000000" w:themeColor="text1"/>
                <w:szCs w:val="24"/>
                <w:lang w:val="en-US" w:eastAsia="zh-CN"/>
              </w:rPr>
              <w:t>2.3</w:t>
            </w:r>
            <w:r w:rsidRPr="006C2561">
              <w:rPr>
                <w:rFonts w:ascii="Calibri" w:eastAsia="SimSun" w:hAnsi="Calibri" w:hint="eastAsia"/>
                <w:color w:val="000000" w:themeColor="text1"/>
                <w:szCs w:val="24"/>
                <w:lang w:val="en-US" w:eastAsia="zh-CN"/>
              </w:rPr>
              <w:t>和</w:t>
            </w:r>
            <w:r w:rsidRPr="006C2561">
              <w:rPr>
                <w:rFonts w:ascii="Calibri" w:eastAsia="SimSun" w:hAnsi="Calibri"/>
                <w:color w:val="000000" w:themeColor="text1"/>
                <w:szCs w:val="24"/>
                <w:lang w:val="en-US" w:eastAsia="zh-CN"/>
              </w:rPr>
              <w:t>WTDC</w:t>
            </w:r>
            <w:r w:rsidRPr="006C2561">
              <w:rPr>
                <w:rFonts w:ascii="Calibri" w:eastAsia="SimSun" w:hAnsi="Calibri" w:hint="eastAsia"/>
                <w:color w:val="000000" w:themeColor="text1"/>
                <w:szCs w:val="24"/>
                <w:lang w:val="en-US" w:eastAsia="zh-CN"/>
              </w:rPr>
              <w:t>第</w:t>
            </w:r>
            <w:r w:rsidRPr="006C2561">
              <w:rPr>
                <w:rFonts w:ascii="Calibri" w:eastAsia="SimSun" w:hAnsi="Calibri"/>
                <w:color w:val="000000" w:themeColor="text1"/>
                <w:szCs w:val="24"/>
                <w:lang w:val="en-US" w:eastAsia="zh-CN"/>
              </w:rPr>
              <w:t>71</w:t>
            </w:r>
            <w:r w:rsidRPr="006C2561">
              <w:rPr>
                <w:rFonts w:ascii="Calibri" w:eastAsia="SimSun" w:hAnsi="Calibri" w:hint="eastAsia"/>
                <w:color w:val="000000" w:themeColor="text1"/>
                <w:szCs w:val="24"/>
                <w:lang w:val="en-US" w:eastAsia="zh-CN"/>
              </w:rPr>
              <w:t>号决议（</w:t>
            </w:r>
            <w:r w:rsidRPr="006C2561">
              <w:rPr>
                <w:rFonts w:ascii="Calibri" w:eastAsia="SimSun" w:hAnsi="Calibri"/>
                <w:color w:val="000000" w:themeColor="text1"/>
                <w:szCs w:val="24"/>
                <w:lang w:val="en-US" w:eastAsia="zh-CN"/>
              </w:rPr>
              <w:t>2014</w:t>
            </w:r>
            <w:r w:rsidRPr="006C2561">
              <w:rPr>
                <w:rFonts w:ascii="Calibri" w:eastAsia="SimSun" w:hAnsi="Calibri" w:hint="eastAsia"/>
                <w:color w:val="000000" w:themeColor="text1"/>
                <w:szCs w:val="24"/>
                <w:lang w:val="en-US" w:eastAsia="zh-CN"/>
              </w:rPr>
              <w:t>年，迪拜，修订版）；全权代表大会第</w:t>
            </w:r>
            <w:r w:rsidRPr="006C2561">
              <w:rPr>
                <w:rFonts w:ascii="Calibri" w:eastAsia="SimSun" w:hAnsi="Calibri"/>
                <w:color w:val="000000" w:themeColor="text1"/>
                <w:szCs w:val="24"/>
                <w:lang w:val="en-US" w:eastAsia="zh-CN"/>
              </w:rPr>
              <w:t>187</w:t>
            </w:r>
            <w:r w:rsidRPr="006C2561">
              <w:rPr>
                <w:rFonts w:ascii="Calibri" w:eastAsia="SimSun" w:hAnsi="Calibri" w:hint="eastAsia"/>
                <w:color w:val="000000" w:themeColor="text1"/>
                <w:szCs w:val="24"/>
                <w:lang w:val="en-US" w:eastAsia="zh-CN"/>
              </w:rPr>
              <w:t>号决议（</w:t>
            </w:r>
            <w:r w:rsidRPr="006C2561">
              <w:rPr>
                <w:rFonts w:ascii="Calibri" w:eastAsia="SimSun" w:hAnsi="Calibri"/>
                <w:color w:val="000000" w:themeColor="text1"/>
                <w:szCs w:val="24"/>
                <w:lang w:val="en-US" w:eastAsia="zh-CN"/>
              </w:rPr>
              <w:t>2014</w:t>
            </w:r>
            <w:r w:rsidRPr="006C2561">
              <w:rPr>
                <w:rFonts w:ascii="Calibri" w:eastAsia="SimSun" w:hAnsi="Calibri" w:hint="eastAsia"/>
                <w:color w:val="000000" w:themeColor="text1"/>
                <w:szCs w:val="24"/>
                <w:lang w:val="en-US" w:eastAsia="zh-CN"/>
              </w:rPr>
              <w:t>年，釜山）以及第</w:t>
            </w:r>
            <w:r w:rsidRPr="006C2561">
              <w:rPr>
                <w:rFonts w:ascii="Calibri" w:eastAsia="SimSun" w:hAnsi="Calibri"/>
                <w:color w:val="000000" w:themeColor="text1"/>
                <w:szCs w:val="24"/>
                <w:lang w:val="en-US" w:eastAsia="zh-CN"/>
              </w:rPr>
              <w:t>158</w:t>
            </w:r>
            <w:r w:rsidRPr="006C2561">
              <w:rPr>
                <w:rFonts w:ascii="Calibri" w:eastAsia="SimSun" w:hAnsi="Calibri" w:hint="eastAsia"/>
                <w:color w:val="000000" w:themeColor="text1"/>
                <w:szCs w:val="24"/>
                <w:lang w:val="en-US" w:eastAsia="zh-CN"/>
              </w:rPr>
              <w:t>号</w:t>
            </w:r>
            <w:r w:rsidRPr="006C2561">
              <w:rPr>
                <w:rFonts w:ascii="Calibri" w:eastAsia="SimSun" w:hAnsi="Calibri"/>
                <w:color w:val="000000" w:themeColor="text1"/>
                <w:szCs w:val="24"/>
                <w:lang w:val="en-US" w:eastAsia="zh-CN"/>
              </w:rPr>
              <w:t>决议</w:t>
            </w:r>
            <w:r w:rsidRPr="006C2561">
              <w:rPr>
                <w:rFonts w:ascii="Calibri" w:eastAsia="SimSun" w:hAnsi="Calibri" w:hint="eastAsia"/>
                <w:color w:val="000000" w:themeColor="text1"/>
                <w:szCs w:val="24"/>
                <w:lang w:val="en-US" w:eastAsia="zh-CN"/>
              </w:rPr>
              <w:t>和第</w:t>
            </w:r>
            <w:r w:rsidRPr="006C2561">
              <w:rPr>
                <w:rFonts w:ascii="Calibri" w:eastAsia="SimSun" w:hAnsi="Calibri"/>
                <w:color w:val="000000" w:themeColor="text1"/>
                <w:szCs w:val="24"/>
                <w:lang w:val="en-US" w:eastAsia="zh-CN"/>
              </w:rPr>
              <w:t>169</w:t>
            </w:r>
            <w:r w:rsidRPr="006C2561">
              <w:rPr>
                <w:rFonts w:ascii="Calibri" w:eastAsia="SimSun" w:hAnsi="Calibri" w:hint="eastAsia"/>
                <w:color w:val="000000" w:themeColor="text1"/>
                <w:szCs w:val="24"/>
                <w:lang w:val="en-US" w:eastAsia="zh-CN"/>
              </w:rPr>
              <w:t>号决议（</w:t>
            </w:r>
            <w:r w:rsidRPr="006C2561">
              <w:rPr>
                <w:rFonts w:ascii="Calibri" w:eastAsia="SimSun" w:hAnsi="Calibri"/>
                <w:color w:val="000000" w:themeColor="text1"/>
                <w:szCs w:val="24"/>
                <w:lang w:val="en-US" w:eastAsia="zh-CN"/>
              </w:rPr>
              <w:t>2014</w:t>
            </w:r>
            <w:r w:rsidRPr="006C2561">
              <w:rPr>
                <w:rFonts w:ascii="Calibri" w:eastAsia="SimSun" w:hAnsi="Calibri" w:hint="eastAsia"/>
                <w:color w:val="000000" w:themeColor="text1"/>
                <w:szCs w:val="24"/>
                <w:lang w:val="en-US" w:eastAsia="zh-CN"/>
              </w:rPr>
              <w:t>年，釜山，修订版）。</w:t>
            </w:r>
          </w:p>
          <w:p w14:paraId="60963C8E" w14:textId="77777777" w:rsidR="00B47687" w:rsidRPr="006C2561" w:rsidRDefault="00B47687" w:rsidP="005F140D">
            <w:pPr>
              <w:rPr>
                <w:rFonts w:ascii="Calibri" w:eastAsia="SimSun" w:hAnsi="Calibri"/>
                <w:lang w:val="en-US" w:eastAsia="zh-CN"/>
              </w:rPr>
            </w:pPr>
          </w:p>
        </w:tc>
      </w:tr>
    </w:tbl>
    <w:p w14:paraId="31CC16FF" w14:textId="0AFEA864" w:rsidR="00DC69A9" w:rsidRPr="006C2561" w:rsidRDefault="00B47687" w:rsidP="00B47687">
      <w:pPr>
        <w:pStyle w:val="Heading1"/>
        <w:rPr>
          <w:rFonts w:ascii="Calibri" w:eastAsia="SimSun" w:hAnsi="Calibri"/>
          <w:lang w:eastAsia="zh-CN"/>
        </w:rPr>
      </w:pPr>
      <w:bookmarkStart w:id="6" w:name="Proposal"/>
      <w:bookmarkEnd w:id="6"/>
      <w:r w:rsidRPr="006C2561">
        <w:rPr>
          <w:rFonts w:ascii="Calibri" w:eastAsia="SimSun" w:hAnsi="Calibri" w:hint="eastAsia"/>
          <w:lang w:eastAsia="zh-CN"/>
        </w:rPr>
        <w:t>1</w:t>
      </w:r>
      <w:r w:rsidRPr="006C2561">
        <w:rPr>
          <w:rFonts w:ascii="Calibri" w:eastAsia="SimSun" w:hAnsi="Calibri"/>
          <w:lang w:eastAsia="zh-CN"/>
        </w:rPr>
        <w:tab/>
      </w:r>
      <w:r w:rsidR="007C4C97" w:rsidRPr="006C2561">
        <w:rPr>
          <w:rFonts w:ascii="Calibri" w:eastAsia="SimSun" w:hAnsi="Calibri" w:hint="eastAsia"/>
          <w:lang w:eastAsia="zh-CN"/>
        </w:rPr>
        <w:t>背景</w:t>
      </w:r>
    </w:p>
    <w:p w14:paraId="1C632E10" w14:textId="10DA982D" w:rsidR="007C4C97" w:rsidRPr="006C2561" w:rsidRDefault="007C4C97" w:rsidP="00455A89">
      <w:pPr>
        <w:ind w:firstLineChars="200" w:firstLine="480"/>
        <w:rPr>
          <w:rFonts w:ascii="Calibri" w:eastAsia="SimSun" w:hAnsi="Calibri"/>
          <w:szCs w:val="24"/>
          <w:lang w:val="en-US" w:eastAsia="zh-CN"/>
        </w:rPr>
      </w:pPr>
      <w:r w:rsidRPr="006C2561">
        <w:rPr>
          <w:rFonts w:ascii="Calibri" w:eastAsia="SimSun" w:hAnsi="Calibri"/>
          <w:szCs w:val="24"/>
          <w:lang w:val="en-US" w:eastAsia="zh-CN"/>
        </w:rPr>
        <w:t>2014</w:t>
      </w:r>
      <w:r w:rsidRPr="006C2561">
        <w:rPr>
          <w:rFonts w:ascii="Calibri" w:eastAsia="SimSun" w:hAnsi="Calibri"/>
          <w:szCs w:val="24"/>
          <w:lang w:val="en-US" w:eastAsia="zh-CN"/>
        </w:rPr>
        <w:t>年</w:t>
      </w:r>
      <w:r w:rsidR="0054405D" w:rsidRPr="006C2561">
        <w:rPr>
          <w:rFonts w:ascii="Calibri" w:eastAsia="SimSun" w:hAnsi="Calibri" w:hint="eastAsia"/>
          <w:szCs w:val="24"/>
          <w:lang w:val="en-US" w:eastAsia="zh-CN"/>
        </w:rPr>
        <w:t>世界</w:t>
      </w:r>
      <w:r w:rsidR="0054405D" w:rsidRPr="006C2561">
        <w:rPr>
          <w:rFonts w:ascii="Calibri" w:eastAsia="SimSun" w:hAnsi="Calibri"/>
          <w:szCs w:val="24"/>
          <w:lang w:val="en-US" w:eastAsia="zh-CN"/>
        </w:rPr>
        <w:t>电信</w:t>
      </w:r>
      <w:r w:rsidR="0054405D" w:rsidRPr="006C2561">
        <w:rPr>
          <w:rFonts w:ascii="Calibri" w:eastAsia="SimSun" w:hAnsi="Calibri" w:hint="eastAsia"/>
          <w:szCs w:val="24"/>
          <w:lang w:val="en-US" w:eastAsia="zh-CN"/>
        </w:rPr>
        <w:t>发展</w:t>
      </w:r>
      <w:r w:rsidRPr="006C2561">
        <w:rPr>
          <w:rFonts w:ascii="Calibri" w:eastAsia="SimSun" w:hAnsi="Calibri"/>
          <w:szCs w:val="24"/>
          <w:lang w:val="en-US" w:eastAsia="zh-CN"/>
        </w:rPr>
        <w:t>大会（</w:t>
      </w:r>
      <w:r w:rsidR="0054405D" w:rsidRPr="006C2561">
        <w:rPr>
          <w:rFonts w:ascii="Calibri" w:eastAsia="SimSun" w:hAnsi="Calibri"/>
          <w:lang w:eastAsia="zh-CN"/>
        </w:rPr>
        <w:t>WTDC-14</w:t>
      </w:r>
      <w:r w:rsidRPr="006C2561">
        <w:rPr>
          <w:rFonts w:ascii="Calibri" w:eastAsia="SimSun" w:hAnsi="Calibri"/>
          <w:szCs w:val="24"/>
          <w:lang w:val="en-US" w:eastAsia="zh-CN"/>
        </w:rPr>
        <w:t>）</w:t>
      </w:r>
      <w:r w:rsidR="00455A89" w:rsidRPr="006C2561">
        <w:rPr>
          <w:rFonts w:ascii="Calibri" w:eastAsia="SimSun" w:hAnsi="Calibri" w:hint="eastAsia"/>
          <w:szCs w:val="24"/>
          <w:lang w:val="en-US" w:eastAsia="zh-CN"/>
        </w:rPr>
        <w:t>修订</w:t>
      </w:r>
      <w:r w:rsidR="00455A89" w:rsidRPr="006C2561">
        <w:rPr>
          <w:rFonts w:ascii="Calibri" w:eastAsia="SimSun" w:hAnsi="Calibri"/>
          <w:szCs w:val="24"/>
          <w:lang w:val="en-US" w:eastAsia="zh-CN"/>
        </w:rPr>
        <w:t>和</w:t>
      </w:r>
      <w:r w:rsidRPr="006C2561">
        <w:rPr>
          <w:rFonts w:ascii="Calibri" w:eastAsia="SimSun" w:hAnsi="Calibri"/>
          <w:szCs w:val="24"/>
          <w:lang w:val="en-US" w:eastAsia="zh-CN"/>
        </w:rPr>
        <w:t>通过了</w:t>
      </w:r>
      <w:r w:rsidR="00455A89" w:rsidRPr="006C2561">
        <w:rPr>
          <w:rFonts w:ascii="Calibri" w:eastAsia="SimSun" w:hAnsi="Calibri" w:hint="eastAsia"/>
          <w:szCs w:val="24"/>
          <w:lang w:val="en-US" w:eastAsia="zh-CN"/>
        </w:rPr>
        <w:t>第</w:t>
      </w:r>
      <w:r w:rsidR="00455A89" w:rsidRPr="006C2561">
        <w:rPr>
          <w:rFonts w:ascii="Calibri" w:eastAsia="SimSun" w:hAnsi="Calibri" w:hint="eastAsia"/>
          <w:szCs w:val="24"/>
          <w:lang w:val="en-US" w:eastAsia="zh-CN"/>
        </w:rPr>
        <w:t>71</w:t>
      </w:r>
      <w:r w:rsidR="00455A89" w:rsidRPr="006C2561">
        <w:rPr>
          <w:rFonts w:ascii="Calibri" w:eastAsia="SimSun" w:hAnsi="Calibri" w:hint="eastAsia"/>
          <w:szCs w:val="24"/>
          <w:lang w:val="en-US" w:eastAsia="zh-CN"/>
        </w:rPr>
        <w:t>号</w:t>
      </w:r>
      <w:r w:rsidRPr="006C2561">
        <w:rPr>
          <w:rFonts w:ascii="Calibri" w:eastAsia="SimSun" w:hAnsi="Calibri"/>
          <w:szCs w:val="24"/>
          <w:lang w:val="en-US" w:eastAsia="zh-CN"/>
        </w:rPr>
        <w:t>决议，</w:t>
      </w:r>
      <w:r w:rsidR="00455A89" w:rsidRPr="006C2561">
        <w:rPr>
          <w:rFonts w:ascii="Calibri" w:eastAsia="SimSun" w:hAnsi="Calibri" w:hint="eastAsia"/>
          <w:szCs w:val="24"/>
          <w:lang w:val="en-US" w:eastAsia="zh-CN"/>
        </w:rPr>
        <w:t>以便</w:t>
      </w:r>
      <w:r w:rsidR="00455A89" w:rsidRPr="006C2561">
        <w:rPr>
          <w:rFonts w:ascii="Calibri" w:eastAsia="SimSun" w:hAnsi="Calibri"/>
          <w:szCs w:val="24"/>
          <w:lang w:val="en-US" w:eastAsia="zh-CN"/>
        </w:rPr>
        <w:t>加强成员国</w:t>
      </w:r>
      <w:r w:rsidR="00455A89" w:rsidRPr="006C2561">
        <w:rPr>
          <w:rFonts w:ascii="Calibri" w:eastAsia="SimSun" w:hAnsi="Calibri" w:hint="eastAsia"/>
          <w:szCs w:val="24"/>
          <w:lang w:val="en-US" w:eastAsia="zh-CN"/>
        </w:rPr>
        <w:t>以及国际</w:t>
      </w:r>
      <w:r w:rsidR="00455A89" w:rsidRPr="006C2561">
        <w:rPr>
          <w:rFonts w:ascii="Calibri" w:eastAsia="SimSun" w:hAnsi="Calibri"/>
          <w:szCs w:val="24"/>
          <w:lang w:val="en-US" w:eastAsia="zh-CN"/>
        </w:rPr>
        <w:t>电联电信发展部学术成员</w:t>
      </w:r>
      <w:r w:rsidR="00455A89" w:rsidRPr="006C2561">
        <w:rPr>
          <w:rFonts w:ascii="Calibri" w:eastAsia="SimSun" w:hAnsi="Calibri" w:hint="eastAsia"/>
          <w:szCs w:val="24"/>
          <w:lang w:val="en-US" w:eastAsia="zh-CN"/>
        </w:rPr>
        <w:t>、</w:t>
      </w:r>
      <w:r w:rsidR="00455A89" w:rsidRPr="006C2561">
        <w:rPr>
          <w:rFonts w:ascii="Calibri" w:eastAsia="SimSun" w:hAnsi="Calibri"/>
          <w:szCs w:val="24"/>
          <w:lang w:val="en-US" w:eastAsia="zh-CN"/>
        </w:rPr>
        <w:t>部门成员</w:t>
      </w:r>
      <w:r w:rsidR="00455A89" w:rsidRPr="006C2561">
        <w:rPr>
          <w:rFonts w:ascii="Calibri" w:eastAsia="SimSun" w:hAnsi="Calibri" w:hint="eastAsia"/>
          <w:szCs w:val="24"/>
          <w:lang w:val="en-US" w:eastAsia="zh-CN"/>
        </w:rPr>
        <w:t>和</w:t>
      </w:r>
      <w:r w:rsidR="00455A89" w:rsidRPr="006C2561">
        <w:rPr>
          <w:rFonts w:ascii="Calibri" w:eastAsia="SimSun" w:hAnsi="Calibri"/>
          <w:szCs w:val="24"/>
          <w:lang w:val="en-US" w:eastAsia="zh-CN"/>
        </w:rPr>
        <w:t>部门准成员之间的合作</w:t>
      </w:r>
      <w:r w:rsidR="00455A89" w:rsidRPr="006C2561">
        <w:rPr>
          <w:rFonts w:ascii="Calibri" w:eastAsia="SimSun" w:hAnsi="Calibri" w:hint="eastAsia"/>
          <w:szCs w:val="24"/>
          <w:lang w:val="en-US" w:eastAsia="zh-CN"/>
        </w:rPr>
        <w:t>。</w:t>
      </w:r>
      <w:r w:rsidR="00455A89" w:rsidRPr="006C2561">
        <w:rPr>
          <w:rFonts w:ascii="Calibri" w:eastAsia="SimSun" w:hAnsi="Calibri" w:hint="eastAsia"/>
          <w:szCs w:val="24"/>
          <w:lang w:val="en-US" w:eastAsia="zh-CN"/>
        </w:rPr>
        <w:t>W</w:t>
      </w:r>
      <w:r w:rsidR="00455A89" w:rsidRPr="006C2561">
        <w:rPr>
          <w:rFonts w:ascii="Calibri" w:eastAsia="SimSun" w:hAnsi="Calibri"/>
          <w:szCs w:val="24"/>
          <w:lang w:val="en-US" w:eastAsia="zh-CN"/>
        </w:rPr>
        <w:t>TDC-14</w:t>
      </w:r>
      <w:r w:rsidR="00455A89" w:rsidRPr="006C2561">
        <w:rPr>
          <w:rFonts w:ascii="Calibri" w:eastAsia="SimSun" w:hAnsi="Calibri" w:hint="eastAsia"/>
          <w:szCs w:val="24"/>
          <w:lang w:val="en-US" w:eastAsia="zh-CN"/>
        </w:rPr>
        <w:t>也</w:t>
      </w:r>
      <w:r w:rsidR="00455A89" w:rsidRPr="006C2561">
        <w:rPr>
          <w:rFonts w:ascii="Calibri" w:eastAsia="SimSun" w:hAnsi="Calibri"/>
          <w:szCs w:val="24"/>
          <w:lang w:val="en-US" w:eastAsia="zh-CN"/>
        </w:rPr>
        <w:t>认识到了与私营部门</w:t>
      </w:r>
      <w:r w:rsidR="00455A89" w:rsidRPr="006C2561">
        <w:rPr>
          <w:rFonts w:ascii="Calibri" w:eastAsia="SimSun" w:hAnsi="Calibri" w:hint="eastAsia"/>
          <w:szCs w:val="24"/>
          <w:lang w:val="en-US" w:eastAsia="zh-CN"/>
        </w:rPr>
        <w:t>开展</w:t>
      </w:r>
      <w:r w:rsidR="00455A89" w:rsidRPr="006C2561">
        <w:rPr>
          <w:rFonts w:ascii="Calibri" w:eastAsia="SimSun" w:hAnsi="Calibri"/>
          <w:szCs w:val="24"/>
          <w:lang w:val="en-US" w:eastAsia="zh-CN"/>
        </w:rPr>
        <w:t>协作的重要性，</w:t>
      </w:r>
      <w:r w:rsidR="00455A89" w:rsidRPr="006C2561">
        <w:rPr>
          <w:rFonts w:ascii="Calibri" w:eastAsia="SimSun" w:hAnsi="Calibri" w:hint="eastAsia"/>
          <w:szCs w:val="24"/>
          <w:lang w:val="en-US" w:eastAsia="zh-CN"/>
        </w:rPr>
        <w:t>它们对</w:t>
      </w:r>
      <w:r w:rsidR="00455A89" w:rsidRPr="006C2561">
        <w:rPr>
          <w:rFonts w:ascii="Calibri" w:eastAsia="SimSun" w:hAnsi="Calibri"/>
          <w:szCs w:val="24"/>
          <w:lang w:val="en-US" w:eastAsia="zh-CN"/>
        </w:rPr>
        <w:t>成功达成</w:t>
      </w:r>
      <w:r w:rsidR="00455A89" w:rsidRPr="006C2561">
        <w:rPr>
          <w:rFonts w:ascii="Calibri" w:eastAsia="SimSun" w:hAnsi="Calibri" w:hint="eastAsia"/>
          <w:szCs w:val="24"/>
          <w:lang w:val="en-US" w:eastAsia="zh-CN"/>
        </w:rPr>
        <w:t>ITU-D</w:t>
      </w:r>
      <w:r w:rsidR="00455A89" w:rsidRPr="006C2561">
        <w:rPr>
          <w:rFonts w:ascii="Calibri" w:eastAsia="SimSun" w:hAnsi="Calibri" w:hint="eastAsia"/>
          <w:szCs w:val="24"/>
          <w:lang w:val="en-US" w:eastAsia="zh-CN"/>
        </w:rPr>
        <w:t>的任务</w:t>
      </w:r>
      <w:r w:rsidR="00455A89" w:rsidRPr="006C2561">
        <w:rPr>
          <w:rFonts w:ascii="Calibri" w:eastAsia="SimSun" w:hAnsi="Calibri"/>
          <w:szCs w:val="24"/>
          <w:lang w:val="en-US" w:eastAsia="zh-CN"/>
        </w:rPr>
        <w:t>目标至关重要，这些</w:t>
      </w:r>
      <w:r w:rsidR="00455A89" w:rsidRPr="006C2561">
        <w:rPr>
          <w:rFonts w:ascii="Calibri" w:eastAsia="SimSun" w:hAnsi="Calibri" w:hint="eastAsia"/>
          <w:szCs w:val="24"/>
          <w:lang w:val="en-US" w:eastAsia="zh-CN"/>
        </w:rPr>
        <w:t>均已</w:t>
      </w:r>
      <w:r w:rsidR="00455A89" w:rsidRPr="006C2561">
        <w:rPr>
          <w:rFonts w:ascii="Calibri" w:eastAsia="SimSun" w:hAnsi="Calibri"/>
          <w:szCs w:val="24"/>
          <w:lang w:val="en-US" w:eastAsia="zh-CN"/>
        </w:rPr>
        <w:t>体现在大会期间通过的输出成果和决议</w:t>
      </w:r>
      <w:r w:rsidR="00455A89" w:rsidRPr="006C2561">
        <w:rPr>
          <w:rFonts w:ascii="Calibri" w:eastAsia="SimSun" w:hAnsi="Calibri" w:hint="eastAsia"/>
          <w:szCs w:val="24"/>
          <w:lang w:val="en-US" w:eastAsia="zh-CN"/>
        </w:rPr>
        <w:t>中</w:t>
      </w:r>
      <w:r w:rsidR="00455A89" w:rsidRPr="006C2561">
        <w:rPr>
          <w:rFonts w:ascii="Calibri" w:eastAsia="SimSun" w:hAnsi="Calibri"/>
          <w:szCs w:val="24"/>
          <w:lang w:val="en-US" w:eastAsia="zh-CN"/>
        </w:rPr>
        <w:t>。</w:t>
      </w:r>
    </w:p>
    <w:p w14:paraId="7F6FCDEE" w14:textId="70C8B6DD" w:rsidR="00B16469" w:rsidRPr="006C2561" w:rsidRDefault="00B16469" w:rsidP="00B16469">
      <w:pPr>
        <w:pStyle w:val="PlainText"/>
        <w:spacing w:before="120"/>
        <w:ind w:firstLineChars="200" w:firstLine="480"/>
        <w:rPr>
          <w:rFonts w:eastAsia="SimSun"/>
          <w:sz w:val="24"/>
          <w:szCs w:val="24"/>
        </w:rPr>
      </w:pPr>
      <w:r w:rsidRPr="006C2561">
        <w:rPr>
          <w:rFonts w:eastAsia="SimSun" w:hint="eastAsia"/>
          <w:sz w:val="24"/>
          <w:szCs w:val="24"/>
        </w:rPr>
        <w:t>此外，</w:t>
      </w:r>
      <w:r w:rsidRPr="006C2561">
        <w:rPr>
          <w:rFonts w:eastAsia="SimSun" w:hint="eastAsia"/>
          <w:sz w:val="24"/>
          <w:szCs w:val="24"/>
        </w:rPr>
        <w:t>2014</w:t>
      </w:r>
      <w:r w:rsidRPr="006C2561">
        <w:rPr>
          <w:rFonts w:eastAsia="SimSun" w:hint="eastAsia"/>
          <w:sz w:val="24"/>
          <w:szCs w:val="24"/>
        </w:rPr>
        <w:t>年全权代表大会（</w:t>
      </w:r>
      <w:r w:rsidRPr="006C2561">
        <w:rPr>
          <w:rFonts w:eastAsia="SimSun" w:hint="eastAsia"/>
          <w:sz w:val="24"/>
          <w:szCs w:val="24"/>
        </w:rPr>
        <w:t>PP-14</w:t>
      </w:r>
      <w:r w:rsidRPr="006C2561">
        <w:rPr>
          <w:rFonts w:eastAsia="SimSun" w:hint="eastAsia"/>
          <w:sz w:val="24"/>
          <w:szCs w:val="24"/>
        </w:rPr>
        <w:t>）通过了若干与全体成员有关的决议，例如第</w:t>
      </w:r>
      <w:r w:rsidRPr="006C2561">
        <w:rPr>
          <w:rFonts w:eastAsia="SimSun" w:hint="eastAsia"/>
          <w:sz w:val="24"/>
          <w:szCs w:val="24"/>
        </w:rPr>
        <w:t>187</w:t>
      </w:r>
      <w:r w:rsidRPr="006C2561">
        <w:rPr>
          <w:rFonts w:eastAsia="SimSun" w:hint="eastAsia"/>
          <w:sz w:val="24"/>
          <w:szCs w:val="24"/>
        </w:rPr>
        <w:t>号决议，它责成理事会通过理事会财务与人力资源工作组（</w:t>
      </w:r>
      <w:r w:rsidRPr="006C2561">
        <w:rPr>
          <w:rFonts w:eastAsia="SimSun" w:hint="eastAsia"/>
          <w:sz w:val="24"/>
          <w:szCs w:val="24"/>
        </w:rPr>
        <w:t>CWG-FHR</w:t>
      </w:r>
      <w:r w:rsidRPr="006C2561">
        <w:rPr>
          <w:rFonts w:eastAsia="SimSun" w:hint="eastAsia"/>
          <w:sz w:val="24"/>
          <w:szCs w:val="24"/>
        </w:rPr>
        <w:t>）审查部门成员资格，以及第</w:t>
      </w:r>
      <w:r w:rsidRPr="006C2561">
        <w:rPr>
          <w:rFonts w:eastAsia="SimSun" w:hint="eastAsia"/>
          <w:sz w:val="24"/>
          <w:szCs w:val="24"/>
        </w:rPr>
        <w:t>158</w:t>
      </w:r>
      <w:r w:rsidRPr="006C2561">
        <w:rPr>
          <w:rFonts w:eastAsia="SimSun" w:hint="eastAsia"/>
          <w:sz w:val="24"/>
          <w:szCs w:val="24"/>
        </w:rPr>
        <w:t>号决议</w:t>
      </w:r>
      <w:r w:rsidRPr="006C2561">
        <w:rPr>
          <w:rFonts w:eastAsia="SimSun" w:hint="eastAsia"/>
          <w:sz w:val="24"/>
          <w:szCs w:val="24"/>
        </w:rPr>
        <w:t xml:space="preserve"> </w:t>
      </w:r>
      <w:r w:rsidRPr="006C2561">
        <w:rPr>
          <w:rFonts w:eastAsia="SimSun" w:hint="eastAsia"/>
          <w:sz w:val="24"/>
          <w:szCs w:val="24"/>
        </w:rPr>
        <w:t>它涉及为电联增加额外的收入。</w:t>
      </w:r>
    </w:p>
    <w:p w14:paraId="29225521" w14:textId="68F4D05F" w:rsidR="007C4C97" w:rsidRPr="006C2561" w:rsidRDefault="007C4C97" w:rsidP="007C4C97">
      <w:pPr>
        <w:ind w:firstLineChars="200" w:firstLine="480"/>
        <w:rPr>
          <w:rFonts w:ascii="Calibri" w:eastAsia="SimSun" w:hAnsi="Calibri"/>
          <w:szCs w:val="24"/>
          <w:lang w:val="en-US" w:eastAsia="zh-CN"/>
        </w:rPr>
      </w:pPr>
      <w:r w:rsidRPr="006C2561">
        <w:rPr>
          <w:rFonts w:ascii="Calibri" w:eastAsia="SimSun" w:hAnsi="Calibri"/>
          <w:szCs w:val="24"/>
          <w:lang w:val="en-US" w:eastAsia="zh-CN"/>
        </w:rPr>
        <w:t>具体而言，第</w:t>
      </w:r>
      <w:r w:rsidRPr="006C2561">
        <w:rPr>
          <w:rFonts w:ascii="Calibri" w:eastAsia="SimSun" w:hAnsi="Calibri"/>
          <w:szCs w:val="24"/>
          <w:lang w:val="en-US" w:eastAsia="zh-CN"/>
        </w:rPr>
        <w:t>187</w:t>
      </w:r>
      <w:r w:rsidRPr="006C2561">
        <w:rPr>
          <w:rFonts w:ascii="Calibri" w:eastAsia="SimSun" w:hAnsi="Calibri"/>
          <w:szCs w:val="24"/>
          <w:lang w:val="en-US" w:eastAsia="zh-CN"/>
        </w:rPr>
        <w:t>号决议</w:t>
      </w:r>
      <w:r w:rsidR="00B16469" w:rsidRPr="006C2561">
        <w:rPr>
          <w:rFonts w:ascii="Calibri" w:eastAsia="SimSun" w:hAnsi="Calibri" w:hint="eastAsia"/>
          <w:szCs w:val="24"/>
          <w:lang w:val="en-US" w:eastAsia="zh-CN"/>
        </w:rPr>
        <w:t>（</w:t>
      </w:r>
      <w:r w:rsidR="00B16469" w:rsidRPr="006C2561">
        <w:rPr>
          <w:rFonts w:ascii="Calibri" w:eastAsia="SimSun" w:hAnsi="Calibri" w:hint="eastAsia"/>
          <w:szCs w:val="24"/>
          <w:lang w:val="en-US" w:eastAsia="zh-CN"/>
        </w:rPr>
        <w:t>2014</w:t>
      </w:r>
      <w:r w:rsidR="00B16469" w:rsidRPr="006C2561">
        <w:rPr>
          <w:rFonts w:ascii="Calibri" w:eastAsia="SimSun" w:hAnsi="Calibri" w:hint="eastAsia"/>
          <w:szCs w:val="24"/>
          <w:lang w:val="en-US" w:eastAsia="zh-CN"/>
        </w:rPr>
        <w:t>年，韩国釜山）责成</w:t>
      </w:r>
      <w:r w:rsidRPr="006C2561">
        <w:rPr>
          <w:rFonts w:ascii="Calibri" w:eastAsia="SimSun" w:hAnsi="Calibri"/>
          <w:szCs w:val="24"/>
          <w:lang w:val="en-US" w:eastAsia="zh-CN"/>
        </w:rPr>
        <w:t>理事会：审议现有结构、效益和定价方法、权利和义务的实际应用、现行的费用减免标准；为正副主席和研</w:t>
      </w:r>
      <w:r w:rsidR="00B16469" w:rsidRPr="006C2561">
        <w:rPr>
          <w:rFonts w:ascii="Calibri" w:eastAsia="SimSun" w:hAnsi="Calibri"/>
          <w:szCs w:val="24"/>
          <w:lang w:val="en-US" w:eastAsia="zh-CN"/>
        </w:rPr>
        <w:t>究组顾问制定导则并开展培训；</w:t>
      </w:r>
      <w:r w:rsidR="00B16469" w:rsidRPr="006C2561">
        <w:rPr>
          <w:rFonts w:ascii="Calibri" w:eastAsia="SimSun" w:hAnsi="Calibri" w:hint="eastAsia"/>
          <w:szCs w:val="24"/>
          <w:lang w:val="en-US" w:eastAsia="zh-CN"/>
        </w:rPr>
        <w:t>以及</w:t>
      </w:r>
      <w:r w:rsidR="00B16469" w:rsidRPr="006C2561">
        <w:rPr>
          <w:rFonts w:ascii="Calibri" w:eastAsia="SimSun" w:hAnsi="Calibri"/>
          <w:szCs w:val="24"/>
          <w:lang w:val="en-US" w:eastAsia="zh-CN"/>
        </w:rPr>
        <w:t>研究设立新的非盈利实体参与类别的</w:t>
      </w:r>
      <w:r w:rsidR="00B16469" w:rsidRPr="006C2561">
        <w:rPr>
          <w:rFonts w:ascii="Calibri" w:eastAsia="SimSun" w:hAnsi="Calibri" w:hint="eastAsia"/>
          <w:szCs w:val="24"/>
          <w:lang w:val="en-US" w:eastAsia="zh-CN"/>
        </w:rPr>
        <w:t>可能</w:t>
      </w:r>
      <w:r w:rsidRPr="006C2561">
        <w:rPr>
          <w:rFonts w:ascii="Calibri" w:eastAsia="SimSun" w:hAnsi="Calibri"/>
          <w:szCs w:val="24"/>
          <w:lang w:val="en-US" w:eastAsia="zh-CN"/>
        </w:rPr>
        <w:t>性。决议进一步责成理事会与全体成员制定全面的磋商战略，以确保所有观点均得到充分审议。</w:t>
      </w:r>
    </w:p>
    <w:p w14:paraId="4754D98E" w14:textId="4CBD647D" w:rsidR="00B16469" w:rsidRPr="006C2561" w:rsidRDefault="00B16469" w:rsidP="00B16469">
      <w:pPr>
        <w:snapToGrid w:val="0"/>
        <w:ind w:firstLineChars="200" w:firstLine="480"/>
        <w:rPr>
          <w:rFonts w:ascii="Calibri" w:eastAsia="SimSun" w:hAnsi="Calibri"/>
          <w:szCs w:val="24"/>
          <w:lang w:eastAsia="zh-CN"/>
        </w:rPr>
      </w:pPr>
      <w:bookmarkStart w:id="7" w:name="OLE_LINK3"/>
      <w:bookmarkStart w:id="8" w:name="OLE_LINK4"/>
      <w:r w:rsidRPr="006C2561">
        <w:rPr>
          <w:rFonts w:ascii="Calibri" w:eastAsia="SimSun" w:hAnsi="Calibri" w:hint="eastAsia"/>
          <w:szCs w:val="24"/>
          <w:lang w:eastAsia="zh-CN"/>
        </w:rPr>
        <w:lastRenderedPageBreak/>
        <w:t>根据</w:t>
      </w:r>
      <w:r w:rsidRPr="006C2561">
        <w:rPr>
          <w:rFonts w:ascii="Calibri" w:eastAsia="SimSun" w:hAnsi="Calibri" w:hint="eastAsia"/>
          <w:szCs w:val="24"/>
          <w:lang w:eastAsia="zh-CN"/>
        </w:rPr>
        <w:t>2016</w:t>
      </w:r>
      <w:r w:rsidRPr="006C2561">
        <w:rPr>
          <w:rFonts w:ascii="Calibri" w:eastAsia="SimSun" w:hAnsi="Calibri" w:hint="eastAsia"/>
          <w:szCs w:val="24"/>
          <w:lang w:eastAsia="zh-CN"/>
        </w:rPr>
        <w:t>年理事会的要求，</w:t>
      </w:r>
      <w:r w:rsidRPr="006C2561">
        <w:rPr>
          <w:rFonts w:ascii="Calibri" w:eastAsia="SimSun" w:hAnsi="Calibri" w:hint="eastAsia"/>
          <w:szCs w:val="24"/>
          <w:lang w:eastAsia="zh-CN"/>
        </w:rPr>
        <w:t>CWG-FHR</w:t>
      </w:r>
      <w:r w:rsidRPr="006C2561">
        <w:rPr>
          <w:rFonts w:ascii="Calibri" w:eastAsia="SimSun" w:hAnsi="Calibri" w:hint="eastAsia"/>
          <w:szCs w:val="24"/>
          <w:lang w:eastAsia="zh-CN"/>
        </w:rPr>
        <w:t>继续审查部门成员、部门准成员和学术成员的参与情况，并将报告给</w:t>
      </w:r>
      <w:r w:rsidRPr="006C2561">
        <w:rPr>
          <w:rFonts w:ascii="Calibri" w:eastAsia="SimSun" w:hAnsi="Calibri" w:hint="eastAsia"/>
          <w:szCs w:val="24"/>
          <w:lang w:eastAsia="zh-CN"/>
        </w:rPr>
        <w:t>2017</w:t>
      </w:r>
      <w:r w:rsidRPr="006C2561">
        <w:rPr>
          <w:rFonts w:ascii="Calibri" w:eastAsia="SimSun" w:hAnsi="Calibri" w:hint="eastAsia"/>
          <w:szCs w:val="24"/>
          <w:lang w:eastAsia="zh-CN"/>
        </w:rPr>
        <w:t>年理事会。</w:t>
      </w:r>
      <w:r w:rsidRPr="006C2561">
        <w:rPr>
          <w:rFonts w:ascii="Calibri" w:eastAsia="SimSun" w:hAnsi="Calibri" w:hint="eastAsia"/>
          <w:szCs w:val="24"/>
          <w:lang w:eastAsia="zh-CN"/>
        </w:rPr>
        <w:t>CWG-FHR</w:t>
      </w:r>
      <w:r w:rsidRPr="006C2561">
        <w:rPr>
          <w:rFonts w:ascii="Calibri" w:eastAsia="SimSun" w:hAnsi="Calibri" w:hint="eastAsia"/>
          <w:szCs w:val="24"/>
          <w:lang w:eastAsia="zh-CN"/>
        </w:rPr>
        <w:t>主席给</w:t>
      </w:r>
      <w:r w:rsidRPr="006C2561">
        <w:rPr>
          <w:rFonts w:ascii="Calibri" w:eastAsia="SimSun" w:hAnsi="Calibri" w:hint="eastAsia"/>
          <w:szCs w:val="24"/>
          <w:lang w:eastAsia="zh-CN"/>
        </w:rPr>
        <w:t>2017</w:t>
      </w:r>
      <w:r w:rsidRPr="006C2561">
        <w:rPr>
          <w:rFonts w:ascii="Calibri" w:eastAsia="SimSun" w:hAnsi="Calibri" w:hint="eastAsia"/>
          <w:szCs w:val="24"/>
          <w:lang w:eastAsia="zh-CN"/>
        </w:rPr>
        <w:t>年理事会的报告包括分析和建议，特别是关于成员费用减免的主题</w:t>
      </w:r>
      <w:r w:rsidRPr="006C2561">
        <w:rPr>
          <w:rStyle w:val="FootnoteReference"/>
          <w:rFonts w:ascii="Calibri" w:eastAsia="SimSun" w:hAnsi="Calibri"/>
          <w:szCs w:val="24"/>
        </w:rPr>
        <w:footnoteReference w:id="1"/>
      </w:r>
      <w:r w:rsidRPr="006C2561">
        <w:rPr>
          <w:rFonts w:ascii="Calibri" w:eastAsia="SimSun" w:hAnsi="Calibri" w:hint="eastAsia"/>
          <w:szCs w:val="24"/>
          <w:lang w:eastAsia="zh-CN"/>
        </w:rPr>
        <w:t>以及中小企业（</w:t>
      </w:r>
      <w:r w:rsidRPr="006C2561">
        <w:rPr>
          <w:rFonts w:ascii="Calibri" w:eastAsia="SimSun" w:hAnsi="Calibri" w:hint="eastAsia"/>
          <w:szCs w:val="24"/>
          <w:lang w:eastAsia="zh-CN"/>
        </w:rPr>
        <w:t>SME</w:t>
      </w:r>
      <w:r w:rsidRPr="006C2561">
        <w:rPr>
          <w:rFonts w:ascii="Calibri" w:eastAsia="SimSun" w:hAnsi="Calibri" w:hint="eastAsia"/>
          <w:szCs w:val="24"/>
          <w:lang w:eastAsia="zh-CN"/>
        </w:rPr>
        <w:t>）参与国际电联工作的主题</w:t>
      </w:r>
      <w:r w:rsidRPr="006C2561">
        <w:rPr>
          <w:rStyle w:val="FootnoteReference"/>
          <w:rFonts w:ascii="Calibri" w:eastAsia="SimSun" w:hAnsi="Calibri"/>
          <w:szCs w:val="24"/>
        </w:rPr>
        <w:footnoteReference w:id="2"/>
      </w:r>
      <w:r w:rsidRPr="006C2561">
        <w:rPr>
          <w:rFonts w:ascii="Calibri" w:eastAsia="SimSun" w:hAnsi="Calibri" w:hint="eastAsia"/>
          <w:szCs w:val="24"/>
          <w:lang w:eastAsia="zh-CN"/>
        </w:rPr>
        <w:t>。</w:t>
      </w:r>
    </w:p>
    <w:bookmarkEnd w:id="7"/>
    <w:bookmarkEnd w:id="8"/>
    <w:p w14:paraId="0AE247FD" w14:textId="7CE791BA" w:rsidR="007C4C97" w:rsidRPr="006C2561" w:rsidRDefault="007C4C97" w:rsidP="007C4C97">
      <w:pPr>
        <w:ind w:firstLineChars="200" w:firstLine="480"/>
        <w:rPr>
          <w:rFonts w:ascii="Calibri" w:eastAsia="SimSun" w:hAnsi="Calibri"/>
          <w:szCs w:val="24"/>
          <w:lang w:val="en-US" w:eastAsia="zh-CN"/>
        </w:rPr>
      </w:pPr>
      <w:r w:rsidRPr="006C2561">
        <w:rPr>
          <w:rFonts w:ascii="Calibri" w:eastAsia="SimSun" w:hAnsi="Calibri"/>
          <w:szCs w:val="24"/>
          <w:lang w:val="en-US" w:eastAsia="zh-CN"/>
        </w:rPr>
        <w:t>PP-14</w:t>
      </w:r>
      <w:r w:rsidRPr="006C2561">
        <w:rPr>
          <w:rFonts w:ascii="Calibri" w:eastAsia="SimSun" w:hAnsi="Calibri"/>
          <w:szCs w:val="24"/>
          <w:lang w:val="en-US" w:eastAsia="zh-CN"/>
        </w:rPr>
        <w:t>还对有关学术成员的第</w:t>
      </w:r>
      <w:r w:rsidRPr="006C2561">
        <w:rPr>
          <w:rFonts w:ascii="Calibri" w:eastAsia="SimSun" w:hAnsi="Calibri"/>
          <w:szCs w:val="24"/>
          <w:lang w:val="en-US" w:eastAsia="zh-CN"/>
        </w:rPr>
        <w:t>169</w:t>
      </w:r>
      <w:r w:rsidRPr="006C2561">
        <w:rPr>
          <w:rFonts w:ascii="Calibri" w:eastAsia="SimSun" w:hAnsi="Calibri"/>
          <w:szCs w:val="24"/>
          <w:lang w:val="en-US" w:eastAsia="zh-CN"/>
        </w:rPr>
        <w:t>号决议进行</w:t>
      </w:r>
      <w:r w:rsidR="00D123C7" w:rsidRPr="006C2561">
        <w:rPr>
          <w:rFonts w:ascii="Calibri" w:eastAsia="SimSun" w:hAnsi="Calibri" w:hint="eastAsia"/>
          <w:szCs w:val="24"/>
          <w:lang w:val="en-US" w:eastAsia="zh-CN"/>
        </w:rPr>
        <w:t>了</w:t>
      </w:r>
      <w:r w:rsidRPr="006C2561">
        <w:rPr>
          <w:rFonts w:ascii="Calibri" w:eastAsia="SimSun" w:hAnsi="Calibri"/>
          <w:szCs w:val="24"/>
          <w:lang w:val="en-US" w:eastAsia="zh-CN"/>
        </w:rPr>
        <w:t>重要修订，学术成员通过单一会费将可参加所有部门工作，</w:t>
      </w:r>
      <w:r w:rsidR="00D123C7" w:rsidRPr="006C2561">
        <w:rPr>
          <w:rFonts w:ascii="Calibri" w:eastAsia="SimSun" w:hAnsi="Calibri" w:hint="eastAsia"/>
          <w:szCs w:val="24"/>
          <w:lang w:val="en-US" w:eastAsia="zh-CN"/>
        </w:rPr>
        <w:t>以及</w:t>
      </w:r>
      <w:r w:rsidR="00D123C7" w:rsidRPr="006C2561">
        <w:rPr>
          <w:rFonts w:ascii="Calibri" w:eastAsia="SimSun" w:hAnsi="Calibri"/>
          <w:szCs w:val="24"/>
          <w:lang w:val="en-US" w:eastAsia="zh-CN"/>
        </w:rPr>
        <w:t>全球和</w:t>
      </w:r>
      <w:r w:rsidR="00D123C7" w:rsidRPr="006C2561">
        <w:rPr>
          <w:rFonts w:ascii="Calibri" w:eastAsia="SimSun" w:hAnsi="Calibri" w:hint="eastAsia"/>
          <w:szCs w:val="24"/>
          <w:lang w:val="en-US" w:eastAsia="zh-CN"/>
        </w:rPr>
        <w:t>区域</w:t>
      </w:r>
      <w:r w:rsidRPr="006C2561">
        <w:rPr>
          <w:rFonts w:ascii="Calibri" w:eastAsia="SimSun" w:hAnsi="Calibri"/>
          <w:szCs w:val="24"/>
          <w:lang w:val="en-US" w:eastAsia="zh-CN"/>
        </w:rPr>
        <w:t>会议、研讨会及国际电联的活动，但不包括制定协定的会议和理事会。</w:t>
      </w:r>
      <w:r w:rsidRPr="006C2561">
        <w:rPr>
          <w:rFonts w:ascii="Calibri" w:eastAsia="SimSun" w:hAnsi="Calibri"/>
          <w:szCs w:val="24"/>
          <w:lang w:val="en-US" w:eastAsia="zh-CN"/>
        </w:rPr>
        <w:t>PP-14</w:t>
      </w:r>
      <w:r w:rsidR="00D123C7" w:rsidRPr="006C2561">
        <w:rPr>
          <w:rFonts w:ascii="Calibri" w:eastAsia="SimSun" w:hAnsi="Calibri"/>
          <w:szCs w:val="24"/>
          <w:lang w:val="en-US" w:eastAsia="zh-CN"/>
        </w:rPr>
        <w:t>进一步</w:t>
      </w:r>
      <w:r w:rsidR="00D123C7" w:rsidRPr="006C2561">
        <w:rPr>
          <w:rFonts w:ascii="Calibri" w:eastAsia="SimSun" w:hAnsi="Calibri" w:hint="eastAsia"/>
          <w:szCs w:val="24"/>
          <w:lang w:val="en-US" w:eastAsia="zh-CN"/>
        </w:rPr>
        <w:t>责成</w:t>
      </w:r>
      <w:r w:rsidRPr="006C2561">
        <w:rPr>
          <w:rFonts w:ascii="Calibri" w:eastAsia="SimSun" w:hAnsi="Calibri"/>
          <w:szCs w:val="24"/>
          <w:lang w:val="en-US" w:eastAsia="zh-CN"/>
        </w:rPr>
        <w:t>部门会议</w:t>
      </w:r>
      <w:r w:rsidRPr="006C2561">
        <w:rPr>
          <w:rFonts w:ascii="Calibri" w:eastAsia="SimSun" w:hAnsi="Calibri"/>
          <w:szCs w:val="24"/>
          <w:lang w:val="en-US" w:eastAsia="zh-CN"/>
        </w:rPr>
        <w:t>/</w:t>
      </w:r>
      <w:r w:rsidR="00D123C7" w:rsidRPr="006C2561">
        <w:rPr>
          <w:rFonts w:ascii="Calibri" w:eastAsia="SimSun" w:hAnsi="Calibri"/>
          <w:szCs w:val="24"/>
          <w:lang w:val="en-US" w:eastAsia="zh-CN"/>
        </w:rPr>
        <w:t>大会</w:t>
      </w:r>
      <w:r w:rsidR="00D123C7" w:rsidRPr="006C2561">
        <w:rPr>
          <w:rFonts w:ascii="Calibri" w:eastAsia="SimSun" w:hAnsi="Calibri" w:hint="eastAsia"/>
          <w:szCs w:val="24"/>
          <w:lang w:val="en-US" w:eastAsia="zh-CN"/>
        </w:rPr>
        <w:t>要求</w:t>
      </w:r>
      <w:r w:rsidRPr="006C2561">
        <w:rPr>
          <w:rFonts w:ascii="Calibri" w:eastAsia="SimSun" w:hAnsi="Calibri"/>
          <w:szCs w:val="24"/>
          <w:lang w:val="en-US" w:eastAsia="zh-CN"/>
        </w:rPr>
        <w:t>各自</w:t>
      </w:r>
      <w:r w:rsidR="00D123C7" w:rsidRPr="006C2561">
        <w:rPr>
          <w:rFonts w:ascii="Calibri" w:eastAsia="SimSun" w:hAnsi="Calibri" w:hint="eastAsia"/>
          <w:szCs w:val="24"/>
          <w:lang w:val="en-US" w:eastAsia="zh-CN"/>
        </w:rPr>
        <w:t>的顾问</w:t>
      </w:r>
      <w:r w:rsidRPr="006C2561">
        <w:rPr>
          <w:rFonts w:ascii="Calibri" w:eastAsia="SimSun" w:hAnsi="Calibri"/>
          <w:szCs w:val="24"/>
          <w:lang w:val="en-US" w:eastAsia="zh-CN"/>
        </w:rPr>
        <w:t>组进一步研究是否需要其他措施。</w:t>
      </w:r>
    </w:p>
    <w:p w14:paraId="5EF162E4" w14:textId="55FEE2EE" w:rsidR="00D123C7" w:rsidRPr="006C2561" w:rsidRDefault="00D123C7" w:rsidP="00D123C7">
      <w:pPr>
        <w:pStyle w:val="PlainText"/>
        <w:spacing w:before="120"/>
        <w:ind w:firstLineChars="200" w:firstLine="480"/>
        <w:rPr>
          <w:rFonts w:eastAsia="SimSun"/>
          <w:sz w:val="24"/>
          <w:szCs w:val="24"/>
        </w:rPr>
      </w:pPr>
      <w:r w:rsidRPr="006C2561">
        <w:rPr>
          <w:rFonts w:eastAsia="SimSun" w:hint="eastAsia"/>
          <w:sz w:val="24"/>
          <w:szCs w:val="24"/>
        </w:rPr>
        <w:t>关于第</w:t>
      </w:r>
      <w:r w:rsidRPr="006C2561">
        <w:rPr>
          <w:rFonts w:eastAsia="SimSun" w:hint="eastAsia"/>
          <w:sz w:val="24"/>
          <w:szCs w:val="24"/>
        </w:rPr>
        <w:t>158</w:t>
      </w:r>
      <w:r w:rsidRPr="006C2561">
        <w:rPr>
          <w:rFonts w:eastAsia="SimSun" w:hint="eastAsia"/>
          <w:sz w:val="24"/>
          <w:szCs w:val="24"/>
        </w:rPr>
        <w:t>号决议的落实情况，</w:t>
      </w:r>
      <w:r w:rsidRPr="006C2561">
        <w:rPr>
          <w:rFonts w:eastAsia="SimSun" w:hint="eastAsia"/>
          <w:sz w:val="24"/>
          <w:szCs w:val="24"/>
        </w:rPr>
        <w:t>CWG-FHR</w:t>
      </w:r>
      <w:r w:rsidRPr="006C2561">
        <w:rPr>
          <w:rFonts w:eastAsia="SimSun" w:hint="eastAsia"/>
          <w:sz w:val="24"/>
          <w:szCs w:val="24"/>
        </w:rPr>
        <w:t>审议了一份题为</w:t>
      </w:r>
      <w:r w:rsidR="006C2561" w:rsidRPr="006C2561">
        <w:rPr>
          <w:rFonts w:ascii="SimSun" w:eastAsia="SimSun" w:hAnsi="SimSun" w:hint="eastAsia"/>
          <w:sz w:val="24"/>
          <w:szCs w:val="24"/>
        </w:rPr>
        <w:t>“</w:t>
      </w:r>
      <w:r w:rsidRPr="006C2561">
        <w:rPr>
          <w:rFonts w:eastAsia="SimSun" w:hint="eastAsia"/>
          <w:sz w:val="24"/>
          <w:szCs w:val="24"/>
        </w:rPr>
        <w:t>提高国际电联财政基础的稳定性和可预测性</w:t>
      </w:r>
      <w:r w:rsidR="006C2561" w:rsidRPr="006C2561">
        <w:rPr>
          <w:rFonts w:ascii="SimSun" w:eastAsia="SimSun" w:hAnsi="SimSun" w:hint="eastAsia"/>
          <w:sz w:val="24"/>
          <w:szCs w:val="24"/>
        </w:rPr>
        <w:t>”</w:t>
      </w:r>
      <w:r w:rsidRPr="006C2561">
        <w:rPr>
          <w:rFonts w:eastAsia="SimSun" w:hint="eastAsia"/>
          <w:sz w:val="24"/>
          <w:szCs w:val="24"/>
        </w:rPr>
        <w:t>的文件</w:t>
      </w:r>
      <w:r w:rsidRPr="006C2561">
        <w:rPr>
          <w:rStyle w:val="FootnoteReference"/>
          <w:rFonts w:ascii="Calibri" w:eastAsia="SimSun" w:hAnsi="Calibri"/>
          <w:szCs w:val="24"/>
        </w:rPr>
        <w:footnoteReference w:id="3"/>
      </w:r>
      <w:r w:rsidRPr="006C2561">
        <w:rPr>
          <w:rFonts w:eastAsia="SimSun" w:hint="eastAsia"/>
          <w:sz w:val="24"/>
          <w:szCs w:val="24"/>
        </w:rPr>
        <w:t>，该文件正转交给</w:t>
      </w:r>
      <w:r w:rsidRPr="006C2561">
        <w:rPr>
          <w:rFonts w:eastAsia="SimSun" w:hint="eastAsia"/>
          <w:sz w:val="24"/>
          <w:szCs w:val="24"/>
        </w:rPr>
        <w:t>2017</w:t>
      </w:r>
      <w:r w:rsidRPr="006C2561">
        <w:rPr>
          <w:rFonts w:eastAsia="SimSun" w:hint="eastAsia"/>
          <w:sz w:val="24"/>
          <w:szCs w:val="24"/>
        </w:rPr>
        <w:t>年理事会。</w:t>
      </w:r>
    </w:p>
    <w:p w14:paraId="3CA213D5" w14:textId="7FE713D9" w:rsidR="007C4C97" w:rsidRPr="006C2561" w:rsidRDefault="007C4C97" w:rsidP="007C4C97">
      <w:pPr>
        <w:ind w:firstLineChars="200" w:firstLine="480"/>
        <w:rPr>
          <w:rFonts w:ascii="Calibri" w:eastAsia="SimSun" w:hAnsi="Calibri"/>
          <w:szCs w:val="24"/>
          <w:lang w:val="en-US" w:eastAsia="zh-CN"/>
        </w:rPr>
      </w:pPr>
      <w:r w:rsidRPr="006C2561">
        <w:rPr>
          <w:rFonts w:ascii="Calibri" w:eastAsia="SimSun" w:hAnsi="Calibri"/>
          <w:szCs w:val="24"/>
          <w:lang w:val="en-US" w:eastAsia="zh-CN"/>
        </w:rPr>
        <w:t>电信发展局将</w:t>
      </w:r>
      <w:r w:rsidR="00D123C7" w:rsidRPr="006C2561">
        <w:rPr>
          <w:rFonts w:ascii="Calibri" w:eastAsia="SimSun" w:hAnsi="Calibri" w:hint="eastAsia"/>
          <w:szCs w:val="24"/>
          <w:lang w:val="en-US" w:eastAsia="zh-CN"/>
        </w:rPr>
        <w:t>继续</w:t>
      </w:r>
      <w:r w:rsidRPr="006C2561">
        <w:rPr>
          <w:rFonts w:ascii="Calibri" w:eastAsia="SimSun" w:hAnsi="Calibri"/>
          <w:szCs w:val="24"/>
          <w:lang w:val="en-US" w:eastAsia="zh-CN"/>
        </w:rPr>
        <w:t>采取必要措施，与</w:t>
      </w:r>
      <w:r w:rsidR="00D123C7" w:rsidRPr="006C2561">
        <w:rPr>
          <w:rFonts w:ascii="Calibri" w:eastAsia="SimSun" w:hAnsi="Calibri" w:hint="eastAsia"/>
          <w:szCs w:val="24"/>
          <w:lang w:val="en-US" w:eastAsia="zh-CN"/>
        </w:rPr>
        <w:t>包括</w:t>
      </w:r>
      <w:r w:rsidRPr="006C2561">
        <w:rPr>
          <w:rFonts w:ascii="Calibri" w:eastAsia="SimSun" w:hAnsi="Calibri"/>
          <w:szCs w:val="24"/>
          <w:lang w:val="en-US" w:eastAsia="zh-CN"/>
        </w:rPr>
        <w:t>TDAG</w:t>
      </w:r>
      <w:r w:rsidRPr="006C2561">
        <w:rPr>
          <w:rFonts w:ascii="Calibri" w:eastAsia="SimSun" w:hAnsi="Calibri"/>
          <w:szCs w:val="24"/>
          <w:lang w:val="en-US" w:eastAsia="zh-CN"/>
        </w:rPr>
        <w:t>和</w:t>
      </w:r>
      <w:r w:rsidRPr="006C2561">
        <w:rPr>
          <w:rFonts w:ascii="Calibri" w:eastAsia="SimSun" w:hAnsi="Calibri"/>
          <w:szCs w:val="24"/>
          <w:lang w:val="en-US" w:eastAsia="zh-CN"/>
        </w:rPr>
        <w:t>ITU-D</w:t>
      </w:r>
      <w:r w:rsidRPr="006C2561">
        <w:rPr>
          <w:rFonts w:ascii="Calibri" w:eastAsia="SimSun" w:hAnsi="Calibri"/>
          <w:szCs w:val="24"/>
          <w:lang w:val="en-US" w:eastAsia="zh-CN"/>
        </w:rPr>
        <w:t>研究组</w:t>
      </w:r>
      <w:r w:rsidR="00D123C7" w:rsidRPr="006C2561">
        <w:rPr>
          <w:rFonts w:ascii="Calibri" w:eastAsia="SimSun" w:hAnsi="Calibri" w:hint="eastAsia"/>
          <w:szCs w:val="24"/>
          <w:lang w:val="en-US" w:eastAsia="zh-CN"/>
        </w:rPr>
        <w:t>在内的、所有相关的</w:t>
      </w:r>
      <w:r w:rsidR="00D123C7" w:rsidRPr="006C2561">
        <w:rPr>
          <w:rFonts w:ascii="Calibri" w:eastAsia="SimSun" w:hAnsi="Calibri" w:hint="eastAsia"/>
          <w:szCs w:val="24"/>
          <w:lang w:val="en-US" w:eastAsia="zh-CN"/>
        </w:rPr>
        <w:t>ITU-D</w:t>
      </w:r>
      <w:r w:rsidRPr="006C2561">
        <w:rPr>
          <w:rFonts w:ascii="Calibri" w:eastAsia="SimSun" w:hAnsi="Calibri"/>
          <w:szCs w:val="24"/>
          <w:lang w:val="en-US" w:eastAsia="zh-CN"/>
        </w:rPr>
        <w:t>会议磋商落实</w:t>
      </w:r>
      <w:r w:rsidRPr="006C2561">
        <w:rPr>
          <w:rFonts w:ascii="Calibri" w:eastAsia="SimSun" w:hAnsi="Calibri"/>
          <w:szCs w:val="24"/>
          <w:lang w:val="en-US" w:eastAsia="zh-CN"/>
        </w:rPr>
        <w:t>CWG-FHR</w:t>
      </w:r>
      <w:r w:rsidRPr="006C2561">
        <w:rPr>
          <w:rFonts w:ascii="Calibri" w:eastAsia="SimSun" w:hAnsi="Calibri"/>
          <w:szCs w:val="24"/>
          <w:lang w:val="en-US" w:eastAsia="zh-CN"/>
        </w:rPr>
        <w:t>和理事会会议的成果。</w:t>
      </w:r>
    </w:p>
    <w:p w14:paraId="6FB47B58" w14:textId="0C874781" w:rsidR="00DC69A9" w:rsidRPr="006C2561" w:rsidRDefault="00B47687" w:rsidP="00B47687">
      <w:pPr>
        <w:pStyle w:val="Heading1"/>
        <w:rPr>
          <w:rFonts w:ascii="Calibri" w:eastAsia="SimSun" w:hAnsi="Calibri"/>
          <w:bCs/>
          <w:lang w:eastAsia="ko-KR"/>
        </w:rPr>
      </w:pPr>
      <w:r w:rsidRPr="006C2561">
        <w:rPr>
          <w:rFonts w:ascii="Calibri" w:eastAsia="SimSun" w:hAnsi="Calibri" w:hint="eastAsia"/>
          <w:lang w:eastAsia="zh-CN"/>
        </w:rPr>
        <w:t>2</w:t>
      </w:r>
      <w:r w:rsidRPr="006C2561">
        <w:rPr>
          <w:rFonts w:ascii="Calibri" w:eastAsia="SimSun" w:hAnsi="Calibri"/>
          <w:lang w:eastAsia="zh-CN"/>
        </w:rPr>
        <w:tab/>
      </w:r>
      <w:r w:rsidR="007C4C97" w:rsidRPr="006C2561">
        <w:rPr>
          <w:rFonts w:ascii="Calibri" w:eastAsia="SimSun" w:hAnsi="Calibri" w:hint="eastAsia"/>
          <w:lang w:eastAsia="zh-CN"/>
        </w:rPr>
        <w:t>战略</w:t>
      </w:r>
      <w:r w:rsidR="007C4C97" w:rsidRPr="006C2561">
        <w:rPr>
          <w:rFonts w:ascii="Calibri" w:eastAsia="SimSun" w:hAnsi="Calibri"/>
          <w:lang w:eastAsia="zh-CN"/>
        </w:rPr>
        <w:t>目标</w:t>
      </w:r>
    </w:p>
    <w:p w14:paraId="2635C915" w14:textId="60D5DCBE" w:rsidR="007C4C97" w:rsidRPr="006C2561" w:rsidRDefault="007C4C97" w:rsidP="007C4C97">
      <w:pPr>
        <w:pStyle w:val="CEONormal"/>
        <w:spacing w:after="0"/>
        <w:ind w:firstLineChars="200" w:firstLine="480"/>
        <w:jc w:val="both"/>
        <w:rPr>
          <w:rFonts w:cs="Calibri"/>
          <w:sz w:val="24"/>
          <w:szCs w:val="24"/>
          <w:lang w:eastAsia="zh-CN"/>
        </w:rPr>
      </w:pPr>
      <w:r w:rsidRPr="006C2561">
        <w:rPr>
          <w:rFonts w:cs="Calibri"/>
          <w:sz w:val="24"/>
          <w:szCs w:val="24"/>
          <w:lang w:eastAsia="zh-CN"/>
        </w:rPr>
        <w:t>根据</w:t>
      </w:r>
      <w:r w:rsidRPr="006C2561">
        <w:rPr>
          <w:rFonts w:cs="Calibri"/>
          <w:sz w:val="24"/>
          <w:szCs w:val="24"/>
          <w:lang w:eastAsia="zh-CN"/>
        </w:rPr>
        <w:t>WTDC-14</w:t>
      </w:r>
      <w:r w:rsidRPr="006C2561">
        <w:rPr>
          <w:rFonts w:cs="Calibri"/>
          <w:sz w:val="24"/>
          <w:szCs w:val="24"/>
          <w:lang w:eastAsia="zh-CN"/>
        </w:rPr>
        <w:t>和</w:t>
      </w:r>
      <w:r w:rsidRPr="006C2561">
        <w:rPr>
          <w:rFonts w:cs="Calibri"/>
          <w:sz w:val="24"/>
          <w:szCs w:val="24"/>
          <w:lang w:eastAsia="zh-CN"/>
        </w:rPr>
        <w:t>PP-14</w:t>
      </w:r>
      <w:r w:rsidRPr="006C2561">
        <w:rPr>
          <w:rFonts w:cs="Calibri"/>
          <w:sz w:val="24"/>
          <w:szCs w:val="24"/>
          <w:lang w:eastAsia="zh-CN"/>
        </w:rPr>
        <w:t>的成果，</w:t>
      </w:r>
      <w:r w:rsidRPr="006C2561">
        <w:rPr>
          <w:sz w:val="24"/>
          <w:szCs w:val="24"/>
          <w:lang w:eastAsia="zh-CN"/>
        </w:rPr>
        <w:t>电信发展局通过</w:t>
      </w:r>
      <w:r w:rsidRPr="006C2561">
        <w:rPr>
          <w:rFonts w:cs="Calibri"/>
          <w:sz w:val="24"/>
          <w:szCs w:val="24"/>
          <w:lang w:eastAsia="zh-CN"/>
        </w:rPr>
        <w:t>与总秘书处、另外两个局和区域代表处</w:t>
      </w:r>
      <w:r w:rsidRPr="006C2561">
        <w:rPr>
          <w:rFonts w:cs="Calibri" w:hint="eastAsia"/>
          <w:sz w:val="24"/>
          <w:szCs w:val="24"/>
          <w:lang w:eastAsia="zh-CN"/>
        </w:rPr>
        <w:t>/</w:t>
      </w:r>
      <w:r w:rsidRPr="006C2561">
        <w:rPr>
          <w:rFonts w:cs="Calibri"/>
          <w:sz w:val="24"/>
          <w:szCs w:val="24"/>
          <w:lang w:eastAsia="zh-CN"/>
        </w:rPr>
        <w:t>地区办事处密切协调</w:t>
      </w:r>
      <w:r w:rsidR="00D123C7" w:rsidRPr="006C2561">
        <w:rPr>
          <w:rFonts w:cs="Calibri" w:hint="eastAsia"/>
          <w:sz w:val="24"/>
          <w:szCs w:val="24"/>
          <w:lang w:eastAsia="zh-CN"/>
        </w:rPr>
        <w:t>和协作</w:t>
      </w:r>
      <w:r w:rsidR="00D123C7" w:rsidRPr="006C2561">
        <w:rPr>
          <w:rFonts w:cs="Calibri"/>
          <w:sz w:val="24"/>
          <w:szCs w:val="24"/>
          <w:lang w:eastAsia="zh-CN"/>
        </w:rPr>
        <w:t>，努力实现</w:t>
      </w:r>
      <w:r w:rsidR="00D123C7" w:rsidRPr="006C2561">
        <w:rPr>
          <w:rFonts w:cs="Calibri" w:hint="eastAsia"/>
          <w:sz w:val="24"/>
          <w:szCs w:val="24"/>
          <w:lang w:eastAsia="zh-CN"/>
        </w:rPr>
        <w:t>两</w:t>
      </w:r>
      <w:r w:rsidR="00D123C7" w:rsidRPr="006C2561">
        <w:rPr>
          <w:rFonts w:cs="Calibri"/>
          <w:sz w:val="24"/>
          <w:szCs w:val="24"/>
          <w:lang w:eastAsia="zh-CN"/>
        </w:rPr>
        <w:t>个</w:t>
      </w:r>
      <w:r w:rsidR="00D123C7" w:rsidRPr="006C2561">
        <w:rPr>
          <w:rFonts w:cs="Calibri" w:hint="eastAsia"/>
          <w:sz w:val="24"/>
          <w:szCs w:val="24"/>
          <w:lang w:eastAsia="zh-CN"/>
        </w:rPr>
        <w:t>首要</w:t>
      </w:r>
      <w:r w:rsidRPr="006C2561">
        <w:rPr>
          <w:rFonts w:cs="Calibri"/>
          <w:sz w:val="24"/>
          <w:szCs w:val="24"/>
          <w:lang w:eastAsia="zh-CN"/>
        </w:rPr>
        <w:t>目标：</w:t>
      </w:r>
    </w:p>
    <w:p w14:paraId="0C5A8DD8" w14:textId="1E5366F6" w:rsidR="00DC69A9" w:rsidRPr="006C2561" w:rsidRDefault="00B47687" w:rsidP="00B47687">
      <w:pPr>
        <w:pStyle w:val="enumlev1"/>
        <w:rPr>
          <w:rFonts w:ascii="Calibri" w:eastAsia="SimSun" w:hAnsi="Calibri"/>
          <w:lang w:eastAsia="zh-CN"/>
        </w:rPr>
      </w:pPr>
      <w:bookmarkStart w:id="11" w:name="OLE_LINK9"/>
      <w:bookmarkStart w:id="12" w:name="OLE_LINK10"/>
      <w:r w:rsidRPr="006C2561">
        <w:rPr>
          <w:rFonts w:ascii="Calibri" w:eastAsia="SimSun" w:hAnsi="Calibri"/>
          <w:lang w:eastAsia="zh-CN"/>
        </w:rPr>
        <w:t>•</w:t>
      </w:r>
      <w:r w:rsidRPr="006C2561">
        <w:rPr>
          <w:rFonts w:ascii="Calibri" w:eastAsia="SimSun" w:hAnsi="Calibri"/>
          <w:lang w:eastAsia="zh-CN"/>
        </w:rPr>
        <w:tab/>
      </w:r>
      <w:r w:rsidR="00BE1616" w:rsidRPr="006C2561">
        <w:rPr>
          <w:rFonts w:ascii="Calibri" w:eastAsia="SimSun" w:hAnsi="Calibri" w:hint="eastAsia"/>
          <w:lang w:eastAsia="zh-CN"/>
        </w:rPr>
        <w:t>扩大成员服务范围，吸引新实体加入成为部门成员、部门准成员和学术成员；以及</w:t>
      </w:r>
    </w:p>
    <w:p w14:paraId="09003E5C" w14:textId="56E10D67" w:rsidR="00DC69A9" w:rsidRPr="006C2561" w:rsidRDefault="00B47687" w:rsidP="00B47687">
      <w:pPr>
        <w:pStyle w:val="enumlev1"/>
        <w:rPr>
          <w:rFonts w:ascii="Calibri" w:eastAsia="SimSun" w:hAnsi="Calibri"/>
          <w:lang w:eastAsia="zh-CN"/>
        </w:rPr>
      </w:pPr>
      <w:bookmarkStart w:id="13" w:name="OLE_LINK11"/>
      <w:bookmarkStart w:id="14" w:name="OLE_LINK12"/>
      <w:bookmarkEnd w:id="11"/>
      <w:bookmarkEnd w:id="12"/>
      <w:r w:rsidRPr="006C2561">
        <w:rPr>
          <w:rFonts w:ascii="Calibri" w:eastAsia="SimSun" w:hAnsi="Calibri"/>
          <w:lang w:eastAsia="zh-CN"/>
        </w:rPr>
        <w:t>•</w:t>
      </w:r>
      <w:r w:rsidRPr="006C2561">
        <w:rPr>
          <w:rFonts w:ascii="Calibri" w:eastAsia="SimSun" w:hAnsi="Calibri"/>
          <w:lang w:eastAsia="zh-CN"/>
        </w:rPr>
        <w:tab/>
      </w:r>
      <w:r w:rsidR="00BE1616" w:rsidRPr="006C2561">
        <w:rPr>
          <w:rFonts w:ascii="Calibri" w:eastAsia="SimSun" w:hAnsi="Calibri" w:hint="eastAsia"/>
          <w:lang w:eastAsia="zh-CN"/>
        </w:rPr>
        <w:t>加强</w:t>
      </w:r>
      <w:r w:rsidR="00BE1616" w:rsidRPr="006C2561">
        <w:rPr>
          <w:rFonts w:ascii="Calibri" w:eastAsia="SimSun" w:hAnsi="Calibri" w:hint="eastAsia"/>
          <w:lang w:eastAsia="zh-CN"/>
        </w:rPr>
        <w:t>ITU-D</w:t>
      </w:r>
      <w:r w:rsidR="00BE1616" w:rsidRPr="006C2561">
        <w:rPr>
          <w:rFonts w:ascii="Calibri" w:eastAsia="SimSun" w:hAnsi="Calibri" w:hint="eastAsia"/>
          <w:lang w:eastAsia="zh-CN"/>
        </w:rPr>
        <w:t>部门成员、部门准成员和学术成员的参与并留住这些成员。</w:t>
      </w:r>
    </w:p>
    <w:bookmarkEnd w:id="13"/>
    <w:bookmarkEnd w:id="14"/>
    <w:p w14:paraId="64BC9140" w14:textId="385CD128" w:rsidR="00DC69A9" w:rsidRPr="006C2561" w:rsidRDefault="00B47687" w:rsidP="00B47687">
      <w:pPr>
        <w:pStyle w:val="Heading1"/>
        <w:rPr>
          <w:rFonts w:ascii="Calibri" w:eastAsia="SimSun" w:hAnsi="Calibri"/>
          <w:bCs/>
          <w:lang w:eastAsia="ko-KR"/>
        </w:rPr>
      </w:pPr>
      <w:r w:rsidRPr="006C2561">
        <w:rPr>
          <w:rFonts w:ascii="Calibri" w:eastAsia="SimSun" w:hAnsi="Calibri" w:hint="eastAsia"/>
          <w:lang w:eastAsia="zh-CN"/>
        </w:rPr>
        <w:t>3</w:t>
      </w:r>
      <w:r w:rsidRPr="006C2561">
        <w:rPr>
          <w:rFonts w:ascii="Calibri" w:eastAsia="SimSun" w:hAnsi="Calibri"/>
          <w:lang w:eastAsia="zh-CN"/>
        </w:rPr>
        <w:tab/>
      </w:r>
      <w:r w:rsidR="007C4C97" w:rsidRPr="006C2561">
        <w:rPr>
          <w:rFonts w:ascii="Calibri" w:eastAsia="SimSun" w:hAnsi="Calibri" w:hint="eastAsia"/>
          <w:lang w:eastAsia="zh-CN"/>
        </w:rPr>
        <w:t>现状分析</w:t>
      </w:r>
    </w:p>
    <w:p w14:paraId="58B42FB2" w14:textId="12CC0808" w:rsidR="007C4C97" w:rsidRPr="006C2561" w:rsidRDefault="007C4C97" w:rsidP="00B47687">
      <w:pPr>
        <w:pStyle w:val="NormalWeb"/>
        <w:shd w:val="clear" w:color="auto" w:fill="FFFFFF"/>
        <w:spacing w:before="120" w:beforeAutospacing="0" w:after="0" w:afterAutospacing="0"/>
        <w:ind w:firstLineChars="200" w:firstLine="480"/>
        <w:rPr>
          <w:rFonts w:ascii="Calibri" w:eastAsia="SimSun" w:hAnsi="Calibri"/>
        </w:rPr>
      </w:pPr>
      <w:r w:rsidRPr="006C2561">
        <w:rPr>
          <w:rFonts w:ascii="Calibri" w:eastAsia="SimSun" w:hAnsi="Calibri"/>
          <w:color w:val="000000" w:themeColor="text1"/>
        </w:rPr>
        <w:t>图</w:t>
      </w:r>
      <w:r w:rsidRPr="006C2561">
        <w:rPr>
          <w:rFonts w:ascii="Calibri" w:eastAsia="SimSun" w:hAnsi="Calibri"/>
          <w:color w:val="000000" w:themeColor="text1"/>
        </w:rPr>
        <w:t>1</w:t>
      </w:r>
      <w:r w:rsidRPr="006C2561">
        <w:rPr>
          <w:rFonts w:ascii="Calibri" w:eastAsia="SimSun" w:hAnsi="Calibri"/>
          <w:color w:val="000000" w:themeColor="text1"/>
        </w:rPr>
        <w:t>展示了</w:t>
      </w:r>
      <w:r w:rsidRPr="006C2561">
        <w:rPr>
          <w:rFonts w:ascii="Calibri" w:eastAsia="SimSun" w:hAnsi="Calibri"/>
          <w:color w:val="000000" w:themeColor="text1"/>
        </w:rPr>
        <w:t>ITU-D</w:t>
      </w:r>
      <w:r w:rsidRPr="006C2561">
        <w:rPr>
          <w:rFonts w:ascii="Calibri" w:eastAsia="SimSun" w:hAnsi="Calibri"/>
          <w:color w:val="000000" w:themeColor="text1"/>
        </w:rPr>
        <w:t>部门成员自</w:t>
      </w:r>
      <w:r w:rsidR="00BE1616" w:rsidRPr="006C2561">
        <w:rPr>
          <w:rFonts w:ascii="Calibri" w:eastAsia="SimSun" w:hAnsi="Calibri" w:hint="eastAsia"/>
          <w:color w:val="000000" w:themeColor="text1"/>
        </w:rPr>
        <w:t>1994</w:t>
      </w:r>
      <w:r w:rsidRPr="006C2561">
        <w:rPr>
          <w:rFonts w:ascii="Calibri" w:eastAsia="SimSun" w:hAnsi="Calibri"/>
          <w:color w:val="000000" w:themeColor="text1"/>
        </w:rPr>
        <w:t>年至</w:t>
      </w:r>
      <w:r w:rsidR="00BE1616" w:rsidRPr="006C2561">
        <w:rPr>
          <w:rFonts w:ascii="Calibri" w:eastAsia="SimSun" w:hAnsi="Calibri"/>
          <w:color w:val="000000" w:themeColor="text1"/>
        </w:rPr>
        <w:t>201</w:t>
      </w:r>
      <w:r w:rsidR="00BE1616" w:rsidRPr="006C2561">
        <w:rPr>
          <w:rFonts w:ascii="Calibri" w:eastAsia="SimSun" w:hAnsi="Calibri" w:hint="eastAsia"/>
          <w:color w:val="000000" w:themeColor="text1"/>
        </w:rPr>
        <w:t>6</w:t>
      </w:r>
      <w:r w:rsidRPr="006C2561">
        <w:rPr>
          <w:rFonts w:ascii="Calibri" w:eastAsia="SimSun" w:hAnsi="Calibri"/>
          <w:color w:val="000000" w:themeColor="text1"/>
        </w:rPr>
        <w:t>年</w:t>
      </w:r>
      <w:r w:rsidRPr="006C2561">
        <w:rPr>
          <w:rFonts w:ascii="Calibri" w:eastAsia="SimSun" w:hAnsi="Calibri"/>
          <w:color w:val="000000" w:themeColor="text1"/>
        </w:rPr>
        <w:t>12</w:t>
      </w:r>
      <w:r w:rsidRPr="006C2561">
        <w:rPr>
          <w:rFonts w:ascii="Calibri" w:eastAsia="SimSun" w:hAnsi="Calibri"/>
          <w:color w:val="000000" w:themeColor="text1"/>
        </w:rPr>
        <w:t>月</w:t>
      </w:r>
      <w:r w:rsidRPr="006C2561">
        <w:rPr>
          <w:rFonts w:ascii="Calibri" w:eastAsia="SimSun" w:hAnsi="Calibri"/>
          <w:color w:val="000000" w:themeColor="text1"/>
        </w:rPr>
        <w:t>31</w:t>
      </w:r>
      <w:r w:rsidRPr="006C2561">
        <w:rPr>
          <w:rFonts w:ascii="Calibri" w:eastAsia="SimSun" w:hAnsi="Calibri"/>
          <w:color w:val="000000" w:themeColor="text1"/>
        </w:rPr>
        <w:t>日的增长情况。</w:t>
      </w:r>
    </w:p>
    <w:p w14:paraId="456B8647" w14:textId="71BAB050" w:rsidR="00DC69A9" w:rsidRPr="006C2561" w:rsidRDefault="00DC69A9" w:rsidP="00DC69A9">
      <w:pPr>
        <w:spacing w:before="240"/>
        <w:rPr>
          <w:rFonts w:ascii="Calibri" w:eastAsia="SimSun" w:hAnsi="Calibri"/>
          <w:lang w:val="en-US" w:eastAsia="zh-CN"/>
        </w:rPr>
      </w:pPr>
      <w:r w:rsidRPr="006C2561">
        <w:rPr>
          <w:rFonts w:ascii="Calibri" w:eastAsia="SimSun" w:hAnsi="Calibri"/>
          <w:noProof/>
          <w:lang w:val="en-US" w:eastAsia="zh-CN"/>
        </w:rPr>
        <w:drawing>
          <wp:inline distT="0" distB="0" distL="0" distR="0" wp14:anchorId="3B2CCCC7" wp14:editId="441BB436">
            <wp:extent cx="6073140" cy="3059430"/>
            <wp:effectExtent l="0" t="0" r="381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0064D5" w14:textId="7E15DB21" w:rsidR="007C4C97" w:rsidRPr="006C2561" w:rsidRDefault="007C4C97" w:rsidP="006C2561">
      <w:pPr>
        <w:spacing w:before="240"/>
        <w:ind w:firstLineChars="200" w:firstLine="480"/>
        <w:rPr>
          <w:rFonts w:ascii="Calibri" w:eastAsia="SimSun" w:hAnsi="Calibri"/>
          <w:lang w:eastAsia="zh-CN"/>
        </w:rPr>
      </w:pPr>
      <w:r w:rsidRPr="006C2561">
        <w:rPr>
          <w:rFonts w:ascii="Calibri" w:eastAsia="SimSun" w:hAnsi="Calibri" w:hint="eastAsia"/>
          <w:lang w:eastAsia="zh-CN"/>
        </w:rPr>
        <w:t>图</w:t>
      </w:r>
      <w:r w:rsidRPr="006C2561">
        <w:rPr>
          <w:rFonts w:ascii="Calibri" w:eastAsia="SimSun" w:hAnsi="Calibri" w:hint="eastAsia"/>
          <w:lang w:eastAsia="zh-CN"/>
        </w:rPr>
        <w:t>2</w:t>
      </w:r>
      <w:r w:rsidRPr="006C2561">
        <w:rPr>
          <w:rFonts w:ascii="Calibri" w:eastAsia="SimSun" w:hAnsi="Calibri" w:hint="eastAsia"/>
          <w:lang w:eastAsia="zh-CN"/>
        </w:rPr>
        <w:t>和图</w:t>
      </w:r>
      <w:r w:rsidRPr="006C2561">
        <w:rPr>
          <w:rFonts w:ascii="Calibri" w:eastAsia="SimSun" w:hAnsi="Calibri" w:hint="eastAsia"/>
          <w:lang w:eastAsia="zh-CN"/>
        </w:rPr>
        <w:t>3</w:t>
      </w:r>
      <w:r w:rsidRPr="006C2561">
        <w:rPr>
          <w:rFonts w:ascii="Calibri" w:eastAsia="SimSun" w:hAnsi="Calibri" w:hint="eastAsia"/>
          <w:lang w:eastAsia="zh-CN"/>
        </w:rPr>
        <w:t>分别显示</w:t>
      </w:r>
      <w:r w:rsidRPr="006C2561">
        <w:rPr>
          <w:rFonts w:ascii="Calibri" w:eastAsia="SimSun" w:hAnsi="Calibri"/>
          <w:lang w:eastAsia="zh-CN"/>
        </w:rPr>
        <w:t>了</w:t>
      </w:r>
      <w:r w:rsidRPr="006C2561">
        <w:rPr>
          <w:rFonts w:ascii="Calibri" w:eastAsia="SimSun" w:hAnsi="Calibri" w:hint="eastAsia"/>
          <w:lang w:eastAsia="zh-CN"/>
        </w:rPr>
        <w:t>按</w:t>
      </w:r>
      <w:r w:rsidRPr="006C2561">
        <w:rPr>
          <w:rFonts w:ascii="Calibri" w:eastAsia="SimSun" w:hAnsi="Calibri"/>
          <w:lang w:eastAsia="zh-CN"/>
        </w:rPr>
        <w:t>类别和区域</w:t>
      </w:r>
      <w:r w:rsidRPr="006C2561">
        <w:rPr>
          <w:rFonts w:ascii="Calibri" w:eastAsia="SimSun" w:hAnsi="Calibri" w:hint="eastAsia"/>
          <w:lang w:eastAsia="zh-CN"/>
        </w:rPr>
        <w:t>划分</w:t>
      </w:r>
      <w:r w:rsidRPr="006C2561">
        <w:rPr>
          <w:rFonts w:ascii="Calibri" w:eastAsia="SimSun" w:hAnsi="Calibri"/>
          <w:lang w:eastAsia="zh-CN"/>
        </w:rPr>
        <w:t>的</w:t>
      </w:r>
      <w:r w:rsidRPr="006C2561">
        <w:rPr>
          <w:rFonts w:ascii="Calibri" w:eastAsia="SimSun" w:hAnsi="Calibri" w:hint="eastAsia"/>
          <w:lang w:eastAsia="zh-CN"/>
        </w:rPr>
        <w:t>ITU-D</w:t>
      </w:r>
      <w:r w:rsidRPr="006C2561">
        <w:rPr>
          <w:rFonts w:ascii="Calibri" w:eastAsia="SimSun" w:hAnsi="Calibri" w:hint="eastAsia"/>
          <w:lang w:eastAsia="zh-CN"/>
        </w:rPr>
        <w:t>部</w:t>
      </w:r>
      <w:bookmarkStart w:id="15" w:name="_GoBack"/>
      <w:bookmarkEnd w:id="15"/>
      <w:r w:rsidRPr="006C2561">
        <w:rPr>
          <w:rFonts w:ascii="Calibri" w:eastAsia="SimSun" w:hAnsi="Calibri" w:hint="eastAsia"/>
          <w:lang w:eastAsia="zh-CN"/>
        </w:rPr>
        <w:t>门</w:t>
      </w:r>
      <w:r w:rsidRPr="006C2561">
        <w:rPr>
          <w:rFonts w:ascii="Calibri" w:eastAsia="SimSun" w:hAnsi="Calibri"/>
          <w:lang w:eastAsia="zh-CN"/>
        </w:rPr>
        <w:t>成员</w:t>
      </w:r>
      <w:r w:rsidR="0054405D" w:rsidRPr="006C2561">
        <w:rPr>
          <w:rFonts w:ascii="Calibri" w:eastAsia="SimSun" w:hAnsi="Calibri" w:hint="eastAsia"/>
          <w:lang w:eastAsia="zh-CN"/>
        </w:rPr>
        <w:t>构成</w:t>
      </w:r>
      <w:r w:rsidR="0054405D" w:rsidRPr="006C2561">
        <w:rPr>
          <w:rFonts w:ascii="Calibri" w:eastAsia="SimSun" w:hAnsi="Calibri"/>
          <w:lang w:eastAsia="zh-CN"/>
        </w:rPr>
        <w:t>情况。</w:t>
      </w:r>
    </w:p>
    <w:p w14:paraId="1C81F727" w14:textId="2B471BE6" w:rsidR="00C02C69" w:rsidRPr="006C2561" w:rsidRDefault="00E7398F" w:rsidP="00E7398F">
      <w:pPr>
        <w:pStyle w:val="ListParagraph"/>
        <w:spacing w:before="240"/>
        <w:ind w:left="284"/>
        <w:rPr>
          <w:rFonts w:ascii="Calibri" w:eastAsia="SimSun" w:hAnsi="Calibri"/>
          <w:b/>
          <w:bCs w:val="0"/>
          <w:lang w:val="en-GB"/>
        </w:rPr>
      </w:pPr>
      <w:r w:rsidRPr="006C2561">
        <w:rPr>
          <w:rFonts w:ascii="Calibri" w:eastAsia="SimSun" w:hAnsi="Calibri"/>
          <w:noProof/>
        </w:rPr>
        <w:lastRenderedPageBreak/>
        <w:drawing>
          <wp:inline distT="0" distB="0" distL="0" distR="0" wp14:anchorId="7D1B95DC" wp14:editId="53B8D861">
            <wp:extent cx="2722245" cy="1990725"/>
            <wp:effectExtent l="0" t="0" r="190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6C2561">
        <w:rPr>
          <w:rFonts w:ascii="Calibri" w:eastAsia="SimSun" w:hAnsi="Calibri"/>
          <w:b/>
          <w:bCs w:val="0"/>
          <w:lang w:val="en-GB"/>
        </w:rPr>
        <w:t xml:space="preserve"> </w:t>
      </w:r>
      <w:r w:rsidRPr="006C2561">
        <w:rPr>
          <w:rFonts w:ascii="Calibri" w:eastAsia="SimSun" w:hAnsi="Calibri"/>
          <w:noProof/>
        </w:rPr>
        <w:drawing>
          <wp:inline distT="0" distB="0" distL="0" distR="0" wp14:anchorId="1CF8A65B" wp14:editId="50E9A423">
            <wp:extent cx="2701925" cy="1971675"/>
            <wp:effectExtent l="0" t="0" r="317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91E4FD" w14:textId="77777777" w:rsidR="00BE1616" w:rsidRPr="006C2561" w:rsidRDefault="00BE1616" w:rsidP="00BE1616">
      <w:pPr>
        <w:spacing w:before="240"/>
        <w:rPr>
          <w:rFonts w:ascii="Calibri" w:eastAsia="SimSun" w:hAnsi="Calibri"/>
          <w:b/>
          <w:lang w:eastAsia="zh-CN"/>
        </w:rPr>
      </w:pPr>
    </w:p>
    <w:p w14:paraId="4D803A7F" w14:textId="46850AF3" w:rsidR="00BE1616" w:rsidRPr="006C2561" w:rsidRDefault="00BE1616" w:rsidP="00E7398F">
      <w:pPr>
        <w:pStyle w:val="ListParagraph"/>
        <w:spacing w:before="240"/>
        <w:ind w:left="284"/>
        <w:rPr>
          <w:rFonts w:ascii="Calibri" w:eastAsia="SimSun" w:hAnsi="Calibri"/>
          <w:bCs w:val="0"/>
          <w:color w:val="FF0000"/>
          <w:lang w:val="en-GB"/>
        </w:rPr>
      </w:pPr>
      <w:r w:rsidRPr="006C2561">
        <w:rPr>
          <w:rFonts w:ascii="Calibri" w:eastAsia="SimSun" w:hAnsi="Calibri" w:hint="eastAsia"/>
          <w:bCs w:val="0"/>
          <w:color w:val="FF0000"/>
          <w:lang w:val="en-GB"/>
        </w:rPr>
        <w:t>图</w:t>
      </w:r>
      <w:r w:rsidRPr="006C2561">
        <w:rPr>
          <w:rFonts w:ascii="Calibri" w:eastAsia="SimSun" w:hAnsi="Calibri" w:hint="eastAsia"/>
          <w:bCs w:val="0"/>
          <w:color w:val="FF0000"/>
          <w:lang w:val="en-GB"/>
        </w:rPr>
        <w:t>2 2016</w:t>
      </w:r>
      <w:r w:rsidRPr="006C2561">
        <w:rPr>
          <w:rFonts w:ascii="Calibri" w:eastAsia="SimSun" w:hAnsi="Calibri" w:hint="eastAsia"/>
          <w:bCs w:val="0"/>
          <w:color w:val="FF0000"/>
          <w:lang w:val="en-GB"/>
        </w:rPr>
        <w:t>年按类别划分的</w:t>
      </w:r>
      <w:r w:rsidRPr="006C2561">
        <w:rPr>
          <w:rFonts w:ascii="Calibri" w:eastAsia="SimSun" w:hAnsi="Calibri" w:hint="eastAsia"/>
          <w:bCs w:val="0"/>
          <w:color w:val="FF0000"/>
          <w:lang w:val="en-GB"/>
        </w:rPr>
        <w:t>ITU-D</w:t>
      </w:r>
      <w:r w:rsidRPr="006C2561">
        <w:rPr>
          <w:rFonts w:ascii="Calibri" w:eastAsia="SimSun" w:hAnsi="Calibri" w:hint="eastAsia"/>
          <w:bCs w:val="0"/>
          <w:color w:val="FF0000"/>
          <w:lang w:val="en-GB"/>
        </w:rPr>
        <w:t>部门成员构成情况</w:t>
      </w:r>
    </w:p>
    <w:p w14:paraId="21601FF0" w14:textId="3FFF9033" w:rsidR="00BE1616" w:rsidRPr="006C2561" w:rsidRDefault="00BE1616" w:rsidP="00BE1616">
      <w:pPr>
        <w:pStyle w:val="ListParagraph"/>
        <w:spacing w:before="240"/>
        <w:ind w:left="284"/>
        <w:rPr>
          <w:rFonts w:ascii="Calibri" w:eastAsia="SimSun" w:hAnsi="Calibri"/>
          <w:bCs w:val="0"/>
          <w:color w:val="FF0000"/>
          <w:lang w:val="en-GB"/>
        </w:rPr>
      </w:pPr>
      <w:r w:rsidRPr="006C2561">
        <w:rPr>
          <w:rFonts w:ascii="Calibri" w:eastAsia="SimSun" w:hAnsi="Calibri" w:hint="eastAsia"/>
          <w:bCs w:val="0"/>
          <w:color w:val="FF0000"/>
          <w:lang w:val="en-GB"/>
        </w:rPr>
        <w:t>学术成员</w:t>
      </w:r>
    </w:p>
    <w:p w14:paraId="4A4BBA0F" w14:textId="4EBA3662" w:rsidR="00BE1616" w:rsidRPr="006C2561" w:rsidRDefault="00BE1616" w:rsidP="00BE1616">
      <w:pPr>
        <w:pStyle w:val="ListParagraph"/>
        <w:spacing w:before="240"/>
        <w:ind w:left="284"/>
        <w:rPr>
          <w:rFonts w:ascii="Calibri" w:eastAsia="SimSun" w:hAnsi="Calibri"/>
          <w:bCs w:val="0"/>
          <w:color w:val="FF0000"/>
          <w:lang w:val="en-GB"/>
        </w:rPr>
      </w:pPr>
      <w:r w:rsidRPr="006C2561">
        <w:rPr>
          <w:rFonts w:ascii="Calibri" w:eastAsia="SimSun" w:hAnsi="Calibri" w:hint="eastAsia"/>
          <w:bCs w:val="0"/>
          <w:color w:val="FF0000"/>
          <w:lang w:val="en-GB"/>
        </w:rPr>
        <w:t>部门准成员</w:t>
      </w:r>
    </w:p>
    <w:p w14:paraId="58C52591" w14:textId="742D9A54" w:rsidR="00BE1616" w:rsidRPr="006C2561" w:rsidRDefault="00BE1616" w:rsidP="00BE1616">
      <w:pPr>
        <w:pStyle w:val="ListParagraph"/>
        <w:spacing w:before="240"/>
        <w:ind w:left="284"/>
        <w:rPr>
          <w:rFonts w:ascii="Calibri" w:eastAsia="SimSun" w:hAnsi="Calibri"/>
          <w:bCs w:val="0"/>
          <w:color w:val="FF0000"/>
          <w:lang w:val="en-GB"/>
        </w:rPr>
      </w:pPr>
      <w:r w:rsidRPr="006C2561">
        <w:rPr>
          <w:rFonts w:ascii="Calibri" w:eastAsia="SimSun" w:hAnsi="Calibri" w:hint="eastAsia"/>
          <w:bCs w:val="0"/>
          <w:color w:val="FF0000"/>
          <w:lang w:val="en-GB"/>
        </w:rPr>
        <w:t>部门成员</w:t>
      </w:r>
    </w:p>
    <w:p w14:paraId="148673BE" w14:textId="77777777" w:rsidR="00BE1616" w:rsidRPr="006C2561" w:rsidRDefault="00BE1616" w:rsidP="00BE1616">
      <w:pPr>
        <w:pStyle w:val="ListParagraph"/>
        <w:spacing w:before="240"/>
        <w:ind w:left="284"/>
        <w:rPr>
          <w:rFonts w:ascii="Calibri" w:eastAsia="SimSun" w:hAnsi="Calibri"/>
          <w:bCs w:val="0"/>
          <w:color w:val="FF0000"/>
          <w:lang w:val="en-GB"/>
        </w:rPr>
      </w:pPr>
    </w:p>
    <w:p w14:paraId="0512F0CE" w14:textId="47B96906" w:rsidR="00BE1616" w:rsidRPr="006C2561" w:rsidRDefault="00BE1616" w:rsidP="00BE1616">
      <w:pPr>
        <w:pStyle w:val="ListParagraph"/>
        <w:spacing w:before="240"/>
        <w:ind w:left="284"/>
        <w:rPr>
          <w:rFonts w:ascii="Calibri" w:eastAsia="SimSun" w:hAnsi="Calibri"/>
          <w:bCs w:val="0"/>
          <w:color w:val="FF0000"/>
          <w:lang w:val="en-GB"/>
        </w:rPr>
      </w:pPr>
      <w:r w:rsidRPr="006C2561">
        <w:rPr>
          <w:rFonts w:ascii="Calibri" w:eastAsia="SimSun" w:hAnsi="Calibri" w:hint="eastAsia"/>
          <w:bCs w:val="0"/>
          <w:color w:val="FF0000"/>
          <w:lang w:val="en-GB"/>
        </w:rPr>
        <w:t>图</w:t>
      </w:r>
      <w:r w:rsidRPr="006C2561">
        <w:rPr>
          <w:rFonts w:ascii="Calibri" w:eastAsia="SimSun" w:hAnsi="Calibri" w:hint="eastAsia"/>
          <w:bCs w:val="0"/>
          <w:color w:val="FF0000"/>
          <w:lang w:val="en-GB"/>
        </w:rPr>
        <w:t>3 2016</w:t>
      </w:r>
      <w:r w:rsidRPr="006C2561">
        <w:rPr>
          <w:rFonts w:ascii="Calibri" w:eastAsia="SimSun" w:hAnsi="Calibri" w:hint="eastAsia"/>
          <w:bCs w:val="0"/>
          <w:color w:val="FF0000"/>
          <w:lang w:val="en-GB"/>
        </w:rPr>
        <w:t>年按区域划分的</w:t>
      </w:r>
      <w:r w:rsidRPr="006C2561">
        <w:rPr>
          <w:rFonts w:ascii="Calibri" w:eastAsia="SimSun" w:hAnsi="Calibri" w:hint="eastAsia"/>
          <w:bCs w:val="0"/>
          <w:color w:val="FF0000"/>
          <w:lang w:val="en-GB"/>
        </w:rPr>
        <w:t>ITU-D</w:t>
      </w:r>
      <w:r w:rsidRPr="006C2561">
        <w:rPr>
          <w:rFonts w:ascii="Calibri" w:eastAsia="SimSun" w:hAnsi="Calibri" w:hint="eastAsia"/>
          <w:bCs w:val="0"/>
          <w:color w:val="FF0000"/>
          <w:lang w:val="en-GB"/>
        </w:rPr>
        <w:t>部门成员构成情况</w:t>
      </w:r>
    </w:p>
    <w:p w14:paraId="2EFED596" w14:textId="42492002" w:rsidR="00BE1616" w:rsidRPr="006C2561" w:rsidRDefault="00BE1616" w:rsidP="00BE1616">
      <w:pPr>
        <w:pStyle w:val="ListParagraph"/>
        <w:spacing w:before="240"/>
        <w:ind w:left="284"/>
        <w:rPr>
          <w:rFonts w:ascii="Calibri" w:eastAsia="SimSun" w:hAnsi="Calibri"/>
          <w:bCs w:val="0"/>
          <w:color w:val="FF0000"/>
          <w:lang w:val="en-GB"/>
        </w:rPr>
      </w:pPr>
      <w:r w:rsidRPr="006C2561">
        <w:rPr>
          <w:rFonts w:ascii="Calibri" w:eastAsia="SimSun" w:hAnsi="Calibri" w:hint="eastAsia"/>
          <w:bCs w:val="0"/>
          <w:color w:val="FF0000"/>
          <w:lang w:val="en-GB"/>
        </w:rPr>
        <w:t>区域与国际</w:t>
      </w:r>
    </w:p>
    <w:p w14:paraId="3D5B0C18" w14:textId="3D3DE2AD" w:rsidR="00BE1616" w:rsidRPr="006C2561" w:rsidRDefault="00BE1616" w:rsidP="00BE1616">
      <w:pPr>
        <w:pStyle w:val="ListParagraph"/>
        <w:spacing w:before="240"/>
        <w:ind w:left="284"/>
        <w:rPr>
          <w:rFonts w:ascii="Calibri" w:eastAsia="SimSun" w:hAnsi="Calibri"/>
          <w:bCs w:val="0"/>
          <w:color w:val="FF0000"/>
          <w:lang w:val="en-GB"/>
        </w:rPr>
      </w:pPr>
      <w:r w:rsidRPr="006C2561">
        <w:rPr>
          <w:rFonts w:ascii="Calibri" w:eastAsia="SimSun" w:hAnsi="Calibri" w:hint="eastAsia"/>
          <w:bCs w:val="0"/>
          <w:color w:val="FF0000"/>
          <w:lang w:val="en-GB"/>
        </w:rPr>
        <w:t>亚太地区</w:t>
      </w:r>
    </w:p>
    <w:p w14:paraId="0A5DB2CA" w14:textId="47A09C7D" w:rsidR="00BE1616" w:rsidRPr="006C2561" w:rsidRDefault="00BE1616" w:rsidP="00BE1616">
      <w:pPr>
        <w:pStyle w:val="ListParagraph"/>
        <w:spacing w:before="240"/>
        <w:ind w:left="284"/>
        <w:rPr>
          <w:rFonts w:ascii="Calibri" w:eastAsia="SimSun" w:hAnsi="Calibri"/>
          <w:bCs w:val="0"/>
          <w:color w:val="FF0000"/>
          <w:lang w:val="en-GB"/>
        </w:rPr>
      </w:pPr>
      <w:r w:rsidRPr="006C2561">
        <w:rPr>
          <w:rFonts w:ascii="Calibri" w:eastAsia="SimSun" w:hAnsi="Calibri" w:hint="eastAsia"/>
          <w:bCs w:val="0"/>
          <w:color w:val="FF0000"/>
          <w:lang w:val="en-GB"/>
        </w:rPr>
        <w:t>美洲</w:t>
      </w:r>
    </w:p>
    <w:p w14:paraId="77A04E95" w14:textId="5BF3AEE7" w:rsidR="00BE1616" w:rsidRPr="006C2561" w:rsidRDefault="00BE1616" w:rsidP="00BE1616">
      <w:pPr>
        <w:pStyle w:val="ListParagraph"/>
        <w:spacing w:before="240"/>
        <w:ind w:left="284"/>
        <w:rPr>
          <w:rFonts w:ascii="Calibri" w:eastAsia="SimSun" w:hAnsi="Calibri"/>
          <w:bCs w:val="0"/>
          <w:color w:val="FF0000"/>
          <w:lang w:val="en-GB"/>
        </w:rPr>
      </w:pPr>
      <w:r w:rsidRPr="006C2561">
        <w:rPr>
          <w:rFonts w:ascii="Calibri" w:eastAsia="SimSun" w:hAnsi="Calibri" w:hint="eastAsia"/>
          <w:bCs w:val="0"/>
          <w:color w:val="FF0000"/>
          <w:lang w:val="en-GB"/>
        </w:rPr>
        <w:t>欧洲</w:t>
      </w:r>
    </w:p>
    <w:p w14:paraId="2E89A8AA" w14:textId="284013A1" w:rsidR="00BE1616" w:rsidRPr="006C2561" w:rsidRDefault="00BE1616" w:rsidP="00BE1616">
      <w:pPr>
        <w:pStyle w:val="ListParagraph"/>
        <w:spacing w:before="240"/>
        <w:ind w:left="284"/>
        <w:rPr>
          <w:rFonts w:ascii="Calibri" w:eastAsia="SimSun" w:hAnsi="Calibri"/>
          <w:bCs w:val="0"/>
          <w:color w:val="FF0000"/>
          <w:lang w:val="en-GB"/>
        </w:rPr>
      </w:pPr>
      <w:r w:rsidRPr="006C2561">
        <w:rPr>
          <w:rFonts w:ascii="Calibri" w:eastAsia="SimSun" w:hAnsi="Calibri" w:hint="eastAsia"/>
          <w:bCs w:val="0"/>
          <w:color w:val="FF0000"/>
          <w:lang w:val="en-GB"/>
        </w:rPr>
        <w:t>阿拉伯国家</w:t>
      </w:r>
    </w:p>
    <w:p w14:paraId="0A2DE2DD" w14:textId="1D64EDDC" w:rsidR="00BE1616" w:rsidRPr="006C2561" w:rsidRDefault="00BE1616" w:rsidP="00BE1616">
      <w:pPr>
        <w:pStyle w:val="ListParagraph"/>
        <w:spacing w:before="240"/>
        <w:ind w:left="284"/>
        <w:rPr>
          <w:rFonts w:ascii="Calibri" w:eastAsia="SimSun" w:hAnsi="Calibri"/>
          <w:bCs w:val="0"/>
          <w:color w:val="FF0000"/>
          <w:lang w:val="en-GB"/>
        </w:rPr>
      </w:pPr>
      <w:r w:rsidRPr="006C2561">
        <w:rPr>
          <w:rFonts w:ascii="Calibri" w:eastAsia="SimSun" w:hAnsi="Calibri" w:hint="eastAsia"/>
          <w:bCs w:val="0"/>
          <w:color w:val="FF0000"/>
          <w:lang w:val="en-GB"/>
        </w:rPr>
        <w:t>非洲</w:t>
      </w:r>
    </w:p>
    <w:p w14:paraId="4405E5E4" w14:textId="315134EB" w:rsidR="00BE1616" w:rsidRPr="006C2561" w:rsidRDefault="00BE1616" w:rsidP="00BE1616">
      <w:pPr>
        <w:pStyle w:val="ListParagraph"/>
        <w:spacing w:before="240"/>
        <w:ind w:left="284"/>
        <w:rPr>
          <w:rFonts w:ascii="Calibri" w:eastAsia="SimSun" w:hAnsi="Calibri"/>
          <w:bCs w:val="0"/>
          <w:color w:val="FF0000"/>
          <w:lang w:val="en-GB"/>
        </w:rPr>
      </w:pPr>
      <w:r w:rsidRPr="006C2561">
        <w:rPr>
          <w:rFonts w:ascii="Calibri" w:eastAsia="SimSun" w:hAnsi="Calibri" w:hint="eastAsia"/>
          <w:bCs w:val="0"/>
          <w:color w:val="FF0000"/>
          <w:lang w:val="en-GB"/>
        </w:rPr>
        <w:t>独联体</w:t>
      </w:r>
    </w:p>
    <w:p w14:paraId="4BDADFEE" w14:textId="1EDD80D1" w:rsidR="00DC69A9" w:rsidRPr="006C2561" w:rsidRDefault="00B47687" w:rsidP="00B47687">
      <w:pPr>
        <w:pStyle w:val="Heading1"/>
        <w:rPr>
          <w:rFonts w:ascii="Calibri" w:eastAsia="SimSun" w:hAnsi="Calibri"/>
          <w:bCs/>
          <w:lang w:eastAsia="zh-CN"/>
        </w:rPr>
      </w:pPr>
      <w:r w:rsidRPr="006C2561">
        <w:rPr>
          <w:rFonts w:ascii="Calibri" w:eastAsia="SimSun" w:hAnsi="Calibri" w:hint="eastAsia"/>
          <w:lang w:eastAsia="zh-CN"/>
        </w:rPr>
        <w:t>4</w:t>
      </w:r>
      <w:r w:rsidRPr="006C2561">
        <w:rPr>
          <w:rFonts w:ascii="Calibri" w:eastAsia="SimSun" w:hAnsi="Calibri"/>
          <w:lang w:eastAsia="zh-CN"/>
        </w:rPr>
        <w:tab/>
      </w:r>
      <w:r w:rsidR="00455A89" w:rsidRPr="006C2561">
        <w:rPr>
          <w:rFonts w:ascii="Calibri" w:eastAsia="SimSun" w:hAnsi="Calibri" w:hint="eastAsia"/>
          <w:lang w:eastAsia="zh-CN"/>
        </w:rPr>
        <w:t>主要</w:t>
      </w:r>
      <w:r w:rsidR="00455A89" w:rsidRPr="006C2561">
        <w:rPr>
          <w:rFonts w:ascii="Calibri" w:eastAsia="SimSun" w:hAnsi="Calibri"/>
          <w:lang w:eastAsia="zh-CN"/>
        </w:rPr>
        <w:t>行动</w:t>
      </w:r>
    </w:p>
    <w:p w14:paraId="471F4E2E" w14:textId="27F74CE7" w:rsidR="00BE1616" w:rsidRPr="006C2561" w:rsidRDefault="00BE1616" w:rsidP="00BE1616">
      <w:pPr>
        <w:ind w:firstLineChars="200" w:firstLine="480"/>
        <w:rPr>
          <w:rFonts w:ascii="Calibri" w:eastAsia="SimSun" w:hAnsi="Calibri"/>
          <w:color w:val="000000" w:themeColor="text1"/>
          <w:szCs w:val="24"/>
          <w:lang w:val="en-US" w:eastAsia="zh-CN"/>
        </w:rPr>
      </w:pPr>
      <w:r w:rsidRPr="006C2561">
        <w:rPr>
          <w:rFonts w:ascii="Calibri" w:eastAsia="SimSun" w:hAnsi="Calibri" w:hint="eastAsia"/>
          <w:color w:val="000000" w:themeColor="text1"/>
          <w:szCs w:val="24"/>
          <w:lang w:val="en-US" w:eastAsia="zh-CN"/>
        </w:rPr>
        <w:t>电信发展局一直在开展一系列战略性行动，并将加强努力，不断改善产品和服务。</w:t>
      </w:r>
    </w:p>
    <w:p w14:paraId="68068BD6" w14:textId="5001FE6C" w:rsidR="005E1AB9" w:rsidRPr="006C2561" w:rsidRDefault="00DC69A9" w:rsidP="0037180E">
      <w:pPr>
        <w:tabs>
          <w:tab w:val="clear" w:pos="794"/>
          <w:tab w:val="clear" w:pos="1191"/>
          <w:tab w:val="clear" w:pos="1588"/>
          <w:tab w:val="clear" w:pos="1985"/>
          <w:tab w:val="left" w:pos="567"/>
        </w:tabs>
        <w:rPr>
          <w:rFonts w:ascii="Calibri" w:eastAsia="SimSun" w:hAnsi="Calibri"/>
          <w:color w:val="000000" w:themeColor="text1"/>
          <w:szCs w:val="24"/>
          <w:lang w:val="en-US" w:eastAsia="zh-CN"/>
        </w:rPr>
      </w:pPr>
      <w:bookmarkStart w:id="16" w:name="OLE_LINK30"/>
      <w:bookmarkStart w:id="17" w:name="OLE_LINK31"/>
      <w:r w:rsidRPr="006C2561">
        <w:rPr>
          <w:rFonts w:ascii="Calibri" w:eastAsia="SimSun" w:hAnsi="Calibri"/>
          <w:color w:val="000000" w:themeColor="text1"/>
          <w:szCs w:val="24"/>
          <w:lang w:val="en-US" w:eastAsia="zh-CN"/>
        </w:rPr>
        <w:t>4.1</w:t>
      </w:r>
      <w:r w:rsidR="00B33924" w:rsidRPr="006C2561">
        <w:rPr>
          <w:rFonts w:ascii="Calibri" w:eastAsia="SimSun" w:hAnsi="Calibri"/>
          <w:color w:val="000000" w:themeColor="text1"/>
          <w:szCs w:val="24"/>
          <w:lang w:val="en-US" w:eastAsia="zh-CN"/>
        </w:rPr>
        <w:tab/>
      </w:r>
      <w:r w:rsidR="005E1AB9" w:rsidRPr="006C2561">
        <w:rPr>
          <w:rFonts w:ascii="Calibri" w:eastAsia="SimSun" w:hAnsi="Calibri" w:hint="eastAsia"/>
          <w:b/>
          <w:bCs/>
          <w:color w:val="000000" w:themeColor="text1"/>
          <w:szCs w:val="24"/>
          <w:lang w:val="en-US" w:eastAsia="zh-CN"/>
        </w:rPr>
        <w:t>扩大成员服务范围：</w:t>
      </w:r>
      <w:bookmarkEnd w:id="16"/>
      <w:bookmarkEnd w:id="17"/>
      <w:r w:rsidR="005E1AB9" w:rsidRPr="006C2561">
        <w:rPr>
          <w:rFonts w:ascii="Calibri" w:eastAsia="SimSun" w:hAnsi="Calibri" w:hint="eastAsia"/>
          <w:color w:val="000000" w:themeColor="text1"/>
          <w:szCs w:val="24"/>
          <w:lang w:val="en-US" w:eastAsia="zh-CN"/>
        </w:rPr>
        <w:t>电信发展局继续在</w:t>
      </w:r>
      <w:r w:rsidR="005E1AB9" w:rsidRPr="006C2561">
        <w:rPr>
          <w:rFonts w:ascii="Calibri" w:eastAsia="SimSun" w:hAnsi="Calibri" w:hint="eastAsia"/>
          <w:color w:val="000000" w:themeColor="text1"/>
          <w:szCs w:val="24"/>
          <w:lang w:val="en-US" w:eastAsia="zh-CN"/>
        </w:rPr>
        <w:t>TDAG-16</w:t>
      </w:r>
      <w:r w:rsidR="0037180E" w:rsidRPr="006C2561">
        <w:rPr>
          <w:rFonts w:ascii="Calibri" w:eastAsia="SimSun" w:hAnsi="Calibri" w:hint="eastAsia"/>
          <w:color w:val="000000" w:themeColor="text1"/>
          <w:szCs w:val="24"/>
          <w:lang w:val="en-US" w:eastAsia="zh-CN"/>
        </w:rPr>
        <w:t>、</w:t>
      </w:r>
      <w:r w:rsidR="0037180E" w:rsidRPr="006C2561">
        <w:rPr>
          <w:rFonts w:ascii="Calibri" w:eastAsia="SimSun" w:hAnsi="Calibri" w:hint="eastAsia"/>
          <w:color w:val="000000" w:themeColor="text1"/>
          <w:szCs w:val="24"/>
          <w:lang w:val="en-US" w:eastAsia="zh-CN"/>
        </w:rPr>
        <w:t>2016</w:t>
      </w:r>
      <w:r w:rsidR="0037180E" w:rsidRPr="006C2561">
        <w:rPr>
          <w:rFonts w:ascii="Calibri" w:eastAsia="SimSun" w:hAnsi="Calibri" w:hint="eastAsia"/>
          <w:color w:val="000000" w:themeColor="text1"/>
          <w:szCs w:val="24"/>
          <w:lang w:val="en-US" w:eastAsia="zh-CN"/>
        </w:rPr>
        <w:t>年</w:t>
      </w:r>
      <w:r w:rsidR="005E1AB9" w:rsidRPr="006C2561">
        <w:rPr>
          <w:rFonts w:ascii="Calibri" w:eastAsia="SimSun" w:hAnsi="Calibri" w:hint="eastAsia"/>
          <w:color w:val="000000" w:themeColor="text1"/>
          <w:szCs w:val="24"/>
          <w:lang w:val="en-US" w:eastAsia="zh-CN"/>
        </w:rPr>
        <w:t>国际电联</w:t>
      </w:r>
      <w:r w:rsidR="0037180E" w:rsidRPr="006C2561">
        <w:rPr>
          <w:rFonts w:ascii="Calibri" w:eastAsia="SimSun" w:hAnsi="Calibri" w:hint="eastAsia"/>
          <w:color w:val="000000" w:themeColor="text1"/>
          <w:szCs w:val="24"/>
          <w:lang w:val="en-US" w:eastAsia="zh-CN"/>
        </w:rPr>
        <w:t>研究组会议以及</w:t>
      </w:r>
      <w:r w:rsidR="005E1AB9" w:rsidRPr="006C2561">
        <w:rPr>
          <w:rFonts w:ascii="Calibri" w:eastAsia="SimSun" w:hAnsi="Calibri" w:hint="eastAsia"/>
          <w:color w:val="000000" w:themeColor="text1"/>
          <w:szCs w:val="24"/>
          <w:lang w:val="en-US" w:eastAsia="zh-CN"/>
        </w:rPr>
        <w:t>国际电联其他</w:t>
      </w:r>
      <w:r w:rsidR="0037180E" w:rsidRPr="006C2561">
        <w:rPr>
          <w:rFonts w:ascii="Calibri" w:eastAsia="SimSun" w:hAnsi="Calibri" w:hint="eastAsia"/>
          <w:color w:val="000000" w:themeColor="text1"/>
          <w:szCs w:val="24"/>
          <w:lang w:val="en-US" w:eastAsia="zh-CN"/>
        </w:rPr>
        <w:t>的</w:t>
      </w:r>
      <w:r w:rsidR="005E1AB9" w:rsidRPr="006C2561">
        <w:rPr>
          <w:rFonts w:ascii="Calibri" w:eastAsia="SimSun" w:hAnsi="Calibri" w:hint="eastAsia"/>
          <w:color w:val="000000" w:themeColor="text1"/>
          <w:szCs w:val="24"/>
          <w:lang w:val="en-US" w:eastAsia="zh-CN"/>
        </w:rPr>
        <w:t>几次会议和活动中进行非正式网络会议，以便更好地了解和满足</w:t>
      </w:r>
      <w:r w:rsidR="005E1AB9" w:rsidRPr="006C2561">
        <w:rPr>
          <w:rFonts w:ascii="Calibri" w:eastAsia="SimSun" w:hAnsi="Calibri" w:hint="eastAsia"/>
          <w:color w:val="000000" w:themeColor="text1"/>
          <w:szCs w:val="24"/>
          <w:lang w:val="en-US" w:eastAsia="zh-CN"/>
        </w:rPr>
        <w:t>ITU-D</w:t>
      </w:r>
      <w:r w:rsidR="0037180E" w:rsidRPr="006C2561">
        <w:rPr>
          <w:rFonts w:ascii="Calibri" w:eastAsia="SimSun" w:hAnsi="Calibri" w:hint="eastAsia"/>
          <w:color w:val="000000" w:themeColor="text1"/>
          <w:szCs w:val="24"/>
          <w:lang w:val="en-US" w:eastAsia="zh-CN"/>
        </w:rPr>
        <w:t>成员的</w:t>
      </w:r>
      <w:r w:rsidR="005E1AB9" w:rsidRPr="006C2561">
        <w:rPr>
          <w:rFonts w:ascii="Calibri" w:eastAsia="SimSun" w:hAnsi="Calibri" w:hint="eastAsia"/>
          <w:color w:val="000000" w:themeColor="text1"/>
          <w:szCs w:val="24"/>
          <w:lang w:val="en-US" w:eastAsia="zh-CN"/>
        </w:rPr>
        <w:t>需求。</w:t>
      </w:r>
      <w:r w:rsidR="0037180E" w:rsidRPr="006C2561">
        <w:rPr>
          <w:rFonts w:ascii="Calibri" w:eastAsia="SimSun" w:hAnsi="Calibri" w:hint="eastAsia"/>
          <w:color w:val="000000" w:themeColor="text1"/>
          <w:szCs w:val="24"/>
          <w:lang w:val="en-US" w:eastAsia="zh-CN"/>
        </w:rPr>
        <w:t>这些磋商以及年度成员服务调查结果显示，成员认可</w:t>
      </w:r>
      <w:r w:rsidR="005E1AB9" w:rsidRPr="006C2561">
        <w:rPr>
          <w:rFonts w:ascii="Calibri" w:eastAsia="SimSun" w:hAnsi="Calibri" w:hint="eastAsia"/>
          <w:color w:val="000000" w:themeColor="text1"/>
          <w:szCs w:val="24"/>
          <w:lang w:val="en-US" w:eastAsia="zh-CN"/>
        </w:rPr>
        <w:t>现有的</w:t>
      </w:r>
      <w:r w:rsidR="005E1AB9" w:rsidRPr="006C2561">
        <w:rPr>
          <w:rFonts w:ascii="Calibri" w:eastAsia="SimSun" w:hAnsi="Calibri" w:hint="eastAsia"/>
          <w:color w:val="000000" w:themeColor="text1"/>
          <w:szCs w:val="24"/>
          <w:lang w:val="en-US" w:eastAsia="zh-CN"/>
        </w:rPr>
        <w:t>ITU-D</w:t>
      </w:r>
      <w:r w:rsidR="005E1AB9" w:rsidRPr="006C2561">
        <w:rPr>
          <w:rFonts w:ascii="Calibri" w:eastAsia="SimSun" w:hAnsi="Calibri" w:hint="eastAsia"/>
          <w:color w:val="000000" w:themeColor="text1"/>
          <w:szCs w:val="24"/>
          <w:lang w:val="en-US" w:eastAsia="zh-CN"/>
        </w:rPr>
        <w:t>知识共享平台和出版物以及</w:t>
      </w:r>
      <w:r w:rsidR="0037180E" w:rsidRPr="006C2561">
        <w:rPr>
          <w:rFonts w:ascii="Calibri" w:eastAsia="SimSun" w:hAnsi="Calibri" w:hint="eastAsia"/>
          <w:color w:val="000000" w:themeColor="text1"/>
          <w:szCs w:val="24"/>
          <w:lang w:val="en-US" w:eastAsia="zh-CN"/>
        </w:rPr>
        <w:t>就通信工具而言有待改进服务的领域，如远程参与设施、互联网</w:t>
      </w:r>
      <w:r w:rsidR="005E1AB9" w:rsidRPr="006C2561">
        <w:rPr>
          <w:rFonts w:ascii="Calibri" w:eastAsia="SimSun" w:hAnsi="Calibri" w:hint="eastAsia"/>
          <w:color w:val="000000" w:themeColor="text1"/>
          <w:szCs w:val="24"/>
          <w:lang w:val="en-US" w:eastAsia="zh-CN"/>
        </w:rPr>
        <w:t>工具和网站上提供的信息等</w:t>
      </w:r>
      <w:r w:rsidR="0037180E" w:rsidRPr="006C2561">
        <w:rPr>
          <w:rFonts w:ascii="Calibri" w:eastAsia="SimSun" w:hAnsi="Calibri" w:hint="eastAsia"/>
          <w:color w:val="000000" w:themeColor="text1"/>
          <w:szCs w:val="24"/>
          <w:lang w:val="en-US" w:eastAsia="zh-CN"/>
        </w:rPr>
        <w:t>。就感兴趣的领域以及</w:t>
      </w:r>
      <w:r w:rsidR="005E1AB9" w:rsidRPr="006C2561">
        <w:rPr>
          <w:rFonts w:ascii="Calibri" w:eastAsia="SimSun" w:hAnsi="Calibri" w:hint="eastAsia"/>
          <w:color w:val="000000" w:themeColor="text1"/>
          <w:szCs w:val="24"/>
          <w:lang w:val="en-US" w:eastAsia="zh-CN"/>
        </w:rPr>
        <w:t>ITU-D</w:t>
      </w:r>
      <w:r w:rsidR="005E1AB9" w:rsidRPr="006C2561">
        <w:rPr>
          <w:rFonts w:ascii="Calibri" w:eastAsia="SimSun" w:hAnsi="Calibri" w:hint="eastAsia"/>
          <w:color w:val="000000" w:themeColor="text1"/>
          <w:szCs w:val="24"/>
          <w:lang w:val="en-US" w:eastAsia="zh-CN"/>
        </w:rPr>
        <w:t>研究组调查中确定</w:t>
      </w:r>
      <w:r w:rsidR="0037180E" w:rsidRPr="006C2561">
        <w:rPr>
          <w:rFonts w:ascii="Calibri" w:eastAsia="SimSun" w:hAnsi="Calibri" w:hint="eastAsia"/>
          <w:color w:val="000000" w:themeColor="text1"/>
          <w:szCs w:val="24"/>
          <w:lang w:val="en-US" w:eastAsia="zh-CN"/>
        </w:rPr>
        <w:t>需要补充</w:t>
      </w:r>
      <w:r w:rsidR="005E1AB9" w:rsidRPr="006C2561">
        <w:rPr>
          <w:rFonts w:ascii="Calibri" w:eastAsia="SimSun" w:hAnsi="Calibri" w:hint="eastAsia"/>
          <w:color w:val="000000" w:themeColor="text1"/>
          <w:szCs w:val="24"/>
          <w:lang w:val="en-US" w:eastAsia="zh-CN"/>
        </w:rPr>
        <w:t>的领域</w:t>
      </w:r>
      <w:r w:rsidR="0037180E" w:rsidRPr="006C2561">
        <w:rPr>
          <w:rFonts w:ascii="Calibri" w:eastAsia="SimSun" w:hAnsi="Calibri" w:hint="eastAsia"/>
          <w:color w:val="000000" w:themeColor="text1"/>
          <w:szCs w:val="24"/>
          <w:lang w:val="en-US" w:eastAsia="zh-CN"/>
        </w:rPr>
        <w:t>而言</w:t>
      </w:r>
      <w:r w:rsidR="005E1AB9" w:rsidRPr="006C2561">
        <w:rPr>
          <w:rFonts w:ascii="Calibri" w:eastAsia="SimSun" w:hAnsi="Calibri" w:hint="eastAsia"/>
          <w:color w:val="000000" w:themeColor="text1"/>
          <w:szCs w:val="24"/>
          <w:lang w:val="en-US" w:eastAsia="zh-CN"/>
        </w:rPr>
        <w:t>，</w:t>
      </w:r>
      <w:r w:rsidR="005E1AB9" w:rsidRPr="006C2561">
        <w:rPr>
          <w:rFonts w:ascii="Calibri" w:eastAsia="SimSun" w:hAnsi="Calibri" w:hint="eastAsia"/>
          <w:color w:val="000000" w:themeColor="text1"/>
          <w:szCs w:val="24"/>
          <w:lang w:val="en-US" w:eastAsia="zh-CN"/>
        </w:rPr>
        <w:t>5G</w:t>
      </w:r>
      <w:r w:rsidR="0037180E" w:rsidRPr="006C2561">
        <w:rPr>
          <w:rFonts w:ascii="Calibri" w:eastAsia="SimSun" w:hAnsi="Calibri" w:hint="eastAsia"/>
          <w:color w:val="000000" w:themeColor="text1"/>
          <w:szCs w:val="24"/>
          <w:lang w:val="en-US" w:eastAsia="zh-CN"/>
        </w:rPr>
        <w:t>、物联网、宽带、智慧城市、移动和大数据等为排名最高的领域</w:t>
      </w:r>
      <w:r w:rsidR="005E1AB9" w:rsidRPr="006C2561">
        <w:rPr>
          <w:rFonts w:ascii="Calibri" w:eastAsia="SimSun" w:hAnsi="Calibri" w:hint="eastAsia"/>
          <w:color w:val="000000" w:themeColor="text1"/>
          <w:szCs w:val="24"/>
          <w:lang w:val="en-US" w:eastAsia="zh-CN"/>
        </w:rPr>
        <w:t>。最后，成员们对仅限会员的在线区域</w:t>
      </w:r>
      <w:r w:rsidR="0037180E" w:rsidRPr="006C2561">
        <w:rPr>
          <w:rFonts w:ascii="Calibri" w:eastAsia="SimSun" w:hAnsi="Calibri" w:hint="eastAsia"/>
          <w:color w:val="000000" w:themeColor="text1"/>
          <w:szCs w:val="24"/>
          <w:lang w:val="en-US" w:eastAsia="zh-CN"/>
        </w:rPr>
        <w:t>表示了兴趣，它正</w:t>
      </w:r>
      <w:r w:rsidR="005E1AB9" w:rsidRPr="006C2561">
        <w:rPr>
          <w:rFonts w:ascii="Calibri" w:eastAsia="SimSun" w:hAnsi="Calibri" w:hint="eastAsia"/>
          <w:color w:val="000000" w:themeColor="text1"/>
          <w:szCs w:val="24"/>
          <w:lang w:val="en-US" w:eastAsia="zh-CN"/>
        </w:rPr>
        <w:t>作为</w:t>
      </w:r>
      <w:r w:rsidR="0037180E" w:rsidRPr="006C2561">
        <w:rPr>
          <w:rFonts w:ascii="Calibri" w:eastAsia="SimSun" w:hAnsi="Calibri" w:hint="eastAsia"/>
          <w:color w:val="000000" w:themeColor="text1"/>
          <w:szCs w:val="24"/>
          <w:lang w:val="en-US" w:eastAsia="zh-CN"/>
        </w:rPr>
        <w:t>一项全电联</w:t>
      </w:r>
      <w:r w:rsidR="005E1AB9" w:rsidRPr="006C2561">
        <w:rPr>
          <w:rFonts w:ascii="Calibri" w:eastAsia="SimSun" w:hAnsi="Calibri" w:hint="eastAsia"/>
          <w:color w:val="000000" w:themeColor="text1"/>
          <w:szCs w:val="24"/>
          <w:lang w:val="en-US" w:eastAsia="zh-CN"/>
        </w:rPr>
        <w:t>范围内的</w:t>
      </w:r>
      <w:r w:rsidR="0037180E" w:rsidRPr="006C2561">
        <w:rPr>
          <w:rFonts w:ascii="Calibri" w:eastAsia="SimSun" w:hAnsi="Calibri" w:hint="eastAsia"/>
          <w:color w:val="000000" w:themeColor="text1"/>
          <w:szCs w:val="24"/>
          <w:lang w:val="en-US" w:eastAsia="zh-CN"/>
        </w:rPr>
        <w:t>和</w:t>
      </w:r>
      <w:r w:rsidR="005E1AB9" w:rsidRPr="006C2561">
        <w:rPr>
          <w:rFonts w:ascii="Calibri" w:eastAsia="SimSun" w:hAnsi="Calibri" w:hint="eastAsia"/>
          <w:color w:val="000000" w:themeColor="text1"/>
          <w:szCs w:val="24"/>
          <w:lang w:val="en-US" w:eastAsia="zh-CN"/>
        </w:rPr>
        <w:t>跨部门</w:t>
      </w:r>
      <w:r w:rsidR="0037180E" w:rsidRPr="006C2561">
        <w:rPr>
          <w:rFonts w:ascii="Calibri" w:eastAsia="SimSun" w:hAnsi="Calibri" w:hint="eastAsia"/>
          <w:color w:val="000000" w:themeColor="text1"/>
          <w:szCs w:val="24"/>
          <w:lang w:val="en-US" w:eastAsia="zh-CN"/>
        </w:rPr>
        <w:t>的工作在进行中，这将使定制内容成为可能，并增强</w:t>
      </w:r>
      <w:r w:rsidR="005E1AB9" w:rsidRPr="006C2561">
        <w:rPr>
          <w:rFonts w:ascii="Calibri" w:eastAsia="SimSun" w:hAnsi="Calibri" w:hint="eastAsia"/>
          <w:color w:val="000000" w:themeColor="text1"/>
          <w:szCs w:val="24"/>
          <w:lang w:val="en-US" w:eastAsia="zh-CN"/>
        </w:rPr>
        <w:t>成员</w:t>
      </w:r>
      <w:r w:rsidR="0037180E" w:rsidRPr="006C2561">
        <w:rPr>
          <w:rFonts w:ascii="Calibri" w:eastAsia="SimSun" w:hAnsi="Calibri" w:hint="eastAsia"/>
          <w:color w:val="000000" w:themeColor="text1"/>
          <w:szCs w:val="24"/>
          <w:lang w:val="en-US" w:eastAsia="zh-CN"/>
        </w:rPr>
        <w:t>与成员之间的</w:t>
      </w:r>
      <w:r w:rsidR="005E1AB9" w:rsidRPr="006C2561">
        <w:rPr>
          <w:rFonts w:ascii="Calibri" w:eastAsia="SimSun" w:hAnsi="Calibri" w:hint="eastAsia"/>
          <w:color w:val="000000" w:themeColor="text1"/>
          <w:szCs w:val="24"/>
          <w:lang w:val="en-US" w:eastAsia="zh-CN"/>
        </w:rPr>
        <w:t>联网和协作。</w:t>
      </w:r>
    </w:p>
    <w:p w14:paraId="5E2F8AA6" w14:textId="1E076B05" w:rsidR="005E1AB9" w:rsidRPr="006C2561" w:rsidRDefault="00DC69A9" w:rsidP="00B47687">
      <w:pPr>
        <w:tabs>
          <w:tab w:val="clear" w:pos="794"/>
          <w:tab w:val="clear" w:pos="1191"/>
          <w:tab w:val="clear" w:pos="1588"/>
          <w:tab w:val="clear" w:pos="1985"/>
          <w:tab w:val="left" w:pos="567"/>
        </w:tabs>
        <w:rPr>
          <w:rFonts w:ascii="Calibri" w:eastAsia="SimSun" w:hAnsi="Calibri"/>
          <w:bCs/>
          <w:color w:val="000000" w:themeColor="text1"/>
          <w:szCs w:val="24"/>
          <w:lang w:eastAsia="zh-CN"/>
        </w:rPr>
      </w:pPr>
      <w:bookmarkStart w:id="18" w:name="OLE_LINK28"/>
      <w:bookmarkStart w:id="19" w:name="OLE_LINK29"/>
      <w:r w:rsidRPr="006C2561">
        <w:rPr>
          <w:rFonts w:ascii="Calibri" w:eastAsia="SimSun" w:hAnsi="Calibri"/>
          <w:bCs/>
          <w:szCs w:val="24"/>
        </w:rPr>
        <w:t>4.2</w:t>
      </w:r>
      <w:r w:rsidR="00B33924" w:rsidRPr="006C2561">
        <w:rPr>
          <w:rFonts w:ascii="Calibri" w:eastAsia="SimSun" w:hAnsi="Calibri"/>
          <w:b/>
          <w:szCs w:val="24"/>
        </w:rPr>
        <w:tab/>
      </w:r>
      <w:r w:rsidR="00CD14E7" w:rsidRPr="006C2561">
        <w:rPr>
          <w:rFonts w:ascii="Calibri" w:eastAsia="SimSun" w:hAnsi="Calibri"/>
          <w:b/>
          <w:szCs w:val="24"/>
        </w:rPr>
        <w:t>ITU-D</w:t>
      </w:r>
      <w:r w:rsidR="005E1AB9" w:rsidRPr="006C2561">
        <w:rPr>
          <w:rFonts w:ascii="Calibri" w:eastAsia="SimSun" w:hAnsi="Calibri" w:hint="eastAsia"/>
          <w:b/>
          <w:szCs w:val="24"/>
          <w:lang w:eastAsia="zh-CN"/>
        </w:rPr>
        <w:t>部门成员工具和服务：</w:t>
      </w:r>
      <w:bookmarkEnd w:id="18"/>
      <w:bookmarkEnd w:id="19"/>
      <w:r w:rsidR="0037180E" w:rsidRPr="006C2561">
        <w:rPr>
          <w:rFonts w:ascii="Calibri" w:eastAsia="SimSun" w:hAnsi="Calibri" w:hint="eastAsia"/>
          <w:szCs w:val="24"/>
          <w:lang w:eastAsia="zh-CN"/>
        </w:rPr>
        <w:t>持续更新</w:t>
      </w:r>
      <w:r w:rsidR="005E1AB9" w:rsidRPr="006C2561">
        <w:rPr>
          <w:rFonts w:ascii="Calibri" w:eastAsia="SimSun" w:hAnsi="Calibri" w:hint="eastAsia"/>
          <w:szCs w:val="24"/>
          <w:lang w:eastAsia="zh-CN"/>
        </w:rPr>
        <w:t>信息传播平台</w:t>
      </w:r>
      <w:r w:rsidR="0037180E" w:rsidRPr="006C2561">
        <w:rPr>
          <w:rFonts w:ascii="Calibri" w:eastAsia="SimSun" w:hAnsi="Calibri" w:hint="eastAsia"/>
          <w:szCs w:val="24"/>
          <w:lang w:eastAsia="zh-CN"/>
        </w:rPr>
        <w:t>上的数据和信息</w:t>
      </w:r>
      <w:r w:rsidR="005E1AB9" w:rsidRPr="006C2561">
        <w:rPr>
          <w:rFonts w:ascii="Calibri" w:eastAsia="SimSun" w:hAnsi="Calibri" w:hint="eastAsia"/>
          <w:szCs w:val="24"/>
          <w:lang w:eastAsia="zh-CN"/>
        </w:rPr>
        <w:t>，如</w:t>
      </w:r>
      <w:r w:rsidR="005E1AB9" w:rsidRPr="006C2561">
        <w:rPr>
          <w:rFonts w:ascii="Calibri" w:eastAsia="SimSun" w:hAnsi="Calibri" w:hint="eastAsia"/>
          <w:szCs w:val="24"/>
          <w:lang w:eastAsia="zh-CN"/>
        </w:rPr>
        <w:t>ITU-D</w:t>
      </w:r>
      <w:r w:rsidR="005E1AB9" w:rsidRPr="006C2561">
        <w:rPr>
          <w:rFonts w:ascii="Calibri" w:eastAsia="SimSun" w:hAnsi="Calibri" w:hint="eastAsia"/>
          <w:szCs w:val="24"/>
          <w:lang w:eastAsia="zh-CN"/>
        </w:rPr>
        <w:t>部门成员门户网站（</w:t>
      </w:r>
      <w:hyperlink r:id="rId13" w:history="1">
        <w:r w:rsidR="0037180E" w:rsidRPr="006C2561">
          <w:rPr>
            <w:rStyle w:val="Hyperlink"/>
            <w:rFonts w:ascii="Calibri" w:eastAsia="SimSun" w:hAnsi="Calibri"/>
            <w:szCs w:val="24"/>
            <w:lang w:eastAsia="zh-CN"/>
          </w:rPr>
          <w:t>http://www.itu.int/en/ITU-D/Membership/Pages/default.aspx</w:t>
        </w:r>
      </w:hyperlink>
      <w:r w:rsidR="005E1AB9" w:rsidRPr="006C2561">
        <w:rPr>
          <w:rFonts w:ascii="Calibri" w:eastAsia="SimSun" w:hAnsi="Calibri" w:hint="eastAsia"/>
          <w:szCs w:val="24"/>
          <w:lang w:eastAsia="zh-CN"/>
        </w:rPr>
        <w:t>）</w:t>
      </w:r>
      <w:r w:rsidR="0037180E" w:rsidRPr="006C2561">
        <w:rPr>
          <w:rFonts w:ascii="Calibri" w:eastAsia="SimSun" w:hAnsi="Calibri" w:hint="eastAsia"/>
          <w:szCs w:val="24"/>
          <w:lang w:eastAsia="zh-CN"/>
        </w:rPr>
        <w:t>。基于来自预期成员和</w:t>
      </w:r>
      <w:r w:rsidR="005E1AB9" w:rsidRPr="006C2561">
        <w:rPr>
          <w:rFonts w:ascii="Calibri" w:eastAsia="SimSun" w:hAnsi="Calibri" w:hint="eastAsia"/>
          <w:szCs w:val="24"/>
          <w:lang w:eastAsia="zh-CN"/>
        </w:rPr>
        <w:t>新成员</w:t>
      </w:r>
      <w:r w:rsidR="0037180E" w:rsidRPr="006C2561">
        <w:rPr>
          <w:rFonts w:ascii="Calibri" w:eastAsia="SimSun" w:hAnsi="Calibri" w:hint="eastAsia"/>
          <w:szCs w:val="24"/>
          <w:lang w:eastAsia="zh-CN"/>
        </w:rPr>
        <w:t>的常规</w:t>
      </w:r>
      <w:r w:rsidR="005E1AB9" w:rsidRPr="006C2561">
        <w:rPr>
          <w:rFonts w:ascii="Calibri" w:eastAsia="SimSun" w:hAnsi="Calibri" w:hint="eastAsia"/>
          <w:szCs w:val="24"/>
          <w:lang w:eastAsia="zh-CN"/>
        </w:rPr>
        <w:t>查询，</w:t>
      </w:r>
      <w:r w:rsidR="005E1AB9" w:rsidRPr="006C2561">
        <w:rPr>
          <w:rFonts w:ascii="Calibri" w:eastAsia="SimSun" w:hAnsi="Calibri" w:hint="eastAsia"/>
          <w:szCs w:val="24"/>
          <w:lang w:eastAsia="zh-CN"/>
        </w:rPr>
        <w:t>2016</w:t>
      </w:r>
      <w:r w:rsidR="0037180E" w:rsidRPr="006C2561">
        <w:rPr>
          <w:rFonts w:ascii="Calibri" w:eastAsia="SimSun" w:hAnsi="Calibri" w:hint="eastAsia"/>
          <w:szCs w:val="24"/>
          <w:lang w:eastAsia="zh-CN"/>
        </w:rPr>
        <w:t>年形成了常见问题（</w:t>
      </w:r>
      <w:r w:rsidR="0037180E" w:rsidRPr="006C2561">
        <w:rPr>
          <w:rFonts w:ascii="Calibri" w:eastAsia="SimSun" w:hAnsi="Calibri" w:hint="eastAsia"/>
          <w:szCs w:val="24"/>
          <w:lang w:eastAsia="zh-CN"/>
        </w:rPr>
        <w:t>FAQ</w:t>
      </w:r>
      <w:r w:rsidR="00A60EEE" w:rsidRPr="006C2561">
        <w:rPr>
          <w:rFonts w:ascii="Calibri" w:eastAsia="SimSun" w:hAnsi="Calibri" w:hint="eastAsia"/>
          <w:szCs w:val="24"/>
          <w:lang w:eastAsia="zh-CN"/>
        </w:rPr>
        <w:t>）。电信发展局正着手进一步加强其外联和宣传</w:t>
      </w:r>
      <w:r w:rsidR="005E1AB9" w:rsidRPr="006C2561">
        <w:rPr>
          <w:rFonts w:ascii="Calibri" w:eastAsia="SimSun" w:hAnsi="Calibri" w:hint="eastAsia"/>
          <w:szCs w:val="24"/>
          <w:lang w:eastAsia="zh-CN"/>
        </w:rPr>
        <w:t>材料，</w:t>
      </w:r>
      <w:r w:rsidR="00A60EEE" w:rsidRPr="006C2561">
        <w:rPr>
          <w:rFonts w:ascii="Calibri" w:eastAsia="SimSun" w:hAnsi="Calibri" w:hint="eastAsia"/>
          <w:bCs/>
          <w:color w:val="000000" w:themeColor="text1"/>
          <w:szCs w:val="24"/>
          <w:lang w:eastAsia="zh-CN"/>
        </w:rPr>
        <w:t>并与国际电联范围内的各项工作开展协作，积极开发和实施国际电联在线成员区域平台等。</w:t>
      </w:r>
    </w:p>
    <w:p w14:paraId="62D21124" w14:textId="5CCDA7CD" w:rsidR="005E1AB9" w:rsidRPr="006C2561" w:rsidRDefault="00DC69A9" w:rsidP="005E53D6">
      <w:pPr>
        <w:tabs>
          <w:tab w:val="clear" w:pos="794"/>
          <w:tab w:val="clear" w:pos="1191"/>
          <w:tab w:val="clear" w:pos="1588"/>
          <w:tab w:val="clear" w:pos="1985"/>
          <w:tab w:val="left" w:pos="567"/>
        </w:tabs>
        <w:rPr>
          <w:rFonts w:ascii="Calibri" w:eastAsia="SimSun" w:hAnsi="Calibri"/>
          <w:szCs w:val="24"/>
          <w:lang w:eastAsia="zh-CN"/>
        </w:rPr>
      </w:pPr>
      <w:bookmarkStart w:id="20" w:name="OLE_LINK25"/>
      <w:bookmarkStart w:id="21" w:name="OLE_LINK26"/>
      <w:bookmarkStart w:id="22" w:name="OLE_LINK27"/>
      <w:r w:rsidRPr="006C2561">
        <w:rPr>
          <w:rFonts w:ascii="Calibri" w:eastAsia="SimSun" w:hAnsi="Calibri"/>
          <w:szCs w:val="24"/>
          <w:lang w:eastAsia="zh-CN"/>
        </w:rPr>
        <w:t>4.3</w:t>
      </w:r>
      <w:r w:rsidR="00B33924" w:rsidRPr="006C2561">
        <w:rPr>
          <w:rFonts w:ascii="Calibri" w:eastAsia="SimSun" w:hAnsi="Calibri"/>
          <w:b/>
          <w:bCs/>
          <w:szCs w:val="24"/>
          <w:lang w:eastAsia="zh-CN"/>
        </w:rPr>
        <w:tab/>
      </w:r>
      <w:r w:rsidR="005E1AB9" w:rsidRPr="006C2561">
        <w:rPr>
          <w:rFonts w:ascii="Calibri" w:eastAsia="SimSun" w:hAnsi="Calibri" w:hint="eastAsia"/>
          <w:b/>
          <w:bCs/>
          <w:szCs w:val="24"/>
          <w:lang w:eastAsia="zh-CN"/>
        </w:rPr>
        <w:t>加强国际电联学术成员参与国际电联的工作：</w:t>
      </w:r>
      <w:bookmarkEnd w:id="20"/>
      <w:bookmarkEnd w:id="21"/>
      <w:bookmarkEnd w:id="22"/>
      <w:r w:rsidR="005E1AB9" w:rsidRPr="006C2561">
        <w:rPr>
          <w:rFonts w:ascii="Calibri" w:eastAsia="SimSun" w:hAnsi="Calibri" w:hint="eastAsia"/>
          <w:szCs w:val="24"/>
          <w:lang w:eastAsia="zh-CN"/>
        </w:rPr>
        <w:t>电信发展局于</w:t>
      </w:r>
      <w:r w:rsidR="005E1AB9" w:rsidRPr="006C2561">
        <w:rPr>
          <w:rFonts w:ascii="Calibri" w:eastAsia="SimSun" w:hAnsi="Calibri" w:hint="eastAsia"/>
          <w:szCs w:val="24"/>
          <w:lang w:eastAsia="zh-CN"/>
        </w:rPr>
        <w:t>2015</w:t>
      </w:r>
      <w:r w:rsidR="005E1AB9" w:rsidRPr="006C2561">
        <w:rPr>
          <w:rFonts w:ascii="Calibri" w:eastAsia="SimSun" w:hAnsi="Calibri" w:hint="eastAsia"/>
          <w:szCs w:val="24"/>
          <w:lang w:eastAsia="zh-CN"/>
        </w:rPr>
        <w:t>年</w:t>
      </w:r>
      <w:r w:rsidR="005E1AB9" w:rsidRPr="006C2561">
        <w:rPr>
          <w:rFonts w:ascii="Calibri" w:eastAsia="SimSun" w:hAnsi="Calibri" w:hint="eastAsia"/>
          <w:szCs w:val="24"/>
          <w:lang w:eastAsia="zh-CN"/>
        </w:rPr>
        <w:t>9</w:t>
      </w:r>
      <w:r w:rsidR="00F7006E" w:rsidRPr="006C2561">
        <w:rPr>
          <w:rFonts w:ascii="Calibri" w:eastAsia="SimSun" w:hAnsi="Calibri" w:hint="eastAsia"/>
          <w:szCs w:val="24"/>
          <w:lang w:eastAsia="zh-CN"/>
        </w:rPr>
        <w:t>月召开</w:t>
      </w:r>
      <w:r w:rsidR="005E1AB9" w:rsidRPr="006C2561">
        <w:rPr>
          <w:rFonts w:ascii="Calibri" w:eastAsia="SimSun" w:hAnsi="Calibri" w:hint="eastAsia"/>
          <w:szCs w:val="24"/>
          <w:lang w:eastAsia="zh-CN"/>
        </w:rPr>
        <w:t>的</w:t>
      </w:r>
      <w:r w:rsidR="005E1AB9" w:rsidRPr="006C2561">
        <w:rPr>
          <w:rFonts w:ascii="Calibri" w:eastAsia="SimSun" w:hAnsi="Calibri" w:hint="eastAsia"/>
          <w:szCs w:val="24"/>
          <w:lang w:eastAsia="zh-CN"/>
        </w:rPr>
        <w:t>ITU-D</w:t>
      </w:r>
      <w:r w:rsidR="005E1AB9" w:rsidRPr="006C2561">
        <w:rPr>
          <w:rFonts w:ascii="Calibri" w:eastAsia="SimSun" w:hAnsi="Calibri" w:hint="eastAsia"/>
          <w:szCs w:val="24"/>
          <w:lang w:eastAsia="zh-CN"/>
        </w:rPr>
        <w:t>学术网络会议的结果之一是需要新的</w:t>
      </w:r>
      <w:r w:rsidR="00441E79" w:rsidRPr="006C2561">
        <w:rPr>
          <w:rFonts w:ascii="Calibri" w:eastAsia="SimSun" w:hAnsi="Calibri" w:hint="eastAsia"/>
          <w:szCs w:val="24"/>
          <w:lang w:eastAsia="zh-CN"/>
        </w:rPr>
        <w:t>合作研究</w:t>
      </w:r>
      <w:r w:rsidR="005E1AB9" w:rsidRPr="006C2561">
        <w:rPr>
          <w:rFonts w:ascii="Calibri" w:eastAsia="SimSun" w:hAnsi="Calibri" w:hint="eastAsia"/>
          <w:szCs w:val="24"/>
          <w:lang w:eastAsia="zh-CN"/>
        </w:rPr>
        <w:t>平台和</w:t>
      </w:r>
      <w:r w:rsidR="00441E79" w:rsidRPr="006C2561">
        <w:rPr>
          <w:rFonts w:ascii="Calibri" w:eastAsia="SimSun" w:hAnsi="Calibri" w:hint="eastAsia"/>
          <w:szCs w:val="24"/>
          <w:lang w:eastAsia="zh-CN"/>
        </w:rPr>
        <w:t>形式</w:t>
      </w:r>
      <w:r w:rsidR="005E1AB9" w:rsidRPr="006C2561">
        <w:rPr>
          <w:rFonts w:ascii="Calibri" w:eastAsia="SimSun" w:hAnsi="Calibri" w:hint="eastAsia"/>
          <w:szCs w:val="24"/>
          <w:lang w:eastAsia="zh-CN"/>
        </w:rPr>
        <w:t>。</w:t>
      </w:r>
      <w:r w:rsidR="00441E79" w:rsidRPr="006C2561">
        <w:rPr>
          <w:rFonts w:ascii="Calibri" w:eastAsia="SimSun" w:hAnsi="Calibri" w:hint="eastAsia"/>
          <w:szCs w:val="24"/>
          <w:lang w:eastAsia="zh-CN"/>
        </w:rPr>
        <w:t>从</w:t>
      </w:r>
      <w:r w:rsidR="005E1AB9" w:rsidRPr="006C2561">
        <w:rPr>
          <w:rFonts w:ascii="Calibri" w:eastAsia="SimSun" w:hAnsi="Calibri" w:hint="eastAsia"/>
          <w:szCs w:val="24"/>
          <w:lang w:eastAsia="zh-CN"/>
        </w:rPr>
        <w:t>这个意义上</w:t>
      </w:r>
      <w:r w:rsidR="00441E79" w:rsidRPr="006C2561">
        <w:rPr>
          <w:rFonts w:ascii="Calibri" w:eastAsia="SimSun" w:hAnsi="Calibri" w:hint="eastAsia"/>
          <w:szCs w:val="24"/>
          <w:lang w:eastAsia="zh-CN"/>
        </w:rPr>
        <w:t>来说</w:t>
      </w:r>
      <w:r w:rsidR="005E1AB9" w:rsidRPr="006C2561">
        <w:rPr>
          <w:rFonts w:ascii="Calibri" w:eastAsia="SimSun" w:hAnsi="Calibri" w:hint="eastAsia"/>
          <w:szCs w:val="24"/>
          <w:lang w:eastAsia="zh-CN"/>
        </w:rPr>
        <w:t>，</w:t>
      </w:r>
      <w:r w:rsidR="00441E79" w:rsidRPr="006C2561">
        <w:rPr>
          <w:rFonts w:ascii="Calibri" w:eastAsia="SimSun" w:hAnsi="Calibri" w:hint="eastAsia"/>
          <w:szCs w:val="24"/>
          <w:lang w:eastAsia="zh-CN"/>
        </w:rPr>
        <w:t>需要</w:t>
      </w:r>
      <w:r w:rsidR="005E1AB9" w:rsidRPr="006C2561">
        <w:rPr>
          <w:rFonts w:ascii="Calibri" w:eastAsia="SimSun" w:hAnsi="Calibri" w:hint="eastAsia"/>
          <w:szCs w:val="24"/>
          <w:lang w:eastAsia="zh-CN"/>
        </w:rPr>
        <w:t>进一步与多个</w:t>
      </w:r>
      <w:r w:rsidR="00441E79" w:rsidRPr="006C2561">
        <w:rPr>
          <w:rFonts w:ascii="Calibri" w:eastAsia="SimSun" w:hAnsi="Calibri" w:hint="eastAsia"/>
          <w:szCs w:val="24"/>
          <w:lang w:eastAsia="zh-CN"/>
        </w:rPr>
        <w:t>学术成员进行</w:t>
      </w:r>
      <w:r w:rsidR="005E1AB9" w:rsidRPr="006C2561">
        <w:rPr>
          <w:rFonts w:ascii="Calibri" w:eastAsia="SimSun" w:hAnsi="Calibri" w:hint="eastAsia"/>
          <w:szCs w:val="24"/>
          <w:lang w:eastAsia="zh-CN"/>
        </w:rPr>
        <w:t>磋商，</w:t>
      </w:r>
      <w:r w:rsidR="00441E79" w:rsidRPr="006C2561">
        <w:rPr>
          <w:rFonts w:ascii="Calibri" w:eastAsia="SimSun" w:hAnsi="Calibri" w:hint="eastAsia"/>
          <w:szCs w:val="24"/>
          <w:lang w:eastAsia="zh-CN"/>
        </w:rPr>
        <w:t>以期从</w:t>
      </w:r>
      <w:r w:rsidR="005E1AB9" w:rsidRPr="006C2561">
        <w:rPr>
          <w:rFonts w:ascii="Calibri" w:eastAsia="SimSun" w:hAnsi="Calibri" w:hint="eastAsia"/>
          <w:szCs w:val="24"/>
          <w:lang w:eastAsia="zh-CN"/>
        </w:rPr>
        <w:t>愿意从事工作和研究的科学界</w:t>
      </w:r>
      <w:r w:rsidR="00441E79" w:rsidRPr="006C2561">
        <w:rPr>
          <w:rFonts w:ascii="Calibri" w:eastAsia="SimSun" w:hAnsi="Calibri" w:hint="eastAsia"/>
          <w:szCs w:val="24"/>
          <w:lang w:eastAsia="zh-CN"/>
        </w:rPr>
        <w:t>发现和确定</w:t>
      </w:r>
      <w:r w:rsidR="005E1AB9" w:rsidRPr="006C2561">
        <w:rPr>
          <w:rFonts w:ascii="Calibri" w:eastAsia="SimSun" w:hAnsi="Calibri" w:hint="eastAsia"/>
          <w:szCs w:val="24"/>
          <w:lang w:eastAsia="zh-CN"/>
        </w:rPr>
        <w:t>感兴趣</w:t>
      </w:r>
      <w:r w:rsidR="00441E79" w:rsidRPr="006C2561">
        <w:rPr>
          <w:rFonts w:ascii="Calibri" w:eastAsia="SimSun" w:hAnsi="Calibri" w:hint="eastAsia"/>
          <w:szCs w:val="24"/>
          <w:lang w:eastAsia="zh-CN"/>
        </w:rPr>
        <w:t>的</w:t>
      </w:r>
      <w:r w:rsidR="005E1AB9" w:rsidRPr="006C2561">
        <w:rPr>
          <w:rFonts w:ascii="Calibri" w:eastAsia="SimSun" w:hAnsi="Calibri" w:hint="eastAsia"/>
          <w:szCs w:val="24"/>
          <w:lang w:eastAsia="zh-CN"/>
        </w:rPr>
        <w:t>和知名的专家，电信发展局目前正在开展</w:t>
      </w:r>
      <w:r w:rsidR="00441E79" w:rsidRPr="006C2561">
        <w:rPr>
          <w:rFonts w:ascii="Calibri" w:eastAsia="SimSun" w:hAnsi="Calibri" w:hint="eastAsia"/>
          <w:szCs w:val="24"/>
          <w:lang w:eastAsia="zh-CN"/>
        </w:rPr>
        <w:t>一项</w:t>
      </w:r>
      <w:r w:rsidR="005E1AB9" w:rsidRPr="006C2561">
        <w:rPr>
          <w:rFonts w:ascii="Calibri" w:eastAsia="SimSun" w:hAnsi="Calibri" w:hint="eastAsia"/>
          <w:szCs w:val="24"/>
          <w:lang w:eastAsia="zh-CN"/>
        </w:rPr>
        <w:t>关于信息通信技术对可持续发展</w:t>
      </w:r>
      <w:r w:rsidR="00441E79" w:rsidRPr="006C2561">
        <w:rPr>
          <w:rFonts w:ascii="Calibri" w:eastAsia="SimSun" w:hAnsi="Calibri" w:hint="eastAsia"/>
          <w:szCs w:val="24"/>
          <w:lang w:eastAsia="zh-CN"/>
        </w:rPr>
        <w:t>的作用与影响的综合研究，</w:t>
      </w:r>
      <w:r w:rsidR="005E53D6" w:rsidRPr="006C2561">
        <w:rPr>
          <w:rFonts w:ascii="Calibri" w:eastAsia="SimSun" w:hAnsi="Calibri" w:hint="eastAsia"/>
          <w:szCs w:val="24"/>
          <w:lang w:eastAsia="zh-CN"/>
        </w:rPr>
        <w:t>重点是创新、</w:t>
      </w:r>
      <w:r w:rsidR="005E1AB9" w:rsidRPr="006C2561">
        <w:rPr>
          <w:rFonts w:ascii="Calibri" w:eastAsia="SimSun" w:hAnsi="Calibri" w:hint="eastAsia"/>
          <w:szCs w:val="24"/>
          <w:lang w:eastAsia="zh-CN"/>
        </w:rPr>
        <w:t>创造</w:t>
      </w:r>
      <w:r w:rsidR="005E53D6" w:rsidRPr="006C2561">
        <w:rPr>
          <w:rFonts w:ascii="Calibri" w:eastAsia="SimSun" w:hAnsi="Calibri" w:hint="eastAsia"/>
          <w:szCs w:val="24"/>
          <w:lang w:eastAsia="zh-CN"/>
        </w:rPr>
        <w:t>就业机会</w:t>
      </w:r>
      <w:r w:rsidR="005E1AB9" w:rsidRPr="006C2561">
        <w:rPr>
          <w:rFonts w:ascii="Calibri" w:eastAsia="SimSun" w:hAnsi="Calibri" w:hint="eastAsia"/>
          <w:szCs w:val="24"/>
          <w:lang w:eastAsia="zh-CN"/>
        </w:rPr>
        <w:t>和</w:t>
      </w:r>
      <w:r w:rsidR="005E53D6" w:rsidRPr="006C2561">
        <w:rPr>
          <w:rFonts w:ascii="Calibri" w:eastAsia="SimSun" w:hAnsi="Calibri" w:hint="eastAsia"/>
          <w:szCs w:val="24"/>
          <w:lang w:eastAsia="zh-CN"/>
        </w:rPr>
        <w:t>促进</w:t>
      </w:r>
      <w:r w:rsidR="005E1AB9" w:rsidRPr="006C2561">
        <w:rPr>
          <w:rFonts w:ascii="Calibri" w:eastAsia="SimSun" w:hAnsi="Calibri" w:hint="eastAsia"/>
          <w:szCs w:val="24"/>
          <w:lang w:eastAsia="zh-CN"/>
        </w:rPr>
        <w:t>经济增长。</w:t>
      </w:r>
      <w:r w:rsidR="005E53D6" w:rsidRPr="006C2561">
        <w:rPr>
          <w:rFonts w:ascii="Calibri" w:eastAsia="SimSun" w:hAnsi="Calibri" w:hint="eastAsia"/>
          <w:szCs w:val="24"/>
          <w:lang w:eastAsia="zh-CN"/>
        </w:rPr>
        <w:t>该</w:t>
      </w:r>
      <w:r w:rsidR="005E1AB9" w:rsidRPr="006C2561">
        <w:rPr>
          <w:rFonts w:ascii="Calibri" w:eastAsia="SimSun" w:hAnsi="Calibri" w:hint="eastAsia"/>
          <w:szCs w:val="24"/>
          <w:lang w:eastAsia="zh-CN"/>
        </w:rPr>
        <w:t>学术驱动</w:t>
      </w:r>
      <w:r w:rsidR="005E53D6" w:rsidRPr="006C2561">
        <w:rPr>
          <w:rFonts w:ascii="Calibri" w:eastAsia="SimSun" w:hAnsi="Calibri" w:hint="eastAsia"/>
          <w:szCs w:val="24"/>
          <w:lang w:eastAsia="zh-CN"/>
        </w:rPr>
        <w:t>之</w:t>
      </w:r>
      <w:r w:rsidR="005E1AB9" w:rsidRPr="006C2561">
        <w:rPr>
          <w:rFonts w:ascii="Calibri" w:eastAsia="SimSun" w:hAnsi="Calibri" w:hint="eastAsia"/>
          <w:szCs w:val="24"/>
          <w:lang w:eastAsia="zh-CN"/>
        </w:rPr>
        <w:t>研究的试点计划进</w:t>
      </w:r>
      <w:r w:rsidR="005E1AB9" w:rsidRPr="006C2561">
        <w:rPr>
          <w:rFonts w:ascii="Calibri" w:eastAsia="SimSun" w:hAnsi="Calibri" w:hint="eastAsia"/>
          <w:szCs w:val="24"/>
          <w:lang w:eastAsia="zh-CN"/>
        </w:rPr>
        <w:lastRenderedPageBreak/>
        <w:t>展顺利，报告将在</w:t>
      </w:r>
      <w:r w:rsidR="005E1AB9" w:rsidRPr="006C2561">
        <w:rPr>
          <w:rFonts w:ascii="Calibri" w:eastAsia="SimSun" w:hAnsi="Calibri" w:hint="eastAsia"/>
          <w:szCs w:val="24"/>
          <w:lang w:eastAsia="zh-CN"/>
        </w:rPr>
        <w:t>WTDC-17</w:t>
      </w:r>
      <w:r w:rsidR="005E53D6" w:rsidRPr="006C2561">
        <w:rPr>
          <w:rFonts w:ascii="Calibri" w:eastAsia="SimSun" w:hAnsi="Calibri" w:hint="eastAsia"/>
          <w:szCs w:val="24"/>
          <w:lang w:eastAsia="zh-CN"/>
        </w:rPr>
        <w:t>上进行</w:t>
      </w:r>
      <w:r w:rsidR="005E1AB9" w:rsidRPr="006C2561">
        <w:rPr>
          <w:rFonts w:ascii="Calibri" w:eastAsia="SimSun" w:hAnsi="Calibri" w:hint="eastAsia"/>
          <w:szCs w:val="24"/>
          <w:lang w:eastAsia="zh-CN"/>
        </w:rPr>
        <w:t>发布。</w:t>
      </w:r>
      <w:r w:rsidR="005E53D6" w:rsidRPr="006C2561">
        <w:rPr>
          <w:rFonts w:ascii="Calibri" w:eastAsia="SimSun" w:hAnsi="Calibri" w:hint="eastAsia"/>
          <w:szCs w:val="24"/>
          <w:lang w:eastAsia="zh-CN"/>
        </w:rPr>
        <w:t>这一举措也带来了新的学术成员，促进了与各个</w:t>
      </w:r>
      <w:r w:rsidR="005E1AB9" w:rsidRPr="006C2561">
        <w:rPr>
          <w:rFonts w:ascii="Calibri" w:eastAsia="SimSun" w:hAnsi="Calibri" w:hint="eastAsia"/>
          <w:szCs w:val="24"/>
          <w:lang w:eastAsia="zh-CN"/>
        </w:rPr>
        <w:t>作者</w:t>
      </w:r>
      <w:r w:rsidR="005E53D6" w:rsidRPr="006C2561">
        <w:rPr>
          <w:rFonts w:ascii="Calibri" w:eastAsia="SimSun" w:hAnsi="Calibri" w:hint="eastAsia"/>
          <w:szCs w:val="24"/>
          <w:lang w:eastAsia="zh-CN"/>
        </w:rPr>
        <w:t>的广泛</w:t>
      </w:r>
      <w:r w:rsidR="005E1AB9" w:rsidRPr="006C2561">
        <w:rPr>
          <w:rFonts w:ascii="Calibri" w:eastAsia="SimSun" w:hAnsi="Calibri" w:hint="eastAsia"/>
          <w:szCs w:val="24"/>
          <w:lang w:eastAsia="zh-CN"/>
        </w:rPr>
        <w:t>联系</w:t>
      </w:r>
      <w:r w:rsidR="005E53D6" w:rsidRPr="006C2561">
        <w:rPr>
          <w:rFonts w:ascii="Calibri" w:eastAsia="SimSun" w:hAnsi="Calibri" w:hint="eastAsia"/>
          <w:szCs w:val="24"/>
          <w:lang w:eastAsia="zh-CN"/>
        </w:rPr>
        <w:t>和互动，并确认了探索开展类似合作</w:t>
      </w:r>
      <w:r w:rsidR="005E1AB9" w:rsidRPr="006C2561">
        <w:rPr>
          <w:rFonts w:ascii="Calibri" w:eastAsia="SimSun" w:hAnsi="Calibri" w:hint="eastAsia"/>
          <w:szCs w:val="24"/>
          <w:lang w:eastAsia="zh-CN"/>
        </w:rPr>
        <w:t>的兴趣和机会。</w:t>
      </w:r>
    </w:p>
    <w:p w14:paraId="2FE889BD" w14:textId="345D90E9" w:rsidR="005E1AB9" w:rsidRPr="006C2561" w:rsidRDefault="005E1AB9" w:rsidP="005E1AB9">
      <w:pPr>
        <w:ind w:firstLineChars="200" w:firstLine="480"/>
        <w:rPr>
          <w:rFonts w:ascii="Calibri" w:eastAsia="SimSun" w:hAnsi="Calibri"/>
          <w:szCs w:val="24"/>
          <w:lang w:eastAsia="zh-CN"/>
        </w:rPr>
      </w:pPr>
      <w:r w:rsidRPr="006C2561">
        <w:rPr>
          <w:rFonts w:ascii="Calibri" w:eastAsia="SimSun" w:hAnsi="Calibri" w:hint="eastAsia"/>
          <w:szCs w:val="24"/>
          <w:lang w:eastAsia="zh-CN"/>
        </w:rPr>
        <w:t>电信发展局于</w:t>
      </w:r>
      <w:r w:rsidRPr="006C2561">
        <w:rPr>
          <w:rFonts w:ascii="Calibri" w:eastAsia="SimSun" w:hAnsi="Calibri" w:hint="eastAsia"/>
          <w:szCs w:val="24"/>
          <w:lang w:eastAsia="zh-CN"/>
        </w:rPr>
        <w:t>2016</w:t>
      </w:r>
      <w:r w:rsidR="005E53D6" w:rsidRPr="006C2561">
        <w:rPr>
          <w:rFonts w:ascii="Calibri" w:eastAsia="SimSun" w:hAnsi="Calibri" w:hint="eastAsia"/>
          <w:szCs w:val="24"/>
          <w:lang w:eastAsia="zh-CN"/>
        </w:rPr>
        <w:t>年开展了一项试点实验，邀请瑞士的学术</w:t>
      </w:r>
      <w:r w:rsidRPr="006C2561">
        <w:rPr>
          <w:rFonts w:ascii="Calibri" w:eastAsia="SimSun" w:hAnsi="Calibri" w:hint="eastAsia"/>
          <w:szCs w:val="24"/>
          <w:lang w:eastAsia="zh-CN"/>
        </w:rPr>
        <w:t>成员带领</w:t>
      </w:r>
      <w:r w:rsidRPr="006C2561">
        <w:rPr>
          <w:rFonts w:ascii="Calibri" w:eastAsia="SimSun" w:hAnsi="Calibri" w:hint="eastAsia"/>
          <w:szCs w:val="24"/>
          <w:lang w:eastAsia="zh-CN"/>
        </w:rPr>
        <w:t>20</w:t>
      </w:r>
      <w:r w:rsidRPr="006C2561">
        <w:rPr>
          <w:rFonts w:ascii="Calibri" w:eastAsia="SimSun" w:hAnsi="Calibri" w:hint="eastAsia"/>
          <w:szCs w:val="24"/>
          <w:lang w:eastAsia="zh-CN"/>
        </w:rPr>
        <w:t>多名大学生</w:t>
      </w:r>
      <w:r w:rsidR="005E53D6" w:rsidRPr="006C2561">
        <w:rPr>
          <w:rFonts w:ascii="Calibri" w:eastAsia="SimSun" w:hAnsi="Calibri" w:hint="eastAsia"/>
          <w:szCs w:val="24"/>
          <w:lang w:eastAsia="zh-CN"/>
        </w:rPr>
        <w:t>来</w:t>
      </w:r>
      <w:r w:rsidRPr="006C2561">
        <w:rPr>
          <w:rFonts w:ascii="Calibri" w:eastAsia="SimSun" w:hAnsi="Calibri" w:hint="eastAsia"/>
          <w:szCs w:val="24"/>
          <w:lang w:eastAsia="zh-CN"/>
        </w:rPr>
        <w:t>更好地了解</w:t>
      </w:r>
      <w:r w:rsidRPr="006C2561">
        <w:rPr>
          <w:rFonts w:ascii="Calibri" w:eastAsia="SimSun" w:hAnsi="Calibri" w:hint="eastAsia"/>
          <w:szCs w:val="24"/>
          <w:lang w:eastAsia="zh-CN"/>
        </w:rPr>
        <w:t>ITU-D</w:t>
      </w:r>
      <w:r w:rsidR="005E53D6" w:rsidRPr="006C2561">
        <w:rPr>
          <w:rFonts w:ascii="Calibri" w:eastAsia="SimSun" w:hAnsi="Calibri" w:hint="eastAsia"/>
          <w:szCs w:val="24"/>
          <w:lang w:eastAsia="zh-CN"/>
        </w:rPr>
        <w:t>的作用和任务，并通过观察中立的和多利益攸关方的知识共享平台的运作情况，获得了</w:t>
      </w:r>
      <w:r w:rsidRPr="006C2561">
        <w:rPr>
          <w:rFonts w:ascii="Calibri" w:eastAsia="SimSun" w:hAnsi="Calibri" w:hint="eastAsia"/>
          <w:szCs w:val="24"/>
          <w:lang w:eastAsia="zh-CN"/>
        </w:rPr>
        <w:t>与</w:t>
      </w:r>
      <w:r w:rsidR="005E53D6" w:rsidRPr="006C2561">
        <w:rPr>
          <w:rFonts w:ascii="Calibri" w:eastAsia="SimSun" w:hAnsi="Calibri" w:hint="eastAsia"/>
          <w:szCs w:val="24"/>
          <w:lang w:eastAsia="zh-CN"/>
        </w:rPr>
        <w:t>信息通信技术</w:t>
      </w:r>
      <w:r w:rsidRPr="006C2561">
        <w:rPr>
          <w:rFonts w:ascii="Calibri" w:eastAsia="SimSun" w:hAnsi="Calibri" w:hint="eastAsia"/>
          <w:szCs w:val="24"/>
          <w:lang w:eastAsia="zh-CN"/>
        </w:rPr>
        <w:t>发展议程有关的辩论</w:t>
      </w:r>
      <w:r w:rsidR="005E53D6" w:rsidRPr="006C2561">
        <w:rPr>
          <w:rFonts w:ascii="Calibri" w:eastAsia="SimSun" w:hAnsi="Calibri" w:hint="eastAsia"/>
          <w:szCs w:val="24"/>
          <w:lang w:eastAsia="zh-CN"/>
        </w:rPr>
        <w:t>的</w:t>
      </w:r>
      <w:r w:rsidRPr="006C2561">
        <w:rPr>
          <w:rFonts w:ascii="Calibri" w:eastAsia="SimSun" w:hAnsi="Calibri" w:hint="eastAsia"/>
          <w:szCs w:val="24"/>
          <w:lang w:eastAsia="zh-CN"/>
        </w:rPr>
        <w:t>第一手经验，如在日内瓦举行的</w:t>
      </w:r>
      <w:r w:rsidRPr="006C2561">
        <w:rPr>
          <w:rFonts w:ascii="Calibri" w:eastAsia="SimSun" w:hAnsi="Calibri" w:hint="eastAsia"/>
          <w:szCs w:val="24"/>
          <w:lang w:eastAsia="zh-CN"/>
        </w:rPr>
        <w:t>ITU-D</w:t>
      </w:r>
      <w:r w:rsidRPr="006C2561">
        <w:rPr>
          <w:rFonts w:ascii="Calibri" w:eastAsia="SimSun" w:hAnsi="Calibri" w:hint="eastAsia"/>
          <w:szCs w:val="24"/>
          <w:lang w:eastAsia="zh-CN"/>
        </w:rPr>
        <w:t>研究组</w:t>
      </w:r>
      <w:r w:rsidR="005E53D6" w:rsidRPr="006C2561">
        <w:rPr>
          <w:rFonts w:ascii="Calibri" w:eastAsia="SimSun" w:hAnsi="Calibri" w:hint="eastAsia"/>
          <w:szCs w:val="24"/>
          <w:lang w:eastAsia="zh-CN"/>
        </w:rPr>
        <w:t>会议。</w:t>
      </w:r>
    </w:p>
    <w:p w14:paraId="06F8F493" w14:textId="00FBCE1F" w:rsidR="005E1AB9" w:rsidRPr="006C2561" w:rsidRDefault="00B47687" w:rsidP="00227188">
      <w:pPr>
        <w:tabs>
          <w:tab w:val="clear" w:pos="794"/>
          <w:tab w:val="clear" w:pos="1191"/>
          <w:tab w:val="clear" w:pos="1588"/>
          <w:tab w:val="clear" w:pos="1985"/>
          <w:tab w:val="left" w:pos="567"/>
        </w:tabs>
        <w:rPr>
          <w:rFonts w:ascii="Calibri" w:eastAsia="SimSun" w:hAnsi="Calibri"/>
          <w:szCs w:val="24"/>
          <w:lang w:eastAsia="zh-CN"/>
        </w:rPr>
      </w:pPr>
      <w:bookmarkStart w:id="23" w:name="OLE_LINK21"/>
      <w:bookmarkStart w:id="24" w:name="OLE_LINK22"/>
      <w:r w:rsidRPr="006C2561">
        <w:rPr>
          <w:rFonts w:ascii="Calibri" w:eastAsia="SimSun" w:hAnsi="Calibri"/>
          <w:szCs w:val="24"/>
          <w:lang w:eastAsia="zh-CN"/>
        </w:rPr>
        <w:t>4.4</w:t>
      </w:r>
      <w:r w:rsidR="00B33924" w:rsidRPr="006C2561">
        <w:rPr>
          <w:rFonts w:ascii="Calibri" w:eastAsia="SimSun" w:hAnsi="Calibri"/>
          <w:szCs w:val="24"/>
          <w:lang w:eastAsia="zh-CN"/>
        </w:rPr>
        <w:tab/>
      </w:r>
      <w:r w:rsidR="005E1AB9" w:rsidRPr="006C2561">
        <w:rPr>
          <w:rFonts w:ascii="Calibri" w:eastAsia="SimSun" w:hAnsi="Calibri" w:hint="eastAsia"/>
          <w:b/>
          <w:bCs/>
          <w:szCs w:val="24"/>
          <w:lang w:eastAsia="zh-CN"/>
        </w:rPr>
        <w:t>加强私营部门参与</w:t>
      </w:r>
      <w:r w:rsidR="005E1AB9" w:rsidRPr="006C2561">
        <w:rPr>
          <w:rFonts w:ascii="Calibri" w:eastAsia="SimSun" w:hAnsi="Calibri" w:hint="eastAsia"/>
          <w:b/>
          <w:bCs/>
          <w:szCs w:val="24"/>
          <w:lang w:eastAsia="zh-CN"/>
        </w:rPr>
        <w:t>ITU-D</w:t>
      </w:r>
      <w:r w:rsidR="005E1AB9" w:rsidRPr="006C2561">
        <w:rPr>
          <w:rFonts w:ascii="Calibri" w:eastAsia="SimSun" w:hAnsi="Calibri" w:hint="eastAsia"/>
          <w:b/>
          <w:bCs/>
          <w:szCs w:val="24"/>
          <w:lang w:eastAsia="zh-CN"/>
        </w:rPr>
        <w:t>的工作：</w:t>
      </w:r>
      <w:bookmarkEnd w:id="23"/>
      <w:bookmarkEnd w:id="24"/>
      <w:r w:rsidR="005E53D6" w:rsidRPr="006C2561">
        <w:rPr>
          <w:rFonts w:ascii="Calibri" w:eastAsia="SimSun" w:hAnsi="Calibri" w:hint="eastAsia"/>
          <w:szCs w:val="24"/>
          <w:lang w:eastAsia="zh-CN"/>
        </w:rPr>
        <w:t>2016</w:t>
      </w:r>
      <w:r w:rsidR="005E53D6" w:rsidRPr="006C2561">
        <w:rPr>
          <w:rFonts w:ascii="Calibri" w:eastAsia="SimSun" w:hAnsi="Calibri" w:hint="eastAsia"/>
          <w:szCs w:val="24"/>
          <w:lang w:eastAsia="zh-CN"/>
        </w:rPr>
        <w:t>年举行了私营部门首席监管</w:t>
      </w:r>
      <w:r w:rsidR="005E1AB9" w:rsidRPr="006C2561">
        <w:rPr>
          <w:rFonts w:ascii="Calibri" w:eastAsia="SimSun" w:hAnsi="Calibri" w:hint="eastAsia"/>
          <w:szCs w:val="24"/>
          <w:lang w:eastAsia="zh-CN"/>
        </w:rPr>
        <w:t>官员（</w:t>
      </w:r>
      <w:r w:rsidR="005E1AB9" w:rsidRPr="006C2561">
        <w:rPr>
          <w:rFonts w:ascii="Calibri" w:eastAsia="SimSun" w:hAnsi="Calibri" w:hint="eastAsia"/>
          <w:szCs w:val="24"/>
          <w:lang w:eastAsia="zh-CN"/>
        </w:rPr>
        <w:t>CRO</w:t>
      </w:r>
      <w:r w:rsidR="005E53D6" w:rsidRPr="006C2561">
        <w:rPr>
          <w:rFonts w:ascii="Calibri" w:eastAsia="SimSun" w:hAnsi="Calibri" w:hint="eastAsia"/>
          <w:szCs w:val="24"/>
          <w:lang w:eastAsia="zh-CN"/>
        </w:rPr>
        <w:t>）第</w:t>
      </w:r>
      <w:r w:rsidR="005E53D6" w:rsidRPr="006C2561">
        <w:rPr>
          <w:rFonts w:ascii="Calibri" w:eastAsia="SimSun" w:hAnsi="Calibri" w:hint="eastAsia"/>
          <w:szCs w:val="24"/>
          <w:lang w:eastAsia="zh-CN"/>
        </w:rPr>
        <w:t>6</w:t>
      </w:r>
      <w:r w:rsidR="005E53D6" w:rsidRPr="006C2561">
        <w:rPr>
          <w:rFonts w:ascii="Calibri" w:eastAsia="SimSun" w:hAnsi="Calibri" w:hint="eastAsia"/>
          <w:szCs w:val="24"/>
          <w:lang w:eastAsia="zh-CN"/>
        </w:rPr>
        <w:t>次和第</w:t>
      </w:r>
      <w:r w:rsidR="005E53D6" w:rsidRPr="006C2561">
        <w:rPr>
          <w:rFonts w:ascii="Calibri" w:eastAsia="SimSun" w:hAnsi="Calibri" w:hint="eastAsia"/>
          <w:szCs w:val="24"/>
          <w:lang w:eastAsia="zh-CN"/>
        </w:rPr>
        <w:t>7</w:t>
      </w:r>
      <w:r w:rsidR="005E53D6" w:rsidRPr="006C2561">
        <w:rPr>
          <w:rFonts w:ascii="Calibri" w:eastAsia="SimSun" w:hAnsi="Calibri" w:hint="eastAsia"/>
          <w:szCs w:val="24"/>
          <w:lang w:eastAsia="zh-CN"/>
        </w:rPr>
        <w:t>次</w:t>
      </w:r>
      <w:r w:rsidR="005E1AB9" w:rsidRPr="006C2561">
        <w:rPr>
          <w:rFonts w:ascii="Calibri" w:eastAsia="SimSun" w:hAnsi="Calibri" w:hint="eastAsia"/>
          <w:szCs w:val="24"/>
          <w:lang w:eastAsia="zh-CN"/>
        </w:rPr>
        <w:t>会议，汇集了高级行业高管，</w:t>
      </w:r>
      <w:r w:rsidR="005E53D6" w:rsidRPr="006C2561">
        <w:rPr>
          <w:rFonts w:ascii="Calibri" w:eastAsia="SimSun" w:hAnsi="Calibri" w:hint="eastAsia"/>
          <w:szCs w:val="24"/>
          <w:lang w:eastAsia="zh-CN"/>
        </w:rPr>
        <w:t>来</w:t>
      </w:r>
      <w:r w:rsidR="005E1AB9" w:rsidRPr="006C2561">
        <w:rPr>
          <w:rFonts w:ascii="Calibri" w:eastAsia="SimSun" w:hAnsi="Calibri" w:hint="eastAsia"/>
          <w:szCs w:val="24"/>
          <w:lang w:eastAsia="zh-CN"/>
        </w:rPr>
        <w:t>分享</w:t>
      </w:r>
      <w:r w:rsidR="005E53D6" w:rsidRPr="006C2561">
        <w:rPr>
          <w:rFonts w:ascii="Calibri" w:eastAsia="SimSun" w:hAnsi="Calibri" w:hint="eastAsia"/>
          <w:szCs w:val="24"/>
          <w:lang w:eastAsia="zh-CN"/>
        </w:rPr>
        <w:t>关于</w:t>
      </w:r>
      <w:r w:rsidR="005E1AB9" w:rsidRPr="006C2561">
        <w:rPr>
          <w:rFonts w:ascii="Calibri" w:eastAsia="SimSun" w:hAnsi="Calibri" w:hint="eastAsia"/>
          <w:szCs w:val="24"/>
          <w:lang w:eastAsia="zh-CN"/>
        </w:rPr>
        <w:t>如何加强私营部门</w:t>
      </w:r>
      <w:r w:rsidR="005E53D6" w:rsidRPr="006C2561">
        <w:rPr>
          <w:rFonts w:ascii="Calibri" w:eastAsia="SimSun" w:hAnsi="Calibri" w:hint="eastAsia"/>
          <w:szCs w:val="24"/>
          <w:lang w:eastAsia="zh-CN"/>
        </w:rPr>
        <w:t>介入和参与全球、区域与</w:t>
      </w:r>
      <w:r w:rsidR="005E1AB9" w:rsidRPr="006C2561">
        <w:rPr>
          <w:rFonts w:ascii="Calibri" w:eastAsia="SimSun" w:hAnsi="Calibri" w:hint="eastAsia"/>
          <w:szCs w:val="24"/>
          <w:lang w:eastAsia="zh-CN"/>
        </w:rPr>
        <w:t>国家</w:t>
      </w:r>
      <w:r w:rsidR="005E53D6" w:rsidRPr="006C2561">
        <w:rPr>
          <w:rFonts w:ascii="Calibri" w:eastAsia="SimSun" w:hAnsi="Calibri" w:hint="eastAsia"/>
          <w:szCs w:val="24"/>
          <w:lang w:eastAsia="zh-CN"/>
        </w:rPr>
        <w:t>层面倡议的经验，交流了观点，</w:t>
      </w:r>
      <w:r w:rsidR="005E1AB9" w:rsidRPr="006C2561">
        <w:rPr>
          <w:rFonts w:ascii="Calibri" w:eastAsia="SimSun" w:hAnsi="Calibri" w:hint="eastAsia"/>
          <w:szCs w:val="24"/>
          <w:lang w:eastAsia="zh-CN"/>
        </w:rPr>
        <w:t>并确定</w:t>
      </w:r>
      <w:r w:rsidR="005E53D6" w:rsidRPr="006C2561">
        <w:rPr>
          <w:rFonts w:ascii="Calibri" w:eastAsia="SimSun" w:hAnsi="Calibri" w:hint="eastAsia"/>
          <w:szCs w:val="24"/>
          <w:lang w:eastAsia="zh-CN"/>
        </w:rPr>
        <w:t>了有关</w:t>
      </w:r>
      <w:r w:rsidR="005E1AB9" w:rsidRPr="006C2561">
        <w:rPr>
          <w:rFonts w:ascii="Calibri" w:eastAsia="SimSun" w:hAnsi="Calibri" w:hint="eastAsia"/>
          <w:szCs w:val="24"/>
          <w:lang w:eastAsia="zh-CN"/>
        </w:rPr>
        <w:t>机制，以更好地</w:t>
      </w:r>
      <w:r w:rsidR="00227188" w:rsidRPr="006C2561">
        <w:rPr>
          <w:rFonts w:ascii="Calibri" w:eastAsia="SimSun" w:hAnsi="Calibri" w:hint="eastAsia"/>
          <w:szCs w:val="24"/>
          <w:lang w:eastAsia="zh-CN"/>
        </w:rPr>
        <w:t>推动建设有利于</w:t>
      </w:r>
      <w:r w:rsidR="005E1AB9" w:rsidRPr="006C2561">
        <w:rPr>
          <w:rFonts w:ascii="Calibri" w:eastAsia="SimSun" w:hAnsi="Calibri" w:hint="eastAsia"/>
          <w:szCs w:val="24"/>
          <w:lang w:eastAsia="zh-CN"/>
        </w:rPr>
        <w:t>该行业未来发展的监管环境。特别是，在</w:t>
      </w:r>
      <w:r w:rsidR="005E1AB9" w:rsidRPr="006C2561">
        <w:rPr>
          <w:rFonts w:ascii="Calibri" w:eastAsia="SimSun" w:hAnsi="Calibri" w:hint="eastAsia"/>
          <w:szCs w:val="24"/>
          <w:lang w:eastAsia="zh-CN"/>
        </w:rPr>
        <w:t>CRO</w:t>
      </w:r>
      <w:r w:rsidR="00227188" w:rsidRPr="006C2561">
        <w:rPr>
          <w:rFonts w:ascii="Calibri" w:eastAsia="SimSun" w:hAnsi="Calibri" w:hint="eastAsia"/>
          <w:szCs w:val="24"/>
          <w:lang w:eastAsia="zh-CN"/>
        </w:rPr>
        <w:t>平台下提交的</w:t>
      </w:r>
      <w:r w:rsidR="006C2561" w:rsidRPr="006C2561">
        <w:rPr>
          <w:rFonts w:ascii="SimSun" w:eastAsia="SimSun" w:hAnsi="SimSun" w:hint="eastAsia"/>
          <w:szCs w:val="24"/>
          <w:lang w:eastAsia="zh-CN"/>
        </w:rPr>
        <w:t>“</w:t>
      </w:r>
      <w:r w:rsidR="00227188" w:rsidRPr="006C2561">
        <w:rPr>
          <w:rFonts w:ascii="Calibri" w:eastAsia="SimSun" w:hAnsi="Calibri" w:hint="eastAsia"/>
          <w:szCs w:val="24"/>
          <w:lang w:eastAsia="zh-CN"/>
        </w:rPr>
        <w:t>普遍财务接入</w:t>
      </w:r>
      <w:r w:rsidR="005E1AB9" w:rsidRPr="006C2561">
        <w:rPr>
          <w:rFonts w:ascii="Calibri" w:eastAsia="SimSun" w:hAnsi="Calibri" w:hint="eastAsia"/>
          <w:szCs w:val="24"/>
          <w:lang w:eastAsia="zh-CN"/>
        </w:rPr>
        <w:t>2020</w:t>
      </w:r>
      <w:r w:rsidR="006C2561" w:rsidRPr="006C2561">
        <w:rPr>
          <w:rFonts w:ascii="SimSun" w:eastAsia="SimSun" w:hAnsi="SimSun" w:hint="eastAsia"/>
          <w:szCs w:val="24"/>
          <w:lang w:eastAsia="zh-CN"/>
        </w:rPr>
        <w:t>”</w:t>
      </w:r>
      <w:r w:rsidR="005E1AB9" w:rsidRPr="006C2561">
        <w:rPr>
          <w:rFonts w:ascii="Calibri" w:eastAsia="SimSun" w:hAnsi="Calibri" w:hint="eastAsia"/>
          <w:szCs w:val="24"/>
          <w:lang w:eastAsia="zh-CN"/>
        </w:rPr>
        <w:t>（</w:t>
      </w:r>
      <w:r w:rsidR="005E1AB9" w:rsidRPr="006C2561">
        <w:rPr>
          <w:rFonts w:ascii="Calibri" w:eastAsia="SimSun" w:hAnsi="Calibri" w:hint="eastAsia"/>
          <w:szCs w:val="24"/>
          <w:lang w:eastAsia="zh-CN"/>
        </w:rPr>
        <w:t>UFA</w:t>
      </w:r>
      <w:r w:rsidR="005E1AB9" w:rsidRPr="006C2561">
        <w:rPr>
          <w:rFonts w:ascii="Calibri" w:eastAsia="SimSun" w:hAnsi="Calibri" w:hint="eastAsia"/>
          <w:szCs w:val="24"/>
          <w:lang w:eastAsia="zh-CN"/>
        </w:rPr>
        <w:t>）提案得到了与会者的支持，他们同意创建一个关于数字金融包容</w:t>
      </w:r>
      <w:r w:rsidR="00227188" w:rsidRPr="006C2561">
        <w:rPr>
          <w:rFonts w:ascii="Calibri" w:eastAsia="SimSun" w:hAnsi="Calibri" w:hint="eastAsia"/>
          <w:szCs w:val="24"/>
          <w:lang w:eastAsia="zh-CN"/>
        </w:rPr>
        <w:t>性</w:t>
      </w:r>
      <w:r w:rsidR="005E1AB9" w:rsidRPr="006C2561">
        <w:rPr>
          <w:rFonts w:ascii="Calibri" w:eastAsia="SimSun" w:hAnsi="Calibri" w:hint="eastAsia"/>
          <w:szCs w:val="24"/>
          <w:lang w:eastAsia="zh-CN"/>
        </w:rPr>
        <w:t>（</w:t>
      </w:r>
      <w:r w:rsidR="00227188" w:rsidRPr="006C2561">
        <w:rPr>
          <w:rFonts w:ascii="Calibri" w:eastAsia="SimSun" w:hAnsi="Calibri" w:hint="eastAsia"/>
          <w:szCs w:val="24"/>
          <w:lang w:eastAsia="zh-CN"/>
        </w:rPr>
        <w:t>DFI</w:t>
      </w:r>
      <w:r w:rsidR="005E1AB9" w:rsidRPr="006C2561">
        <w:rPr>
          <w:rFonts w:ascii="Calibri" w:eastAsia="SimSun" w:hAnsi="Calibri" w:hint="eastAsia"/>
          <w:szCs w:val="24"/>
          <w:lang w:eastAsia="zh-CN"/>
        </w:rPr>
        <w:t>）的</w:t>
      </w:r>
      <w:r w:rsidR="005E1AB9" w:rsidRPr="006C2561">
        <w:rPr>
          <w:rFonts w:ascii="Calibri" w:eastAsia="SimSun" w:hAnsi="Calibri" w:hint="eastAsia"/>
          <w:szCs w:val="24"/>
          <w:lang w:eastAsia="zh-CN"/>
        </w:rPr>
        <w:t>CRO</w:t>
      </w:r>
      <w:r w:rsidR="005E1AB9" w:rsidRPr="006C2561">
        <w:rPr>
          <w:rFonts w:ascii="Calibri" w:eastAsia="SimSun" w:hAnsi="Calibri" w:hint="eastAsia"/>
          <w:szCs w:val="24"/>
          <w:lang w:eastAsia="zh-CN"/>
        </w:rPr>
        <w:t>工作组</w:t>
      </w:r>
      <w:r w:rsidR="00227188" w:rsidRPr="006C2561">
        <w:rPr>
          <w:rFonts w:ascii="Calibri" w:eastAsia="SimSun" w:hAnsi="Calibri" w:hint="eastAsia"/>
          <w:szCs w:val="24"/>
          <w:lang w:eastAsia="zh-CN"/>
        </w:rPr>
        <w:t>（</w:t>
      </w:r>
      <w:r w:rsidR="00227188" w:rsidRPr="006C2561">
        <w:rPr>
          <w:rFonts w:ascii="Calibri" w:eastAsia="SimSun" w:hAnsi="Calibri" w:hint="eastAsia"/>
          <w:szCs w:val="24"/>
          <w:lang w:eastAsia="zh-CN"/>
        </w:rPr>
        <w:t>CRO WG</w:t>
      </w:r>
      <w:r w:rsidR="00227188" w:rsidRPr="006C2561">
        <w:rPr>
          <w:rFonts w:ascii="Calibri" w:eastAsia="SimSun" w:hAnsi="Calibri" w:hint="eastAsia"/>
          <w:szCs w:val="24"/>
          <w:lang w:eastAsia="zh-CN"/>
        </w:rPr>
        <w:t>）</w:t>
      </w:r>
      <w:r w:rsidR="005E1AB9" w:rsidRPr="006C2561">
        <w:rPr>
          <w:rFonts w:ascii="Calibri" w:eastAsia="SimSun" w:hAnsi="Calibri" w:hint="eastAsia"/>
          <w:szCs w:val="24"/>
          <w:lang w:eastAsia="zh-CN"/>
        </w:rPr>
        <w:t>。</w:t>
      </w:r>
    </w:p>
    <w:p w14:paraId="17CB67DF" w14:textId="504B946A" w:rsidR="005E1AB9" w:rsidRPr="006C2561" w:rsidRDefault="00E171FC" w:rsidP="00B47687">
      <w:pPr>
        <w:tabs>
          <w:tab w:val="clear" w:pos="794"/>
          <w:tab w:val="clear" w:pos="1191"/>
          <w:tab w:val="clear" w:pos="1588"/>
          <w:tab w:val="clear" w:pos="1985"/>
          <w:tab w:val="left" w:pos="567"/>
        </w:tabs>
        <w:rPr>
          <w:rFonts w:ascii="Calibri" w:eastAsia="SimSun" w:hAnsi="Calibri"/>
          <w:szCs w:val="24"/>
          <w:lang w:eastAsia="zh-CN"/>
        </w:rPr>
      </w:pPr>
      <w:bookmarkStart w:id="25" w:name="OLE_LINK19"/>
      <w:bookmarkStart w:id="26" w:name="OLE_LINK20"/>
      <w:r w:rsidRPr="006C2561">
        <w:rPr>
          <w:rFonts w:ascii="Calibri" w:eastAsia="SimSun" w:hAnsi="Calibri"/>
          <w:szCs w:val="24"/>
          <w:lang w:eastAsia="zh-CN"/>
        </w:rPr>
        <w:t>4.5</w:t>
      </w:r>
      <w:r w:rsidR="00B33924" w:rsidRPr="006C2561">
        <w:rPr>
          <w:rFonts w:ascii="Calibri" w:eastAsia="SimSun" w:hAnsi="Calibri"/>
          <w:szCs w:val="24"/>
          <w:lang w:eastAsia="zh-CN"/>
        </w:rPr>
        <w:tab/>
      </w:r>
      <w:r w:rsidR="005E1AB9" w:rsidRPr="006C2561">
        <w:rPr>
          <w:rFonts w:ascii="Calibri" w:eastAsia="SimSun" w:hAnsi="Calibri" w:hint="eastAsia"/>
          <w:b/>
          <w:szCs w:val="24"/>
          <w:lang w:eastAsia="zh-CN"/>
        </w:rPr>
        <w:t>融合之信息通信技术生态系统中的跨部门参与和伙伴关系平台：</w:t>
      </w:r>
      <w:bookmarkEnd w:id="25"/>
      <w:bookmarkEnd w:id="26"/>
      <w:r w:rsidR="005E1AB9" w:rsidRPr="006C2561">
        <w:rPr>
          <w:rFonts w:ascii="Calibri" w:eastAsia="SimSun" w:hAnsi="Calibri" w:hint="eastAsia"/>
          <w:szCs w:val="24"/>
          <w:lang w:eastAsia="zh-CN"/>
        </w:rPr>
        <w:t>电信发展局通过各种</w:t>
      </w:r>
      <w:r w:rsidR="005E1AB9" w:rsidRPr="006C2561">
        <w:rPr>
          <w:rFonts w:ascii="Calibri" w:eastAsia="SimSun" w:hAnsi="Calibri" w:hint="eastAsia"/>
          <w:szCs w:val="24"/>
          <w:lang w:eastAsia="zh-CN"/>
        </w:rPr>
        <w:t>ITU-D</w:t>
      </w:r>
      <w:r w:rsidR="005E1AB9" w:rsidRPr="006C2561">
        <w:rPr>
          <w:rFonts w:ascii="Calibri" w:eastAsia="SimSun" w:hAnsi="Calibri" w:hint="eastAsia"/>
          <w:szCs w:val="24"/>
          <w:lang w:eastAsia="zh-CN"/>
        </w:rPr>
        <w:t>活动和非</w:t>
      </w:r>
      <w:r w:rsidR="005E1AB9" w:rsidRPr="006C2561">
        <w:rPr>
          <w:rFonts w:ascii="Calibri" w:eastAsia="SimSun" w:hAnsi="Calibri" w:hint="eastAsia"/>
          <w:szCs w:val="24"/>
          <w:lang w:eastAsia="zh-CN"/>
        </w:rPr>
        <w:t>ITU-D</w:t>
      </w:r>
      <w:r w:rsidR="005E1AB9" w:rsidRPr="006C2561">
        <w:rPr>
          <w:rFonts w:ascii="Calibri" w:eastAsia="SimSun" w:hAnsi="Calibri" w:hint="eastAsia"/>
          <w:szCs w:val="24"/>
          <w:lang w:eastAsia="zh-CN"/>
        </w:rPr>
        <w:t>活动，继续提高对</w:t>
      </w:r>
      <w:r w:rsidR="005E1AB9" w:rsidRPr="006C2561">
        <w:rPr>
          <w:rFonts w:ascii="Calibri" w:eastAsia="SimSun" w:hAnsi="Calibri" w:hint="eastAsia"/>
          <w:szCs w:val="24"/>
          <w:lang w:eastAsia="zh-CN"/>
        </w:rPr>
        <w:t>ITU-D</w:t>
      </w:r>
      <w:r w:rsidR="00227188" w:rsidRPr="006C2561">
        <w:rPr>
          <w:rFonts w:ascii="Calibri" w:eastAsia="SimSun" w:hAnsi="Calibri" w:hint="eastAsia"/>
          <w:szCs w:val="24"/>
          <w:lang w:eastAsia="zh-CN"/>
        </w:rPr>
        <w:t>部门成员利益</w:t>
      </w:r>
      <w:r w:rsidR="005E1AB9" w:rsidRPr="006C2561">
        <w:rPr>
          <w:rFonts w:ascii="Calibri" w:eastAsia="SimSun" w:hAnsi="Calibri" w:hint="eastAsia"/>
          <w:szCs w:val="24"/>
          <w:lang w:eastAsia="zh-CN"/>
        </w:rPr>
        <w:t>的认识。</w:t>
      </w:r>
      <w:r w:rsidR="005E1AB9" w:rsidRPr="006C2561">
        <w:rPr>
          <w:rFonts w:ascii="Calibri" w:eastAsia="SimSun" w:hAnsi="Calibri" w:hint="eastAsia"/>
          <w:szCs w:val="24"/>
          <w:lang w:eastAsia="zh-CN"/>
        </w:rPr>
        <w:t>ITU-D</w:t>
      </w:r>
      <w:r w:rsidR="00227188" w:rsidRPr="006C2561">
        <w:rPr>
          <w:rFonts w:ascii="Calibri" w:eastAsia="SimSun" w:hAnsi="Calibri" w:hint="eastAsia"/>
          <w:szCs w:val="24"/>
          <w:lang w:eastAsia="zh-CN"/>
        </w:rPr>
        <w:t>部门成员的日益多样化也有助于奠定与非传统信息通信技术经营者</w:t>
      </w:r>
      <w:r w:rsidR="005E1AB9" w:rsidRPr="006C2561">
        <w:rPr>
          <w:rFonts w:ascii="Calibri" w:eastAsia="SimSun" w:hAnsi="Calibri" w:hint="eastAsia"/>
          <w:szCs w:val="24"/>
          <w:lang w:eastAsia="zh-CN"/>
        </w:rPr>
        <w:t>（例如</w:t>
      </w:r>
      <w:r w:rsidR="00227188" w:rsidRPr="006C2561">
        <w:rPr>
          <w:rFonts w:ascii="Calibri" w:eastAsia="SimSun" w:hAnsi="Calibri" w:hint="eastAsia"/>
          <w:szCs w:val="24"/>
          <w:lang w:eastAsia="zh-CN"/>
        </w:rPr>
        <w:t>比尔梅琳达盖茨基金会、万事达卡、华特迪士尼等）开展讨论</w:t>
      </w:r>
      <w:r w:rsidR="005E1AB9" w:rsidRPr="006C2561">
        <w:rPr>
          <w:rFonts w:ascii="Calibri" w:eastAsia="SimSun" w:hAnsi="Calibri" w:hint="eastAsia"/>
          <w:szCs w:val="24"/>
          <w:lang w:eastAsia="zh-CN"/>
        </w:rPr>
        <w:t>和合作</w:t>
      </w:r>
      <w:r w:rsidR="00227188" w:rsidRPr="006C2561">
        <w:rPr>
          <w:rFonts w:ascii="Calibri" w:eastAsia="SimSun" w:hAnsi="Calibri" w:hint="eastAsia"/>
          <w:szCs w:val="24"/>
          <w:lang w:eastAsia="zh-CN"/>
        </w:rPr>
        <w:t>的坚实基础</w:t>
      </w:r>
      <w:r w:rsidR="005E1AB9" w:rsidRPr="006C2561">
        <w:rPr>
          <w:rFonts w:ascii="Calibri" w:eastAsia="SimSun" w:hAnsi="Calibri" w:hint="eastAsia"/>
          <w:szCs w:val="24"/>
          <w:lang w:eastAsia="zh-CN"/>
        </w:rPr>
        <w:t>。</w:t>
      </w:r>
      <w:r w:rsidR="00227188" w:rsidRPr="006C2561">
        <w:rPr>
          <w:rFonts w:ascii="Calibri" w:eastAsia="SimSun" w:hAnsi="Calibri" w:hint="eastAsia"/>
          <w:szCs w:val="24"/>
          <w:lang w:eastAsia="zh-CN"/>
        </w:rPr>
        <w:t>为此，电信发展局于</w:t>
      </w:r>
      <w:r w:rsidR="005E1AB9" w:rsidRPr="006C2561">
        <w:rPr>
          <w:rFonts w:ascii="Calibri" w:eastAsia="SimSun" w:hAnsi="Calibri" w:hint="eastAsia"/>
          <w:szCs w:val="24"/>
          <w:lang w:eastAsia="zh-CN"/>
        </w:rPr>
        <w:t>2016</w:t>
      </w:r>
      <w:r w:rsidR="005E1AB9" w:rsidRPr="006C2561">
        <w:rPr>
          <w:rFonts w:ascii="Calibri" w:eastAsia="SimSun" w:hAnsi="Calibri" w:hint="eastAsia"/>
          <w:szCs w:val="24"/>
          <w:lang w:eastAsia="zh-CN"/>
        </w:rPr>
        <w:t>年</w:t>
      </w:r>
      <w:r w:rsidR="005E1AB9" w:rsidRPr="006C2561">
        <w:rPr>
          <w:rFonts w:ascii="Calibri" w:eastAsia="SimSun" w:hAnsi="Calibri" w:hint="eastAsia"/>
          <w:szCs w:val="24"/>
          <w:lang w:eastAsia="zh-CN"/>
        </w:rPr>
        <w:t>9</w:t>
      </w:r>
      <w:r w:rsidR="005E1AB9" w:rsidRPr="006C2561">
        <w:rPr>
          <w:rFonts w:ascii="Calibri" w:eastAsia="SimSun" w:hAnsi="Calibri" w:hint="eastAsia"/>
          <w:szCs w:val="24"/>
          <w:lang w:eastAsia="zh-CN"/>
        </w:rPr>
        <w:t>月组织</w:t>
      </w:r>
      <w:r w:rsidR="00227188" w:rsidRPr="006C2561">
        <w:rPr>
          <w:rFonts w:ascii="Calibri" w:eastAsia="SimSun" w:hAnsi="Calibri" w:hint="eastAsia"/>
          <w:szCs w:val="24"/>
          <w:lang w:eastAsia="zh-CN"/>
        </w:rPr>
        <w:t>召开了一次</w:t>
      </w:r>
      <w:r w:rsidR="005E1AB9" w:rsidRPr="006C2561">
        <w:rPr>
          <w:rStyle w:val="Hyperlink"/>
          <w:rFonts w:ascii="Calibri" w:eastAsia="SimSun" w:hAnsi="Calibri" w:hint="eastAsia"/>
          <w:lang w:eastAsia="zh-CN"/>
        </w:rPr>
        <w:t>关于</w:t>
      </w:r>
      <w:r w:rsidR="005E1AB9" w:rsidRPr="006C2561">
        <w:rPr>
          <w:rStyle w:val="Hyperlink"/>
          <w:rFonts w:ascii="Calibri" w:eastAsia="SimSun" w:hAnsi="Calibri" w:hint="eastAsia"/>
          <w:lang w:eastAsia="zh-CN"/>
        </w:rPr>
        <w:t>ICT</w:t>
      </w:r>
      <w:r w:rsidR="005E1AB9" w:rsidRPr="006C2561">
        <w:rPr>
          <w:rStyle w:val="Hyperlink"/>
          <w:rFonts w:ascii="Calibri" w:eastAsia="SimSun" w:hAnsi="Calibri" w:hint="eastAsia"/>
          <w:lang w:eastAsia="zh-CN"/>
        </w:rPr>
        <w:t>④</w:t>
      </w:r>
      <w:r w:rsidR="005E1AB9" w:rsidRPr="006C2561">
        <w:rPr>
          <w:rStyle w:val="Hyperlink"/>
          <w:rFonts w:ascii="Calibri" w:eastAsia="SimSun" w:hAnsi="Calibri" w:hint="eastAsia"/>
          <w:lang w:eastAsia="zh-CN"/>
        </w:rPr>
        <w:t>SDGs</w:t>
      </w:r>
      <w:r w:rsidR="005E1AB9" w:rsidRPr="006C2561">
        <w:rPr>
          <w:rStyle w:val="Hyperlink"/>
          <w:rFonts w:ascii="Calibri" w:eastAsia="SimSun" w:hAnsi="Calibri" w:hint="eastAsia"/>
          <w:lang w:eastAsia="zh-CN"/>
        </w:rPr>
        <w:t>的伙伴关系</w:t>
      </w:r>
      <w:r w:rsidR="00227188" w:rsidRPr="006C2561">
        <w:rPr>
          <w:rFonts w:ascii="Calibri" w:eastAsia="SimSun" w:hAnsi="Calibri" w:hint="eastAsia"/>
          <w:szCs w:val="24"/>
          <w:lang w:eastAsia="zh-CN"/>
        </w:rPr>
        <w:t>的</w:t>
      </w:r>
      <w:r w:rsidR="005E1AB9" w:rsidRPr="006C2561">
        <w:rPr>
          <w:rFonts w:ascii="Calibri" w:eastAsia="SimSun" w:hAnsi="Calibri" w:hint="eastAsia"/>
          <w:szCs w:val="24"/>
          <w:lang w:eastAsia="zh-CN"/>
        </w:rPr>
        <w:t>对话，</w:t>
      </w:r>
      <w:r w:rsidR="005E1AB9" w:rsidRPr="006C2561">
        <w:rPr>
          <w:rFonts w:ascii="Calibri" w:eastAsia="SimSun" w:hAnsi="Calibri" w:hint="eastAsia"/>
          <w:szCs w:val="24"/>
          <w:lang w:eastAsia="zh-CN"/>
        </w:rPr>
        <w:t>70</w:t>
      </w:r>
      <w:r w:rsidR="005E1AB9" w:rsidRPr="006C2561">
        <w:rPr>
          <w:rFonts w:ascii="Calibri" w:eastAsia="SimSun" w:hAnsi="Calibri" w:hint="eastAsia"/>
          <w:szCs w:val="24"/>
          <w:lang w:eastAsia="zh-CN"/>
        </w:rPr>
        <w:t>多位与会者出席了会议。对话为</w:t>
      </w:r>
      <w:r w:rsidR="005E1AB9" w:rsidRPr="006C2561">
        <w:rPr>
          <w:rFonts w:ascii="Calibri" w:eastAsia="SimSun" w:hAnsi="Calibri" w:hint="eastAsia"/>
          <w:szCs w:val="24"/>
          <w:lang w:eastAsia="zh-CN"/>
        </w:rPr>
        <w:t>ITU-D</w:t>
      </w:r>
      <w:r w:rsidR="00227188" w:rsidRPr="006C2561">
        <w:rPr>
          <w:rFonts w:ascii="Calibri" w:eastAsia="SimSun" w:hAnsi="Calibri" w:hint="eastAsia"/>
          <w:szCs w:val="24"/>
          <w:lang w:eastAsia="zh-CN"/>
        </w:rPr>
        <w:t>成员和合作伙伴提供了一个平台，包括公共和私营部门实体、</w:t>
      </w:r>
      <w:r w:rsidR="005E1AB9" w:rsidRPr="006C2561">
        <w:rPr>
          <w:rFonts w:ascii="Calibri" w:eastAsia="SimSun" w:hAnsi="Calibri" w:hint="eastAsia"/>
          <w:szCs w:val="24"/>
          <w:lang w:eastAsia="zh-CN"/>
        </w:rPr>
        <w:t>学术机构和其他利益攸关方，通过分享现有</w:t>
      </w:r>
      <w:r w:rsidR="00227188" w:rsidRPr="006C2561">
        <w:rPr>
          <w:rFonts w:ascii="Calibri" w:eastAsia="SimSun" w:hAnsi="Calibri" w:hint="eastAsia"/>
          <w:szCs w:val="24"/>
          <w:lang w:eastAsia="zh-CN"/>
        </w:rPr>
        <w:t>的</w:t>
      </w:r>
      <w:r w:rsidR="005E1AB9" w:rsidRPr="006C2561">
        <w:rPr>
          <w:rFonts w:ascii="Calibri" w:eastAsia="SimSun" w:hAnsi="Calibri" w:hint="eastAsia"/>
          <w:szCs w:val="24"/>
          <w:lang w:eastAsia="zh-CN"/>
        </w:rPr>
        <w:t>服务和产品以及跨部门伙伴关系机会，加强对电信发展局活动的认识和参与</w:t>
      </w:r>
      <w:r w:rsidR="00227188" w:rsidRPr="006C2561">
        <w:rPr>
          <w:rFonts w:ascii="Calibri" w:eastAsia="SimSun" w:hAnsi="Calibri" w:hint="eastAsia"/>
          <w:szCs w:val="24"/>
          <w:lang w:eastAsia="zh-CN"/>
        </w:rPr>
        <w:t>，</w:t>
      </w:r>
      <w:r w:rsidR="005E1AB9" w:rsidRPr="006C2561">
        <w:rPr>
          <w:rFonts w:ascii="Calibri" w:eastAsia="SimSun" w:hAnsi="Calibri" w:hint="eastAsia"/>
          <w:szCs w:val="24"/>
          <w:lang w:eastAsia="zh-CN"/>
        </w:rPr>
        <w:t>以实现</w:t>
      </w:r>
      <w:r w:rsidR="00227188" w:rsidRPr="006C2561">
        <w:rPr>
          <w:rFonts w:ascii="Calibri" w:eastAsia="SimSun" w:hAnsi="Calibri" w:hint="eastAsia"/>
          <w:szCs w:val="24"/>
          <w:lang w:eastAsia="zh-CN"/>
        </w:rPr>
        <w:t>可持续发展目标（</w:t>
      </w:r>
      <w:r w:rsidR="005E1AB9" w:rsidRPr="006C2561">
        <w:rPr>
          <w:rFonts w:ascii="Calibri" w:eastAsia="SimSun" w:hAnsi="Calibri" w:hint="eastAsia"/>
          <w:szCs w:val="24"/>
          <w:lang w:eastAsia="zh-CN"/>
        </w:rPr>
        <w:t>SDG</w:t>
      </w:r>
      <w:r w:rsidR="00227188" w:rsidRPr="006C2561">
        <w:rPr>
          <w:rFonts w:ascii="Calibri" w:eastAsia="SimSun" w:hAnsi="Calibri" w:hint="eastAsia"/>
          <w:szCs w:val="24"/>
          <w:lang w:eastAsia="zh-CN"/>
        </w:rPr>
        <w:t>）</w:t>
      </w:r>
      <w:r w:rsidR="005E1AB9" w:rsidRPr="006C2561">
        <w:rPr>
          <w:rFonts w:ascii="Calibri" w:eastAsia="SimSun" w:hAnsi="Calibri" w:hint="eastAsia"/>
          <w:szCs w:val="24"/>
          <w:lang w:eastAsia="zh-CN"/>
        </w:rPr>
        <w:t>。</w:t>
      </w:r>
    </w:p>
    <w:p w14:paraId="1705294C" w14:textId="4A43C3EC" w:rsidR="000C6340" w:rsidRPr="006C2561" w:rsidRDefault="00B47687" w:rsidP="00B47687">
      <w:pPr>
        <w:pStyle w:val="Heading1"/>
        <w:rPr>
          <w:rFonts w:ascii="Calibri" w:eastAsia="SimSun" w:hAnsi="Calibri"/>
          <w:bCs/>
          <w:lang w:eastAsia="zh-CN"/>
        </w:rPr>
      </w:pPr>
      <w:r w:rsidRPr="006C2561">
        <w:rPr>
          <w:rFonts w:ascii="Calibri" w:eastAsia="SimSun" w:hAnsi="Calibri" w:hint="eastAsia"/>
          <w:lang w:eastAsia="zh-CN"/>
        </w:rPr>
        <w:t>5</w:t>
      </w:r>
      <w:r w:rsidRPr="006C2561">
        <w:rPr>
          <w:rFonts w:ascii="Calibri" w:eastAsia="SimSun" w:hAnsi="Calibri"/>
          <w:lang w:eastAsia="zh-CN"/>
        </w:rPr>
        <w:tab/>
      </w:r>
      <w:r w:rsidR="00455A89" w:rsidRPr="006C2561">
        <w:rPr>
          <w:rFonts w:ascii="Calibri" w:eastAsia="SimSun" w:hAnsi="Calibri" w:hint="eastAsia"/>
          <w:lang w:eastAsia="zh-CN"/>
        </w:rPr>
        <w:t>未来</w:t>
      </w:r>
      <w:r w:rsidR="00455A89" w:rsidRPr="006C2561">
        <w:rPr>
          <w:rFonts w:ascii="Calibri" w:eastAsia="SimSun" w:hAnsi="Calibri"/>
          <w:lang w:eastAsia="zh-CN"/>
        </w:rPr>
        <w:t>行动</w:t>
      </w:r>
    </w:p>
    <w:p w14:paraId="715C9FE3" w14:textId="062F321F" w:rsidR="005E1AB9" w:rsidRPr="006C2561" w:rsidRDefault="00235598" w:rsidP="005E1AB9">
      <w:pPr>
        <w:ind w:firstLineChars="200" w:firstLine="480"/>
        <w:rPr>
          <w:rFonts w:ascii="Calibri" w:eastAsia="SimSun" w:hAnsi="Calibri"/>
          <w:color w:val="000000" w:themeColor="text1"/>
          <w:szCs w:val="24"/>
          <w:lang w:val="en-US" w:eastAsia="zh-CN"/>
        </w:rPr>
      </w:pPr>
      <w:r w:rsidRPr="006C2561">
        <w:rPr>
          <w:rFonts w:ascii="Calibri" w:eastAsia="SimSun" w:hAnsi="Calibri" w:hint="eastAsia"/>
          <w:color w:val="000000" w:themeColor="text1"/>
          <w:szCs w:val="24"/>
          <w:lang w:val="en-US" w:eastAsia="zh-CN"/>
        </w:rPr>
        <w:t>电信发展局将继续在其行动范围内落实成员驱动计划、项目、举措和活动，并加强其会员服务、</w:t>
      </w:r>
      <w:r w:rsidR="0037180E" w:rsidRPr="006C2561">
        <w:rPr>
          <w:rFonts w:ascii="Calibri" w:eastAsia="SimSun" w:hAnsi="Calibri" w:hint="eastAsia"/>
          <w:color w:val="000000" w:themeColor="text1"/>
          <w:szCs w:val="24"/>
          <w:lang w:val="en-US" w:eastAsia="zh-CN"/>
        </w:rPr>
        <w:t>产品和通信</w:t>
      </w:r>
      <w:r w:rsidRPr="006C2561">
        <w:rPr>
          <w:rFonts w:ascii="Calibri" w:eastAsia="SimSun" w:hAnsi="Calibri" w:hint="eastAsia"/>
          <w:color w:val="000000" w:themeColor="text1"/>
          <w:szCs w:val="24"/>
          <w:lang w:val="en-US" w:eastAsia="zh-CN"/>
        </w:rPr>
        <w:t>工具，以便与现有的、新的和潜在的成员进行更多</w:t>
      </w:r>
      <w:r w:rsidR="005E1AB9" w:rsidRPr="006C2561">
        <w:rPr>
          <w:rFonts w:ascii="Calibri" w:eastAsia="SimSun" w:hAnsi="Calibri" w:hint="eastAsia"/>
          <w:color w:val="000000" w:themeColor="text1"/>
          <w:szCs w:val="24"/>
          <w:lang w:val="en-US" w:eastAsia="zh-CN"/>
        </w:rPr>
        <w:t>接触。</w:t>
      </w:r>
    </w:p>
    <w:p w14:paraId="096ECB6B" w14:textId="7536AA03" w:rsidR="005E1AB9" w:rsidRPr="006C2561" w:rsidRDefault="00235598" w:rsidP="005E1AB9">
      <w:pPr>
        <w:ind w:firstLineChars="200" w:firstLine="480"/>
        <w:rPr>
          <w:rFonts w:ascii="Calibri" w:eastAsia="SimSun" w:hAnsi="Calibri"/>
          <w:bCs/>
          <w:color w:val="000000" w:themeColor="text1"/>
          <w:szCs w:val="24"/>
          <w:lang w:eastAsia="zh-CN"/>
        </w:rPr>
      </w:pPr>
      <w:r w:rsidRPr="006C2561">
        <w:rPr>
          <w:rFonts w:ascii="Calibri" w:eastAsia="SimSun" w:hAnsi="Calibri" w:hint="eastAsia"/>
          <w:bCs/>
          <w:color w:val="000000" w:themeColor="text1"/>
          <w:szCs w:val="24"/>
          <w:lang w:eastAsia="zh-CN"/>
        </w:rPr>
        <w:t>基于</w:t>
      </w:r>
      <w:r w:rsidR="005E1AB9" w:rsidRPr="006C2561">
        <w:rPr>
          <w:rFonts w:ascii="Calibri" w:eastAsia="SimSun" w:hAnsi="Calibri" w:hint="eastAsia"/>
          <w:bCs/>
          <w:color w:val="000000" w:themeColor="text1"/>
          <w:szCs w:val="24"/>
          <w:lang w:eastAsia="zh-CN"/>
        </w:rPr>
        <w:t>成果</w:t>
      </w:r>
      <w:r w:rsidRPr="006C2561">
        <w:rPr>
          <w:rFonts w:ascii="Calibri" w:eastAsia="SimSun" w:hAnsi="Calibri" w:hint="eastAsia"/>
          <w:bCs/>
          <w:color w:val="000000" w:themeColor="text1"/>
          <w:szCs w:val="24"/>
          <w:lang w:eastAsia="zh-CN"/>
        </w:rPr>
        <w:t>导向之方法的行动将侧重于多方利益攸关方伙伴关系和知识共享的新平台，认可</w:t>
      </w:r>
      <w:r w:rsidR="005E1AB9" w:rsidRPr="006C2561">
        <w:rPr>
          <w:rFonts w:ascii="Calibri" w:eastAsia="SimSun" w:hAnsi="Calibri" w:hint="eastAsia"/>
          <w:bCs/>
          <w:color w:val="000000" w:themeColor="text1"/>
          <w:szCs w:val="24"/>
          <w:lang w:eastAsia="zh-CN"/>
        </w:rPr>
        <w:t>长期成员</w:t>
      </w:r>
      <w:r w:rsidRPr="006C2561">
        <w:rPr>
          <w:rFonts w:ascii="Calibri" w:eastAsia="SimSun" w:hAnsi="Calibri" w:hint="eastAsia"/>
          <w:bCs/>
          <w:color w:val="000000" w:themeColor="text1"/>
          <w:szCs w:val="24"/>
          <w:lang w:eastAsia="zh-CN"/>
        </w:rPr>
        <w:t>；有针对性地扩大对</w:t>
      </w:r>
      <w:r w:rsidR="005E1AB9" w:rsidRPr="006C2561">
        <w:rPr>
          <w:rFonts w:ascii="Calibri" w:eastAsia="SimSun" w:hAnsi="Calibri" w:hint="eastAsia"/>
          <w:bCs/>
          <w:color w:val="000000" w:themeColor="text1"/>
          <w:szCs w:val="24"/>
          <w:lang w:eastAsia="zh-CN"/>
        </w:rPr>
        <w:t>新成员</w:t>
      </w:r>
      <w:r w:rsidRPr="006C2561">
        <w:rPr>
          <w:rFonts w:ascii="Calibri" w:eastAsia="SimSun" w:hAnsi="Calibri" w:hint="eastAsia"/>
          <w:bCs/>
          <w:color w:val="000000" w:themeColor="text1"/>
          <w:szCs w:val="24"/>
          <w:lang w:eastAsia="zh-CN"/>
        </w:rPr>
        <w:t>的服务范围</w:t>
      </w:r>
      <w:r w:rsidR="005E1AB9" w:rsidRPr="006C2561">
        <w:rPr>
          <w:rFonts w:ascii="Calibri" w:eastAsia="SimSun" w:hAnsi="Calibri" w:hint="eastAsia"/>
          <w:bCs/>
          <w:color w:val="000000" w:themeColor="text1"/>
          <w:szCs w:val="24"/>
          <w:lang w:eastAsia="zh-CN"/>
        </w:rPr>
        <w:t>，并与国际电联范围内</w:t>
      </w:r>
      <w:r w:rsidRPr="006C2561">
        <w:rPr>
          <w:rFonts w:ascii="Calibri" w:eastAsia="SimSun" w:hAnsi="Calibri" w:hint="eastAsia"/>
          <w:bCs/>
          <w:color w:val="000000" w:themeColor="text1"/>
          <w:szCs w:val="24"/>
          <w:lang w:eastAsia="zh-CN"/>
        </w:rPr>
        <w:t>的各项工作开展协作，积极开发和实施</w:t>
      </w:r>
      <w:r w:rsidR="005E1AB9" w:rsidRPr="006C2561">
        <w:rPr>
          <w:rFonts w:ascii="Calibri" w:eastAsia="SimSun" w:hAnsi="Calibri" w:hint="eastAsia"/>
          <w:bCs/>
          <w:color w:val="000000" w:themeColor="text1"/>
          <w:szCs w:val="24"/>
          <w:lang w:eastAsia="zh-CN"/>
        </w:rPr>
        <w:t>国际电联在线成员区域平台</w:t>
      </w:r>
      <w:r w:rsidRPr="006C2561">
        <w:rPr>
          <w:rFonts w:ascii="Calibri" w:eastAsia="SimSun" w:hAnsi="Calibri" w:hint="eastAsia"/>
          <w:bCs/>
          <w:color w:val="000000" w:themeColor="text1"/>
          <w:szCs w:val="24"/>
          <w:lang w:eastAsia="zh-CN"/>
        </w:rPr>
        <w:t>等</w:t>
      </w:r>
      <w:r w:rsidR="005E1AB9" w:rsidRPr="006C2561">
        <w:rPr>
          <w:rFonts w:ascii="Calibri" w:eastAsia="SimSun" w:hAnsi="Calibri" w:hint="eastAsia"/>
          <w:bCs/>
          <w:color w:val="000000" w:themeColor="text1"/>
          <w:szCs w:val="24"/>
          <w:lang w:eastAsia="zh-CN"/>
        </w:rPr>
        <w:t>。</w:t>
      </w:r>
    </w:p>
    <w:p w14:paraId="24C000B7" w14:textId="77777777" w:rsidR="00B47687" w:rsidRPr="006C2561" w:rsidRDefault="00B47687" w:rsidP="0032202E">
      <w:pPr>
        <w:pStyle w:val="Reasons"/>
        <w:rPr>
          <w:rFonts w:ascii="Calibri" w:eastAsia="SimSun" w:hAnsi="Calibri"/>
        </w:rPr>
      </w:pPr>
    </w:p>
    <w:p w14:paraId="74E826FF" w14:textId="77777777" w:rsidR="00B47687" w:rsidRPr="006C2561" w:rsidRDefault="00B47687">
      <w:pPr>
        <w:jc w:val="center"/>
        <w:rPr>
          <w:rFonts w:ascii="Calibri" w:eastAsia="SimSun" w:hAnsi="Calibri"/>
        </w:rPr>
      </w:pPr>
      <w:r w:rsidRPr="006C2561">
        <w:rPr>
          <w:rFonts w:ascii="Calibri" w:eastAsia="SimSun" w:hAnsi="Calibri"/>
        </w:rPr>
        <w:t>______________</w:t>
      </w:r>
    </w:p>
    <w:sectPr w:rsidR="00B47687" w:rsidRPr="006C2561" w:rsidSect="00C02C69">
      <w:headerReference w:type="default" r:id="rId14"/>
      <w:footerReference w:type="default" r:id="rId15"/>
      <w:footerReference w:type="first" r:id="rId16"/>
      <w:pgSz w:w="11907" w:h="16834" w:code="9"/>
      <w:pgMar w:top="1418" w:right="1275" w:bottom="1135"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023B2" w14:textId="77777777" w:rsidR="007E4EE3" w:rsidRDefault="007E4EE3">
      <w:r>
        <w:separator/>
      </w:r>
    </w:p>
  </w:endnote>
  <w:endnote w:type="continuationSeparator" w:id="0">
    <w:p w14:paraId="717CCA08" w14:textId="77777777" w:rsidR="007E4EE3" w:rsidRDefault="007E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B4ACF" w14:textId="248C096D" w:rsidR="00F051DE" w:rsidRDefault="00F051DE">
    <w:pPr>
      <w:pStyle w:val="Footer"/>
    </w:pPr>
    <w:r w:rsidRPr="003125C3">
      <w:rPr>
        <w:caps w:val="0"/>
        <w:sz w:val="18"/>
        <w:szCs w:val="18"/>
      </w:rPr>
      <w:fldChar w:fldCharType="begin"/>
    </w:r>
    <w:r w:rsidRPr="003125C3">
      <w:rPr>
        <w:caps w:val="0"/>
        <w:sz w:val="18"/>
        <w:szCs w:val="18"/>
        <w:lang w:val="en-US"/>
      </w:rPr>
      <w:instrText xml:space="preserve"> FILENAME \p \* MERGEFORMAT </w:instrText>
    </w:r>
    <w:r w:rsidRPr="003125C3">
      <w:rPr>
        <w:caps w:val="0"/>
        <w:sz w:val="18"/>
        <w:szCs w:val="18"/>
      </w:rPr>
      <w:fldChar w:fldCharType="separate"/>
    </w:r>
    <w:r>
      <w:rPr>
        <w:caps w:val="0"/>
        <w:sz w:val="18"/>
        <w:szCs w:val="18"/>
        <w:lang w:val="en-US"/>
      </w:rPr>
      <w:t>P:\CHI\ITU-D\CONF-D\TDAG17\000\028C.docx</w:t>
    </w:r>
    <w:r w:rsidRPr="003125C3">
      <w:rPr>
        <w:caps w:val="0"/>
        <w:sz w:val="18"/>
        <w:szCs w:val="18"/>
        <w:lang w:val="en-US"/>
      </w:rPr>
      <w:fldChar w:fldCharType="end"/>
    </w:r>
    <w:r>
      <w:rPr>
        <w:caps w:val="0"/>
        <w:sz w:val="18"/>
        <w:szCs w:val="18"/>
        <w:lang w:val="en-US"/>
      </w:rPr>
      <w:t xml:space="preserve"> (413991)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75F8E" w14:textId="77777777" w:rsidR="00721657" w:rsidRPr="008802F9" w:rsidRDefault="006C2561"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3A2F6" w14:textId="77777777" w:rsidR="007E4EE3" w:rsidRDefault="007E4EE3">
      <w:r>
        <w:t>____________________</w:t>
      </w:r>
    </w:p>
  </w:footnote>
  <w:footnote w:type="continuationSeparator" w:id="0">
    <w:p w14:paraId="5695D253" w14:textId="77777777" w:rsidR="007E4EE3" w:rsidRDefault="007E4EE3">
      <w:r>
        <w:continuationSeparator/>
      </w:r>
    </w:p>
  </w:footnote>
  <w:footnote w:id="1">
    <w:p w14:paraId="3C18FF9F" w14:textId="65B8A384" w:rsidR="00B16469" w:rsidRPr="00EC367F" w:rsidRDefault="00B16469" w:rsidP="00B16469">
      <w:pPr>
        <w:pStyle w:val="FootnoteText"/>
        <w:spacing w:before="0"/>
        <w:rPr>
          <w:lang w:eastAsia="zh-CN"/>
        </w:rPr>
      </w:pPr>
      <w:r>
        <w:rPr>
          <w:rStyle w:val="FootnoteReference"/>
        </w:rPr>
        <w:footnoteRef/>
      </w:r>
      <w:r>
        <w:rPr>
          <w:lang w:eastAsia="zh-CN"/>
        </w:rPr>
        <w:t xml:space="preserve"> </w:t>
      </w:r>
      <w:r>
        <w:rPr>
          <w:rFonts w:hint="eastAsia"/>
          <w:sz w:val="18"/>
          <w:szCs w:val="18"/>
          <w:lang w:eastAsia="zh-CN"/>
        </w:rPr>
        <w:t>参见文件：</w:t>
      </w:r>
      <w:hyperlink r:id="rId1" w:history="1">
        <w:r>
          <w:rPr>
            <w:rStyle w:val="Hyperlink"/>
            <w:sz w:val="18"/>
            <w:szCs w:val="18"/>
            <w:lang w:eastAsia="zh-CN"/>
          </w:rPr>
          <w:t>CWG-FHR 7/2</w:t>
        </w:r>
      </w:hyperlink>
      <w:r>
        <w:rPr>
          <w:color w:val="0000FF"/>
          <w:sz w:val="18"/>
          <w:szCs w:val="18"/>
          <w:u w:val="single"/>
          <w:lang w:eastAsia="zh-CN"/>
        </w:rPr>
        <w:t> (Rev.1)</w:t>
      </w:r>
      <w:bookmarkStart w:id="9" w:name="OLE_LINK5"/>
      <w:bookmarkStart w:id="10" w:name="OLE_LINK6"/>
      <w:r w:rsidR="005C11C5">
        <w:rPr>
          <w:rFonts w:hint="eastAsia"/>
          <w:sz w:val="18"/>
          <w:szCs w:val="18"/>
          <w:lang w:eastAsia="zh-CN"/>
        </w:rPr>
        <w:t>。</w:t>
      </w:r>
      <w:bookmarkEnd w:id="9"/>
      <w:bookmarkEnd w:id="10"/>
    </w:p>
  </w:footnote>
  <w:footnote w:id="2">
    <w:p w14:paraId="1723EB39" w14:textId="4FF76CAC" w:rsidR="00B16469" w:rsidRPr="00EC367F" w:rsidRDefault="00B16469" w:rsidP="00B16469">
      <w:pPr>
        <w:pStyle w:val="FootnoteText"/>
        <w:spacing w:before="0"/>
        <w:rPr>
          <w:lang w:eastAsia="zh-CN"/>
        </w:rPr>
      </w:pPr>
      <w:r>
        <w:rPr>
          <w:rStyle w:val="FootnoteReference"/>
        </w:rPr>
        <w:footnoteRef/>
      </w:r>
      <w:r>
        <w:rPr>
          <w:lang w:eastAsia="zh-CN"/>
        </w:rPr>
        <w:t xml:space="preserve"> </w:t>
      </w:r>
      <w:r w:rsidR="005C11C5">
        <w:rPr>
          <w:rFonts w:hint="eastAsia"/>
          <w:sz w:val="18"/>
          <w:szCs w:val="18"/>
          <w:lang w:eastAsia="zh-CN"/>
        </w:rPr>
        <w:t>参见文件：</w:t>
      </w:r>
      <w:hyperlink r:id="rId2" w:history="1">
        <w:r>
          <w:rPr>
            <w:rStyle w:val="Hyperlink"/>
            <w:sz w:val="18"/>
            <w:szCs w:val="18"/>
            <w:lang w:eastAsia="zh-CN"/>
          </w:rPr>
          <w:t>CWG-FHR-INF 7/2</w:t>
        </w:r>
      </w:hyperlink>
      <w:r w:rsidR="005C11C5">
        <w:rPr>
          <w:rFonts w:hint="eastAsia"/>
          <w:sz w:val="18"/>
          <w:szCs w:val="18"/>
          <w:lang w:eastAsia="zh-CN"/>
        </w:rPr>
        <w:t>，包括区域分布的现行趋势、公司规模和类型，以及限制中小企业（</w:t>
      </w:r>
      <w:r w:rsidR="005C11C5">
        <w:rPr>
          <w:rFonts w:hint="eastAsia"/>
          <w:sz w:val="18"/>
          <w:szCs w:val="18"/>
          <w:lang w:eastAsia="zh-CN"/>
        </w:rPr>
        <w:t>SME</w:t>
      </w:r>
      <w:r w:rsidR="005C11C5">
        <w:rPr>
          <w:rFonts w:hint="eastAsia"/>
          <w:sz w:val="18"/>
          <w:szCs w:val="18"/>
          <w:lang w:eastAsia="zh-CN"/>
        </w:rPr>
        <w:t>）进一步参与国际电联活动的可能障碍。</w:t>
      </w:r>
    </w:p>
  </w:footnote>
  <w:footnote w:id="3">
    <w:p w14:paraId="0B64B546" w14:textId="4BEFCE90" w:rsidR="00D123C7" w:rsidRPr="00501831" w:rsidRDefault="00D123C7" w:rsidP="00D123C7">
      <w:pPr>
        <w:pStyle w:val="FootnoteText"/>
        <w:spacing w:before="0"/>
        <w:rPr>
          <w:sz w:val="20"/>
          <w:szCs w:val="16"/>
          <w:lang w:val="en-US" w:eastAsia="zh-CN"/>
        </w:rPr>
      </w:pPr>
      <w:r>
        <w:rPr>
          <w:rStyle w:val="FootnoteReference"/>
        </w:rPr>
        <w:footnoteRef/>
      </w:r>
      <w:r>
        <w:rPr>
          <w:lang w:eastAsia="zh-CN"/>
        </w:rPr>
        <w:t xml:space="preserve"> </w:t>
      </w:r>
      <w:r w:rsidRPr="00B47687">
        <w:rPr>
          <w:rFonts w:hint="eastAsia"/>
          <w:sz w:val="18"/>
          <w:szCs w:val="18"/>
          <w:lang w:eastAsia="zh-CN"/>
        </w:rPr>
        <w:t>参见文件：</w:t>
      </w:r>
      <w:hyperlink r:id="rId3" w:history="1">
        <w:r w:rsidRPr="00B47687">
          <w:rPr>
            <w:rStyle w:val="Hyperlink"/>
            <w:sz w:val="18"/>
            <w:szCs w:val="18"/>
            <w:lang w:val="en-US" w:eastAsia="zh-CN"/>
          </w:rPr>
          <w:t>CWG-FHR 7/4</w:t>
        </w:r>
      </w:hyperlink>
      <w:r w:rsidRPr="00B47687">
        <w:rPr>
          <w:rFonts w:hint="eastAsia"/>
          <w:sz w:val="18"/>
          <w:szCs w:val="18"/>
          <w:lang w:val="en-US" w:eastAsia="zh-CN"/>
        </w:rPr>
        <w:t>，</w:t>
      </w:r>
      <w:r w:rsidRPr="00B47687">
        <w:rPr>
          <w:rFonts w:hint="eastAsia"/>
          <w:sz w:val="18"/>
          <w:szCs w:val="18"/>
          <w:lang w:eastAsia="zh-CN"/>
        </w:rPr>
        <w:t>就增加全额支付之部门成员的数量而言（附件</w:t>
      </w:r>
      <w:r w:rsidRPr="00B47687">
        <w:rPr>
          <w:rFonts w:hint="eastAsia"/>
          <w:sz w:val="18"/>
          <w:szCs w:val="18"/>
          <w:lang w:eastAsia="zh-CN"/>
        </w:rPr>
        <w:t>2</w:t>
      </w:r>
      <w:r w:rsidRPr="00B47687">
        <w:rPr>
          <w:rFonts w:hint="eastAsia"/>
          <w:sz w:val="18"/>
          <w:szCs w:val="18"/>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7CC0A" w14:textId="6F1488D9" w:rsidR="00A525CC" w:rsidRPr="006D271A" w:rsidRDefault="00A525CC" w:rsidP="00F051DE">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00CA0EA8" w:rsidRPr="006D271A">
      <w:rPr>
        <w:sz w:val="22"/>
        <w:szCs w:val="22"/>
        <w:lang w:val="de-CH"/>
      </w:rPr>
      <w:t>ITU-D/</w:t>
    </w:r>
    <w:r w:rsidR="00CA0EA8" w:rsidRPr="00A54E72">
      <w:rPr>
        <w:sz w:val="22"/>
        <w:szCs w:val="22"/>
        <w:lang w:val="de-CH"/>
      </w:rPr>
      <w:t>TDAG1</w:t>
    </w:r>
    <w:r w:rsidR="00CA0EA8">
      <w:rPr>
        <w:sz w:val="22"/>
        <w:szCs w:val="22"/>
        <w:lang w:val="de-CH"/>
      </w:rPr>
      <w:t>7</w:t>
    </w:r>
    <w:r w:rsidR="00CA0EA8" w:rsidRPr="00A54E72">
      <w:rPr>
        <w:sz w:val="22"/>
        <w:szCs w:val="22"/>
        <w:lang w:val="de-CH"/>
      </w:rPr>
      <w:t>-</w:t>
    </w:r>
    <w:r w:rsidR="00CA0EA8">
      <w:rPr>
        <w:sz w:val="22"/>
        <w:szCs w:val="22"/>
        <w:lang w:val="de-CH"/>
      </w:rPr>
      <w:t>22</w:t>
    </w:r>
    <w:r w:rsidR="00CA0EA8" w:rsidRPr="00A54E72">
      <w:rPr>
        <w:sz w:val="22"/>
        <w:szCs w:val="22"/>
        <w:lang w:val="de-CH"/>
      </w:rPr>
      <w:t>/</w:t>
    </w:r>
    <w:r w:rsidR="00CA0EA8">
      <w:rPr>
        <w:sz w:val="22"/>
        <w:szCs w:val="22"/>
        <w:lang w:val="de-CH"/>
      </w:rPr>
      <w:t>28</w:t>
    </w:r>
    <w:r w:rsidR="00CA0EA8" w:rsidRPr="006D271A">
      <w:rPr>
        <w:sz w:val="22"/>
        <w:szCs w:val="22"/>
        <w:lang w:val="de-CH"/>
      </w:rPr>
      <w:t>-</w:t>
    </w:r>
    <w:r w:rsidR="00F051DE">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C2561">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463C3"/>
    <w:multiLevelType w:val="hybridMultilevel"/>
    <w:tmpl w:val="DBF27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3C7CC0"/>
    <w:multiLevelType w:val="hybridMultilevel"/>
    <w:tmpl w:val="2B30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3C4165"/>
    <w:multiLevelType w:val="hybridMultilevel"/>
    <w:tmpl w:val="36BC5184"/>
    <w:lvl w:ilvl="0" w:tplc="70608D16">
      <w:start w:val="1"/>
      <w:numFmt w:val="bullet"/>
      <w:lvlText w:val=""/>
      <w:lvlJc w:val="left"/>
      <w:pPr>
        <w:ind w:left="360" w:hanging="360"/>
      </w:pPr>
      <w:rPr>
        <w:rFonts w:ascii="Symbol" w:hAnsi="Symbol"/>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3" w15:restartNumberingAfterBreak="0">
    <w:nsid w:val="6D1930C6"/>
    <w:multiLevelType w:val="multilevel"/>
    <w:tmpl w:val="3A0662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79796880"/>
    <w:multiLevelType w:val="multilevel"/>
    <w:tmpl w:val="8F6209A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9B27884"/>
    <w:multiLevelType w:val="multilevel"/>
    <w:tmpl w:val="47FE41D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66B9"/>
    <w:rsid w:val="00037A9E"/>
    <w:rsid w:val="00037F91"/>
    <w:rsid w:val="000539F1"/>
    <w:rsid w:val="00054747"/>
    <w:rsid w:val="00055A2A"/>
    <w:rsid w:val="000615C1"/>
    <w:rsid w:val="00061675"/>
    <w:rsid w:val="000743AA"/>
    <w:rsid w:val="000830E8"/>
    <w:rsid w:val="0009225C"/>
    <w:rsid w:val="00094228"/>
    <w:rsid w:val="000A17C4"/>
    <w:rsid w:val="000A36A4"/>
    <w:rsid w:val="000B2352"/>
    <w:rsid w:val="000C6340"/>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10E9"/>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3608"/>
    <w:rsid w:val="001942A7"/>
    <w:rsid w:val="0019587B"/>
    <w:rsid w:val="001A163D"/>
    <w:rsid w:val="001A441E"/>
    <w:rsid w:val="001A6733"/>
    <w:rsid w:val="001B357F"/>
    <w:rsid w:val="001C16DA"/>
    <w:rsid w:val="001C3444"/>
    <w:rsid w:val="001C3702"/>
    <w:rsid w:val="001C4656"/>
    <w:rsid w:val="001C46BC"/>
    <w:rsid w:val="001F23E6"/>
    <w:rsid w:val="001F4238"/>
    <w:rsid w:val="00200A38"/>
    <w:rsid w:val="00200A46"/>
    <w:rsid w:val="00205D80"/>
    <w:rsid w:val="00211B6F"/>
    <w:rsid w:val="00213518"/>
    <w:rsid w:val="00217CC3"/>
    <w:rsid w:val="00220AB6"/>
    <w:rsid w:val="0022120F"/>
    <w:rsid w:val="00227188"/>
    <w:rsid w:val="0022754A"/>
    <w:rsid w:val="00235598"/>
    <w:rsid w:val="00236560"/>
    <w:rsid w:val="0023662E"/>
    <w:rsid w:val="002400D1"/>
    <w:rsid w:val="00245D0F"/>
    <w:rsid w:val="00247A8E"/>
    <w:rsid w:val="002548C3"/>
    <w:rsid w:val="00257ACD"/>
    <w:rsid w:val="00257E9B"/>
    <w:rsid w:val="00262908"/>
    <w:rsid w:val="002650F4"/>
    <w:rsid w:val="002715FD"/>
    <w:rsid w:val="002745C0"/>
    <w:rsid w:val="00285B33"/>
    <w:rsid w:val="00287A3C"/>
    <w:rsid w:val="00294D38"/>
    <w:rsid w:val="002A0756"/>
    <w:rsid w:val="002A2FC6"/>
    <w:rsid w:val="002C1EC7"/>
    <w:rsid w:val="002C4342"/>
    <w:rsid w:val="002C7EA3"/>
    <w:rsid w:val="002D20AE"/>
    <w:rsid w:val="002D6C61"/>
    <w:rsid w:val="002E2104"/>
    <w:rsid w:val="002E2DAC"/>
    <w:rsid w:val="002E6963"/>
    <w:rsid w:val="002E6F8F"/>
    <w:rsid w:val="002F05D8"/>
    <w:rsid w:val="002F0859"/>
    <w:rsid w:val="002F1448"/>
    <w:rsid w:val="002F2DE0"/>
    <w:rsid w:val="002F5E25"/>
    <w:rsid w:val="003125C3"/>
    <w:rsid w:val="00312AE6"/>
    <w:rsid w:val="00317D1A"/>
    <w:rsid w:val="003211FF"/>
    <w:rsid w:val="00327247"/>
    <w:rsid w:val="00327A9D"/>
    <w:rsid w:val="0033130E"/>
    <w:rsid w:val="0033269C"/>
    <w:rsid w:val="00333B21"/>
    <w:rsid w:val="0035516C"/>
    <w:rsid w:val="00355A4C"/>
    <w:rsid w:val="003604FB"/>
    <w:rsid w:val="00360B73"/>
    <w:rsid w:val="0037180E"/>
    <w:rsid w:val="00380B71"/>
    <w:rsid w:val="0038365A"/>
    <w:rsid w:val="00386A89"/>
    <w:rsid w:val="00395511"/>
    <w:rsid w:val="0039648E"/>
    <w:rsid w:val="003A5AFE"/>
    <w:rsid w:val="003A5D5F"/>
    <w:rsid w:val="003A7FFE"/>
    <w:rsid w:val="003B0A63"/>
    <w:rsid w:val="003B50E1"/>
    <w:rsid w:val="003C1746"/>
    <w:rsid w:val="003C2AA9"/>
    <w:rsid w:val="003C58BF"/>
    <w:rsid w:val="003D451D"/>
    <w:rsid w:val="003F2DD8"/>
    <w:rsid w:val="003F3F2D"/>
    <w:rsid w:val="003F50B2"/>
    <w:rsid w:val="00401BFF"/>
    <w:rsid w:val="00404424"/>
    <w:rsid w:val="0041156B"/>
    <w:rsid w:val="004122C5"/>
    <w:rsid w:val="00413B78"/>
    <w:rsid w:val="00416DDE"/>
    <w:rsid w:val="00441E79"/>
    <w:rsid w:val="0044411E"/>
    <w:rsid w:val="00450871"/>
    <w:rsid w:val="00453435"/>
    <w:rsid w:val="00455A89"/>
    <w:rsid w:val="00466398"/>
    <w:rsid w:val="00466F95"/>
    <w:rsid w:val="0047306D"/>
    <w:rsid w:val="00476E48"/>
    <w:rsid w:val="00481DE9"/>
    <w:rsid w:val="0049128B"/>
    <w:rsid w:val="00493B49"/>
    <w:rsid w:val="00495501"/>
    <w:rsid w:val="004A070A"/>
    <w:rsid w:val="004A320E"/>
    <w:rsid w:val="004A4E9C"/>
    <w:rsid w:val="004B076B"/>
    <w:rsid w:val="004B1A3C"/>
    <w:rsid w:val="004B5536"/>
    <w:rsid w:val="004D2CC3"/>
    <w:rsid w:val="004D35CB"/>
    <w:rsid w:val="004E20E5"/>
    <w:rsid w:val="004E64EA"/>
    <w:rsid w:val="004E7828"/>
    <w:rsid w:val="004F46AA"/>
    <w:rsid w:val="004F6A70"/>
    <w:rsid w:val="00501831"/>
    <w:rsid w:val="00502ABF"/>
    <w:rsid w:val="00504DB0"/>
    <w:rsid w:val="00507C35"/>
    <w:rsid w:val="00510735"/>
    <w:rsid w:val="00514D2F"/>
    <w:rsid w:val="00530C2F"/>
    <w:rsid w:val="0054405D"/>
    <w:rsid w:val="0054420E"/>
    <w:rsid w:val="00544D1B"/>
    <w:rsid w:val="00545DC0"/>
    <w:rsid w:val="00545F6C"/>
    <w:rsid w:val="0055720C"/>
    <w:rsid w:val="005632DD"/>
    <w:rsid w:val="0056423B"/>
    <w:rsid w:val="00573424"/>
    <w:rsid w:val="0057402F"/>
    <w:rsid w:val="005849D6"/>
    <w:rsid w:val="00585367"/>
    <w:rsid w:val="005871A1"/>
    <w:rsid w:val="0058737E"/>
    <w:rsid w:val="00592518"/>
    <w:rsid w:val="00592E87"/>
    <w:rsid w:val="00594C4D"/>
    <w:rsid w:val="005A1AF6"/>
    <w:rsid w:val="005A33B0"/>
    <w:rsid w:val="005B0EB9"/>
    <w:rsid w:val="005C11C5"/>
    <w:rsid w:val="005C2DC2"/>
    <w:rsid w:val="005C304A"/>
    <w:rsid w:val="005C3D69"/>
    <w:rsid w:val="005C7C98"/>
    <w:rsid w:val="005D55A4"/>
    <w:rsid w:val="005D57C8"/>
    <w:rsid w:val="005D7761"/>
    <w:rsid w:val="005E0278"/>
    <w:rsid w:val="005E090D"/>
    <w:rsid w:val="005E1AB9"/>
    <w:rsid w:val="005E1D72"/>
    <w:rsid w:val="005E3CA0"/>
    <w:rsid w:val="005E44B1"/>
    <w:rsid w:val="005E53D6"/>
    <w:rsid w:val="005E67B0"/>
    <w:rsid w:val="005E7047"/>
    <w:rsid w:val="005E777F"/>
    <w:rsid w:val="005F140D"/>
    <w:rsid w:val="005F1CA7"/>
    <w:rsid w:val="005F43DD"/>
    <w:rsid w:val="005F51A9"/>
    <w:rsid w:val="005F6147"/>
    <w:rsid w:val="005F6BE1"/>
    <w:rsid w:val="005F7416"/>
    <w:rsid w:val="005F756E"/>
    <w:rsid w:val="00600BA9"/>
    <w:rsid w:val="00600C11"/>
    <w:rsid w:val="00606B89"/>
    <w:rsid w:val="00611EAF"/>
    <w:rsid w:val="00623F30"/>
    <w:rsid w:val="00625FB8"/>
    <w:rsid w:val="006261BD"/>
    <w:rsid w:val="00632017"/>
    <w:rsid w:val="00635EDB"/>
    <w:rsid w:val="00637D94"/>
    <w:rsid w:val="0064734E"/>
    <w:rsid w:val="00650137"/>
    <w:rsid w:val="006509D7"/>
    <w:rsid w:val="00651CE8"/>
    <w:rsid w:val="0065521B"/>
    <w:rsid w:val="00662403"/>
    <w:rsid w:val="00671EF6"/>
    <w:rsid w:val="0067205B"/>
    <w:rsid w:val="006748F8"/>
    <w:rsid w:val="00680489"/>
    <w:rsid w:val="00683C32"/>
    <w:rsid w:val="00690BB2"/>
    <w:rsid w:val="00693D09"/>
    <w:rsid w:val="006958FE"/>
    <w:rsid w:val="006A093F"/>
    <w:rsid w:val="006A6549"/>
    <w:rsid w:val="006A7710"/>
    <w:rsid w:val="006A7A61"/>
    <w:rsid w:val="006B1E59"/>
    <w:rsid w:val="006B2FFB"/>
    <w:rsid w:val="006C10A2"/>
    <w:rsid w:val="006C1F18"/>
    <w:rsid w:val="006C2561"/>
    <w:rsid w:val="006D40D5"/>
    <w:rsid w:val="006F009A"/>
    <w:rsid w:val="006F3D93"/>
    <w:rsid w:val="007019B1"/>
    <w:rsid w:val="0070729C"/>
    <w:rsid w:val="00721657"/>
    <w:rsid w:val="007279A8"/>
    <w:rsid w:val="00727B1A"/>
    <w:rsid w:val="00741337"/>
    <w:rsid w:val="00752258"/>
    <w:rsid w:val="00757A09"/>
    <w:rsid w:val="00762880"/>
    <w:rsid w:val="00762AD6"/>
    <w:rsid w:val="00762E02"/>
    <w:rsid w:val="00772290"/>
    <w:rsid w:val="007722C6"/>
    <w:rsid w:val="00777265"/>
    <w:rsid w:val="007805E7"/>
    <w:rsid w:val="0078222A"/>
    <w:rsid w:val="00785297"/>
    <w:rsid w:val="00787D48"/>
    <w:rsid w:val="00787E08"/>
    <w:rsid w:val="0079212E"/>
    <w:rsid w:val="00795294"/>
    <w:rsid w:val="007A4E50"/>
    <w:rsid w:val="007A6051"/>
    <w:rsid w:val="007B18A7"/>
    <w:rsid w:val="007B250E"/>
    <w:rsid w:val="007C27FC"/>
    <w:rsid w:val="007C4C97"/>
    <w:rsid w:val="007C51FF"/>
    <w:rsid w:val="007D22D2"/>
    <w:rsid w:val="007D50E4"/>
    <w:rsid w:val="007E4EE3"/>
    <w:rsid w:val="008027AC"/>
    <w:rsid w:val="008028CE"/>
    <w:rsid w:val="0080332E"/>
    <w:rsid w:val="008141E0"/>
    <w:rsid w:val="00816EE1"/>
    <w:rsid w:val="00816F88"/>
    <w:rsid w:val="00822323"/>
    <w:rsid w:val="008300AD"/>
    <w:rsid w:val="00833024"/>
    <w:rsid w:val="008419B1"/>
    <w:rsid w:val="00844A56"/>
    <w:rsid w:val="00845B11"/>
    <w:rsid w:val="00852081"/>
    <w:rsid w:val="0087171E"/>
    <w:rsid w:val="00872B6E"/>
    <w:rsid w:val="00874DFD"/>
    <w:rsid w:val="008802F9"/>
    <w:rsid w:val="00883086"/>
    <w:rsid w:val="008879FD"/>
    <w:rsid w:val="00893EE9"/>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3E58"/>
    <w:rsid w:val="00914004"/>
    <w:rsid w:val="00922EC1"/>
    <w:rsid w:val="009301F1"/>
    <w:rsid w:val="009307DF"/>
    <w:rsid w:val="00930EC8"/>
    <w:rsid w:val="009359B8"/>
    <w:rsid w:val="009431F8"/>
    <w:rsid w:val="00947A35"/>
    <w:rsid w:val="009507C0"/>
    <w:rsid w:val="00962081"/>
    <w:rsid w:val="00966CB5"/>
    <w:rsid w:val="009700E3"/>
    <w:rsid w:val="00975786"/>
    <w:rsid w:val="00981CB7"/>
    <w:rsid w:val="00983E1F"/>
    <w:rsid w:val="00993F46"/>
    <w:rsid w:val="00997358"/>
    <w:rsid w:val="009A452B"/>
    <w:rsid w:val="009B050C"/>
    <w:rsid w:val="009B087F"/>
    <w:rsid w:val="009B2AF4"/>
    <w:rsid w:val="009C110B"/>
    <w:rsid w:val="009C5441"/>
    <w:rsid w:val="009C7211"/>
    <w:rsid w:val="009D119F"/>
    <w:rsid w:val="009D49A2"/>
    <w:rsid w:val="009F3940"/>
    <w:rsid w:val="009F3EB2"/>
    <w:rsid w:val="009F6EB1"/>
    <w:rsid w:val="00A05E40"/>
    <w:rsid w:val="00A11D05"/>
    <w:rsid w:val="00A13162"/>
    <w:rsid w:val="00A20267"/>
    <w:rsid w:val="00A3158C"/>
    <w:rsid w:val="00A32DF3"/>
    <w:rsid w:val="00A33E32"/>
    <w:rsid w:val="00A35E20"/>
    <w:rsid w:val="00A36F6D"/>
    <w:rsid w:val="00A525CC"/>
    <w:rsid w:val="00A53E7C"/>
    <w:rsid w:val="00A60087"/>
    <w:rsid w:val="00A60EEE"/>
    <w:rsid w:val="00A705E8"/>
    <w:rsid w:val="00A7324C"/>
    <w:rsid w:val="00A9392C"/>
    <w:rsid w:val="00A9462B"/>
    <w:rsid w:val="00A97D59"/>
    <w:rsid w:val="00AA3E09"/>
    <w:rsid w:val="00AA4BEF"/>
    <w:rsid w:val="00AB4962"/>
    <w:rsid w:val="00AB734E"/>
    <w:rsid w:val="00AB740F"/>
    <w:rsid w:val="00AC3ACC"/>
    <w:rsid w:val="00AC6F14"/>
    <w:rsid w:val="00AC7221"/>
    <w:rsid w:val="00AD25D8"/>
    <w:rsid w:val="00AE191B"/>
    <w:rsid w:val="00AE5961"/>
    <w:rsid w:val="00AF0745"/>
    <w:rsid w:val="00AF4971"/>
    <w:rsid w:val="00AF5276"/>
    <w:rsid w:val="00B01046"/>
    <w:rsid w:val="00B16469"/>
    <w:rsid w:val="00B16E3F"/>
    <w:rsid w:val="00B310F9"/>
    <w:rsid w:val="00B33924"/>
    <w:rsid w:val="00B37866"/>
    <w:rsid w:val="00B412BF"/>
    <w:rsid w:val="00B412FB"/>
    <w:rsid w:val="00B4576B"/>
    <w:rsid w:val="00B46350"/>
    <w:rsid w:val="00B46DF3"/>
    <w:rsid w:val="00B4768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4BEC"/>
    <w:rsid w:val="00BD79F0"/>
    <w:rsid w:val="00BE1616"/>
    <w:rsid w:val="00BE2B4D"/>
    <w:rsid w:val="00C015F8"/>
    <w:rsid w:val="00C02C69"/>
    <w:rsid w:val="00C0323A"/>
    <w:rsid w:val="00C07E26"/>
    <w:rsid w:val="00C1011C"/>
    <w:rsid w:val="00C11749"/>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0EA8"/>
    <w:rsid w:val="00CA1F0B"/>
    <w:rsid w:val="00CB110F"/>
    <w:rsid w:val="00CB2A2E"/>
    <w:rsid w:val="00CB338A"/>
    <w:rsid w:val="00CB79C5"/>
    <w:rsid w:val="00CC411F"/>
    <w:rsid w:val="00CC4B75"/>
    <w:rsid w:val="00CC732E"/>
    <w:rsid w:val="00CD14E7"/>
    <w:rsid w:val="00CD2AAC"/>
    <w:rsid w:val="00CD7207"/>
    <w:rsid w:val="00CE0DBE"/>
    <w:rsid w:val="00CE5E4D"/>
    <w:rsid w:val="00CF02C4"/>
    <w:rsid w:val="00CF167F"/>
    <w:rsid w:val="00CF72E5"/>
    <w:rsid w:val="00D00CDF"/>
    <w:rsid w:val="00D013EE"/>
    <w:rsid w:val="00D01F54"/>
    <w:rsid w:val="00D040F7"/>
    <w:rsid w:val="00D04A76"/>
    <w:rsid w:val="00D10FC7"/>
    <w:rsid w:val="00D123C7"/>
    <w:rsid w:val="00D1519F"/>
    <w:rsid w:val="00D20E99"/>
    <w:rsid w:val="00D21C83"/>
    <w:rsid w:val="00D35BDD"/>
    <w:rsid w:val="00D63006"/>
    <w:rsid w:val="00D72301"/>
    <w:rsid w:val="00D72BE1"/>
    <w:rsid w:val="00D911DE"/>
    <w:rsid w:val="00D91B97"/>
    <w:rsid w:val="00D93ACC"/>
    <w:rsid w:val="00D93C08"/>
    <w:rsid w:val="00D95DAC"/>
    <w:rsid w:val="00DA0B53"/>
    <w:rsid w:val="00DB1171"/>
    <w:rsid w:val="00DB1519"/>
    <w:rsid w:val="00DB2840"/>
    <w:rsid w:val="00DB3AD4"/>
    <w:rsid w:val="00DC1BD3"/>
    <w:rsid w:val="00DC2C1A"/>
    <w:rsid w:val="00DC69A9"/>
    <w:rsid w:val="00DD66B4"/>
    <w:rsid w:val="00DE1972"/>
    <w:rsid w:val="00DE27AB"/>
    <w:rsid w:val="00DF2AB3"/>
    <w:rsid w:val="00DF7250"/>
    <w:rsid w:val="00E00CAA"/>
    <w:rsid w:val="00E03EBF"/>
    <w:rsid w:val="00E05209"/>
    <w:rsid w:val="00E11BCF"/>
    <w:rsid w:val="00E171FC"/>
    <w:rsid w:val="00E2258E"/>
    <w:rsid w:val="00E260C2"/>
    <w:rsid w:val="00E32596"/>
    <w:rsid w:val="00E368F7"/>
    <w:rsid w:val="00E36EB8"/>
    <w:rsid w:val="00E37FB8"/>
    <w:rsid w:val="00E40B07"/>
    <w:rsid w:val="00E42326"/>
    <w:rsid w:val="00E43544"/>
    <w:rsid w:val="00E44D89"/>
    <w:rsid w:val="00E45213"/>
    <w:rsid w:val="00E477EA"/>
    <w:rsid w:val="00E55807"/>
    <w:rsid w:val="00E55BE9"/>
    <w:rsid w:val="00E63B14"/>
    <w:rsid w:val="00E65CA0"/>
    <w:rsid w:val="00E70D9F"/>
    <w:rsid w:val="00E72565"/>
    <w:rsid w:val="00E7398F"/>
    <w:rsid w:val="00E83810"/>
    <w:rsid w:val="00E86933"/>
    <w:rsid w:val="00E9605B"/>
    <w:rsid w:val="00E97298"/>
    <w:rsid w:val="00E97753"/>
    <w:rsid w:val="00EA7DE7"/>
    <w:rsid w:val="00EB78DD"/>
    <w:rsid w:val="00EB7A8A"/>
    <w:rsid w:val="00EC367F"/>
    <w:rsid w:val="00EE3A64"/>
    <w:rsid w:val="00EE50E5"/>
    <w:rsid w:val="00EF01CF"/>
    <w:rsid w:val="00EF7BBE"/>
    <w:rsid w:val="00F03590"/>
    <w:rsid w:val="00F03622"/>
    <w:rsid w:val="00F051DE"/>
    <w:rsid w:val="00F05267"/>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006E"/>
    <w:rsid w:val="00F73833"/>
    <w:rsid w:val="00F75C2C"/>
    <w:rsid w:val="00F9211C"/>
    <w:rsid w:val="00F975E7"/>
    <w:rsid w:val="00FA095D"/>
    <w:rsid w:val="00FA6C8B"/>
    <w:rsid w:val="00FA7C89"/>
    <w:rsid w:val="00FB3F93"/>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C5F1A0"/>
  <w15:docId w15:val="{9EA17DB5-09C5-489C-83B8-347A32DF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uiPriority w:val="99"/>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customStyle="1" w:styleId="CEONormal">
    <w:name w:val="CEO_Normal"/>
    <w:link w:val="CEONormalChar"/>
    <w:rsid w:val="00466F95"/>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466F95"/>
    <w:rPr>
      <w:rFonts w:ascii="Calibri" w:eastAsia="SimSun" w:hAnsi="Calibri" w:cs="Simplified Arabic"/>
      <w:sz w:val="22"/>
      <w:szCs w:val="19"/>
      <w:lang w:val="en-GB" w:eastAsia="en-US"/>
    </w:rPr>
  </w:style>
  <w:style w:type="paragraph" w:styleId="ListParagraph">
    <w:name w:val="List Paragraph"/>
    <w:basedOn w:val="Normal"/>
    <w:link w:val="ListParagraphChar"/>
    <w:uiPriority w:val="34"/>
    <w:qFormat/>
    <w:rsid w:val="00466F95"/>
    <w:pPr>
      <w:tabs>
        <w:tab w:val="clear" w:pos="794"/>
        <w:tab w:val="clear" w:pos="1191"/>
        <w:tab w:val="clear" w:pos="1588"/>
        <w:tab w:val="clear" w:pos="1985"/>
      </w:tabs>
      <w:overflowPunct/>
      <w:autoSpaceDE/>
      <w:autoSpaceDN/>
      <w:adjustRightInd/>
      <w:spacing w:after="120"/>
      <w:ind w:left="720"/>
      <w:contextualSpacing/>
      <w:textAlignment w:val="auto"/>
    </w:pPr>
    <w:rPr>
      <w:rFonts w:ascii="Verdana" w:eastAsia="SimHei" w:hAnsi="Verdana" w:cs="Simplified Arabic"/>
      <w:bCs/>
      <w:sz w:val="19"/>
      <w:szCs w:val="28"/>
      <w:lang w:val="en-US" w:eastAsia="zh-CN"/>
    </w:rPr>
  </w:style>
  <w:style w:type="paragraph" w:styleId="NormalWeb">
    <w:name w:val="Normal (Web)"/>
    <w:basedOn w:val="Normal"/>
    <w:uiPriority w:val="99"/>
    <w:unhideWhenUsed/>
    <w:rsid w:val="00466F9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styleId="PlainText">
    <w:name w:val="Plain Text"/>
    <w:basedOn w:val="Normal"/>
    <w:link w:val="PlainTextChar"/>
    <w:uiPriority w:val="99"/>
    <w:unhideWhenUsed/>
    <w:rsid w:val="00466F95"/>
    <w:pPr>
      <w:tabs>
        <w:tab w:val="clear" w:pos="794"/>
        <w:tab w:val="clear" w:pos="1191"/>
        <w:tab w:val="clear" w:pos="1588"/>
        <w:tab w:val="clear" w:pos="1985"/>
      </w:tabs>
      <w:overflowPunct/>
      <w:autoSpaceDE/>
      <w:autoSpaceDN/>
      <w:adjustRightInd/>
      <w:spacing w:before="0"/>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rsid w:val="00466F95"/>
    <w:rPr>
      <w:rFonts w:ascii="Calibri" w:eastAsiaTheme="minorEastAsia" w:hAnsi="Calibri" w:cstheme="minorBidi"/>
      <w:sz w:val="22"/>
      <w:szCs w:val="21"/>
    </w:rPr>
  </w:style>
  <w:style w:type="character" w:customStyle="1" w:styleId="FootnoteTextChar">
    <w:name w:val="Footnote Text Char"/>
    <w:basedOn w:val="DefaultParagraphFont"/>
    <w:link w:val="FootnoteText"/>
    <w:uiPriority w:val="99"/>
    <w:rsid w:val="00EC367F"/>
    <w:rPr>
      <w:rFonts w:asciiTheme="minorHAnsi" w:hAnsiTheme="minorHAnsi"/>
      <w:sz w:val="24"/>
      <w:lang w:val="en-GB" w:eastAsia="en-US"/>
    </w:rPr>
  </w:style>
  <w:style w:type="character" w:styleId="FollowedHyperlink">
    <w:name w:val="FollowedHyperlink"/>
    <w:basedOn w:val="DefaultParagraphFont"/>
    <w:semiHidden/>
    <w:unhideWhenUsed/>
    <w:rsid w:val="00EC367F"/>
    <w:rPr>
      <w:color w:val="800080" w:themeColor="followedHyperlink"/>
      <w:u w:val="single"/>
    </w:rPr>
  </w:style>
  <w:style w:type="paragraph" w:styleId="BalloonText">
    <w:name w:val="Balloon Text"/>
    <w:basedOn w:val="Normal"/>
    <w:link w:val="BalloonTextChar"/>
    <w:semiHidden/>
    <w:unhideWhenUsed/>
    <w:rsid w:val="00AD25D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D25D8"/>
    <w:rPr>
      <w:rFonts w:ascii="Segoe UI" w:hAnsi="Segoe UI" w:cs="Segoe UI"/>
      <w:sz w:val="18"/>
      <w:szCs w:val="18"/>
      <w:lang w:val="en-GB" w:eastAsia="en-US"/>
    </w:rPr>
  </w:style>
  <w:style w:type="character" w:styleId="CommentReference">
    <w:name w:val="annotation reference"/>
    <w:basedOn w:val="DefaultParagraphFont"/>
    <w:semiHidden/>
    <w:unhideWhenUsed/>
    <w:rsid w:val="00AD25D8"/>
    <w:rPr>
      <w:sz w:val="16"/>
      <w:szCs w:val="16"/>
    </w:rPr>
  </w:style>
  <w:style w:type="paragraph" w:styleId="CommentText">
    <w:name w:val="annotation text"/>
    <w:basedOn w:val="Normal"/>
    <w:link w:val="CommentTextChar"/>
    <w:semiHidden/>
    <w:unhideWhenUsed/>
    <w:rsid w:val="00AD25D8"/>
    <w:rPr>
      <w:sz w:val="20"/>
    </w:rPr>
  </w:style>
  <w:style w:type="character" w:customStyle="1" w:styleId="CommentTextChar">
    <w:name w:val="Comment Text Char"/>
    <w:basedOn w:val="DefaultParagraphFont"/>
    <w:link w:val="CommentText"/>
    <w:semiHidden/>
    <w:rsid w:val="00AD25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D25D8"/>
    <w:rPr>
      <w:b/>
      <w:bCs/>
    </w:rPr>
  </w:style>
  <w:style w:type="character" w:customStyle="1" w:styleId="CommentSubjectChar">
    <w:name w:val="Comment Subject Char"/>
    <w:basedOn w:val="CommentTextChar"/>
    <w:link w:val="CommentSubject"/>
    <w:semiHidden/>
    <w:rsid w:val="00AD25D8"/>
    <w:rPr>
      <w:rFonts w:asciiTheme="minorHAnsi" w:hAnsiTheme="minorHAnsi"/>
      <w:b/>
      <w:bCs/>
      <w:lang w:val="en-GB" w:eastAsia="en-US"/>
    </w:rPr>
  </w:style>
  <w:style w:type="character" w:customStyle="1" w:styleId="ListParagraphChar">
    <w:name w:val="List Paragraph Char"/>
    <w:basedOn w:val="DefaultParagraphFont"/>
    <w:link w:val="ListParagraph"/>
    <w:uiPriority w:val="34"/>
    <w:rsid w:val="00247A8E"/>
    <w:rPr>
      <w:rFonts w:ascii="Verdana" w:eastAsia="SimHei" w:hAnsi="Verdana" w:cs="Simplified Arabic"/>
      <w:bCs/>
      <w:sz w:val="19"/>
      <w:szCs w:val="28"/>
    </w:rPr>
  </w:style>
  <w:style w:type="character" w:styleId="Strong">
    <w:name w:val="Strong"/>
    <w:basedOn w:val="DefaultParagraphFont"/>
    <w:uiPriority w:val="22"/>
    <w:qFormat/>
    <w:rsid w:val="00247A8E"/>
    <w:rPr>
      <w:b/>
      <w:bCs/>
    </w:rPr>
  </w:style>
  <w:style w:type="paragraph" w:customStyle="1" w:styleId="Reasons">
    <w:name w:val="Reasons"/>
    <w:basedOn w:val="Normal"/>
    <w:qFormat/>
    <w:rsid w:val="00B47687"/>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856992">
      <w:bodyDiv w:val="1"/>
      <w:marLeft w:val="0"/>
      <w:marRight w:val="0"/>
      <w:marTop w:val="0"/>
      <w:marBottom w:val="0"/>
      <w:divBdr>
        <w:top w:val="none" w:sz="0" w:space="0" w:color="auto"/>
        <w:left w:val="none" w:sz="0" w:space="0" w:color="auto"/>
        <w:bottom w:val="none" w:sz="0" w:space="0" w:color="auto"/>
        <w:right w:val="none" w:sz="0" w:space="0" w:color="auto"/>
      </w:divBdr>
    </w:div>
    <w:div w:id="1546213457">
      <w:bodyDiv w:val="1"/>
      <w:marLeft w:val="0"/>
      <w:marRight w:val="0"/>
      <w:marTop w:val="0"/>
      <w:marBottom w:val="0"/>
      <w:divBdr>
        <w:top w:val="none" w:sz="0" w:space="0" w:color="auto"/>
        <w:left w:val="none" w:sz="0" w:space="0" w:color="auto"/>
        <w:bottom w:val="none" w:sz="0" w:space="0" w:color="auto"/>
        <w:right w:val="none" w:sz="0" w:space="0" w:color="auto"/>
      </w:divBdr>
    </w:div>
    <w:div w:id="189485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D/Membership/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17-CLCWGFHRM7-C-0004/en" TargetMode="External"/><Relationship Id="rId2" Type="http://schemas.openxmlformats.org/officeDocument/2006/relationships/hyperlink" Target="http://www.itu.int/md/S17-CLCWGFHRM7-INF-0002/en" TargetMode="External"/><Relationship Id="rId1" Type="http://schemas.openxmlformats.org/officeDocument/2006/relationships/hyperlink" Target="http://www.itu.int/md/S17-CLCWGFHRM7-C-000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blue\dfs\bdt\PSB\Membership\TDAG\TDAG%202017\GRAPH%20MEMBERS%20SINCE%20199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lue\dfs\bdt\PSB\Membership\TDAG\TDAG%202017\GRAPH%20MEMBERS%20SINCE%20199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blue\dfs\bdt\PSB\Membership\TDAG\TDAG%202017\GRAPH%20MEMBERS%20SINCE%20199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mn-lt"/>
                <a:ea typeface="Arial"/>
                <a:cs typeface="Arial"/>
              </a:defRPr>
            </a:pPr>
            <a:r>
              <a:rPr lang="zh-CN" altLang="en-US">
                <a:latin typeface="+mn-lt"/>
              </a:rPr>
              <a:t>图</a:t>
            </a:r>
            <a:r>
              <a:rPr lang="en-US" altLang="zh-CN">
                <a:latin typeface="+mn-lt"/>
              </a:rPr>
              <a:t>1 - </a:t>
            </a:r>
            <a:r>
              <a:rPr lang="zh-CN" altLang="en-US">
                <a:latin typeface="+mn-lt"/>
              </a:rPr>
              <a:t>自</a:t>
            </a:r>
            <a:r>
              <a:rPr lang="en-US" altLang="zh-CN">
                <a:latin typeface="+mn-lt"/>
              </a:rPr>
              <a:t>1994</a:t>
            </a:r>
            <a:r>
              <a:rPr lang="zh-CN" altLang="en-US">
                <a:latin typeface="+mn-lt"/>
              </a:rPr>
              <a:t>年以来</a:t>
            </a:r>
            <a:r>
              <a:rPr lang="en-US" altLang="zh-CN">
                <a:latin typeface="+mn-lt"/>
              </a:rPr>
              <a:t>ITU-D</a:t>
            </a:r>
            <a:r>
              <a:rPr lang="zh-CN" altLang="en-US">
                <a:latin typeface="+mn-lt"/>
              </a:rPr>
              <a:t>部门成员的演变情况</a:t>
            </a:r>
            <a:endParaRPr lang="en-GB">
              <a:latin typeface="+mn-lt"/>
            </a:endParaRPr>
          </a:p>
        </c:rich>
      </c:tx>
      <c:layout>
        <c:manualLayout>
          <c:xMode val="edge"/>
          <c:yMode val="edge"/>
          <c:x val="0.23980630816599599"/>
          <c:y val="4.5935035274148786E-2"/>
        </c:manualLayout>
      </c:layout>
      <c:overlay val="0"/>
      <c:spPr>
        <a:noFill/>
        <a:ln w="25400">
          <a:noFill/>
        </a:ln>
      </c:spPr>
    </c:title>
    <c:autoTitleDeleted val="0"/>
    <c:plotArea>
      <c:layout>
        <c:manualLayout>
          <c:layoutTarget val="inner"/>
          <c:xMode val="edge"/>
          <c:yMode val="edge"/>
          <c:x val="5.9722303225780198E-2"/>
          <c:y val="0.20068093869890885"/>
          <c:w val="0.91336613771238229"/>
          <c:h val="0.65986613741675104"/>
        </c:manualLayout>
      </c:layout>
      <c:lineChart>
        <c:grouping val="standard"/>
        <c:varyColors val="0"/>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1.2641382574338717E-3"/>
                  <c:y val="-1.0583586102473797E-3"/>
                </c:manualLayout>
              </c:layout>
              <c:spPr>
                <a:noFill/>
                <a:ln w="25400">
                  <a:noFill/>
                </a:ln>
              </c:spPr>
              <c:txPr>
                <a:bodyPr wrap="square" lIns="38100" tIns="19050" rIns="38100" bIns="19050" anchor="ctr">
                  <a:spAutoFit/>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dLbl>
              <c:idx val="22"/>
              <c:layout>
                <c:manualLayout>
                  <c:x val="-2.8177028810931738E-2"/>
                  <c:y val="-2.2097144523206467E-2"/>
                </c:manualLayout>
              </c:layout>
              <c:spPr>
                <a:noFill/>
                <a:ln w="25400">
                  <a:noFill/>
                </a:ln>
              </c:spPr>
              <c:txPr>
                <a:bodyPr wrap="square" lIns="38100" tIns="19050" rIns="38100" bIns="19050" anchor="ctr">
                  <a:spAutoFit/>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spPr>
              <a:noFill/>
              <a:ln w="25400">
                <a:noFill/>
              </a:ln>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Sheet2!$B$121:$X$121</c:f>
              <c:numCache>
                <c:formatCode>General</c:formatCode>
                <c:ptCount val="23"/>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numCache>
            </c:numRef>
          </c:cat>
          <c:val>
            <c:numRef>
              <c:f>Sheet2!$B$121:$X$121</c:f>
              <c:numCache>
                <c:formatCode>General</c:formatCode>
                <c:ptCount val="23"/>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numCache>
            </c:numRef>
          </c:val>
          <c:smooth val="0"/>
        </c:ser>
        <c:ser>
          <c:idx val="1"/>
          <c:order val="1"/>
          <c:dLbls>
            <c:dLbl>
              <c:idx val="0"/>
              <c:layout>
                <c:manualLayout>
                  <c:x val="1.3972055888223553E-3"/>
                  <c:y val="8.9481122551986758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2"/>
              <c:layout>
                <c:manualLayout>
                  <c:x val="-1.8146215614393901E-2"/>
                  <c:y val="-3.093311837892922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Sheet2!$B$121:$X$121</c:f>
              <c:numCache>
                <c:formatCode>General</c:formatCode>
                <c:ptCount val="23"/>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numCache>
            </c:numRef>
          </c:cat>
          <c:val>
            <c:numRef>
              <c:f>Sheet2!$B$122:$X$122</c:f>
              <c:numCache>
                <c:formatCode>General</c:formatCode>
                <c:ptCount val="23"/>
                <c:pt idx="0">
                  <c:v>27</c:v>
                </c:pt>
                <c:pt idx="1">
                  <c:v>81</c:v>
                </c:pt>
                <c:pt idx="2">
                  <c:v>107</c:v>
                </c:pt>
                <c:pt idx="3">
                  <c:v>130</c:v>
                </c:pt>
                <c:pt idx="4">
                  <c:v>143</c:v>
                </c:pt>
                <c:pt idx="5">
                  <c:v>185</c:v>
                </c:pt>
                <c:pt idx="6">
                  <c:v>204</c:v>
                </c:pt>
                <c:pt idx="7">
                  <c:v>243</c:v>
                </c:pt>
                <c:pt idx="8">
                  <c:v>247</c:v>
                </c:pt>
                <c:pt idx="9">
                  <c:v>260</c:v>
                </c:pt>
                <c:pt idx="10">
                  <c:v>282</c:v>
                </c:pt>
                <c:pt idx="11">
                  <c:v>307</c:v>
                </c:pt>
                <c:pt idx="12">
                  <c:v>326</c:v>
                </c:pt>
                <c:pt idx="13">
                  <c:v>320</c:v>
                </c:pt>
                <c:pt idx="14">
                  <c:v>311</c:v>
                </c:pt>
                <c:pt idx="15">
                  <c:v>319</c:v>
                </c:pt>
                <c:pt idx="16">
                  <c:v>316</c:v>
                </c:pt>
                <c:pt idx="17">
                  <c:v>352</c:v>
                </c:pt>
                <c:pt idx="18">
                  <c:v>377</c:v>
                </c:pt>
                <c:pt idx="19">
                  <c:v>412</c:v>
                </c:pt>
                <c:pt idx="20">
                  <c:v>433</c:v>
                </c:pt>
                <c:pt idx="21">
                  <c:v>459</c:v>
                </c:pt>
                <c:pt idx="22">
                  <c:v>475</c:v>
                </c:pt>
              </c:numCache>
            </c:numRef>
          </c:val>
          <c:smooth val="0"/>
        </c:ser>
        <c:dLbls>
          <c:showLegendKey val="0"/>
          <c:showVal val="0"/>
          <c:showCatName val="0"/>
          <c:showSerName val="0"/>
          <c:showPercent val="0"/>
          <c:showBubbleSize val="0"/>
        </c:dLbls>
        <c:marker val="1"/>
        <c:smooth val="0"/>
        <c:axId val="622664240"/>
        <c:axId val="622664632"/>
      </c:lineChart>
      <c:dateAx>
        <c:axId val="622664240"/>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622664632"/>
        <c:crosses val="autoZero"/>
        <c:auto val="0"/>
        <c:lblOffset val="100"/>
        <c:baseTimeUnit val="days"/>
        <c:majorUnit val="1"/>
        <c:minorUnit val="1"/>
      </c:dateAx>
      <c:valAx>
        <c:axId val="622664632"/>
        <c:scaling>
          <c:orientation val="minMax"/>
          <c:max val="500"/>
        </c:scaling>
        <c:delete val="0"/>
        <c:axPos val="l"/>
        <c:majorGridlines>
          <c:spPr>
            <a:ln w="3175">
              <a:solidFill>
                <a:srgbClr val="00000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622664240"/>
        <c:crosses val="autoZero"/>
        <c:crossBetween val="midCat"/>
      </c:valAx>
      <c:spPr>
        <a:gradFill rotWithShape="0">
          <a:gsLst>
            <a:gs pos="0">
              <a:srgbClr val="CCFFCC"/>
            </a:gs>
            <a:gs pos="100000">
              <a:srgbClr val="FFFFFF"/>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800" b="1" i="0" u="none" strike="noStrike" kern="1200" cap="all" baseline="0">
                <a:solidFill>
                  <a:sysClr val="windowText" lastClr="000000"/>
                </a:solidFill>
                <a:latin typeface="+mn-lt"/>
                <a:ea typeface="+mn-ea"/>
                <a:cs typeface="+mn-cs"/>
              </a:defRPr>
            </a:pPr>
            <a:r>
              <a:rPr lang="en-GB" sz="900" cap="none" baseline="0">
                <a:solidFill>
                  <a:sysClr val="windowText" lastClr="000000"/>
                </a:solidFill>
              </a:rPr>
              <a:t>Chart 2 </a:t>
            </a:r>
          </a:p>
          <a:p>
            <a:pPr rtl="0">
              <a:defRPr sz="1800" b="1" i="0" u="none" strike="noStrike" kern="1200" cap="all" baseline="0">
                <a:solidFill>
                  <a:sysClr val="windowText" lastClr="000000"/>
                </a:solidFill>
                <a:latin typeface="+mn-lt"/>
                <a:ea typeface="+mn-ea"/>
                <a:cs typeface="+mn-cs"/>
              </a:defRPr>
            </a:pPr>
            <a:r>
              <a:rPr lang="en-GB" sz="900" cap="none" baseline="0">
                <a:solidFill>
                  <a:sysClr val="windowText" lastClr="000000"/>
                </a:solidFill>
              </a:rPr>
              <a:t>ITU-D Sector Membership by Category 2016 </a:t>
            </a:r>
          </a:p>
        </c:rich>
      </c:tx>
      <c:layout>
        <c:manualLayout>
          <c:xMode val="edge"/>
          <c:yMode val="edge"/>
          <c:x val="0.13106498496645233"/>
          <c:y val="3.6067261927187327E-3"/>
        </c:manualLayout>
      </c:layout>
      <c:overlay val="0"/>
      <c:spPr>
        <a:noFill/>
        <a:ln>
          <a:noFill/>
        </a:ln>
        <a:effectLst/>
      </c:spPr>
    </c:title>
    <c:autoTitleDeleted val="0"/>
    <c:plotArea>
      <c:layout>
        <c:manualLayout>
          <c:layoutTarget val="inner"/>
          <c:xMode val="edge"/>
          <c:yMode val="edge"/>
          <c:x val="5.9722303225780198E-2"/>
          <c:y val="0.20068093869890885"/>
          <c:w val="0.91336613771238229"/>
          <c:h val="0.65986613741675104"/>
        </c:manualLayout>
      </c:layout>
      <c:pieChart>
        <c:varyColors val="1"/>
        <c:ser>
          <c:idx val="1"/>
          <c:order val="0"/>
          <c:dPt>
            <c:idx val="0"/>
            <c:bubble3D val="0"/>
            <c:spPr>
              <a:solidFill>
                <a:schemeClr val="accent1">
                  <a:alpha val="70000"/>
                </a:schemeClr>
              </a:solidFill>
              <a:ln>
                <a:noFill/>
              </a:ln>
              <a:effectLst/>
            </c:spPr>
          </c:dPt>
          <c:dPt>
            <c:idx val="1"/>
            <c:bubble3D val="0"/>
            <c:spPr>
              <a:solidFill>
                <a:schemeClr val="accent2">
                  <a:alpha val="70000"/>
                </a:schemeClr>
              </a:solidFill>
              <a:ln>
                <a:noFill/>
              </a:ln>
              <a:effectLst/>
            </c:spPr>
          </c:dPt>
          <c:dPt>
            <c:idx val="2"/>
            <c:bubble3D val="0"/>
            <c:spPr>
              <a:solidFill>
                <a:schemeClr val="accent3">
                  <a:alpha val="70000"/>
                </a:schemeClr>
              </a:solidFill>
              <a:ln>
                <a:noFill/>
              </a:ln>
              <a:effectLst/>
            </c:spPr>
          </c:dPt>
          <c:dPt>
            <c:idx val="3"/>
            <c:bubble3D val="0"/>
            <c:spPr>
              <a:solidFill>
                <a:schemeClr val="accent4">
                  <a:alpha val="70000"/>
                </a:schemeClr>
              </a:solidFill>
              <a:ln>
                <a:noFill/>
              </a:ln>
              <a:effectLst/>
            </c:spPr>
          </c:dPt>
          <c:dPt>
            <c:idx val="4"/>
            <c:bubble3D val="0"/>
            <c:spPr>
              <a:solidFill>
                <a:schemeClr val="accent5">
                  <a:alpha val="70000"/>
                </a:schemeClr>
              </a:solidFill>
              <a:ln>
                <a:noFill/>
              </a:ln>
              <a:effectLst/>
            </c:spPr>
          </c:dPt>
          <c:dPt>
            <c:idx val="5"/>
            <c:bubble3D val="0"/>
            <c:spPr>
              <a:solidFill>
                <a:schemeClr val="accent6">
                  <a:alpha val="70000"/>
                </a:schemeClr>
              </a:solidFill>
              <a:ln>
                <a:noFill/>
              </a:ln>
              <a:effectLst/>
            </c:spPr>
          </c:dPt>
          <c:dPt>
            <c:idx val="6"/>
            <c:bubble3D val="0"/>
            <c:spPr>
              <a:solidFill>
                <a:schemeClr val="accent1">
                  <a:lumMod val="60000"/>
                  <a:alpha val="70000"/>
                </a:schemeClr>
              </a:solidFill>
              <a:ln>
                <a:noFill/>
              </a:ln>
              <a:effectLst/>
            </c:spPr>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en-US"/>
                </a:p>
              </c:txPr>
              <c:dLblPos val="inEnd"/>
              <c:showLegendKey val="0"/>
              <c:showVal val="0"/>
              <c:showCatName val="0"/>
              <c:showSerName val="0"/>
              <c:showPercent val="1"/>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2"/>
                      </a:solidFill>
                      <a:effectLst/>
                      <a:latin typeface="+mn-lt"/>
                      <a:ea typeface="+mn-ea"/>
                      <a:cs typeface="+mn-cs"/>
                    </a:defRPr>
                  </a:pPr>
                  <a:endParaRPr lang="en-US"/>
                </a:p>
              </c:txPr>
              <c:dLblPos val="inEnd"/>
              <c:showLegendKey val="0"/>
              <c:showVal val="0"/>
              <c:showCatName val="0"/>
              <c:showSerName val="0"/>
              <c:showPercent val="1"/>
              <c:showBubbleSize val="0"/>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3"/>
                      </a:solidFill>
                      <a:effectLst/>
                      <a:latin typeface="+mn-lt"/>
                      <a:ea typeface="+mn-ea"/>
                      <a:cs typeface="+mn-cs"/>
                    </a:defRPr>
                  </a:pPr>
                  <a:endParaRPr lang="en-US"/>
                </a:p>
              </c:txPr>
              <c:dLblPos val="inEnd"/>
              <c:showLegendKey val="0"/>
              <c:showVal val="0"/>
              <c:showCatName val="0"/>
              <c:showSerName val="0"/>
              <c:showPercent val="1"/>
              <c:showBubbleSize val="0"/>
            </c:dLbl>
            <c:dLbl>
              <c:idx val="5"/>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6"/>
                      </a:solidFill>
                      <a:effectLst/>
                      <a:latin typeface="+mn-lt"/>
                      <a:ea typeface="+mn-ea"/>
                      <a:cs typeface="+mn-cs"/>
                    </a:defRPr>
                  </a:pPr>
                  <a:endParaRPr lang="en-US"/>
                </a:p>
              </c:txPr>
              <c:dLblPos val="inEnd"/>
              <c:showLegendKey val="0"/>
              <c:showVal val="0"/>
              <c:showCatName val="0"/>
              <c:showSerName val="0"/>
              <c:showPercent val="1"/>
              <c:showBubbleSize val="0"/>
            </c:dLbl>
            <c:spPr>
              <a:solidFill>
                <a:sysClr val="window" lastClr="FFFFFF">
                  <a:alpha val="90000"/>
                </a:sysClr>
              </a:solidFill>
              <a:ln w="12700" cap="flat" cmpd="sng" algn="ctr">
                <a:solidFill>
                  <a:srgbClr val="C0504D"/>
                </a:solidFill>
                <a:round/>
              </a:ln>
              <a:effectLst>
                <a:outerShdw blurRad="50800" dist="38100" dir="2700000" algn="tl" rotWithShape="0">
                  <a:srgbClr val="C0504D">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2"/>
                    </a:solidFill>
                    <a:effectLst/>
                    <a:latin typeface="+mn-lt"/>
                    <a:ea typeface="+mn-ea"/>
                    <a:cs typeface="+mn-cs"/>
                  </a:defRPr>
                </a:pPr>
                <a:endParaRPr lang="en-US"/>
              </a:p>
            </c:txPr>
            <c:dLblPos val="inEnd"/>
            <c:showLegendKey val="0"/>
            <c:showVal val="0"/>
            <c:showCatName val="0"/>
            <c:showSerName val="0"/>
            <c:showPercent val="1"/>
            <c:showBubbleSize val="0"/>
            <c:showLeaderLines val="0"/>
            <c:extLst>
              <c:ext xmlns:c15="http://schemas.microsoft.com/office/drawing/2012/chart" uri="{CE6537A1-D6FC-4f65-9D91-7224C49458BB}"/>
            </c:extLst>
          </c:dLbls>
          <c:cat>
            <c:strRef>
              <c:f>Sheet2!$P$9:$R$9</c:f>
              <c:strCache>
                <c:ptCount val="3"/>
                <c:pt idx="0">
                  <c:v>Academia</c:v>
                </c:pt>
                <c:pt idx="1">
                  <c:v>Associates</c:v>
                </c:pt>
                <c:pt idx="2">
                  <c:v>Sector Members</c:v>
                </c:pt>
              </c:strCache>
            </c:strRef>
          </c:cat>
          <c:val>
            <c:numRef>
              <c:f>Sheet2!$P$10:$R$10</c:f>
              <c:numCache>
                <c:formatCode>General</c:formatCode>
                <c:ptCount val="3"/>
                <c:pt idx="0">
                  <c:v>132</c:v>
                </c:pt>
                <c:pt idx="1">
                  <c:v>12</c:v>
                </c:pt>
                <c:pt idx="2">
                  <c:v>331</c:v>
                </c:pt>
              </c:numCache>
            </c:numRef>
          </c:val>
        </c:ser>
        <c:dLbls>
          <c:dLblPos val="inEnd"/>
          <c:showLegendKey val="0"/>
          <c:showVal val="0"/>
          <c:showCatName val="1"/>
          <c:showSerName val="0"/>
          <c:showPercent val="0"/>
          <c:showBubbleSize val="0"/>
          <c:showLeaderLines val="0"/>
        </c:dLbls>
        <c:firstSliceAng val="0"/>
      </c:pieChart>
      <c:spPr>
        <a:noFill/>
        <a:ln>
          <a:noFill/>
        </a:ln>
        <a:effectLst/>
      </c:spPr>
    </c:plotArea>
    <c:legend>
      <c:legendPos val="r"/>
      <c:legendEntry>
        <c:idx val="1"/>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Entry>
      <c:layout>
        <c:manualLayout>
          <c:xMode val="edge"/>
          <c:yMode val="edge"/>
          <c:x val="0.71816188813877535"/>
          <c:y val="0.55195417732968899"/>
          <c:w val="0.28183813649433637"/>
          <c:h val="0.44804582267031107"/>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GB" sz="900">
                <a:latin typeface="+mn-lt"/>
              </a:rPr>
              <a:t>Chart 3 </a:t>
            </a:r>
          </a:p>
          <a:p>
            <a:pPr>
              <a:defRPr sz="1000" b="1" i="0" u="none" strike="noStrike" baseline="0">
                <a:solidFill>
                  <a:srgbClr val="000000"/>
                </a:solidFill>
                <a:latin typeface="Arial"/>
                <a:ea typeface="Arial"/>
                <a:cs typeface="Arial"/>
              </a:defRPr>
            </a:pPr>
            <a:r>
              <a:rPr lang="en-GB" sz="900">
                <a:latin typeface="+mn-lt"/>
              </a:rPr>
              <a:t>ITU</a:t>
            </a:r>
            <a:r>
              <a:rPr lang="en-GB" sz="900" baseline="0">
                <a:latin typeface="+mn-lt"/>
              </a:rPr>
              <a:t>-D Sector Membership by Region 2016</a:t>
            </a:r>
          </a:p>
        </c:rich>
      </c:tx>
      <c:layout>
        <c:manualLayout>
          <c:xMode val="edge"/>
          <c:yMode val="edge"/>
          <c:x val="0.1099712805078369"/>
          <c:y val="1.0027180396916791E-2"/>
        </c:manualLayout>
      </c:layout>
      <c:overlay val="0"/>
      <c:spPr>
        <a:noFill/>
        <a:ln w="25400">
          <a:noFill/>
        </a:ln>
      </c:spPr>
    </c:title>
    <c:autoTitleDeleted val="0"/>
    <c:plotArea>
      <c:layout>
        <c:manualLayout>
          <c:layoutTarget val="inner"/>
          <c:xMode val="edge"/>
          <c:yMode val="edge"/>
          <c:x val="5.9722312032537313E-2"/>
          <c:y val="0.20484237223156093"/>
          <c:w val="0.91336613771238229"/>
          <c:h val="0.65986613741675104"/>
        </c:manualLayout>
      </c:layout>
      <c:pieChart>
        <c:varyColors val="1"/>
        <c:ser>
          <c:idx val="1"/>
          <c:order val="0"/>
          <c:spPr>
            <a:ln>
              <a:noFill/>
            </a:ln>
          </c:spPr>
          <c:dPt>
            <c:idx val="0"/>
            <c:bubble3D val="0"/>
          </c:dPt>
          <c:dPt>
            <c:idx val="2"/>
            <c:bubble3D val="0"/>
          </c:dPt>
          <c:dPt>
            <c:idx val="3"/>
            <c:bubble3D val="0"/>
          </c:dPt>
          <c:dPt>
            <c:idx val="4"/>
            <c:bubble3D val="0"/>
          </c:dPt>
          <c:dPt>
            <c:idx val="5"/>
            <c:bubble3D val="0"/>
          </c:dPt>
          <c:dPt>
            <c:idx val="6"/>
            <c:bubble3D val="0"/>
          </c:dPt>
          <c:dLbls>
            <c:dLbl>
              <c:idx val="0"/>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5"/>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6"/>
              <c:layout>
                <c:manualLayout>
                  <c:x val="2.3833116082562358E-2"/>
                  <c:y val="0.1057659788573859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w="25400">
                <a:noFill/>
              </a:ln>
            </c:spPr>
            <c:dLblPos val="bestFit"/>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Sheet2!$C$160:$I$160</c:f>
              <c:strCache>
                <c:ptCount val="7"/>
                <c:pt idx="0">
                  <c:v>Regional &amp; International</c:v>
                </c:pt>
                <c:pt idx="1">
                  <c:v>Àsia &amp; the Pacific</c:v>
                </c:pt>
                <c:pt idx="2">
                  <c:v>Americas</c:v>
                </c:pt>
                <c:pt idx="3">
                  <c:v>Europe</c:v>
                </c:pt>
                <c:pt idx="4">
                  <c:v>Arab States</c:v>
                </c:pt>
                <c:pt idx="5">
                  <c:v>Africa</c:v>
                </c:pt>
                <c:pt idx="6">
                  <c:v>CIS</c:v>
                </c:pt>
              </c:strCache>
            </c:strRef>
          </c:cat>
          <c:val>
            <c:numRef>
              <c:f>Sheet2!$C$161:$I$161</c:f>
              <c:numCache>
                <c:formatCode>0</c:formatCode>
                <c:ptCount val="7"/>
                <c:pt idx="0">
                  <c:v>21.218487394957982</c:v>
                </c:pt>
                <c:pt idx="1">
                  <c:v>20.3781512605042</c:v>
                </c:pt>
                <c:pt idx="2">
                  <c:v>18.907563025210084</c:v>
                </c:pt>
                <c:pt idx="3">
                  <c:v>13.865546218487395</c:v>
                </c:pt>
                <c:pt idx="4">
                  <c:v>13.235294117647058</c:v>
                </c:pt>
                <c:pt idx="5">
                  <c:v>7.7731092436974789</c:v>
                </c:pt>
                <c:pt idx="6">
                  <c:v>4.6218487394957979</c:v>
                </c:pt>
              </c:numCache>
            </c:numRef>
          </c:val>
        </c:ser>
        <c:dLbls>
          <c:showLegendKey val="0"/>
          <c:showVal val="0"/>
          <c:showCatName val="0"/>
          <c:showSerName val="0"/>
          <c:showPercent val="0"/>
          <c:showBubbleSize val="0"/>
          <c:showLeaderLines val="0"/>
        </c:dLbls>
        <c:firstSliceAng val="0"/>
      </c:pieChart>
    </c:plotArea>
    <c:legend>
      <c:legendPos val="r"/>
      <c:layout>
        <c:manualLayout>
          <c:xMode val="edge"/>
          <c:yMode val="edge"/>
          <c:x val="0.76575739270814569"/>
          <c:y val="0.22822663471413898"/>
          <c:w val="0.22384464864357168"/>
          <c:h val="0.6952591373839464"/>
        </c:manualLayout>
      </c:layout>
      <c:overlay val="0"/>
      <c:txPr>
        <a:bodyPr/>
        <a:lstStyle/>
        <a:p>
          <a:pPr>
            <a:defRPr sz="700">
              <a:latin typeface="+mn-lt"/>
            </a:defRPr>
          </a:pPr>
          <a:endParaRPr lang="en-US"/>
        </a:p>
      </c:txPr>
    </c:legend>
    <c:plotVisOnly val="1"/>
    <c:dispBlanksAs val="gap"/>
    <c:showDLblsOverMax val="0"/>
  </c:chart>
  <c:spPr>
    <a:noFill/>
    <a:ln>
      <a:solidFill>
        <a:schemeClr val="bg1">
          <a:lumMod val="50000"/>
        </a:schemeClr>
      </a:solid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14983-5C0C-44AB-8BF5-344440BA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22</TotalTime>
  <Pages>4</Pages>
  <Words>2685</Words>
  <Characters>591</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Wang, Yujia</cp:lastModifiedBy>
  <cp:revision>5</cp:revision>
  <cp:lastPrinted>2017-03-22T13:38:00Z</cp:lastPrinted>
  <dcterms:created xsi:type="dcterms:W3CDTF">2017-04-06T15:29:00Z</dcterms:created>
  <dcterms:modified xsi:type="dcterms:W3CDTF">2017-04-06T15:51:00Z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