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DC69A9" w14:paraId="563EE1D3" w14:textId="77777777" w:rsidTr="004644C2">
        <w:trPr>
          <w:cantSplit/>
          <w:trHeight w:val="1134"/>
        </w:trPr>
        <w:tc>
          <w:tcPr>
            <w:tcW w:w="1276" w:type="dxa"/>
          </w:tcPr>
          <w:p w14:paraId="117D52CA" w14:textId="77777777" w:rsidR="00DC69A9" w:rsidRPr="00844A56" w:rsidRDefault="00DC69A9" w:rsidP="004644C2">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0B21E807" wp14:editId="2ECF1CA0">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0FDDCBB4" w14:textId="77777777" w:rsidR="00DC69A9" w:rsidRDefault="00DC69A9" w:rsidP="004644C2">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4ADC7455" w14:textId="77777777" w:rsidR="00DC69A9" w:rsidRPr="00844A56" w:rsidRDefault="00DC69A9" w:rsidP="004644C2">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0667C6B6" w14:textId="77777777" w:rsidR="00DC69A9" w:rsidRPr="00683C32" w:rsidRDefault="00DC69A9" w:rsidP="004644C2">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5A89F5EC" wp14:editId="79AC49BB">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C69A9" w:rsidRPr="00997358" w14:paraId="2EAA61F5" w14:textId="77777777" w:rsidTr="004644C2">
        <w:trPr>
          <w:cantSplit/>
        </w:trPr>
        <w:tc>
          <w:tcPr>
            <w:tcW w:w="6663" w:type="dxa"/>
            <w:gridSpan w:val="2"/>
            <w:tcBorders>
              <w:top w:val="single" w:sz="12" w:space="0" w:color="auto"/>
            </w:tcBorders>
          </w:tcPr>
          <w:p w14:paraId="456A2DD9" w14:textId="77777777" w:rsidR="00DC69A9" w:rsidRPr="00997358" w:rsidRDefault="00DC69A9" w:rsidP="004644C2">
            <w:pPr>
              <w:spacing w:before="0"/>
              <w:rPr>
                <w:rFonts w:cs="Arial"/>
                <w:b/>
                <w:bCs/>
                <w:sz w:val="20"/>
              </w:rPr>
            </w:pPr>
          </w:p>
        </w:tc>
        <w:tc>
          <w:tcPr>
            <w:tcW w:w="3225" w:type="dxa"/>
            <w:tcBorders>
              <w:top w:val="single" w:sz="12" w:space="0" w:color="auto"/>
            </w:tcBorders>
          </w:tcPr>
          <w:p w14:paraId="156DC1A4" w14:textId="77777777" w:rsidR="00DC69A9" w:rsidRPr="00997358" w:rsidRDefault="00DC69A9" w:rsidP="004644C2">
            <w:pPr>
              <w:spacing w:before="0"/>
              <w:rPr>
                <w:b/>
                <w:bCs/>
                <w:sz w:val="20"/>
              </w:rPr>
            </w:pPr>
          </w:p>
        </w:tc>
      </w:tr>
      <w:tr w:rsidR="00DC69A9" w:rsidRPr="00002716" w14:paraId="20DD5A33" w14:textId="77777777" w:rsidTr="004644C2">
        <w:trPr>
          <w:cantSplit/>
        </w:trPr>
        <w:tc>
          <w:tcPr>
            <w:tcW w:w="6663" w:type="dxa"/>
            <w:gridSpan w:val="2"/>
            <w:vMerge w:val="restart"/>
          </w:tcPr>
          <w:p w14:paraId="597CC261" w14:textId="77777777" w:rsidR="00DC69A9" w:rsidRPr="002E6963" w:rsidRDefault="00DC69A9" w:rsidP="004644C2">
            <w:pPr>
              <w:pStyle w:val="Committee"/>
              <w:rPr>
                <w:b w:val="0"/>
              </w:rPr>
            </w:pPr>
          </w:p>
        </w:tc>
        <w:tc>
          <w:tcPr>
            <w:tcW w:w="3225" w:type="dxa"/>
          </w:tcPr>
          <w:p w14:paraId="2239DCEE" w14:textId="4F5F6A2B" w:rsidR="00DC69A9" w:rsidRPr="00002716" w:rsidRDefault="00DC69A9" w:rsidP="004644C2">
            <w:pPr>
              <w:spacing w:before="0"/>
              <w:jc w:val="both"/>
              <w:rPr>
                <w:bCs/>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E45213">
              <w:rPr>
                <w:b/>
                <w:bCs/>
                <w:lang w:val="en-US"/>
              </w:rPr>
              <w:t>-22</w:t>
            </w:r>
            <w:r w:rsidRPr="00A54E72">
              <w:rPr>
                <w:b/>
                <w:bCs/>
                <w:lang w:val="en-US"/>
              </w:rPr>
              <w:t>/</w:t>
            </w:r>
            <w:bookmarkStart w:id="1" w:name="DocNo1"/>
            <w:bookmarkEnd w:id="1"/>
            <w:r>
              <w:rPr>
                <w:b/>
                <w:bCs/>
                <w:lang w:val="en-US"/>
              </w:rPr>
              <w:t>28-E</w:t>
            </w:r>
          </w:p>
        </w:tc>
      </w:tr>
      <w:tr w:rsidR="00DC69A9" w14:paraId="58C32949" w14:textId="77777777" w:rsidTr="004644C2">
        <w:trPr>
          <w:cantSplit/>
        </w:trPr>
        <w:tc>
          <w:tcPr>
            <w:tcW w:w="6663" w:type="dxa"/>
            <w:gridSpan w:val="2"/>
            <w:vMerge/>
          </w:tcPr>
          <w:p w14:paraId="66DA11CB" w14:textId="77777777" w:rsidR="00DC69A9" w:rsidRPr="00002716" w:rsidRDefault="00DC69A9" w:rsidP="004644C2">
            <w:pPr>
              <w:spacing w:after="120"/>
              <w:rPr>
                <w:b/>
                <w:bCs/>
                <w:smallCaps/>
                <w:lang w:val="en-US"/>
              </w:rPr>
            </w:pPr>
          </w:p>
        </w:tc>
        <w:tc>
          <w:tcPr>
            <w:tcW w:w="3225" w:type="dxa"/>
          </w:tcPr>
          <w:p w14:paraId="56E98C96" w14:textId="5A411E24" w:rsidR="00DC69A9" w:rsidRPr="002E6F8F" w:rsidRDefault="004B076B" w:rsidP="004644C2">
            <w:pPr>
              <w:spacing w:before="0"/>
              <w:rPr>
                <w:b/>
              </w:rPr>
            </w:pPr>
            <w:bookmarkStart w:id="2" w:name="CreationDate"/>
            <w:bookmarkEnd w:id="2"/>
            <w:r>
              <w:rPr>
                <w:b/>
              </w:rPr>
              <w:t>9 March 2017</w:t>
            </w:r>
            <w:r w:rsidR="00DC69A9">
              <w:rPr>
                <w:b/>
              </w:rPr>
              <w:t xml:space="preserve"> </w:t>
            </w:r>
          </w:p>
        </w:tc>
      </w:tr>
      <w:tr w:rsidR="00DC69A9" w14:paraId="2BC92234" w14:textId="77777777" w:rsidTr="004644C2">
        <w:trPr>
          <w:cantSplit/>
        </w:trPr>
        <w:tc>
          <w:tcPr>
            <w:tcW w:w="6663" w:type="dxa"/>
            <w:gridSpan w:val="2"/>
            <w:vMerge/>
          </w:tcPr>
          <w:p w14:paraId="5213CAB5" w14:textId="77777777" w:rsidR="00DC69A9" w:rsidRDefault="00DC69A9" w:rsidP="004644C2">
            <w:pPr>
              <w:spacing w:after="120"/>
              <w:rPr>
                <w:b/>
                <w:bCs/>
                <w:smallCaps/>
              </w:rPr>
            </w:pPr>
          </w:p>
        </w:tc>
        <w:tc>
          <w:tcPr>
            <w:tcW w:w="3225" w:type="dxa"/>
          </w:tcPr>
          <w:p w14:paraId="5C545EE3" w14:textId="7C27EFF2" w:rsidR="00DC69A9" w:rsidRPr="00D34008" w:rsidRDefault="00DC69A9" w:rsidP="004644C2">
            <w:pPr>
              <w:spacing w:before="0" w:after="240"/>
            </w:pPr>
            <w:r>
              <w:rPr>
                <w:b/>
              </w:rPr>
              <w:t xml:space="preserve">Original: </w:t>
            </w:r>
            <w:bookmarkStart w:id="3" w:name="Original"/>
            <w:bookmarkEnd w:id="3"/>
            <w:r w:rsidR="004B076B">
              <w:rPr>
                <w:b/>
              </w:rPr>
              <w:t>English</w:t>
            </w:r>
          </w:p>
        </w:tc>
      </w:tr>
      <w:tr w:rsidR="00DC69A9" w14:paraId="3AC78E7E" w14:textId="77777777" w:rsidTr="004644C2">
        <w:trPr>
          <w:cantSplit/>
          <w:trHeight w:val="852"/>
        </w:trPr>
        <w:tc>
          <w:tcPr>
            <w:tcW w:w="9888" w:type="dxa"/>
            <w:gridSpan w:val="3"/>
          </w:tcPr>
          <w:p w14:paraId="5E31E268" w14:textId="7D3860F2" w:rsidR="00DC69A9" w:rsidRPr="003604FB" w:rsidRDefault="00E45213" w:rsidP="004644C2">
            <w:pPr>
              <w:pStyle w:val="Source"/>
              <w:spacing w:before="240" w:after="120"/>
              <w:jc w:val="center"/>
              <w:rPr>
                <w:sz w:val="28"/>
                <w:szCs w:val="28"/>
              </w:rPr>
            </w:pPr>
            <w:bookmarkStart w:id="4" w:name="Source"/>
            <w:bookmarkEnd w:id="4"/>
            <w:r>
              <w:rPr>
                <w:bCs/>
                <w:sz w:val="28"/>
                <w:szCs w:val="28"/>
                <w:lang w:val="en-US"/>
              </w:rPr>
              <w:t>Director, Telecommunication Development Bureau</w:t>
            </w:r>
          </w:p>
        </w:tc>
      </w:tr>
      <w:tr w:rsidR="00DC69A9" w:rsidRPr="002E6963" w14:paraId="7D0072E2" w14:textId="77777777" w:rsidTr="004644C2">
        <w:trPr>
          <w:cantSplit/>
        </w:trPr>
        <w:tc>
          <w:tcPr>
            <w:tcW w:w="9888" w:type="dxa"/>
            <w:gridSpan w:val="3"/>
          </w:tcPr>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DC69A9" w:rsidRPr="009854EC" w14:paraId="159BE09C" w14:textId="77777777" w:rsidTr="005F140D">
              <w:trPr>
                <w:cantSplit/>
              </w:trPr>
              <w:tc>
                <w:tcPr>
                  <w:tcW w:w="9888" w:type="dxa"/>
                </w:tcPr>
                <w:p w14:paraId="14B24208" w14:textId="58C28F46" w:rsidR="00DC69A9" w:rsidRPr="00B33924" w:rsidRDefault="00BD4BEC" w:rsidP="007722C6">
                  <w:pPr>
                    <w:pStyle w:val="Source"/>
                    <w:spacing w:after="120"/>
                    <w:jc w:val="center"/>
                    <w:rPr>
                      <w:b w:val="0"/>
                      <w:bCs/>
                      <w:caps/>
                      <w:sz w:val="28"/>
                      <w:szCs w:val="28"/>
                    </w:rPr>
                  </w:pPr>
                  <w:bookmarkStart w:id="5" w:name="Title"/>
                  <w:bookmarkEnd w:id="5"/>
                  <w:r w:rsidRPr="00B33924">
                    <w:rPr>
                      <w:b w:val="0"/>
                      <w:bCs/>
                      <w:caps/>
                      <w:sz w:val="28"/>
                      <w:szCs w:val="28"/>
                      <w:lang w:val="en-US"/>
                    </w:rPr>
                    <w:t>ITU-D Sector membership</w:t>
                  </w:r>
                </w:p>
              </w:tc>
            </w:tr>
            <w:tr w:rsidR="00DC69A9" w:rsidRPr="009854EC" w14:paraId="7FD1517D" w14:textId="77777777" w:rsidTr="00450871">
              <w:trPr>
                <w:cantSplit/>
              </w:trPr>
              <w:tc>
                <w:tcPr>
                  <w:tcW w:w="9888" w:type="dxa"/>
                  <w:tcBorders>
                    <w:bottom w:val="single" w:sz="4" w:space="0" w:color="000000"/>
                  </w:tcBorders>
                </w:tcPr>
                <w:p w14:paraId="180480E3" w14:textId="7A924734" w:rsidR="00DC69A9" w:rsidRPr="009854EC" w:rsidRDefault="00DC69A9" w:rsidP="00B33924">
                  <w:pPr>
                    <w:pStyle w:val="Title1"/>
                    <w:jc w:val="center"/>
                    <w:rPr>
                      <w:b w:val="0"/>
                      <w:sz w:val="28"/>
                      <w:szCs w:val="28"/>
                    </w:rPr>
                  </w:pPr>
                </w:p>
              </w:tc>
            </w:tr>
            <w:tr w:rsidR="00B33924" w:rsidRPr="009854EC" w14:paraId="65018846" w14:textId="77777777" w:rsidTr="00450871">
              <w:trPr>
                <w:cantSplit/>
              </w:trPr>
              <w:tc>
                <w:tcPr>
                  <w:tcW w:w="9888" w:type="dxa"/>
                  <w:tcBorders>
                    <w:top w:val="single" w:sz="4" w:space="0" w:color="000000"/>
                    <w:left w:val="single" w:sz="4" w:space="0" w:color="000000"/>
                    <w:bottom w:val="single" w:sz="4" w:space="0" w:color="000000"/>
                    <w:right w:val="single" w:sz="4" w:space="0" w:color="000000"/>
                  </w:tcBorders>
                </w:tcPr>
                <w:p w14:paraId="442DC699" w14:textId="77777777" w:rsidR="00B33924" w:rsidRPr="00B33924" w:rsidRDefault="00B33924" w:rsidP="00B33924">
                  <w:pPr>
                    <w:pStyle w:val="Title1"/>
                    <w:spacing w:before="120"/>
                    <w:rPr>
                      <w:bCs/>
                    </w:rPr>
                  </w:pPr>
                  <w:r w:rsidRPr="00B33924">
                    <w:rPr>
                      <w:bCs/>
                    </w:rPr>
                    <w:t>Summary:</w:t>
                  </w:r>
                </w:p>
                <w:p w14:paraId="2B28ADA1" w14:textId="62CB6FC2" w:rsidR="00B33924" w:rsidRPr="00B33924" w:rsidRDefault="00B33924" w:rsidP="00B33924">
                  <w:pPr>
                    <w:pStyle w:val="Title2"/>
                    <w:spacing w:before="120"/>
                    <w:rPr>
                      <w:b w:val="0"/>
                    </w:rPr>
                  </w:pPr>
                  <w:r w:rsidRPr="00B33924">
                    <w:rPr>
                      <w:b w:val="0"/>
                    </w:rPr>
                    <w:t>ITU-D Sector membership includes Sector Members, Associates and Academia. This document provides an overview of the evolution of ITU-D Sector membership and its related objectives, strategies and actions to strengthen the ITU-D membership in accordance with the outcomes of WTDC-14 and PP-14.</w:t>
                  </w:r>
                </w:p>
                <w:p w14:paraId="5299CF5B" w14:textId="64B9AABB" w:rsidR="00B33924" w:rsidRPr="00B33924" w:rsidRDefault="00B33924" w:rsidP="00B33924">
                  <w:pPr>
                    <w:pStyle w:val="Title3"/>
                    <w:spacing w:before="120"/>
                    <w:rPr>
                      <w:bCs/>
                    </w:rPr>
                  </w:pPr>
                  <w:r w:rsidRPr="00B33924">
                    <w:rPr>
                      <w:bCs/>
                    </w:rPr>
                    <w:t>Action required:</w:t>
                  </w:r>
                </w:p>
                <w:p w14:paraId="41D7AA2A" w14:textId="7706E3C9" w:rsidR="00B33924" w:rsidRPr="00B33924" w:rsidRDefault="00B33924" w:rsidP="001C16DA">
                  <w:pPr>
                    <w:pStyle w:val="Title4"/>
                    <w:spacing w:before="120"/>
                    <w:rPr>
                      <w:b w:val="0"/>
                      <w:bCs/>
                    </w:rPr>
                  </w:pPr>
                  <w:r w:rsidRPr="00B33924">
                    <w:rPr>
                      <w:b w:val="0"/>
                      <w:bCs/>
                      <w:szCs w:val="24"/>
                      <w:lang w:eastAsia="pl-PL"/>
                    </w:rPr>
                    <w:t xml:space="preserve">TDAG is invited to note </w:t>
                  </w:r>
                  <w:r w:rsidR="001C16DA">
                    <w:rPr>
                      <w:b w:val="0"/>
                      <w:bCs/>
                      <w:szCs w:val="24"/>
                      <w:lang w:eastAsia="pl-PL"/>
                    </w:rPr>
                    <w:t>this</w:t>
                  </w:r>
                  <w:r w:rsidRPr="00B33924">
                    <w:rPr>
                      <w:b w:val="0"/>
                      <w:bCs/>
                      <w:szCs w:val="24"/>
                      <w:lang w:eastAsia="pl-PL"/>
                    </w:rPr>
                    <w:t xml:space="preserve"> report and provide guidance as deemed appropriate.</w:t>
                  </w:r>
                </w:p>
                <w:p w14:paraId="48339F23" w14:textId="7EBC7D73" w:rsidR="00B33924" w:rsidRPr="00B33924" w:rsidRDefault="00B33924" w:rsidP="00B33924">
                  <w:pPr>
                    <w:pStyle w:val="Heading1"/>
                    <w:spacing w:before="120"/>
                    <w:rPr>
                      <w:bCs/>
                      <w:sz w:val="24"/>
                      <w:szCs w:val="24"/>
                    </w:rPr>
                  </w:pPr>
                  <w:r w:rsidRPr="00B33924">
                    <w:rPr>
                      <w:bCs/>
                      <w:sz w:val="24"/>
                      <w:szCs w:val="24"/>
                    </w:rPr>
                    <w:t>References:</w:t>
                  </w:r>
                </w:p>
                <w:p w14:paraId="6F6DC228" w14:textId="77777777" w:rsidR="00B33924" w:rsidRDefault="00B33924" w:rsidP="00B33924">
                  <w:pPr>
                    <w:rPr>
                      <w:szCs w:val="24"/>
                      <w:lang w:val="en-US"/>
                    </w:rPr>
                  </w:pPr>
                  <w:r w:rsidRPr="009854EC">
                    <w:rPr>
                      <w:szCs w:val="24"/>
                      <w:lang w:val="en-US"/>
                    </w:rPr>
                    <w:t>WTDC-14 Output 2.3 and WTDC Resolution 71 (Rev. Dubai, 2014); PP Resolutions 187 (Busan, 2014) and 158 and 169 (Rev. Busan, 2014)</w:t>
                  </w:r>
                </w:p>
                <w:p w14:paraId="7B256786" w14:textId="460A0DD9" w:rsidR="00450871" w:rsidRPr="00B33924" w:rsidRDefault="00450871" w:rsidP="00B33924"/>
              </w:tc>
            </w:tr>
          </w:tbl>
          <w:p w14:paraId="1C301E20" w14:textId="77777777" w:rsidR="00DC69A9" w:rsidRPr="003604FB" w:rsidRDefault="00DC69A9" w:rsidP="004644C2">
            <w:pPr>
              <w:pStyle w:val="Title1"/>
              <w:spacing w:after="120"/>
              <w:jc w:val="center"/>
              <w:rPr>
                <w:b w:val="0"/>
                <w:sz w:val="28"/>
                <w:szCs w:val="28"/>
              </w:rPr>
            </w:pPr>
          </w:p>
        </w:tc>
      </w:tr>
    </w:tbl>
    <w:p w14:paraId="15445053" w14:textId="77777777" w:rsidR="00DC69A9" w:rsidRDefault="00DC69A9" w:rsidP="005F140D"/>
    <w:p w14:paraId="31CC16FF" w14:textId="77777777" w:rsidR="00DC69A9" w:rsidRPr="00466F95" w:rsidRDefault="00DC69A9" w:rsidP="00B33924">
      <w:pPr>
        <w:pStyle w:val="PlainText"/>
        <w:keepNext/>
        <w:numPr>
          <w:ilvl w:val="0"/>
          <w:numId w:val="3"/>
        </w:numPr>
        <w:spacing w:before="120"/>
        <w:ind w:left="567" w:hanging="567"/>
        <w:rPr>
          <w:b/>
          <w:bCs/>
          <w:sz w:val="24"/>
          <w:szCs w:val="24"/>
        </w:rPr>
      </w:pPr>
      <w:bookmarkStart w:id="6" w:name="Proposal"/>
      <w:bookmarkEnd w:id="6"/>
      <w:r w:rsidRPr="00466F95">
        <w:rPr>
          <w:b/>
          <w:bCs/>
          <w:sz w:val="24"/>
          <w:szCs w:val="24"/>
        </w:rPr>
        <w:t>Background</w:t>
      </w:r>
    </w:p>
    <w:p w14:paraId="7D9B148B" w14:textId="77777777" w:rsidR="00DC69A9" w:rsidRDefault="00DC69A9" w:rsidP="00B33924">
      <w:pPr>
        <w:rPr>
          <w:rFonts w:ascii="Calibri" w:hAnsi="Calibri"/>
          <w:sz w:val="22"/>
          <w:lang w:val="en-US" w:eastAsia="zh-CN"/>
        </w:rPr>
      </w:pPr>
      <w:r>
        <w:t xml:space="preserve">World Telecommunication Development Conference in 2014 (WTDC-14)  revised and adopted Resolution 71 in order to strengthen cooperation among Member States, Academia and Sector Members and Associates of the ITU Telecommunication Development Sector. </w:t>
      </w:r>
      <w:r>
        <w:rPr>
          <w:color w:val="000000"/>
        </w:rPr>
        <w:t>WTDC-14</w:t>
      </w:r>
      <w:r>
        <w:t xml:space="preserve"> also recognized the importance of collaboration with the private sector as critical for the success of the ITU-D mission as reflected in Outputs and Resolutions adopted during the Conference. </w:t>
      </w:r>
    </w:p>
    <w:p w14:paraId="41700584" w14:textId="77777777" w:rsidR="00DC69A9" w:rsidRDefault="00DC69A9" w:rsidP="00B33924">
      <w:pPr>
        <w:pStyle w:val="PlainText"/>
        <w:spacing w:before="120"/>
        <w:rPr>
          <w:sz w:val="24"/>
          <w:szCs w:val="24"/>
        </w:rPr>
      </w:pPr>
      <w:r>
        <w:rPr>
          <w:sz w:val="24"/>
          <w:szCs w:val="24"/>
        </w:rPr>
        <w:t>Furthermore, the Plenipotentiary Conference in 2014 (PP-14) adopted several Resolutions relat</w:t>
      </w:r>
      <w:r w:rsidRPr="00E45213">
        <w:rPr>
          <w:sz w:val="24"/>
          <w:szCs w:val="24"/>
        </w:rPr>
        <w:t>ed</w:t>
      </w:r>
      <w:r>
        <w:rPr>
          <w:sz w:val="24"/>
          <w:szCs w:val="24"/>
        </w:rPr>
        <w:t xml:space="preserve"> to membership, such as Resolution 187, which instructs Council to review Sector </w:t>
      </w:r>
      <w:r w:rsidRPr="00E45213">
        <w:rPr>
          <w:sz w:val="24"/>
          <w:szCs w:val="24"/>
        </w:rPr>
        <w:t>M</w:t>
      </w:r>
      <w:r>
        <w:rPr>
          <w:sz w:val="24"/>
          <w:szCs w:val="24"/>
        </w:rPr>
        <w:t xml:space="preserve">embership through the Council Working Group on Finance and Human Resources (CWG-FHR), and Resolution 158, which deals with raising additional revenue for the Union. </w:t>
      </w:r>
    </w:p>
    <w:p w14:paraId="01907DE3" w14:textId="77777777" w:rsidR="00DC69A9" w:rsidRPr="00EC367F" w:rsidRDefault="00DC69A9" w:rsidP="00B33924">
      <w:pPr>
        <w:pStyle w:val="PlainText"/>
        <w:spacing w:before="120"/>
        <w:rPr>
          <w:rFonts w:asciiTheme="minorHAnsi" w:eastAsia="Times New Roman" w:hAnsiTheme="minorHAnsi" w:cs="Times New Roman"/>
          <w:sz w:val="24"/>
          <w:szCs w:val="20"/>
          <w:lang w:val="en-GB" w:eastAsia="en-US"/>
        </w:rPr>
      </w:pPr>
      <w:r w:rsidRPr="00EC367F">
        <w:rPr>
          <w:rFonts w:asciiTheme="minorHAnsi" w:eastAsia="Times New Roman" w:hAnsiTheme="minorHAnsi" w:cs="Times New Roman"/>
          <w:sz w:val="24"/>
          <w:szCs w:val="20"/>
          <w:lang w:val="en-GB" w:eastAsia="en-US"/>
        </w:rPr>
        <w:t xml:space="preserve">More specifically, Resolution 187 (Busan, 2014) instructs Council to: review the current structure, benefits and pricing methodologies, the practical application of rights and obligations and the current criteria for fee-exemptions; develop guidelines and training for chairmen, vice-chairmen and study group counsellors; and, study the possibility of establishing a new category of participation for not-profit entities. It further instructs Council to develop a comprehensive consultation strategy with the entire membership to ensure that all points of view are thoroughly considered. </w:t>
      </w:r>
    </w:p>
    <w:p w14:paraId="1F3A1448" w14:textId="02AAA7C3" w:rsidR="00DC69A9" w:rsidRPr="00EC367F" w:rsidRDefault="00DC69A9" w:rsidP="00B33924">
      <w:pPr>
        <w:snapToGrid w:val="0"/>
        <w:rPr>
          <w:szCs w:val="24"/>
        </w:rPr>
      </w:pPr>
      <w:r w:rsidRPr="00EC367F">
        <w:rPr>
          <w:szCs w:val="24"/>
        </w:rPr>
        <w:lastRenderedPageBreak/>
        <w:t>As requested by Council 2016, CWG-FHR has continued to review the participation of Sector Members, Associates and Academia and will report to Council 2017. The CWG-FHR Chairman’s report to Council 2017 includes analysis and recommendations, in particular on the topics of membership fee exemptions</w:t>
      </w:r>
      <w:r w:rsidRPr="00EC367F">
        <w:rPr>
          <w:rStyle w:val="FootnoteReference"/>
          <w:szCs w:val="24"/>
        </w:rPr>
        <w:footnoteReference w:id="1"/>
      </w:r>
      <w:r w:rsidRPr="00EC367F">
        <w:rPr>
          <w:rStyle w:val="FootnoteReference"/>
          <w:szCs w:val="24"/>
        </w:rPr>
        <w:t xml:space="preserve"> </w:t>
      </w:r>
      <w:r w:rsidRPr="00EC367F">
        <w:rPr>
          <w:szCs w:val="24"/>
        </w:rPr>
        <w:t xml:space="preserve"> as well as SME participation in the work of ITU</w:t>
      </w:r>
      <w:r w:rsidRPr="00EC367F">
        <w:rPr>
          <w:rStyle w:val="FootnoteReference"/>
          <w:szCs w:val="24"/>
        </w:rPr>
        <w:footnoteReference w:id="2"/>
      </w:r>
      <w:r w:rsidRPr="00EC367F">
        <w:rPr>
          <w:szCs w:val="24"/>
        </w:rPr>
        <w:t>.</w:t>
      </w:r>
    </w:p>
    <w:p w14:paraId="1228C515" w14:textId="77777777" w:rsidR="00DC69A9" w:rsidRPr="00EC367F" w:rsidRDefault="00DC69A9" w:rsidP="00B33924">
      <w:pPr>
        <w:pStyle w:val="PlainText"/>
        <w:spacing w:before="120"/>
        <w:rPr>
          <w:sz w:val="24"/>
          <w:szCs w:val="24"/>
        </w:rPr>
      </w:pPr>
      <w:r>
        <w:rPr>
          <w:sz w:val="24"/>
          <w:szCs w:val="24"/>
        </w:rPr>
        <w:t xml:space="preserve">PP-14 also made important revisions to Resolutions 169 on Academia, through which a single fee for Academia membership allows them to participate in the work of all Sectors as well as global and regional </w:t>
      </w:r>
      <w:r w:rsidRPr="00EC367F">
        <w:rPr>
          <w:sz w:val="24"/>
          <w:szCs w:val="24"/>
        </w:rPr>
        <w:t xml:space="preserve">conferences, workshops and activities of the Union, with the exception of treaty-making conferences and Council. PP-14 further instructed the Sector Conferences/Assemblies to mandate their respective Advisory Groups to continue to study if additional measures are required. </w:t>
      </w:r>
    </w:p>
    <w:p w14:paraId="411D7B13" w14:textId="77777777" w:rsidR="00DC69A9" w:rsidRPr="00EC367F" w:rsidRDefault="00DC69A9" w:rsidP="00B33924">
      <w:pPr>
        <w:pStyle w:val="PlainText"/>
        <w:spacing w:before="120"/>
        <w:rPr>
          <w:sz w:val="24"/>
          <w:szCs w:val="24"/>
        </w:rPr>
      </w:pPr>
      <w:r w:rsidRPr="00EC367F">
        <w:rPr>
          <w:sz w:val="24"/>
          <w:szCs w:val="24"/>
        </w:rPr>
        <w:t>Regarding the implementation of Res 158, the CWG-FHR reviewed a document entitled “Improving the stability and predictability of the financial base of the Union”</w:t>
      </w:r>
      <w:r w:rsidRPr="00EC367F">
        <w:rPr>
          <w:rStyle w:val="FootnoteReference"/>
          <w:szCs w:val="24"/>
        </w:rPr>
        <w:footnoteReference w:id="3"/>
      </w:r>
      <w:r w:rsidRPr="00EC367F">
        <w:rPr>
          <w:sz w:val="24"/>
          <w:szCs w:val="24"/>
        </w:rPr>
        <w:t xml:space="preserve">, which is being conveyed to Council 2017. </w:t>
      </w:r>
    </w:p>
    <w:p w14:paraId="23077231" w14:textId="77777777" w:rsidR="00DC69A9" w:rsidRDefault="00DC69A9" w:rsidP="00B33924">
      <w:pPr>
        <w:pStyle w:val="PlainText"/>
        <w:spacing w:before="120"/>
        <w:rPr>
          <w:sz w:val="24"/>
          <w:szCs w:val="24"/>
        </w:rPr>
      </w:pPr>
      <w:r w:rsidRPr="00EC367F">
        <w:rPr>
          <w:sz w:val="24"/>
          <w:szCs w:val="24"/>
        </w:rPr>
        <w:t>BDT will continue to take the necessary measures to implement the outcomes of CWG-FHR and Council, in consultation with all t</w:t>
      </w:r>
      <w:r>
        <w:rPr>
          <w:sz w:val="24"/>
          <w:szCs w:val="24"/>
        </w:rPr>
        <w:t xml:space="preserve">he relevant ITU-D meetings including TDAG and ITU-D Study Groups. </w:t>
      </w:r>
    </w:p>
    <w:p w14:paraId="6FB47B58" w14:textId="77777777" w:rsidR="00DC69A9" w:rsidRDefault="00DC69A9" w:rsidP="00B33924">
      <w:pPr>
        <w:pStyle w:val="ListParagraph"/>
        <w:keepNext/>
        <w:numPr>
          <w:ilvl w:val="0"/>
          <w:numId w:val="3"/>
        </w:numPr>
        <w:shd w:val="clear" w:color="auto" w:fill="FFFFFF"/>
        <w:spacing w:after="0"/>
        <w:ind w:left="567" w:hanging="567"/>
        <w:contextualSpacing w:val="0"/>
        <w:rPr>
          <w:rFonts w:asciiTheme="minorHAnsi" w:eastAsia="Times New Roman" w:hAnsiTheme="minorHAnsi" w:cs="Segoe UI"/>
          <w:b/>
          <w:bCs w:val="0"/>
          <w:color w:val="000000" w:themeColor="text1"/>
          <w:sz w:val="24"/>
          <w:szCs w:val="24"/>
          <w:lang w:eastAsia="ko-KR"/>
        </w:rPr>
      </w:pPr>
      <w:r w:rsidRPr="005F6147">
        <w:rPr>
          <w:rFonts w:asciiTheme="minorHAnsi" w:eastAsia="Times New Roman" w:hAnsiTheme="minorHAnsi" w:cs="Segoe UI"/>
          <w:b/>
          <w:bCs w:val="0"/>
          <w:color w:val="000000" w:themeColor="text1"/>
          <w:sz w:val="24"/>
          <w:szCs w:val="24"/>
          <w:lang w:eastAsia="ko-KR"/>
        </w:rPr>
        <w:t>Strategic objectives</w:t>
      </w:r>
    </w:p>
    <w:p w14:paraId="79ECCBFC" w14:textId="0E0AFD6F" w:rsidR="00DC69A9" w:rsidRPr="00C37F81" w:rsidRDefault="00DC69A9" w:rsidP="00B33924">
      <w:pPr>
        <w:pStyle w:val="CEONormal"/>
        <w:spacing w:after="0"/>
        <w:rPr>
          <w:rFonts w:asciiTheme="minorHAnsi" w:hAnsiTheme="minorHAnsi" w:cs="Calibri"/>
          <w:sz w:val="24"/>
          <w:szCs w:val="24"/>
        </w:rPr>
      </w:pPr>
      <w:r w:rsidRPr="00C37F81">
        <w:rPr>
          <w:rFonts w:asciiTheme="minorHAnsi" w:hAnsiTheme="minorHAnsi" w:cs="Calibri"/>
          <w:sz w:val="24"/>
          <w:szCs w:val="24"/>
        </w:rPr>
        <w:t xml:space="preserve">In accordance with the outcomes of WTDC-14 and PP-14, </w:t>
      </w:r>
      <w:r>
        <w:rPr>
          <w:rFonts w:asciiTheme="minorHAnsi" w:hAnsiTheme="minorHAnsi" w:cs="Calibri"/>
          <w:sz w:val="24"/>
          <w:szCs w:val="24"/>
        </w:rPr>
        <w:t xml:space="preserve">BDT, </w:t>
      </w:r>
      <w:r w:rsidRPr="00C37F81">
        <w:rPr>
          <w:rFonts w:asciiTheme="minorHAnsi" w:hAnsiTheme="minorHAnsi" w:cs="Calibri"/>
          <w:sz w:val="24"/>
          <w:szCs w:val="24"/>
        </w:rPr>
        <w:t xml:space="preserve">in close coordination and collaboration with the General Secretariat, the </w:t>
      </w:r>
      <w:r>
        <w:rPr>
          <w:rFonts w:asciiTheme="minorHAnsi" w:hAnsiTheme="minorHAnsi" w:cs="Calibri"/>
          <w:sz w:val="24"/>
          <w:szCs w:val="24"/>
        </w:rPr>
        <w:t>other two</w:t>
      </w:r>
      <w:r w:rsidRPr="00C37F81">
        <w:rPr>
          <w:rFonts w:asciiTheme="minorHAnsi" w:hAnsiTheme="minorHAnsi" w:cs="Calibri"/>
          <w:sz w:val="24"/>
          <w:szCs w:val="24"/>
        </w:rPr>
        <w:t xml:space="preserve"> Bureau</w:t>
      </w:r>
      <w:r w:rsidR="00247A8E">
        <w:rPr>
          <w:rFonts w:asciiTheme="minorHAnsi" w:hAnsiTheme="minorHAnsi" w:cs="Calibri"/>
          <w:sz w:val="24"/>
          <w:szCs w:val="24"/>
        </w:rPr>
        <w:t>s</w:t>
      </w:r>
      <w:r w:rsidRPr="00C37F81">
        <w:rPr>
          <w:rFonts w:asciiTheme="minorHAnsi" w:hAnsiTheme="minorHAnsi" w:cs="Calibri"/>
          <w:sz w:val="24"/>
          <w:szCs w:val="24"/>
        </w:rPr>
        <w:t xml:space="preserve">, and Regional/Area offices </w:t>
      </w:r>
      <w:r>
        <w:rPr>
          <w:rFonts w:asciiTheme="minorHAnsi" w:hAnsiTheme="minorHAnsi" w:cs="Calibri"/>
          <w:sz w:val="24"/>
          <w:szCs w:val="24"/>
        </w:rPr>
        <w:t>has focused on two overarching objectives</w:t>
      </w:r>
      <w:r w:rsidRPr="00C37F81">
        <w:rPr>
          <w:rFonts w:asciiTheme="minorHAnsi" w:hAnsiTheme="minorHAnsi" w:cs="Calibri"/>
          <w:sz w:val="24"/>
          <w:szCs w:val="24"/>
        </w:rPr>
        <w:t xml:space="preserve">: </w:t>
      </w:r>
    </w:p>
    <w:p w14:paraId="0C5A8DD8" w14:textId="771D074F" w:rsidR="00DC69A9" w:rsidRPr="00C37F81" w:rsidRDefault="00DC69A9" w:rsidP="00B33924">
      <w:pPr>
        <w:pStyle w:val="CEONormal"/>
        <w:numPr>
          <w:ilvl w:val="0"/>
          <w:numId w:val="1"/>
        </w:numPr>
        <w:spacing w:after="0"/>
        <w:ind w:left="567" w:hanging="567"/>
        <w:rPr>
          <w:rFonts w:asciiTheme="minorHAnsi" w:hAnsiTheme="minorHAnsi" w:cs="Calibri"/>
          <w:sz w:val="24"/>
          <w:szCs w:val="24"/>
        </w:rPr>
      </w:pPr>
      <w:r>
        <w:rPr>
          <w:rFonts w:asciiTheme="minorHAnsi" w:hAnsiTheme="minorHAnsi" w:cs="Calibri"/>
          <w:sz w:val="24"/>
          <w:szCs w:val="24"/>
        </w:rPr>
        <w:t xml:space="preserve">Outreach and bring new entities </w:t>
      </w:r>
      <w:r w:rsidRPr="00C37F81">
        <w:rPr>
          <w:rFonts w:asciiTheme="minorHAnsi" w:hAnsiTheme="minorHAnsi" w:cs="Calibri"/>
          <w:sz w:val="24"/>
          <w:szCs w:val="24"/>
        </w:rPr>
        <w:t xml:space="preserve">to join as Sector Members, Associates and Academia; </w:t>
      </w:r>
      <w:r w:rsidR="00CD14E7">
        <w:rPr>
          <w:rFonts w:asciiTheme="minorHAnsi" w:hAnsiTheme="minorHAnsi" w:cs="Calibri"/>
          <w:sz w:val="24"/>
          <w:szCs w:val="24"/>
        </w:rPr>
        <w:t>and</w:t>
      </w:r>
    </w:p>
    <w:p w14:paraId="09003E5C" w14:textId="20625329" w:rsidR="00DC69A9" w:rsidRDefault="00DC69A9" w:rsidP="00B33924">
      <w:pPr>
        <w:pStyle w:val="CEONormal"/>
        <w:numPr>
          <w:ilvl w:val="0"/>
          <w:numId w:val="1"/>
        </w:numPr>
        <w:spacing w:after="0"/>
        <w:ind w:left="567" w:hanging="567"/>
        <w:rPr>
          <w:rFonts w:asciiTheme="minorHAnsi" w:hAnsiTheme="minorHAnsi" w:cs="Calibri"/>
          <w:sz w:val="24"/>
          <w:szCs w:val="24"/>
        </w:rPr>
      </w:pPr>
      <w:r>
        <w:rPr>
          <w:rFonts w:asciiTheme="minorHAnsi" w:hAnsiTheme="minorHAnsi" w:cs="Calibri"/>
          <w:sz w:val="24"/>
          <w:szCs w:val="24"/>
        </w:rPr>
        <w:t>Enhance engagement and retention of ITU-D Sector M</w:t>
      </w:r>
      <w:r w:rsidR="00CD14E7">
        <w:rPr>
          <w:rFonts w:asciiTheme="minorHAnsi" w:hAnsiTheme="minorHAnsi" w:cs="Calibri"/>
          <w:sz w:val="24"/>
          <w:szCs w:val="24"/>
        </w:rPr>
        <w:t>embers, Associates and Academia.</w:t>
      </w:r>
    </w:p>
    <w:p w14:paraId="64BC9140" w14:textId="77777777" w:rsidR="00DC69A9" w:rsidRPr="00B97810" w:rsidRDefault="00DC69A9" w:rsidP="00B33924">
      <w:pPr>
        <w:pStyle w:val="ListParagraph"/>
        <w:keepNext/>
        <w:numPr>
          <w:ilvl w:val="0"/>
          <w:numId w:val="3"/>
        </w:numPr>
        <w:shd w:val="clear" w:color="auto" w:fill="FFFFFF"/>
        <w:spacing w:after="0"/>
        <w:ind w:left="567" w:hanging="567"/>
        <w:contextualSpacing w:val="0"/>
        <w:rPr>
          <w:rFonts w:asciiTheme="minorHAnsi" w:eastAsia="Times New Roman" w:hAnsiTheme="minorHAnsi" w:cs="Segoe UI"/>
          <w:b/>
          <w:bCs w:val="0"/>
          <w:color w:val="000000" w:themeColor="text1"/>
          <w:sz w:val="24"/>
          <w:szCs w:val="24"/>
          <w:lang w:eastAsia="ko-KR"/>
        </w:rPr>
      </w:pPr>
      <w:r w:rsidRPr="00B97810">
        <w:rPr>
          <w:rFonts w:asciiTheme="minorHAnsi" w:eastAsia="Times New Roman" w:hAnsiTheme="minorHAnsi" w:cs="Segoe UI"/>
          <w:b/>
          <w:bCs w:val="0"/>
          <w:color w:val="000000" w:themeColor="text1"/>
          <w:sz w:val="24"/>
          <w:szCs w:val="24"/>
          <w:lang w:eastAsia="ko-KR"/>
        </w:rPr>
        <w:t>Status analysis</w:t>
      </w:r>
      <w:r>
        <w:rPr>
          <w:rFonts w:asciiTheme="minorHAnsi" w:eastAsia="Times New Roman" w:hAnsiTheme="minorHAnsi" w:cs="Segoe UI"/>
          <w:b/>
          <w:bCs w:val="0"/>
          <w:color w:val="000000" w:themeColor="text1"/>
          <w:sz w:val="24"/>
          <w:szCs w:val="24"/>
          <w:lang w:eastAsia="ko-KR"/>
        </w:rPr>
        <w:t xml:space="preserve"> </w:t>
      </w:r>
    </w:p>
    <w:p w14:paraId="311D2043" w14:textId="77777777" w:rsidR="00DC69A9" w:rsidRDefault="00DC69A9" w:rsidP="00B33924">
      <w:pPr>
        <w:pStyle w:val="NormalWeb"/>
        <w:shd w:val="clear" w:color="auto" w:fill="FFFFFF"/>
        <w:spacing w:before="120" w:beforeAutospacing="0" w:after="0" w:afterAutospacing="0"/>
      </w:pPr>
      <w:r>
        <w:rPr>
          <w:rFonts w:asciiTheme="minorHAnsi" w:hAnsiTheme="minorHAnsi"/>
          <w:color w:val="000000" w:themeColor="text1"/>
        </w:rPr>
        <w:t>Chart</w:t>
      </w:r>
      <w:r w:rsidRPr="004F4734">
        <w:rPr>
          <w:rFonts w:asciiTheme="minorHAnsi" w:hAnsiTheme="minorHAnsi"/>
          <w:color w:val="000000" w:themeColor="text1"/>
        </w:rPr>
        <w:t xml:space="preserve"> 1 below illustrates </w:t>
      </w:r>
      <w:r>
        <w:rPr>
          <w:rFonts w:asciiTheme="minorHAnsi" w:hAnsiTheme="minorHAnsi"/>
          <w:color w:val="000000" w:themeColor="text1"/>
        </w:rPr>
        <w:t xml:space="preserve">the increase of </w:t>
      </w:r>
      <w:r w:rsidRPr="004F4734">
        <w:rPr>
          <w:rFonts w:asciiTheme="minorHAnsi" w:hAnsiTheme="minorHAnsi"/>
          <w:color w:val="000000" w:themeColor="text1"/>
        </w:rPr>
        <w:t xml:space="preserve">ITU-D Sector membership from </w:t>
      </w:r>
      <w:r>
        <w:rPr>
          <w:rFonts w:asciiTheme="minorHAnsi" w:hAnsiTheme="minorHAnsi"/>
          <w:color w:val="000000" w:themeColor="text1"/>
        </w:rPr>
        <w:t>1994</w:t>
      </w:r>
      <w:r w:rsidRPr="004F4734">
        <w:rPr>
          <w:rFonts w:asciiTheme="minorHAnsi" w:hAnsiTheme="minorHAnsi"/>
          <w:color w:val="000000" w:themeColor="text1"/>
        </w:rPr>
        <w:t xml:space="preserve"> to </w:t>
      </w:r>
      <w:r>
        <w:rPr>
          <w:rFonts w:asciiTheme="minorHAnsi" w:hAnsiTheme="minorHAnsi"/>
          <w:color w:val="000000" w:themeColor="text1"/>
        </w:rPr>
        <w:t>31 December</w:t>
      </w:r>
      <w:r w:rsidRPr="004F4734">
        <w:rPr>
          <w:rFonts w:asciiTheme="minorHAnsi" w:hAnsiTheme="minorHAnsi"/>
          <w:color w:val="000000" w:themeColor="text1"/>
        </w:rPr>
        <w:t xml:space="preserve"> </w:t>
      </w:r>
      <w:r>
        <w:rPr>
          <w:rFonts w:asciiTheme="minorHAnsi" w:hAnsiTheme="minorHAnsi"/>
          <w:color w:val="000000" w:themeColor="text1"/>
        </w:rPr>
        <w:t>2016</w:t>
      </w:r>
      <w:r w:rsidRPr="004F4734">
        <w:rPr>
          <w:rFonts w:asciiTheme="minorHAnsi" w:hAnsiTheme="minorHAnsi"/>
          <w:color w:val="000000" w:themeColor="text1"/>
        </w:rPr>
        <w:t>.</w:t>
      </w:r>
    </w:p>
    <w:p w14:paraId="456B8647" w14:textId="71BAB050" w:rsidR="00DC69A9" w:rsidRDefault="00DC69A9" w:rsidP="00DC69A9">
      <w:pPr>
        <w:spacing w:before="240"/>
        <w:rPr>
          <w:lang w:val="en-US"/>
        </w:rPr>
      </w:pPr>
      <w:r>
        <w:rPr>
          <w:noProof/>
          <w:lang w:eastAsia="zh-CN"/>
        </w:rPr>
        <w:lastRenderedPageBreak/>
        <w:drawing>
          <wp:inline distT="0" distB="0" distL="0" distR="0" wp14:anchorId="3B2CCCC7" wp14:editId="189ED70E">
            <wp:extent cx="6073140" cy="3059430"/>
            <wp:effectExtent l="0" t="0" r="381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0B26C3" w14:textId="5EFCD18F" w:rsidR="00DC69A9" w:rsidRDefault="00C02C69" w:rsidP="00C02C69">
      <w:pPr>
        <w:spacing w:before="240"/>
      </w:pPr>
      <w:r>
        <w:t xml:space="preserve">Charts 2 and 3 below show ITU-D Sector Membership by Category and by Region. </w:t>
      </w:r>
    </w:p>
    <w:p w14:paraId="1C81F727" w14:textId="2B471BE6" w:rsidR="00C02C69" w:rsidRDefault="00E7398F" w:rsidP="00E7398F">
      <w:pPr>
        <w:pStyle w:val="ListParagraph"/>
        <w:spacing w:before="240"/>
        <w:ind w:left="284"/>
        <w:rPr>
          <w:b/>
          <w:bCs w:val="0"/>
          <w:lang w:val="en-GB"/>
        </w:rPr>
      </w:pPr>
      <w:r>
        <w:rPr>
          <w:noProof/>
          <w:lang w:val="en-GB"/>
        </w:rPr>
        <w:drawing>
          <wp:inline distT="0" distB="0" distL="0" distR="0" wp14:anchorId="7D1B95DC" wp14:editId="53B8D861">
            <wp:extent cx="2722245" cy="1990725"/>
            <wp:effectExtent l="0" t="0" r="190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b/>
          <w:bCs w:val="0"/>
          <w:lang w:val="en-GB"/>
        </w:rPr>
        <w:t xml:space="preserve"> </w:t>
      </w:r>
      <w:bookmarkStart w:id="7" w:name="_GoBack"/>
      <w:r>
        <w:rPr>
          <w:noProof/>
          <w:lang w:val="en-GB"/>
        </w:rPr>
        <w:drawing>
          <wp:inline distT="0" distB="0" distL="0" distR="0" wp14:anchorId="1CF8A65B" wp14:editId="50E9A423">
            <wp:extent cx="2701925" cy="1971675"/>
            <wp:effectExtent l="0" t="0" r="317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7"/>
    </w:p>
    <w:p w14:paraId="502B09E0" w14:textId="77777777" w:rsidR="00CD14E7" w:rsidRDefault="00CD14E7" w:rsidP="00E45213">
      <w:pPr>
        <w:pStyle w:val="ListParagraph"/>
        <w:spacing w:before="240"/>
        <w:ind w:left="0"/>
        <w:rPr>
          <w:b/>
          <w:bCs w:val="0"/>
        </w:rPr>
      </w:pPr>
    </w:p>
    <w:p w14:paraId="4BDADFEE" w14:textId="69397342" w:rsidR="00DC69A9" w:rsidRPr="00CA0EA8" w:rsidRDefault="00DC69A9" w:rsidP="00B33924">
      <w:pPr>
        <w:pStyle w:val="ListParagraph"/>
        <w:keepNext/>
        <w:numPr>
          <w:ilvl w:val="0"/>
          <w:numId w:val="3"/>
        </w:numPr>
        <w:spacing w:after="0"/>
        <w:ind w:left="567" w:hanging="567"/>
        <w:contextualSpacing w:val="0"/>
        <w:rPr>
          <w:rFonts w:asciiTheme="minorHAnsi" w:hAnsiTheme="minorHAnsi"/>
          <w:b/>
          <w:bCs w:val="0"/>
          <w:sz w:val="24"/>
          <w:szCs w:val="24"/>
        </w:rPr>
      </w:pPr>
      <w:r w:rsidRPr="00CA0EA8">
        <w:rPr>
          <w:rFonts w:asciiTheme="minorHAnsi" w:hAnsiTheme="minorHAnsi"/>
          <w:b/>
          <w:bCs w:val="0"/>
          <w:sz w:val="24"/>
          <w:szCs w:val="24"/>
        </w:rPr>
        <w:t xml:space="preserve">Key </w:t>
      </w:r>
      <w:r w:rsidR="00205D80" w:rsidRPr="00CA0EA8">
        <w:rPr>
          <w:rFonts w:asciiTheme="minorHAnsi" w:hAnsiTheme="minorHAnsi"/>
          <w:b/>
          <w:bCs w:val="0"/>
          <w:sz w:val="24"/>
          <w:szCs w:val="24"/>
        </w:rPr>
        <w:t>actions</w:t>
      </w:r>
    </w:p>
    <w:p w14:paraId="26CD862E" w14:textId="77777777" w:rsidR="00DC69A9" w:rsidRDefault="00DC69A9" w:rsidP="00B33924">
      <w:pPr>
        <w:rPr>
          <w:rFonts w:ascii="Calibri" w:hAnsi="Calibri"/>
          <w:color w:val="000000" w:themeColor="text1"/>
          <w:szCs w:val="24"/>
          <w:lang w:val="en-US"/>
        </w:rPr>
      </w:pPr>
      <w:r>
        <w:rPr>
          <w:rFonts w:ascii="Calibri" w:hAnsi="Calibri"/>
          <w:color w:val="000000" w:themeColor="text1"/>
          <w:szCs w:val="24"/>
          <w:lang w:val="en-US"/>
        </w:rPr>
        <w:t xml:space="preserve">BDT had been conducting a series of strategic actions and will enhance efforts towards improving its products and services. </w:t>
      </w:r>
    </w:p>
    <w:p w14:paraId="35A14896" w14:textId="55F49ECC" w:rsidR="00DC69A9" w:rsidRDefault="00DC69A9" w:rsidP="00600BA9">
      <w:pPr>
        <w:tabs>
          <w:tab w:val="clear" w:pos="794"/>
          <w:tab w:val="clear" w:pos="1191"/>
          <w:tab w:val="clear" w:pos="1588"/>
          <w:tab w:val="clear" w:pos="1985"/>
          <w:tab w:val="left" w:pos="567"/>
        </w:tabs>
        <w:rPr>
          <w:rFonts w:ascii="Calibri" w:hAnsi="Calibri"/>
          <w:color w:val="000000" w:themeColor="text1"/>
          <w:szCs w:val="24"/>
          <w:lang w:val="en-US"/>
        </w:rPr>
      </w:pPr>
      <w:r>
        <w:rPr>
          <w:rFonts w:ascii="Calibri" w:hAnsi="Calibri"/>
          <w:color w:val="000000" w:themeColor="text1"/>
          <w:szCs w:val="24"/>
          <w:lang w:val="en-US"/>
        </w:rPr>
        <w:t>4.1</w:t>
      </w:r>
      <w:r w:rsidR="00B33924">
        <w:rPr>
          <w:rFonts w:ascii="Calibri" w:hAnsi="Calibri"/>
          <w:color w:val="000000" w:themeColor="text1"/>
          <w:szCs w:val="24"/>
          <w:lang w:val="en-US"/>
        </w:rPr>
        <w:tab/>
      </w:r>
      <w:r w:rsidR="00205D80">
        <w:rPr>
          <w:rFonts w:ascii="Calibri" w:hAnsi="Calibri"/>
          <w:b/>
          <w:bCs/>
          <w:color w:val="000000" w:themeColor="text1"/>
          <w:szCs w:val="24"/>
          <w:lang w:val="en-US"/>
        </w:rPr>
        <w:t>O</w:t>
      </w:r>
      <w:r w:rsidR="002F1448">
        <w:rPr>
          <w:rFonts w:ascii="Calibri" w:hAnsi="Calibri"/>
          <w:b/>
          <w:bCs/>
          <w:color w:val="000000" w:themeColor="text1"/>
          <w:szCs w:val="24"/>
          <w:lang w:val="en-US"/>
        </w:rPr>
        <w:t>utreach</w:t>
      </w:r>
      <w:r w:rsidR="00205D80">
        <w:rPr>
          <w:rFonts w:ascii="Calibri" w:hAnsi="Calibri"/>
          <w:b/>
          <w:bCs/>
          <w:color w:val="000000" w:themeColor="text1"/>
          <w:szCs w:val="24"/>
          <w:lang w:val="en-US"/>
        </w:rPr>
        <w:t xml:space="preserve"> to members</w:t>
      </w:r>
      <w:r>
        <w:rPr>
          <w:rFonts w:ascii="Calibri" w:hAnsi="Calibri"/>
          <w:color w:val="000000" w:themeColor="text1"/>
          <w:szCs w:val="24"/>
          <w:lang w:val="en-US"/>
        </w:rPr>
        <w:t>: BDT continued to conduct informal networking meetings which were carried out during TDAG-16, ITU- Study Group meetings in 2016 and several other ITU meetings and events</w:t>
      </w:r>
      <w:r w:rsidR="00EB78DD">
        <w:rPr>
          <w:rFonts w:ascii="Calibri" w:hAnsi="Calibri"/>
          <w:color w:val="000000" w:themeColor="text1"/>
          <w:szCs w:val="24"/>
          <w:lang w:val="en-US"/>
        </w:rPr>
        <w:t xml:space="preserve">, </w:t>
      </w:r>
      <w:r w:rsidR="000366B9">
        <w:rPr>
          <w:rFonts w:ascii="Calibri" w:hAnsi="Calibri"/>
          <w:color w:val="000000" w:themeColor="text1"/>
          <w:szCs w:val="24"/>
          <w:lang w:val="en-US"/>
        </w:rPr>
        <w:t xml:space="preserve">as </w:t>
      </w:r>
      <w:r w:rsidR="00EB78DD">
        <w:rPr>
          <w:rFonts w:ascii="Calibri" w:hAnsi="Calibri"/>
          <w:color w:val="000000" w:themeColor="text1"/>
          <w:szCs w:val="24"/>
          <w:lang w:val="en-US"/>
        </w:rPr>
        <w:t>to better understand and serve ITU-D membership</w:t>
      </w:r>
      <w:r w:rsidR="000366B9">
        <w:rPr>
          <w:rFonts w:ascii="Calibri" w:hAnsi="Calibri"/>
          <w:color w:val="000000" w:themeColor="text1"/>
          <w:szCs w:val="24"/>
          <w:lang w:val="en-US"/>
        </w:rPr>
        <w:t xml:space="preserve"> needs</w:t>
      </w:r>
      <w:r w:rsidR="00EB78DD">
        <w:rPr>
          <w:rFonts w:ascii="Calibri" w:hAnsi="Calibri"/>
          <w:color w:val="000000" w:themeColor="text1"/>
          <w:szCs w:val="24"/>
          <w:lang w:val="en-US"/>
        </w:rPr>
        <w:t xml:space="preserve">. </w:t>
      </w:r>
      <w:r w:rsidR="000366B9">
        <w:rPr>
          <w:rFonts w:ascii="Calibri" w:hAnsi="Calibri"/>
          <w:color w:val="000000" w:themeColor="text1"/>
          <w:szCs w:val="24"/>
          <w:lang w:val="en-US"/>
        </w:rPr>
        <w:t xml:space="preserve">These consultations, and the yearly membership services survey, </w:t>
      </w:r>
      <w:r>
        <w:rPr>
          <w:rFonts w:ascii="Calibri" w:hAnsi="Calibri"/>
          <w:color w:val="000000" w:themeColor="text1"/>
          <w:szCs w:val="24"/>
          <w:lang w:val="en-US"/>
        </w:rPr>
        <w:t>have shown membership value existing ITU-D knowledge shar</w:t>
      </w:r>
      <w:r w:rsidR="005B0EB9">
        <w:rPr>
          <w:rFonts w:ascii="Calibri" w:hAnsi="Calibri"/>
          <w:color w:val="000000" w:themeColor="text1"/>
          <w:szCs w:val="24"/>
          <w:lang w:val="en-US"/>
        </w:rPr>
        <w:t xml:space="preserve">ing platforms and publications and </w:t>
      </w:r>
      <w:r>
        <w:rPr>
          <w:rFonts w:ascii="Calibri" w:hAnsi="Calibri"/>
          <w:color w:val="000000" w:themeColor="text1"/>
          <w:szCs w:val="24"/>
          <w:lang w:val="en-US"/>
        </w:rPr>
        <w:t>areas for improvement</w:t>
      </w:r>
      <w:r w:rsidR="005B0EB9">
        <w:rPr>
          <w:rFonts w:ascii="Calibri" w:hAnsi="Calibri"/>
          <w:color w:val="000000" w:themeColor="text1"/>
          <w:szCs w:val="24"/>
          <w:lang w:val="en-US"/>
        </w:rPr>
        <w:t xml:space="preserve"> of services</w:t>
      </w:r>
      <w:r>
        <w:rPr>
          <w:rFonts w:ascii="Calibri" w:hAnsi="Calibri"/>
          <w:color w:val="000000" w:themeColor="text1"/>
          <w:szCs w:val="24"/>
          <w:lang w:val="en-US"/>
        </w:rPr>
        <w:t xml:space="preserve"> in terms</w:t>
      </w:r>
      <w:r w:rsidR="005B0EB9">
        <w:rPr>
          <w:rFonts w:ascii="Calibri" w:hAnsi="Calibri"/>
          <w:color w:val="000000" w:themeColor="text1"/>
          <w:szCs w:val="24"/>
          <w:lang w:val="en-US"/>
        </w:rPr>
        <w:t xml:space="preserve"> of communication tools such as remote participation facilities, web tools and information available on websites</w:t>
      </w:r>
      <w:r>
        <w:rPr>
          <w:rFonts w:ascii="Calibri" w:hAnsi="Calibri"/>
          <w:color w:val="000000" w:themeColor="text1"/>
          <w:szCs w:val="24"/>
          <w:lang w:val="en-US"/>
        </w:rPr>
        <w:t>.</w:t>
      </w:r>
      <w:r w:rsidR="005B0EB9">
        <w:rPr>
          <w:rFonts w:ascii="Calibri" w:hAnsi="Calibri"/>
          <w:color w:val="000000" w:themeColor="text1"/>
          <w:szCs w:val="24"/>
          <w:lang w:val="en-US"/>
        </w:rPr>
        <w:t xml:space="preserve"> As for areas of interest and complementary to those identified in ITU-D Study Group surveys, 5G, </w:t>
      </w:r>
      <w:proofErr w:type="spellStart"/>
      <w:r w:rsidR="005B0EB9">
        <w:rPr>
          <w:rFonts w:ascii="Calibri" w:hAnsi="Calibri"/>
          <w:color w:val="000000" w:themeColor="text1"/>
          <w:szCs w:val="24"/>
          <w:lang w:val="en-US"/>
        </w:rPr>
        <w:t>IoT</w:t>
      </w:r>
      <w:proofErr w:type="spellEnd"/>
      <w:r w:rsidR="005B0EB9">
        <w:rPr>
          <w:rFonts w:ascii="Calibri" w:hAnsi="Calibri"/>
          <w:color w:val="000000" w:themeColor="text1"/>
          <w:szCs w:val="24"/>
          <w:lang w:val="en-US"/>
        </w:rPr>
        <w:t>, Broadband, Smart Cities, Mobile</w:t>
      </w:r>
      <w:r w:rsidR="00600BA9">
        <w:rPr>
          <w:rFonts w:ascii="Calibri" w:hAnsi="Calibri"/>
          <w:color w:val="000000" w:themeColor="text1"/>
          <w:szCs w:val="24"/>
          <w:lang w:val="en-US"/>
        </w:rPr>
        <w:t> </w:t>
      </w:r>
      <w:r w:rsidR="005B0EB9">
        <w:rPr>
          <w:rFonts w:ascii="Calibri" w:hAnsi="Calibri"/>
          <w:color w:val="000000" w:themeColor="text1"/>
          <w:szCs w:val="24"/>
          <w:lang w:val="en-US"/>
        </w:rPr>
        <w:t>and Big Data are the highest ranking</w:t>
      </w:r>
      <w:r w:rsidR="00B412BF">
        <w:rPr>
          <w:rFonts w:ascii="Calibri" w:hAnsi="Calibri"/>
          <w:color w:val="000000" w:themeColor="text1"/>
          <w:szCs w:val="24"/>
          <w:lang w:val="en-US"/>
        </w:rPr>
        <w:t xml:space="preserve"> among others</w:t>
      </w:r>
      <w:r w:rsidR="005B0EB9">
        <w:rPr>
          <w:rFonts w:ascii="Calibri" w:hAnsi="Calibri"/>
          <w:color w:val="000000" w:themeColor="text1"/>
          <w:szCs w:val="24"/>
          <w:lang w:val="en-US"/>
        </w:rPr>
        <w:t xml:space="preserve">. Finally, members demonstrated interest in a Members-only online zone which is being developed as an ITU-wide and cross-sectoral effort which shall enable customized content and enhanced networking and collaboration between and amongst members.  </w:t>
      </w:r>
      <w:r>
        <w:rPr>
          <w:rFonts w:ascii="Calibri" w:hAnsi="Calibri"/>
          <w:color w:val="000000" w:themeColor="text1"/>
          <w:szCs w:val="24"/>
          <w:lang w:val="en-US"/>
        </w:rPr>
        <w:t xml:space="preserve"> </w:t>
      </w:r>
    </w:p>
    <w:p w14:paraId="076A6CFA" w14:textId="7DA4CFC8" w:rsidR="00DC69A9" w:rsidRDefault="00DC69A9" w:rsidP="00B33924">
      <w:pPr>
        <w:tabs>
          <w:tab w:val="clear" w:pos="794"/>
          <w:tab w:val="clear" w:pos="1191"/>
          <w:tab w:val="clear" w:pos="1588"/>
          <w:tab w:val="clear" w:pos="1985"/>
          <w:tab w:val="left" w:pos="567"/>
        </w:tabs>
        <w:rPr>
          <w:szCs w:val="24"/>
        </w:rPr>
      </w:pPr>
      <w:r w:rsidRPr="00DB3AD4">
        <w:rPr>
          <w:bCs/>
          <w:szCs w:val="24"/>
        </w:rPr>
        <w:lastRenderedPageBreak/>
        <w:t>4.2</w:t>
      </w:r>
      <w:r>
        <w:rPr>
          <w:b/>
          <w:szCs w:val="24"/>
        </w:rPr>
        <w:t xml:space="preserve"> </w:t>
      </w:r>
      <w:r w:rsidR="00B33924">
        <w:rPr>
          <w:b/>
          <w:szCs w:val="24"/>
        </w:rPr>
        <w:tab/>
      </w:r>
      <w:r w:rsidR="00CD14E7">
        <w:rPr>
          <w:b/>
          <w:szCs w:val="24"/>
        </w:rPr>
        <w:t>ITU-D Sector m</w:t>
      </w:r>
      <w:r w:rsidRPr="00DB3AD4">
        <w:rPr>
          <w:b/>
          <w:szCs w:val="24"/>
        </w:rPr>
        <w:t xml:space="preserve">embership </w:t>
      </w:r>
      <w:r w:rsidR="00205D80">
        <w:rPr>
          <w:b/>
          <w:szCs w:val="24"/>
        </w:rPr>
        <w:t>tools and services</w:t>
      </w:r>
      <w:r w:rsidR="00CD14E7">
        <w:rPr>
          <w:szCs w:val="24"/>
        </w:rPr>
        <w:t>: I</w:t>
      </w:r>
      <w:r w:rsidRPr="00DB3AD4">
        <w:rPr>
          <w:szCs w:val="24"/>
        </w:rPr>
        <w:t>nformation-dissemination platforms such as the ITU-D Sector Membership Portal (</w:t>
      </w:r>
      <w:hyperlink r:id="rId13" w:history="1">
        <w:r w:rsidRPr="00DB3AD4">
          <w:rPr>
            <w:rStyle w:val="Hyperlink"/>
            <w:szCs w:val="24"/>
          </w:rPr>
          <w:t>http://www.itu.int/en/ITU-D/Membership/Pages/default.aspx</w:t>
        </w:r>
      </w:hyperlink>
      <w:r w:rsidRPr="00DB3AD4">
        <w:rPr>
          <w:szCs w:val="24"/>
        </w:rPr>
        <w:t>) have been continuously updat</w:t>
      </w:r>
      <w:r w:rsidR="00205D80">
        <w:rPr>
          <w:szCs w:val="24"/>
        </w:rPr>
        <w:t xml:space="preserve">ed with data and information. Based on regular queries received form prospective and new members, </w:t>
      </w:r>
      <w:r w:rsidRPr="00DB3AD4">
        <w:rPr>
          <w:szCs w:val="24"/>
        </w:rPr>
        <w:t>FAQs (</w:t>
      </w:r>
      <w:r w:rsidRPr="00DB3AD4">
        <w:rPr>
          <w:i/>
          <w:iCs/>
          <w:szCs w:val="24"/>
        </w:rPr>
        <w:t>Frequently Asked Questions</w:t>
      </w:r>
      <w:r w:rsidRPr="00DB3AD4">
        <w:rPr>
          <w:szCs w:val="24"/>
        </w:rPr>
        <w:t xml:space="preserve">) </w:t>
      </w:r>
      <w:r w:rsidR="00205D80">
        <w:rPr>
          <w:szCs w:val="24"/>
        </w:rPr>
        <w:t>were developed in 2016.</w:t>
      </w:r>
      <w:r w:rsidR="00205D80">
        <w:rPr>
          <w:rFonts w:ascii="Calibri" w:hAnsi="Calibri"/>
          <w:color w:val="000000" w:themeColor="text1"/>
          <w:szCs w:val="24"/>
          <w:lang w:val="en-US"/>
        </w:rPr>
        <w:t xml:space="preserve"> BDT </w:t>
      </w:r>
      <w:r w:rsidR="002F1448">
        <w:rPr>
          <w:rFonts w:ascii="Calibri" w:hAnsi="Calibri"/>
          <w:color w:val="000000" w:themeColor="text1"/>
          <w:szCs w:val="24"/>
          <w:lang w:val="en-US"/>
        </w:rPr>
        <w:t>is working to further enhance</w:t>
      </w:r>
      <w:r w:rsidR="00205D80">
        <w:rPr>
          <w:rFonts w:ascii="Calibri" w:hAnsi="Calibri"/>
          <w:color w:val="000000" w:themeColor="text1"/>
          <w:szCs w:val="24"/>
          <w:lang w:val="en-US"/>
        </w:rPr>
        <w:t xml:space="preserve"> its outreach and communication materials and collaboratin</w:t>
      </w:r>
      <w:r w:rsidR="002F1448">
        <w:rPr>
          <w:rFonts w:ascii="Calibri" w:hAnsi="Calibri"/>
          <w:color w:val="000000" w:themeColor="text1"/>
          <w:szCs w:val="24"/>
          <w:lang w:val="en-US"/>
        </w:rPr>
        <w:t>g</w:t>
      </w:r>
      <w:r w:rsidR="00205D80">
        <w:rPr>
          <w:rFonts w:ascii="Calibri" w:hAnsi="Calibri"/>
          <w:color w:val="000000" w:themeColor="text1"/>
          <w:szCs w:val="24"/>
          <w:lang w:val="en-US"/>
        </w:rPr>
        <w:t xml:space="preserve"> with ITU-wide efforts to develop and implement an ITU online members’ zone platform.</w:t>
      </w:r>
    </w:p>
    <w:p w14:paraId="18E35511" w14:textId="2A5AEF8D" w:rsidR="00DC69A9" w:rsidRDefault="00DC69A9" w:rsidP="00B33924">
      <w:pPr>
        <w:tabs>
          <w:tab w:val="clear" w:pos="794"/>
          <w:tab w:val="clear" w:pos="1191"/>
          <w:tab w:val="clear" w:pos="1588"/>
          <w:tab w:val="clear" w:pos="1985"/>
          <w:tab w:val="left" w:pos="567"/>
        </w:tabs>
        <w:rPr>
          <w:szCs w:val="24"/>
        </w:rPr>
      </w:pPr>
      <w:r w:rsidRPr="009C7211">
        <w:rPr>
          <w:szCs w:val="24"/>
        </w:rPr>
        <w:t>4.</w:t>
      </w:r>
      <w:r>
        <w:rPr>
          <w:szCs w:val="24"/>
        </w:rPr>
        <w:t>3</w:t>
      </w:r>
      <w:r>
        <w:rPr>
          <w:b/>
          <w:bCs/>
          <w:szCs w:val="24"/>
        </w:rPr>
        <w:t xml:space="preserve"> </w:t>
      </w:r>
      <w:r w:rsidR="00B33924">
        <w:rPr>
          <w:b/>
          <w:bCs/>
          <w:szCs w:val="24"/>
        </w:rPr>
        <w:tab/>
      </w:r>
      <w:r w:rsidRPr="009C7211">
        <w:rPr>
          <w:b/>
          <w:bCs/>
          <w:szCs w:val="24"/>
        </w:rPr>
        <w:t>Enhancing ITU Academia members’ participation in ITU’s work</w:t>
      </w:r>
      <w:r w:rsidRPr="009C7211">
        <w:rPr>
          <w:szCs w:val="24"/>
        </w:rPr>
        <w:t xml:space="preserve">: </w:t>
      </w:r>
      <w:r>
        <w:rPr>
          <w:szCs w:val="24"/>
        </w:rPr>
        <w:t>O</w:t>
      </w:r>
      <w:r w:rsidRPr="002745C0">
        <w:rPr>
          <w:szCs w:val="24"/>
        </w:rPr>
        <w:t>ne of the outcomes of the ITU-D Academia Network meeting, convened by the BDT in September 2015</w:t>
      </w:r>
      <w:r>
        <w:rPr>
          <w:szCs w:val="24"/>
        </w:rPr>
        <w:t xml:space="preserve">, was the need for </w:t>
      </w:r>
      <w:r w:rsidRPr="00787E08">
        <w:rPr>
          <w:szCs w:val="24"/>
        </w:rPr>
        <w:t xml:space="preserve">new platforms and forms of collaborative </w:t>
      </w:r>
      <w:r>
        <w:rPr>
          <w:szCs w:val="24"/>
        </w:rPr>
        <w:t xml:space="preserve">research </w:t>
      </w:r>
      <w:r w:rsidRPr="00787E08">
        <w:rPr>
          <w:szCs w:val="24"/>
        </w:rPr>
        <w:t>studies</w:t>
      </w:r>
      <w:r>
        <w:rPr>
          <w:szCs w:val="24"/>
        </w:rPr>
        <w:t xml:space="preserve">. In this sense, and further to </w:t>
      </w:r>
      <w:r w:rsidRPr="002745C0">
        <w:rPr>
          <w:szCs w:val="24"/>
        </w:rPr>
        <w:t xml:space="preserve">consultations </w:t>
      </w:r>
      <w:r>
        <w:rPr>
          <w:szCs w:val="24"/>
        </w:rPr>
        <w:t xml:space="preserve">that </w:t>
      </w:r>
      <w:r w:rsidRPr="002745C0">
        <w:rPr>
          <w:szCs w:val="24"/>
        </w:rPr>
        <w:t xml:space="preserve">were held with several Academia members and prospects to explore and identify interested and renowned experts from the scientific community willing to perform pro-bono work </w:t>
      </w:r>
      <w:r>
        <w:rPr>
          <w:szCs w:val="24"/>
        </w:rPr>
        <w:t xml:space="preserve">and research, the BDT is currently developing </w:t>
      </w:r>
      <w:r w:rsidRPr="002745C0">
        <w:rPr>
          <w:szCs w:val="24"/>
        </w:rPr>
        <w:t>a comprehensive study</w:t>
      </w:r>
      <w:r>
        <w:rPr>
          <w:szCs w:val="24"/>
        </w:rPr>
        <w:t xml:space="preserve"> </w:t>
      </w:r>
      <w:r w:rsidRPr="002745C0">
        <w:rPr>
          <w:szCs w:val="24"/>
        </w:rPr>
        <w:t>on the role and impact of ICTs f</w:t>
      </w:r>
      <w:r w:rsidR="00930EC8">
        <w:rPr>
          <w:szCs w:val="24"/>
        </w:rPr>
        <w:t>or the Sustainable Development focused on innovation, job creation and economic growth</w:t>
      </w:r>
      <w:r w:rsidRPr="002745C0">
        <w:rPr>
          <w:szCs w:val="24"/>
        </w:rPr>
        <w:t>.</w:t>
      </w:r>
      <w:r>
        <w:rPr>
          <w:szCs w:val="24"/>
        </w:rPr>
        <w:t xml:space="preserve"> </w:t>
      </w:r>
      <w:r w:rsidR="00205D80">
        <w:rPr>
          <w:szCs w:val="24"/>
        </w:rPr>
        <w:t>T</w:t>
      </w:r>
      <w:r>
        <w:rPr>
          <w:szCs w:val="24"/>
        </w:rPr>
        <w:t xml:space="preserve">his pilot </w:t>
      </w:r>
      <w:r w:rsidR="00205D80">
        <w:rPr>
          <w:szCs w:val="24"/>
        </w:rPr>
        <w:t>initiative</w:t>
      </w:r>
      <w:r>
        <w:rPr>
          <w:szCs w:val="24"/>
        </w:rPr>
        <w:t xml:space="preserve"> for Academic-driven research</w:t>
      </w:r>
      <w:r w:rsidR="00930EC8">
        <w:rPr>
          <w:szCs w:val="24"/>
        </w:rPr>
        <w:t xml:space="preserve"> is progressing well and the report will be launched at WTDC-17. This initiative</w:t>
      </w:r>
      <w:r>
        <w:rPr>
          <w:szCs w:val="24"/>
        </w:rPr>
        <w:t xml:space="preserve"> </w:t>
      </w:r>
      <w:r w:rsidR="00205D80">
        <w:rPr>
          <w:szCs w:val="24"/>
        </w:rPr>
        <w:t>also</w:t>
      </w:r>
      <w:r>
        <w:rPr>
          <w:szCs w:val="24"/>
        </w:rPr>
        <w:t xml:space="preserve"> resulted in new Academia members, fostered increased </w:t>
      </w:r>
      <w:r w:rsidRPr="00787E08">
        <w:rPr>
          <w:szCs w:val="24"/>
        </w:rPr>
        <w:t>interaction</w:t>
      </w:r>
      <w:r>
        <w:rPr>
          <w:szCs w:val="24"/>
        </w:rPr>
        <w:t xml:space="preserve"> with each </w:t>
      </w:r>
      <w:r w:rsidRPr="00787E08">
        <w:rPr>
          <w:szCs w:val="24"/>
        </w:rPr>
        <w:t>author’s extensive network of contacts</w:t>
      </w:r>
      <w:r w:rsidR="00205D80">
        <w:rPr>
          <w:szCs w:val="24"/>
        </w:rPr>
        <w:t xml:space="preserve"> and confirmed the interest and</w:t>
      </w:r>
      <w:r>
        <w:rPr>
          <w:szCs w:val="24"/>
        </w:rPr>
        <w:t xml:space="preserve"> opportunity to explore similar collaborative exercises</w:t>
      </w:r>
      <w:r w:rsidRPr="00787E08">
        <w:rPr>
          <w:szCs w:val="24"/>
        </w:rPr>
        <w:t xml:space="preserve">. </w:t>
      </w:r>
    </w:p>
    <w:p w14:paraId="64432106" w14:textId="1559232D" w:rsidR="00DC69A9" w:rsidRPr="002745C0" w:rsidRDefault="00DC69A9" w:rsidP="00B33924">
      <w:pPr>
        <w:rPr>
          <w:szCs w:val="24"/>
        </w:rPr>
      </w:pPr>
      <w:r w:rsidRPr="009C7211">
        <w:rPr>
          <w:szCs w:val="24"/>
        </w:rPr>
        <w:t xml:space="preserve">BDT carried out a pilot experiment in 2016 inviting Swiss-based Academia members to bring </w:t>
      </w:r>
      <w:r w:rsidR="00C02C69">
        <w:rPr>
          <w:szCs w:val="24"/>
        </w:rPr>
        <w:t>over 20</w:t>
      </w:r>
      <w:r w:rsidRPr="009C7211">
        <w:rPr>
          <w:szCs w:val="24"/>
        </w:rPr>
        <w:t xml:space="preserve"> </w:t>
      </w:r>
      <w:r>
        <w:rPr>
          <w:szCs w:val="24"/>
        </w:rPr>
        <w:t xml:space="preserve">college-level </w:t>
      </w:r>
      <w:r w:rsidRPr="009C7211">
        <w:rPr>
          <w:szCs w:val="24"/>
        </w:rPr>
        <w:t>students</w:t>
      </w:r>
      <w:r>
        <w:rPr>
          <w:szCs w:val="24"/>
        </w:rPr>
        <w:t xml:space="preserve"> to</w:t>
      </w:r>
      <w:r w:rsidRPr="009C7211">
        <w:rPr>
          <w:szCs w:val="24"/>
        </w:rPr>
        <w:t xml:space="preserve"> </w:t>
      </w:r>
      <w:r>
        <w:rPr>
          <w:szCs w:val="24"/>
        </w:rPr>
        <w:t>better understand the role and mandate of ITU-D</w:t>
      </w:r>
      <w:r w:rsidRPr="009C7211">
        <w:rPr>
          <w:szCs w:val="24"/>
        </w:rPr>
        <w:t xml:space="preserve"> </w:t>
      </w:r>
      <w:r>
        <w:rPr>
          <w:szCs w:val="24"/>
        </w:rPr>
        <w:t xml:space="preserve">and have first-hand experience on the debates related to ICT development agenda by observing the functioning of a neutral and multi-stakeholder knowledge sharing platform such as </w:t>
      </w:r>
      <w:r w:rsidRPr="009C7211">
        <w:rPr>
          <w:szCs w:val="24"/>
        </w:rPr>
        <w:t>ITU-D Study Group meeting</w:t>
      </w:r>
      <w:r>
        <w:rPr>
          <w:szCs w:val="24"/>
        </w:rPr>
        <w:t>s</w:t>
      </w:r>
      <w:r w:rsidR="00C02C69">
        <w:rPr>
          <w:szCs w:val="24"/>
        </w:rPr>
        <w:t xml:space="preserve"> held in Geneva</w:t>
      </w:r>
      <w:r>
        <w:rPr>
          <w:szCs w:val="24"/>
        </w:rPr>
        <w:t xml:space="preserve">. </w:t>
      </w:r>
    </w:p>
    <w:p w14:paraId="0738E06F" w14:textId="470F2067" w:rsidR="00E171FC" w:rsidRDefault="00DC69A9" w:rsidP="00B33924">
      <w:pPr>
        <w:tabs>
          <w:tab w:val="clear" w:pos="794"/>
          <w:tab w:val="clear" w:pos="1191"/>
          <w:tab w:val="clear" w:pos="1588"/>
          <w:tab w:val="clear" w:pos="1985"/>
          <w:tab w:val="left" w:pos="567"/>
        </w:tabs>
        <w:rPr>
          <w:szCs w:val="24"/>
        </w:rPr>
      </w:pPr>
      <w:r>
        <w:rPr>
          <w:szCs w:val="24"/>
        </w:rPr>
        <w:t xml:space="preserve">4.4 </w:t>
      </w:r>
      <w:r w:rsidR="00B33924">
        <w:rPr>
          <w:szCs w:val="24"/>
        </w:rPr>
        <w:tab/>
      </w:r>
      <w:r w:rsidR="00E171FC" w:rsidRPr="00E171FC">
        <w:rPr>
          <w:b/>
          <w:bCs/>
          <w:szCs w:val="24"/>
        </w:rPr>
        <w:t>Enhancing private sector engagement in work of ITU-D</w:t>
      </w:r>
      <w:r w:rsidR="00CD14E7">
        <w:rPr>
          <w:szCs w:val="24"/>
        </w:rPr>
        <w:t>: T</w:t>
      </w:r>
      <w:r w:rsidR="00E171FC" w:rsidRPr="00E171FC">
        <w:rPr>
          <w:szCs w:val="24"/>
        </w:rPr>
        <w:t xml:space="preserve">he 6th </w:t>
      </w:r>
      <w:r w:rsidR="00E171FC">
        <w:rPr>
          <w:szCs w:val="24"/>
        </w:rPr>
        <w:t>and 7th</w:t>
      </w:r>
      <w:r w:rsidR="00E171FC">
        <w:rPr>
          <w:szCs w:val="24"/>
          <w:vertAlign w:val="superscript"/>
        </w:rPr>
        <w:t xml:space="preserve"> </w:t>
      </w:r>
      <w:r w:rsidR="00E171FC">
        <w:rPr>
          <w:szCs w:val="24"/>
        </w:rPr>
        <w:t xml:space="preserve">editions of the </w:t>
      </w:r>
      <w:r w:rsidR="00E171FC" w:rsidRPr="00E171FC">
        <w:rPr>
          <w:szCs w:val="24"/>
        </w:rPr>
        <w:t>Private Sector Chief Regulatory Officers' (CRO) meeting</w:t>
      </w:r>
      <w:r w:rsidR="00E171FC">
        <w:rPr>
          <w:szCs w:val="24"/>
        </w:rPr>
        <w:t>s</w:t>
      </w:r>
      <w:r w:rsidR="00E171FC" w:rsidRPr="00E171FC">
        <w:rPr>
          <w:szCs w:val="24"/>
        </w:rPr>
        <w:t xml:space="preserve"> </w:t>
      </w:r>
      <w:r w:rsidR="00E171FC">
        <w:rPr>
          <w:szCs w:val="24"/>
        </w:rPr>
        <w:t>were</w:t>
      </w:r>
      <w:r w:rsidR="00E171FC" w:rsidRPr="00E171FC">
        <w:rPr>
          <w:szCs w:val="24"/>
        </w:rPr>
        <w:t xml:space="preserve"> h</w:t>
      </w:r>
      <w:r w:rsidR="00E171FC">
        <w:rPr>
          <w:szCs w:val="24"/>
        </w:rPr>
        <w:t xml:space="preserve">eld in 2016 bringing together </w:t>
      </w:r>
      <w:r w:rsidR="00E171FC" w:rsidRPr="00E171FC">
        <w:rPr>
          <w:szCs w:val="24"/>
        </w:rPr>
        <w:t xml:space="preserve">senior industry executives to share experiences and exchange ideas on how to strengthen the private sector’s involvement and engagement in global, regional and national initiatives and to identify mechanisms to better foster an enabling regulatory environment for future development of the sector. In particular, a Universal Financial Access 2020 (UFA) proposal </w:t>
      </w:r>
      <w:r w:rsidR="00C11749">
        <w:rPr>
          <w:szCs w:val="24"/>
        </w:rPr>
        <w:t xml:space="preserve">presented </w:t>
      </w:r>
      <w:r w:rsidR="00E171FC">
        <w:rPr>
          <w:szCs w:val="24"/>
        </w:rPr>
        <w:t>u</w:t>
      </w:r>
      <w:r w:rsidR="00E171FC" w:rsidRPr="00E171FC">
        <w:rPr>
          <w:szCs w:val="24"/>
        </w:rPr>
        <w:t>nder the CRO platform was supported by the participants</w:t>
      </w:r>
      <w:r w:rsidR="00C11749">
        <w:rPr>
          <w:szCs w:val="24"/>
        </w:rPr>
        <w:t>,</w:t>
      </w:r>
      <w:r w:rsidR="00E171FC" w:rsidRPr="00E171FC">
        <w:rPr>
          <w:szCs w:val="24"/>
        </w:rPr>
        <w:t xml:space="preserve"> who agreed to create a CRO Working Group (CRO WG) on Digital Financial Inclusion (DFI).</w:t>
      </w:r>
    </w:p>
    <w:p w14:paraId="17A7374A" w14:textId="6DE0D7B4" w:rsidR="00C02C69" w:rsidRDefault="00E171FC" w:rsidP="005F140D">
      <w:pPr>
        <w:tabs>
          <w:tab w:val="clear" w:pos="794"/>
          <w:tab w:val="clear" w:pos="1191"/>
          <w:tab w:val="clear" w:pos="1588"/>
          <w:tab w:val="clear" w:pos="1985"/>
          <w:tab w:val="left" w:pos="567"/>
        </w:tabs>
        <w:rPr>
          <w:szCs w:val="24"/>
        </w:rPr>
      </w:pPr>
      <w:r>
        <w:rPr>
          <w:szCs w:val="24"/>
        </w:rPr>
        <w:t xml:space="preserve">4.5 </w:t>
      </w:r>
      <w:r w:rsidR="00B33924">
        <w:rPr>
          <w:szCs w:val="24"/>
        </w:rPr>
        <w:tab/>
      </w:r>
      <w:r w:rsidR="002F1448">
        <w:rPr>
          <w:b/>
          <w:bCs/>
          <w:szCs w:val="24"/>
        </w:rPr>
        <w:t>C</w:t>
      </w:r>
      <w:r w:rsidR="00DC69A9">
        <w:rPr>
          <w:b/>
          <w:szCs w:val="24"/>
        </w:rPr>
        <w:t xml:space="preserve">ross-sectoral engagement and partnership </w:t>
      </w:r>
      <w:r w:rsidR="002F1448">
        <w:rPr>
          <w:b/>
          <w:szCs w:val="24"/>
        </w:rPr>
        <w:t xml:space="preserve">platform </w:t>
      </w:r>
      <w:r w:rsidR="00DC69A9" w:rsidRPr="00362DB9">
        <w:rPr>
          <w:b/>
          <w:szCs w:val="24"/>
        </w:rPr>
        <w:t>in a converged ICT ecosystem</w:t>
      </w:r>
      <w:r w:rsidR="00DC69A9" w:rsidRPr="009E5136">
        <w:rPr>
          <w:szCs w:val="24"/>
        </w:rPr>
        <w:t xml:space="preserve">: BDT has continued to raise awareness of benefits for ITU-D Sector membership through </w:t>
      </w:r>
      <w:r w:rsidR="00DC69A9">
        <w:rPr>
          <w:szCs w:val="24"/>
        </w:rPr>
        <w:t>its various</w:t>
      </w:r>
      <w:r w:rsidR="00DC69A9" w:rsidRPr="009E5136">
        <w:rPr>
          <w:szCs w:val="24"/>
        </w:rPr>
        <w:t xml:space="preserve"> ITU-D events</w:t>
      </w:r>
      <w:r w:rsidR="00DC69A9">
        <w:rPr>
          <w:szCs w:val="24"/>
        </w:rPr>
        <w:t xml:space="preserve"> and non-ITU-D events</w:t>
      </w:r>
      <w:r w:rsidR="00DC69A9" w:rsidRPr="009E5136">
        <w:rPr>
          <w:szCs w:val="24"/>
        </w:rPr>
        <w:t xml:space="preserve">. </w:t>
      </w:r>
      <w:r w:rsidR="00DC69A9" w:rsidRPr="00362DB9">
        <w:rPr>
          <w:szCs w:val="24"/>
        </w:rPr>
        <w:t xml:space="preserve">The growing diversity of ITU-D </w:t>
      </w:r>
      <w:r w:rsidR="00DC69A9">
        <w:rPr>
          <w:szCs w:val="24"/>
        </w:rPr>
        <w:t>Sector M</w:t>
      </w:r>
      <w:r w:rsidR="00DC69A9" w:rsidRPr="00362DB9">
        <w:rPr>
          <w:szCs w:val="24"/>
        </w:rPr>
        <w:t xml:space="preserve">embership is also fostering a fertile ground for debate and collaboration with non-traditional ICT players (e.g. </w:t>
      </w:r>
      <w:r w:rsidR="00DC69A9">
        <w:rPr>
          <w:szCs w:val="24"/>
        </w:rPr>
        <w:t xml:space="preserve">Bill &amp; Melinda Gates Foundation, </w:t>
      </w:r>
      <w:r w:rsidR="00DC69A9" w:rsidRPr="00362DB9">
        <w:rPr>
          <w:szCs w:val="24"/>
        </w:rPr>
        <w:t>MasterCard, Walt Disney</w:t>
      </w:r>
      <w:r w:rsidR="00DC69A9">
        <w:rPr>
          <w:szCs w:val="24"/>
        </w:rPr>
        <w:t xml:space="preserve"> </w:t>
      </w:r>
      <w:r w:rsidR="002F1448">
        <w:rPr>
          <w:szCs w:val="24"/>
        </w:rPr>
        <w:t>and others</w:t>
      </w:r>
      <w:r w:rsidR="00DC69A9" w:rsidRPr="00362DB9">
        <w:rPr>
          <w:szCs w:val="24"/>
        </w:rPr>
        <w:t>)</w:t>
      </w:r>
      <w:r w:rsidR="00DC69A9" w:rsidRPr="009E5136">
        <w:rPr>
          <w:szCs w:val="24"/>
        </w:rPr>
        <w:t xml:space="preserve">. </w:t>
      </w:r>
      <w:r w:rsidR="00DC69A9">
        <w:rPr>
          <w:szCs w:val="24"/>
        </w:rPr>
        <w:t xml:space="preserve">In this sense, in September 2016 the BDT organized a </w:t>
      </w:r>
      <w:hyperlink r:id="rId14" w:history="1">
        <w:r w:rsidR="00DC69A9" w:rsidRPr="00DB3AD4">
          <w:rPr>
            <w:rStyle w:val="Hyperlink"/>
            <w:szCs w:val="24"/>
          </w:rPr>
          <w:t>Partnership Dialogue on ICT</w:t>
        </w:r>
        <w:r w:rsidR="00DC69A9" w:rsidRPr="00DB3AD4">
          <w:rPr>
            <w:rStyle w:val="Hyperlink"/>
            <w:rFonts w:hint="eastAsia"/>
            <w:szCs w:val="24"/>
          </w:rPr>
          <w:t>④</w:t>
        </w:r>
        <w:r w:rsidR="00DC69A9" w:rsidRPr="00DB3AD4">
          <w:rPr>
            <w:rStyle w:val="Hyperlink"/>
            <w:szCs w:val="24"/>
          </w:rPr>
          <w:t>SDGs</w:t>
        </w:r>
      </w:hyperlink>
      <w:r w:rsidR="00DC69A9" w:rsidRPr="00530C2F">
        <w:rPr>
          <w:szCs w:val="24"/>
        </w:rPr>
        <w:t xml:space="preserve"> </w:t>
      </w:r>
      <w:r w:rsidR="00DC69A9">
        <w:rPr>
          <w:szCs w:val="24"/>
        </w:rPr>
        <w:t xml:space="preserve">which was attended by over 70 participants. </w:t>
      </w:r>
      <w:r w:rsidR="00DC69A9" w:rsidRPr="00530C2F">
        <w:rPr>
          <w:szCs w:val="24"/>
        </w:rPr>
        <w:t xml:space="preserve">The Dialogue </w:t>
      </w:r>
      <w:r w:rsidR="00DC69A9">
        <w:rPr>
          <w:szCs w:val="24"/>
        </w:rPr>
        <w:t>provided</w:t>
      </w:r>
      <w:r w:rsidR="00DC69A9" w:rsidRPr="00530C2F">
        <w:rPr>
          <w:szCs w:val="24"/>
        </w:rPr>
        <w:t xml:space="preserve"> a platform for ITU-D Members and partners, including public and private sector entities, academic institutions and other stakeholders for </w:t>
      </w:r>
      <w:r w:rsidR="005B0EB9">
        <w:rPr>
          <w:szCs w:val="24"/>
        </w:rPr>
        <w:t>strengthened awareness and</w:t>
      </w:r>
      <w:r w:rsidR="00DC69A9" w:rsidRPr="00530C2F">
        <w:rPr>
          <w:szCs w:val="24"/>
        </w:rPr>
        <w:t xml:space="preserve"> engagement in the activities of the BDT by sharing existing services and products as well as </w:t>
      </w:r>
      <w:r w:rsidR="005B0EB9">
        <w:rPr>
          <w:szCs w:val="24"/>
        </w:rPr>
        <w:t xml:space="preserve">cross-sectoral </w:t>
      </w:r>
      <w:r w:rsidR="00DC69A9" w:rsidRPr="00530C2F">
        <w:rPr>
          <w:szCs w:val="24"/>
        </w:rPr>
        <w:t>partnership opportunities fo</w:t>
      </w:r>
      <w:r w:rsidR="004B5536">
        <w:rPr>
          <w:szCs w:val="24"/>
        </w:rPr>
        <w:t xml:space="preserve">r the attainment of the SDGs.  </w:t>
      </w:r>
    </w:p>
    <w:p w14:paraId="1705294C" w14:textId="61FC3ABB" w:rsidR="000C6340" w:rsidRPr="00CA0EA8" w:rsidRDefault="000C6340" w:rsidP="00B33924">
      <w:pPr>
        <w:pStyle w:val="ListParagraph"/>
        <w:keepNext/>
        <w:numPr>
          <w:ilvl w:val="0"/>
          <w:numId w:val="3"/>
        </w:numPr>
        <w:spacing w:after="0"/>
        <w:ind w:left="567" w:hanging="567"/>
        <w:contextualSpacing w:val="0"/>
        <w:rPr>
          <w:rFonts w:asciiTheme="minorHAnsi" w:hAnsiTheme="minorHAnsi"/>
          <w:b/>
          <w:bCs w:val="0"/>
          <w:sz w:val="24"/>
          <w:szCs w:val="24"/>
        </w:rPr>
      </w:pPr>
      <w:r w:rsidRPr="00CA0EA8">
        <w:rPr>
          <w:rFonts w:asciiTheme="minorHAnsi" w:hAnsiTheme="minorHAnsi"/>
          <w:b/>
          <w:bCs w:val="0"/>
          <w:sz w:val="24"/>
          <w:szCs w:val="24"/>
        </w:rPr>
        <w:t>Ways forward</w:t>
      </w:r>
    </w:p>
    <w:p w14:paraId="0FB51FFB" w14:textId="13C80AF6" w:rsidR="00E171FC" w:rsidRDefault="000C6340" w:rsidP="00B33924">
      <w:pPr>
        <w:rPr>
          <w:rFonts w:ascii="Calibri" w:hAnsi="Calibri"/>
          <w:color w:val="000000" w:themeColor="text1"/>
          <w:szCs w:val="24"/>
          <w:lang w:val="en-US"/>
        </w:rPr>
      </w:pPr>
      <w:r>
        <w:rPr>
          <w:szCs w:val="24"/>
        </w:rPr>
        <w:t>BDT</w:t>
      </w:r>
      <w:r w:rsidR="00CD14E7">
        <w:rPr>
          <w:szCs w:val="24"/>
        </w:rPr>
        <w:t xml:space="preserve"> will continue to </w:t>
      </w:r>
      <w:r>
        <w:rPr>
          <w:szCs w:val="24"/>
        </w:rPr>
        <w:t>implement membership-driven programs, projects, initiatives and activities under its areas of actions</w:t>
      </w:r>
      <w:r w:rsidR="00C02C69">
        <w:rPr>
          <w:szCs w:val="24"/>
        </w:rPr>
        <w:t xml:space="preserve"> and</w:t>
      </w:r>
      <w:r>
        <w:rPr>
          <w:szCs w:val="24"/>
        </w:rPr>
        <w:t xml:space="preserve"> </w:t>
      </w:r>
      <w:r w:rsidR="00785297">
        <w:rPr>
          <w:rFonts w:ascii="Calibri" w:hAnsi="Calibri"/>
          <w:color w:val="000000" w:themeColor="text1"/>
          <w:szCs w:val="24"/>
          <w:lang w:val="en-US"/>
        </w:rPr>
        <w:t>strengthen</w:t>
      </w:r>
      <w:r>
        <w:rPr>
          <w:rFonts w:ascii="Calibri" w:hAnsi="Calibri"/>
          <w:color w:val="000000" w:themeColor="text1"/>
          <w:szCs w:val="24"/>
          <w:lang w:val="en-US"/>
        </w:rPr>
        <w:t xml:space="preserve"> its membership services, products,</w:t>
      </w:r>
      <w:r w:rsidR="00C02C69">
        <w:rPr>
          <w:rFonts w:ascii="Calibri" w:hAnsi="Calibri"/>
          <w:color w:val="000000" w:themeColor="text1"/>
          <w:szCs w:val="24"/>
          <w:lang w:val="en-US"/>
        </w:rPr>
        <w:t xml:space="preserve"> and</w:t>
      </w:r>
      <w:r>
        <w:rPr>
          <w:rFonts w:ascii="Calibri" w:hAnsi="Calibri"/>
          <w:color w:val="000000" w:themeColor="text1"/>
          <w:szCs w:val="24"/>
          <w:lang w:val="en-US"/>
        </w:rPr>
        <w:t xml:space="preserve"> communication tools for greater engagement with existing, new and prospective members</w:t>
      </w:r>
      <w:r w:rsidR="00E171FC">
        <w:rPr>
          <w:rFonts w:ascii="Calibri" w:hAnsi="Calibri"/>
          <w:color w:val="000000" w:themeColor="text1"/>
          <w:szCs w:val="24"/>
          <w:lang w:val="en-US"/>
        </w:rPr>
        <w:t xml:space="preserve">. </w:t>
      </w:r>
    </w:p>
    <w:p w14:paraId="7BBE7AEB" w14:textId="7C592919" w:rsidR="00785297" w:rsidRDefault="00E171FC" w:rsidP="00B33924">
      <w:pPr>
        <w:rPr>
          <w:rFonts w:ascii="Calibri" w:hAnsi="Calibri"/>
          <w:bCs/>
          <w:color w:val="000000" w:themeColor="text1"/>
          <w:szCs w:val="24"/>
        </w:rPr>
      </w:pPr>
      <w:r>
        <w:rPr>
          <w:rFonts w:ascii="Calibri" w:hAnsi="Calibri"/>
          <w:color w:val="000000" w:themeColor="text1"/>
          <w:szCs w:val="24"/>
          <w:lang w:val="en-US"/>
        </w:rPr>
        <w:lastRenderedPageBreak/>
        <w:t xml:space="preserve">Actions </w:t>
      </w:r>
      <w:r w:rsidR="00CD14E7">
        <w:rPr>
          <w:rFonts w:ascii="Calibri" w:hAnsi="Calibri"/>
          <w:color w:val="000000" w:themeColor="text1"/>
          <w:szCs w:val="24"/>
          <w:lang w:val="en-US"/>
        </w:rPr>
        <w:t xml:space="preserve">based on results-based approach </w:t>
      </w:r>
      <w:r>
        <w:rPr>
          <w:rFonts w:ascii="Calibri" w:hAnsi="Calibri"/>
          <w:color w:val="000000" w:themeColor="text1"/>
          <w:szCs w:val="24"/>
          <w:lang w:val="en-US"/>
        </w:rPr>
        <w:t xml:space="preserve">will focus on new platforms of multi-stakeholder partnerships and knowledge sharing, recognition of longstanding members; </w:t>
      </w:r>
      <w:r>
        <w:rPr>
          <w:rFonts w:ascii="Calibri" w:hAnsi="Calibri"/>
          <w:bCs/>
          <w:color w:val="000000" w:themeColor="text1"/>
          <w:szCs w:val="24"/>
          <w:lang w:val="en-US"/>
        </w:rPr>
        <w:t>targeted outreach to new members</w:t>
      </w:r>
      <w:r w:rsidR="00785297" w:rsidRPr="00785297">
        <w:rPr>
          <w:rFonts w:ascii="Calibri" w:hAnsi="Calibri"/>
          <w:bCs/>
          <w:color w:val="000000" w:themeColor="text1"/>
          <w:szCs w:val="24"/>
          <w:lang w:val="en-US"/>
        </w:rPr>
        <w:t xml:space="preserve"> and collaborating with ITU-wide efforts to develop and implement an ITU online members’ zone platform</w:t>
      </w:r>
      <w:r>
        <w:rPr>
          <w:rFonts w:ascii="Calibri" w:hAnsi="Calibri"/>
          <w:bCs/>
          <w:color w:val="000000" w:themeColor="text1"/>
          <w:szCs w:val="24"/>
        </w:rPr>
        <w:t xml:space="preserve">, amongst others. </w:t>
      </w:r>
    </w:p>
    <w:p w14:paraId="4F575F1E" w14:textId="65BFF92B" w:rsidR="00785297" w:rsidRPr="00E45213" w:rsidRDefault="00CA0EA8" w:rsidP="005F140D">
      <w:pPr>
        <w:jc w:val="center"/>
        <w:rPr>
          <w:szCs w:val="24"/>
        </w:rPr>
      </w:pPr>
      <w:r w:rsidRPr="00E45213">
        <w:rPr>
          <w:lang w:val="en-US" w:eastAsia="zh-CN"/>
        </w:rPr>
        <w:t>___________________</w:t>
      </w:r>
    </w:p>
    <w:sectPr w:rsidR="00785297" w:rsidRPr="00E45213" w:rsidSect="00C02C69">
      <w:headerReference w:type="default" r:id="rId15"/>
      <w:footerReference w:type="first" r:id="rId16"/>
      <w:pgSz w:w="11907" w:h="16834" w:code="9"/>
      <w:pgMar w:top="1418" w:right="1275" w:bottom="1135"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F5272" w14:textId="77777777" w:rsidR="00637D94" w:rsidRDefault="00637D94">
      <w:r>
        <w:separator/>
      </w:r>
    </w:p>
  </w:endnote>
  <w:endnote w:type="continuationSeparator" w:id="0">
    <w:p w14:paraId="1ADEF939" w14:textId="77777777" w:rsidR="00637D94" w:rsidRDefault="0063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5F8E" w14:textId="77777777" w:rsidR="00721657" w:rsidRPr="008802F9" w:rsidRDefault="00600BA9"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50060" w14:textId="77777777" w:rsidR="00637D94" w:rsidRDefault="00637D94">
      <w:r>
        <w:t>____________________</w:t>
      </w:r>
    </w:p>
  </w:footnote>
  <w:footnote w:type="continuationSeparator" w:id="0">
    <w:p w14:paraId="7F2DC3DF" w14:textId="77777777" w:rsidR="00637D94" w:rsidRDefault="00637D94">
      <w:r>
        <w:continuationSeparator/>
      </w:r>
    </w:p>
  </w:footnote>
  <w:footnote w:id="1">
    <w:p w14:paraId="3C7220C3" w14:textId="77777777" w:rsidR="00DC69A9" w:rsidRPr="00EC367F" w:rsidRDefault="00DC69A9" w:rsidP="00C02C69">
      <w:pPr>
        <w:pStyle w:val="FootnoteText"/>
        <w:spacing w:before="0"/>
      </w:pPr>
      <w:r>
        <w:rPr>
          <w:rStyle w:val="FootnoteReference"/>
        </w:rPr>
        <w:footnoteRef/>
      </w:r>
      <w:r>
        <w:t xml:space="preserve"> </w:t>
      </w:r>
      <w:r>
        <w:rPr>
          <w:sz w:val="18"/>
          <w:szCs w:val="18"/>
        </w:rPr>
        <w:t xml:space="preserve">See Document </w:t>
      </w:r>
      <w:hyperlink r:id="rId1" w:history="1">
        <w:r>
          <w:rPr>
            <w:rStyle w:val="Hyperlink"/>
            <w:sz w:val="18"/>
            <w:szCs w:val="18"/>
          </w:rPr>
          <w:t>CWG-FHR 7/2</w:t>
        </w:r>
      </w:hyperlink>
      <w:r>
        <w:rPr>
          <w:color w:val="0000FF"/>
          <w:sz w:val="18"/>
          <w:szCs w:val="18"/>
          <w:u w:val="single"/>
        </w:rPr>
        <w:t> (Rev.1).</w:t>
      </w:r>
    </w:p>
  </w:footnote>
  <w:footnote w:id="2">
    <w:p w14:paraId="015FB0BC" w14:textId="77777777" w:rsidR="00DC69A9" w:rsidRPr="00EC367F" w:rsidRDefault="00DC69A9" w:rsidP="00C02C69">
      <w:pPr>
        <w:pStyle w:val="FootnoteText"/>
        <w:spacing w:before="0"/>
      </w:pPr>
      <w:r>
        <w:rPr>
          <w:rStyle w:val="FootnoteReference"/>
        </w:rPr>
        <w:footnoteRef/>
      </w:r>
      <w:r>
        <w:t xml:space="preserve"> </w:t>
      </w:r>
      <w:r>
        <w:rPr>
          <w:sz w:val="18"/>
          <w:szCs w:val="18"/>
        </w:rPr>
        <w:t xml:space="preserve">See document </w:t>
      </w:r>
      <w:hyperlink r:id="rId2" w:history="1">
        <w:r>
          <w:rPr>
            <w:rStyle w:val="Hyperlink"/>
            <w:sz w:val="18"/>
            <w:szCs w:val="18"/>
          </w:rPr>
          <w:t>CWG-FHR-INF 7/2</w:t>
        </w:r>
      </w:hyperlink>
      <w:r>
        <w:rPr>
          <w:sz w:val="18"/>
          <w:szCs w:val="18"/>
        </w:rPr>
        <w:t xml:space="preserve"> including current trends of regional distribution, size and type of company, as well as possible barriers that limit further engagement of SMEs in ITU´s activities.</w:t>
      </w:r>
    </w:p>
  </w:footnote>
  <w:footnote w:id="3">
    <w:p w14:paraId="4F0BD23F" w14:textId="77777777" w:rsidR="00DC69A9" w:rsidRPr="00501831" w:rsidRDefault="00DC69A9" w:rsidP="00C02C69">
      <w:pPr>
        <w:pStyle w:val="FootnoteText"/>
        <w:spacing w:before="0"/>
        <w:rPr>
          <w:sz w:val="20"/>
          <w:szCs w:val="16"/>
          <w:lang w:val="en-US"/>
        </w:rPr>
      </w:pPr>
      <w:r>
        <w:rPr>
          <w:rStyle w:val="FootnoteReference"/>
        </w:rPr>
        <w:footnoteRef/>
      </w:r>
      <w:r>
        <w:t xml:space="preserve"> </w:t>
      </w:r>
      <w:r w:rsidRPr="00501831">
        <w:rPr>
          <w:sz w:val="20"/>
          <w:szCs w:val="16"/>
        </w:rPr>
        <w:t xml:space="preserve">See document </w:t>
      </w:r>
      <w:hyperlink r:id="rId3" w:history="1">
        <w:r w:rsidRPr="00501831">
          <w:rPr>
            <w:rStyle w:val="Hyperlink"/>
            <w:b/>
            <w:sz w:val="20"/>
            <w:lang w:val="en-US"/>
          </w:rPr>
          <w:t>CWG-FHR 7/4</w:t>
        </w:r>
      </w:hyperlink>
      <w:r w:rsidRPr="00501831">
        <w:rPr>
          <w:b/>
          <w:sz w:val="20"/>
          <w:lang w:val="en-US"/>
        </w:rPr>
        <w:t xml:space="preserve">, </w:t>
      </w:r>
      <w:r w:rsidRPr="00501831">
        <w:rPr>
          <w:sz w:val="18"/>
          <w:szCs w:val="18"/>
        </w:rPr>
        <w:t>in terms of increasing the number of full-fee paying Sector Members (Annex 2)</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7CC0A" w14:textId="521D9D47" w:rsidR="00A525CC" w:rsidRPr="006D271A" w:rsidRDefault="00A525CC" w:rsidP="00CA0EA8">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00CA0EA8" w:rsidRPr="006D271A">
      <w:rPr>
        <w:sz w:val="22"/>
        <w:szCs w:val="22"/>
        <w:lang w:val="de-CH"/>
      </w:rPr>
      <w:t>ITU-D/</w:t>
    </w:r>
    <w:r w:rsidR="00CA0EA8" w:rsidRPr="00A54E72">
      <w:rPr>
        <w:sz w:val="22"/>
        <w:szCs w:val="22"/>
        <w:lang w:val="de-CH"/>
      </w:rPr>
      <w:t>TDAG1</w:t>
    </w:r>
    <w:r w:rsidR="00CA0EA8">
      <w:rPr>
        <w:sz w:val="22"/>
        <w:szCs w:val="22"/>
        <w:lang w:val="de-CH"/>
      </w:rPr>
      <w:t>7</w:t>
    </w:r>
    <w:r w:rsidR="00CA0EA8" w:rsidRPr="00A54E72">
      <w:rPr>
        <w:sz w:val="22"/>
        <w:szCs w:val="22"/>
        <w:lang w:val="de-CH"/>
      </w:rPr>
      <w:t>-</w:t>
    </w:r>
    <w:r w:rsidR="00CA0EA8">
      <w:rPr>
        <w:sz w:val="22"/>
        <w:szCs w:val="22"/>
        <w:lang w:val="de-CH"/>
      </w:rPr>
      <w:t>22</w:t>
    </w:r>
    <w:r w:rsidR="00CA0EA8" w:rsidRPr="00A54E72">
      <w:rPr>
        <w:sz w:val="22"/>
        <w:szCs w:val="22"/>
        <w:lang w:val="de-CH"/>
      </w:rPr>
      <w:t>/</w:t>
    </w:r>
    <w:r w:rsidR="00CA0EA8">
      <w:rPr>
        <w:sz w:val="22"/>
        <w:szCs w:val="22"/>
        <w:lang w:val="de-CH"/>
      </w:rPr>
      <w:t>28</w:t>
    </w:r>
    <w:r w:rsidR="00CA0EA8"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00BA9">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63C3"/>
    <w:multiLevelType w:val="hybridMultilevel"/>
    <w:tmpl w:val="DBF2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C7CC0"/>
    <w:multiLevelType w:val="hybridMultilevel"/>
    <w:tmpl w:val="2B3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3C4165"/>
    <w:multiLevelType w:val="hybridMultilevel"/>
    <w:tmpl w:val="36BC5184"/>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79796880"/>
    <w:multiLevelType w:val="multilevel"/>
    <w:tmpl w:val="8F6209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79B27884"/>
    <w:multiLevelType w:val="multilevel"/>
    <w:tmpl w:val="47FE41D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66B9"/>
    <w:rsid w:val="00037A9E"/>
    <w:rsid w:val="00037F91"/>
    <w:rsid w:val="000539F1"/>
    <w:rsid w:val="00054747"/>
    <w:rsid w:val="00055A2A"/>
    <w:rsid w:val="000615C1"/>
    <w:rsid w:val="00061675"/>
    <w:rsid w:val="000743AA"/>
    <w:rsid w:val="0009225C"/>
    <w:rsid w:val="00094228"/>
    <w:rsid w:val="000A17C4"/>
    <w:rsid w:val="000A36A4"/>
    <w:rsid w:val="000B2352"/>
    <w:rsid w:val="000C6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10E9"/>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608"/>
    <w:rsid w:val="001942A7"/>
    <w:rsid w:val="0019587B"/>
    <w:rsid w:val="001A163D"/>
    <w:rsid w:val="001A441E"/>
    <w:rsid w:val="001A6733"/>
    <w:rsid w:val="001B357F"/>
    <w:rsid w:val="001C16DA"/>
    <w:rsid w:val="001C3444"/>
    <w:rsid w:val="001C3702"/>
    <w:rsid w:val="001C4656"/>
    <w:rsid w:val="001C46BC"/>
    <w:rsid w:val="001F23E6"/>
    <w:rsid w:val="001F4238"/>
    <w:rsid w:val="00200A38"/>
    <w:rsid w:val="00200A46"/>
    <w:rsid w:val="00205D80"/>
    <w:rsid w:val="00211B6F"/>
    <w:rsid w:val="00213518"/>
    <w:rsid w:val="00217CC3"/>
    <w:rsid w:val="00220AB6"/>
    <w:rsid w:val="0022120F"/>
    <w:rsid w:val="0022754A"/>
    <w:rsid w:val="00236560"/>
    <w:rsid w:val="0023662E"/>
    <w:rsid w:val="002400D1"/>
    <w:rsid w:val="00245D0F"/>
    <w:rsid w:val="00247A8E"/>
    <w:rsid w:val="002548C3"/>
    <w:rsid w:val="00257ACD"/>
    <w:rsid w:val="00257E9B"/>
    <w:rsid w:val="00262908"/>
    <w:rsid w:val="002650F4"/>
    <w:rsid w:val="002715FD"/>
    <w:rsid w:val="002745C0"/>
    <w:rsid w:val="00285B33"/>
    <w:rsid w:val="00287A3C"/>
    <w:rsid w:val="002A0756"/>
    <w:rsid w:val="002A2FC6"/>
    <w:rsid w:val="002C1EC7"/>
    <w:rsid w:val="002C4342"/>
    <w:rsid w:val="002C7EA3"/>
    <w:rsid w:val="002D20AE"/>
    <w:rsid w:val="002D6C61"/>
    <w:rsid w:val="002E2104"/>
    <w:rsid w:val="002E2DAC"/>
    <w:rsid w:val="002E6963"/>
    <w:rsid w:val="002E6F8F"/>
    <w:rsid w:val="002F05D8"/>
    <w:rsid w:val="002F0859"/>
    <w:rsid w:val="002F1448"/>
    <w:rsid w:val="002F2DE0"/>
    <w:rsid w:val="002F5E25"/>
    <w:rsid w:val="003125C3"/>
    <w:rsid w:val="00312AE6"/>
    <w:rsid w:val="00317D1A"/>
    <w:rsid w:val="003211FF"/>
    <w:rsid w:val="00327247"/>
    <w:rsid w:val="00327A9D"/>
    <w:rsid w:val="0033130E"/>
    <w:rsid w:val="0033269C"/>
    <w:rsid w:val="00333B21"/>
    <w:rsid w:val="0035516C"/>
    <w:rsid w:val="00355A4C"/>
    <w:rsid w:val="003604FB"/>
    <w:rsid w:val="00360B73"/>
    <w:rsid w:val="00380B71"/>
    <w:rsid w:val="0038365A"/>
    <w:rsid w:val="00386A89"/>
    <w:rsid w:val="00395511"/>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4411E"/>
    <w:rsid w:val="00450871"/>
    <w:rsid w:val="00453435"/>
    <w:rsid w:val="00466398"/>
    <w:rsid w:val="00466F95"/>
    <w:rsid w:val="0047306D"/>
    <w:rsid w:val="00476E48"/>
    <w:rsid w:val="00481DE9"/>
    <w:rsid w:val="0049128B"/>
    <w:rsid w:val="00493B49"/>
    <w:rsid w:val="00495501"/>
    <w:rsid w:val="004A070A"/>
    <w:rsid w:val="004A320E"/>
    <w:rsid w:val="004A4E9C"/>
    <w:rsid w:val="004B076B"/>
    <w:rsid w:val="004B1A3C"/>
    <w:rsid w:val="004B5536"/>
    <w:rsid w:val="004D2CC3"/>
    <w:rsid w:val="004D35CB"/>
    <w:rsid w:val="004E20E5"/>
    <w:rsid w:val="004E64EA"/>
    <w:rsid w:val="004E7828"/>
    <w:rsid w:val="004F46AA"/>
    <w:rsid w:val="004F6A70"/>
    <w:rsid w:val="00501831"/>
    <w:rsid w:val="00502ABF"/>
    <w:rsid w:val="00504DB0"/>
    <w:rsid w:val="00507C35"/>
    <w:rsid w:val="00510735"/>
    <w:rsid w:val="00514D2F"/>
    <w:rsid w:val="00530C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1AF6"/>
    <w:rsid w:val="005A33B0"/>
    <w:rsid w:val="005B0EB9"/>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40D"/>
    <w:rsid w:val="005F1CA7"/>
    <w:rsid w:val="005F43DD"/>
    <w:rsid w:val="005F51A9"/>
    <w:rsid w:val="005F6147"/>
    <w:rsid w:val="005F6BE1"/>
    <w:rsid w:val="005F7416"/>
    <w:rsid w:val="005F756E"/>
    <w:rsid w:val="00600BA9"/>
    <w:rsid w:val="00600C11"/>
    <w:rsid w:val="00606B89"/>
    <w:rsid w:val="00611EAF"/>
    <w:rsid w:val="00623F30"/>
    <w:rsid w:val="00625FB8"/>
    <w:rsid w:val="006261BD"/>
    <w:rsid w:val="00632017"/>
    <w:rsid w:val="00635EDB"/>
    <w:rsid w:val="00637D94"/>
    <w:rsid w:val="0064734E"/>
    <w:rsid w:val="00650137"/>
    <w:rsid w:val="006509D7"/>
    <w:rsid w:val="00651CE8"/>
    <w:rsid w:val="0065521B"/>
    <w:rsid w:val="00662403"/>
    <w:rsid w:val="00671EF6"/>
    <w:rsid w:val="0067205B"/>
    <w:rsid w:val="006748F8"/>
    <w:rsid w:val="00680489"/>
    <w:rsid w:val="00683C32"/>
    <w:rsid w:val="00690BB2"/>
    <w:rsid w:val="00693D09"/>
    <w:rsid w:val="006958FE"/>
    <w:rsid w:val="006A093F"/>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7A09"/>
    <w:rsid w:val="00762880"/>
    <w:rsid w:val="00762AD6"/>
    <w:rsid w:val="00762E02"/>
    <w:rsid w:val="00772290"/>
    <w:rsid w:val="007722C6"/>
    <w:rsid w:val="00777265"/>
    <w:rsid w:val="007805E7"/>
    <w:rsid w:val="0078222A"/>
    <w:rsid w:val="00785297"/>
    <w:rsid w:val="00787D48"/>
    <w:rsid w:val="00787E08"/>
    <w:rsid w:val="0079212E"/>
    <w:rsid w:val="00795294"/>
    <w:rsid w:val="007A4E50"/>
    <w:rsid w:val="007A6051"/>
    <w:rsid w:val="007B18A7"/>
    <w:rsid w:val="007B250E"/>
    <w:rsid w:val="007C27FC"/>
    <w:rsid w:val="007C51FF"/>
    <w:rsid w:val="007D22D2"/>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171E"/>
    <w:rsid w:val="00872B6E"/>
    <w:rsid w:val="00874DFD"/>
    <w:rsid w:val="008802F9"/>
    <w:rsid w:val="00883086"/>
    <w:rsid w:val="008879FD"/>
    <w:rsid w:val="00893EE9"/>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3E58"/>
    <w:rsid w:val="00914004"/>
    <w:rsid w:val="00922EC1"/>
    <w:rsid w:val="009301F1"/>
    <w:rsid w:val="009307DF"/>
    <w:rsid w:val="00930EC8"/>
    <w:rsid w:val="009359B8"/>
    <w:rsid w:val="009431F8"/>
    <w:rsid w:val="00947A35"/>
    <w:rsid w:val="009507C0"/>
    <w:rsid w:val="00962081"/>
    <w:rsid w:val="00966CB5"/>
    <w:rsid w:val="009700E3"/>
    <w:rsid w:val="00975786"/>
    <w:rsid w:val="00981CB7"/>
    <w:rsid w:val="00983E1F"/>
    <w:rsid w:val="00993F46"/>
    <w:rsid w:val="00997358"/>
    <w:rsid w:val="009A452B"/>
    <w:rsid w:val="009B050C"/>
    <w:rsid w:val="009B087F"/>
    <w:rsid w:val="009B2AF4"/>
    <w:rsid w:val="009C110B"/>
    <w:rsid w:val="009C5441"/>
    <w:rsid w:val="009C7211"/>
    <w:rsid w:val="009D119F"/>
    <w:rsid w:val="009D49A2"/>
    <w:rsid w:val="009F3940"/>
    <w:rsid w:val="009F3EB2"/>
    <w:rsid w:val="009F6EB1"/>
    <w:rsid w:val="00A11D05"/>
    <w:rsid w:val="00A13162"/>
    <w:rsid w:val="00A20267"/>
    <w:rsid w:val="00A3158C"/>
    <w:rsid w:val="00A32DF3"/>
    <w:rsid w:val="00A33E32"/>
    <w:rsid w:val="00A35E20"/>
    <w:rsid w:val="00A36F6D"/>
    <w:rsid w:val="00A525CC"/>
    <w:rsid w:val="00A53E7C"/>
    <w:rsid w:val="00A60087"/>
    <w:rsid w:val="00A705E8"/>
    <w:rsid w:val="00A7324C"/>
    <w:rsid w:val="00A9392C"/>
    <w:rsid w:val="00A9462B"/>
    <w:rsid w:val="00A97D59"/>
    <w:rsid w:val="00AA3E09"/>
    <w:rsid w:val="00AA4BEF"/>
    <w:rsid w:val="00AB4962"/>
    <w:rsid w:val="00AB734E"/>
    <w:rsid w:val="00AB740F"/>
    <w:rsid w:val="00AC3ACC"/>
    <w:rsid w:val="00AC6F14"/>
    <w:rsid w:val="00AC7221"/>
    <w:rsid w:val="00AD25D8"/>
    <w:rsid w:val="00AE191B"/>
    <w:rsid w:val="00AE5961"/>
    <w:rsid w:val="00AF0745"/>
    <w:rsid w:val="00AF4971"/>
    <w:rsid w:val="00AF5276"/>
    <w:rsid w:val="00B01046"/>
    <w:rsid w:val="00B16E3F"/>
    <w:rsid w:val="00B310F9"/>
    <w:rsid w:val="00B33924"/>
    <w:rsid w:val="00B37866"/>
    <w:rsid w:val="00B412BF"/>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4BEC"/>
    <w:rsid w:val="00BD79F0"/>
    <w:rsid w:val="00BE2B4D"/>
    <w:rsid w:val="00C015F8"/>
    <w:rsid w:val="00C02C69"/>
    <w:rsid w:val="00C0323A"/>
    <w:rsid w:val="00C07E26"/>
    <w:rsid w:val="00C1011C"/>
    <w:rsid w:val="00C11749"/>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0EA8"/>
    <w:rsid w:val="00CA1F0B"/>
    <w:rsid w:val="00CB110F"/>
    <w:rsid w:val="00CB2A2E"/>
    <w:rsid w:val="00CB338A"/>
    <w:rsid w:val="00CB79C5"/>
    <w:rsid w:val="00CC411F"/>
    <w:rsid w:val="00CC4B75"/>
    <w:rsid w:val="00CC732E"/>
    <w:rsid w:val="00CD14E7"/>
    <w:rsid w:val="00CD2AAC"/>
    <w:rsid w:val="00CD7207"/>
    <w:rsid w:val="00CE0DBE"/>
    <w:rsid w:val="00CE5E4D"/>
    <w:rsid w:val="00CF02C4"/>
    <w:rsid w:val="00CF167F"/>
    <w:rsid w:val="00CF72E5"/>
    <w:rsid w:val="00D00CDF"/>
    <w:rsid w:val="00D013EE"/>
    <w:rsid w:val="00D01F54"/>
    <w:rsid w:val="00D040F7"/>
    <w:rsid w:val="00D04A76"/>
    <w:rsid w:val="00D10FC7"/>
    <w:rsid w:val="00D1519F"/>
    <w:rsid w:val="00D20E99"/>
    <w:rsid w:val="00D21C83"/>
    <w:rsid w:val="00D35BDD"/>
    <w:rsid w:val="00D63006"/>
    <w:rsid w:val="00D72301"/>
    <w:rsid w:val="00D72BE1"/>
    <w:rsid w:val="00D911DE"/>
    <w:rsid w:val="00D91B97"/>
    <w:rsid w:val="00D93ACC"/>
    <w:rsid w:val="00D93C08"/>
    <w:rsid w:val="00D95DAC"/>
    <w:rsid w:val="00DA0B53"/>
    <w:rsid w:val="00DB1171"/>
    <w:rsid w:val="00DB1519"/>
    <w:rsid w:val="00DB2840"/>
    <w:rsid w:val="00DB3AD4"/>
    <w:rsid w:val="00DC1BD3"/>
    <w:rsid w:val="00DC2C1A"/>
    <w:rsid w:val="00DC69A9"/>
    <w:rsid w:val="00DD66B4"/>
    <w:rsid w:val="00DE1972"/>
    <w:rsid w:val="00DE27AB"/>
    <w:rsid w:val="00DF2AB3"/>
    <w:rsid w:val="00DF7250"/>
    <w:rsid w:val="00E00CAA"/>
    <w:rsid w:val="00E03EBF"/>
    <w:rsid w:val="00E05209"/>
    <w:rsid w:val="00E11BCF"/>
    <w:rsid w:val="00E171FC"/>
    <w:rsid w:val="00E2258E"/>
    <w:rsid w:val="00E260C2"/>
    <w:rsid w:val="00E32596"/>
    <w:rsid w:val="00E368F7"/>
    <w:rsid w:val="00E36EB8"/>
    <w:rsid w:val="00E37FB8"/>
    <w:rsid w:val="00E40B07"/>
    <w:rsid w:val="00E42326"/>
    <w:rsid w:val="00E43544"/>
    <w:rsid w:val="00E44D89"/>
    <w:rsid w:val="00E45213"/>
    <w:rsid w:val="00E477EA"/>
    <w:rsid w:val="00E55807"/>
    <w:rsid w:val="00E55BE9"/>
    <w:rsid w:val="00E63B14"/>
    <w:rsid w:val="00E65CA0"/>
    <w:rsid w:val="00E70D9F"/>
    <w:rsid w:val="00E72565"/>
    <w:rsid w:val="00E7398F"/>
    <w:rsid w:val="00E83810"/>
    <w:rsid w:val="00E86933"/>
    <w:rsid w:val="00E9605B"/>
    <w:rsid w:val="00E97298"/>
    <w:rsid w:val="00E97753"/>
    <w:rsid w:val="00EA7DE7"/>
    <w:rsid w:val="00EB78DD"/>
    <w:rsid w:val="00EB7A8A"/>
    <w:rsid w:val="00EC367F"/>
    <w:rsid w:val="00EE3A64"/>
    <w:rsid w:val="00EE50E5"/>
    <w:rsid w:val="00EF01CF"/>
    <w:rsid w:val="00EF7BBE"/>
    <w:rsid w:val="00F03590"/>
    <w:rsid w:val="00F03622"/>
    <w:rsid w:val="00F05267"/>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75C2C"/>
    <w:rsid w:val="00F9211C"/>
    <w:rsid w:val="00F975E7"/>
    <w:rsid w:val="00FA095D"/>
    <w:rsid w:val="00FA6C8B"/>
    <w:rsid w:val="00FA7C89"/>
    <w:rsid w:val="00FB3F93"/>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C5F1A0"/>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customStyle="1" w:styleId="CEONormal">
    <w:name w:val="CEO_Normal"/>
    <w:link w:val="CEONormalChar"/>
    <w:rsid w:val="00466F95"/>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466F95"/>
    <w:rPr>
      <w:rFonts w:ascii="Calibri" w:eastAsia="SimSun" w:hAnsi="Calibri" w:cs="Simplified Arabic"/>
      <w:sz w:val="22"/>
      <w:szCs w:val="19"/>
      <w:lang w:val="en-GB" w:eastAsia="en-US"/>
    </w:rPr>
  </w:style>
  <w:style w:type="paragraph" w:styleId="ListParagraph">
    <w:name w:val="List Paragraph"/>
    <w:basedOn w:val="Normal"/>
    <w:link w:val="ListParagraphChar"/>
    <w:uiPriority w:val="34"/>
    <w:qFormat/>
    <w:rsid w:val="00466F95"/>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paragraph" w:styleId="NormalWeb">
    <w:name w:val="Normal (Web)"/>
    <w:basedOn w:val="Normal"/>
    <w:uiPriority w:val="99"/>
    <w:unhideWhenUsed/>
    <w:rsid w:val="00466F9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PlainText">
    <w:name w:val="Plain Text"/>
    <w:basedOn w:val="Normal"/>
    <w:link w:val="PlainTextChar"/>
    <w:uiPriority w:val="99"/>
    <w:unhideWhenUsed/>
    <w:rsid w:val="00466F95"/>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466F95"/>
    <w:rPr>
      <w:rFonts w:ascii="Calibri" w:eastAsiaTheme="minorEastAsia" w:hAnsi="Calibri" w:cstheme="minorBidi"/>
      <w:sz w:val="22"/>
      <w:szCs w:val="21"/>
    </w:rPr>
  </w:style>
  <w:style w:type="character" w:customStyle="1" w:styleId="FootnoteTextChar">
    <w:name w:val="Footnote Text Char"/>
    <w:basedOn w:val="DefaultParagraphFont"/>
    <w:link w:val="FootnoteText"/>
    <w:uiPriority w:val="99"/>
    <w:rsid w:val="00EC367F"/>
    <w:rPr>
      <w:rFonts w:asciiTheme="minorHAnsi" w:hAnsiTheme="minorHAnsi"/>
      <w:sz w:val="24"/>
      <w:lang w:val="en-GB" w:eastAsia="en-US"/>
    </w:rPr>
  </w:style>
  <w:style w:type="character" w:styleId="FollowedHyperlink">
    <w:name w:val="FollowedHyperlink"/>
    <w:basedOn w:val="DefaultParagraphFont"/>
    <w:semiHidden/>
    <w:unhideWhenUsed/>
    <w:rsid w:val="00EC367F"/>
    <w:rPr>
      <w:color w:val="800080" w:themeColor="followedHyperlink"/>
      <w:u w:val="single"/>
    </w:rPr>
  </w:style>
  <w:style w:type="paragraph" w:styleId="BalloonText">
    <w:name w:val="Balloon Text"/>
    <w:basedOn w:val="Normal"/>
    <w:link w:val="BalloonTextChar"/>
    <w:semiHidden/>
    <w:unhideWhenUsed/>
    <w:rsid w:val="00AD25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25D8"/>
    <w:rPr>
      <w:rFonts w:ascii="Segoe UI" w:hAnsi="Segoe UI" w:cs="Segoe UI"/>
      <w:sz w:val="18"/>
      <w:szCs w:val="18"/>
      <w:lang w:val="en-GB" w:eastAsia="en-US"/>
    </w:rPr>
  </w:style>
  <w:style w:type="character" w:styleId="CommentReference">
    <w:name w:val="annotation reference"/>
    <w:basedOn w:val="DefaultParagraphFont"/>
    <w:semiHidden/>
    <w:unhideWhenUsed/>
    <w:rsid w:val="00AD25D8"/>
    <w:rPr>
      <w:sz w:val="16"/>
      <w:szCs w:val="16"/>
    </w:rPr>
  </w:style>
  <w:style w:type="paragraph" w:styleId="CommentText">
    <w:name w:val="annotation text"/>
    <w:basedOn w:val="Normal"/>
    <w:link w:val="CommentTextChar"/>
    <w:semiHidden/>
    <w:unhideWhenUsed/>
    <w:rsid w:val="00AD25D8"/>
    <w:rPr>
      <w:sz w:val="20"/>
    </w:rPr>
  </w:style>
  <w:style w:type="character" w:customStyle="1" w:styleId="CommentTextChar">
    <w:name w:val="Comment Text Char"/>
    <w:basedOn w:val="DefaultParagraphFont"/>
    <w:link w:val="CommentText"/>
    <w:semiHidden/>
    <w:rsid w:val="00AD25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D25D8"/>
    <w:rPr>
      <w:b/>
      <w:bCs/>
    </w:rPr>
  </w:style>
  <w:style w:type="character" w:customStyle="1" w:styleId="CommentSubjectChar">
    <w:name w:val="Comment Subject Char"/>
    <w:basedOn w:val="CommentTextChar"/>
    <w:link w:val="CommentSubject"/>
    <w:semiHidden/>
    <w:rsid w:val="00AD25D8"/>
    <w:rPr>
      <w:rFonts w:asciiTheme="minorHAnsi" w:hAnsiTheme="minorHAnsi"/>
      <w:b/>
      <w:bCs/>
      <w:lang w:val="en-GB" w:eastAsia="en-US"/>
    </w:rPr>
  </w:style>
  <w:style w:type="character" w:customStyle="1" w:styleId="ListParagraphChar">
    <w:name w:val="List Paragraph Char"/>
    <w:basedOn w:val="DefaultParagraphFont"/>
    <w:link w:val="ListParagraph"/>
    <w:uiPriority w:val="34"/>
    <w:rsid w:val="00247A8E"/>
    <w:rPr>
      <w:rFonts w:ascii="Verdana" w:eastAsia="SimHei" w:hAnsi="Verdana" w:cs="Simplified Arabic"/>
      <w:bCs/>
      <w:sz w:val="19"/>
      <w:szCs w:val="28"/>
    </w:rPr>
  </w:style>
  <w:style w:type="character" w:styleId="Strong">
    <w:name w:val="Strong"/>
    <w:basedOn w:val="DefaultParagraphFont"/>
    <w:uiPriority w:val="22"/>
    <w:qFormat/>
    <w:rsid w:val="00247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56992">
      <w:bodyDiv w:val="1"/>
      <w:marLeft w:val="0"/>
      <w:marRight w:val="0"/>
      <w:marTop w:val="0"/>
      <w:marBottom w:val="0"/>
      <w:divBdr>
        <w:top w:val="none" w:sz="0" w:space="0" w:color="auto"/>
        <w:left w:val="none" w:sz="0" w:space="0" w:color="auto"/>
        <w:bottom w:val="none" w:sz="0" w:space="0" w:color="auto"/>
        <w:right w:val="none" w:sz="0" w:space="0" w:color="auto"/>
      </w:divBdr>
    </w:div>
    <w:div w:id="1546213457">
      <w:bodyDiv w:val="1"/>
      <w:marLeft w:val="0"/>
      <w:marRight w:val="0"/>
      <w:marTop w:val="0"/>
      <w:marBottom w:val="0"/>
      <w:divBdr>
        <w:top w:val="none" w:sz="0" w:space="0" w:color="auto"/>
        <w:left w:val="none" w:sz="0" w:space="0" w:color="auto"/>
        <w:bottom w:val="none" w:sz="0" w:space="0" w:color="auto"/>
        <w:right w:val="none" w:sz="0" w:space="0" w:color="auto"/>
      </w:divBdr>
    </w:div>
    <w:div w:id="18948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D/Membership/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D/Membership/Pages/events/2016/PartnershipDialogueICT4SDGs/AcademiaNetwork01.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7-CLCWGFHRM7-C-0004/en" TargetMode="External"/><Relationship Id="rId2" Type="http://schemas.openxmlformats.org/officeDocument/2006/relationships/hyperlink" Target="http://www.itu.int/md/S17-CLCWGFHRM7-INF-0002/en" TargetMode="External"/><Relationship Id="rId1" Type="http://schemas.openxmlformats.org/officeDocument/2006/relationships/hyperlink" Target="http://www.itu.int/md/S17-CLCWGFHRM7-C-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bdt\PSB\Membership\TDAG\TDAG%202017\GRAPH%20MEMBERS%20SINCE%20199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PSB\Membership\TDAG\TDAG%202017\GRAPH%20MEMBERS%20SINCE%20199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blue\dfs\bdt\PSB\Membership\TDAG\TDAG%202017\GRAPH%20MEMBERS%20SINCE%201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mn-lt"/>
                <a:ea typeface="Arial"/>
                <a:cs typeface="Arial"/>
              </a:defRPr>
            </a:pPr>
            <a:r>
              <a:rPr lang="en-GB">
                <a:latin typeface="+mn-lt"/>
              </a:rPr>
              <a:t>Chart 1 - Evolution of ITU-D Sector Membership since 1994</a:t>
            </a:r>
          </a:p>
        </c:rich>
      </c:tx>
      <c:layout>
        <c:manualLayout>
          <c:xMode val="edge"/>
          <c:yMode val="edge"/>
          <c:x val="0.23980630816599599"/>
          <c:y val="4.5935035274148786E-2"/>
        </c:manualLayout>
      </c:layout>
      <c:overlay val="0"/>
      <c:spPr>
        <a:noFill/>
        <a:ln w="25400">
          <a:noFill/>
        </a:ln>
      </c:spPr>
    </c:title>
    <c:autoTitleDeleted val="0"/>
    <c:plotArea>
      <c:layout>
        <c:manualLayout>
          <c:layoutTarget val="inner"/>
          <c:xMode val="edge"/>
          <c:yMode val="edge"/>
          <c:x val="5.9722303225780198E-2"/>
          <c:y val="0.20068093869890885"/>
          <c:w val="0.91336613771238229"/>
          <c:h val="0.65986613741675104"/>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2641382574338717E-3"/>
                  <c:y val="-1.0583586102473797E-3"/>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2.8177028810931738E-2"/>
                  <c:y val="-2.2097144523206467E-2"/>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cat>
          <c:val>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val>
          <c:smooth val="0"/>
        </c:ser>
        <c:ser>
          <c:idx val="1"/>
          <c:order val="1"/>
          <c:dLbls>
            <c:dLbl>
              <c:idx val="0"/>
              <c:layout>
                <c:manualLayout>
                  <c:x val="1.3972055888223553E-3"/>
                  <c:y val="8.948112255198675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1.8146215614393901E-2"/>
                  <c:y val="-3.093311837892922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cat>
          <c:val>
            <c:numRef>
              <c:f>Sheet2!$B$122:$X$122</c:f>
              <c:numCache>
                <c:formatCode>General</c:formatCode>
                <c:ptCount val="23"/>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numCache>
            </c:numRef>
          </c:val>
          <c:smooth val="0"/>
        </c:ser>
        <c:dLbls>
          <c:showLegendKey val="0"/>
          <c:showVal val="0"/>
          <c:showCatName val="0"/>
          <c:showSerName val="0"/>
          <c:showPercent val="0"/>
          <c:showBubbleSize val="0"/>
        </c:dLbls>
        <c:marker val="1"/>
        <c:smooth val="0"/>
        <c:axId val="368930592"/>
        <c:axId val="368930984"/>
      </c:lineChart>
      <c:dateAx>
        <c:axId val="36893059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68930984"/>
        <c:crosses val="autoZero"/>
        <c:auto val="0"/>
        <c:lblOffset val="100"/>
        <c:baseTimeUnit val="days"/>
        <c:majorUnit val="1"/>
        <c:minorUnit val="1"/>
      </c:dateAx>
      <c:valAx>
        <c:axId val="368930984"/>
        <c:scaling>
          <c:orientation val="minMax"/>
          <c:max val="50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68930592"/>
        <c:crosses val="autoZero"/>
        <c:crossBetween val="midCat"/>
      </c:valAx>
      <c:spPr>
        <a:gradFill rotWithShape="0">
          <a:gsLst>
            <a:gs pos="0">
              <a:srgbClr val="CCFFCC"/>
            </a:gs>
            <a:gs pos="100000">
              <a:srgbClr val="FFFFFF"/>
            </a:gs>
          </a:gsLst>
          <a:lin ang="5400000" scaled="1"/>
        </a:gra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800" b="1" i="0" u="none" strike="noStrike" kern="1200" cap="all" baseline="0">
                <a:solidFill>
                  <a:sysClr val="windowText" lastClr="000000"/>
                </a:solidFill>
                <a:latin typeface="+mn-lt"/>
                <a:ea typeface="+mn-ea"/>
                <a:cs typeface="+mn-cs"/>
              </a:defRPr>
            </a:pPr>
            <a:r>
              <a:rPr lang="en-GB" sz="900" cap="none" baseline="0">
                <a:solidFill>
                  <a:sysClr val="windowText" lastClr="000000"/>
                </a:solidFill>
              </a:rPr>
              <a:t>Chart 2 </a:t>
            </a:r>
          </a:p>
          <a:p>
            <a:pPr rtl="0">
              <a:defRPr>
                <a:solidFill>
                  <a:sysClr val="windowText" lastClr="000000"/>
                </a:solidFill>
              </a:defRPr>
            </a:pPr>
            <a:r>
              <a:rPr lang="en-GB" sz="900" cap="none" baseline="0">
                <a:solidFill>
                  <a:sysClr val="windowText" lastClr="000000"/>
                </a:solidFill>
              </a:rPr>
              <a:t>ITU-D Sector Membership by Category 2016 </a:t>
            </a:r>
          </a:p>
        </c:rich>
      </c:tx>
      <c:layout>
        <c:manualLayout>
          <c:xMode val="edge"/>
          <c:yMode val="edge"/>
          <c:x val="0.13106498496645233"/>
          <c:y val="3.6067261927187327E-3"/>
        </c:manualLayout>
      </c:layout>
      <c:overlay val="0"/>
      <c:spPr>
        <a:noFill/>
        <a:ln>
          <a:noFill/>
        </a:ln>
        <a:effectLst/>
      </c:spPr>
      <c:txPr>
        <a:bodyPr rot="0" spcFirstLastPara="1" vertOverflow="ellipsis" vert="horz" wrap="square" anchor="ctr" anchorCtr="1"/>
        <a:lstStyle/>
        <a:p>
          <a:pPr rtl="0">
            <a:defRPr sz="1800" b="1" i="0" u="none" strike="noStrike" kern="1200" cap="all"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9722303225780198E-2"/>
          <c:y val="0.20068093869890885"/>
          <c:w val="0.91336613771238229"/>
          <c:h val="0.65986613741675104"/>
        </c:manualLayout>
      </c:layout>
      <c:pieChart>
        <c:varyColors val="1"/>
        <c:ser>
          <c:idx val="1"/>
          <c:order val="0"/>
          <c:dPt>
            <c:idx val="0"/>
            <c:bubble3D val="0"/>
            <c:spPr>
              <a:solidFill>
                <a:schemeClr val="accent1">
                  <a:alpha val="70000"/>
                </a:schemeClr>
              </a:solidFill>
              <a:ln>
                <a:noFill/>
              </a:ln>
              <a:effectLst/>
            </c:spPr>
          </c:dPt>
          <c:dPt>
            <c:idx val="1"/>
            <c:bubble3D val="0"/>
            <c:spPr>
              <a:solidFill>
                <a:schemeClr val="accent2">
                  <a:alpha val="70000"/>
                </a:schemeClr>
              </a:solidFill>
              <a:ln>
                <a:noFill/>
              </a:ln>
              <a:effectLst/>
            </c:spPr>
          </c:dPt>
          <c:dPt>
            <c:idx val="2"/>
            <c:bubble3D val="0"/>
            <c:spPr>
              <a:solidFill>
                <a:schemeClr val="accent3">
                  <a:alpha val="70000"/>
                </a:schemeClr>
              </a:solidFill>
              <a:ln>
                <a:noFill/>
              </a:ln>
              <a:effectLst/>
            </c:spPr>
          </c:dPt>
          <c:dPt>
            <c:idx val="3"/>
            <c:bubble3D val="0"/>
            <c:spPr>
              <a:solidFill>
                <a:schemeClr val="accent4">
                  <a:alpha val="70000"/>
                </a:schemeClr>
              </a:solidFill>
              <a:ln>
                <a:noFill/>
              </a:ln>
              <a:effectLst/>
            </c:spPr>
          </c:dPt>
          <c:dPt>
            <c:idx val="4"/>
            <c:bubble3D val="0"/>
            <c:spPr>
              <a:solidFill>
                <a:schemeClr val="accent5">
                  <a:alpha val="70000"/>
                </a:schemeClr>
              </a:solidFill>
              <a:ln>
                <a:noFill/>
              </a:ln>
              <a:effectLst/>
            </c:spPr>
          </c:dPt>
          <c:dPt>
            <c:idx val="5"/>
            <c:bubble3D val="0"/>
            <c:spPr>
              <a:solidFill>
                <a:schemeClr val="accent6">
                  <a:alpha val="70000"/>
                </a:schemeClr>
              </a:solidFill>
              <a:ln>
                <a:noFill/>
              </a:ln>
              <a:effectLst/>
            </c:spPr>
          </c:dPt>
          <c:dPt>
            <c:idx val="6"/>
            <c:bubble3D val="0"/>
            <c:spPr>
              <a:solidFill>
                <a:schemeClr val="accent1">
                  <a:lumMod val="60000"/>
                  <a:alpha val="70000"/>
                </a:schemeClr>
              </a:solidFill>
              <a:ln>
                <a:noFill/>
              </a:ln>
              <a:effectLst/>
            </c:spPr>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inEnd"/>
              <c:showLegendKey val="0"/>
              <c:showVal val="0"/>
              <c:showCatName val="0"/>
              <c:showSerName val="0"/>
              <c:showPercent val="1"/>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inEnd"/>
              <c:showLegendKey val="0"/>
              <c:showVal val="0"/>
              <c:showCatName val="0"/>
              <c:showSerName val="0"/>
              <c:showPercent val="1"/>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inEnd"/>
              <c:showLegendKey val="0"/>
              <c:showVal val="0"/>
              <c:showCatName val="0"/>
              <c:showSerName val="0"/>
              <c:showPercent val="1"/>
              <c:showBubbleSize val="0"/>
            </c:dLbl>
            <c:spPr>
              <a:solidFill>
                <a:sysClr val="window" lastClr="FFFFFF">
                  <a:alpha val="90000"/>
                </a:sysClr>
              </a:solidFill>
              <a:ln w="12700" cap="flat" cmpd="sng" algn="ctr">
                <a:solidFill>
                  <a:srgbClr val="C0504D"/>
                </a:solidFill>
                <a:round/>
              </a:ln>
              <a:effectLst>
                <a:outerShdw blurRad="50800" dist="38100" dir="2700000" algn="tl" rotWithShape="0">
                  <a:srgbClr val="C0504D">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Sheet2!$P$9:$R$9</c:f>
              <c:strCache>
                <c:ptCount val="3"/>
                <c:pt idx="0">
                  <c:v>Academia</c:v>
                </c:pt>
                <c:pt idx="1">
                  <c:v>Associates</c:v>
                </c:pt>
                <c:pt idx="2">
                  <c:v>Sector Members</c:v>
                </c:pt>
              </c:strCache>
            </c:strRef>
          </c:cat>
          <c:val>
            <c:numRef>
              <c:f>Sheet2!$P$10:$R$10</c:f>
              <c:numCache>
                <c:formatCode>General</c:formatCode>
                <c:ptCount val="3"/>
                <c:pt idx="0">
                  <c:v>132</c:v>
                </c:pt>
                <c:pt idx="1">
                  <c:v>12</c:v>
                </c:pt>
                <c:pt idx="2">
                  <c:v>331</c:v>
                </c:pt>
              </c:numCache>
            </c:numRef>
          </c:val>
        </c:ser>
        <c:dLbls>
          <c:dLblPos val="inEnd"/>
          <c:showLegendKey val="0"/>
          <c:showVal val="0"/>
          <c:showCatName val="1"/>
          <c:showSerName val="0"/>
          <c:showPercent val="0"/>
          <c:showBubbleSize val="0"/>
          <c:showLeaderLines val="0"/>
        </c:dLbls>
        <c:firstSliceAng val="0"/>
      </c:pieChart>
      <c:spPr>
        <a:noFill/>
        <a:ln>
          <a:noFill/>
        </a:ln>
        <a:effectLst/>
      </c:spPr>
    </c:plotArea>
    <c:legend>
      <c:legendPos val="r"/>
      <c:legendEntry>
        <c:idx val="1"/>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Entry>
      <c:layout>
        <c:manualLayout>
          <c:xMode val="edge"/>
          <c:yMode val="edge"/>
          <c:x val="0.71816188813877535"/>
          <c:y val="0.55195417732968899"/>
          <c:w val="0.28183813649433637"/>
          <c:h val="0.4480458226703110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GB" sz="900">
                <a:latin typeface="+mn-lt"/>
              </a:rPr>
              <a:t>Chart 3 </a:t>
            </a:r>
          </a:p>
          <a:p>
            <a:pPr>
              <a:defRPr sz="1000" b="1" i="0" u="none" strike="noStrike" baseline="0">
                <a:solidFill>
                  <a:srgbClr val="000000"/>
                </a:solidFill>
                <a:latin typeface="Arial"/>
                <a:ea typeface="Arial"/>
                <a:cs typeface="Arial"/>
              </a:defRPr>
            </a:pPr>
            <a:r>
              <a:rPr lang="en-GB" sz="900">
                <a:latin typeface="+mn-lt"/>
              </a:rPr>
              <a:t>ITU</a:t>
            </a:r>
            <a:r>
              <a:rPr lang="en-GB" sz="900" baseline="0">
                <a:latin typeface="+mn-lt"/>
              </a:rPr>
              <a:t>-D Sector Membership by Region 2016</a:t>
            </a:r>
          </a:p>
        </c:rich>
      </c:tx>
      <c:layout>
        <c:manualLayout>
          <c:xMode val="edge"/>
          <c:yMode val="edge"/>
          <c:x val="0.1099712805078369"/>
          <c:y val="1.0027180396916791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manualLayout>
                  <c:x val="2.3833116082562358E-2"/>
                  <c:y val="0.1057659788573859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Sheet2!$C$160:$I$160</c:f>
              <c:strCache>
                <c:ptCount val="7"/>
                <c:pt idx="0">
                  <c:v>Regional &amp; International</c:v>
                </c:pt>
                <c:pt idx="1">
                  <c:v>Àsia &amp; the Pacific</c:v>
                </c:pt>
                <c:pt idx="2">
                  <c:v>Americas</c:v>
                </c:pt>
                <c:pt idx="3">
                  <c:v>Europe</c:v>
                </c:pt>
                <c:pt idx="4">
                  <c:v>Arab States</c:v>
                </c:pt>
                <c:pt idx="5">
                  <c:v>Africa</c:v>
                </c:pt>
                <c:pt idx="6">
                  <c:v>CIS</c:v>
                </c:pt>
              </c:strCache>
            </c:strRef>
          </c:cat>
          <c:val>
            <c:numRef>
              <c:f>Sheet2!$C$161:$I$161</c:f>
              <c:numCache>
                <c:formatCode>0</c:formatCode>
                <c:ptCount val="7"/>
                <c:pt idx="0">
                  <c:v>21.218487394957982</c:v>
                </c:pt>
                <c:pt idx="1">
                  <c:v>20.3781512605042</c:v>
                </c:pt>
                <c:pt idx="2">
                  <c:v>18.907563025210084</c:v>
                </c:pt>
                <c:pt idx="3">
                  <c:v>13.865546218487395</c:v>
                </c:pt>
                <c:pt idx="4">
                  <c:v>13.235294117647058</c:v>
                </c:pt>
                <c:pt idx="5">
                  <c:v>7.7731092436974789</c:v>
                </c:pt>
                <c:pt idx="6">
                  <c:v>4.6218487394957979</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0CE9-DA42-4FAA-83BC-E2EBA4A2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10</TotalTime>
  <Pages>5</Pages>
  <Words>1336</Words>
  <Characters>8180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Cerri, Celine</cp:lastModifiedBy>
  <cp:revision>7</cp:revision>
  <cp:lastPrinted>2017-03-22T13:38:00Z</cp:lastPrinted>
  <dcterms:created xsi:type="dcterms:W3CDTF">2017-03-23T08:26:00Z</dcterms:created>
  <dcterms:modified xsi:type="dcterms:W3CDTF">2017-03-30T06:58:00Z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