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EE0FAF" w:rsidTr="004B7893">
        <w:trPr>
          <w:cantSplit/>
          <w:trHeight w:val="1134"/>
        </w:trPr>
        <w:tc>
          <w:tcPr>
            <w:tcW w:w="1276" w:type="dxa"/>
            <w:tcBorders>
              <w:bottom w:val="single" w:sz="12" w:space="0" w:color="auto"/>
            </w:tcBorders>
          </w:tcPr>
          <w:p w:rsidR="004B7893" w:rsidRPr="00F12690" w:rsidRDefault="004B7893" w:rsidP="004B7893">
            <w:pPr>
              <w:rPr>
                <w:b/>
                <w:bCs/>
                <w:sz w:val="32"/>
                <w:szCs w:val="32"/>
                <w:lang w:val="es-ES_tradnl"/>
              </w:rPr>
            </w:pPr>
            <w:r w:rsidRPr="00CC1F10">
              <w:rPr>
                <w:noProof/>
                <w:color w:val="3399FF"/>
                <w:lang w:val="en-GB"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Default="004B7893"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4B7893" w:rsidRPr="00560C51" w:rsidRDefault="004B7893" w:rsidP="00BC7208">
            <w:pPr>
              <w:spacing w:before="100" w:after="120"/>
              <w:rPr>
                <w:rFonts w:ascii="Verdana" w:hAnsi="Verdana"/>
                <w:sz w:val="28"/>
                <w:szCs w:val="28"/>
                <w:lang w:val="es-ES_tradnl"/>
              </w:rPr>
            </w:pPr>
            <w:r w:rsidRPr="008C1852">
              <w:rPr>
                <w:b/>
                <w:bCs/>
                <w:sz w:val="26"/>
                <w:szCs w:val="26"/>
                <w:lang w:val="es-ES_tradnl"/>
              </w:rPr>
              <w:t>22ª reunión, Ginebra, 9-12 de ma</w:t>
            </w:r>
            <w:r>
              <w:rPr>
                <w:b/>
                <w:bCs/>
                <w:sz w:val="26"/>
                <w:szCs w:val="26"/>
                <w:lang w:val="es-ES_tradnl"/>
              </w:rPr>
              <w:t>y</w:t>
            </w:r>
            <w:r w:rsidRPr="008C1852">
              <w:rPr>
                <w:b/>
                <w:bCs/>
                <w:sz w:val="26"/>
                <w:szCs w:val="26"/>
                <w:lang w:val="es-ES_tradnl"/>
              </w:rPr>
              <w:t>o de 201</w:t>
            </w:r>
            <w:r>
              <w:rPr>
                <w:b/>
                <w:bCs/>
                <w:sz w:val="26"/>
                <w:szCs w:val="26"/>
                <w:lang w:val="es-ES_tradnl"/>
              </w:rPr>
              <w:t>7</w:t>
            </w:r>
          </w:p>
        </w:tc>
        <w:tc>
          <w:tcPr>
            <w:tcW w:w="3225" w:type="dxa"/>
            <w:tcBorders>
              <w:bottom w:val="single" w:sz="12" w:space="0" w:color="auto"/>
            </w:tcBorders>
          </w:tcPr>
          <w:p w:rsidR="004B7893" w:rsidRPr="00560C51" w:rsidRDefault="00BC7208" w:rsidP="004B7893">
            <w:pPr>
              <w:spacing w:before="40" w:after="80"/>
              <w:ind w:right="142"/>
              <w:rPr>
                <w:lang w:val="es-ES_tradnl"/>
              </w:rPr>
            </w:pPr>
            <w:r>
              <w:rPr>
                <w:noProof/>
                <w:lang w:val="en-GB"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EE0FAF" w:rsidTr="004B7893">
        <w:trPr>
          <w:cantSplit/>
        </w:trPr>
        <w:tc>
          <w:tcPr>
            <w:tcW w:w="6663" w:type="dxa"/>
            <w:gridSpan w:val="2"/>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560C51" w:rsidTr="004B7893">
        <w:trPr>
          <w:cantSplit/>
        </w:trPr>
        <w:tc>
          <w:tcPr>
            <w:tcW w:w="6663" w:type="dxa"/>
            <w:gridSpan w:val="2"/>
          </w:tcPr>
          <w:p w:rsidR="004B7893" w:rsidRPr="00560C51" w:rsidRDefault="004B7893" w:rsidP="004B7893">
            <w:pPr>
              <w:pStyle w:val="Committee"/>
              <w:spacing w:before="0"/>
              <w:rPr>
                <w:b w:val="0"/>
                <w:lang w:val="es-ES_tradnl"/>
              </w:rPr>
            </w:pPr>
          </w:p>
        </w:tc>
        <w:tc>
          <w:tcPr>
            <w:tcW w:w="3225" w:type="dxa"/>
          </w:tcPr>
          <w:p w:rsidR="004B7893" w:rsidRPr="00560C51" w:rsidRDefault="004C428A" w:rsidP="004B7893">
            <w:pPr>
              <w:spacing w:before="0"/>
              <w:rPr>
                <w:bCs/>
                <w:lang w:val="es-ES_tradnl"/>
              </w:rPr>
            </w:pPr>
            <w:r w:rsidRPr="004C428A">
              <w:rPr>
                <w:b/>
                <w:bCs/>
                <w:lang w:val="es-ES_tradnl"/>
              </w:rPr>
              <w:t>Documento TDAG17-22/28</w:t>
            </w:r>
            <w:r w:rsidR="005637B9">
              <w:rPr>
                <w:b/>
                <w:bCs/>
                <w:lang w:val="es-ES_tradnl"/>
              </w:rPr>
              <w:t>-S</w:t>
            </w:r>
          </w:p>
        </w:tc>
      </w:tr>
      <w:tr w:rsidR="004B7893" w:rsidRPr="00560C51" w:rsidTr="004B7893">
        <w:trPr>
          <w:cantSplit/>
        </w:trPr>
        <w:tc>
          <w:tcPr>
            <w:tcW w:w="6663" w:type="dxa"/>
            <w:gridSpan w:val="2"/>
          </w:tcPr>
          <w:p w:rsidR="004B7893" w:rsidRPr="00560C51" w:rsidRDefault="004B7893" w:rsidP="004B7893">
            <w:pPr>
              <w:spacing w:before="0"/>
              <w:rPr>
                <w:b/>
                <w:bCs/>
                <w:smallCaps/>
                <w:lang w:val="es-ES_tradnl"/>
              </w:rPr>
            </w:pPr>
          </w:p>
        </w:tc>
        <w:tc>
          <w:tcPr>
            <w:tcW w:w="3225" w:type="dxa"/>
          </w:tcPr>
          <w:p w:rsidR="004B7893" w:rsidRPr="00360762" w:rsidRDefault="004C428A" w:rsidP="004B7893">
            <w:pPr>
              <w:spacing w:before="0"/>
              <w:rPr>
                <w:b/>
                <w:lang w:val="es-ES_tradnl"/>
              </w:rPr>
            </w:pPr>
            <w:bookmarkStart w:id="0" w:name="CreationDate"/>
            <w:bookmarkEnd w:id="0"/>
            <w:r w:rsidRPr="004C428A">
              <w:rPr>
                <w:b/>
                <w:bCs/>
                <w:szCs w:val="28"/>
              </w:rPr>
              <w:t>9 de marzo de 2017</w:t>
            </w:r>
          </w:p>
        </w:tc>
      </w:tr>
      <w:tr w:rsidR="004B7893" w:rsidRPr="00560C51" w:rsidTr="004B7893">
        <w:trPr>
          <w:cantSplit/>
        </w:trPr>
        <w:tc>
          <w:tcPr>
            <w:tcW w:w="6663" w:type="dxa"/>
            <w:gridSpan w:val="2"/>
          </w:tcPr>
          <w:p w:rsidR="004B7893" w:rsidRPr="00560C51" w:rsidRDefault="004B7893" w:rsidP="004B7893">
            <w:pPr>
              <w:spacing w:before="0"/>
              <w:rPr>
                <w:b/>
                <w:bCs/>
                <w:smallCaps/>
                <w:lang w:val="es-ES_tradnl"/>
              </w:rPr>
            </w:pPr>
          </w:p>
        </w:tc>
        <w:tc>
          <w:tcPr>
            <w:tcW w:w="3225" w:type="dxa"/>
          </w:tcPr>
          <w:p w:rsidR="004B7893" w:rsidRPr="007F1CC7" w:rsidRDefault="005637B9" w:rsidP="004B7893">
            <w:pPr>
              <w:spacing w:before="0"/>
              <w:rPr>
                <w:szCs w:val="24"/>
              </w:rPr>
            </w:pPr>
            <w:r w:rsidRPr="00560C51">
              <w:rPr>
                <w:b/>
                <w:lang w:val="es-ES_tradnl"/>
              </w:rPr>
              <w:t>Original:</w:t>
            </w:r>
            <w:bookmarkStart w:id="1" w:name="Original"/>
            <w:bookmarkEnd w:id="1"/>
            <w:r>
              <w:rPr>
                <w:b/>
                <w:lang w:val="es-ES_tradnl"/>
              </w:rPr>
              <w:t xml:space="preserve"> </w:t>
            </w:r>
            <w:r w:rsidR="004C428A" w:rsidRPr="004C428A">
              <w:rPr>
                <w:b/>
                <w:lang w:val="es-ES_tradnl"/>
              </w:rPr>
              <w:t>inglés</w:t>
            </w:r>
          </w:p>
        </w:tc>
      </w:tr>
      <w:tr w:rsidR="004B7893" w:rsidRPr="00EE0FAF" w:rsidTr="004B7893">
        <w:trPr>
          <w:cantSplit/>
          <w:trHeight w:val="852"/>
        </w:trPr>
        <w:tc>
          <w:tcPr>
            <w:tcW w:w="9888" w:type="dxa"/>
            <w:gridSpan w:val="3"/>
          </w:tcPr>
          <w:p w:rsidR="004B7893" w:rsidRPr="004C428A" w:rsidRDefault="004C428A" w:rsidP="004B7893">
            <w:pPr>
              <w:pStyle w:val="Source"/>
              <w:rPr>
                <w:szCs w:val="28"/>
                <w:lang w:val="es-ES_tradnl"/>
              </w:rPr>
            </w:pPr>
            <w:bookmarkStart w:id="2" w:name="Source"/>
            <w:bookmarkEnd w:id="2"/>
            <w:r w:rsidRPr="004C428A">
              <w:rPr>
                <w:lang w:val="es-ES_tradnl"/>
              </w:rPr>
              <w:t>Director de la Oficina de Desarrollo de Telecomunicaciones</w:t>
            </w:r>
          </w:p>
        </w:tc>
      </w:tr>
      <w:tr w:rsidR="004B7893" w:rsidRPr="00EE0FAF" w:rsidTr="004B7893">
        <w:trPr>
          <w:cantSplit/>
        </w:trPr>
        <w:tc>
          <w:tcPr>
            <w:tcW w:w="9888" w:type="dxa"/>
            <w:gridSpan w:val="3"/>
          </w:tcPr>
          <w:p w:rsidR="004B7893" w:rsidRPr="004C428A" w:rsidRDefault="004C428A" w:rsidP="004B7893">
            <w:pPr>
              <w:pStyle w:val="Title1"/>
              <w:spacing w:afterAutospacing="0"/>
              <w:rPr>
                <w:bCs/>
                <w:szCs w:val="28"/>
                <w:lang w:val="es-ES_tradnl"/>
              </w:rPr>
            </w:pPr>
            <w:bookmarkStart w:id="3" w:name="Title"/>
            <w:bookmarkEnd w:id="3"/>
            <w:r w:rsidRPr="004C428A">
              <w:rPr>
                <w:lang w:val="es-ES_tradnl"/>
              </w:rPr>
              <w:t>MIEMBROS DE SECTOR DEL UIT-D</w:t>
            </w:r>
          </w:p>
        </w:tc>
      </w:tr>
      <w:tr w:rsidR="004B7893" w:rsidRPr="00EE0FAF" w:rsidTr="004B7893">
        <w:trPr>
          <w:cantSplit/>
        </w:trPr>
        <w:tc>
          <w:tcPr>
            <w:tcW w:w="9888" w:type="dxa"/>
            <w:gridSpan w:val="3"/>
            <w:tcBorders>
              <w:bottom w:val="single" w:sz="4" w:space="0" w:color="auto"/>
            </w:tcBorders>
          </w:tcPr>
          <w:p w:rsidR="004B7893" w:rsidRPr="004C428A" w:rsidRDefault="004B7893" w:rsidP="00BC7208">
            <w:pPr>
              <w:rPr>
                <w:lang w:val="es-ES_tradnl"/>
              </w:rPr>
            </w:pPr>
          </w:p>
        </w:tc>
      </w:tr>
      <w:tr w:rsidR="004B7893" w:rsidRPr="00EE0FAF"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4C428A" w:rsidRDefault="004B7893" w:rsidP="004B7893">
            <w:pPr>
              <w:spacing w:before="240"/>
              <w:rPr>
                <w:b/>
                <w:bCs/>
                <w:lang w:val="es-ES_tradnl"/>
              </w:rPr>
            </w:pPr>
            <w:r w:rsidRPr="004C428A">
              <w:rPr>
                <w:b/>
                <w:bCs/>
                <w:lang w:val="es-ES_tradnl"/>
              </w:rPr>
              <w:t>Resumen:</w:t>
            </w:r>
          </w:p>
          <w:p w:rsidR="004B7893" w:rsidRPr="004C428A" w:rsidRDefault="004C428A" w:rsidP="004B7893">
            <w:pPr>
              <w:rPr>
                <w:bCs/>
                <w:lang w:val="es-ES_tradnl"/>
              </w:rPr>
            </w:pPr>
            <w:r w:rsidRPr="004C428A">
              <w:rPr>
                <w:bCs/>
                <w:lang w:val="es-ES_tradnl"/>
              </w:rPr>
              <w:t>Los Miembros de Sector del UIT-D incluyen Miembros de Sector, Asociados e instituciones académicas. En este documento se presenta una visión general de la evolución de los Miembros de Sector del UIT-D y los correspondientes objetivos, estrategias y medidas para fortalecer la capacidad de los miembros del UIT-D, de conformidad con los resultados de la CMDT-14 y la PP-14.</w:t>
            </w:r>
          </w:p>
          <w:p w:rsidR="004B7893" w:rsidRPr="004C428A" w:rsidRDefault="004B7893" w:rsidP="004B7893">
            <w:pPr>
              <w:rPr>
                <w:b/>
                <w:bCs/>
                <w:lang w:val="es-ES_tradnl"/>
              </w:rPr>
            </w:pPr>
            <w:r w:rsidRPr="004C428A">
              <w:rPr>
                <w:b/>
                <w:bCs/>
                <w:lang w:val="es-ES_tradnl"/>
              </w:rPr>
              <w:t xml:space="preserve">Acción solicitada: </w:t>
            </w:r>
          </w:p>
          <w:p w:rsidR="004B7893" w:rsidRPr="004C428A" w:rsidRDefault="004C428A" w:rsidP="004B7893">
            <w:pPr>
              <w:rPr>
                <w:bCs/>
                <w:lang w:val="es-ES_tradnl"/>
              </w:rPr>
            </w:pPr>
            <w:r w:rsidRPr="004C428A">
              <w:rPr>
                <w:bCs/>
                <w:lang w:val="es-ES_tradnl"/>
              </w:rPr>
              <w:t>Se invita al GADT a que tome nota del presente informe y formule los comentarios que estime oportunos.</w:t>
            </w:r>
          </w:p>
          <w:p w:rsidR="004B7893" w:rsidRPr="004C428A" w:rsidRDefault="004B7893" w:rsidP="004B7893">
            <w:pPr>
              <w:rPr>
                <w:b/>
                <w:bCs/>
                <w:lang w:val="es-ES_tradnl"/>
              </w:rPr>
            </w:pPr>
            <w:r w:rsidRPr="004C428A">
              <w:rPr>
                <w:b/>
                <w:bCs/>
                <w:lang w:val="es-ES_tradnl"/>
              </w:rPr>
              <w:t>Referencias:</w:t>
            </w:r>
          </w:p>
          <w:p w:rsidR="004B7893" w:rsidRPr="004C428A" w:rsidRDefault="004C428A" w:rsidP="004B7893">
            <w:pPr>
              <w:rPr>
                <w:bCs/>
                <w:lang w:val="es-ES_tradnl"/>
              </w:rPr>
            </w:pPr>
            <w:r w:rsidRPr="004C428A">
              <w:rPr>
                <w:bCs/>
                <w:lang w:val="es-ES_tradnl"/>
              </w:rPr>
              <w:t>Producto 2.3 de la CMDT-14 y Resolución 71 (Rev. Dubái, 2014) de la CMDT; Resoluciones 187 (Busán, 2014), 158 y 169 (Rev. Busán, 2014) de la PP</w:t>
            </w:r>
          </w:p>
        </w:tc>
      </w:tr>
    </w:tbl>
    <w:p w:rsidR="004C428A" w:rsidRPr="00FD07BC" w:rsidRDefault="00EE0FAF" w:rsidP="00EE0FAF">
      <w:pPr>
        <w:pStyle w:val="Heading1"/>
        <w:rPr>
          <w:lang w:val="es-ES"/>
        </w:rPr>
      </w:pPr>
      <w:r>
        <w:rPr>
          <w:lang w:val="es-ES"/>
        </w:rPr>
        <w:t>1</w:t>
      </w:r>
      <w:r>
        <w:rPr>
          <w:lang w:val="es-ES"/>
        </w:rPr>
        <w:tab/>
      </w:r>
      <w:r w:rsidR="004C428A" w:rsidRPr="00FD07BC">
        <w:rPr>
          <w:lang w:val="es-ES"/>
        </w:rPr>
        <w:t>Antecedentes</w:t>
      </w:r>
    </w:p>
    <w:p w:rsidR="004C428A" w:rsidRPr="00FD07BC" w:rsidRDefault="004C428A" w:rsidP="004C428A">
      <w:pPr>
        <w:rPr>
          <w:rFonts w:ascii="Calibri" w:hAnsi="Calibri"/>
          <w:sz w:val="22"/>
          <w:lang w:val="es-ES" w:eastAsia="zh-CN"/>
        </w:rPr>
      </w:pPr>
      <w:r w:rsidRPr="00FD07BC">
        <w:rPr>
          <w:lang w:val="es-ES"/>
        </w:rPr>
        <w:t xml:space="preserve">En la Conferencia Mundial de Desarrollo de las Telecomunicaciones de 2014 (CMDT-14) se revisó y adoptó la Resolución 71 con objeto de fortalecer la cooperación entre Estados Miembros, instituciones académicas, Miembros de Sector y Asociados del Sector de Desarrollo de las Telecomunicaciones de la UIT. </w:t>
      </w:r>
      <w:r w:rsidRPr="00FD07BC">
        <w:rPr>
          <w:color w:val="000000"/>
          <w:lang w:val="es-ES"/>
        </w:rPr>
        <w:t>La CMDT-14</w:t>
      </w:r>
      <w:r w:rsidRPr="00FD07BC">
        <w:rPr>
          <w:lang w:val="es-ES"/>
        </w:rPr>
        <w:t xml:space="preserve"> también reconoció la importancia </w:t>
      </w:r>
      <w:r>
        <w:rPr>
          <w:lang w:val="es-ES"/>
        </w:rPr>
        <w:t>de</w:t>
      </w:r>
      <w:r w:rsidRPr="00FD07BC">
        <w:rPr>
          <w:lang w:val="es-ES"/>
        </w:rPr>
        <w:t xml:space="preserve"> la colaboración con el sector privado por ser primordial para el éxito de la misión del UIT-D, como se pone de manifiesto en los productos y las resolucion</w:t>
      </w:r>
      <w:r w:rsidR="0010350C">
        <w:rPr>
          <w:lang w:val="es-ES"/>
        </w:rPr>
        <w:t>es adoptados en la Conferencia.</w:t>
      </w:r>
    </w:p>
    <w:p w:rsidR="004C428A" w:rsidRPr="00FD07BC" w:rsidRDefault="004C428A" w:rsidP="00ED3481">
      <w:pPr>
        <w:rPr>
          <w:lang w:val="es-ES"/>
        </w:rPr>
      </w:pPr>
      <w:r w:rsidRPr="00FD07BC">
        <w:rPr>
          <w:lang w:val="es-ES"/>
        </w:rPr>
        <w:t>Por otro lado, en la Conferencia de Plenipotenciarios de 2014 (PP-14) se adoptaron varias Resoluciones relativas a los Miembros, en particular la Resolución 187, en virtud de la cual se encarga al Consejo que revise la situación relativa a los Miembros de Sector a través del Grupo de Trabajo del Consejo sobre Recursos Humanos y Financieros (GTC-RHF), y la Resolución 158, que trata de la obtención de ingresos adicionales para la Unión.</w:t>
      </w:r>
    </w:p>
    <w:p w:rsidR="004C428A" w:rsidRPr="00FD07BC" w:rsidRDefault="004C428A" w:rsidP="00ED3481">
      <w:pPr>
        <w:rPr>
          <w:lang w:val="es-ES"/>
        </w:rPr>
      </w:pPr>
      <w:r>
        <w:rPr>
          <w:lang w:val="es-ES"/>
        </w:rPr>
        <w:t>En particular</w:t>
      </w:r>
      <w:r w:rsidRPr="00FD07BC">
        <w:rPr>
          <w:lang w:val="es-ES"/>
        </w:rPr>
        <w:t>, en virtud de la Resolución 187 (Busán, 2014) se pide al Consejo que examine la estructura, las ventajas y metodologías de fijación de precios</w:t>
      </w:r>
      <w:r>
        <w:rPr>
          <w:lang w:val="es-ES"/>
        </w:rPr>
        <w:t xml:space="preserve"> existentes</w:t>
      </w:r>
      <w:r w:rsidRPr="00FD07BC">
        <w:rPr>
          <w:lang w:val="es-ES"/>
        </w:rPr>
        <w:t xml:space="preserve">, la aplicación de los derechos y las obligaciones, y los criterios para la exoneración del pago de cuotas; que prepare directrices y cursos de formación para los presidentes, los vicepresidentes y los consejeros de las Comisiones de Estudio; y, por último, que estudie la posibilidad de establecer una nueva categoría </w:t>
      </w:r>
      <w:r w:rsidRPr="00FD07BC">
        <w:rPr>
          <w:lang w:val="es-ES"/>
        </w:rPr>
        <w:lastRenderedPageBreak/>
        <w:t xml:space="preserve">de participación para entidades sin ánimo de lucro. También se encarga al Consejo que formule una estrategia de consulta </w:t>
      </w:r>
      <w:r>
        <w:rPr>
          <w:lang w:val="es-ES"/>
        </w:rPr>
        <w:t>general</w:t>
      </w:r>
      <w:r w:rsidRPr="00FD07BC">
        <w:rPr>
          <w:lang w:val="es-ES"/>
        </w:rPr>
        <w:t xml:space="preserve"> con el conjunto de los miembros para </w:t>
      </w:r>
      <w:r>
        <w:rPr>
          <w:lang w:val="es-ES"/>
        </w:rPr>
        <w:t>velar por</w:t>
      </w:r>
      <w:r w:rsidRPr="00FD07BC">
        <w:rPr>
          <w:lang w:val="es-ES"/>
        </w:rPr>
        <w:t xml:space="preserve"> que se tengan rigurosamente en cuenta todos los puntos de vista</w:t>
      </w:r>
      <w:r w:rsidR="00DA3EAA">
        <w:rPr>
          <w:lang w:val="es-ES"/>
        </w:rPr>
        <w:t>.</w:t>
      </w:r>
    </w:p>
    <w:p w:rsidR="004C428A" w:rsidRPr="00FD07BC" w:rsidRDefault="004C428A" w:rsidP="00DA3EAA">
      <w:pPr>
        <w:snapToGrid w:val="0"/>
        <w:rPr>
          <w:szCs w:val="24"/>
          <w:lang w:val="es-ES"/>
        </w:rPr>
      </w:pPr>
      <w:r w:rsidRPr="00FD07BC">
        <w:rPr>
          <w:szCs w:val="24"/>
          <w:lang w:val="es-ES"/>
        </w:rPr>
        <w:t xml:space="preserve">A petición del Consejo, en su reunión de 2016, el GTC-RHF ha seguido analizando la participación de Miembros de Sector, Asociados e instituciones académicas, e informará al respecto en la reunión de 2017 del Consejo. El informe del Presidente del GTC-RHF a dicha reunión del Consejo comprende </w:t>
      </w:r>
      <w:r>
        <w:rPr>
          <w:szCs w:val="24"/>
          <w:lang w:val="es-ES"/>
        </w:rPr>
        <w:t xml:space="preserve">varios </w:t>
      </w:r>
      <w:r w:rsidRPr="00FD07BC">
        <w:rPr>
          <w:szCs w:val="24"/>
          <w:lang w:val="es-ES"/>
        </w:rPr>
        <w:t>análisis y recomendaciones, en particular sobre las cuestiones de exoneración del pago de cuotas de miembro</w:t>
      </w:r>
      <w:r w:rsidR="00DA3EAA">
        <w:rPr>
          <w:rStyle w:val="FootnoteReference"/>
          <w:szCs w:val="24"/>
          <w:lang w:val="es-ES"/>
        </w:rPr>
        <w:footnoteReference w:id="1"/>
      </w:r>
      <w:r w:rsidRPr="00FD07BC">
        <w:rPr>
          <w:szCs w:val="24"/>
          <w:lang w:val="es-ES"/>
        </w:rPr>
        <w:t xml:space="preserve"> y la participación de SME en la labor de la UIT</w:t>
      </w:r>
      <w:r w:rsidR="00DA3EAA">
        <w:rPr>
          <w:rStyle w:val="FootnoteReference"/>
          <w:szCs w:val="24"/>
          <w:lang w:val="es-ES"/>
        </w:rPr>
        <w:footnoteReference w:id="2"/>
      </w:r>
      <w:r w:rsidRPr="00FD07BC">
        <w:rPr>
          <w:szCs w:val="24"/>
          <w:lang w:val="es-ES"/>
        </w:rPr>
        <w:t>.</w:t>
      </w:r>
    </w:p>
    <w:p w:rsidR="004C428A" w:rsidRPr="00FD07BC" w:rsidRDefault="004C428A" w:rsidP="008F466B">
      <w:pPr>
        <w:rPr>
          <w:lang w:val="es-ES"/>
        </w:rPr>
      </w:pPr>
      <w:r w:rsidRPr="00FD07BC">
        <w:rPr>
          <w:lang w:val="es-ES"/>
        </w:rPr>
        <w:t>En la PP</w:t>
      </w:r>
      <w:r w:rsidR="008F466B">
        <w:rPr>
          <w:lang w:val="es-ES"/>
        </w:rPr>
        <w:t>-</w:t>
      </w:r>
      <w:r w:rsidRPr="00FD07BC">
        <w:rPr>
          <w:lang w:val="es-ES"/>
        </w:rPr>
        <w:t xml:space="preserve">14 también se revisó sustancialmente la Resolución 169, en virtud de la cual se permite a las instituciones académicas que abonan una cuota única participar en la labor de todos los Sectores, así como en conferencias, talleres y actividades a escala internacional y regional de la Unión, salvo en las conferencias con valor de tratado y en el Consejo. En la PP-14 también se encargó a las Conferencias/Asambleas de Sector que pidieran a sus respectivos Grupos Asesores que siguieran estudiando la necesidad </w:t>
      </w:r>
      <w:r w:rsidR="00DA3EAA">
        <w:rPr>
          <w:lang w:val="es-ES"/>
        </w:rPr>
        <w:t>de adoptar medidas adicionales.</w:t>
      </w:r>
    </w:p>
    <w:p w:rsidR="004C428A" w:rsidRPr="00FD07BC" w:rsidRDefault="004C428A" w:rsidP="00DA3EAA">
      <w:pPr>
        <w:rPr>
          <w:lang w:val="es-ES"/>
        </w:rPr>
      </w:pPr>
      <w:r w:rsidRPr="00FD07BC">
        <w:rPr>
          <w:lang w:val="es-ES"/>
        </w:rPr>
        <w:t xml:space="preserve">Con respecto a la aplicación de la Resolución 158, el GTC-RHF revisó </w:t>
      </w:r>
      <w:r>
        <w:rPr>
          <w:lang w:val="es-ES"/>
        </w:rPr>
        <w:t>el</w:t>
      </w:r>
      <w:r w:rsidRPr="00FD07BC">
        <w:rPr>
          <w:lang w:val="es-ES"/>
        </w:rPr>
        <w:t xml:space="preserve"> documento titulado </w:t>
      </w:r>
      <w:r w:rsidR="00DA3EAA">
        <w:rPr>
          <w:lang w:val="es-ES"/>
        </w:rPr>
        <w:t>"</w:t>
      </w:r>
      <w:r w:rsidRPr="00FD07BC">
        <w:rPr>
          <w:lang w:val="es-ES"/>
        </w:rPr>
        <w:t>Mejora de la estabilidad y capacidad de predicción de la base financiera de la Unión</w:t>
      </w:r>
      <w:r w:rsidR="00DA3EAA">
        <w:rPr>
          <w:lang w:val="es-ES"/>
        </w:rPr>
        <w:t>"</w:t>
      </w:r>
      <w:r w:rsidR="00DA3EAA">
        <w:rPr>
          <w:rStyle w:val="FootnoteReference"/>
          <w:lang w:val="es-ES"/>
        </w:rPr>
        <w:footnoteReference w:id="3"/>
      </w:r>
      <w:r w:rsidRPr="00FD07BC">
        <w:rPr>
          <w:lang w:val="es-ES"/>
        </w:rPr>
        <w:t xml:space="preserve">, que se presentará a </w:t>
      </w:r>
      <w:r w:rsidR="00DA3EAA">
        <w:rPr>
          <w:lang w:val="es-ES"/>
        </w:rPr>
        <w:t>la reunión de 2017 del Consejo.</w:t>
      </w:r>
    </w:p>
    <w:p w:rsidR="004C428A" w:rsidRPr="00FD07BC" w:rsidRDefault="004C428A" w:rsidP="00ED3481">
      <w:pPr>
        <w:rPr>
          <w:lang w:val="es-ES"/>
        </w:rPr>
      </w:pPr>
      <w:r w:rsidRPr="00FD07BC">
        <w:rPr>
          <w:lang w:val="es-ES"/>
        </w:rPr>
        <w:t xml:space="preserve">La BDT seguirá adoptando las medidas necesarias para aplicar los resultados del GTC-RHF y del Consejo, previa consulta con todas las reuniones pertinentes del UIT-D, incluidos el GADT y las Comisiones de Estudio del UIT-D. </w:t>
      </w:r>
    </w:p>
    <w:p w:rsidR="004C428A" w:rsidRPr="00FD07BC" w:rsidRDefault="00EE0FAF" w:rsidP="00EE0FAF">
      <w:pPr>
        <w:pStyle w:val="Heading1"/>
        <w:rPr>
          <w:bCs/>
          <w:lang w:val="es-ES" w:eastAsia="ko-KR"/>
        </w:rPr>
      </w:pPr>
      <w:r>
        <w:rPr>
          <w:lang w:val="es-ES" w:eastAsia="ko-KR"/>
        </w:rPr>
        <w:t>2</w:t>
      </w:r>
      <w:r>
        <w:rPr>
          <w:lang w:val="es-ES" w:eastAsia="ko-KR"/>
        </w:rPr>
        <w:tab/>
      </w:r>
      <w:r w:rsidR="004C428A" w:rsidRPr="00FD07BC">
        <w:rPr>
          <w:lang w:val="es-ES" w:eastAsia="ko-KR"/>
        </w:rPr>
        <w:t>Objetivos estratégicos</w:t>
      </w:r>
    </w:p>
    <w:p w:rsidR="004C428A" w:rsidRPr="00FD07BC" w:rsidRDefault="004C428A" w:rsidP="00ED3481">
      <w:pPr>
        <w:rPr>
          <w:lang w:val="es-ES"/>
        </w:rPr>
      </w:pPr>
      <w:r w:rsidRPr="00FD07BC">
        <w:rPr>
          <w:lang w:val="es-ES"/>
        </w:rPr>
        <w:t xml:space="preserve">De conformidad con los resultados de la CMDT-14 y la PP-14, la BDT ha coordinado estrechamente su labor con la Secretaría General, las otras dos Oficinas y las Oficinas Regionales y de Zona para alcanzar dos </w:t>
      </w:r>
      <w:r w:rsidR="0010350C">
        <w:rPr>
          <w:lang w:val="es-ES"/>
        </w:rPr>
        <w:t>objetivos principales, a saber:</w:t>
      </w:r>
    </w:p>
    <w:p w:rsidR="004C428A" w:rsidRPr="00FD07BC" w:rsidRDefault="00ED3481" w:rsidP="009445CB">
      <w:pPr>
        <w:pStyle w:val="enumlev1"/>
        <w:rPr>
          <w:lang w:val="es-ES"/>
        </w:rPr>
      </w:pPr>
      <w:r w:rsidRPr="00ED3481">
        <w:rPr>
          <w:lang w:val="es-ES"/>
        </w:rPr>
        <w:t>•</w:t>
      </w:r>
      <w:r>
        <w:rPr>
          <w:lang w:val="es-ES"/>
        </w:rPr>
        <w:tab/>
      </w:r>
      <w:r w:rsidR="004C428A" w:rsidRPr="00FD07BC">
        <w:rPr>
          <w:lang w:val="es-ES"/>
        </w:rPr>
        <w:t xml:space="preserve">lograr la participación de más entidades como Miembros de Sector, Asociados o </w:t>
      </w:r>
      <w:r w:rsidR="009445CB">
        <w:rPr>
          <w:lang w:val="es-ES"/>
        </w:rPr>
        <w:t>instituciones a</w:t>
      </w:r>
      <w:r w:rsidR="004C428A" w:rsidRPr="00FD07BC">
        <w:rPr>
          <w:lang w:val="es-ES"/>
        </w:rPr>
        <w:t>cadémicas; y</w:t>
      </w:r>
    </w:p>
    <w:p w:rsidR="004C428A" w:rsidRPr="00FD07BC" w:rsidRDefault="00ED3481" w:rsidP="00ED3481">
      <w:pPr>
        <w:pStyle w:val="enumlev1"/>
        <w:rPr>
          <w:lang w:val="es-ES"/>
        </w:rPr>
      </w:pPr>
      <w:r w:rsidRPr="00ED3481">
        <w:rPr>
          <w:lang w:val="es-ES"/>
        </w:rPr>
        <w:t>•</w:t>
      </w:r>
      <w:r>
        <w:rPr>
          <w:lang w:val="es-ES"/>
        </w:rPr>
        <w:tab/>
      </w:r>
      <w:r w:rsidR="004C428A" w:rsidRPr="00FD07BC">
        <w:rPr>
          <w:lang w:val="es-ES"/>
        </w:rPr>
        <w:t>optimizar y mantener la participación de los Miembros de Sector del UIT-D, Asociados e instituciones académicas.</w:t>
      </w:r>
    </w:p>
    <w:p w:rsidR="004C428A" w:rsidRPr="00FD07BC" w:rsidRDefault="00EE0FAF" w:rsidP="00EE0FAF">
      <w:pPr>
        <w:pStyle w:val="Heading1"/>
        <w:rPr>
          <w:bCs/>
          <w:lang w:val="es-ES" w:eastAsia="ko-KR"/>
        </w:rPr>
      </w:pPr>
      <w:r>
        <w:rPr>
          <w:lang w:val="es-ES" w:eastAsia="ko-KR"/>
        </w:rPr>
        <w:t>3</w:t>
      </w:r>
      <w:r>
        <w:rPr>
          <w:lang w:val="es-ES" w:eastAsia="ko-KR"/>
        </w:rPr>
        <w:tab/>
      </w:r>
      <w:r w:rsidR="00CD4D89">
        <w:rPr>
          <w:lang w:val="es-ES" w:eastAsia="ko-KR"/>
        </w:rPr>
        <w:t>Análisis de la situación</w:t>
      </w:r>
    </w:p>
    <w:p w:rsidR="004C428A" w:rsidRPr="00FD07BC" w:rsidRDefault="004C428A" w:rsidP="00ED3481">
      <w:pPr>
        <w:rPr>
          <w:lang w:val="es-ES"/>
        </w:rPr>
      </w:pPr>
      <w:r w:rsidRPr="00FD07BC">
        <w:rPr>
          <w:lang w:val="es-ES"/>
        </w:rPr>
        <w:t xml:space="preserve">En la Gráfico 1 </w:t>
      </w:r>
      <w:r>
        <w:rPr>
          <w:lang w:val="es-ES"/>
        </w:rPr>
        <w:t xml:space="preserve">siguiente </w:t>
      </w:r>
      <w:r w:rsidRPr="00FD07BC">
        <w:rPr>
          <w:lang w:val="es-ES"/>
        </w:rPr>
        <w:t>se muestra la evolución del número de Miembros del UIT-D desde 1994 hasta el 31 de diciembre de 2016.</w:t>
      </w:r>
    </w:p>
    <w:p w:rsidR="004C428A" w:rsidRPr="00FD07BC" w:rsidRDefault="004C428A" w:rsidP="004C428A">
      <w:pPr>
        <w:spacing w:before="240"/>
        <w:rPr>
          <w:lang w:val="es-ES"/>
        </w:rPr>
      </w:pPr>
      <w:r w:rsidRPr="00FD07BC">
        <w:rPr>
          <w:noProof/>
          <w:lang w:val="en-GB" w:eastAsia="zh-CN"/>
        </w:rPr>
        <w:lastRenderedPageBreak/>
        <w:drawing>
          <wp:inline distT="0" distB="0" distL="0" distR="0" wp14:anchorId="4DF922A4" wp14:editId="69B2BA9A">
            <wp:extent cx="6073140" cy="3059430"/>
            <wp:effectExtent l="0" t="0" r="381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428A" w:rsidRPr="00FD07BC" w:rsidRDefault="004C428A" w:rsidP="004C428A">
      <w:pPr>
        <w:spacing w:before="240"/>
        <w:rPr>
          <w:lang w:val="es-ES"/>
        </w:rPr>
      </w:pPr>
      <w:r w:rsidRPr="00FD07BC">
        <w:rPr>
          <w:lang w:val="es-ES"/>
        </w:rPr>
        <w:t xml:space="preserve">En los Gráficos 2 y 3 </w:t>
      </w:r>
      <w:r>
        <w:rPr>
          <w:lang w:val="es-ES"/>
        </w:rPr>
        <w:t>que figuran a continuación</w:t>
      </w:r>
      <w:r w:rsidRPr="00FD07BC">
        <w:rPr>
          <w:lang w:val="es-ES"/>
        </w:rPr>
        <w:t xml:space="preserve"> se </w:t>
      </w:r>
      <w:r>
        <w:rPr>
          <w:lang w:val="es-ES"/>
        </w:rPr>
        <w:t>muestra la distribución de los Miembros de Sector del UIT-D</w:t>
      </w:r>
      <w:r w:rsidRPr="00FD07BC">
        <w:rPr>
          <w:lang w:val="es-ES"/>
        </w:rPr>
        <w:t xml:space="preserve"> </w:t>
      </w:r>
      <w:r>
        <w:rPr>
          <w:lang w:val="es-ES"/>
        </w:rPr>
        <w:t>por categoría y región</w:t>
      </w:r>
      <w:r w:rsidRPr="00FD07BC">
        <w:rPr>
          <w:lang w:val="es-ES"/>
        </w:rPr>
        <w:t xml:space="preserve">. </w:t>
      </w:r>
    </w:p>
    <w:p w:rsidR="004C428A" w:rsidRDefault="00DA3EAA" w:rsidP="004C428A">
      <w:pPr>
        <w:pStyle w:val="ListParagraph"/>
        <w:spacing w:before="240"/>
        <w:ind w:left="284"/>
        <w:rPr>
          <w:b/>
          <w:bCs w:val="0"/>
          <w:lang w:val="es-ES"/>
        </w:rPr>
      </w:pPr>
      <w:r>
        <w:rPr>
          <w:b/>
          <w:bCs w:val="0"/>
          <w:noProof/>
          <w:lang w:val="en-GB"/>
        </w:rPr>
        <mc:AlternateContent>
          <mc:Choice Requires="wps">
            <w:drawing>
              <wp:anchor distT="0" distB="0" distL="114300" distR="114300" simplePos="0" relativeHeight="251681792" behindDoc="0" locked="0" layoutInCell="1" allowOverlap="1" wp14:anchorId="35D2BB14" wp14:editId="705FAF87">
                <wp:simplePos x="0" y="0"/>
                <wp:positionH relativeFrom="column">
                  <wp:posOffset>5124450</wp:posOffset>
                </wp:positionH>
                <wp:positionV relativeFrom="paragraph">
                  <wp:posOffset>496240</wp:posOffset>
                </wp:positionV>
                <wp:extent cx="521995" cy="307238"/>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21995" cy="3072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3EAA" w:rsidRPr="009B0E7D" w:rsidRDefault="00DA3EAA" w:rsidP="00DA3EAA">
                            <w:pPr>
                              <w:spacing w:before="0"/>
                              <w:rPr>
                                <w:sz w:val="14"/>
                                <w:szCs w:val="14"/>
                                <w:lang w:val="es-ES_tradnl"/>
                              </w:rPr>
                            </w:pPr>
                            <w:r w:rsidRPr="00DA3EAA">
                              <w:rPr>
                                <w:sz w:val="14"/>
                                <w:szCs w:val="14"/>
                                <w:lang w:val="es-ES_tradnl"/>
                              </w:rPr>
                              <w:t>A niveles regional e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2BB14" id="_x0000_t202" coordsize="21600,21600" o:spt="202" path="m,l,21600r21600,l21600,xe">
                <v:stroke joinstyle="miter"/>
                <v:path gradientshapeok="t" o:connecttype="rect"/>
              </v:shapetype>
              <v:shape id="Text Box 16" o:spid="_x0000_s1026" type="#_x0000_t202" style="position:absolute;left:0;text-align:left;margin-left:403.5pt;margin-top:39.05pt;width:41.1pt;height:2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nPggIAAIIFAAAOAAAAZHJzL2Uyb0RvYy54bWysVEtvGyEQvlfqf0Dc6/VDcRPL68h1lKpS&#10;lERJqpwxCzYqMBSwd91f34HdtdM0l1S9sLPDN98wz/llYzTZCx8U2JKOBkNKhOVQKbsp6fen60/n&#10;lITIbMU0WFHSgwj0cvHxw7x2MzGGLehKeIIkNsxqV9JtjG5WFIFvhWFhAE5YvJTgDYv46zdF5VmN&#10;7EYX4+FwWtTgK+eBixBQe9Ve0kXml1LweCdlEJHokuLbYj59PtfpLBZzNtt45raKd89g//AKw5RF&#10;p0eqKxYZ2Xn1F5VR3EMAGQccTAFSKi5yDBjNaPgqmsctcyLHgskJ7pim8P9o+e3+3hNVYe2mlFhm&#10;sEZPoonkCzQEVZif2oUZwh4dAmODesT2+oDKFHYjvUlfDIjgPWb6cMxuYuOoPBuPLi7OKOF4NRl+&#10;Hk/OE0txMnY+xK8CDElCST0WL+eU7W9CbKE9JPkKoFV1rbTOP6lhxEp7smdYah3zE5H8D5S2pC7p&#10;dHI2zMQWknnLrG2iEbllOncp8DbALMWDFgmj7YOQmLIc5xu+GefCHv1ndEJJdPUeww5/etV7jNs4&#10;0CJ7BhuPxkZZ8Dn6PGOnlFU/+pTJFo+1eRF3EmOzbnKv5MolzRqqA7aFh3awguPXCot3w0K8Zx4n&#10;CTsBt0O8w0NqwORDJ1GyBf/rLX3CY4PjLSU1TmZJw88d84IS/c1i66cx7gXfC+tesDuzAuyAEe4d&#10;x7OIBj7qXpQezDMujWXyglfMcvRV0tiLq9juB1w6XCyXGYTD6li8sY+OJ+qU1dSKT80z867r14iN&#10;fgv9zLLZq7ZtscnSwnIXQarc06csdvnGQc9T0S2ltEle/mfUaXUufgMAAP//AwBQSwMEFAAGAAgA&#10;AAAhAHO7EUfhAAAACgEAAA8AAABkcnMvZG93bnJldi54bWxMj8FOwzAQRO9I/IO1SFwQdRpBYkKc&#10;CpA4IFEhCurZjU0caq9D7LYpX89yguNqn97M1IvJO7Y3Y+wDSpjPMmAG26B77CS8vz1eCmAxKdTK&#10;BTQSjibCojk9qVWlwwFfzX6VOkYSjJWSYFMaKs5ja41XcRYGg/T7CKNXic6x43pUB5J7x/MsK7hX&#10;PVKCVYN5sKbdrnZegjheLS/WRbn+dC9P9/a7+8LnrZLy/Gy6uwWWzJT+YPitT9WhoU6bsEMdmSNH&#10;VtKWJKEUc2AECHGTA9sQmRfXwJua/5/Q/AAAAP//AwBQSwECLQAUAAYACAAAACEAtoM4kv4AAADh&#10;AQAAEwAAAAAAAAAAAAAAAAAAAAAAW0NvbnRlbnRfVHlwZXNdLnhtbFBLAQItABQABgAIAAAAIQA4&#10;/SH/1gAAAJQBAAALAAAAAAAAAAAAAAAAAC8BAABfcmVscy8ucmVsc1BLAQItABQABgAIAAAAIQCY&#10;afnPggIAAIIFAAAOAAAAAAAAAAAAAAAAAC4CAABkcnMvZTJvRG9jLnhtbFBLAQItABQABgAIAAAA&#10;IQBzuxFH4QAAAAoBAAAPAAAAAAAAAAAAAAAAANwEAABkcnMvZG93bnJldi54bWxQSwUGAAAAAAQA&#10;BADzAAAA6gUAAAAA&#10;" fillcolor="white [3201]" stroked="f" strokeweight=".5pt">
                <v:textbox inset="0,0,0,0">
                  <w:txbxContent>
                    <w:p w:rsidR="00DA3EAA" w:rsidRPr="009B0E7D" w:rsidRDefault="00DA3EAA" w:rsidP="00DA3EAA">
                      <w:pPr>
                        <w:spacing w:before="0"/>
                        <w:rPr>
                          <w:sz w:val="14"/>
                          <w:szCs w:val="14"/>
                          <w:lang w:val="es-ES_tradnl"/>
                        </w:rPr>
                      </w:pPr>
                      <w:r w:rsidRPr="00DA3EAA">
                        <w:rPr>
                          <w:sz w:val="14"/>
                          <w:szCs w:val="14"/>
                          <w:lang w:val="es-ES_tradnl"/>
                        </w:rPr>
                        <w:t>A niveles regional e internacional</w:t>
                      </w:r>
                    </w:p>
                  </w:txbxContent>
                </v:textbox>
              </v:shape>
            </w:pict>
          </mc:Fallback>
        </mc:AlternateContent>
      </w:r>
      <w:r>
        <w:rPr>
          <w:b/>
          <w:bCs w:val="0"/>
          <w:noProof/>
          <w:lang w:val="en-GB"/>
        </w:rPr>
        <mc:AlternateContent>
          <mc:Choice Requires="wps">
            <w:drawing>
              <wp:anchor distT="0" distB="0" distL="114300" distR="114300" simplePos="0" relativeHeight="251679744" behindDoc="0" locked="0" layoutInCell="1" allowOverlap="1" wp14:anchorId="6443FE93" wp14:editId="1F8A461D">
                <wp:simplePos x="0" y="0"/>
                <wp:positionH relativeFrom="column">
                  <wp:posOffset>5124755</wp:posOffset>
                </wp:positionH>
                <wp:positionV relativeFrom="paragraph">
                  <wp:posOffset>826160</wp:posOffset>
                </wp:positionV>
                <wp:extent cx="521995" cy="17556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21995" cy="175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3EAA" w:rsidRPr="009B0E7D" w:rsidRDefault="00DA3EAA" w:rsidP="00DA3EAA">
                            <w:pPr>
                              <w:spacing w:before="0"/>
                              <w:rPr>
                                <w:sz w:val="14"/>
                                <w:szCs w:val="14"/>
                                <w:lang w:val="es-ES_tradnl"/>
                              </w:rPr>
                            </w:pPr>
                            <w:r w:rsidRPr="00DA3EAA">
                              <w:rPr>
                                <w:sz w:val="14"/>
                                <w:szCs w:val="14"/>
                                <w:lang w:val="es-ES_tradnl"/>
                              </w:rPr>
                              <w:t>Asia y Pacífico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3FE93" id="Text Box 15" o:spid="_x0000_s1027" type="#_x0000_t202" style="position:absolute;left:0;text-align:left;margin-left:403.5pt;margin-top:65.05pt;width:41.1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StdhAIAAIIFAAAOAAAAZHJzL2Uyb0RvYy54bWysVMFOGzEQvVfqP1i+l02oAiVig1IQVSUE&#10;qKHi7HhtsqrX49pOsunX99m7m1DKhaoX76z9Zsbz/GbOL9rGsI3yoSZb8vHRiDNlJVW1fSr594fr&#10;D584C1HYShiyquQ7FfjF7P27862bqmNakamUZwhiw3TrSr6K0U2LIsiVakQ4IqcsDjX5RkT8+qei&#10;8mKL6I0pjkejk2JLvnKepAoBu1fdIZ/l+ForGe+0DioyU3LcLebV53WZ1mJ2LqZPXrhVLftriH+4&#10;RSNqi6T7UFciCrb29V+hmlp6CqTjkaSmIK1rqXINqGY8elHNYiWcyrWAnOD2NIX/F1bebu49qyu8&#10;3YQzKxq80YNqI/tMLcMW+Nm6MAVs4QCMLfaBHfYDNlPZrfZN+qIghnMwvduzm6JJbE6Ox2dnSCJx&#10;ND6dTE5y9OLg7HyIXxQ1LBkl93i8zKnY3ISIiwA6QFKuQKaurmtj8k8SjLo0nm0EntrEfEV4/IEy&#10;lm1LfvJxMsqBLSX3LrKxKYzKkunTpcK7ArMVd0YljLHflAZluc5Xcgspld3nz+iE0kj1Fscef7jV&#10;W5y7OuCRM5ONe+emtuRz9bnHDpRVPwbKdIcH4c/qTmZsl23Wyunw/kuqdpCFp66xgpPXNR7vRoR4&#10;Lzw6CUrAdIh3WLQhkE+9xdmK/K/X9hMeAscpZ1t0ZsnDz7XwijPz1UL6qY0Hww/GcjDsurkkKGCM&#10;ueNkNuHgoxlM7al5xNCYpyw4ElYiV8njYF7Gbj5g6Eg1n2cQmtWJeGMXTqbQidUkxYf2UXjX6zVC&#10;6Lc09KyYvpBth02elubrSLrOmk68diz2fKPRs9T7oZQmyfP/jDqMztlvAAAA//8DAFBLAwQUAAYA&#10;CAAAACEAKJd1iOIAAAALAQAADwAAAGRycy9kb3ducmV2LnhtbEyPwU7DMBBE70j8g7VIXBC1W6AJ&#10;IU4FSByQQIiCet7GJgm11yF225SvZznBcWdGb2fKxeid2NkhdoE0TCcKhKU6mI4aDe9vD+c5iJiQ&#10;DLpAVsPBRlhUx0clFibs6dXulqkRDKFYoIY2pb6QMtat9RgnobfE3kcYPCY+h0aaAfcM907OlJpL&#10;jx3xhxZ7e9/aerPceg354fL5bDXPVp/u5fGu/W6+6GmDWp+ejLc3IJId018Yfutzdai40zpsyUTh&#10;mKEy3pLYuFBTEJzI8+sZiDUrV1kGsirl/w3VDwAAAP//AwBQSwECLQAUAAYACAAAACEAtoM4kv4A&#10;AADhAQAAEwAAAAAAAAAAAAAAAAAAAAAAW0NvbnRlbnRfVHlwZXNdLnhtbFBLAQItABQABgAIAAAA&#10;IQA4/SH/1gAAAJQBAAALAAAAAAAAAAAAAAAAAC8BAABfcmVscy8ucmVsc1BLAQItABQABgAIAAAA&#10;IQD0YStdhAIAAIIFAAAOAAAAAAAAAAAAAAAAAC4CAABkcnMvZTJvRG9jLnhtbFBLAQItABQABgAI&#10;AAAAIQAol3WI4gAAAAsBAAAPAAAAAAAAAAAAAAAAAN4EAABkcnMvZG93bnJldi54bWxQSwUGAAAA&#10;AAQABADzAAAA7QUAAAAA&#10;" fillcolor="white [3201]" stroked="f" strokeweight=".5pt">
                <v:textbox inset="0,0,0,0">
                  <w:txbxContent>
                    <w:p w:rsidR="00DA3EAA" w:rsidRPr="009B0E7D" w:rsidRDefault="00DA3EAA" w:rsidP="00DA3EAA">
                      <w:pPr>
                        <w:spacing w:before="0"/>
                        <w:rPr>
                          <w:sz w:val="14"/>
                          <w:szCs w:val="14"/>
                          <w:lang w:val="es-ES_tradnl"/>
                        </w:rPr>
                      </w:pPr>
                      <w:r w:rsidRPr="00DA3EAA">
                        <w:rPr>
                          <w:sz w:val="14"/>
                          <w:szCs w:val="14"/>
                          <w:lang w:val="es-ES_tradnl"/>
                        </w:rPr>
                        <w:t>Asia y Pacífico</w:t>
                      </w:r>
                    </w:p>
                  </w:txbxContent>
                </v:textbox>
              </v:shape>
            </w:pict>
          </mc:Fallback>
        </mc:AlternateContent>
      </w:r>
      <w:r w:rsidR="009B0E7D">
        <w:rPr>
          <w:b/>
          <w:bCs w:val="0"/>
          <w:noProof/>
          <w:lang w:val="en-GB"/>
        </w:rPr>
        <mc:AlternateContent>
          <mc:Choice Requires="wps">
            <w:drawing>
              <wp:anchor distT="0" distB="0" distL="114300" distR="114300" simplePos="0" relativeHeight="251677696" behindDoc="0" locked="0" layoutInCell="1" allowOverlap="1" wp14:anchorId="2F0AF8E0" wp14:editId="52FA7E58">
                <wp:simplePos x="0" y="0"/>
                <wp:positionH relativeFrom="column">
                  <wp:posOffset>5124374</wp:posOffset>
                </wp:positionH>
                <wp:positionV relativeFrom="paragraph">
                  <wp:posOffset>1001115</wp:posOffset>
                </wp:positionV>
                <wp:extent cx="409651" cy="102108"/>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409651" cy="1021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0E7D" w:rsidRPr="009B0E7D" w:rsidRDefault="009B0E7D" w:rsidP="009B0E7D">
                            <w:pPr>
                              <w:spacing w:before="0"/>
                              <w:rPr>
                                <w:sz w:val="14"/>
                                <w:szCs w:val="14"/>
                                <w:lang w:val="es-ES_tradnl"/>
                              </w:rPr>
                            </w:pPr>
                            <w:r>
                              <w:rPr>
                                <w:sz w:val="14"/>
                                <w:szCs w:val="14"/>
                                <w:lang w:val="es-ES_tradnl"/>
                              </w:rPr>
                              <w:t>Américas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AF8E0" id="Text Box 14" o:spid="_x0000_s1028" type="#_x0000_t202" style="position:absolute;left:0;text-align:left;margin-left:403.5pt;margin-top:78.85pt;width:32.25pt;height: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iugwIAAIIFAAAOAAAAZHJzL2Uyb0RvYy54bWysVMFu2zAMvQ/YPwi6L3ayNuiCOkXWosOA&#10;oC2WDD0rstQIk0RNUmJnXz9KtpOu66XDLjJNPZIi+cjLq9Zoshc+KLAVHY9KSoTlUCv7VNHv69sP&#10;F5SEyGzNNFhR0YMI9Gr+/t1l42ZiAlvQtfAEndgwa1xFtzG6WVEEvhWGhRE4YfFSgjcs4q9/KmrP&#10;GvRudDEpy2nRgK+dBy5CQO1Nd0nn2b+Ugsd7KYOIRFcU3xbz6fO5SWcxv2SzJ8/cVvH+GewfXmGY&#10;shj06OqGRUZ2Xv3lyijuIYCMIw6mACkVFzkHzGZcvshmtWVO5FywOMEdyxT+n1t+t3/wRNXYuzNK&#10;LDPYo7VoI/kMLUEV1qdxYYawlUNgbFGP2EEfUJnSbqU36YsJEbzHSh+O1U3eOCrPyk/T8zElHK/G&#10;5WRcXiQvxcnY+RC/CDAkCRX12LxcU7ZfhthBB0iKFUCr+lZpnX8SYcS19mTPsNU65iei8z9Q2pKm&#10;otOP52V2bCGZd561TW5EpkwfLiXeJZileNAiYbT9JiSWLOf5SmzGubDH+BmdUBJDvcWwx59e9Rbj&#10;Lg+0yJHBxqOxURZ8zj7P2Klk9Y+hZLLDY2+e5Z3E2G7azJXp0P8N1AekhYdusILjtwqbt2QhPjCP&#10;k4RMwO0Q7/GQGrD40EuUbMH/ek2f8EhwvKWkwcmsaPi5Y15Qor9apH4a40Hwg7AZBLsz14AMQKLh&#10;a7KIBj7qQZQezCMujUWKglfMcoxV0TiI17HbD7h0uFgsMgiH1bG4tCvHk+tU1UTFdfvIvOv5GpHo&#10;dzDMLJu9oG2HTZYWFrsIUmVOp7p2VezrjYOep6JfSmmTPP/PqNPqnP8GAAD//wMAUEsDBBQABgAI&#10;AAAAIQBR1p+Y4QAAAAsBAAAPAAAAZHJzL2Rvd25yZXYueG1sTI/BTsMwEETvSPyDtUhcEHUKtI5C&#10;nAqQOCBRIQrqeRubODReh9htU76e5QTHnRm9nSkXo+/E3g6xDaRhOslAWKqDaanR8P72eJmDiAnJ&#10;YBfIajjaCIvq9KTEwoQDvdr9KjWCIRQL1OBS6gspY+2sxzgJvSX2PsLgMfE5NNIMeGC47+RVls2l&#10;x5b4g8PePjhbb1c7ryE/3iwv1nO1/uxenu7dd/NFz1vU+vxsvLsFkeyY/sLwW5+rQ8WdNmFHJoqO&#10;GZniLYmNmVIgOJGr6QzEhhV1nYOsSvl/Q/UDAAD//wMAUEsBAi0AFAAGAAgAAAAhALaDOJL+AAAA&#10;4QEAABMAAAAAAAAAAAAAAAAAAAAAAFtDb250ZW50X1R5cGVzXS54bWxQSwECLQAUAAYACAAAACEA&#10;OP0h/9YAAACUAQAACwAAAAAAAAAAAAAAAAAvAQAAX3JlbHMvLnJlbHNQSwECLQAUAAYACAAAACEA&#10;UsForoMCAACCBQAADgAAAAAAAAAAAAAAAAAuAgAAZHJzL2Uyb0RvYy54bWxQSwECLQAUAAYACAAA&#10;ACEAUdafmOEAAAALAQAADwAAAAAAAAAAAAAAAADdBAAAZHJzL2Rvd25yZXYueG1sUEsFBgAAAAAE&#10;AAQA8wAAAOsFAAAAAA==&#10;" fillcolor="white [3201]" stroked="f" strokeweight=".5pt">
                <v:textbox inset="0,0,0,0">
                  <w:txbxContent>
                    <w:p w:rsidR="009B0E7D" w:rsidRPr="009B0E7D" w:rsidRDefault="009B0E7D" w:rsidP="009B0E7D">
                      <w:pPr>
                        <w:spacing w:before="0"/>
                        <w:rPr>
                          <w:sz w:val="14"/>
                          <w:szCs w:val="14"/>
                          <w:lang w:val="es-ES_tradnl"/>
                        </w:rPr>
                      </w:pPr>
                      <w:r>
                        <w:rPr>
                          <w:sz w:val="14"/>
                          <w:szCs w:val="14"/>
                          <w:lang w:val="es-ES_tradnl"/>
                        </w:rPr>
                        <w:t>Américas</w:t>
                      </w:r>
                    </w:p>
                  </w:txbxContent>
                </v:textbox>
              </v:shape>
            </w:pict>
          </mc:Fallback>
        </mc:AlternateContent>
      </w:r>
      <w:r w:rsidR="009B0E7D">
        <w:rPr>
          <w:b/>
          <w:bCs w:val="0"/>
          <w:noProof/>
          <w:lang w:val="en-GB"/>
        </w:rPr>
        <mc:AlternateContent>
          <mc:Choice Requires="wps">
            <w:drawing>
              <wp:anchor distT="0" distB="0" distL="114300" distR="114300" simplePos="0" relativeHeight="251675648" behindDoc="0" locked="0" layoutInCell="1" allowOverlap="1" wp14:anchorId="7ABF3376" wp14:editId="142625BD">
                <wp:simplePos x="0" y="0"/>
                <wp:positionH relativeFrom="column">
                  <wp:posOffset>5121910</wp:posOffset>
                </wp:positionH>
                <wp:positionV relativeFrom="paragraph">
                  <wp:posOffset>1203655</wp:posOffset>
                </wp:positionV>
                <wp:extent cx="299923" cy="102108"/>
                <wp:effectExtent l="0" t="0" r="5080" b="0"/>
                <wp:wrapNone/>
                <wp:docPr id="13" name="Text Box 13"/>
                <wp:cNvGraphicFramePr/>
                <a:graphic xmlns:a="http://schemas.openxmlformats.org/drawingml/2006/main">
                  <a:graphicData uri="http://schemas.microsoft.com/office/word/2010/wordprocessingShape">
                    <wps:wsp>
                      <wps:cNvSpPr txBox="1"/>
                      <wps:spPr>
                        <a:xfrm>
                          <a:off x="0" y="0"/>
                          <a:ext cx="299923" cy="1021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0E7D" w:rsidRPr="009B0E7D" w:rsidRDefault="009B0E7D" w:rsidP="009B0E7D">
                            <w:pPr>
                              <w:spacing w:before="0"/>
                              <w:rPr>
                                <w:sz w:val="14"/>
                                <w:szCs w:val="14"/>
                                <w:lang w:val="es-ES_tradnl"/>
                              </w:rPr>
                            </w:pPr>
                            <w:r w:rsidRPr="009B0E7D">
                              <w:rPr>
                                <w:sz w:val="14"/>
                                <w:szCs w:val="14"/>
                                <w:lang w:val="es-ES_tradnl"/>
                              </w:rPr>
                              <w:t>Europa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F3376" id="Text Box 13" o:spid="_x0000_s1029" type="#_x0000_t202" style="position:absolute;left:0;text-align:left;margin-left:403.3pt;margin-top:94.8pt;width:23.6pt;height: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PHgwIAAIIFAAAOAAAAZHJzL2Uyb0RvYy54bWysVE1v2zAMvQ/YfxB0X+2kaNEEcYqsRYcB&#10;QVssGXpWZKkRJomapMTOfv0o2U66rpcOu8g09UiKjx+z69Zoshc+KLAVHZ2VlAjLoVb2uaLf13ef&#10;rigJkdmaabCiogcR6PX844dZ46ZiDFvQtfAEndgwbVxFtzG6aVEEvhWGhTNwwuKlBG9YxF//XNSe&#10;Nejd6GJclpdFA752HrgIAbW33SWdZ/9SCh4fpAwiEl1RfFvMp8/nJp3FfMamz565reL9M9g/vMIw&#10;ZTHo0dUti4zsvPrLlVHcQwAZzziYAqRUXOQcMJtR+Sqb1ZY5kXNBcoI70hT+n1t+v3/0RNVYu3NK&#10;LDNYo7VoI/kMLUEV8tO4MEXYyiEwtqhH7KAPqExpt9Kb9MWECN4j04cju8kbR+V4MpmMMQjHq1E5&#10;HpVXyUtxMnY+xC8CDElCRT0WL3PK9ssQO+gASbECaFXfKa3zT2oYcaM92TMstY75iej8D5S2pKno&#10;5flFmR1bSOadZ22TG5Fbpg+XEu8SzFI8aJEw2n4TEinLeb4Rm3Eu7DF+RieUxFDvMezxp1e9x7jL&#10;Ay1yZLDxaGyUBZ+zzzN2oqz+MVAmOzzW5kXeSYztps29cjHUfwP1AdvCQzdYwfE7hcVbshAfmcdJ&#10;wk7A7RAf8JAakHzoJUq24H+9pU94bHC8paTByaxo+LljXlCiv1ps/TTGg+AHYTMIdmduADtghHvH&#10;8SyigY96EKUH84RLY5Gi4BWzHGNVNA7iTez2Ay4dLhaLDMJhdSwu7crx5Dqxmlpx3T4x7/p+jdjo&#10;9zDMLJu+atsOmywtLHYRpMo9nXjtWOz5xkHPU9EvpbRJXv5n1Gl1zn8DAAD//wMAUEsDBBQABgAI&#10;AAAAIQBFrkQT4QAAAAsBAAAPAAAAZHJzL2Rvd25yZXYueG1sTI/BTsMwEETvSPyDtUhcELUpNA0h&#10;TgVIHJBAiIJ63sYmCbXXIXbblK9nOcFtR/M0O1MuRu/Ezg6xC6ThYqJAWKqD6ajR8P72cJ6DiAnJ&#10;oAtkNRxshEV1fFRiYcKeXu1umRrBIRQL1NCm1BdSxrq1HuMk9JbY+wiDx8RyaKQZcM/h3smpUpn0&#10;2BF/aLG3962tN8ut15Afrp7PVtl89eleHu/a7+aLnjao9enJeHsDItkx/cHwW5+rQ8Wd1mFLJgrH&#10;GSrLGGUjv+aDiXx2yWPWGqZqNgdZlfL/huoHAAD//wMAUEsBAi0AFAAGAAgAAAAhALaDOJL+AAAA&#10;4QEAABMAAAAAAAAAAAAAAAAAAAAAAFtDb250ZW50X1R5cGVzXS54bWxQSwECLQAUAAYACAAAACEA&#10;OP0h/9YAAACUAQAACwAAAAAAAAAAAAAAAAAvAQAAX3JlbHMvLnJlbHNQSwECLQAUAAYACAAAACEA&#10;4TdDx4MCAACCBQAADgAAAAAAAAAAAAAAAAAuAgAAZHJzL2Uyb0RvYy54bWxQSwECLQAUAAYACAAA&#10;ACEARa5EE+EAAAALAQAADwAAAAAAAAAAAAAAAADdBAAAZHJzL2Rvd25yZXYueG1sUEsFBgAAAAAE&#10;AAQA8wAAAOsFAAAAAA==&#10;" fillcolor="white [3201]" stroked="f" strokeweight=".5pt">
                <v:textbox inset="0,0,0,0">
                  <w:txbxContent>
                    <w:p w:rsidR="009B0E7D" w:rsidRPr="009B0E7D" w:rsidRDefault="009B0E7D" w:rsidP="009B0E7D">
                      <w:pPr>
                        <w:spacing w:before="0"/>
                        <w:rPr>
                          <w:sz w:val="14"/>
                          <w:szCs w:val="14"/>
                          <w:lang w:val="es-ES_tradnl"/>
                        </w:rPr>
                      </w:pPr>
                      <w:r w:rsidRPr="009B0E7D">
                        <w:rPr>
                          <w:sz w:val="14"/>
                          <w:szCs w:val="14"/>
                          <w:lang w:val="es-ES_tradnl"/>
                        </w:rPr>
                        <w:t>Europa</w:t>
                      </w:r>
                    </w:p>
                  </w:txbxContent>
                </v:textbox>
              </v:shape>
            </w:pict>
          </mc:Fallback>
        </mc:AlternateContent>
      </w:r>
      <w:r w:rsidR="009B0E7D">
        <w:rPr>
          <w:b/>
          <w:bCs w:val="0"/>
          <w:noProof/>
          <w:lang w:val="en-GB"/>
        </w:rPr>
        <mc:AlternateContent>
          <mc:Choice Requires="wps">
            <w:drawing>
              <wp:anchor distT="0" distB="0" distL="114300" distR="114300" simplePos="0" relativeHeight="251673600" behindDoc="0" locked="0" layoutInCell="1" allowOverlap="1" wp14:anchorId="2133CE75" wp14:editId="5B8420D0">
                <wp:simplePos x="0" y="0"/>
                <wp:positionH relativeFrom="column">
                  <wp:posOffset>5124450</wp:posOffset>
                </wp:positionH>
                <wp:positionV relativeFrom="paragraph">
                  <wp:posOffset>1359840</wp:posOffset>
                </wp:positionV>
                <wp:extent cx="431597" cy="226771"/>
                <wp:effectExtent l="0" t="0" r="6985" b="1905"/>
                <wp:wrapNone/>
                <wp:docPr id="12" name="Text Box 12"/>
                <wp:cNvGraphicFramePr/>
                <a:graphic xmlns:a="http://schemas.openxmlformats.org/drawingml/2006/main">
                  <a:graphicData uri="http://schemas.microsoft.com/office/word/2010/wordprocessingShape">
                    <wps:wsp>
                      <wps:cNvSpPr txBox="1"/>
                      <wps:spPr>
                        <a:xfrm>
                          <a:off x="0" y="0"/>
                          <a:ext cx="431597" cy="2267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0E7D" w:rsidRDefault="009B0E7D" w:rsidP="009B0E7D">
                            <w:pPr>
                              <w:spacing w:before="0"/>
                              <w:rPr>
                                <w:sz w:val="14"/>
                                <w:szCs w:val="14"/>
                                <w:lang w:val="es-ES_tradnl"/>
                              </w:rPr>
                            </w:pPr>
                            <w:r w:rsidRPr="009B0E7D">
                              <w:rPr>
                                <w:sz w:val="14"/>
                                <w:szCs w:val="14"/>
                                <w:lang w:val="es-ES_tradnl"/>
                              </w:rPr>
                              <w:t xml:space="preserve">Estados </w:t>
                            </w:r>
                          </w:p>
                          <w:p w:rsidR="009B0E7D" w:rsidRPr="009B0E7D" w:rsidRDefault="009B0E7D" w:rsidP="009B0E7D">
                            <w:pPr>
                              <w:spacing w:before="0"/>
                              <w:rPr>
                                <w:sz w:val="14"/>
                                <w:szCs w:val="14"/>
                                <w:lang w:val="es-ES_tradnl"/>
                              </w:rPr>
                            </w:pPr>
                            <w:r w:rsidRPr="009B0E7D">
                              <w:rPr>
                                <w:sz w:val="14"/>
                                <w:szCs w:val="14"/>
                                <w:lang w:val="es-ES_tradnl"/>
                              </w:rPr>
                              <w:t>Árabes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3CE75" id="Text Box 12" o:spid="_x0000_s1030" type="#_x0000_t202" style="position:absolute;left:0;text-align:left;margin-left:403.5pt;margin-top:107.05pt;width:34pt;height:1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57gwIAAIIFAAAOAAAAZHJzL2Uyb0RvYy54bWysVE1v2zAMvQ/YfxB0X52kX1tQp8hadBhQ&#10;tMXaoWdFlhpjsqhJSuLs1+9JtpOu66XDLjItPZLi0yPPztvGsLXyoSZb8vHBiDNlJVW1fSr594er&#10;Dx85C1HYShiyquRbFfj57P27s42bqgktyVTKMwSxYbpxJV/G6KZFEeRSNSIckFMWh5p8IyJ+/VNR&#10;ebFB9MYUk9HopNiQr5wnqULA7mV3yGc5vtZKxlutg4rMlBx3i3n1eV2ktZidiemTF25Zy/4a4h9u&#10;0YjaIuku1KWIgq18/VeoppaeAul4IKkpSOtaqlwDqhmPXlRzvxRO5VpATnA7msL/Cytv1nee1RXe&#10;bsKZFQ3e6EG1kX2mlmEL/GxcmAJ27wCMLfaBHfYDNlPZrfZN+qIghnMwvd2xm6JJbB4djo8/nXIm&#10;cTSZnJye5ijF3tn5EL8oalgySu7xeJlTsb4OERcBdICkXIFMXV3VxuSfJBh1YTxbCzy1iUPwP1DG&#10;sk3JTw6PRzmwpeTeRTY2hVFZMn26VHhXYLbi1qiEMfab0qAs1/lKbiGlsrv8GZ1QGqne4tjj97d6&#10;i3NXBzxyZrJx59zUlnyuPvfYnrLqx0CZ7vAg/FndyYztos1aORref0HVFrLw1DVWcPKqxuNdixDv&#10;hEcnQQmYDvEWizYE8qm3OFuS//XafsJD4DjlbIPOLHn4uRJecWa+Wkg/tfFg+MFYDIZdNRcEBYwx&#10;d5zMJhx8NIOpPTWPGBrzlAVHwkrkKnkczIvYzQcMHanm8wxCszoRr+29kyl0YjVJ8aF9FN71eo0Q&#10;+g0NPSumL2TbYZOnpfkqkq6zphOvHYs932j0LPV+KKVJ8vw/o/ajc/YbAAD//wMAUEsDBBQABgAI&#10;AAAAIQC+1CPv4gAAAAsBAAAPAAAAZHJzL2Rvd25yZXYueG1sTI/BTsMwEETvSPyDtUhcEHVShSaE&#10;OBUgcUACIQrqeRubODReh9htU76e5QTHnR3NvKmWk+vF3oyh86QgnSUgDDVed9QqeH97uCxAhIik&#10;sfdkFBxNgGV9elJhqf2BXs1+FVvBIRRKVGBjHEopQ2ONwzDzgyH+ffjRYeRzbKUe8cDhrpfzJFlI&#10;hx1xg8XB3FvTbFc7p6A4Zs8X60W+/uxfHu/sd/tFT1tU6vxsur0BEc0U/8zwi8/oUDPTxu9IB9Fz&#10;RpLzlqhgnmYpCHYU+RUrG1ay6wJkXcn/G+ofAAAA//8DAFBLAQItABQABgAIAAAAIQC2gziS/gAA&#10;AOEBAAATAAAAAAAAAAAAAAAAAAAAAABbQ29udGVudF9UeXBlc10ueG1sUEsBAi0AFAAGAAgAAAAh&#10;ADj9If/WAAAAlAEAAAsAAAAAAAAAAAAAAAAALwEAAF9yZWxzLy5yZWxzUEsBAi0AFAAGAAgAAAAh&#10;AC7LvnuDAgAAggUAAA4AAAAAAAAAAAAAAAAALgIAAGRycy9lMm9Eb2MueG1sUEsBAi0AFAAGAAgA&#10;AAAhAL7UI+/iAAAACwEAAA8AAAAAAAAAAAAAAAAA3QQAAGRycy9kb3ducmV2LnhtbFBLBQYAAAAA&#10;BAAEAPMAAADsBQAAAAA=&#10;" fillcolor="white [3201]" stroked="f" strokeweight=".5pt">
                <v:textbox inset="0,0,0,0">
                  <w:txbxContent>
                    <w:p w:rsidR="009B0E7D" w:rsidRDefault="009B0E7D" w:rsidP="009B0E7D">
                      <w:pPr>
                        <w:spacing w:before="0"/>
                        <w:rPr>
                          <w:sz w:val="14"/>
                          <w:szCs w:val="14"/>
                          <w:lang w:val="es-ES_tradnl"/>
                        </w:rPr>
                      </w:pPr>
                      <w:r w:rsidRPr="009B0E7D">
                        <w:rPr>
                          <w:sz w:val="14"/>
                          <w:szCs w:val="14"/>
                          <w:lang w:val="es-ES_tradnl"/>
                        </w:rPr>
                        <w:t xml:space="preserve">Estados </w:t>
                      </w:r>
                    </w:p>
                    <w:p w:rsidR="009B0E7D" w:rsidRPr="009B0E7D" w:rsidRDefault="009B0E7D" w:rsidP="009B0E7D">
                      <w:pPr>
                        <w:spacing w:before="0"/>
                        <w:rPr>
                          <w:sz w:val="14"/>
                          <w:szCs w:val="14"/>
                          <w:lang w:val="es-ES_tradnl"/>
                        </w:rPr>
                      </w:pPr>
                      <w:r w:rsidRPr="009B0E7D">
                        <w:rPr>
                          <w:sz w:val="14"/>
                          <w:szCs w:val="14"/>
                          <w:lang w:val="es-ES_tradnl"/>
                        </w:rPr>
                        <w:t>Árabes</w:t>
                      </w:r>
                    </w:p>
                  </w:txbxContent>
                </v:textbox>
              </v:shape>
            </w:pict>
          </mc:Fallback>
        </mc:AlternateContent>
      </w:r>
      <w:r w:rsidR="009B0E7D">
        <w:rPr>
          <w:b/>
          <w:bCs w:val="0"/>
          <w:noProof/>
          <w:lang w:val="en-GB"/>
        </w:rPr>
        <mc:AlternateContent>
          <mc:Choice Requires="wps">
            <w:drawing>
              <wp:anchor distT="0" distB="0" distL="114300" distR="114300" simplePos="0" relativeHeight="251669504" behindDoc="0" locked="0" layoutInCell="1" allowOverlap="1" wp14:anchorId="2A5762E9" wp14:editId="757A4F59">
                <wp:simplePos x="0" y="0"/>
                <wp:positionH relativeFrom="column">
                  <wp:posOffset>2344420</wp:posOffset>
                </wp:positionH>
                <wp:positionV relativeFrom="paragraph">
                  <wp:posOffset>1566215</wp:posOffset>
                </wp:positionV>
                <wp:extent cx="518795" cy="1606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8795" cy="160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0E7D" w:rsidRPr="009B0E7D" w:rsidRDefault="009B0E7D" w:rsidP="009B0E7D">
                            <w:pPr>
                              <w:spacing w:before="0"/>
                              <w:rPr>
                                <w:sz w:val="14"/>
                                <w:szCs w:val="14"/>
                                <w:lang w:val="es-ES_tradnl"/>
                              </w:rPr>
                            </w:pPr>
                            <w:r w:rsidRPr="009B0E7D">
                              <w:rPr>
                                <w:sz w:val="14"/>
                                <w:szCs w:val="14"/>
                                <w:lang w:val="es-ES_tradnl"/>
                              </w:rPr>
                              <w:t>Asociados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762E9" id="Text Box 10" o:spid="_x0000_s1031" type="#_x0000_t202" style="position:absolute;left:0;text-align:left;margin-left:184.6pt;margin-top:123.3pt;width:40.85pt;height:1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xnggIAAIIFAAAOAAAAZHJzL2Uyb0RvYy54bWysVE1PGzEQvVfqf7B8L5tQJaURG5SCqCoh&#10;QEDF2fHaZFWvx7WdZNNf32fvbkIpF6pevLPjN288n6dnbWPYRvlQky35+GjEmbKSqto+lfz7w+WH&#10;E85CFLYShqwq+U4FfjZ//+5062bqmFZkKuUZSGyYbV3JVzG6WVEEuVKNCEfklMWlJt+IiF//VFRe&#10;bMHemOJ4NJoWW/KV8yRVCNBedJd8nvm1VjLeaB1UZKbkeFvMp8/nMp3F/FTMnrxwq1r2zxD/8IpG&#10;1BZO91QXIgq29vVfVE0tPQXS8UhSU5DWtVQ5BkQzHr2I5n4lnMqxIDnB7dMU/h+tvN7celZXqB3S&#10;Y0WDGj2oNrIv1DKokJ+tCzPA7h2AsYUe2EEfoExht9o36YuAGO5BtdtnN7FJKCfjk0+fJ5xJXI2n&#10;o+lkkliKg7HzIX5V1LAklNyjeDmnYnMVYgcdIMlXIFNXl7Ux+Sc1jDo3nm0ESm1ifiLI/0AZy7Yl&#10;n36cjDKxpWTeMRubaFRumd5dCrwLMEtxZ1TCGHunNFKW43zFt5BS2b3/jE4oDVdvMezxh1e9xbiL&#10;AxbZM9m4N25qSz5Hn2fskLLqx5Ay3eFRm2dxJzG2yzb3yvFQ/yVVO7SFp26wgpOXNYp3JUK8FR6T&#10;hE7Adog3OLQhJJ96ibMV+V+v6RMeDY5bzraYzJKHn2vhFWfmm0XrpzEeBD8Iy0Gw6+ac0AFj7B0n&#10;swgDH80gak/NI5bGInnBlbASvkoeB/E8dvsBS0eqxSKDMKxOxCt772SiTllNrfjQPgrv+n6NaPRr&#10;GmZWzF60bYdNlpYW60i6zj2d8tplsc83Bj1PRb+U0iZ5/p9Rh9U5/w0AAP//AwBQSwMEFAAGAAgA&#10;AAAhAEwXnEHjAAAACwEAAA8AAABkcnMvZG93bnJldi54bWxMj8FOwzAMhu9IvENkJC5oS1dKtpam&#10;EyBxQAIhNrSz14S2LHFKk20dT084wdH2p9/fXy5Ha9hBD75zJGE2TYBpqp3qqJHwvn6cLID5gKTQ&#10;ONISTtrDsjo/K7FQ7khv+rAKDYsh5AuU0IbQF5z7utUW/dT1muLtww0WQxyHhqsBjzHcGp4mieAW&#10;O4ofWuz1Q6vr3WpvJSxO2cvVRsw3n+b16b79br7oeYdSXl6Md7fAgh7DHwy/+lEdqui0dXtSnhkJ&#10;1yJPIyohzYQAFonsJsmBbeNmPsuBVyX/36H6AQAA//8DAFBLAQItABQABgAIAAAAIQC2gziS/gAA&#10;AOEBAAATAAAAAAAAAAAAAAAAAAAAAABbQ29udGVudF9UeXBlc10ueG1sUEsBAi0AFAAGAAgAAAAh&#10;ADj9If/WAAAAlAEAAAsAAAAAAAAAAAAAAAAALwEAAF9yZWxzLy5yZWxzUEsBAi0AFAAGAAgAAAAh&#10;AHocXGeCAgAAggUAAA4AAAAAAAAAAAAAAAAALgIAAGRycy9lMm9Eb2MueG1sUEsBAi0AFAAGAAgA&#10;AAAhAEwXnEHjAAAACwEAAA8AAAAAAAAAAAAAAAAA3AQAAGRycy9kb3ducmV2LnhtbFBLBQYAAAAA&#10;BAAEAPMAAADsBQAAAAA=&#10;" fillcolor="white [3201]" stroked="f" strokeweight=".5pt">
                <v:textbox inset="0,0,0,0">
                  <w:txbxContent>
                    <w:p w:rsidR="009B0E7D" w:rsidRPr="009B0E7D" w:rsidRDefault="009B0E7D" w:rsidP="009B0E7D">
                      <w:pPr>
                        <w:spacing w:before="0"/>
                        <w:rPr>
                          <w:sz w:val="14"/>
                          <w:szCs w:val="14"/>
                          <w:lang w:val="es-ES_tradnl"/>
                        </w:rPr>
                      </w:pPr>
                      <w:r w:rsidRPr="009B0E7D">
                        <w:rPr>
                          <w:sz w:val="14"/>
                          <w:szCs w:val="14"/>
                          <w:lang w:val="es-ES_tradnl"/>
                        </w:rPr>
                        <w:t>Asociados</w:t>
                      </w:r>
                    </w:p>
                  </w:txbxContent>
                </v:textbox>
              </v:shape>
            </w:pict>
          </mc:Fallback>
        </mc:AlternateContent>
      </w:r>
      <w:r w:rsidR="009B0E7D">
        <w:rPr>
          <w:b/>
          <w:bCs w:val="0"/>
          <w:noProof/>
          <w:lang w:val="en-GB"/>
        </w:rPr>
        <mc:AlternateContent>
          <mc:Choice Requires="wps">
            <w:drawing>
              <wp:anchor distT="0" distB="0" distL="114300" distR="114300" simplePos="0" relativeHeight="251663360" behindDoc="0" locked="0" layoutInCell="1" allowOverlap="1">
                <wp:simplePos x="0" y="0"/>
                <wp:positionH relativeFrom="column">
                  <wp:posOffset>2338070</wp:posOffset>
                </wp:positionH>
                <wp:positionV relativeFrom="paragraph">
                  <wp:posOffset>1278560</wp:posOffset>
                </wp:positionV>
                <wp:extent cx="548005" cy="255905"/>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548005"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0E7D" w:rsidRPr="009B0E7D" w:rsidRDefault="009B0E7D" w:rsidP="009B0E7D">
                            <w:pPr>
                              <w:spacing w:before="0"/>
                              <w:rPr>
                                <w:sz w:val="14"/>
                                <w:szCs w:val="14"/>
                                <w:lang w:val="es-ES_tradnl"/>
                              </w:rPr>
                            </w:pPr>
                            <w:r w:rsidRPr="009B0E7D">
                              <w:rPr>
                                <w:sz w:val="14"/>
                                <w:szCs w:val="14"/>
                                <w:lang w:val="es-ES_tradnl"/>
                              </w:rPr>
                              <w:t xml:space="preserve">Instituciones </w:t>
                            </w:r>
                            <w:r w:rsidRPr="009B0E7D">
                              <w:rPr>
                                <w:sz w:val="14"/>
                                <w:szCs w:val="14"/>
                                <w:lang w:val="es-ES_tradnl"/>
                              </w:rPr>
                              <w:t>Académicas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left:0;text-align:left;margin-left:184.1pt;margin-top:100.65pt;width:43.1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CKfwIAAHkFAAAOAAAAZHJzL2Uyb0RvYy54bWysVE1v2zAMvQ/YfxB0X+xkS9EFdYqsRYcB&#10;QVs0GXpWZKkRJomapMTOfv0o2U66rpcOu8g09UiKjx8Xl63RZC98UGArOh6VlAjLoVb2qaLf1zcf&#10;zikJkdmaabCiogcR6OX8/buLxs3EBLaga+EJOrFh1riKbmN0s6IIfCsMCyNwwuKlBG9YxF//VNSe&#10;Nejd6GJSlmdFA752HrgIAbXX3SWdZ/9SCh7vpAwiEl1RfFvMp8/nJp3F/ILNnjxzW8X7Z7B/eIVh&#10;ymLQo6trFhnZefWXK6O4hwAyjjiYAqRUXOQcMJtx+SKb1ZY5kXNBcoI70hT+n1t+u7/3RNUVnVJi&#10;mcESrUUbyRdoyTSx07gwQ9DKISy2qMYqD/qAypR0K71JX0yH4D3yfDhym5xxVE4/nZclxuB4NZlO&#10;P6OM3ouTsfMhfhVgSBIq6rF0mVG2X4bYQQdIihVAq/pGaZ1/UruIK+3JnmGhdcxPROd/oLQlTUXP&#10;Pk7L7NhCMu88a5vciNwwfbiUeJdgluJBi4TR9kFIJCzn+Upsxrmwx/gZnVASQ73FsMefXvUW4y4P&#10;tMiRwcajsVEWfM4+T9iJsvrHQJns8FibZ3knMbabtm+IDdQH7AcP3TwFx28UVm3JQrxnHgcIWwCX&#10;QrzDQ2pA1qGXKNmC//WaPuGxr/GWkgYHsqLh5455QYn+ZrHj0/QOgh+EzSDYnbkCLP0Y143jWUQD&#10;H/UgSg/mEXfFIkXBK2Y5xqpoHMSr2K0F3DVcLBYZhDPqWFzalePJdaIz9eC6fWTe9Y0ascNvYRhV&#10;NnvRrx02WVpY7CJIlZs5Edqx2BON853Hod9FaYE8/8+o08ac/wYAAP//AwBQSwMEFAAGAAgAAAAh&#10;ACDi3FXjAAAACwEAAA8AAABkcnMvZG93bnJldi54bWxMj8FOwzAMhu9IvENkJC6Ipe26UpWmEyBx&#10;QGJCDLSz14SmLHFKk20dT084wdH2p9/fXy8na9hBjb53JCCdJcAUtU721Al4f3u8LoH5gCTROFIC&#10;TsrDsjk/q7GS7kiv6rAOHYsh5CsUoEMYKs59q5VFP3ODonj7cKPFEMex43LEYwy3hmdJUnCLPcUP&#10;Ggf1oFW7W++tgPKUr642xc3m07w83evv7ouedyjE5cV0dwssqCn8wfCrH9WhiU5btyfpmREwL8os&#10;ogKyJJ0Di0S+yBfAtnGTpwXwpub/OzQ/AAAA//8DAFBLAQItABQABgAIAAAAIQC2gziS/gAAAOEB&#10;AAATAAAAAAAAAAAAAAAAAAAAAABbQ29udGVudF9UeXBlc10ueG1sUEsBAi0AFAAGAAgAAAAhADj9&#10;If/WAAAAlAEAAAsAAAAAAAAAAAAAAAAALwEAAF9yZWxzLy5yZWxzUEsBAi0AFAAGAAgAAAAhADKe&#10;oIp/AgAAeQUAAA4AAAAAAAAAAAAAAAAALgIAAGRycy9lMm9Eb2MueG1sUEsBAi0AFAAGAAgAAAAh&#10;ACDi3FXjAAAACwEAAA8AAAAAAAAAAAAAAAAA2QQAAGRycy9kb3ducmV2LnhtbFBLBQYAAAAABAAE&#10;APMAAADpBQAAAAA=&#10;" fillcolor="white [3201]" stroked="f" strokeweight=".5pt">
                <v:textbox inset="0,0,0,0">
                  <w:txbxContent>
                    <w:p w:rsidR="009B0E7D" w:rsidRPr="009B0E7D" w:rsidRDefault="009B0E7D" w:rsidP="009B0E7D">
                      <w:pPr>
                        <w:spacing w:before="0"/>
                        <w:rPr>
                          <w:sz w:val="14"/>
                          <w:szCs w:val="14"/>
                          <w:lang w:val="es-ES_tradnl"/>
                        </w:rPr>
                      </w:pPr>
                      <w:r w:rsidRPr="009B0E7D">
                        <w:rPr>
                          <w:sz w:val="14"/>
                          <w:szCs w:val="14"/>
                          <w:lang w:val="es-ES_tradnl"/>
                        </w:rPr>
                        <w:t xml:space="preserve">Instituciones </w:t>
                      </w:r>
                      <w:r w:rsidRPr="009B0E7D">
                        <w:rPr>
                          <w:sz w:val="14"/>
                          <w:szCs w:val="14"/>
                          <w:lang w:val="es-ES_tradnl"/>
                        </w:rPr>
                        <w:t>Académicas</w:t>
                      </w:r>
                    </w:p>
                  </w:txbxContent>
                </v:textbox>
              </v:shape>
            </w:pict>
          </mc:Fallback>
        </mc:AlternateContent>
      </w:r>
      <w:r w:rsidR="009B0E7D">
        <w:rPr>
          <w:b/>
          <w:bCs w:val="0"/>
          <w:noProof/>
          <w:lang w:val="en-GB"/>
        </w:rPr>
        <mc:AlternateContent>
          <mc:Choice Requires="wps">
            <w:drawing>
              <wp:anchor distT="0" distB="0" distL="114300" distR="114300" simplePos="0" relativeHeight="251667456" behindDoc="0" locked="0" layoutInCell="1" allowOverlap="1" wp14:anchorId="3D370502" wp14:editId="02C7FFE3">
                <wp:simplePos x="0" y="0"/>
                <wp:positionH relativeFrom="column">
                  <wp:posOffset>2344979</wp:posOffset>
                </wp:positionH>
                <wp:positionV relativeFrom="paragraph">
                  <wp:posOffset>1879549</wp:posOffset>
                </wp:positionV>
                <wp:extent cx="474980" cy="212141"/>
                <wp:effectExtent l="0" t="0" r="1270" b="0"/>
                <wp:wrapNone/>
                <wp:docPr id="9" name="Text Box 9"/>
                <wp:cNvGraphicFramePr/>
                <a:graphic xmlns:a="http://schemas.openxmlformats.org/drawingml/2006/main">
                  <a:graphicData uri="http://schemas.microsoft.com/office/word/2010/wordprocessingShape">
                    <wps:wsp>
                      <wps:cNvSpPr txBox="1"/>
                      <wps:spPr>
                        <a:xfrm>
                          <a:off x="0" y="0"/>
                          <a:ext cx="474980" cy="2121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0E7D" w:rsidRPr="009B0E7D" w:rsidRDefault="009B0E7D" w:rsidP="009B0E7D">
                            <w:pPr>
                              <w:spacing w:before="0"/>
                              <w:rPr>
                                <w:sz w:val="14"/>
                                <w:szCs w:val="14"/>
                                <w:lang w:val="es-ES_tradnl"/>
                              </w:rPr>
                            </w:pPr>
                            <w:r w:rsidRPr="009B0E7D">
                              <w:rPr>
                                <w:sz w:val="14"/>
                                <w:szCs w:val="14"/>
                                <w:lang w:val="es-ES_tradnl"/>
                              </w:rPr>
                              <w:t xml:space="preserve">Miembros </w:t>
                            </w:r>
                            <w:r w:rsidRPr="009B0E7D">
                              <w:rPr>
                                <w:sz w:val="14"/>
                                <w:szCs w:val="14"/>
                                <w:lang w:val="es-ES_tradnl"/>
                              </w:rPr>
                              <w:br/>
                            </w:r>
                            <w:r w:rsidRPr="009B0E7D">
                              <w:rPr>
                                <w:sz w:val="14"/>
                                <w:szCs w:val="14"/>
                                <w:lang w:val="es-ES_tradnl"/>
                              </w:rPr>
                              <w:t>de Sector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70502" id="Text Box 9" o:spid="_x0000_s1033" type="#_x0000_t202" style="position:absolute;left:0;text-align:left;margin-left:184.65pt;margin-top:148pt;width:37.4pt;height:1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UwgQIAAIAFAAAOAAAAZHJzL2Uyb0RvYy54bWysVE1v2zAMvQ/YfxB0X5xkWdcGcYqsRYcB&#10;QVusGXpWZCkRJomapMTOfn0p2U66rpcOu8i0+EiKjx+zy8Zoshc+KLAlHQ2GlAjLoVJ2U9Ifq5sP&#10;55SEyGzFNFhR0oMI9HL+/t2sdlMxhi3oSniCTmyY1q6k2xjdtCgC3wrDwgCcsKiU4A2L+Os3ReVZ&#10;jd6NLsbD4VlRg6+cBy5CwNvrVknn2b+Ugsc7KYOIRJcU3xbz6fO5Tmcxn7HpxjO3Vbx7BvuHVxim&#10;LAY9urpmkZGdV3+5Mop7CCDjgIMpQErFRc4BsxkNX2TzsGVO5FyQnOCONIX/55bf7u89UVVJLyix&#10;zGCJVqKJ5As05CKxU7swRdCDQ1hs8Bqr3N8HvExJN9Kb9MV0COqR58OR2+SM4+Xk8+TiHDUcVePR&#10;eDTJXoqTsfMhfhVgSBJK6rF0mVG2X4aID0FoD0mxAmhV3Sit809qF3GlPdkzLLSOvfM/UNqSuqRn&#10;Hz8Ns2MLybz1rG1yI3LDdOFS4m2CWYoHLRJG2+9CImE5z1diM86FPcbP6ISSGOothh3+9Kq3GLd5&#10;oEWODDYejY2y4HP2ecJOlFU/e8pki0fCn+WdxNism9wpx/qvoTpgW3hoxyo4fqOweEsW4j3zOEdY&#10;b9wN8Q4PqQHJh06iZAv+92v3CY/tjVpKapzLkoZfO+YFJfqbxcZPQ9wLvhfWvWB35gqwA0a4dRzP&#10;Ihr4qHtRejCPuDIWKQqqmOUYq6SxF69iux1w5XCxWGQQjqpjcWkfHE+uE6upFVfNI/Ou69eIjX4L&#10;/cSy6Yu2bbHJ0sJiF0Gq3NOJ15bFjm8c89zq3UpKe+T5f0adFuf8CQAA//8DAFBLAwQUAAYACAAA&#10;ACEAgUrKauMAAAALAQAADwAAAGRycy9kb3ducmV2LnhtbEyPwU7DMBBE70j8g7VIXFDrNI1CE+JU&#10;gMQBiQrRop7d2MSh9jrEbpvy9SwnOK7mafZNtRydZUc9hM6jgNk0Aaax8arDVsD75mmyABaiRCWt&#10;Ry3grAMs68uLSpbKn/BNH9exZVSCoZQCTIx9yXlojHYyTH2vkbIPPzgZ6RxargZ5onJneZokOXey&#10;Q/pgZK8fjW7264MTsDhnq5ttfrv9tK/PD+a7/cKXvRTi+mq8vwMW9Rj/YPjVJ3WoyWnnD6gCswLm&#10;eTEnVEBa5DSKiCzLZsB2FKVFBryu+P8N9Q8AAAD//wMAUEsBAi0AFAAGAAgAAAAhALaDOJL+AAAA&#10;4QEAABMAAAAAAAAAAAAAAAAAAAAAAFtDb250ZW50X1R5cGVzXS54bWxQSwECLQAUAAYACAAAACEA&#10;OP0h/9YAAACUAQAACwAAAAAAAAAAAAAAAAAvAQAAX3JlbHMvLnJlbHNQSwECLQAUAAYACAAAACEA&#10;M9KlMIECAACABQAADgAAAAAAAAAAAAAAAAAuAgAAZHJzL2Uyb0RvYy54bWxQSwECLQAUAAYACAAA&#10;ACEAgUrKauMAAAALAQAADwAAAAAAAAAAAAAAAADbBAAAZHJzL2Rvd25yZXYueG1sUEsFBgAAAAAE&#10;AAQA8wAAAOsFAAAAAA==&#10;" fillcolor="white [3201]" stroked="f" strokeweight=".5pt">
                <v:textbox inset="0,0,0,0">
                  <w:txbxContent>
                    <w:p w:rsidR="009B0E7D" w:rsidRPr="009B0E7D" w:rsidRDefault="009B0E7D" w:rsidP="009B0E7D">
                      <w:pPr>
                        <w:spacing w:before="0"/>
                        <w:rPr>
                          <w:sz w:val="14"/>
                          <w:szCs w:val="14"/>
                          <w:lang w:val="es-ES_tradnl"/>
                        </w:rPr>
                      </w:pPr>
                      <w:r w:rsidRPr="009B0E7D">
                        <w:rPr>
                          <w:sz w:val="14"/>
                          <w:szCs w:val="14"/>
                          <w:lang w:val="es-ES_tradnl"/>
                        </w:rPr>
                        <w:t xml:space="preserve">Miembros </w:t>
                      </w:r>
                      <w:r w:rsidRPr="009B0E7D">
                        <w:rPr>
                          <w:sz w:val="14"/>
                          <w:szCs w:val="14"/>
                          <w:lang w:val="es-ES_tradnl"/>
                        </w:rPr>
                        <w:br/>
                      </w:r>
                      <w:r w:rsidRPr="009B0E7D">
                        <w:rPr>
                          <w:sz w:val="14"/>
                          <w:szCs w:val="14"/>
                          <w:lang w:val="es-ES_tradnl"/>
                        </w:rPr>
                        <w:t>de Sector</w:t>
                      </w:r>
                    </w:p>
                  </w:txbxContent>
                </v:textbox>
              </v:shape>
            </w:pict>
          </mc:Fallback>
        </mc:AlternateContent>
      </w:r>
      <w:r w:rsidR="009B0E7D">
        <w:rPr>
          <w:b/>
          <w:bCs w:val="0"/>
          <w:noProof/>
          <w:lang w:val="en-GB"/>
        </w:rPr>
        <mc:AlternateContent>
          <mc:Choice Requires="wps">
            <w:drawing>
              <wp:anchor distT="0" distB="0" distL="114300" distR="114300" simplePos="0" relativeHeight="251671552" behindDoc="0" locked="0" layoutInCell="1" allowOverlap="1" wp14:anchorId="485E4358" wp14:editId="634A6CCB">
                <wp:simplePos x="0" y="0"/>
                <wp:positionH relativeFrom="column">
                  <wp:posOffset>5123180</wp:posOffset>
                </wp:positionH>
                <wp:positionV relativeFrom="paragraph">
                  <wp:posOffset>1592885</wp:posOffset>
                </wp:positionV>
                <wp:extent cx="299923" cy="102108"/>
                <wp:effectExtent l="0" t="0" r="5080" b="0"/>
                <wp:wrapNone/>
                <wp:docPr id="11" name="Text Box 11"/>
                <wp:cNvGraphicFramePr/>
                <a:graphic xmlns:a="http://schemas.openxmlformats.org/drawingml/2006/main">
                  <a:graphicData uri="http://schemas.microsoft.com/office/word/2010/wordprocessingShape">
                    <wps:wsp>
                      <wps:cNvSpPr txBox="1"/>
                      <wps:spPr>
                        <a:xfrm>
                          <a:off x="0" y="0"/>
                          <a:ext cx="299923" cy="1021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0E7D" w:rsidRPr="009B0E7D" w:rsidRDefault="009B0E7D" w:rsidP="009B0E7D">
                            <w:pPr>
                              <w:spacing w:before="0"/>
                              <w:rPr>
                                <w:sz w:val="14"/>
                                <w:szCs w:val="14"/>
                                <w:lang w:val="es-ES_tradnl"/>
                              </w:rPr>
                            </w:pPr>
                            <w:r w:rsidRPr="009B0E7D">
                              <w:rPr>
                                <w:sz w:val="14"/>
                                <w:szCs w:val="14"/>
                                <w:lang w:val="es-ES_tradnl"/>
                              </w:rPr>
                              <w:t>África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E4358" id="Text Box 11" o:spid="_x0000_s1034" type="#_x0000_t202" style="position:absolute;left:0;text-align:left;margin-left:403.4pt;margin-top:125.4pt;width:23.6pt;height: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d5gwIAAIIFAAAOAAAAZHJzL2Uyb0RvYy54bWysVMFu2zAMvQ/YPwi6r3ZSrGiDOkXWosOA&#10;oh3WDj0rstQYk0VNUhJnX78n2U66rpcOu8g09UiK5CPPL7rWsI3yoSFb8clRyZmykurGPlX8+8P1&#10;h1POQhS2FoasqvhOBX4xf//ufOtmakorMrXyDE5smG1dxVcxullRBLlSrQhH5JTFpSbfiohf/1TU&#10;XmzhvTXFtCxPii352nmSKgRor/pLPs/+tVYy3mkdVGSm4nhbzKfP5zKdxfxczJ68cKtGDs8Q//CK&#10;VjQWQfeurkQUbO2bv1y1jfQUSMcjSW1BWjdS5RyQzaR8kc39SjiVc0FxgtuXKfw/t/J289Wzpkbv&#10;JpxZ0aJHD6qL7BN1DCrUZ+vCDLB7B2DsoAd21AcoU9qd9m36IiGGe1R6t69u8iahnJ6dnU2POZO4&#10;mpTTSXmavBQHY+dD/KyoZUmouEfzck3F5ibEHjpCUqxApqmvG2PyTyKMujSebQRabWJ+Ipz/gTKW&#10;bSt+cvyxzI4tJfPes7HJjcqUGcKlxPsEsxR3RiWMsd+URslynq/EFlIqu4+f0QmlEeothgP+8Kq3&#10;GPd5wCJHJhv3xm1jyefs84wdSlb/GEumezx68yzvJMZu2WWuHI/9X1K9Ay089YMVnLxu0LwbEeJX&#10;4TFJYAK2Q7zDoQ2h+DRInK3I/3pNn/AgOG4522IyKx5+roVXnJkvFtRPYzwKfhSWo2DX7SWBAWAz&#10;XpNFGPhoRlF7ah+xNBYpCq6ElYhV8TiKl7HfD1g6Ui0WGYRhdSLe2Hsnk+tU1UTFh+5ReDfwNYLo&#10;tzTOrJi9oG2PTZaWFutIusmcTnXtqzjUG4Oep2JYSmmTPP/PqMPqnP8GAAD//wMAUEsDBBQABgAI&#10;AAAAIQA+jjh84gAAAAsBAAAPAAAAZHJzL2Rvd25yZXYueG1sTI/BTsMwEETvSPyDtUhcELWpWhNC&#10;nAqQOCBRIQrq2Y1NHGqvQ+y2KV/PcoLb7s5o9k21GINnezukLqKCq4kAZrGJpsNWwfvb42UBLGWN&#10;RvuIVsHRJljUpyeVLk084Kvdr3LLKARTqRW4nPuS89Q4G3SaxN4iaR9xCDrTOrTcDPpA4cHzqRCS&#10;B90hfXC6tw/ONtvVLigojrPlxVperz/9y9O9+26/8HmrlTo/G+9ugWU75j8z/OITOtTEtIk7NIl5&#10;yhCS0LOC6VzQQI5iPqN2G7pIeQO8rvj/DvUPAAAA//8DAFBLAQItABQABgAIAAAAIQC2gziS/gAA&#10;AOEBAAATAAAAAAAAAAAAAAAAAAAAAABbQ29udGVudF9UeXBlc10ueG1sUEsBAi0AFAAGAAgAAAAh&#10;ADj9If/WAAAAlAEAAAsAAAAAAAAAAAAAAAAALwEAAF9yZWxzLy5yZWxzUEsBAi0AFAAGAAgAAAAh&#10;AB2Mh3mDAgAAggUAAA4AAAAAAAAAAAAAAAAALgIAAGRycy9lMm9Eb2MueG1sUEsBAi0AFAAGAAgA&#10;AAAhAD6OOHziAAAACwEAAA8AAAAAAAAAAAAAAAAA3QQAAGRycy9kb3ducmV2LnhtbFBLBQYAAAAA&#10;BAAEAPMAAADsBQAAAAA=&#10;" fillcolor="white [3201]" stroked="f" strokeweight=".5pt">
                <v:textbox inset="0,0,0,0">
                  <w:txbxContent>
                    <w:p w:rsidR="009B0E7D" w:rsidRPr="009B0E7D" w:rsidRDefault="009B0E7D" w:rsidP="009B0E7D">
                      <w:pPr>
                        <w:spacing w:before="0"/>
                        <w:rPr>
                          <w:sz w:val="14"/>
                          <w:szCs w:val="14"/>
                          <w:lang w:val="es-ES_tradnl"/>
                        </w:rPr>
                      </w:pPr>
                      <w:r w:rsidRPr="009B0E7D">
                        <w:rPr>
                          <w:sz w:val="14"/>
                          <w:szCs w:val="14"/>
                          <w:lang w:val="es-ES_tradnl"/>
                        </w:rPr>
                        <w:t>África</w:t>
                      </w:r>
                    </w:p>
                  </w:txbxContent>
                </v:textbox>
              </v:shape>
            </w:pict>
          </mc:Fallback>
        </mc:AlternateContent>
      </w:r>
      <w:r w:rsidR="004C428A" w:rsidRPr="00FD07BC">
        <w:rPr>
          <w:noProof/>
          <w:lang w:val="en-GB"/>
        </w:rPr>
        <w:drawing>
          <wp:inline distT="0" distB="0" distL="0" distR="0" wp14:anchorId="08AD9BA9" wp14:editId="07396396">
            <wp:extent cx="2722245" cy="1990725"/>
            <wp:effectExtent l="0" t="0" r="190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4C428A" w:rsidRPr="00FD07BC">
        <w:rPr>
          <w:b/>
          <w:bCs w:val="0"/>
          <w:lang w:val="es-ES"/>
        </w:rPr>
        <w:t xml:space="preserve"> </w:t>
      </w:r>
      <w:r w:rsidR="004C428A" w:rsidRPr="00FD07BC">
        <w:rPr>
          <w:noProof/>
          <w:lang w:val="en-GB"/>
        </w:rPr>
        <w:drawing>
          <wp:inline distT="0" distB="0" distL="0" distR="0" wp14:anchorId="3FAE2604" wp14:editId="16F54DF5">
            <wp:extent cx="2701925" cy="1971675"/>
            <wp:effectExtent l="0" t="0" r="317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428A" w:rsidRPr="00FD07BC" w:rsidRDefault="00EE0FAF" w:rsidP="00EE0FAF">
      <w:pPr>
        <w:pStyle w:val="Heading1"/>
        <w:rPr>
          <w:bCs/>
          <w:lang w:val="es-ES"/>
        </w:rPr>
      </w:pPr>
      <w:r>
        <w:rPr>
          <w:lang w:val="es-ES"/>
        </w:rPr>
        <w:t>4</w:t>
      </w:r>
      <w:r>
        <w:rPr>
          <w:lang w:val="es-ES"/>
        </w:rPr>
        <w:tab/>
      </w:r>
      <w:r w:rsidR="004C428A" w:rsidRPr="00B748DC">
        <w:rPr>
          <w:lang w:val="es-ES"/>
        </w:rPr>
        <w:t>Principales medidas</w:t>
      </w:r>
    </w:p>
    <w:p w:rsidR="004C428A" w:rsidRPr="00FD07BC" w:rsidRDefault="004C428A" w:rsidP="004C428A">
      <w:pPr>
        <w:rPr>
          <w:rFonts w:ascii="Calibri" w:hAnsi="Calibri"/>
          <w:color w:val="000000" w:themeColor="text1"/>
          <w:szCs w:val="24"/>
          <w:lang w:val="es-ES"/>
        </w:rPr>
      </w:pPr>
      <w:r w:rsidRPr="00CC5907">
        <w:rPr>
          <w:rFonts w:ascii="Calibri" w:hAnsi="Calibri"/>
          <w:color w:val="000000" w:themeColor="text1"/>
          <w:szCs w:val="24"/>
          <w:lang w:val="es-ES"/>
        </w:rPr>
        <w:t xml:space="preserve">La BDT ha </w:t>
      </w:r>
      <w:r>
        <w:rPr>
          <w:rFonts w:ascii="Calibri" w:hAnsi="Calibri"/>
          <w:color w:val="000000" w:themeColor="text1"/>
          <w:szCs w:val="24"/>
          <w:lang w:val="es-ES"/>
        </w:rPr>
        <w:t>adoptado</w:t>
      </w:r>
      <w:r w:rsidRPr="00CC5907">
        <w:rPr>
          <w:rFonts w:ascii="Calibri" w:hAnsi="Calibri"/>
          <w:color w:val="000000" w:themeColor="text1"/>
          <w:szCs w:val="24"/>
          <w:lang w:val="es-ES"/>
        </w:rPr>
        <w:t xml:space="preserve"> una serie de medidas estratégicas y seguirá </w:t>
      </w:r>
      <w:r>
        <w:rPr>
          <w:rFonts w:ascii="Calibri" w:hAnsi="Calibri"/>
          <w:color w:val="000000" w:themeColor="text1"/>
          <w:szCs w:val="24"/>
          <w:lang w:val="es-ES"/>
        </w:rPr>
        <w:t>desplegando esfuerzos en aras de la mejora de sus productos y servicios</w:t>
      </w:r>
      <w:r w:rsidRPr="00FD07BC">
        <w:rPr>
          <w:rFonts w:ascii="Calibri" w:hAnsi="Calibri"/>
          <w:color w:val="000000" w:themeColor="text1"/>
          <w:szCs w:val="24"/>
          <w:lang w:val="es-ES"/>
        </w:rPr>
        <w:t xml:space="preserve">. </w:t>
      </w:r>
    </w:p>
    <w:p w:rsidR="004C428A" w:rsidRPr="00FD07BC" w:rsidRDefault="004C428A" w:rsidP="0016350F">
      <w:pPr>
        <w:tabs>
          <w:tab w:val="clear" w:pos="794"/>
          <w:tab w:val="clear" w:pos="1191"/>
          <w:tab w:val="clear" w:pos="1588"/>
          <w:tab w:val="clear" w:pos="1985"/>
          <w:tab w:val="left" w:pos="567"/>
        </w:tabs>
        <w:rPr>
          <w:rFonts w:ascii="Calibri" w:hAnsi="Calibri"/>
          <w:color w:val="000000" w:themeColor="text1"/>
          <w:szCs w:val="24"/>
          <w:lang w:val="es-ES"/>
        </w:rPr>
      </w:pPr>
      <w:r w:rsidRPr="00FD07BC">
        <w:rPr>
          <w:rFonts w:ascii="Calibri" w:hAnsi="Calibri"/>
          <w:color w:val="000000" w:themeColor="text1"/>
          <w:szCs w:val="24"/>
          <w:lang w:val="es-ES"/>
        </w:rPr>
        <w:t>4.1</w:t>
      </w:r>
      <w:r w:rsidRPr="00FD07BC">
        <w:rPr>
          <w:rFonts w:ascii="Calibri" w:hAnsi="Calibri"/>
          <w:color w:val="000000" w:themeColor="text1"/>
          <w:szCs w:val="24"/>
          <w:lang w:val="es-ES"/>
        </w:rPr>
        <w:tab/>
      </w:r>
      <w:r>
        <w:rPr>
          <w:rFonts w:ascii="Calibri" w:hAnsi="Calibri"/>
          <w:b/>
          <w:bCs/>
          <w:color w:val="000000" w:themeColor="text1"/>
          <w:szCs w:val="24"/>
          <w:lang w:val="es-ES"/>
        </w:rPr>
        <w:t>Información a los Miembros</w:t>
      </w:r>
      <w:r w:rsidRPr="0016350F">
        <w:rPr>
          <w:rFonts w:ascii="Calibri" w:hAnsi="Calibri"/>
          <w:bCs/>
          <w:color w:val="000000" w:themeColor="text1"/>
          <w:szCs w:val="24"/>
          <w:lang w:val="es-ES"/>
        </w:rPr>
        <w:t>:</w:t>
      </w:r>
      <w:r w:rsidRPr="00FD07BC">
        <w:rPr>
          <w:rFonts w:ascii="Calibri" w:hAnsi="Calibri"/>
          <w:color w:val="000000" w:themeColor="text1"/>
          <w:szCs w:val="24"/>
          <w:lang w:val="es-ES"/>
        </w:rPr>
        <w:t xml:space="preserve"> </w:t>
      </w:r>
      <w:r w:rsidR="0016350F">
        <w:rPr>
          <w:rFonts w:ascii="Calibri" w:hAnsi="Calibri"/>
          <w:color w:val="000000" w:themeColor="text1"/>
          <w:szCs w:val="24"/>
          <w:lang w:val="es-ES"/>
        </w:rPr>
        <w:t>l</w:t>
      </w:r>
      <w:r>
        <w:rPr>
          <w:rFonts w:ascii="Calibri" w:hAnsi="Calibri"/>
          <w:color w:val="000000" w:themeColor="text1"/>
          <w:szCs w:val="24"/>
          <w:lang w:val="es-ES"/>
        </w:rPr>
        <w:t xml:space="preserve">a </w:t>
      </w:r>
      <w:r w:rsidRPr="00FD07BC">
        <w:rPr>
          <w:rFonts w:ascii="Calibri" w:hAnsi="Calibri"/>
          <w:color w:val="000000" w:themeColor="text1"/>
          <w:szCs w:val="24"/>
          <w:lang w:val="es-ES"/>
        </w:rPr>
        <w:t xml:space="preserve">BDT </w:t>
      </w:r>
      <w:r>
        <w:rPr>
          <w:rFonts w:ascii="Calibri" w:hAnsi="Calibri"/>
          <w:color w:val="000000" w:themeColor="text1"/>
          <w:szCs w:val="24"/>
          <w:lang w:val="es-ES"/>
        </w:rPr>
        <w:t xml:space="preserve">prosiguió la realización de reuniones informales para el establecimiento de contactos en el marco de la celebración del </w:t>
      </w:r>
      <w:r w:rsidRPr="00CC5907">
        <w:rPr>
          <w:rFonts w:ascii="Calibri" w:hAnsi="Calibri"/>
          <w:color w:val="000000" w:themeColor="text1"/>
          <w:szCs w:val="24"/>
          <w:lang w:val="es-ES"/>
        </w:rPr>
        <w:t>GADT-16</w:t>
      </w:r>
      <w:r>
        <w:rPr>
          <w:rFonts w:ascii="Calibri" w:hAnsi="Calibri"/>
          <w:color w:val="000000" w:themeColor="text1"/>
          <w:szCs w:val="24"/>
          <w:lang w:val="es-ES"/>
        </w:rPr>
        <w:t xml:space="preserve"> y las reuniones de las Comisiones de Estudio de la UIT en 2016, entre otras reuniones y celebraciones de la UIT, con </w:t>
      </w:r>
      <w:r w:rsidRPr="00FF0CE1">
        <w:rPr>
          <w:rFonts w:ascii="Calibri" w:hAnsi="Calibri"/>
          <w:color w:val="000000" w:themeColor="text1"/>
          <w:szCs w:val="24"/>
          <w:lang w:val="es-ES"/>
        </w:rPr>
        <w:t xml:space="preserve">objeto de comprender y satisfacer mejor las necesidades de los Miembros del UIT-D. Esas consultas, así como la encuesta anual sobre servicios de los Miembros, han puesto de manifiesto la utilidad para los Miembros de las plataformas de intercambio de conocimientos y las publicaciones del UIT-D, así como esferas de mejora de los servicios relativos a las herramientas de comunicación, </w:t>
      </w:r>
      <w:r>
        <w:rPr>
          <w:rFonts w:ascii="Calibri" w:hAnsi="Calibri"/>
          <w:color w:val="000000" w:themeColor="text1"/>
          <w:szCs w:val="24"/>
          <w:lang w:val="es-ES"/>
        </w:rPr>
        <w:t>en particular las</w:t>
      </w:r>
      <w:r w:rsidR="00DA3EAA">
        <w:rPr>
          <w:rFonts w:ascii="Calibri" w:hAnsi="Calibri"/>
          <w:color w:val="000000" w:themeColor="text1"/>
          <w:szCs w:val="24"/>
          <w:lang w:val="es-ES"/>
        </w:rPr>
        <w:t xml:space="preserve"> instalaciones de </w:t>
      </w:r>
      <w:r w:rsidRPr="00FF0CE1">
        <w:rPr>
          <w:rFonts w:ascii="Calibri" w:hAnsi="Calibri"/>
          <w:color w:val="000000" w:themeColor="text1"/>
          <w:szCs w:val="24"/>
          <w:lang w:val="es-ES"/>
        </w:rPr>
        <w:t xml:space="preserve">participación a distancia, </w:t>
      </w:r>
      <w:r>
        <w:rPr>
          <w:rFonts w:ascii="Calibri" w:hAnsi="Calibri"/>
          <w:color w:val="000000" w:themeColor="text1"/>
          <w:szCs w:val="24"/>
          <w:lang w:val="es-ES"/>
        </w:rPr>
        <w:t xml:space="preserve">las </w:t>
      </w:r>
      <w:r w:rsidRPr="00FF0CE1">
        <w:rPr>
          <w:rFonts w:ascii="Calibri" w:hAnsi="Calibri"/>
          <w:color w:val="000000" w:themeColor="text1"/>
          <w:szCs w:val="24"/>
          <w:lang w:val="es-ES"/>
        </w:rPr>
        <w:t xml:space="preserve">herramientas web </w:t>
      </w:r>
      <w:r>
        <w:rPr>
          <w:rFonts w:ascii="Calibri" w:hAnsi="Calibri"/>
          <w:color w:val="000000" w:themeColor="text1"/>
          <w:szCs w:val="24"/>
          <w:lang w:val="es-ES"/>
        </w:rPr>
        <w:t>y la información disponible en</w:t>
      </w:r>
      <w:r w:rsidRPr="00FF0CE1">
        <w:rPr>
          <w:rFonts w:ascii="Calibri" w:hAnsi="Calibri"/>
          <w:color w:val="000000" w:themeColor="text1"/>
          <w:szCs w:val="24"/>
          <w:lang w:val="es-ES"/>
        </w:rPr>
        <w:t xml:space="preserve"> los sitios web. Con respecto </w:t>
      </w:r>
      <w:r>
        <w:rPr>
          <w:rFonts w:ascii="Calibri" w:hAnsi="Calibri"/>
          <w:color w:val="000000" w:themeColor="text1"/>
          <w:szCs w:val="24"/>
          <w:lang w:val="es-ES"/>
        </w:rPr>
        <w:t xml:space="preserve">a las esferas de interés, además de las identificadas en las encuestas de las Comisiones de Estudio del UIT-D, cabe destacar las redes 5G, la IoT, la banda ancha, las ciudades inteligentes, las telecomunicaciones móviles y los macrodatos. </w:t>
      </w:r>
      <w:r>
        <w:rPr>
          <w:rFonts w:ascii="Calibri" w:hAnsi="Calibri"/>
          <w:color w:val="000000" w:themeColor="text1"/>
          <w:szCs w:val="24"/>
          <w:lang w:val="es-ES"/>
        </w:rPr>
        <w:lastRenderedPageBreak/>
        <w:t>Por último, los Miembros manifestaron su interés en establecer un espacio en línea exclusivamente para Miembros en el marco de una iniciativa transversal en toda la UIT para ofrecer contenido personalizado y fomentar el establecimiento de contactos y la colaboración entre los Miembros</w:t>
      </w:r>
      <w:r w:rsidRPr="00C77A4F">
        <w:rPr>
          <w:rFonts w:ascii="Calibri" w:hAnsi="Calibri"/>
          <w:color w:val="000000" w:themeColor="text1"/>
          <w:szCs w:val="24"/>
          <w:lang w:val="es-ES_tradnl"/>
        </w:rPr>
        <w:t>.</w:t>
      </w:r>
      <w:r w:rsidRPr="00FD07BC">
        <w:rPr>
          <w:rFonts w:ascii="Calibri" w:hAnsi="Calibri"/>
          <w:color w:val="000000" w:themeColor="text1"/>
          <w:szCs w:val="24"/>
          <w:lang w:val="es-ES"/>
        </w:rPr>
        <w:t xml:space="preserve"> </w:t>
      </w:r>
    </w:p>
    <w:p w:rsidR="004C428A" w:rsidRPr="00432395" w:rsidRDefault="004C428A" w:rsidP="004C428A">
      <w:pPr>
        <w:tabs>
          <w:tab w:val="clear" w:pos="794"/>
          <w:tab w:val="clear" w:pos="1191"/>
          <w:tab w:val="clear" w:pos="1588"/>
          <w:tab w:val="clear" w:pos="1985"/>
          <w:tab w:val="left" w:pos="567"/>
        </w:tabs>
        <w:rPr>
          <w:szCs w:val="24"/>
          <w:lang w:val="es-ES"/>
        </w:rPr>
      </w:pPr>
      <w:r w:rsidRPr="00FD07BC">
        <w:rPr>
          <w:bCs/>
          <w:szCs w:val="24"/>
          <w:lang w:val="es-ES"/>
        </w:rPr>
        <w:t>4.2</w:t>
      </w:r>
      <w:r w:rsidRPr="00FD07BC">
        <w:rPr>
          <w:b/>
          <w:szCs w:val="24"/>
          <w:lang w:val="es-ES"/>
        </w:rPr>
        <w:tab/>
      </w:r>
      <w:r w:rsidRPr="00432395">
        <w:rPr>
          <w:b/>
          <w:szCs w:val="24"/>
          <w:lang w:val="es-ES"/>
        </w:rPr>
        <w:t>Herramientas y servicios de los Miembros de Sector del UIT-D</w:t>
      </w:r>
      <w:r w:rsidRPr="00432395">
        <w:rPr>
          <w:szCs w:val="24"/>
          <w:lang w:val="es-ES"/>
        </w:rPr>
        <w:t>: las plataformas de divulgación de información, en particular el portal de los Miembros de Sector del UIT-D (</w:t>
      </w:r>
      <w:hyperlink r:id="rId13" w:history="1">
        <w:r w:rsidRPr="00432395">
          <w:rPr>
            <w:rStyle w:val="Hyperlink"/>
            <w:szCs w:val="24"/>
            <w:lang w:val="es-ES"/>
          </w:rPr>
          <w:t>http://www.itu.int/en/ITU-D/Membership/Pages/default.aspx</w:t>
        </w:r>
      </w:hyperlink>
      <w:r w:rsidRPr="00432395">
        <w:rPr>
          <w:szCs w:val="24"/>
          <w:lang w:val="es-ES"/>
        </w:rPr>
        <w:t xml:space="preserve">), se han puesto al día constantemente </w:t>
      </w:r>
      <w:r>
        <w:rPr>
          <w:szCs w:val="24"/>
          <w:lang w:val="es-ES"/>
        </w:rPr>
        <w:t>con</w:t>
      </w:r>
      <w:r w:rsidRPr="00432395">
        <w:rPr>
          <w:szCs w:val="24"/>
          <w:lang w:val="es-ES"/>
        </w:rPr>
        <w:t xml:space="preserve"> datos e información. Sobre la base de consultas periódicas de posibles nuevos Miembros, en 2016 se elaboró una lista </w:t>
      </w:r>
      <w:r>
        <w:rPr>
          <w:szCs w:val="24"/>
          <w:lang w:val="es-ES"/>
        </w:rPr>
        <w:t>de</w:t>
      </w:r>
      <w:r w:rsidRPr="00432395">
        <w:rPr>
          <w:szCs w:val="24"/>
          <w:lang w:val="es-ES"/>
        </w:rPr>
        <w:t xml:space="preserve"> preguntas habituales. La BDT trabaja para ampliar el alcance de su comunicación y sus documentos de comunicación, y colabora en iniciativas de la UIT para elaborar y poner en marcha una plataforma en línea de la UIT para Miembros</w:t>
      </w:r>
      <w:r w:rsidRPr="00432395">
        <w:rPr>
          <w:rFonts w:ascii="Calibri" w:hAnsi="Calibri"/>
          <w:color w:val="000000" w:themeColor="text1"/>
          <w:szCs w:val="24"/>
          <w:lang w:val="es-ES"/>
        </w:rPr>
        <w:t>.</w:t>
      </w:r>
    </w:p>
    <w:p w:rsidR="004C428A" w:rsidRPr="00FD07BC" w:rsidRDefault="004C428A" w:rsidP="00CD4D89">
      <w:pPr>
        <w:tabs>
          <w:tab w:val="clear" w:pos="794"/>
          <w:tab w:val="clear" w:pos="1191"/>
          <w:tab w:val="clear" w:pos="1588"/>
          <w:tab w:val="clear" w:pos="1985"/>
          <w:tab w:val="left" w:pos="567"/>
        </w:tabs>
        <w:rPr>
          <w:szCs w:val="24"/>
          <w:lang w:val="es-ES"/>
        </w:rPr>
      </w:pPr>
      <w:r w:rsidRPr="00FD07BC">
        <w:rPr>
          <w:szCs w:val="24"/>
          <w:lang w:val="es-ES"/>
        </w:rPr>
        <w:t>4.3</w:t>
      </w:r>
      <w:r w:rsidRPr="00FD07BC">
        <w:rPr>
          <w:b/>
          <w:bCs/>
          <w:szCs w:val="24"/>
          <w:lang w:val="es-ES"/>
        </w:rPr>
        <w:tab/>
      </w:r>
      <w:r>
        <w:rPr>
          <w:b/>
          <w:bCs/>
          <w:szCs w:val="24"/>
          <w:lang w:val="es-ES"/>
        </w:rPr>
        <w:t>Mejora de la participación de los Miembros de la Academia de la UIT en los trabajos de la</w:t>
      </w:r>
      <w:r w:rsidR="0016350F">
        <w:rPr>
          <w:b/>
          <w:bCs/>
          <w:szCs w:val="24"/>
          <w:lang w:val="es-ES"/>
        </w:rPr>
        <w:t> </w:t>
      </w:r>
      <w:r>
        <w:rPr>
          <w:b/>
          <w:bCs/>
          <w:szCs w:val="24"/>
          <w:lang w:val="es-ES"/>
        </w:rPr>
        <w:t>UIT</w:t>
      </w:r>
      <w:r w:rsidRPr="00FD07BC">
        <w:rPr>
          <w:szCs w:val="24"/>
          <w:lang w:val="es-ES"/>
        </w:rPr>
        <w:t xml:space="preserve">: </w:t>
      </w:r>
      <w:r w:rsidR="0016350F">
        <w:rPr>
          <w:szCs w:val="24"/>
          <w:lang w:val="es-ES"/>
        </w:rPr>
        <w:t>u</w:t>
      </w:r>
      <w:r>
        <w:rPr>
          <w:szCs w:val="24"/>
          <w:lang w:val="es-ES"/>
        </w:rPr>
        <w:t xml:space="preserve">no de los resultados de la </w:t>
      </w:r>
      <w:r w:rsidR="00CD4D89">
        <w:rPr>
          <w:szCs w:val="24"/>
          <w:lang w:val="es-ES"/>
        </w:rPr>
        <w:t>r</w:t>
      </w:r>
      <w:r w:rsidRPr="00B54C5B">
        <w:rPr>
          <w:szCs w:val="24"/>
          <w:lang w:val="es-ES"/>
        </w:rPr>
        <w:t>eunión de la Red de Instituciones Académicas del UIT-D</w:t>
      </w:r>
      <w:r>
        <w:rPr>
          <w:szCs w:val="24"/>
          <w:lang w:val="es-ES"/>
        </w:rPr>
        <w:t xml:space="preserve">, organizada por la BDT en septiembre de 2015, fue la determinación de la necesidad de establecer nuevas plataformas y modalidades de estudios de investigación y colaboración. A tal efecto, a raíz de las consultas celebradas con varios miembros de la Academia y los planes para identificar expertos interesados de renombre de la comunicad científica que deseen realizar actividades laborales y de investigación pro-bono, la BDT lleva a cabo actualmente un estudio general sobre el papel y la repercusión de las TIC con respecto al desarrollo sostenible en el marco de la innovación, la creación de empleo y el desarrollo económico. </w:t>
      </w:r>
      <w:r w:rsidRPr="00B54C5B">
        <w:rPr>
          <w:szCs w:val="24"/>
          <w:lang w:val="es-ES_tradnl"/>
        </w:rPr>
        <w:t>Esta iniciativa piloto</w:t>
      </w:r>
      <w:r>
        <w:rPr>
          <w:szCs w:val="24"/>
          <w:lang w:val="es-ES_tradnl"/>
        </w:rPr>
        <w:t>,</w:t>
      </w:r>
      <w:r w:rsidRPr="00B54C5B">
        <w:rPr>
          <w:szCs w:val="24"/>
          <w:lang w:val="es-ES_tradnl"/>
        </w:rPr>
        <w:t xml:space="preserve"> </w:t>
      </w:r>
      <w:r>
        <w:rPr>
          <w:szCs w:val="24"/>
          <w:lang w:val="es-ES_tradnl"/>
        </w:rPr>
        <w:t>que hace hincapié en</w:t>
      </w:r>
      <w:r w:rsidRPr="00B54C5B">
        <w:rPr>
          <w:szCs w:val="24"/>
          <w:lang w:val="es-ES_tradnl"/>
        </w:rPr>
        <w:t xml:space="preserve"> actividades de investigación </w:t>
      </w:r>
      <w:r>
        <w:rPr>
          <w:szCs w:val="24"/>
          <w:lang w:val="es-ES_tradnl"/>
        </w:rPr>
        <w:t>de</w:t>
      </w:r>
      <w:r w:rsidRPr="00B54C5B">
        <w:rPr>
          <w:szCs w:val="24"/>
          <w:lang w:val="es-ES_tradnl"/>
        </w:rPr>
        <w:t xml:space="preserve"> instituciones acad</w:t>
      </w:r>
      <w:r>
        <w:rPr>
          <w:szCs w:val="24"/>
          <w:lang w:val="es-ES_tradnl"/>
        </w:rPr>
        <w:t>émicas, avanza según lo previsto, y el informe se presentará en la CMDT-17. Dicha iniciativa también propició la incorporación de nuevos miembros a la Academia, fomentó la interacción con amplias redes de contactos de los autores y confirmó el interés y la oportunidad en relación con el análisis de ejercicios de colaboración similares</w:t>
      </w:r>
      <w:r w:rsidRPr="00FD07BC">
        <w:rPr>
          <w:szCs w:val="24"/>
          <w:lang w:val="es-ES"/>
        </w:rPr>
        <w:t xml:space="preserve">. </w:t>
      </w:r>
    </w:p>
    <w:p w:rsidR="004C428A" w:rsidRPr="000B474A" w:rsidRDefault="004C428A" w:rsidP="004C428A">
      <w:pPr>
        <w:rPr>
          <w:szCs w:val="24"/>
          <w:lang w:val="es-ES_tradnl"/>
        </w:rPr>
      </w:pPr>
      <w:r>
        <w:rPr>
          <w:szCs w:val="24"/>
          <w:lang w:val="es-ES"/>
        </w:rPr>
        <w:t>La BDT realizó un experimento piloto en 2016 en el que propuso a varios miembros de instituciones académicas basadas en Suiza la participación de 20 alumnos de educación secundaria para que comprendieran mejor la función y el mandato del UIT-D, y obtuvieran información de primera mano sobre los debates relativos al programa de desarrollo de las TIC mediante la observación del funcionamiento de una plataforma de intercambio de conocimientos multipartita y neutral, por ejemplo</w:t>
      </w:r>
      <w:r w:rsidR="00CD4D89">
        <w:rPr>
          <w:szCs w:val="24"/>
          <w:lang w:val="es-ES"/>
        </w:rPr>
        <w:t>,</w:t>
      </w:r>
      <w:r>
        <w:rPr>
          <w:szCs w:val="24"/>
          <w:lang w:val="es-ES"/>
        </w:rPr>
        <w:t xml:space="preserve"> las reuniones de las Comisiones de Estudio del UIT-D celebradas en Ginebra</w:t>
      </w:r>
      <w:r w:rsidR="0016350F">
        <w:rPr>
          <w:szCs w:val="24"/>
          <w:lang w:val="es-ES_tradnl"/>
        </w:rPr>
        <w:t>.</w:t>
      </w:r>
    </w:p>
    <w:p w:rsidR="004C428A" w:rsidRPr="002E6578" w:rsidRDefault="00EE0FAF" w:rsidP="0016350F">
      <w:pPr>
        <w:tabs>
          <w:tab w:val="clear" w:pos="794"/>
          <w:tab w:val="clear" w:pos="1191"/>
          <w:tab w:val="clear" w:pos="1588"/>
          <w:tab w:val="clear" w:pos="1985"/>
          <w:tab w:val="left" w:pos="567"/>
        </w:tabs>
        <w:rPr>
          <w:szCs w:val="24"/>
          <w:lang w:val="es-ES_tradnl"/>
        </w:rPr>
      </w:pPr>
      <w:r>
        <w:rPr>
          <w:szCs w:val="24"/>
          <w:lang w:val="es-ES"/>
        </w:rPr>
        <w:t>4.4</w:t>
      </w:r>
      <w:r w:rsidR="004C428A" w:rsidRPr="00FD07BC">
        <w:rPr>
          <w:szCs w:val="24"/>
          <w:lang w:val="es-ES"/>
        </w:rPr>
        <w:tab/>
      </w:r>
      <w:r w:rsidR="004C428A">
        <w:rPr>
          <w:b/>
          <w:bCs/>
          <w:szCs w:val="24"/>
          <w:lang w:val="es-ES"/>
        </w:rPr>
        <w:t>Mejora de la participación del sector privado en los trabajos del UIT-D</w:t>
      </w:r>
      <w:r w:rsidR="004C428A" w:rsidRPr="00FD07BC">
        <w:rPr>
          <w:szCs w:val="24"/>
          <w:lang w:val="es-ES"/>
        </w:rPr>
        <w:t xml:space="preserve">: </w:t>
      </w:r>
      <w:r w:rsidR="0016350F">
        <w:rPr>
          <w:szCs w:val="24"/>
          <w:lang w:val="es-ES"/>
        </w:rPr>
        <w:t>e</w:t>
      </w:r>
      <w:r w:rsidR="004C428A">
        <w:rPr>
          <w:szCs w:val="24"/>
          <w:lang w:val="es-ES"/>
        </w:rPr>
        <w:t>n las 6ª y 7ª</w:t>
      </w:r>
      <w:r w:rsidR="0016350F">
        <w:rPr>
          <w:szCs w:val="24"/>
          <w:lang w:val="es-ES"/>
        </w:rPr>
        <w:t> </w:t>
      </w:r>
      <w:r w:rsidR="004C428A">
        <w:rPr>
          <w:szCs w:val="24"/>
          <w:lang w:val="es-ES"/>
        </w:rPr>
        <w:t>ediciones</w:t>
      </w:r>
      <w:r w:rsidR="004C428A" w:rsidRPr="000B474A">
        <w:rPr>
          <w:szCs w:val="24"/>
          <w:lang w:val="es-ES"/>
        </w:rPr>
        <w:t xml:space="preserve"> de </w:t>
      </w:r>
      <w:r w:rsidR="004C428A">
        <w:rPr>
          <w:szCs w:val="24"/>
          <w:lang w:val="es-ES"/>
        </w:rPr>
        <w:t xml:space="preserve">las reuniones de </w:t>
      </w:r>
      <w:r w:rsidR="004C428A" w:rsidRPr="000B474A">
        <w:rPr>
          <w:szCs w:val="24"/>
          <w:lang w:val="es-ES"/>
        </w:rPr>
        <w:t>Directores de Reglamentación (CR</w:t>
      </w:r>
      <w:r w:rsidR="004C428A">
        <w:rPr>
          <w:szCs w:val="24"/>
          <w:lang w:val="es-ES"/>
        </w:rPr>
        <w:t>O) del Sector Privado celebradas en 2016 participaron altos directivos del sector industrial para intercambiar experiencias y conocimientos sobre la forma de fomentar la participación del sector privado y la colaboración con el mismo en iniciativas de escalas mundial, regional y nacional, así como de identificar mecanismos para facilitar un entorno de reglamentación propicio en aras del futuro de dicho sector. En particular, los participantes refrendaron la presentación de la Iniciativa 2020 sobre A</w:t>
      </w:r>
      <w:r w:rsidR="004C428A" w:rsidRPr="000B474A">
        <w:rPr>
          <w:szCs w:val="24"/>
          <w:lang w:val="es-ES"/>
        </w:rPr>
        <w:t>cceso universal a los servicios financieros</w:t>
      </w:r>
      <w:r w:rsidR="004C428A">
        <w:rPr>
          <w:szCs w:val="24"/>
          <w:lang w:val="es-ES"/>
        </w:rPr>
        <w:t xml:space="preserve"> en el marco de la plataforma de CRO, y convinieron en establecer un Grupo de trabajo de CRO (GT CRO) sobre i</w:t>
      </w:r>
      <w:r w:rsidR="004C428A" w:rsidRPr="002E6578">
        <w:rPr>
          <w:szCs w:val="24"/>
          <w:lang w:val="es-ES"/>
        </w:rPr>
        <w:t>ntegración financiera digita</w:t>
      </w:r>
      <w:r w:rsidR="004C428A">
        <w:rPr>
          <w:szCs w:val="24"/>
          <w:lang w:val="es-ES"/>
        </w:rPr>
        <w:t>l</w:t>
      </w:r>
      <w:r w:rsidR="004C428A" w:rsidRPr="002E6578">
        <w:rPr>
          <w:szCs w:val="24"/>
          <w:lang w:val="es-ES_tradnl"/>
        </w:rPr>
        <w:t>.</w:t>
      </w:r>
    </w:p>
    <w:p w:rsidR="004C428A" w:rsidRPr="00FD07BC" w:rsidRDefault="00EE0FAF" w:rsidP="0016350F">
      <w:pPr>
        <w:tabs>
          <w:tab w:val="clear" w:pos="794"/>
          <w:tab w:val="clear" w:pos="1191"/>
          <w:tab w:val="clear" w:pos="1588"/>
          <w:tab w:val="clear" w:pos="1985"/>
          <w:tab w:val="left" w:pos="567"/>
        </w:tabs>
        <w:rPr>
          <w:szCs w:val="24"/>
          <w:lang w:val="es-ES"/>
        </w:rPr>
      </w:pPr>
      <w:r>
        <w:rPr>
          <w:szCs w:val="24"/>
          <w:lang w:val="es-ES"/>
        </w:rPr>
        <w:t>4.5</w:t>
      </w:r>
      <w:r w:rsidR="004C428A" w:rsidRPr="00FD07BC">
        <w:rPr>
          <w:szCs w:val="24"/>
          <w:lang w:val="es-ES"/>
        </w:rPr>
        <w:tab/>
      </w:r>
      <w:r w:rsidR="004C428A">
        <w:rPr>
          <w:b/>
          <w:bCs/>
          <w:szCs w:val="24"/>
          <w:lang w:val="es-ES"/>
        </w:rPr>
        <w:t xml:space="preserve">Colaboración intersectorial y plataforma de asociación </w:t>
      </w:r>
      <w:r w:rsidR="004C428A">
        <w:rPr>
          <w:b/>
          <w:szCs w:val="24"/>
          <w:lang w:val="es-ES"/>
        </w:rPr>
        <w:t>en un ecosistema de convergencia de las TIC</w:t>
      </w:r>
      <w:r w:rsidR="004C428A">
        <w:rPr>
          <w:szCs w:val="24"/>
          <w:lang w:val="es-ES"/>
        </w:rPr>
        <w:t xml:space="preserve">: </w:t>
      </w:r>
      <w:r w:rsidR="0016350F">
        <w:rPr>
          <w:szCs w:val="24"/>
          <w:lang w:val="es-ES"/>
        </w:rPr>
        <w:t>l</w:t>
      </w:r>
      <w:r w:rsidR="004C428A">
        <w:rPr>
          <w:szCs w:val="24"/>
          <w:lang w:val="es-ES"/>
        </w:rPr>
        <w:t xml:space="preserve">a BDT ha seguido aumentando la concienciación sobre las ventajas para los Miembros </w:t>
      </w:r>
      <w:r w:rsidR="004C428A">
        <w:rPr>
          <w:szCs w:val="24"/>
          <w:lang w:val="es-ES"/>
        </w:rPr>
        <w:lastRenderedPageBreak/>
        <w:t>de Sector del UIT-D por medio de diversos eventos del UIT-D, o de otro tipo. La diversidad, cada vez mayor, de los Miembros de Sector del UIT-D está fomentando el debate y la colaboración con actores de TIC no habituales (por ejemplo</w:t>
      </w:r>
      <w:r w:rsidR="009445CB">
        <w:rPr>
          <w:szCs w:val="24"/>
          <w:lang w:val="es-ES"/>
        </w:rPr>
        <w:t>,</w:t>
      </w:r>
      <w:r w:rsidR="004C428A">
        <w:rPr>
          <w:szCs w:val="24"/>
          <w:lang w:val="es-ES"/>
        </w:rPr>
        <w:t xml:space="preserve"> la Fundación </w:t>
      </w:r>
      <w:r w:rsidR="004C428A" w:rsidRPr="00FD07BC">
        <w:rPr>
          <w:szCs w:val="24"/>
          <w:lang w:val="es-ES"/>
        </w:rPr>
        <w:t xml:space="preserve">Bill &amp; Melinda Gates, </w:t>
      </w:r>
      <w:r w:rsidR="004C428A">
        <w:rPr>
          <w:szCs w:val="24"/>
          <w:lang w:val="es-ES"/>
        </w:rPr>
        <w:t>MasterCard y</w:t>
      </w:r>
      <w:r w:rsidR="004C428A" w:rsidRPr="00FD07BC">
        <w:rPr>
          <w:szCs w:val="24"/>
          <w:lang w:val="es-ES"/>
        </w:rPr>
        <w:t xml:space="preserve"> Walt Disney).</w:t>
      </w:r>
      <w:r w:rsidR="004C428A">
        <w:rPr>
          <w:szCs w:val="24"/>
          <w:lang w:val="es-ES"/>
        </w:rPr>
        <w:t xml:space="preserve"> A tal efecto, en septiembre de 2016 la BDT organizó un</w:t>
      </w:r>
      <w:r w:rsidR="004C428A" w:rsidRPr="001A154B">
        <w:rPr>
          <w:szCs w:val="24"/>
          <w:lang w:val="es-ES_tradnl"/>
        </w:rPr>
        <w:t xml:space="preserve"> </w:t>
      </w:r>
      <w:hyperlink r:id="rId14" w:history="1">
        <w:r w:rsidR="004C428A" w:rsidRPr="001A154B">
          <w:rPr>
            <w:rStyle w:val="Hyperlink"/>
            <w:szCs w:val="24"/>
            <w:lang w:val="es-ES_tradnl"/>
          </w:rPr>
          <w:t>Diálogo de asociación sobre las TIC para los ODS (ICT④SDGs)</w:t>
        </w:r>
      </w:hyperlink>
      <w:r w:rsidR="004C428A" w:rsidRPr="001A154B">
        <w:rPr>
          <w:szCs w:val="24"/>
          <w:lang w:val="es-ES_tradnl"/>
        </w:rPr>
        <w:t xml:space="preserve"> </w:t>
      </w:r>
      <w:r w:rsidR="004C428A">
        <w:rPr>
          <w:szCs w:val="24"/>
          <w:lang w:val="es-ES_tradnl"/>
        </w:rPr>
        <w:t>en el que participaron más de 70 asistentes. El Diálogo ofreció una plataforma para Miembros del UIT-D y asociados, en particular en</w:t>
      </w:r>
      <w:r w:rsidR="009445CB">
        <w:rPr>
          <w:szCs w:val="24"/>
          <w:lang w:val="es-ES_tradnl"/>
        </w:rPr>
        <w:t>tidades de los sectores público</w:t>
      </w:r>
      <w:r w:rsidR="004C428A">
        <w:rPr>
          <w:szCs w:val="24"/>
          <w:lang w:val="es-ES_tradnl"/>
        </w:rPr>
        <w:t xml:space="preserve"> y privado, instituciones académicas y otras partes interesadas, con objeto de dar a conocer mejor las actividades de la BDT y fomentar la participación en las mismas, mediante el intercambio de servicios y productos existentes y las oportunidades de asociación intersectorial para alcanzar los</w:t>
      </w:r>
      <w:r w:rsidR="0016350F">
        <w:rPr>
          <w:szCs w:val="24"/>
          <w:lang w:val="es-ES_tradnl"/>
        </w:rPr>
        <w:t> </w:t>
      </w:r>
      <w:r w:rsidR="004C428A">
        <w:rPr>
          <w:szCs w:val="24"/>
          <w:lang w:val="es-ES_tradnl"/>
        </w:rPr>
        <w:t>ODS.</w:t>
      </w:r>
    </w:p>
    <w:p w:rsidR="004C428A" w:rsidRPr="00FD07BC" w:rsidRDefault="00EE0FAF" w:rsidP="00EE0FAF">
      <w:pPr>
        <w:pStyle w:val="Heading1"/>
        <w:rPr>
          <w:bCs/>
          <w:lang w:val="es-ES"/>
        </w:rPr>
      </w:pPr>
      <w:r>
        <w:rPr>
          <w:lang w:val="es-ES"/>
        </w:rPr>
        <w:t>5</w:t>
      </w:r>
      <w:r>
        <w:rPr>
          <w:lang w:val="es-ES"/>
        </w:rPr>
        <w:tab/>
      </w:r>
      <w:r w:rsidR="004C428A">
        <w:rPr>
          <w:lang w:val="es-ES"/>
        </w:rPr>
        <w:t>Medidas futuras</w:t>
      </w:r>
    </w:p>
    <w:p w:rsidR="004C428A" w:rsidRPr="0046543B" w:rsidRDefault="004C428A" w:rsidP="004C428A">
      <w:pPr>
        <w:rPr>
          <w:rFonts w:ascii="Calibri" w:hAnsi="Calibri"/>
          <w:color w:val="000000" w:themeColor="text1"/>
          <w:szCs w:val="24"/>
          <w:lang w:val="es-ES_tradnl"/>
        </w:rPr>
      </w:pPr>
      <w:r>
        <w:rPr>
          <w:szCs w:val="24"/>
          <w:lang w:val="es-ES"/>
        </w:rPr>
        <w:t xml:space="preserve">La BDT tiene previsto seguir implantando programas, proyectos, iniciativas y actividades que incidan en los Miembros en el marco de sus esferas de actividad, sin perjuicio de fomentar sus servicios, productos y herramientas de comunicación destinados a sus Miembros con objeto de facilitar la colaboración con los Miembros actuales, y con </w:t>
      </w:r>
      <w:r w:rsidRPr="0046543B">
        <w:rPr>
          <w:szCs w:val="24"/>
          <w:lang w:val="es-ES"/>
        </w:rPr>
        <w:t>posibles nuevos Miembros</w:t>
      </w:r>
      <w:r w:rsidRPr="0046543B">
        <w:rPr>
          <w:rFonts w:ascii="Calibri" w:hAnsi="Calibri"/>
          <w:color w:val="000000" w:themeColor="text1"/>
          <w:szCs w:val="24"/>
          <w:lang w:val="es-ES_tradnl"/>
        </w:rPr>
        <w:t xml:space="preserve">. </w:t>
      </w:r>
    </w:p>
    <w:p w:rsidR="004C428A" w:rsidRPr="00A75B22" w:rsidRDefault="004C428A" w:rsidP="004C428A">
      <w:pPr>
        <w:rPr>
          <w:rFonts w:ascii="Calibri" w:hAnsi="Calibri"/>
          <w:bCs/>
          <w:color w:val="000000" w:themeColor="text1"/>
          <w:szCs w:val="24"/>
          <w:lang w:val="es-ES_tradnl"/>
        </w:rPr>
      </w:pPr>
      <w:r>
        <w:rPr>
          <w:rFonts w:ascii="Calibri" w:hAnsi="Calibri"/>
          <w:color w:val="000000" w:themeColor="text1"/>
          <w:szCs w:val="24"/>
          <w:lang w:val="es-ES"/>
        </w:rPr>
        <w:t>Las medidas basadas en enfoques basados en los resultados harán hincapié en nuevas plataformas de asociaciones multipartitas e intercambio de conocimientos, el reconocimiento de los miembros de más antigüedad, la personalización de las actividades de comunicación con los nuevos Miembros y la colaboración con las actividades de la UIT para impulsar e implantar una plataforma en línea de la UIT con un espacio para los Miembros</w:t>
      </w:r>
      <w:r w:rsidR="0016350F">
        <w:rPr>
          <w:rFonts w:ascii="Calibri" w:hAnsi="Calibri"/>
          <w:bCs/>
          <w:color w:val="000000" w:themeColor="text1"/>
          <w:szCs w:val="24"/>
          <w:lang w:val="es-ES_tradnl"/>
        </w:rPr>
        <w:t>.</w:t>
      </w:r>
    </w:p>
    <w:p w:rsidR="00835A77" w:rsidRDefault="00835A77" w:rsidP="00BC7208">
      <w:pPr>
        <w:rPr>
          <w:lang w:val="es-ES_tradnl"/>
        </w:rPr>
      </w:pPr>
    </w:p>
    <w:p w:rsidR="006E4AB3" w:rsidRDefault="006E4AB3">
      <w:pPr>
        <w:jc w:val="center"/>
      </w:pPr>
      <w:r>
        <w:t>______________</w:t>
      </w:r>
    </w:p>
    <w:sectPr w:rsidR="006E4AB3" w:rsidSect="004B7893">
      <w:headerReference w:type="default" r:id="rId15"/>
      <w:footerReference w:type="default" r:id="rId16"/>
      <w:footerReference w:type="first" r:id="rId1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28A" w:rsidRDefault="004C428A" w:rsidP="0088106F">
      <w:r>
        <w:separator/>
      </w:r>
    </w:p>
  </w:endnote>
  <w:endnote w:type="continuationSeparator" w:id="0">
    <w:p w:rsidR="004C428A" w:rsidRDefault="004C428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EE0FAF" w:rsidP="00EE0FAF">
    <w:pPr>
      <w:pStyle w:val="Footer"/>
    </w:pPr>
    <w:fldSimple w:instr=" FILENAME \p  \* MERGEFORMAT ">
      <w:r w:rsidR="0016350F">
        <w:t>P:\ESP\ITU-D\CONF-D\TDAG17\000\028S.docx</w:t>
      </w:r>
    </w:fldSimple>
    <w:r>
      <w:t xml:space="preserve"> (413991)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FAF" w:rsidRDefault="0010350C" w:rsidP="006E4AB3">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lang w:val="en-US"/>
      </w:rPr>
    </w:pPr>
    <w:hyperlink r:id="rId1" w:history="1">
      <w:r w:rsidR="006E4AB3" w:rsidRPr="006E4AB3">
        <w:rPr>
          <w:rFonts w:ascii="Calibri" w:hAnsi="Calibri"/>
          <w:color w:val="0000FF"/>
          <w:sz w:val="18"/>
          <w:szCs w:val="18"/>
          <w:u w:val="single"/>
          <w:lang w:val="en-US"/>
        </w:rPr>
        <w:t>http://www.itu.int/ITU-D/TDAG/</w:t>
      </w:r>
    </w:hyperlink>
  </w:p>
  <w:p w:rsidR="006E4AB3" w:rsidRPr="00EE0FAF" w:rsidRDefault="00EE0FAF" w:rsidP="00EE0FAF">
    <w:pPr>
      <w:pStyle w:val="Footer"/>
      <w:spacing w:before="120"/>
    </w:pPr>
    <w:r>
      <w:fldChar w:fldCharType="begin"/>
    </w:r>
    <w:r>
      <w:instrText xml:space="preserve"> FILENAME \p  \* MERGEFORMAT </w:instrText>
    </w:r>
    <w:r>
      <w:fldChar w:fldCharType="separate"/>
    </w:r>
    <w:r w:rsidR="0016350F">
      <w:t>P:\ESP\ITU-D\CONF-D\TDAG17\000\028S.docx</w:t>
    </w:r>
    <w:r>
      <w:fldChar w:fldCharType="end"/>
    </w:r>
    <w:r>
      <w:t xml:space="preserve"> (413991)</w:t>
    </w:r>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28A" w:rsidRDefault="004C428A" w:rsidP="0088106F">
      <w:r>
        <w:separator/>
      </w:r>
    </w:p>
  </w:footnote>
  <w:footnote w:type="continuationSeparator" w:id="0">
    <w:p w:rsidR="004C428A" w:rsidRDefault="004C428A" w:rsidP="0088106F">
      <w:r>
        <w:continuationSeparator/>
      </w:r>
    </w:p>
  </w:footnote>
  <w:footnote w:id="1">
    <w:p w:rsidR="00DA3EAA" w:rsidRPr="00DA3EAA" w:rsidRDefault="00DA3EAA" w:rsidP="00DA3EAA">
      <w:pPr>
        <w:pStyle w:val="FootnoteText"/>
        <w:rPr>
          <w:lang w:val="es-ES_tradnl"/>
        </w:rPr>
      </w:pPr>
      <w:r>
        <w:rPr>
          <w:rStyle w:val="FootnoteReference"/>
        </w:rPr>
        <w:footnoteRef/>
      </w:r>
      <w:r>
        <w:rPr>
          <w:lang w:val="es-ES_tradnl"/>
        </w:rPr>
        <w:tab/>
        <w:t xml:space="preserve">Véase el Documento </w:t>
      </w:r>
      <w:hyperlink r:id="rId1" w:history="1">
        <w:r w:rsidRPr="00DA3EAA">
          <w:rPr>
            <w:rStyle w:val="Hyperlink"/>
            <w:lang w:val="es-ES_tradnl"/>
          </w:rPr>
          <w:t>CWG-FHR 7/2(Rev.1)</w:t>
        </w:r>
      </w:hyperlink>
      <w:r w:rsidRPr="00DA3EAA">
        <w:rPr>
          <w:lang w:val="es-ES_tradnl"/>
        </w:rPr>
        <w:t>.</w:t>
      </w:r>
    </w:p>
  </w:footnote>
  <w:footnote w:id="2">
    <w:p w:rsidR="00DA3EAA" w:rsidRPr="00DA3EAA" w:rsidRDefault="00DA3EAA" w:rsidP="00DA3EAA">
      <w:pPr>
        <w:pStyle w:val="FootnoteText"/>
        <w:rPr>
          <w:lang w:val="es-ES_tradnl"/>
        </w:rPr>
      </w:pPr>
      <w:r>
        <w:rPr>
          <w:rStyle w:val="FootnoteReference"/>
        </w:rPr>
        <w:footnoteRef/>
      </w:r>
      <w:r>
        <w:rPr>
          <w:lang w:val="es-ES_tradnl"/>
        </w:rPr>
        <w:tab/>
      </w:r>
      <w:r w:rsidRPr="00DA3EAA">
        <w:rPr>
          <w:lang w:val="es-ES_tradnl"/>
        </w:rPr>
        <w:t xml:space="preserve">Véase el Documento </w:t>
      </w:r>
      <w:hyperlink r:id="rId2" w:history="1">
        <w:r w:rsidRPr="00DA3EAA">
          <w:rPr>
            <w:rStyle w:val="Hyperlink"/>
            <w:lang w:val="es-ES_tradnl"/>
          </w:rPr>
          <w:t>CWG-FHR-INF 7/2</w:t>
        </w:r>
      </w:hyperlink>
      <w:r w:rsidRPr="00DA3EAA">
        <w:rPr>
          <w:lang w:val="es-ES_tradnl"/>
        </w:rPr>
        <w:t>, en particular las tendencias existentes en materia de distribución, tamaño y tipo de empresas a nivel regional, así como los posible</w:t>
      </w:r>
      <w:r w:rsidR="009445CB">
        <w:rPr>
          <w:lang w:val="es-ES_tradnl"/>
        </w:rPr>
        <w:t>s</w:t>
      </w:r>
      <w:r w:rsidRPr="00DA3EAA">
        <w:rPr>
          <w:lang w:val="es-ES_tradnl"/>
        </w:rPr>
        <w:t xml:space="preserve"> obstáculos que dificultan una mayor participación de las SME en las actividades de la UIT.</w:t>
      </w:r>
    </w:p>
  </w:footnote>
  <w:footnote w:id="3">
    <w:p w:rsidR="00DA3EAA" w:rsidRPr="00DA3EAA" w:rsidRDefault="00DA3EAA" w:rsidP="00DA3EAA">
      <w:pPr>
        <w:pStyle w:val="FootnoteText"/>
        <w:rPr>
          <w:lang w:val="es-ES_tradnl"/>
        </w:rPr>
      </w:pPr>
      <w:r>
        <w:rPr>
          <w:rStyle w:val="FootnoteReference"/>
        </w:rPr>
        <w:footnoteRef/>
      </w:r>
      <w:r>
        <w:rPr>
          <w:lang w:val="es-ES_tradnl"/>
        </w:rPr>
        <w:tab/>
      </w:r>
      <w:r w:rsidRPr="00DA3EAA">
        <w:rPr>
          <w:lang w:val="es-ES_tradnl"/>
        </w:rPr>
        <w:t xml:space="preserve">Véase el Documento </w:t>
      </w:r>
      <w:hyperlink r:id="rId3" w:history="1">
        <w:r w:rsidRPr="0010350C">
          <w:rPr>
            <w:rStyle w:val="Hyperlink"/>
            <w:lang w:val="es-ES_tradnl"/>
          </w:rPr>
          <w:t>CWG-FHR 7/4</w:t>
        </w:r>
      </w:hyperlink>
      <w:r w:rsidRPr="00DA3EAA">
        <w:rPr>
          <w:lang w:val="es-ES_tradnl"/>
        </w:rPr>
        <w:t>, en lo conc</w:t>
      </w:r>
      <w:bookmarkStart w:id="4" w:name="_GoBack"/>
      <w:bookmarkEnd w:id="4"/>
      <w:r w:rsidRPr="00DA3EAA">
        <w:rPr>
          <w:lang w:val="es-ES_tradnl"/>
        </w:rPr>
        <w:t>erniente al aumento del número de Miembros de Sector que abonan cuotas integras (Anexo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EE0FAF" w:rsidRDefault="009A6FC4" w:rsidP="00EE0FAF">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4C428A">
      <w:rPr>
        <w:sz w:val="22"/>
        <w:szCs w:val="22"/>
        <w:lang w:val="es-ES_tradnl"/>
      </w:rPr>
      <w:t>ITU-D/TDAG1</w:t>
    </w:r>
    <w:r w:rsidR="000C0AA7" w:rsidRPr="004C428A">
      <w:rPr>
        <w:sz w:val="22"/>
        <w:szCs w:val="22"/>
        <w:lang w:val="es-ES_tradnl"/>
      </w:rPr>
      <w:t>7</w:t>
    </w:r>
    <w:r w:rsidRPr="004C428A">
      <w:rPr>
        <w:sz w:val="22"/>
        <w:szCs w:val="22"/>
        <w:lang w:val="es-ES_tradnl"/>
      </w:rPr>
      <w:t>-</w:t>
    </w:r>
    <w:r w:rsidR="0033649F" w:rsidRPr="004C428A">
      <w:rPr>
        <w:sz w:val="22"/>
        <w:szCs w:val="22"/>
        <w:lang w:val="es-ES_tradnl"/>
      </w:rPr>
      <w:t>2</w:t>
    </w:r>
    <w:r w:rsidR="000C0AA7" w:rsidRPr="004C428A">
      <w:rPr>
        <w:sz w:val="22"/>
        <w:szCs w:val="22"/>
        <w:lang w:val="es-ES_tradnl"/>
      </w:rPr>
      <w:t>2</w:t>
    </w:r>
    <w:r w:rsidRPr="004C428A">
      <w:rPr>
        <w:sz w:val="22"/>
        <w:szCs w:val="22"/>
        <w:lang w:val="es-ES_tradnl"/>
      </w:rPr>
      <w:t>/</w:t>
    </w:r>
    <w:r w:rsidR="00EE0FAF">
      <w:rPr>
        <w:sz w:val="22"/>
        <w:szCs w:val="22"/>
        <w:lang w:val="es-ES_tradnl"/>
      </w:rPr>
      <w:t>28</w:t>
    </w:r>
    <w:r w:rsidRPr="004C428A">
      <w:rPr>
        <w:sz w:val="22"/>
        <w:szCs w:val="22"/>
        <w:lang w:val="es-ES_tradnl"/>
      </w:rPr>
      <w:t>-S</w:t>
    </w:r>
    <w:r w:rsidRPr="004C428A">
      <w:rPr>
        <w:sz w:val="22"/>
        <w:szCs w:val="22"/>
        <w:lang w:val="es-ES_tradnl"/>
      </w:rPr>
      <w:tab/>
    </w:r>
    <w:r w:rsidRPr="00877904">
      <w:rPr>
        <w:rStyle w:val="PageNumber"/>
        <w:sz w:val="22"/>
        <w:szCs w:val="22"/>
        <w:lang w:val="es-ES_tradnl"/>
      </w:rPr>
      <w:t>Página</w:t>
    </w:r>
    <w:r w:rsidRPr="004C428A">
      <w:rPr>
        <w:sz w:val="22"/>
        <w:szCs w:val="22"/>
        <w:lang w:val="es-ES_tradnl"/>
      </w:rPr>
      <w:t xml:space="preserve"> </w:t>
    </w:r>
    <w:r w:rsidRPr="00972BCD">
      <w:rPr>
        <w:sz w:val="22"/>
        <w:szCs w:val="22"/>
      </w:rPr>
      <w:fldChar w:fldCharType="begin"/>
    </w:r>
    <w:r w:rsidRPr="004C428A">
      <w:rPr>
        <w:sz w:val="22"/>
        <w:szCs w:val="22"/>
        <w:lang w:val="es-ES_tradnl"/>
      </w:rPr>
      <w:instrText xml:space="preserve"> PAGE </w:instrText>
    </w:r>
    <w:r w:rsidRPr="00972BCD">
      <w:rPr>
        <w:sz w:val="22"/>
        <w:szCs w:val="22"/>
      </w:rPr>
      <w:fldChar w:fldCharType="separate"/>
    </w:r>
    <w:r w:rsidR="0010350C">
      <w:rPr>
        <w:noProof/>
        <w:sz w:val="22"/>
        <w:szCs w:val="22"/>
        <w:lang w:val="es-ES_tradnl"/>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63C3"/>
    <w:multiLevelType w:val="hybridMultilevel"/>
    <w:tmpl w:val="DBF27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1930C6"/>
    <w:multiLevelType w:val="multilevel"/>
    <w:tmpl w:val="3A0662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33D49"/>
    <w:rsid w:val="000C0AA7"/>
    <w:rsid w:val="000E7A0A"/>
    <w:rsid w:val="0010350C"/>
    <w:rsid w:val="0016350F"/>
    <w:rsid w:val="00194CB2"/>
    <w:rsid w:val="00213302"/>
    <w:rsid w:val="00221C14"/>
    <w:rsid w:val="00241CB9"/>
    <w:rsid w:val="002A7FAB"/>
    <w:rsid w:val="002D4BE6"/>
    <w:rsid w:val="002D6772"/>
    <w:rsid w:val="00302736"/>
    <w:rsid w:val="0033649F"/>
    <w:rsid w:val="00360762"/>
    <w:rsid w:val="00390391"/>
    <w:rsid w:val="003D4CFB"/>
    <w:rsid w:val="00482632"/>
    <w:rsid w:val="004B7893"/>
    <w:rsid w:val="004C428A"/>
    <w:rsid w:val="00535C50"/>
    <w:rsid w:val="005557A3"/>
    <w:rsid w:val="005637B9"/>
    <w:rsid w:val="005643DC"/>
    <w:rsid w:val="006339E7"/>
    <w:rsid w:val="00635A62"/>
    <w:rsid w:val="006E4AB3"/>
    <w:rsid w:val="006F39EB"/>
    <w:rsid w:val="007C3061"/>
    <w:rsid w:val="007E471D"/>
    <w:rsid w:val="00835A77"/>
    <w:rsid w:val="0088106F"/>
    <w:rsid w:val="008C1852"/>
    <w:rsid w:val="008D789A"/>
    <w:rsid w:val="008F466B"/>
    <w:rsid w:val="00917B12"/>
    <w:rsid w:val="009445CB"/>
    <w:rsid w:val="009752D2"/>
    <w:rsid w:val="009952F6"/>
    <w:rsid w:val="009A6FC4"/>
    <w:rsid w:val="009B0E7D"/>
    <w:rsid w:val="00A33516"/>
    <w:rsid w:val="00A87DD9"/>
    <w:rsid w:val="00AE1BA7"/>
    <w:rsid w:val="00BC7208"/>
    <w:rsid w:val="00CD4D89"/>
    <w:rsid w:val="00D16175"/>
    <w:rsid w:val="00DA3EAA"/>
    <w:rsid w:val="00E17138"/>
    <w:rsid w:val="00E204A0"/>
    <w:rsid w:val="00E3519F"/>
    <w:rsid w:val="00E51C72"/>
    <w:rsid w:val="00E827C2"/>
    <w:rsid w:val="00EB6D19"/>
    <w:rsid w:val="00ED2681"/>
    <w:rsid w:val="00ED3481"/>
    <w:rsid w:val="00EE0FAF"/>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uiPriority w:val="99"/>
    <w:rsid w:val="006F39EB"/>
    <w:rPr>
      <w:rFonts w:asciiTheme="minorHAnsi" w:hAnsiTheme="minorHAnsi"/>
      <w:position w:val="6"/>
      <w:sz w:val="18"/>
    </w:rPr>
  </w:style>
  <w:style w:type="paragraph" w:styleId="FootnoteText">
    <w:name w:val="footnote text"/>
    <w:basedOn w:val="Normal"/>
    <w:link w:val="FootnoteTextChar"/>
    <w:uiPriority w:val="99"/>
    <w:rsid w:val="006F39EB"/>
    <w:pPr>
      <w:keepLines/>
      <w:tabs>
        <w:tab w:val="left" w:pos="255"/>
      </w:tabs>
      <w:ind w:left="255" w:hanging="255"/>
    </w:pPr>
  </w:style>
  <w:style w:type="character" w:customStyle="1" w:styleId="FootnoteTextChar">
    <w:name w:val="Footnote Text Char"/>
    <w:basedOn w:val="DefaultParagraphFont"/>
    <w:link w:val="FootnoteText"/>
    <w:uiPriority w:val="99"/>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CEONormal">
    <w:name w:val="CEO_Normal"/>
    <w:link w:val="CEONormalChar"/>
    <w:rsid w:val="004C428A"/>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4C428A"/>
    <w:rPr>
      <w:rFonts w:ascii="Calibri" w:eastAsia="SimSun" w:hAnsi="Calibri" w:cs="Simplified Arabic"/>
      <w:szCs w:val="19"/>
      <w:lang w:val="en-GB" w:eastAsia="en-US"/>
    </w:rPr>
  </w:style>
  <w:style w:type="paragraph" w:styleId="ListParagraph">
    <w:name w:val="List Paragraph"/>
    <w:basedOn w:val="Normal"/>
    <w:link w:val="ListParagraphChar"/>
    <w:uiPriority w:val="34"/>
    <w:qFormat/>
    <w:rsid w:val="004C428A"/>
    <w:pPr>
      <w:tabs>
        <w:tab w:val="clear" w:pos="794"/>
        <w:tab w:val="clear" w:pos="1191"/>
        <w:tab w:val="clear" w:pos="1588"/>
        <w:tab w:val="clear" w:pos="198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paragraph" w:styleId="NormalWeb">
    <w:name w:val="Normal (Web)"/>
    <w:basedOn w:val="Normal"/>
    <w:uiPriority w:val="99"/>
    <w:unhideWhenUsed/>
    <w:rsid w:val="004C42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PlainText">
    <w:name w:val="Plain Text"/>
    <w:basedOn w:val="Normal"/>
    <w:link w:val="PlainTextChar"/>
    <w:uiPriority w:val="99"/>
    <w:unhideWhenUsed/>
    <w:rsid w:val="004C428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4C428A"/>
    <w:rPr>
      <w:rFonts w:ascii="Calibri" w:hAnsi="Calibri"/>
      <w:szCs w:val="21"/>
      <w:lang w:val="en-US"/>
    </w:rPr>
  </w:style>
  <w:style w:type="character" w:customStyle="1" w:styleId="ListParagraphChar">
    <w:name w:val="List Paragraph Char"/>
    <w:basedOn w:val="DefaultParagraphFont"/>
    <w:link w:val="ListParagraph"/>
    <w:uiPriority w:val="34"/>
    <w:rsid w:val="004C428A"/>
    <w:rPr>
      <w:rFonts w:ascii="Verdana" w:eastAsia="SimHei" w:hAnsi="Verdana" w:cs="Simplified Arabic"/>
      <w:bCs/>
      <w:sz w:val="19"/>
      <w:szCs w:val="28"/>
      <w:lang w:val="en-US"/>
    </w:rPr>
  </w:style>
  <w:style w:type="character" w:styleId="FollowedHyperlink">
    <w:name w:val="FollowedHyperlink"/>
    <w:basedOn w:val="DefaultParagraphFont"/>
    <w:uiPriority w:val="99"/>
    <w:semiHidden/>
    <w:unhideWhenUsed/>
    <w:rsid w:val="00DA3E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D/Membership/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ITU-D/Membership/Pages/events/2016/PartnershipDialogueICT4SDGs/AcademiaNetwork01.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7-CLCWGFHRM7-C-0004/es" TargetMode="External"/><Relationship Id="rId2" Type="http://schemas.openxmlformats.org/officeDocument/2006/relationships/hyperlink" Target="https://www.itu.int/md/S17-CLCWGFHRM7-INF-0002/es" TargetMode="External"/><Relationship Id="rId1" Type="http://schemas.openxmlformats.org/officeDocument/2006/relationships/hyperlink" Target="https://www.itu.int/md/S17-CLCWGFHRM7-C-0002/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lue\dfs\bdt\PSB\Membership\TDAG\TDAG%202017\GRAPH%20MEMBERS%20SINCE%20199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blue\dfs\bdt\PSB\Membership\TDAG\TDAG%202017\GRAPH%20MEMBERS%20SINCE%201994.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blue\dfs\bdt\PSB\Membership\TDAG\TDAG%202017\GRAPH%20MEMBERS%20SINCE%2019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mn-lt"/>
                <a:ea typeface="Arial"/>
                <a:cs typeface="Arial"/>
              </a:defRPr>
            </a:pPr>
            <a:r>
              <a:rPr lang="en-GB">
                <a:latin typeface="+mn-lt"/>
              </a:rPr>
              <a:t>Gráfico1 - Evolución del</a:t>
            </a:r>
            <a:r>
              <a:rPr lang="en-GB" baseline="0">
                <a:latin typeface="+mn-lt"/>
              </a:rPr>
              <a:t> número de Miembros de Sector del UIT-D desde</a:t>
            </a:r>
            <a:r>
              <a:rPr lang="en-GB">
                <a:latin typeface="+mn-lt"/>
              </a:rPr>
              <a:t> 1994</a:t>
            </a:r>
          </a:p>
        </c:rich>
      </c:tx>
      <c:layout>
        <c:manualLayout>
          <c:xMode val="edge"/>
          <c:yMode val="edge"/>
          <c:x val="0.17707100445568519"/>
          <c:y val="5.0086127154404587E-2"/>
        </c:manualLayout>
      </c:layout>
      <c:overlay val="0"/>
      <c:spPr>
        <a:noFill/>
        <a:ln w="25400">
          <a:noFill/>
        </a:ln>
      </c:spPr>
    </c:title>
    <c:autoTitleDeleted val="0"/>
    <c:plotArea>
      <c:layout>
        <c:manualLayout>
          <c:layoutTarget val="inner"/>
          <c:xMode val="edge"/>
          <c:yMode val="edge"/>
          <c:x val="5.9722303225780198E-2"/>
          <c:y val="0.20068093869890885"/>
          <c:w val="0.91336613771238229"/>
          <c:h val="0.65986613741675104"/>
        </c:manualLayout>
      </c:layout>
      <c:lineChart>
        <c:grouping val="standar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1.2641382574338717E-3"/>
                  <c:y val="-1.0583586102473797E-3"/>
                </c:manualLayout>
              </c:layout>
              <c:spPr>
                <a:noFill/>
                <a:ln w="25400">
                  <a:noFill/>
                </a:ln>
              </c:spPr>
              <c:txPr>
                <a:bodyPr wrap="square" lIns="38100" tIns="19050" rIns="38100" bIns="19050" anchor="ctr">
                  <a:spAutoFit/>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dLbl>
              <c:idx val="22"/>
              <c:layout>
                <c:manualLayout>
                  <c:x val="-2.8177028810931738E-2"/>
                  <c:y val="-2.2097144523206467E-2"/>
                </c:manualLayout>
              </c:layout>
              <c:spPr>
                <a:noFill/>
                <a:ln w="25400">
                  <a:noFill/>
                </a:ln>
              </c:spPr>
              <c:txPr>
                <a:bodyPr wrap="square" lIns="38100" tIns="19050" rIns="38100" bIns="19050" anchor="ctr">
                  <a:spAutoFit/>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Sheet2!$B$121:$X$121</c:f>
              <c:numCache>
                <c:formatCode>General</c:formatCode>
                <c:ptCount val="23"/>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cat>
          <c:val>
            <c:numRef>
              <c:f>Sheet2!$B$121:$X$121</c:f>
              <c:numCache>
                <c:formatCode>General</c:formatCode>
                <c:ptCount val="23"/>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val>
          <c:smooth val="0"/>
        </c:ser>
        <c:ser>
          <c:idx val="1"/>
          <c:order val="1"/>
          <c:dLbls>
            <c:dLbl>
              <c:idx val="0"/>
              <c:layout>
                <c:manualLayout>
                  <c:x val="1.3972055888223553E-3"/>
                  <c:y val="8.9481122551986758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2"/>
              <c:layout>
                <c:manualLayout>
                  <c:x val="-1.8146215614393901E-2"/>
                  <c:y val="-3.093311837892922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Sheet2!$B$121:$X$121</c:f>
              <c:numCache>
                <c:formatCode>General</c:formatCode>
                <c:ptCount val="23"/>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cat>
          <c:val>
            <c:numRef>
              <c:f>Sheet2!$B$122:$X$122</c:f>
              <c:numCache>
                <c:formatCode>General</c:formatCode>
                <c:ptCount val="23"/>
                <c:pt idx="0">
                  <c:v>27</c:v>
                </c:pt>
                <c:pt idx="1">
                  <c:v>81</c:v>
                </c:pt>
                <c:pt idx="2">
                  <c:v>107</c:v>
                </c:pt>
                <c:pt idx="3">
                  <c:v>130</c:v>
                </c:pt>
                <c:pt idx="4">
                  <c:v>143</c:v>
                </c:pt>
                <c:pt idx="5">
                  <c:v>185</c:v>
                </c:pt>
                <c:pt idx="6">
                  <c:v>204</c:v>
                </c:pt>
                <c:pt idx="7">
                  <c:v>243</c:v>
                </c:pt>
                <c:pt idx="8">
                  <c:v>247</c:v>
                </c:pt>
                <c:pt idx="9">
                  <c:v>260</c:v>
                </c:pt>
                <c:pt idx="10">
                  <c:v>282</c:v>
                </c:pt>
                <c:pt idx="11">
                  <c:v>307</c:v>
                </c:pt>
                <c:pt idx="12">
                  <c:v>326</c:v>
                </c:pt>
                <c:pt idx="13">
                  <c:v>320</c:v>
                </c:pt>
                <c:pt idx="14">
                  <c:v>311</c:v>
                </c:pt>
                <c:pt idx="15">
                  <c:v>319</c:v>
                </c:pt>
                <c:pt idx="16">
                  <c:v>316</c:v>
                </c:pt>
                <c:pt idx="17">
                  <c:v>352</c:v>
                </c:pt>
                <c:pt idx="18">
                  <c:v>377</c:v>
                </c:pt>
                <c:pt idx="19">
                  <c:v>412</c:v>
                </c:pt>
                <c:pt idx="20">
                  <c:v>433</c:v>
                </c:pt>
                <c:pt idx="21">
                  <c:v>459</c:v>
                </c:pt>
                <c:pt idx="22">
                  <c:v>475</c:v>
                </c:pt>
              </c:numCache>
            </c:numRef>
          </c:val>
          <c:smooth val="0"/>
        </c:ser>
        <c:dLbls>
          <c:showLegendKey val="0"/>
          <c:showVal val="0"/>
          <c:showCatName val="0"/>
          <c:showSerName val="0"/>
          <c:showPercent val="0"/>
          <c:showBubbleSize val="0"/>
        </c:dLbls>
        <c:marker val="1"/>
        <c:smooth val="0"/>
        <c:axId val="188260944"/>
        <c:axId val="188261336"/>
      </c:lineChart>
      <c:dateAx>
        <c:axId val="188260944"/>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88261336"/>
        <c:crosses val="autoZero"/>
        <c:auto val="0"/>
        <c:lblOffset val="100"/>
        <c:baseTimeUnit val="days"/>
        <c:majorUnit val="1"/>
        <c:minorUnit val="1"/>
      </c:dateAx>
      <c:valAx>
        <c:axId val="188261336"/>
        <c:scaling>
          <c:orientation val="minMax"/>
          <c:max val="500"/>
        </c:scaling>
        <c:delete val="0"/>
        <c:axPos val="l"/>
        <c:majorGridlines>
          <c:spPr>
            <a:ln w="3175">
              <a:solidFill>
                <a:srgbClr val="00000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88260944"/>
        <c:crosses val="autoZero"/>
        <c:crossBetween val="midCat"/>
      </c:valAx>
      <c:spPr>
        <a:gradFill rotWithShape="0">
          <a:gsLst>
            <a:gs pos="0">
              <a:srgbClr val="CCFFCC"/>
            </a:gs>
            <a:gs pos="100000">
              <a:srgbClr val="FFFFFF"/>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800" b="1" i="0" u="none" strike="noStrike" kern="1200" cap="all" baseline="0">
                <a:solidFill>
                  <a:sysClr val="windowText" lastClr="000000"/>
                </a:solidFill>
                <a:latin typeface="+mn-lt"/>
                <a:ea typeface="+mn-ea"/>
                <a:cs typeface="+mn-cs"/>
              </a:defRPr>
            </a:pPr>
            <a:r>
              <a:rPr lang="en-GB" sz="900" cap="none" baseline="0">
                <a:solidFill>
                  <a:sysClr val="windowText" lastClr="000000"/>
                </a:solidFill>
              </a:rPr>
              <a:t>Gráfico 2 </a:t>
            </a:r>
          </a:p>
          <a:p>
            <a:pPr rtl="0">
              <a:defRPr>
                <a:solidFill>
                  <a:sysClr val="windowText" lastClr="000000"/>
                </a:solidFill>
              </a:defRPr>
            </a:pPr>
            <a:r>
              <a:rPr lang="en-GB" sz="900" cap="none" baseline="0">
                <a:solidFill>
                  <a:sysClr val="windowText" lastClr="000000"/>
                </a:solidFill>
              </a:rPr>
              <a:t>Categorías de los Miembros de Sector </a:t>
            </a:r>
            <a:br>
              <a:rPr lang="en-GB" sz="900" cap="none" baseline="0">
                <a:solidFill>
                  <a:sysClr val="windowText" lastClr="000000"/>
                </a:solidFill>
              </a:rPr>
            </a:br>
            <a:r>
              <a:rPr lang="en-GB" sz="900" cap="none" baseline="0">
                <a:solidFill>
                  <a:sysClr val="windowText" lastClr="000000"/>
                </a:solidFill>
              </a:rPr>
              <a:t>del UIT-D, 2016 </a:t>
            </a:r>
          </a:p>
        </c:rich>
      </c:tx>
      <c:layout>
        <c:manualLayout>
          <c:xMode val="edge"/>
          <c:yMode val="edge"/>
          <c:x val="0.13573025205299302"/>
          <c:y val="1.6365896846626229E-2"/>
        </c:manualLayout>
      </c:layout>
      <c:overlay val="0"/>
      <c:spPr>
        <a:noFill/>
        <a:ln>
          <a:noFill/>
        </a:ln>
        <a:effectLst/>
      </c:spPr>
      <c:txPr>
        <a:bodyPr rot="0" spcFirstLastPara="1" vertOverflow="ellipsis" vert="horz" wrap="square" anchor="ctr" anchorCtr="1"/>
        <a:lstStyle/>
        <a:p>
          <a:pPr rtl="0">
            <a:defRPr sz="1800" b="1" i="0" u="none" strike="noStrike" kern="1200" cap="all"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5.9722303225780198E-2"/>
          <c:y val="0.20068093869890885"/>
          <c:w val="0.91336613771238229"/>
          <c:h val="0.65986613741675104"/>
        </c:manualLayout>
      </c:layout>
      <c:pieChart>
        <c:varyColors val="1"/>
        <c:ser>
          <c:idx val="1"/>
          <c:order val="0"/>
          <c:dPt>
            <c:idx val="0"/>
            <c:bubble3D val="0"/>
            <c:spPr>
              <a:solidFill>
                <a:schemeClr val="accent1">
                  <a:alpha val="70000"/>
                </a:schemeClr>
              </a:solidFill>
              <a:ln>
                <a:noFill/>
              </a:ln>
              <a:effectLst/>
            </c:spPr>
          </c:dPt>
          <c:dPt>
            <c:idx val="1"/>
            <c:bubble3D val="0"/>
            <c:spPr>
              <a:solidFill>
                <a:schemeClr val="accent2">
                  <a:alpha val="70000"/>
                </a:schemeClr>
              </a:solidFill>
              <a:ln>
                <a:noFill/>
              </a:ln>
              <a:effectLst/>
            </c:spPr>
          </c:dPt>
          <c:dPt>
            <c:idx val="2"/>
            <c:bubble3D val="0"/>
            <c:spPr>
              <a:solidFill>
                <a:schemeClr val="accent3">
                  <a:alpha val="70000"/>
                </a:schemeClr>
              </a:solidFill>
              <a:ln>
                <a:noFill/>
              </a:ln>
              <a:effectLst/>
            </c:spPr>
          </c:dPt>
          <c:dPt>
            <c:idx val="3"/>
            <c:bubble3D val="0"/>
            <c:spPr>
              <a:solidFill>
                <a:schemeClr val="accent4">
                  <a:alpha val="70000"/>
                </a:schemeClr>
              </a:solidFill>
              <a:ln>
                <a:noFill/>
              </a:ln>
              <a:effectLst/>
            </c:spPr>
          </c:dPt>
          <c:dPt>
            <c:idx val="4"/>
            <c:bubble3D val="0"/>
            <c:spPr>
              <a:solidFill>
                <a:schemeClr val="accent5">
                  <a:alpha val="70000"/>
                </a:schemeClr>
              </a:solidFill>
              <a:ln>
                <a:noFill/>
              </a:ln>
              <a:effectLst/>
            </c:spPr>
          </c:dPt>
          <c:dPt>
            <c:idx val="5"/>
            <c:bubble3D val="0"/>
            <c:spPr>
              <a:solidFill>
                <a:schemeClr val="accent6">
                  <a:alpha val="70000"/>
                </a:schemeClr>
              </a:solidFill>
              <a:ln>
                <a:noFill/>
              </a:ln>
              <a:effectLst/>
            </c:spPr>
          </c:dPt>
          <c:dPt>
            <c:idx val="6"/>
            <c:bubble3D val="0"/>
            <c:spPr>
              <a:solidFill>
                <a:schemeClr val="accent1">
                  <a:lumMod val="60000"/>
                  <a:alpha val="70000"/>
                </a:schemeClr>
              </a:solidFill>
              <a:ln>
                <a:noFill/>
              </a:ln>
              <a:effectLst/>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inEnd"/>
              <c:showLegendKey val="0"/>
              <c:showVal val="0"/>
              <c:showCatName val="0"/>
              <c:showSerName val="0"/>
              <c:showPercent val="1"/>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3"/>
                      </a:solidFill>
                      <a:effectLst/>
                      <a:latin typeface="+mn-lt"/>
                      <a:ea typeface="+mn-ea"/>
                      <a:cs typeface="+mn-cs"/>
                    </a:defRPr>
                  </a:pPr>
                  <a:endParaRPr lang="en-US"/>
                </a:p>
              </c:txPr>
              <c:dLblPos val="inEnd"/>
              <c:showLegendKey val="0"/>
              <c:showVal val="0"/>
              <c:showCatName val="0"/>
              <c:showSerName val="0"/>
              <c:showPercent val="1"/>
              <c:showBubbleSize val="0"/>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6"/>
                      </a:solidFill>
                      <a:effectLst/>
                      <a:latin typeface="+mn-lt"/>
                      <a:ea typeface="+mn-ea"/>
                      <a:cs typeface="+mn-cs"/>
                    </a:defRPr>
                  </a:pPr>
                  <a:endParaRPr lang="en-US"/>
                </a:p>
              </c:txPr>
              <c:dLblPos val="inEnd"/>
              <c:showLegendKey val="0"/>
              <c:showVal val="0"/>
              <c:showCatName val="0"/>
              <c:showSerName val="0"/>
              <c:showPercent val="1"/>
              <c:showBubbleSize val="0"/>
            </c:dLbl>
            <c:spPr>
              <a:solidFill>
                <a:sysClr val="window" lastClr="FFFFFF">
                  <a:alpha val="90000"/>
                </a:sysClr>
              </a:solidFill>
              <a:ln w="12700" cap="flat" cmpd="sng" algn="ctr">
                <a:solidFill>
                  <a:srgbClr val="C0504D"/>
                </a:solidFill>
                <a:round/>
              </a:ln>
              <a:effectLst>
                <a:outerShdw blurRad="50800" dist="38100" dir="2700000" algn="tl" rotWithShape="0">
                  <a:srgbClr val="C0504D">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Sheet2!$P$9:$R$9</c:f>
              <c:strCache>
                <c:ptCount val="3"/>
                <c:pt idx="0">
                  <c:v>Academia</c:v>
                </c:pt>
                <c:pt idx="1">
                  <c:v>Associates</c:v>
                </c:pt>
                <c:pt idx="2">
                  <c:v>Sector Members</c:v>
                </c:pt>
              </c:strCache>
            </c:strRef>
          </c:cat>
          <c:val>
            <c:numRef>
              <c:f>Sheet2!$P$10:$R$10</c:f>
              <c:numCache>
                <c:formatCode>General</c:formatCode>
                <c:ptCount val="3"/>
                <c:pt idx="0">
                  <c:v>132</c:v>
                </c:pt>
                <c:pt idx="1">
                  <c:v>12</c:v>
                </c:pt>
                <c:pt idx="2">
                  <c:v>331</c:v>
                </c:pt>
              </c:numCache>
            </c:numRef>
          </c:val>
        </c:ser>
        <c:dLbls>
          <c:dLblPos val="inEnd"/>
          <c:showLegendKey val="0"/>
          <c:showVal val="0"/>
          <c:showCatName val="1"/>
          <c:showSerName val="0"/>
          <c:showPercent val="0"/>
          <c:showBubbleSize val="0"/>
          <c:showLeaderLines val="0"/>
        </c:dLbls>
        <c:firstSliceAng val="0"/>
      </c:pieChart>
      <c:spPr>
        <a:noFill/>
        <a:ln>
          <a:noFill/>
        </a:ln>
        <a:effectLst/>
      </c:spPr>
    </c:plotArea>
    <c:legend>
      <c:legendPos val="r"/>
      <c:legendEntry>
        <c:idx val="1"/>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Entry>
      <c:layout>
        <c:manualLayout>
          <c:xMode val="edge"/>
          <c:yMode val="edge"/>
          <c:x val="0.71816188813877535"/>
          <c:y val="0.55195417732968899"/>
          <c:w val="0.28183813649433637"/>
          <c:h val="0.4480458226703110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GB" sz="900">
                <a:latin typeface="+mn-lt"/>
              </a:rPr>
              <a:t>Gráfico 3 </a:t>
            </a:r>
          </a:p>
          <a:p>
            <a:pPr>
              <a:defRPr sz="1000" b="1" i="0" u="none" strike="noStrike" baseline="0">
                <a:solidFill>
                  <a:srgbClr val="000000"/>
                </a:solidFill>
                <a:latin typeface="Arial"/>
                <a:ea typeface="Arial"/>
                <a:cs typeface="Arial"/>
              </a:defRPr>
            </a:pPr>
            <a:r>
              <a:rPr lang="en-GB" sz="900">
                <a:latin typeface="+mn-lt"/>
              </a:rPr>
              <a:t>Distribución de los Miembros de Sector </a:t>
            </a:r>
            <a:br>
              <a:rPr lang="en-GB" sz="900">
                <a:latin typeface="+mn-lt"/>
              </a:rPr>
            </a:br>
            <a:r>
              <a:rPr lang="en-GB" sz="900">
                <a:latin typeface="+mn-lt"/>
              </a:rPr>
              <a:t>del UIT-D por Región en 2016</a:t>
            </a:r>
            <a:endParaRPr lang="en-GB" sz="900" baseline="0">
              <a:latin typeface="+mn-lt"/>
            </a:endParaRPr>
          </a:p>
        </c:rich>
      </c:tx>
      <c:layout>
        <c:manualLayout>
          <c:xMode val="edge"/>
          <c:yMode val="edge"/>
          <c:x val="0.1099712805078369"/>
          <c:y val="1.0027180396916791E-2"/>
        </c:manualLayout>
      </c:layout>
      <c:overlay val="0"/>
      <c:spPr>
        <a:noFill/>
        <a:ln w="25400">
          <a:noFill/>
        </a:ln>
      </c:spPr>
    </c:title>
    <c:autoTitleDeleted val="0"/>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5"/>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6"/>
              <c:layout>
                <c:manualLayout>
                  <c:x val="2.3833116082562358E-2"/>
                  <c:y val="0.1057659788573859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w="25400">
                <a:noFill/>
              </a:ln>
            </c:spPr>
            <c:dLblPos val="bestFit"/>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Sheet2!$C$160:$I$160</c:f>
              <c:strCache>
                <c:ptCount val="7"/>
                <c:pt idx="0">
                  <c:v>Regional &amp; International</c:v>
                </c:pt>
                <c:pt idx="1">
                  <c:v>Àsia &amp; the Pacific</c:v>
                </c:pt>
                <c:pt idx="2">
                  <c:v>Americas</c:v>
                </c:pt>
                <c:pt idx="3">
                  <c:v>Europe</c:v>
                </c:pt>
                <c:pt idx="4">
                  <c:v>Arab States</c:v>
                </c:pt>
                <c:pt idx="5">
                  <c:v>Africa</c:v>
                </c:pt>
                <c:pt idx="6">
                  <c:v>CIS</c:v>
                </c:pt>
              </c:strCache>
            </c:strRef>
          </c:cat>
          <c:val>
            <c:numRef>
              <c:f>Sheet2!$C$161:$I$161</c:f>
              <c:numCache>
                <c:formatCode>0</c:formatCode>
                <c:ptCount val="7"/>
                <c:pt idx="0">
                  <c:v>21.218487394957982</c:v>
                </c:pt>
                <c:pt idx="1">
                  <c:v>20.3781512605042</c:v>
                </c:pt>
                <c:pt idx="2">
                  <c:v>18.907563025210084</c:v>
                </c:pt>
                <c:pt idx="3">
                  <c:v>13.865546218487395</c:v>
                </c:pt>
                <c:pt idx="4">
                  <c:v>13.235294117647058</c:v>
                </c:pt>
                <c:pt idx="5">
                  <c:v>7.7731092436974789</c:v>
                </c:pt>
                <c:pt idx="6">
                  <c:v>4.6218487394957979</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76575739270814569"/>
          <c:y val="0.22822663471413898"/>
          <c:w val="0.22384464864357168"/>
          <c:h val="0.6952591373839464"/>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F092-DD16-47FC-B6C6-FBBC6C64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FHernández</dc:creator>
  <cp:keywords/>
  <dc:description/>
  <cp:lastModifiedBy>FHernández</cp:lastModifiedBy>
  <cp:revision>5</cp:revision>
  <cp:lastPrinted>2017-04-24T10:18:00Z</cp:lastPrinted>
  <dcterms:created xsi:type="dcterms:W3CDTF">2017-04-24T09:19:00Z</dcterms:created>
  <dcterms:modified xsi:type="dcterms:W3CDTF">2017-04-24T13:59:00Z</dcterms:modified>
</cp:coreProperties>
</file>